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Default Extension="jpeg" ContentType="image/jpeg"/>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Default Extension="png" ContentType="image/png"/>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header23.xml" ContentType="application/vnd.openxmlformats-officedocument.wordprocessingml.header+xml"/>
  <Override PartName="/word/footer24.xml" ContentType="application/vnd.openxmlformats-officedocument.wordprocessingml.footer+xml"/>
  <Override PartName="/word/header24.xml" ContentType="application/vnd.openxmlformats-officedocument.wordprocessingml.header+xml"/>
  <Override PartName="/word/footer25.xml" ContentType="application/vnd.openxmlformats-officedocument.wordprocessingml.footer+xml"/>
  <Override PartName="/word/header25.xml" ContentType="application/vnd.openxmlformats-officedocument.wordprocessingml.header+xml"/>
  <Override PartName="/word/footer26.xml" ContentType="application/vnd.openxmlformats-officedocument.wordprocessingml.footer+xml"/>
  <Override PartName="/word/header26.xml" ContentType="application/vnd.openxmlformats-officedocument.wordprocessingml.header+xml"/>
  <Override PartName="/word/footer27.xml" ContentType="application/vnd.openxmlformats-officedocument.wordprocessingml.footer+xml"/>
  <Override PartName="/word/header27.xml" ContentType="application/vnd.openxmlformats-officedocument.wordprocessingml.header+xml"/>
  <Override PartName="/word/footer28.xml" ContentType="application/vnd.openxmlformats-officedocument.wordprocessingml.footer+xml"/>
  <Override PartName="/word/header28.xml" ContentType="application/vnd.openxmlformats-officedocument.wordprocessingml.header+xml"/>
  <Override PartName="/word/footer29.xml" ContentType="application/vnd.openxmlformats-officedocument.wordprocessingml.footer+xml"/>
  <Override PartName="/word/header29.xml" ContentType="application/vnd.openxmlformats-officedocument.wordprocessingml.header+xml"/>
  <Override PartName="/word/footer30.xml" ContentType="application/vnd.openxmlformats-officedocument.wordprocessingml.footer+xml"/>
  <Override PartName="/word/header30.xml" ContentType="application/vnd.openxmlformats-officedocument.wordprocessingml.header+xml"/>
  <Override PartName="/word/footer31.xml" ContentType="application/vnd.openxmlformats-officedocument.wordprocessingml.footer+xml"/>
  <Override PartName="/word/header31.xml" ContentType="application/vnd.openxmlformats-officedocument.wordprocessingml.header+xml"/>
  <Override PartName="/word/footer32.xml" ContentType="application/vnd.openxmlformats-officedocument.wordprocessingml.footer+xml"/>
  <Override PartName="/word/header32.xml" ContentType="application/vnd.openxmlformats-officedocument.wordprocessingml.header+xml"/>
  <Override PartName="/word/footer33.xml" ContentType="application/vnd.openxmlformats-officedocument.wordprocessingml.footer+xml"/>
  <Override PartName="/word/header33.xml" ContentType="application/vnd.openxmlformats-officedocument.wordprocessingml.header+xml"/>
  <Override PartName="/word/footer34.xml" ContentType="application/vnd.openxmlformats-officedocument.wordprocessingml.footer+xml"/>
  <Override PartName="/word/header34.xml" ContentType="application/vnd.openxmlformats-officedocument.wordprocessingml.header+xml"/>
  <Override PartName="/word/footer35.xml" ContentType="application/vnd.openxmlformats-officedocument.wordprocessingml.footer+xml"/>
  <Override PartName="/word/header35.xml" ContentType="application/vnd.openxmlformats-officedocument.wordprocessingml.header+xml"/>
  <Override PartName="/word/footer36.xml" ContentType="application/vnd.openxmlformats-officedocument.wordprocessingml.footer+xml"/>
  <Override PartName="/word/header36.xml" ContentType="application/vnd.openxmlformats-officedocument.wordprocessingml.header+xml"/>
  <Override PartName="/word/footer37.xml" ContentType="application/vnd.openxmlformats-officedocument.wordprocessingml.footer+xml"/>
  <Override PartName="/word/header37.xml" ContentType="application/vnd.openxmlformats-officedocument.wordprocessingml.header+xml"/>
  <Override PartName="/word/footer38.xml" ContentType="application/vnd.openxmlformats-officedocument.wordprocessingml.footer+xml"/>
  <Override PartName="/word/header38.xml" ContentType="application/vnd.openxmlformats-officedocument.wordprocessingml.header+xml"/>
  <Override PartName="/word/footer39.xml" ContentType="application/vnd.openxmlformats-officedocument.wordprocessingml.footer+xml"/>
  <Override PartName="/word/header39.xml" ContentType="application/vnd.openxmlformats-officedocument.wordprocessingml.header+xml"/>
  <Override PartName="/word/footer40.xml" ContentType="application/vnd.openxmlformats-officedocument.wordprocessingml.footer+xml"/>
  <Override PartName="/word/header40.xml" ContentType="application/vnd.openxmlformats-officedocument.wordprocessingml.header+xml"/>
  <Override PartName="/word/footer41.xml" ContentType="application/vnd.openxmlformats-officedocument.wordprocessingml.footer+xml"/>
  <Override PartName="/word/header41.xml" ContentType="application/vnd.openxmlformats-officedocument.wordprocessingml.header+xml"/>
  <Override PartName="/word/footer42.xml" ContentType="application/vnd.openxmlformats-officedocument.wordprocessingml.footer+xml"/>
  <Override PartName="/word/header42.xml" ContentType="application/vnd.openxmlformats-officedocument.wordprocessingml.header+xml"/>
  <Override PartName="/word/footer43.xml" ContentType="application/vnd.openxmlformats-officedocument.wordprocessingml.footer+xml"/>
  <Override PartName="/word/header43.xml" ContentType="application/vnd.openxmlformats-officedocument.wordprocessingml.header+xml"/>
  <Override PartName="/word/footer44.xml" ContentType="application/vnd.openxmlformats-officedocument.wordprocessingml.footer+xml"/>
  <Override PartName="/word/header44.xml" ContentType="application/vnd.openxmlformats-officedocument.wordprocessingml.header+xml"/>
  <Override PartName="/word/footer4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sz w:val="20"/>
        </w:rPr>
      </w:pPr>
    </w:p>
    <w:p>
      <w:pPr>
        <w:pStyle w:val="BodyText"/>
        <w:rPr>
          <w:sz w:val="20"/>
        </w:rPr>
      </w:pPr>
    </w:p>
    <w:p>
      <w:pPr>
        <w:pStyle w:val="BodyText"/>
        <w:spacing w:before="9"/>
        <w:rPr>
          <w:sz w:val="19"/>
        </w:rPr>
      </w:pPr>
    </w:p>
    <w:p>
      <w:pPr>
        <w:spacing w:line="280" w:lineRule="auto" w:before="110"/>
        <w:ind w:left="757" w:right="536" w:firstLine="0"/>
        <w:jc w:val="center"/>
        <w:rPr>
          <w:b/>
          <w:sz w:val="44"/>
        </w:rPr>
      </w:pPr>
      <w:bookmarkStart w:name="_bookmark0" w:id="1"/>
      <w:bookmarkEnd w:id="1"/>
      <w:r>
        <w:rPr/>
      </w:r>
      <w:r>
        <w:rPr>
          <w:b/>
          <w:sz w:val="44"/>
        </w:rPr>
        <w:t>Characterising</w:t>
      </w:r>
      <w:r>
        <w:rPr>
          <w:b/>
          <w:spacing w:val="-28"/>
          <w:sz w:val="44"/>
        </w:rPr>
        <w:t> </w:t>
      </w:r>
      <w:r>
        <w:rPr>
          <w:b/>
          <w:sz w:val="44"/>
        </w:rPr>
        <w:t>and</w:t>
      </w:r>
      <w:r>
        <w:rPr>
          <w:b/>
          <w:spacing w:val="-27"/>
          <w:sz w:val="44"/>
        </w:rPr>
        <w:t> </w:t>
      </w:r>
      <w:r>
        <w:rPr>
          <w:b/>
          <w:sz w:val="44"/>
        </w:rPr>
        <w:t>Analysing</w:t>
      </w:r>
      <w:r>
        <w:rPr>
          <w:b/>
          <w:spacing w:val="-28"/>
          <w:sz w:val="44"/>
        </w:rPr>
        <w:t> </w:t>
      </w:r>
      <w:r>
        <w:rPr>
          <w:b/>
          <w:sz w:val="44"/>
        </w:rPr>
        <w:t>Performance Sequences in Rugby League Using Match Events Data</w:t>
      </w:r>
    </w:p>
    <w:p>
      <w:pPr>
        <w:pStyle w:val="BodyText"/>
        <w:rPr>
          <w:b/>
          <w:sz w:val="56"/>
        </w:rPr>
      </w:pPr>
    </w:p>
    <w:p>
      <w:pPr>
        <w:pStyle w:val="BodyText"/>
        <w:rPr>
          <w:b/>
          <w:sz w:val="56"/>
        </w:rPr>
      </w:pPr>
    </w:p>
    <w:p>
      <w:pPr>
        <w:pStyle w:val="BodyText"/>
        <w:spacing w:before="7"/>
        <w:rPr>
          <w:b/>
          <w:sz w:val="48"/>
        </w:rPr>
      </w:pPr>
    </w:p>
    <w:p>
      <w:pPr>
        <w:spacing w:before="1"/>
        <w:ind w:left="757" w:right="538" w:firstLine="0"/>
        <w:jc w:val="center"/>
        <w:rPr>
          <w:sz w:val="34"/>
        </w:rPr>
      </w:pPr>
      <w:r>
        <w:rPr>
          <w:sz w:val="34"/>
        </w:rPr>
        <w:t>Dr</w:t>
      </w:r>
      <w:r>
        <w:rPr>
          <w:spacing w:val="8"/>
          <w:sz w:val="34"/>
        </w:rPr>
        <w:t> </w:t>
      </w:r>
      <w:r>
        <w:rPr>
          <w:sz w:val="34"/>
        </w:rPr>
        <w:t>Thomas</w:t>
      </w:r>
      <w:r>
        <w:rPr>
          <w:spacing w:val="8"/>
          <w:sz w:val="34"/>
        </w:rPr>
        <w:t> </w:t>
      </w:r>
      <w:r>
        <w:rPr>
          <w:spacing w:val="-2"/>
          <w:sz w:val="34"/>
        </w:rPr>
        <w:t>Sawczuk</w:t>
      </w:r>
    </w:p>
    <w:p>
      <w:pPr>
        <w:pStyle w:val="BodyText"/>
        <w:rPr>
          <w:sz w:val="40"/>
        </w:rPr>
      </w:pPr>
    </w:p>
    <w:p>
      <w:pPr>
        <w:pStyle w:val="BodyText"/>
        <w:rPr>
          <w:sz w:val="40"/>
        </w:rPr>
      </w:pPr>
    </w:p>
    <w:p>
      <w:pPr>
        <w:pStyle w:val="BodyText"/>
        <w:rPr>
          <w:sz w:val="40"/>
        </w:rPr>
      </w:pPr>
    </w:p>
    <w:p>
      <w:pPr>
        <w:pStyle w:val="BodyText"/>
        <w:spacing w:before="5"/>
        <w:rPr>
          <w:sz w:val="37"/>
        </w:rPr>
      </w:pPr>
    </w:p>
    <w:p>
      <w:pPr>
        <w:spacing w:line="331" w:lineRule="auto" w:before="0"/>
        <w:ind w:left="757" w:right="536" w:firstLine="0"/>
        <w:jc w:val="center"/>
        <w:rPr>
          <w:sz w:val="28"/>
        </w:rPr>
      </w:pPr>
      <w:r>
        <w:rPr>
          <w:sz w:val="28"/>
        </w:rPr>
        <w:t>A thesis submitted in partial fulfilment of the requirements of </w:t>
      </w:r>
      <w:r>
        <w:rPr>
          <w:sz w:val="28"/>
        </w:rPr>
        <w:t>Leeds Beckett University for the degree of</w:t>
      </w:r>
    </w:p>
    <w:p>
      <w:pPr>
        <w:spacing w:before="131"/>
        <w:ind w:left="757" w:right="538" w:firstLine="0"/>
        <w:jc w:val="center"/>
        <w:rPr>
          <w:i/>
          <w:sz w:val="28"/>
        </w:rPr>
      </w:pPr>
      <w:r>
        <w:rPr>
          <w:i/>
          <w:sz w:val="28"/>
        </w:rPr>
        <w:t>Doctor</w:t>
      </w:r>
      <w:r>
        <w:rPr>
          <w:i/>
          <w:spacing w:val="11"/>
          <w:sz w:val="28"/>
        </w:rPr>
        <w:t> </w:t>
      </w:r>
      <w:r>
        <w:rPr>
          <w:i/>
          <w:sz w:val="28"/>
        </w:rPr>
        <w:t>of</w:t>
      </w:r>
      <w:r>
        <w:rPr>
          <w:i/>
          <w:spacing w:val="11"/>
          <w:sz w:val="28"/>
        </w:rPr>
        <w:t> </w:t>
      </w:r>
      <w:r>
        <w:rPr>
          <w:i/>
          <w:spacing w:val="-2"/>
          <w:sz w:val="28"/>
        </w:rPr>
        <w:t>Philosophy</w:t>
      </w:r>
    </w:p>
    <w:p>
      <w:pPr>
        <w:pStyle w:val="BodyText"/>
        <w:rPr>
          <w:i/>
          <w:sz w:val="34"/>
        </w:rPr>
      </w:pPr>
    </w:p>
    <w:p>
      <w:pPr>
        <w:pStyle w:val="BodyText"/>
        <w:rPr>
          <w:i/>
          <w:sz w:val="34"/>
        </w:rPr>
      </w:pPr>
    </w:p>
    <w:p>
      <w:pPr>
        <w:pStyle w:val="BodyText"/>
        <w:rPr>
          <w:i/>
          <w:sz w:val="34"/>
        </w:rPr>
      </w:pPr>
    </w:p>
    <w:p>
      <w:pPr>
        <w:pStyle w:val="BodyText"/>
        <w:spacing w:before="11"/>
        <w:rPr>
          <w:i/>
          <w:sz w:val="31"/>
        </w:rPr>
      </w:pPr>
    </w:p>
    <w:p>
      <w:pPr>
        <w:spacing w:before="0"/>
        <w:ind w:left="757" w:right="538" w:firstLine="0"/>
        <w:jc w:val="center"/>
        <w:rPr>
          <w:sz w:val="28"/>
        </w:rPr>
      </w:pPr>
      <w:r>
        <w:rPr>
          <w:sz w:val="28"/>
        </w:rPr>
        <w:t>School</w:t>
      </w:r>
      <w:r>
        <w:rPr>
          <w:spacing w:val="15"/>
          <w:sz w:val="28"/>
        </w:rPr>
        <w:t> </w:t>
      </w:r>
      <w:r>
        <w:rPr>
          <w:sz w:val="28"/>
        </w:rPr>
        <w:t>of</w:t>
      </w:r>
      <w:r>
        <w:rPr>
          <w:spacing w:val="15"/>
          <w:sz w:val="28"/>
        </w:rPr>
        <w:t> </w:t>
      </w:r>
      <w:r>
        <w:rPr>
          <w:sz w:val="28"/>
        </w:rPr>
        <w:t>Built</w:t>
      </w:r>
      <w:r>
        <w:rPr>
          <w:spacing w:val="15"/>
          <w:sz w:val="28"/>
        </w:rPr>
        <w:t> </w:t>
      </w:r>
      <w:r>
        <w:rPr>
          <w:sz w:val="28"/>
        </w:rPr>
        <w:t>Environment,</w:t>
      </w:r>
      <w:r>
        <w:rPr>
          <w:spacing w:val="16"/>
          <w:sz w:val="28"/>
        </w:rPr>
        <w:t> </w:t>
      </w:r>
      <w:r>
        <w:rPr>
          <w:sz w:val="28"/>
        </w:rPr>
        <w:t>Engineering</w:t>
      </w:r>
      <w:r>
        <w:rPr>
          <w:spacing w:val="15"/>
          <w:sz w:val="28"/>
        </w:rPr>
        <w:t> </w:t>
      </w:r>
      <w:r>
        <w:rPr>
          <w:sz w:val="28"/>
        </w:rPr>
        <w:t>and</w:t>
      </w:r>
      <w:r>
        <w:rPr>
          <w:spacing w:val="15"/>
          <w:sz w:val="28"/>
        </w:rPr>
        <w:t> </w:t>
      </w:r>
      <w:r>
        <w:rPr>
          <w:spacing w:val="-2"/>
          <w:sz w:val="28"/>
        </w:rPr>
        <w:t>Computing</w:t>
      </w:r>
    </w:p>
    <w:p>
      <w:pPr>
        <w:pStyle w:val="BodyText"/>
        <w:rPr>
          <w:sz w:val="34"/>
        </w:rPr>
      </w:pPr>
    </w:p>
    <w:p>
      <w:pPr>
        <w:pStyle w:val="BodyText"/>
        <w:spacing w:before="2"/>
        <w:rPr>
          <w:sz w:val="37"/>
        </w:rPr>
      </w:pPr>
    </w:p>
    <w:p>
      <w:pPr>
        <w:spacing w:before="1"/>
        <w:ind w:left="757" w:right="538" w:firstLine="0"/>
        <w:jc w:val="center"/>
        <w:rPr>
          <w:sz w:val="28"/>
        </w:rPr>
      </w:pPr>
      <w:r>
        <w:rPr>
          <w:sz w:val="28"/>
        </w:rPr>
        <w:t>November</w:t>
      </w:r>
      <w:r>
        <w:rPr>
          <w:spacing w:val="14"/>
          <w:sz w:val="28"/>
        </w:rPr>
        <w:t> </w:t>
      </w:r>
      <w:r>
        <w:rPr>
          <w:spacing w:val="-4"/>
          <w:sz w:val="28"/>
        </w:rPr>
        <w:t>2022</w:t>
      </w:r>
    </w:p>
    <w:p>
      <w:pPr>
        <w:spacing w:after="0"/>
        <w:jc w:val="center"/>
        <w:rPr>
          <w:sz w:val="28"/>
        </w:rPr>
        <w:sectPr>
          <w:type w:val="continuous"/>
          <w:pgSz w:w="11910" w:h="16840"/>
          <w:pgMar w:top="1920" w:bottom="280" w:left="1680" w:right="720"/>
        </w:sectPr>
      </w:pPr>
    </w:p>
    <w:p>
      <w:pPr>
        <w:pStyle w:val="BodyText"/>
        <w:rPr>
          <w:sz w:val="20"/>
        </w:rPr>
      </w:pPr>
    </w:p>
    <w:p>
      <w:pPr>
        <w:pStyle w:val="BodyText"/>
        <w:rPr>
          <w:sz w:val="20"/>
        </w:rPr>
      </w:pPr>
    </w:p>
    <w:p>
      <w:pPr>
        <w:pStyle w:val="BodyText"/>
        <w:rPr>
          <w:sz w:val="20"/>
        </w:rPr>
      </w:pPr>
    </w:p>
    <w:p>
      <w:pPr>
        <w:pStyle w:val="BodyText"/>
        <w:spacing w:before="232"/>
        <w:ind w:left="610"/>
      </w:pPr>
      <w:r>
        <w:rPr/>
        <w:t>Dr</w:t>
      </w:r>
      <w:r>
        <w:rPr>
          <w:spacing w:val="-7"/>
        </w:rPr>
        <w:t> </w:t>
      </w:r>
      <w:r>
        <w:rPr/>
        <w:t>Thomas</w:t>
      </w:r>
      <w:r>
        <w:rPr>
          <w:spacing w:val="-6"/>
        </w:rPr>
        <w:t> </w:t>
      </w:r>
      <w:r>
        <w:rPr>
          <w:spacing w:val="-2"/>
        </w:rPr>
        <w:t>Sawczuk</w:t>
      </w:r>
    </w:p>
    <w:p>
      <w:pPr>
        <w:pStyle w:val="BodyText"/>
        <w:spacing w:line="312" w:lineRule="auto" w:before="82"/>
        <w:ind w:left="610" w:right="389"/>
      </w:pPr>
      <w:r>
        <w:rPr/>
        <w:t>Characterising</w:t>
      </w:r>
      <w:r>
        <w:rPr>
          <w:spacing w:val="-8"/>
        </w:rPr>
        <w:t> </w:t>
      </w:r>
      <w:r>
        <w:rPr/>
        <w:t>and</w:t>
      </w:r>
      <w:r>
        <w:rPr>
          <w:spacing w:val="-7"/>
        </w:rPr>
        <w:t> </w:t>
      </w:r>
      <w:r>
        <w:rPr/>
        <w:t>analysing</w:t>
      </w:r>
      <w:r>
        <w:rPr>
          <w:spacing w:val="-7"/>
        </w:rPr>
        <w:t> </w:t>
      </w:r>
      <w:r>
        <w:rPr/>
        <w:t>performance</w:t>
      </w:r>
      <w:r>
        <w:rPr>
          <w:spacing w:val="-8"/>
        </w:rPr>
        <w:t> </w:t>
      </w:r>
      <w:r>
        <w:rPr/>
        <w:t>sequences</w:t>
      </w:r>
      <w:r>
        <w:rPr>
          <w:spacing w:val="-8"/>
        </w:rPr>
        <w:t> </w:t>
      </w:r>
      <w:r>
        <w:rPr/>
        <w:t>in</w:t>
      </w:r>
      <w:r>
        <w:rPr>
          <w:spacing w:val="-7"/>
        </w:rPr>
        <w:t> </w:t>
      </w:r>
      <w:r>
        <w:rPr/>
        <w:t>rugby</w:t>
      </w:r>
      <w:r>
        <w:rPr>
          <w:spacing w:val="-8"/>
        </w:rPr>
        <w:t> </w:t>
      </w:r>
      <w:r>
        <w:rPr/>
        <w:t>league</w:t>
      </w:r>
      <w:r>
        <w:rPr>
          <w:spacing w:val="-8"/>
        </w:rPr>
        <w:t> </w:t>
      </w:r>
      <w:r>
        <w:rPr/>
        <w:t>using</w:t>
      </w:r>
      <w:r>
        <w:rPr>
          <w:spacing w:val="-7"/>
        </w:rPr>
        <w:t> </w:t>
      </w:r>
      <w:r>
        <w:rPr/>
        <w:t>match</w:t>
      </w:r>
      <w:r>
        <w:rPr>
          <w:spacing w:val="-8"/>
        </w:rPr>
        <w:t> </w:t>
      </w:r>
      <w:r>
        <w:rPr/>
        <w:t>events </w:t>
      </w:r>
      <w:r>
        <w:rPr>
          <w:spacing w:val="-4"/>
        </w:rPr>
        <w:t>data</w:t>
      </w:r>
    </w:p>
    <w:p>
      <w:pPr>
        <w:pStyle w:val="BodyText"/>
        <w:spacing w:line="312" w:lineRule="auto" w:before="113"/>
        <w:ind w:left="610"/>
      </w:pPr>
      <w:r>
        <w:rPr>
          <w:b/>
          <w:spacing w:val="-2"/>
        </w:rPr>
        <w:t>Keywords:</w:t>
      </w:r>
      <w:r>
        <w:rPr>
          <w:b/>
          <w:spacing w:val="14"/>
        </w:rPr>
        <w:t> </w:t>
      </w:r>
      <w:r>
        <w:rPr>
          <w:spacing w:val="-2"/>
        </w:rPr>
        <w:t>rugby</w:t>
      </w:r>
      <w:r>
        <w:rPr>
          <w:spacing w:val="-9"/>
        </w:rPr>
        <w:t> </w:t>
      </w:r>
      <w:r>
        <w:rPr>
          <w:spacing w:val="-2"/>
        </w:rPr>
        <w:t>league,</w:t>
      </w:r>
      <w:r>
        <w:rPr>
          <w:spacing w:val="-6"/>
        </w:rPr>
        <w:t> </w:t>
      </w:r>
      <w:r>
        <w:rPr>
          <w:spacing w:val="-2"/>
        </w:rPr>
        <w:t>performance</w:t>
      </w:r>
      <w:r>
        <w:rPr>
          <w:spacing w:val="-9"/>
        </w:rPr>
        <w:t> </w:t>
      </w:r>
      <w:r>
        <w:rPr>
          <w:spacing w:val="-2"/>
        </w:rPr>
        <w:t>analysis,</w:t>
      </w:r>
      <w:r>
        <w:rPr>
          <w:spacing w:val="-6"/>
        </w:rPr>
        <w:t> </w:t>
      </w:r>
      <w:r>
        <w:rPr>
          <w:spacing w:val="-2"/>
        </w:rPr>
        <w:t>markov,</w:t>
      </w:r>
      <w:r>
        <w:rPr>
          <w:spacing w:val="-6"/>
        </w:rPr>
        <w:t> </w:t>
      </w:r>
      <w:r>
        <w:rPr>
          <w:spacing w:val="-2"/>
        </w:rPr>
        <w:t>kernel</w:t>
      </w:r>
      <w:r>
        <w:rPr>
          <w:spacing w:val="-9"/>
        </w:rPr>
        <w:t> </w:t>
      </w:r>
      <w:r>
        <w:rPr>
          <w:spacing w:val="-2"/>
        </w:rPr>
        <w:t>density</w:t>
      </w:r>
      <w:r>
        <w:rPr>
          <w:spacing w:val="-9"/>
        </w:rPr>
        <w:t> </w:t>
      </w:r>
      <w:r>
        <w:rPr>
          <w:spacing w:val="-2"/>
        </w:rPr>
        <w:t>estimation,</w:t>
      </w:r>
      <w:r>
        <w:rPr>
          <w:spacing w:val="-6"/>
        </w:rPr>
        <w:t> </w:t>
      </w:r>
      <w:r>
        <w:rPr>
          <w:spacing w:val="-2"/>
        </w:rPr>
        <w:t>wasser- </w:t>
      </w:r>
      <w:r>
        <w:rPr/>
        <w:t>stein distance, bayesian</w:t>
      </w:r>
    </w:p>
    <w:p>
      <w:pPr>
        <w:pStyle w:val="BodyText"/>
        <w:rPr>
          <w:sz w:val="28"/>
        </w:rPr>
      </w:pPr>
    </w:p>
    <w:p>
      <w:pPr>
        <w:pStyle w:val="BodyText"/>
        <w:rPr>
          <w:sz w:val="28"/>
        </w:rPr>
      </w:pPr>
    </w:p>
    <w:p>
      <w:pPr>
        <w:pStyle w:val="BodyText"/>
        <w:spacing w:before="1"/>
        <w:rPr>
          <w:sz w:val="27"/>
        </w:rPr>
      </w:pPr>
    </w:p>
    <w:p>
      <w:pPr>
        <w:pStyle w:val="Heading2"/>
        <w:spacing w:before="1"/>
        <w:ind w:left="757" w:right="538" w:firstLine="0"/>
        <w:jc w:val="center"/>
      </w:pPr>
      <w:r>
        <w:rPr>
          <w:spacing w:val="-2"/>
        </w:rPr>
        <w:t>Abstract</w:t>
      </w:r>
    </w:p>
    <w:p>
      <w:pPr>
        <w:pStyle w:val="BodyText"/>
        <w:rPr>
          <w:b/>
          <w:sz w:val="44"/>
        </w:rPr>
      </w:pPr>
    </w:p>
    <w:p>
      <w:pPr>
        <w:pStyle w:val="BodyText"/>
        <w:spacing w:line="312" w:lineRule="auto" w:before="296"/>
        <w:ind w:left="1195" w:right="974"/>
        <w:jc w:val="both"/>
      </w:pPr>
      <w:r>
        <w:rPr/>
        <w:t>The ability to accurately evaluate player and team performances in </w:t>
      </w:r>
      <w:r>
        <w:rPr/>
        <w:t>profes- sional sport is particularly valuable.</w:t>
      </w:r>
      <w:r>
        <w:rPr>
          <w:spacing w:val="40"/>
        </w:rPr>
        <w:t> </w:t>
      </w:r>
      <w:r>
        <w:rPr/>
        <w:t>Doing so provides competitive advan- tages include extracting important information regarding the tactical strate- gies of future oppositions and producing player rating systems.</w:t>
      </w:r>
      <w:r>
        <w:rPr>
          <w:spacing w:val="40"/>
        </w:rPr>
        <w:t> </w:t>
      </w:r>
      <w:r>
        <w:rPr/>
        <w:t>A common method of evaluating player and team performances is via expected posses- sion</w:t>
      </w:r>
      <w:r>
        <w:rPr>
          <w:spacing w:val="-15"/>
        </w:rPr>
        <w:t> </w:t>
      </w:r>
      <w:r>
        <w:rPr/>
        <w:t>value</w:t>
      </w:r>
      <w:r>
        <w:rPr>
          <w:spacing w:val="-15"/>
        </w:rPr>
        <w:t> </w:t>
      </w:r>
      <w:r>
        <w:rPr/>
        <w:t>(EPV)</w:t>
      </w:r>
      <w:r>
        <w:rPr>
          <w:spacing w:val="-15"/>
        </w:rPr>
        <w:t> </w:t>
      </w:r>
      <w:r>
        <w:rPr/>
        <w:t>models.</w:t>
      </w:r>
      <w:r>
        <w:rPr>
          <w:spacing w:val="-15"/>
        </w:rPr>
        <w:t> </w:t>
      </w:r>
      <w:r>
        <w:rPr/>
        <w:t>EPV</w:t>
      </w:r>
      <w:r>
        <w:rPr>
          <w:spacing w:val="-15"/>
        </w:rPr>
        <w:t> </w:t>
      </w:r>
      <w:r>
        <w:rPr/>
        <w:t>models</w:t>
      </w:r>
      <w:r>
        <w:rPr>
          <w:spacing w:val="-15"/>
        </w:rPr>
        <w:t> </w:t>
      </w:r>
      <w:r>
        <w:rPr/>
        <w:t>assign</w:t>
      </w:r>
      <w:r>
        <w:rPr>
          <w:spacing w:val="-15"/>
        </w:rPr>
        <w:t> </w:t>
      </w:r>
      <w:r>
        <w:rPr/>
        <w:t>a</w:t>
      </w:r>
      <w:r>
        <w:rPr>
          <w:spacing w:val="-15"/>
        </w:rPr>
        <w:t> </w:t>
      </w:r>
      <w:r>
        <w:rPr/>
        <w:t>value</w:t>
      </w:r>
      <w:r>
        <w:rPr>
          <w:spacing w:val="-15"/>
        </w:rPr>
        <w:t> </w:t>
      </w:r>
      <w:r>
        <w:rPr/>
        <w:t>to</w:t>
      </w:r>
      <w:r>
        <w:rPr>
          <w:spacing w:val="-15"/>
        </w:rPr>
        <w:t> </w:t>
      </w:r>
      <w:r>
        <w:rPr/>
        <w:t>every</w:t>
      </w:r>
      <w:r>
        <w:rPr>
          <w:spacing w:val="-15"/>
        </w:rPr>
        <w:t> </w:t>
      </w:r>
      <w:r>
        <w:rPr/>
        <w:t>location</w:t>
      </w:r>
      <w:r>
        <w:rPr>
          <w:spacing w:val="-15"/>
        </w:rPr>
        <w:t> </w:t>
      </w:r>
      <w:r>
        <w:rPr/>
        <w:t>and/or action on the pitch, which reflects the probability of points being scored within a given time period.</w:t>
      </w:r>
    </w:p>
    <w:p>
      <w:pPr>
        <w:pStyle w:val="BodyText"/>
        <w:spacing w:line="312" w:lineRule="auto" w:before="98"/>
        <w:ind w:left="1195" w:right="974"/>
        <w:jc w:val="both"/>
      </w:pPr>
      <w:r>
        <w:rPr/>
        <w:t>EPV models have been produced in several sports, including football, bas- ketball</w:t>
      </w:r>
      <w:r>
        <w:rPr>
          <w:spacing w:val="-7"/>
        </w:rPr>
        <w:t> </w:t>
      </w:r>
      <w:r>
        <w:rPr/>
        <w:t>and</w:t>
      </w:r>
      <w:r>
        <w:rPr>
          <w:spacing w:val="-7"/>
        </w:rPr>
        <w:t> </w:t>
      </w:r>
      <w:r>
        <w:rPr/>
        <w:t>ice</w:t>
      </w:r>
      <w:r>
        <w:rPr>
          <w:spacing w:val="-6"/>
        </w:rPr>
        <w:t> </w:t>
      </w:r>
      <w:r>
        <w:rPr/>
        <w:t>hockey. However,</w:t>
      </w:r>
      <w:r>
        <w:rPr>
          <w:spacing w:val="-5"/>
        </w:rPr>
        <w:t> </w:t>
      </w:r>
      <w:r>
        <w:rPr/>
        <w:t>there</w:t>
      </w:r>
      <w:r>
        <w:rPr>
          <w:spacing w:val="-7"/>
        </w:rPr>
        <w:t> </w:t>
      </w:r>
      <w:r>
        <w:rPr/>
        <w:t>is</w:t>
      </w:r>
      <w:r>
        <w:rPr>
          <w:spacing w:val="-7"/>
        </w:rPr>
        <w:t> </w:t>
      </w:r>
      <w:r>
        <w:rPr/>
        <w:t>limited</w:t>
      </w:r>
      <w:r>
        <w:rPr>
          <w:spacing w:val="-6"/>
        </w:rPr>
        <w:t> </w:t>
      </w:r>
      <w:r>
        <w:rPr/>
        <w:t>research</w:t>
      </w:r>
      <w:r>
        <w:rPr>
          <w:spacing w:val="-7"/>
        </w:rPr>
        <w:t> </w:t>
      </w:r>
      <w:r>
        <w:rPr/>
        <w:t>surrounding</w:t>
      </w:r>
      <w:r>
        <w:rPr>
          <w:spacing w:val="-7"/>
        </w:rPr>
        <w:t> </w:t>
      </w:r>
      <w:r>
        <w:rPr/>
        <w:t>these models in rugby league.</w:t>
      </w:r>
      <w:r>
        <w:rPr>
          <w:spacing w:val="25"/>
        </w:rPr>
        <w:t> </w:t>
      </w:r>
      <w:r>
        <w:rPr/>
        <w:t>Rugby league has a unique set of rules, including </w:t>
      </w:r>
      <w:r>
        <w:rPr/>
        <w:t>a six tackle attacking set and five possible scoring options at the end of a pos- session.</w:t>
      </w:r>
      <w:r>
        <w:rPr>
          <w:spacing w:val="40"/>
        </w:rPr>
        <w:t> </w:t>
      </w:r>
      <w:r>
        <w:rPr/>
        <w:t>These two factors, alongside the poor data availability in the sport ensure that the majority of previous methods cannot be adapted for use in rugby league.</w:t>
      </w:r>
      <w:r>
        <w:rPr>
          <w:spacing w:val="40"/>
        </w:rPr>
        <w:t> </w:t>
      </w:r>
      <w:r>
        <w:rPr/>
        <w:t>Therefore the aim of this thesis was to develop new method- ologies evaluating player and team performances in rugby league.</w:t>
      </w:r>
    </w:p>
    <w:p>
      <w:pPr>
        <w:pStyle w:val="BodyText"/>
        <w:spacing w:line="312" w:lineRule="auto" w:before="98"/>
        <w:ind w:left="1195" w:right="974"/>
        <w:jc w:val="both"/>
      </w:pPr>
      <w:r>
        <w:rPr/>
        <w:t>In the first section of this thesis (studies 1 and 2), previous Markov models using zonal approaches were applied, adapted and extended in rugby </w:t>
      </w:r>
      <w:r>
        <w:rPr/>
        <w:t>league to provide insights into player and team performances.</w:t>
      </w:r>
      <w:r>
        <w:rPr>
          <w:spacing w:val="40"/>
        </w:rPr>
        <w:t> </w:t>
      </w:r>
      <w:r>
        <w:rPr/>
        <w:t>Six EPV models were</w:t>
      </w:r>
      <w:r>
        <w:rPr>
          <w:spacing w:val="-15"/>
        </w:rPr>
        <w:t> </w:t>
      </w:r>
      <w:r>
        <w:rPr/>
        <w:t>produced</w:t>
      </w:r>
      <w:r>
        <w:rPr>
          <w:spacing w:val="-15"/>
        </w:rPr>
        <w:t> </w:t>
      </w:r>
      <w:r>
        <w:rPr/>
        <w:t>with</w:t>
      </w:r>
      <w:r>
        <w:rPr>
          <w:spacing w:val="-15"/>
        </w:rPr>
        <w:t> </w:t>
      </w:r>
      <w:r>
        <w:rPr/>
        <w:t>varying</w:t>
      </w:r>
      <w:r>
        <w:rPr>
          <w:spacing w:val="-15"/>
        </w:rPr>
        <w:t> </w:t>
      </w:r>
      <w:r>
        <w:rPr/>
        <w:t>zone</w:t>
      </w:r>
      <w:r>
        <w:rPr>
          <w:spacing w:val="-15"/>
        </w:rPr>
        <w:t> </w:t>
      </w:r>
      <w:r>
        <w:rPr/>
        <w:t>sizes</w:t>
      </w:r>
      <w:r>
        <w:rPr>
          <w:spacing w:val="-14"/>
        </w:rPr>
        <w:t> </w:t>
      </w:r>
      <w:r>
        <w:rPr/>
        <w:t>using</w:t>
      </w:r>
      <w:r>
        <w:rPr>
          <w:spacing w:val="-14"/>
        </w:rPr>
        <w:t> </w:t>
      </w:r>
      <w:r>
        <w:rPr/>
        <w:t>Markov</w:t>
      </w:r>
      <w:r>
        <w:rPr>
          <w:spacing w:val="-15"/>
        </w:rPr>
        <w:t> </w:t>
      </w:r>
      <w:r>
        <w:rPr/>
        <w:t>Reward</w:t>
      </w:r>
      <w:r>
        <w:rPr>
          <w:spacing w:val="-15"/>
        </w:rPr>
        <w:t> </w:t>
      </w:r>
      <w:r>
        <w:rPr/>
        <w:t>Processes. The </w:t>
      </w:r>
      <w:r>
        <w:rPr>
          <w:spacing w:val="-2"/>
        </w:rPr>
        <w:t>Kullback-Leibler</w:t>
      </w:r>
      <w:r>
        <w:rPr>
          <w:spacing w:val="-9"/>
        </w:rPr>
        <w:t> </w:t>
      </w:r>
      <w:r>
        <w:rPr>
          <w:spacing w:val="-2"/>
        </w:rPr>
        <w:t>Divergence</w:t>
      </w:r>
      <w:r>
        <w:rPr>
          <w:spacing w:val="-9"/>
        </w:rPr>
        <w:t> </w:t>
      </w:r>
      <w:r>
        <w:rPr>
          <w:spacing w:val="-2"/>
        </w:rPr>
        <w:t>was</w:t>
      </w:r>
      <w:r>
        <w:rPr>
          <w:spacing w:val="-9"/>
        </w:rPr>
        <w:t> </w:t>
      </w:r>
      <w:r>
        <w:rPr>
          <w:spacing w:val="-2"/>
        </w:rPr>
        <w:t>used</w:t>
      </w:r>
      <w:r>
        <w:rPr>
          <w:spacing w:val="-9"/>
        </w:rPr>
        <w:t> </w:t>
      </w:r>
      <w:r>
        <w:rPr>
          <w:spacing w:val="-2"/>
        </w:rPr>
        <w:t>to</w:t>
      </w:r>
      <w:r>
        <w:rPr>
          <w:spacing w:val="-9"/>
        </w:rPr>
        <w:t> </w:t>
      </w:r>
      <w:r>
        <w:rPr>
          <w:spacing w:val="-2"/>
        </w:rPr>
        <w:t>evaluate</w:t>
      </w:r>
      <w:r>
        <w:rPr>
          <w:spacing w:val="-9"/>
        </w:rPr>
        <w:t> </w:t>
      </w:r>
      <w:r>
        <w:rPr>
          <w:spacing w:val="-2"/>
        </w:rPr>
        <w:t>the</w:t>
      </w:r>
      <w:r>
        <w:rPr>
          <w:spacing w:val="-8"/>
        </w:rPr>
        <w:t> </w:t>
      </w:r>
      <w:r>
        <w:rPr>
          <w:spacing w:val="-2"/>
        </w:rPr>
        <w:t>zone</w:t>
      </w:r>
      <w:r>
        <w:rPr>
          <w:spacing w:val="-9"/>
        </w:rPr>
        <w:t> </w:t>
      </w:r>
      <w:r>
        <w:rPr>
          <w:spacing w:val="-2"/>
        </w:rPr>
        <w:t>sizes</w:t>
      </w:r>
      <w:r>
        <w:rPr>
          <w:spacing w:val="-9"/>
        </w:rPr>
        <w:t> </w:t>
      </w:r>
      <w:r>
        <w:rPr>
          <w:spacing w:val="-2"/>
        </w:rPr>
        <w:t>which</w:t>
      </w:r>
      <w:r>
        <w:rPr>
          <w:spacing w:val="-9"/>
        </w:rPr>
        <w:t> </w:t>
      </w:r>
      <w:r>
        <w:rPr>
          <w:spacing w:val="-2"/>
        </w:rPr>
        <w:t>could</w:t>
      </w:r>
    </w:p>
    <w:p>
      <w:pPr>
        <w:spacing w:after="0" w:line="312" w:lineRule="auto"/>
        <w:jc w:val="both"/>
        <w:sectPr>
          <w:footerReference w:type="default" r:id="rId5"/>
          <w:pgSz w:w="11910" w:h="16840"/>
          <w:pgMar w:footer="1428" w:header="0" w:top="1920" w:bottom="1620" w:left="1680" w:right="720"/>
          <w:pgNumType w:start="1"/>
        </w:sectPr>
      </w:pPr>
    </w:p>
    <w:p>
      <w:pPr>
        <w:pStyle w:val="BodyText"/>
        <w:spacing w:before="11"/>
        <w:rPr>
          <w:sz w:val="29"/>
        </w:rPr>
      </w:pPr>
    </w:p>
    <w:p>
      <w:pPr>
        <w:pStyle w:val="BodyText"/>
        <w:spacing w:line="20" w:lineRule="exact"/>
        <w:ind w:left="610"/>
        <w:rPr>
          <w:sz w:val="2"/>
        </w:rPr>
      </w:pPr>
      <w:r>
        <w:rPr>
          <w:sz w:val="2"/>
        </w:rPr>
        <w:pict>
          <v:group style="width:425.2pt;height:.5pt;mso-position-horizontal-relative:char;mso-position-vertical-relative:line" id="docshapegroup2" coordorigin="0,0" coordsize="8504,10">
            <v:line style="position:absolute" from="0,5" to="8504,5" stroked="true" strokeweight=".498pt" strokecolor="#000000">
              <v:stroke dashstyle="solid"/>
            </v:line>
          </v:group>
        </w:pict>
      </w:r>
      <w:r>
        <w:rPr>
          <w:sz w:val="2"/>
        </w:rPr>
      </w:r>
    </w:p>
    <w:p>
      <w:pPr>
        <w:pStyle w:val="BodyText"/>
        <w:rPr>
          <w:sz w:val="20"/>
        </w:rPr>
      </w:pPr>
    </w:p>
    <w:p>
      <w:pPr>
        <w:pStyle w:val="BodyText"/>
        <w:rPr>
          <w:sz w:val="20"/>
        </w:rPr>
      </w:pPr>
    </w:p>
    <w:p>
      <w:pPr>
        <w:pStyle w:val="BodyText"/>
        <w:spacing w:line="312" w:lineRule="auto" w:before="97"/>
        <w:ind w:left="1195" w:right="974"/>
        <w:jc w:val="both"/>
      </w:pPr>
      <w:r>
        <w:rPr/>
        <w:t>reproduce</w:t>
      </w:r>
      <w:r>
        <w:rPr>
          <w:spacing w:val="-15"/>
        </w:rPr>
        <w:t> </w:t>
      </w:r>
      <w:r>
        <w:rPr/>
        <w:t>future</w:t>
      </w:r>
      <w:r>
        <w:rPr>
          <w:spacing w:val="-15"/>
        </w:rPr>
        <w:t> </w:t>
      </w:r>
      <w:r>
        <w:rPr/>
        <w:t>team</w:t>
      </w:r>
      <w:r>
        <w:rPr>
          <w:spacing w:val="-15"/>
        </w:rPr>
        <w:t> </w:t>
      </w:r>
      <w:r>
        <w:rPr/>
        <w:t>attacking</w:t>
      </w:r>
      <w:r>
        <w:rPr>
          <w:spacing w:val="-15"/>
        </w:rPr>
        <w:t> </w:t>
      </w:r>
      <w:r>
        <w:rPr/>
        <w:t>performances. The</w:t>
      </w:r>
      <w:r>
        <w:rPr>
          <w:spacing w:val="-15"/>
        </w:rPr>
        <w:t> </w:t>
      </w:r>
      <w:r>
        <w:rPr/>
        <w:t>model</w:t>
      </w:r>
      <w:r>
        <w:rPr>
          <w:spacing w:val="-15"/>
        </w:rPr>
        <w:t> </w:t>
      </w:r>
      <w:r>
        <w:rPr/>
        <w:t>was</w:t>
      </w:r>
      <w:r>
        <w:rPr>
          <w:spacing w:val="-15"/>
        </w:rPr>
        <w:t> </w:t>
      </w:r>
      <w:r>
        <w:rPr/>
        <w:t>then</w:t>
      </w:r>
      <w:r>
        <w:rPr>
          <w:spacing w:val="-15"/>
        </w:rPr>
        <w:t> </w:t>
      </w:r>
      <w:r>
        <w:rPr/>
        <w:t>extended to incorporate actions and context nodes using Markov Decision </w:t>
      </w:r>
      <w:r>
        <w:rPr/>
        <w:t>Processes. Novel methods of evaluating player and team performances were also pro- </w:t>
      </w:r>
      <w:r>
        <w:rPr>
          <w:spacing w:val="-2"/>
        </w:rPr>
        <w:t>duced.</w:t>
      </w:r>
    </w:p>
    <w:p>
      <w:pPr>
        <w:pStyle w:val="BodyText"/>
        <w:spacing w:line="312" w:lineRule="auto" w:before="98"/>
        <w:ind w:left="1195" w:right="974"/>
        <w:jc w:val="both"/>
      </w:pPr>
      <w:r>
        <w:rPr/>
        <w:t>In</w:t>
      </w:r>
      <w:r>
        <w:rPr>
          <w:spacing w:val="-10"/>
        </w:rPr>
        <w:t> </w:t>
      </w:r>
      <w:r>
        <w:rPr/>
        <w:t>the</w:t>
      </w:r>
      <w:r>
        <w:rPr>
          <w:spacing w:val="-10"/>
        </w:rPr>
        <w:t> </w:t>
      </w:r>
      <w:r>
        <w:rPr/>
        <w:t>second</w:t>
      </w:r>
      <w:r>
        <w:rPr>
          <w:spacing w:val="-10"/>
        </w:rPr>
        <w:t> </w:t>
      </w:r>
      <w:r>
        <w:rPr/>
        <w:t>section</w:t>
      </w:r>
      <w:r>
        <w:rPr>
          <w:spacing w:val="-10"/>
        </w:rPr>
        <w:t> </w:t>
      </w:r>
      <w:r>
        <w:rPr/>
        <w:t>(studies</w:t>
      </w:r>
      <w:r>
        <w:rPr>
          <w:spacing w:val="-10"/>
        </w:rPr>
        <w:t> </w:t>
      </w:r>
      <w:r>
        <w:rPr/>
        <w:t>3</w:t>
      </w:r>
      <w:r>
        <w:rPr>
          <w:spacing w:val="-10"/>
        </w:rPr>
        <w:t> </w:t>
      </w:r>
      <w:r>
        <w:rPr/>
        <w:t>and</w:t>
      </w:r>
      <w:r>
        <w:rPr>
          <w:spacing w:val="-10"/>
        </w:rPr>
        <w:t> </w:t>
      </w:r>
      <w:r>
        <w:rPr/>
        <w:t>4),</w:t>
      </w:r>
      <w:r>
        <w:rPr>
          <w:spacing w:val="-9"/>
        </w:rPr>
        <w:t> </w:t>
      </w:r>
      <w:r>
        <w:rPr/>
        <w:t>novel</w:t>
      </w:r>
      <w:r>
        <w:rPr>
          <w:spacing w:val="-10"/>
        </w:rPr>
        <w:t> </w:t>
      </w:r>
      <w:r>
        <w:rPr/>
        <w:t>models</w:t>
      </w:r>
      <w:r>
        <w:rPr>
          <w:spacing w:val="-10"/>
        </w:rPr>
        <w:t> </w:t>
      </w:r>
      <w:r>
        <w:rPr/>
        <w:t>producing</w:t>
      </w:r>
      <w:r>
        <w:rPr>
          <w:spacing w:val="-10"/>
        </w:rPr>
        <w:t> </w:t>
      </w:r>
      <w:r>
        <w:rPr/>
        <w:t>smooth</w:t>
      </w:r>
      <w:r>
        <w:rPr>
          <w:spacing w:val="-10"/>
        </w:rPr>
        <w:t> </w:t>
      </w:r>
      <w:r>
        <w:rPr/>
        <w:t>pitch surfaces were developed.</w:t>
      </w:r>
      <w:r>
        <w:rPr>
          <w:spacing w:val="26"/>
        </w:rPr>
        <w:t> </w:t>
      </w:r>
      <w:r>
        <w:rPr/>
        <w:t>The</w:t>
      </w:r>
      <w:r>
        <w:rPr>
          <w:spacing w:val="-1"/>
        </w:rPr>
        <w:t> </w:t>
      </w:r>
      <w:r>
        <w:rPr/>
        <w:t>spatial trends</w:t>
      </w:r>
      <w:r>
        <w:rPr>
          <w:spacing w:val="-1"/>
        </w:rPr>
        <w:t> </w:t>
      </w:r>
      <w:r>
        <w:rPr/>
        <w:t>of team attacking</w:t>
      </w:r>
      <w:r>
        <w:rPr>
          <w:spacing w:val="-1"/>
        </w:rPr>
        <w:t> </w:t>
      </w:r>
      <w:r>
        <w:rPr/>
        <w:t>performances were</w:t>
      </w:r>
      <w:r>
        <w:rPr>
          <w:spacing w:val="-15"/>
        </w:rPr>
        <w:t> </w:t>
      </w:r>
      <w:r>
        <w:rPr/>
        <w:t>evaluated</w:t>
      </w:r>
      <w:r>
        <w:rPr>
          <w:spacing w:val="-15"/>
        </w:rPr>
        <w:t> </w:t>
      </w:r>
      <w:r>
        <w:rPr/>
        <w:t>using</w:t>
      </w:r>
      <w:r>
        <w:rPr>
          <w:spacing w:val="-15"/>
        </w:rPr>
        <w:t> </w:t>
      </w:r>
      <w:r>
        <w:rPr/>
        <w:t>Kernel</w:t>
      </w:r>
      <w:r>
        <w:rPr>
          <w:spacing w:val="-15"/>
        </w:rPr>
        <w:t> </w:t>
      </w:r>
      <w:r>
        <w:rPr/>
        <w:t>Density</w:t>
      </w:r>
      <w:r>
        <w:rPr>
          <w:spacing w:val="-15"/>
        </w:rPr>
        <w:t> </w:t>
      </w:r>
      <w:r>
        <w:rPr/>
        <w:t>Estimation.</w:t>
      </w:r>
      <w:r>
        <w:rPr>
          <w:spacing w:val="-15"/>
        </w:rPr>
        <w:t> </w:t>
      </w:r>
      <w:r>
        <w:rPr/>
        <w:t>Two</w:t>
      </w:r>
      <w:r>
        <w:rPr>
          <w:spacing w:val="-15"/>
        </w:rPr>
        <w:t> </w:t>
      </w:r>
      <w:r>
        <w:rPr/>
        <w:t>novel</w:t>
      </w:r>
      <w:r>
        <w:rPr>
          <w:spacing w:val="-15"/>
        </w:rPr>
        <w:t> </w:t>
      </w:r>
      <w:r>
        <w:rPr/>
        <w:t>Wasserstein</w:t>
      </w:r>
      <w:r>
        <w:rPr>
          <w:spacing w:val="-15"/>
        </w:rPr>
        <w:t> </w:t>
      </w:r>
      <w:r>
        <w:rPr/>
        <w:t>dis- tance</w:t>
      </w:r>
      <w:r>
        <w:rPr>
          <w:spacing w:val="-11"/>
        </w:rPr>
        <w:t> </w:t>
      </w:r>
      <w:r>
        <w:rPr/>
        <w:t>metrics</w:t>
      </w:r>
      <w:r>
        <w:rPr>
          <w:spacing w:val="-11"/>
        </w:rPr>
        <w:t> </w:t>
      </w:r>
      <w:r>
        <w:rPr/>
        <w:t>were</w:t>
      </w:r>
      <w:r>
        <w:rPr>
          <w:spacing w:val="-11"/>
        </w:rPr>
        <w:t> </w:t>
      </w:r>
      <w:r>
        <w:rPr/>
        <w:t>used</w:t>
      </w:r>
      <w:r>
        <w:rPr>
          <w:spacing w:val="-11"/>
        </w:rPr>
        <w:t> </w:t>
      </w:r>
      <w:r>
        <w:rPr/>
        <w:t>to</w:t>
      </w:r>
      <w:r>
        <w:rPr>
          <w:spacing w:val="-11"/>
        </w:rPr>
        <w:t> </w:t>
      </w:r>
      <w:r>
        <w:rPr/>
        <w:t>provide</w:t>
      </w:r>
      <w:r>
        <w:rPr>
          <w:spacing w:val="-11"/>
        </w:rPr>
        <w:t> </w:t>
      </w:r>
      <w:r>
        <w:rPr/>
        <w:t>valuable</w:t>
      </w:r>
      <w:r>
        <w:rPr>
          <w:spacing w:val="-11"/>
        </w:rPr>
        <w:t> </w:t>
      </w:r>
      <w:r>
        <w:rPr/>
        <w:t>insights</w:t>
      </w:r>
      <w:r>
        <w:rPr>
          <w:spacing w:val="-11"/>
        </w:rPr>
        <w:t> </w:t>
      </w:r>
      <w:r>
        <w:rPr/>
        <w:t>into</w:t>
      </w:r>
      <w:r>
        <w:rPr>
          <w:spacing w:val="-11"/>
        </w:rPr>
        <w:t> </w:t>
      </w:r>
      <w:r>
        <w:rPr/>
        <w:t>team</w:t>
      </w:r>
      <w:r>
        <w:rPr>
          <w:spacing w:val="-11"/>
        </w:rPr>
        <w:t> </w:t>
      </w:r>
      <w:r>
        <w:rPr/>
        <w:t>performances. A novel approach to the estimation of individual possession outcomes was also</w:t>
      </w:r>
      <w:r>
        <w:rPr>
          <w:spacing w:val="-15"/>
        </w:rPr>
        <w:t> </w:t>
      </w:r>
      <w:r>
        <w:rPr/>
        <w:t>proposed</w:t>
      </w:r>
      <w:r>
        <w:rPr>
          <w:spacing w:val="-15"/>
        </w:rPr>
        <w:t> </w:t>
      </w:r>
      <w:r>
        <w:rPr/>
        <w:t>using</w:t>
      </w:r>
      <w:r>
        <w:rPr>
          <w:spacing w:val="-15"/>
        </w:rPr>
        <w:t> </w:t>
      </w:r>
      <w:r>
        <w:rPr/>
        <w:t>a</w:t>
      </w:r>
      <w:r>
        <w:rPr>
          <w:spacing w:val="-15"/>
        </w:rPr>
        <w:t> </w:t>
      </w:r>
      <w:r>
        <w:rPr/>
        <w:t>Bayesian</w:t>
      </w:r>
      <w:r>
        <w:rPr>
          <w:spacing w:val="-15"/>
        </w:rPr>
        <w:t> </w:t>
      </w:r>
      <w:r>
        <w:rPr/>
        <w:t>mixture</w:t>
      </w:r>
      <w:r>
        <w:rPr>
          <w:spacing w:val="-15"/>
        </w:rPr>
        <w:t> </w:t>
      </w:r>
      <w:r>
        <w:rPr/>
        <w:t>model</w:t>
      </w:r>
      <w:r>
        <w:rPr>
          <w:spacing w:val="-15"/>
        </w:rPr>
        <w:t> </w:t>
      </w:r>
      <w:r>
        <w:rPr/>
        <w:t>approach.</w:t>
      </w:r>
      <w:r>
        <w:rPr>
          <w:spacing w:val="-15"/>
        </w:rPr>
        <w:t> </w:t>
      </w:r>
      <w:r>
        <w:rPr/>
        <w:t>The</w:t>
      </w:r>
      <w:r>
        <w:rPr>
          <w:spacing w:val="-15"/>
        </w:rPr>
        <w:t> </w:t>
      </w:r>
      <w:r>
        <w:rPr/>
        <w:t>model</w:t>
      </w:r>
      <w:r>
        <w:rPr>
          <w:spacing w:val="-15"/>
        </w:rPr>
        <w:t> </w:t>
      </w:r>
      <w:r>
        <w:rPr/>
        <w:t>used</w:t>
      </w:r>
      <w:r>
        <w:rPr>
          <w:spacing w:val="-15"/>
        </w:rPr>
        <w:t> </w:t>
      </w:r>
      <w:r>
        <w:rPr/>
        <w:t>lin- ear</w:t>
      </w:r>
      <w:r>
        <w:rPr>
          <w:spacing w:val="-1"/>
        </w:rPr>
        <w:t> </w:t>
      </w:r>
      <w:r>
        <w:rPr/>
        <w:t>and</w:t>
      </w:r>
      <w:r>
        <w:rPr>
          <w:spacing w:val="-1"/>
        </w:rPr>
        <w:t> </w:t>
      </w:r>
      <w:r>
        <w:rPr/>
        <w:t>bilinear</w:t>
      </w:r>
      <w:r>
        <w:rPr>
          <w:spacing w:val="-1"/>
        </w:rPr>
        <w:t> </w:t>
      </w:r>
      <w:r>
        <w:rPr/>
        <w:t>interpolation</w:t>
      </w:r>
      <w:r>
        <w:rPr>
          <w:spacing w:val="-1"/>
        </w:rPr>
        <w:t> </w:t>
      </w:r>
      <w:r>
        <w:rPr/>
        <w:t>techniques</w:t>
      </w:r>
      <w:r>
        <w:rPr>
          <w:spacing w:val="-1"/>
        </w:rPr>
        <w:t> </w:t>
      </w:r>
      <w:r>
        <w:rPr/>
        <w:t>for</w:t>
      </w:r>
      <w:r>
        <w:rPr>
          <w:spacing w:val="-1"/>
        </w:rPr>
        <w:t> </w:t>
      </w:r>
      <w:r>
        <w:rPr/>
        <w:t>its</w:t>
      </w:r>
      <w:r>
        <w:rPr>
          <w:spacing w:val="-1"/>
        </w:rPr>
        <w:t> </w:t>
      </w:r>
      <w:r>
        <w:rPr/>
        <w:t>weights</w:t>
      </w:r>
      <w:r>
        <w:rPr>
          <w:spacing w:val="-1"/>
        </w:rPr>
        <w:t> </w:t>
      </w:r>
      <w:r>
        <w:rPr/>
        <w:t>to</w:t>
      </w:r>
      <w:r>
        <w:rPr>
          <w:spacing w:val="-1"/>
        </w:rPr>
        <w:t> </w:t>
      </w:r>
      <w:r>
        <w:rPr/>
        <w:t>produce</w:t>
      </w:r>
      <w:r>
        <w:rPr>
          <w:spacing w:val="-1"/>
        </w:rPr>
        <w:t> </w:t>
      </w:r>
      <w:r>
        <w:rPr/>
        <w:t>a</w:t>
      </w:r>
      <w:r>
        <w:rPr>
          <w:spacing w:val="-1"/>
        </w:rPr>
        <w:t> </w:t>
      </w:r>
      <w:r>
        <w:rPr/>
        <w:t>smooth pitch</w:t>
      </w:r>
      <w:r>
        <w:rPr>
          <w:spacing w:val="-8"/>
        </w:rPr>
        <w:t> </w:t>
      </w:r>
      <w:r>
        <w:rPr/>
        <w:t>surface. Novel</w:t>
      </w:r>
      <w:r>
        <w:rPr>
          <w:spacing w:val="-8"/>
        </w:rPr>
        <w:t> </w:t>
      </w:r>
      <w:r>
        <w:rPr/>
        <w:t>performance</w:t>
      </w:r>
      <w:r>
        <w:rPr>
          <w:spacing w:val="-9"/>
        </w:rPr>
        <w:t> </w:t>
      </w:r>
      <w:r>
        <w:rPr/>
        <w:t>metrics</w:t>
      </w:r>
      <w:r>
        <w:rPr>
          <w:spacing w:val="-8"/>
        </w:rPr>
        <w:t> </w:t>
      </w:r>
      <w:r>
        <w:rPr/>
        <w:t>evaluating</w:t>
      </w:r>
      <w:r>
        <w:rPr>
          <w:spacing w:val="-8"/>
        </w:rPr>
        <w:t> </w:t>
      </w:r>
      <w:r>
        <w:rPr/>
        <w:t>player</w:t>
      </w:r>
      <w:r>
        <w:rPr>
          <w:spacing w:val="-8"/>
        </w:rPr>
        <w:t> </w:t>
      </w:r>
      <w:r>
        <w:rPr/>
        <w:t>and</w:t>
      </w:r>
      <w:r>
        <w:rPr>
          <w:spacing w:val="-9"/>
        </w:rPr>
        <w:t> </w:t>
      </w:r>
      <w:r>
        <w:rPr/>
        <w:t>team</w:t>
      </w:r>
      <w:r>
        <w:rPr>
          <w:spacing w:val="-8"/>
        </w:rPr>
        <w:t> </w:t>
      </w:r>
      <w:r>
        <w:rPr/>
        <w:t>perfor- mances were also created.</w:t>
      </w:r>
    </w:p>
    <w:p>
      <w:pPr>
        <w:pStyle w:val="BodyText"/>
        <w:spacing w:line="312" w:lineRule="auto" w:before="98"/>
        <w:ind w:left="1195" w:right="974"/>
        <w:jc w:val="both"/>
      </w:pPr>
      <w:r>
        <w:rPr/>
        <w:t>The research provides new methodologies for use within rugby league, </w:t>
      </w:r>
      <w:r>
        <w:rPr/>
        <w:t>pro- viding zonal and smooth EPV models through which player and team per- formances can be evaluated.</w:t>
      </w:r>
      <w:r>
        <w:rPr>
          <w:spacing w:val="40"/>
        </w:rPr>
        <w:t> </w:t>
      </w:r>
      <w:r>
        <w:rPr/>
        <w:t>Professional experts were impressed with the results they provided and validated their use within the sport.</w:t>
      </w:r>
    </w:p>
    <w:p>
      <w:pPr>
        <w:spacing w:after="0" w:line="312" w:lineRule="auto"/>
        <w:jc w:val="both"/>
        <w:sectPr>
          <w:pgSz w:w="11910" w:h="16840"/>
          <w:pgMar w:header="0" w:footer="1428" w:top="192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7"/>
        </w:rPr>
      </w:pPr>
    </w:p>
    <w:p>
      <w:pPr>
        <w:pStyle w:val="Heading2"/>
        <w:spacing w:before="114"/>
        <w:ind w:left="757" w:right="538" w:firstLine="0"/>
        <w:jc w:val="center"/>
      </w:pPr>
      <w:r>
        <w:rPr>
          <w:spacing w:val="-2"/>
        </w:rPr>
        <w:t>Declaration</w:t>
      </w:r>
    </w:p>
    <w:p>
      <w:pPr>
        <w:pStyle w:val="BodyText"/>
        <w:rPr>
          <w:b/>
          <w:sz w:val="44"/>
        </w:rPr>
      </w:pPr>
    </w:p>
    <w:p>
      <w:pPr>
        <w:pStyle w:val="BodyText"/>
        <w:spacing w:line="312" w:lineRule="auto" w:before="356"/>
        <w:ind w:left="1195" w:right="974"/>
        <w:jc w:val="both"/>
      </w:pPr>
      <w:r>
        <w:rPr/>
        <w:t>The candidate confirms that the work submitted is his own and that </w:t>
      </w:r>
      <w:r>
        <w:rPr/>
        <w:t>appro- priate credit has been given where reference has been made to the work of </w:t>
      </w:r>
      <w:r>
        <w:rPr>
          <w:spacing w:val="-2"/>
        </w:rPr>
        <w:t>others.</w:t>
      </w:r>
    </w:p>
    <w:p>
      <w:pPr>
        <w:pStyle w:val="BodyText"/>
        <w:spacing w:before="11"/>
        <w:rPr>
          <w:sz w:val="25"/>
        </w:rPr>
      </w:pPr>
    </w:p>
    <w:p>
      <w:pPr>
        <w:spacing w:before="0"/>
        <w:ind w:left="0" w:right="978" w:firstLine="0"/>
        <w:jc w:val="right"/>
        <w:rPr>
          <w:i/>
          <w:sz w:val="24"/>
        </w:rPr>
      </w:pPr>
      <w:r>
        <w:rPr>
          <w:i/>
          <w:sz w:val="24"/>
        </w:rPr>
        <w:t>Thomas</w:t>
      </w:r>
      <w:r>
        <w:rPr>
          <w:i/>
          <w:spacing w:val="-9"/>
          <w:sz w:val="24"/>
        </w:rPr>
        <w:t> </w:t>
      </w:r>
      <w:r>
        <w:rPr>
          <w:i/>
          <w:spacing w:val="-2"/>
          <w:sz w:val="24"/>
        </w:rPr>
        <w:t>Sawczuk</w:t>
      </w:r>
    </w:p>
    <w:p>
      <w:pPr>
        <w:spacing w:after="0"/>
        <w:jc w:val="right"/>
        <w:rPr>
          <w:sz w:val="24"/>
        </w:rPr>
        <w:sectPr>
          <w:pgSz w:w="11910" w:h="16840"/>
          <w:pgMar w:header="0" w:footer="1428" w:top="1920" w:bottom="1620" w:left="1680" w:right="720"/>
        </w:sect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spacing w:before="3"/>
        <w:rPr>
          <w:i/>
          <w:sz w:val="27"/>
        </w:rPr>
      </w:pPr>
    </w:p>
    <w:p>
      <w:pPr>
        <w:pStyle w:val="Heading2"/>
        <w:spacing w:before="114"/>
        <w:ind w:left="757" w:right="538" w:firstLine="0"/>
        <w:jc w:val="center"/>
      </w:pPr>
      <w:r>
        <w:rPr>
          <w:spacing w:val="-2"/>
        </w:rPr>
        <w:t>Acknowledgements</w:t>
      </w:r>
    </w:p>
    <w:p>
      <w:pPr>
        <w:pStyle w:val="BodyText"/>
        <w:rPr>
          <w:b/>
          <w:sz w:val="44"/>
        </w:rPr>
      </w:pPr>
    </w:p>
    <w:p>
      <w:pPr>
        <w:pStyle w:val="BodyText"/>
        <w:spacing w:line="312" w:lineRule="auto" w:before="309"/>
        <w:ind w:left="1195" w:right="974"/>
        <w:jc w:val="both"/>
      </w:pPr>
      <w:r>
        <w:rPr/>
        <w:t>Doing</w:t>
      </w:r>
      <w:r>
        <w:rPr>
          <w:spacing w:val="-15"/>
        </w:rPr>
        <w:t> </w:t>
      </w:r>
      <w:r>
        <w:rPr/>
        <w:t>a</w:t>
      </w:r>
      <w:r>
        <w:rPr>
          <w:spacing w:val="-15"/>
        </w:rPr>
        <w:t> </w:t>
      </w:r>
      <w:r>
        <w:rPr/>
        <w:t>second</w:t>
      </w:r>
      <w:r>
        <w:rPr>
          <w:spacing w:val="-15"/>
        </w:rPr>
        <w:t> </w:t>
      </w:r>
      <w:r>
        <w:rPr/>
        <w:t>PhD</w:t>
      </w:r>
      <w:r>
        <w:rPr>
          <w:spacing w:val="-15"/>
        </w:rPr>
        <w:t> </w:t>
      </w:r>
      <w:r>
        <w:rPr/>
        <w:t>in</w:t>
      </w:r>
      <w:r>
        <w:rPr>
          <w:spacing w:val="-15"/>
        </w:rPr>
        <w:t> </w:t>
      </w:r>
      <w:r>
        <w:rPr/>
        <w:t>a</w:t>
      </w:r>
      <w:r>
        <w:rPr>
          <w:spacing w:val="-15"/>
        </w:rPr>
        <w:t> </w:t>
      </w:r>
      <w:r>
        <w:rPr/>
        <w:t>different</w:t>
      </w:r>
      <w:r>
        <w:rPr>
          <w:spacing w:val="-15"/>
        </w:rPr>
        <w:t> </w:t>
      </w:r>
      <w:r>
        <w:rPr/>
        <w:t>subject,</w:t>
      </w:r>
      <w:r>
        <w:rPr>
          <w:spacing w:val="-15"/>
        </w:rPr>
        <w:t> </w:t>
      </w:r>
      <w:r>
        <w:rPr/>
        <w:t>immediately</w:t>
      </w:r>
      <w:r>
        <w:rPr>
          <w:spacing w:val="-15"/>
        </w:rPr>
        <w:t> </w:t>
      </w:r>
      <w:r>
        <w:rPr/>
        <w:t>after</w:t>
      </w:r>
      <w:r>
        <w:rPr>
          <w:spacing w:val="-15"/>
        </w:rPr>
        <w:t> </w:t>
      </w:r>
      <w:r>
        <w:rPr/>
        <w:t>completing</w:t>
      </w:r>
      <w:r>
        <w:rPr>
          <w:spacing w:val="-15"/>
        </w:rPr>
        <w:t> </w:t>
      </w:r>
      <w:r>
        <w:rPr/>
        <w:t>your first, is hard.</w:t>
      </w:r>
      <w:r>
        <w:rPr>
          <w:spacing w:val="40"/>
        </w:rPr>
        <w:t> </w:t>
      </w:r>
      <w:r>
        <w:rPr/>
        <w:t>Starting it just before COVID-19 and the impact that had on everybody made it even harder.</w:t>
      </w:r>
      <w:r>
        <w:rPr>
          <w:spacing w:val="40"/>
        </w:rPr>
        <w:t> </w:t>
      </w:r>
      <w:r>
        <w:rPr/>
        <w:t>There were a number of occasions where I nearly</w:t>
      </w:r>
      <w:r>
        <w:rPr>
          <w:spacing w:val="-8"/>
        </w:rPr>
        <w:t> </w:t>
      </w:r>
      <w:r>
        <w:rPr/>
        <w:t>didn’t</w:t>
      </w:r>
      <w:r>
        <w:rPr>
          <w:spacing w:val="-8"/>
        </w:rPr>
        <w:t> </w:t>
      </w:r>
      <w:r>
        <w:rPr/>
        <w:t>make</w:t>
      </w:r>
      <w:r>
        <w:rPr>
          <w:spacing w:val="-8"/>
        </w:rPr>
        <w:t> </w:t>
      </w:r>
      <w:r>
        <w:rPr/>
        <w:t>it</w:t>
      </w:r>
      <w:r>
        <w:rPr>
          <w:spacing w:val="-8"/>
        </w:rPr>
        <w:t> </w:t>
      </w:r>
      <w:r>
        <w:rPr/>
        <w:t>and</w:t>
      </w:r>
      <w:r>
        <w:rPr>
          <w:spacing w:val="-8"/>
        </w:rPr>
        <w:t> </w:t>
      </w:r>
      <w:r>
        <w:rPr/>
        <w:t>the</w:t>
      </w:r>
      <w:r>
        <w:rPr>
          <w:spacing w:val="-8"/>
        </w:rPr>
        <w:t> </w:t>
      </w:r>
      <w:r>
        <w:rPr/>
        <w:t>truth</w:t>
      </w:r>
      <w:r>
        <w:rPr>
          <w:spacing w:val="-8"/>
        </w:rPr>
        <w:t> </w:t>
      </w:r>
      <w:r>
        <w:rPr/>
        <w:t>is</w:t>
      </w:r>
      <w:r>
        <w:rPr>
          <w:spacing w:val="-8"/>
        </w:rPr>
        <w:t> </w:t>
      </w:r>
      <w:r>
        <w:rPr/>
        <w:t>that</w:t>
      </w:r>
      <w:r>
        <w:rPr>
          <w:spacing w:val="-8"/>
        </w:rPr>
        <w:t> </w:t>
      </w:r>
      <w:r>
        <w:rPr/>
        <w:t>I</w:t>
      </w:r>
      <w:r>
        <w:rPr>
          <w:spacing w:val="-8"/>
        </w:rPr>
        <w:t> </w:t>
      </w:r>
      <w:r>
        <w:rPr/>
        <w:t>wouldn’t</w:t>
      </w:r>
      <w:r>
        <w:rPr>
          <w:spacing w:val="-8"/>
        </w:rPr>
        <w:t> </w:t>
      </w:r>
      <w:r>
        <w:rPr/>
        <w:t>have</w:t>
      </w:r>
      <w:r>
        <w:rPr>
          <w:spacing w:val="-8"/>
        </w:rPr>
        <w:t> </w:t>
      </w:r>
      <w:r>
        <w:rPr/>
        <w:t>made</w:t>
      </w:r>
      <w:r>
        <w:rPr>
          <w:spacing w:val="-8"/>
        </w:rPr>
        <w:t> </w:t>
      </w:r>
      <w:r>
        <w:rPr/>
        <w:t>it</w:t>
      </w:r>
      <w:r>
        <w:rPr>
          <w:spacing w:val="-8"/>
        </w:rPr>
        <w:t> </w:t>
      </w:r>
      <w:r>
        <w:rPr/>
        <w:t>without</w:t>
      </w:r>
      <w:r>
        <w:rPr>
          <w:spacing w:val="-8"/>
        </w:rPr>
        <w:t> </w:t>
      </w:r>
      <w:r>
        <w:rPr/>
        <w:t>the support that I had.</w:t>
      </w:r>
    </w:p>
    <w:p>
      <w:pPr>
        <w:pStyle w:val="BodyText"/>
        <w:spacing w:line="312" w:lineRule="auto" w:before="96"/>
        <w:ind w:left="1195" w:right="974"/>
        <w:jc w:val="both"/>
      </w:pPr>
      <w:r>
        <w:rPr/>
        <w:t>With</w:t>
      </w:r>
      <w:r>
        <w:rPr>
          <w:spacing w:val="-7"/>
        </w:rPr>
        <w:t> </w:t>
      </w:r>
      <w:r>
        <w:rPr/>
        <w:t>that</w:t>
      </w:r>
      <w:r>
        <w:rPr>
          <w:spacing w:val="-7"/>
        </w:rPr>
        <w:t> </w:t>
      </w:r>
      <w:r>
        <w:rPr/>
        <w:t>in</w:t>
      </w:r>
      <w:r>
        <w:rPr>
          <w:spacing w:val="-7"/>
        </w:rPr>
        <w:t> </w:t>
      </w:r>
      <w:r>
        <w:rPr/>
        <w:t>mind,</w:t>
      </w:r>
      <w:r>
        <w:rPr>
          <w:spacing w:val="-7"/>
        </w:rPr>
        <w:t> </w:t>
      </w:r>
      <w:r>
        <w:rPr/>
        <w:t>as</w:t>
      </w:r>
      <w:r>
        <w:rPr>
          <w:spacing w:val="-7"/>
        </w:rPr>
        <w:t> </w:t>
      </w:r>
      <w:r>
        <w:rPr/>
        <w:t>I</w:t>
      </w:r>
      <w:r>
        <w:rPr>
          <w:spacing w:val="-7"/>
        </w:rPr>
        <w:t> </w:t>
      </w:r>
      <w:r>
        <w:rPr/>
        <w:t>complete</w:t>
      </w:r>
      <w:r>
        <w:rPr>
          <w:spacing w:val="-7"/>
        </w:rPr>
        <w:t> </w:t>
      </w:r>
      <w:r>
        <w:rPr/>
        <w:t>my</w:t>
      </w:r>
      <w:r>
        <w:rPr>
          <w:spacing w:val="-7"/>
        </w:rPr>
        <w:t> </w:t>
      </w:r>
      <w:r>
        <w:rPr/>
        <w:t>PhD</w:t>
      </w:r>
      <w:r>
        <w:rPr>
          <w:spacing w:val="-7"/>
        </w:rPr>
        <w:t> </w:t>
      </w:r>
      <w:r>
        <w:rPr/>
        <w:t>journey,</w:t>
      </w:r>
      <w:r>
        <w:rPr>
          <w:spacing w:val="-7"/>
        </w:rPr>
        <w:t> </w:t>
      </w:r>
      <w:r>
        <w:rPr/>
        <w:t>I</w:t>
      </w:r>
      <w:r>
        <w:rPr>
          <w:spacing w:val="-7"/>
        </w:rPr>
        <w:t> </w:t>
      </w:r>
      <w:r>
        <w:rPr/>
        <w:t>have</w:t>
      </w:r>
      <w:r>
        <w:rPr>
          <w:spacing w:val="-7"/>
        </w:rPr>
        <w:t> </w:t>
      </w:r>
      <w:r>
        <w:rPr/>
        <w:t>to</w:t>
      </w:r>
      <w:r>
        <w:rPr>
          <w:spacing w:val="-7"/>
        </w:rPr>
        <w:t> </w:t>
      </w:r>
      <w:r>
        <w:rPr/>
        <w:t>acknowledge</w:t>
      </w:r>
      <w:r>
        <w:rPr>
          <w:spacing w:val="-7"/>
        </w:rPr>
        <w:t> </w:t>
      </w:r>
      <w:r>
        <w:rPr/>
        <w:t>my supervisors, Ben, Anna and Jan.</w:t>
      </w:r>
      <w:r>
        <w:rPr>
          <w:spacing w:val="23"/>
        </w:rPr>
        <w:t> </w:t>
      </w:r>
      <w:r>
        <w:rPr/>
        <w:t>Ben, thank you for seven years of trust and guidance across two PhDs.</w:t>
      </w:r>
      <w:r>
        <w:rPr>
          <w:spacing w:val="40"/>
        </w:rPr>
        <w:t> </w:t>
      </w:r>
      <w:r>
        <w:rPr/>
        <w:t>My life would look very different right now if you</w:t>
      </w:r>
      <w:r>
        <w:rPr>
          <w:spacing w:val="-8"/>
        </w:rPr>
        <w:t> </w:t>
      </w:r>
      <w:r>
        <w:rPr/>
        <w:t>hadn’t</w:t>
      </w:r>
      <w:r>
        <w:rPr>
          <w:spacing w:val="-8"/>
        </w:rPr>
        <w:t> </w:t>
      </w:r>
      <w:r>
        <w:rPr/>
        <w:t>taken</w:t>
      </w:r>
      <w:r>
        <w:rPr>
          <w:spacing w:val="-8"/>
        </w:rPr>
        <w:t> </w:t>
      </w:r>
      <w:r>
        <w:rPr/>
        <w:t>a</w:t>
      </w:r>
      <w:r>
        <w:rPr>
          <w:spacing w:val="-8"/>
        </w:rPr>
        <w:t> </w:t>
      </w:r>
      <w:r>
        <w:rPr/>
        <w:t>chance</w:t>
      </w:r>
      <w:r>
        <w:rPr>
          <w:spacing w:val="-8"/>
        </w:rPr>
        <w:t> </w:t>
      </w:r>
      <w:r>
        <w:rPr/>
        <w:t>on</w:t>
      </w:r>
      <w:r>
        <w:rPr>
          <w:spacing w:val="-8"/>
        </w:rPr>
        <w:t> </w:t>
      </w:r>
      <w:r>
        <w:rPr/>
        <w:t>me</w:t>
      </w:r>
      <w:r>
        <w:rPr>
          <w:spacing w:val="-8"/>
        </w:rPr>
        <w:t> </w:t>
      </w:r>
      <w:r>
        <w:rPr/>
        <w:t>in</w:t>
      </w:r>
      <w:r>
        <w:rPr>
          <w:spacing w:val="-8"/>
        </w:rPr>
        <w:t> </w:t>
      </w:r>
      <w:r>
        <w:rPr/>
        <w:t>2015</w:t>
      </w:r>
      <w:r>
        <w:rPr>
          <w:spacing w:val="-8"/>
        </w:rPr>
        <w:t> </w:t>
      </w:r>
      <w:r>
        <w:rPr/>
        <w:t>and</w:t>
      </w:r>
      <w:r>
        <w:rPr>
          <w:spacing w:val="-8"/>
        </w:rPr>
        <w:t> </w:t>
      </w:r>
      <w:r>
        <w:rPr/>
        <w:t>I’ll</w:t>
      </w:r>
      <w:r>
        <w:rPr>
          <w:spacing w:val="-8"/>
        </w:rPr>
        <w:t> </w:t>
      </w:r>
      <w:r>
        <w:rPr/>
        <w:t>never</w:t>
      </w:r>
      <w:r>
        <w:rPr>
          <w:spacing w:val="-8"/>
        </w:rPr>
        <w:t> </w:t>
      </w:r>
      <w:r>
        <w:rPr/>
        <w:t>forget</w:t>
      </w:r>
      <w:r>
        <w:rPr>
          <w:spacing w:val="-8"/>
        </w:rPr>
        <w:t> </w:t>
      </w:r>
      <w:r>
        <w:rPr/>
        <w:t>that. Anna</w:t>
      </w:r>
      <w:r>
        <w:rPr>
          <w:spacing w:val="-8"/>
        </w:rPr>
        <w:t> </w:t>
      </w:r>
      <w:r>
        <w:rPr/>
        <w:t>and Jan,</w:t>
      </w:r>
      <w:r>
        <w:rPr>
          <w:spacing w:val="-13"/>
        </w:rPr>
        <w:t> </w:t>
      </w:r>
      <w:r>
        <w:rPr/>
        <w:t>thank</w:t>
      </w:r>
      <w:r>
        <w:rPr>
          <w:spacing w:val="-15"/>
        </w:rPr>
        <w:t> </w:t>
      </w:r>
      <w:r>
        <w:rPr/>
        <w:t>you</w:t>
      </w:r>
      <w:r>
        <w:rPr>
          <w:spacing w:val="-15"/>
        </w:rPr>
        <w:t> </w:t>
      </w:r>
      <w:r>
        <w:rPr/>
        <w:t>for</w:t>
      </w:r>
      <w:r>
        <w:rPr>
          <w:spacing w:val="-15"/>
        </w:rPr>
        <w:t> </w:t>
      </w:r>
      <w:r>
        <w:rPr/>
        <w:t>everything</w:t>
      </w:r>
      <w:r>
        <w:rPr>
          <w:spacing w:val="-15"/>
        </w:rPr>
        <w:t> </w:t>
      </w:r>
      <w:r>
        <w:rPr/>
        <w:t>you’ve</w:t>
      </w:r>
      <w:r>
        <w:rPr>
          <w:spacing w:val="-15"/>
        </w:rPr>
        <w:t> </w:t>
      </w:r>
      <w:r>
        <w:rPr/>
        <w:t>done</w:t>
      </w:r>
      <w:r>
        <w:rPr>
          <w:spacing w:val="-15"/>
        </w:rPr>
        <w:t> </w:t>
      </w:r>
      <w:r>
        <w:rPr/>
        <w:t>for</w:t>
      </w:r>
      <w:r>
        <w:rPr>
          <w:spacing w:val="-15"/>
        </w:rPr>
        <w:t> </w:t>
      </w:r>
      <w:r>
        <w:rPr/>
        <w:t>me</w:t>
      </w:r>
      <w:r>
        <w:rPr>
          <w:spacing w:val="-15"/>
        </w:rPr>
        <w:t> </w:t>
      </w:r>
      <w:r>
        <w:rPr/>
        <w:t>throughout</w:t>
      </w:r>
      <w:r>
        <w:rPr>
          <w:spacing w:val="-15"/>
        </w:rPr>
        <w:t> </w:t>
      </w:r>
      <w:r>
        <w:rPr/>
        <w:t>this</w:t>
      </w:r>
      <w:r>
        <w:rPr>
          <w:spacing w:val="-15"/>
        </w:rPr>
        <w:t> </w:t>
      </w:r>
      <w:r>
        <w:rPr/>
        <w:t>PhD.</w:t>
      </w:r>
      <w:r>
        <w:rPr>
          <w:spacing w:val="-15"/>
        </w:rPr>
        <w:t> </w:t>
      </w:r>
      <w:r>
        <w:rPr/>
        <w:t>Anna, for</w:t>
      </w:r>
      <w:r>
        <w:rPr>
          <w:spacing w:val="-5"/>
        </w:rPr>
        <w:t> </w:t>
      </w:r>
      <w:r>
        <w:rPr/>
        <w:t>guiding</w:t>
      </w:r>
      <w:r>
        <w:rPr>
          <w:spacing w:val="-5"/>
        </w:rPr>
        <w:t> </w:t>
      </w:r>
      <w:r>
        <w:rPr/>
        <w:t>me</w:t>
      </w:r>
      <w:r>
        <w:rPr>
          <w:spacing w:val="-5"/>
        </w:rPr>
        <w:t> </w:t>
      </w:r>
      <w:r>
        <w:rPr/>
        <w:t>after</w:t>
      </w:r>
      <w:r>
        <w:rPr>
          <w:spacing w:val="-5"/>
        </w:rPr>
        <w:t> </w:t>
      </w:r>
      <w:r>
        <w:rPr/>
        <w:t>the</w:t>
      </w:r>
      <w:r>
        <w:rPr>
          <w:spacing w:val="-5"/>
        </w:rPr>
        <w:t> </w:t>
      </w:r>
      <w:r>
        <w:rPr/>
        <w:t>difficult</w:t>
      </w:r>
      <w:r>
        <w:rPr>
          <w:spacing w:val="-5"/>
        </w:rPr>
        <w:t> </w:t>
      </w:r>
      <w:r>
        <w:rPr/>
        <w:t>start</w:t>
      </w:r>
      <w:r>
        <w:rPr>
          <w:spacing w:val="-5"/>
        </w:rPr>
        <w:t> </w:t>
      </w:r>
      <w:r>
        <w:rPr/>
        <w:t>to</w:t>
      </w:r>
      <w:r>
        <w:rPr>
          <w:spacing w:val="-5"/>
        </w:rPr>
        <w:t> </w:t>
      </w:r>
      <w:r>
        <w:rPr/>
        <w:t>the</w:t>
      </w:r>
      <w:r>
        <w:rPr>
          <w:spacing w:val="-5"/>
        </w:rPr>
        <w:t> </w:t>
      </w:r>
      <w:r>
        <w:rPr/>
        <w:t>project,</w:t>
      </w:r>
      <w:r>
        <w:rPr>
          <w:spacing w:val="-5"/>
        </w:rPr>
        <w:t> </w:t>
      </w:r>
      <w:r>
        <w:rPr/>
        <w:t>for</w:t>
      </w:r>
      <w:r>
        <w:rPr>
          <w:spacing w:val="-5"/>
        </w:rPr>
        <w:t> </w:t>
      </w:r>
      <w:r>
        <w:rPr/>
        <w:t>making</w:t>
      </w:r>
      <w:r>
        <w:rPr>
          <w:spacing w:val="-5"/>
        </w:rPr>
        <w:t> </w:t>
      </w:r>
      <w:r>
        <w:rPr/>
        <w:t>the</w:t>
      </w:r>
      <w:r>
        <w:rPr>
          <w:spacing w:val="-5"/>
        </w:rPr>
        <w:t> </w:t>
      </w:r>
      <w:r>
        <w:rPr/>
        <w:t>right</w:t>
      </w:r>
      <w:r>
        <w:rPr>
          <w:spacing w:val="-5"/>
        </w:rPr>
        <w:t> </w:t>
      </w:r>
      <w:r>
        <w:rPr/>
        <w:t>call to</w:t>
      </w:r>
      <w:r>
        <w:rPr>
          <w:spacing w:val="-11"/>
        </w:rPr>
        <w:t> </w:t>
      </w:r>
      <w:r>
        <w:rPr/>
        <w:t>move</w:t>
      </w:r>
      <w:r>
        <w:rPr>
          <w:spacing w:val="-11"/>
        </w:rPr>
        <w:t> </w:t>
      </w:r>
      <w:r>
        <w:rPr/>
        <w:t>away</w:t>
      </w:r>
      <w:r>
        <w:rPr>
          <w:spacing w:val="-11"/>
        </w:rPr>
        <w:t> </w:t>
      </w:r>
      <w:r>
        <w:rPr/>
        <w:t>from</w:t>
      </w:r>
      <w:r>
        <w:rPr>
          <w:spacing w:val="-11"/>
        </w:rPr>
        <w:t> </w:t>
      </w:r>
      <w:r>
        <w:rPr/>
        <w:t>computer</w:t>
      </w:r>
      <w:r>
        <w:rPr>
          <w:spacing w:val="-11"/>
        </w:rPr>
        <w:t> </w:t>
      </w:r>
      <w:r>
        <w:rPr/>
        <w:t>vision,</w:t>
      </w:r>
      <w:r>
        <w:rPr>
          <w:spacing w:val="-11"/>
        </w:rPr>
        <w:t> </w:t>
      </w:r>
      <w:r>
        <w:rPr/>
        <w:t>for</w:t>
      </w:r>
      <w:r>
        <w:rPr>
          <w:spacing w:val="-11"/>
        </w:rPr>
        <w:t> </w:t>
      </w:r>
      <w:r>
        <w:rPr/>
        <w:t>helping</w:t>
      </w:r>
      <w:r>
        <w:rPr>
          <w:spacing w:val="-11"/>
        </w:rPr>
        <w:t> </w:t>
      </w:r>
      <w:r>
        <w:rPr/>
        <w:t>shape</w:t>
      </w:r>
      <w:r>
        <w:rPr>
          <w:spacing w:val="-11"/>
        </w:rPr>
        <w:t> </w:t>
      </w:r>
      <w:r>
        <w:rPr/>
        <w:t>my</w:t>
      </w:r>
      <w:r>
        <w:rPr>
          <w:spacing w:val="-11"/>
        </w:rPr>
        <w:t> </w:t>
      </w:r>
      <w:r>
        <w:rPr/>
        <w:t>thought</w:t>
      </w:r>
      <w:r>
        <w:rPr>
          <w:spacing w:val="-11"/>
        </w:rPr>
        <w:t> </w:t>
      </w:r>
      <w:r>
        <w:rPr/>
        <w:t>processes and for recognising when I just needed a break and letting me take it.</w:t>
      </w:r>
      <w:r>
        <w:rPr>
          <w:spacing w:val="40"/>
        </w:rPr>
        <w:t> </w:t>
      </w:r>
      <w:r>
        <w:rPr/>
        <w:t>Jan, for being patient every time it took me 45 minutes to explain that I meant the same thing as you in countless meetings, for helping me to develop my mathematical precision and for providing a brilliant Bayesian mind despite not being a statistician!</w:t>
      </w:r>
    </w:p>
    <w:p>
      <w:pPr>
        <w:pStyle w:val="BodyText"/>
        <w:spacing w:line="312" w:lineRule="auto" w:before="94"/>
        <w:ind w:left="1195" w:right="974"/>
        <w:jc w:val="both"/>
      </w:pPr>
      <w:r>
        <w:rPr/>
        <w:t>Unlike my first PhD, this was a more isolated experience so there’s a much smaller pool of colleagues to thank.</w:t>
      </w:r>
      <w:r>
        <w:rPr>
          <w:spacing w:val="34"/>
        </w:rPr>
        <w:t> </w:t>
      </w:r>
      <w:r>
        <w:rPr/>
        <w:t>Partly due to COVID, partly due to </w:t>
      </w:r>
      <w:r>
        <w:rPr/>
        <w:t>me knowing what I needed to do to get this done.</w:t>
      </w:r>
      <w:r>
        <w:rPr>
          <w:spacing w:val="40"/>
        </w:rPr>
        <w:t> </w:t>
      </w:r>
      <w:r>
        <w:rPr/>
        <w:t>Thanks to the CARR group for the times we spent together over the last few years and a big thank you to</w:t>
      </w:r>
      <w:r>
        <w:rPr>
          <w:spacing w:val="-6"/>
        </w:rPr>
        <w:t> </w:t>
      </w:r>
      <w:r>
        <w:rPr/>
        <w:t>Victor</w:t>
      </w:r>
      <w:r>
        <w:rPr>
          <w:spacing w:val="-6"/>
        </w:rPr>
        <w:t> </w:t>
      </w:r>
      <w:r>
        <w:rPr/>
        <w:t>for</w:t>
      </w:r>
      <w:r>
        <w:rPr>
          <w:spacing w:val="-6"/>
        </w:rPr>
        <w:t> </w:t>
      </w:r>
      <w:r>
        <w:rPr/>
        <w:t>the</w:t>
      </w:r>
      <w:r>
        <w:rPr>
          <w:spacing w:val="-6"/>
        </w:rPr>
        <w:t> </w:t>
      </w:r>
      <w:r>
        <w:rPr/>
        <w:t>work</w:t>
      </w:r>
      <w:r>
        <w:rPr>
          <w:spacing w:val="-6"/>
        </w:rPr>
        <w:t> </w:t>
      </w:r>
      <w:r>
        <w:rPr/>
        <w:t>we</w:t>
      </w:r>
      <w:r>
        <w:rPr>
          <w:spacing w:val="-6"/>
        </w:rPr>
        <w:t> </w:t>
      </w:r>
      <w:r>
        <w:rPr/>
        <w:t>did</w:t>
      </w:r>
      <w:r>
        <w:rPr>
          <w:spacing w:val="-6"/>
        </w:rPr>
        <w:t> </w:t>
      </w:r>
      <w:r>
        <w:rPr/>
        <w:t>together</w:t>
      </w:r>
      <w:r>
        <w:rPr>
          <w:spacing w:val="-6"/>
        </w:rPr>
        <w:t> </w:t>
      </w:r>
      <w:r>
        <w:rPr/>
        <w:t>mainly</w:t>
      </w:r>
      <w:r>
        <w:rPr>
          <w:spacing w:val="-6"/>
        </w:rPr>
        <w:t> </w:t>
      </w:r>
      <w:r>
        <w:rPr/>
        <w:t>at</w:t>
      </w:r>
      <w:r>
        <w:rPr>
          <w:spacing w:val="-6"/>
        </w:rPr>
        <w:t> </w:t>
      </w:r>
      <w:r>
        <w:rPr/>
        <w:t>the</w:t>
      </w:r>
      <w:r>
        <w:rPr>
          <w:spacing w:val="-6"/>
        </w:rPr>
        <w:t> </w:t>
      </w:r>
      <w:r>
        <w:rPr/>
        <w:t>start,</w:t>
      </w:r>
      <w:r>
        <w:rPr>
          <w:spacing w:val="-6"/>
        </w:rPr>
        <w:t> </w:t>
      </w:r>
      <w:r>
        <w:rPr/>
        <w:t>trying</w:t>
      </w:r>
      <w:r>
        <w:rPr>
          <w:spacing w:val="-6"/>
        </w:rPr>
        <w:t> </w:t>
      </w:r>
      <w:r>
        <w:rPr/>
        <w:t>to</w:t>
      </w:r>
      <w:r>
        <w:rPr>
          <w:spacing w:val="-6"/>
        </w:rPr>
        <w:t> </w:t>
      </w:r>
      <w:r>
        <w:rPr/>
        <w:t>figure</w:t>
      </w:r>
      <w:r>
        <w:rPr>
          <w:spacing w:val="-6"/>
        </w:rPr>
        <w:t> </w:t>
      </w:r>
      <w:r>
        <w:rPr/>
        <w:t>out the</w:t>
      </w:r>
      <w:r>
        <w:rPr>
          <w:spacing w:val="-12"/>
        </w:rPr>
        <w:t> </w:t>
      </w:r>
      <w:r>
        <w:rPr/>
        <w:t>Narya</w:t>
      </w:r>
      <w:r>
        <w:rPr>
          <w:spacing w:val="-12"/>
        </w:rPr>
        <w:t> </w:t>
      </w:r>
      <w:r>
        <w:rPr/>
        <w:t>computer</w:t>
      </w:r>
      <w:r>
        <w:rPr>
          <w:spacing w:val="-12"/>
        </w:rPr>
        <w:t> </w:t>
      </w:r>
      <w:r>
        <w:rPr/>
        <w:t>vision</w:t>
      </w:r>
      <w:r>
        <w:rPr>
          <w:spacing w:val="-12"/>
        </w:rPr>
        <w:t> </w:t>
      </w:r>
      <w:r>
        <w:rPr/>
        <w:t>workflow. I</w:t>
      </w:r>
      <w:r>
        <w:rPr>
          <w:spacing w:val="-12"/>
        </w:rPr>
        <w:t> </w:t>
      </w:r>
      <w:r>
        <w:rPr/>
        <w:t>know</w:t>
      </w:r>
      <w:r>
        <w:rPr>
          <w:spacing w:val="-12"/>
        </w:rPr>
        <w:t> </w:t>
      </w:r>
      <w:r>
        <w:rPr/>
        <w:t>you</w:t>
      </w:r>
      <w:r>
        <w:rPr>
          <w:spacing w:val="-12"/>
        </w:rPr>
        <w:t> </w:t>
      </w:r>
      <w:r>
        <w:rPr/>
        <w:t>had</w:t>
      </w:r>
      <w:r>
        <w:rPr>
          <w:spacing w:val="-12"/>
        </w:rPr>
        <w:t> </w:t>
      </w:r>
      <w:r>
        <w:rPr/>
        <w:t>your</w:t>
      </w:r>
      <w:r>
        <w:rPr>
          <w:spacing w:val="-12"/>
        </w:rPr>
        <w:t> </w:t>
      </w:r>
      <w:r>
        <w:rPr/>
        <w:t>own</w:t>
      </w:r>
      <w:r>
        <w:rPr>
          <w:spacing w:val="-12"/>
        </w:rPr>
        <w:t> </w:t>
      </w:r>
      <w:r>
        <w:rPr/>
        <w:t>stuff</w:t>
      </w:r>
      <w:r>
        <w:rPr>
          <w:spacing w:val="-12"/>
        </w:rPr>
        <w:t> </w:t>
      </w:r>
      <w:r>
        <w:rPr/>
        <w:t>to</w:t>
      </w:r>
      <w:r>
        <w:rPr>
          <w:spacing w:val="-12"/>
        </w:rPr>
        <w:t> </w:t>
      </w:r>
      <w:r>
        <w:rPr/>
        <w:t>work with then so thank you for the help you gave me at that time in particular.</w:t>
      </w:r>
    </w:p>
    <w:p>
      <w:pPr>
        <w:pStyle w:val="BodyText"/>
        <w:spacing w:line="312" w:lineRule="auto" w:before="95"/>
        <w:ind w:left="1195" w:right="974"/>
        <w:jc w:val="both"/>
      </w:pPr>
      <w:r>
        <w:rPr/>
        <w:t>Finally,</w:t>
      </w:r>
      <w:r>
        <w:rPr>
          <w:spacing w:val="-6"/>
        </w:rPr>
        <w:t> </w:t>
      </w:r>
      <w:r>
        <w:rPr/>
        <w:t>thanks</w:t>
      </w:r>
      <w:r>
        <w:rPr>
          <w:spacing w:val="-7"/>
        </w:rPr>
        <w:t> </w:t>
      </w:r>
      <w:r>
        <w:rPr/>
        <w:t>to</w:t>
      </w:r>
      <w:r>
        <w:rPr>
          <w:spacing w:val="-7"/>
        </w:rPr>
        <w:t> </w:t>
      </w:r>
      <w:r>
        <w:rPr/>
        <w:t>Aimee,</w:t>
      </w:r>
      <w:r>
        <w:rPr>
          <w:spacing w:val="-6"/>
        </w:rPr>
        <w:t> </w:t>
      </w:r>
      <w:r>
        <w:rPr/>
        <w:t>Wally,</w:t>
      </w:r>
      <w:r>
        <w:rPr>
          <w:spacing w:val="-6"/>
        </w:rPr>
        <w:t> </w:t>
      </w:r>
      <w:r>
        <w:rPr/>
        <w:t>Muffin</w:t>
      </w:r>
      <w:r>
        <w:rPr>
          <w:spacing w:val="-7"/>
        </w:rPr>
        <w:t> </w:t>
      </w:r>
      <w:r>
        <w:rPr/>
        <w:t>and</w:t>
      </w:r>
      <w:r>
        <w:rPr>
          <w:spacing w:val="-7"/>
        </w:rPr>
        <w:t> </w:t>
      </w:r>
      <w:r>
        <w:rPr/>
        <w:t>the</w:t>
      </w:r>
      <w:r>
        <w:rPr>
          <w:spacing w:val="-7"/>
        </w:rPr>
        <w:t> </w:t>
      </w:r>
      <w:r>
        <w:rPr/>
        <w:t>Sawczuk</w:t>
      </w:r>
      <w:r>
        <w:rPr>
          <w:spacing w:val="-7"/>
        </w:rPr>
        <w:t> </w:t>
      </w:r>
      <w:r>
        <w:rPr/>
        <w:t>family.</w:t>
      </w:r>
      <w:r>
        <w:rPr>
          <w:spacing w:val="14"/>
        </w:rPr>
        <w:t> </w:t>
      </w:r>
      <w:r>
        <w:rPr/>
        <w:t>Aimee</w:t>
      </w:r>
      <w:r>
        <w:rPr>
          <w:spacing w:val="-7"/>
        </w:rPr>
        <w:t> </w:t>
      </w:r>
      <w:r>
        <w:rPr/>
        <w:t>for the</w:t>
      </w:r>
      <w:r>
        <w:rPr>
          <w:spacing w:val="-2"/>
        </w:rPr>
        <w:t> </w:t>
      </w:r>
      <w:r>
        <w:rPr/>
        <w:t>support you’ve</w:t>
      </w:r>
      <w:r>
        <w:rPr>
          <w:spacing w:val="-1"/>
        </w:rPr>
        <w:t> </w:t>
      </w:r>
      <w:r>
        <w:rPr/>
        <w:t>given</w:t>
      </w:r>
      <w:r>
        <w:rPr>
          <w:spacing w:val="-1"/>
        </w:rPr>
        <w:t> </w:t>
      </w:r>
      <w:r>
        <w:rPr/>
        <w:t>me</w:t>
      </w:r>
      <w:r>
        <w:rPr>
          <w:spacing w:val="-1"/>
        </w:rPr>
        <w:t> </w:t>
      </w:r>
      <w:r>
        <w:rPr/>
        <w:t>and for</w:t>
      </w:r>
      <w:r>
        <w:rPr>
          <w:spacing w:val="-1"/>
        </w:rPr>
        <w:t> </w:t>
      </w:r>
      <w:r>
        <w:rPr/>
        <w:t>telling</w:t>
      </w:r>
      <w:r>
        <w:rPr>
          <w:spacing w:val="-1"/>
        </w:rPr>
        <w:t> </w:t>
      </w:r>
      <w:r>
        <w:rPr/>
        <w:t>me to</w:t>
      </w:r>
      <w:r>
        <w:rPr>
          <w:spacing w:val="-1"/>
        </w:rPr>
        <w:t> </w:t>
      </w:r>
      <w:r>
        <w:rPr/>
        <w:t>take</w:t>
      </w:r>
      <w:r>
        <w:rPr>
          <w:spacing w:val="-1"/>
        </w:rPr>
        <w:t> </w:t>
      </w:r>
      <w:r>
        <w:rPr/>
        <w:t>a break</w:t>
      </w:r>
      <w:r>
        <w:rPr>
          <w:spacing w:val="-1"/>
        </w:rPr>
        <w:t> </w:t>
      </w:r>
      <w:r>
        <w:rPr/>
        <w:t>now.</w:t>
      </w:r>
      <w:r>
        <w:rPr>
          <w:spacing w:val="24"/>
        </w:rPr>
        <w:t> </w:t>
      </w:r>
      <w:r>
        <w:rPr/>
        <w:t>I</w:t>
      </w:r>
      <w:r>
        <w:rPr>
          <w:spacing w:val="-1"/>
        </w:rPr>
        <w:t> </w:t>
      </w:r>
      <w:r>
        <w:rPr>
          <w:spacing w:val="-2"/>
        </w:rPr>
        <w:t>won’t</w:t>
      </w:r>
    </w:p>
    <w:p>
      <w:pPr>
        <w:spacing w:after="0" w:line="312" w:lineRule="auto"/>
        <w:jc w:val="both"/>
        <w:sectPr>
          <w:pgSz w:w="11910" w:h="16840"/>
          <w:pgMar w:header="0" w:footer="1428" w:top="1920" w:bottom="1620" w:left="1680" w:right="720"/>
        </w:sectPr>
      </w:pPr>
    </w:p>
    <w:p>
      <w:pPr>
        <w:pStyle w:val="BodyText"/>
        <w:rPr>
          <w:sz w:val="20"/>
        </w:rPr>
      </w:pPr>
    </w:p>
    <w:p>
      <w:pPr>
        <w:pStyle w:val="BodyText"/>
        <w:rPr>
          <w:sz w:val="20"/>
        </w:rPr>
      </w:pPr>
    </w:p>
    <w:p>
      <w:pPr>
        <w:pStyle w:val="BodyText"/>
        <w:rPr>
          <w:sz w:val="20"/>
        </w:rPr>
      </w:pPr>
    </w:p>
    <w:p>
      <w:pPr>
        <w:pStyle w:val="BodyText"/>
        <w:spacing w:line="312" w:lineRule="auto" w:before="232"/>
        <w:ind w:left="1195" w:right="974"/>
        <w:jc w:val="both"/>
      </w:pPr>
      <w:r>
        <w:rPr/>
        <w:t>be</w:t>
      </w:r>
      <w:r>
        <w:rPr>
          <w:spacing w:val="-15"/>
        </w:rPr>
        <w:t> </w:t>
      </w:r>
      <w:r>
        <w:rPr/>
        <w:t>doing</w:t>
      </w:r>
      <w:r>
        <w:rPr>
          <w:spacing w:val="-15"/>
        </w:rPr>
        <w:t> </w:t>
      </w:r>
      <w:r>
        <w:rPr/>
        <w:t>a</w:t>
      </w:r>
      <w:r>
        <w:rPr>
          <w:spacing w:val="-15"/>
        </w:rPr>
        <w:t> </w:t>
      </w:r>
      <w:r>
        <w:rPr/>
        <w:t>third</w:t>
      </w:r>
      <w:r>
        <w:rPr>
          <w:spacing w:val="-15"/>
        </w:rPr>
        <w:t> </w:t>
      </w:r>
      <w:r>
        <w:rPr/>
        <w:t>PhD</w:t>
      </w:r>
      <w:r>
        <w:rPr>
          <w:spacing w:val="-15"/>
        </w:rPr>
        <w:t> </w:t>
      </w:r>
      <w:r>
        <w:rPr/>
        <w:t>after</w:t>
      </w:r>
      <w:r>
        <w:rPr>
          <w:spacing w:val="-15"/>
        </w:rPr>
        <w:t> </w:t>
      </w:r>
      <w:r>
        <w:rPr/>
        <w:t>this</w:t>
      </w:r>
      <w:r>
        <w:rPr>
          <w:spacing w:val="-15"/>
        </w:rPr>
        <w:t> </w:t>
      </w:r>
      <w:r>
        <w:rPr/>
        <w:t>one. I</w:t>
      </w:r>
      <w:r>
        <w:rPr>
          <w:spacing w:val="-15"/>
        </w:rPr>
        <w:t> </w:t>
      </w:r>
      <w:r>
        <w:rPr/>
        <w:t>promise. Wally</w:t>
      </w:r>
      <w:r>
        <w:rPr>
          <w:spacing w:val="-15"/>
        </w:rPr>
        <w:t> </w:t>
      </w:r>
      <w:r>
        <w:rPr/>
        <w:t>and</w:t>
      </w:r>
      <w:r>
        <w:rPr>
          <w:spacing w:val="-15"/>
        </w:rPr>
        <w:t> </w:t>
      </w:r>
      <w:r>
        <w:rPr/>
        <w:t>Muffin</w:t>
      </w:r>
      <w:r>
        <w:rPr>
          <w:spacing w:val="-15"/>
        </w:rPr>
        <w:t> </w:t>
      </w:r>
      <w:r>
        <w:rPr/>
        <w:t>for</w:t>
      </w:r>
      <w:r>
        <w:rPr>
          <w:spacing w:val="-15"/>
        </w:rPr>
        <w:t> </w:t>
      </w:r>
      <w:r>
        <w:rPr/>
        <w:t>being</w:t>
      </w:r>
      <w:r>
        <w:rPr>
          <w:spacing w:val="-15"/>
        </w:rPr>
        <w:t> </w:t>
      </w:r>
      <w:r>
        <w:rPr/>
        <w:t>the best</w:t>
      </w:r>
      <w:r>
        <w:rPr>
          <w:spacing w:val="-3"/>
        </w:rPr>
        <w:t> </w:t>
      </w:r>
      <w:r>
        <w:rPr/>
        <w:t>first</w:t>
      </w:r>
      <w:r>
        <w:rPr>
          <w:spacing w:val="-3"/>
        </w:rPr>
        <w:t> </w:t>
      </w:r>
      <w:r>
        <w:rPr/>
        <w:t>dogs</w:t>
      </w:r>
      <w:r>
        <w:rPr>
          <w:spacing w:val="-2"/>
        </w:rPr>
        <w:t> </w:t>
      </w:r>
      <w:r>
        <w:rPr/>
        <w:t>a</w:t>
      </w:r>
      <w:r>
        <w:rPr>
          <w:spacing w:val="-3"/>
        </w:rPr>
        <w:t> </w:t>
      </w:r>
      <w:r>
        <w:rPr/>
        <w:t>man</w:t>
      </w:r>
      <w:r>
        <w:rPr>
          <w:spacing w:val="-3"/>
        </w:rPr>
        <w:t> </w:t>
      </w:r>
      <w:r>
        <w:rPr/>
        <w:t>could</w:t>
      </w:r>
      <w:r>
        <w:rPr>
          <w:spacing w:val="-3"/>
        </w:rPr>
        <w:t> </w:t>
      </w:r>
      <w:r>
        <w:rPr/>
        <w:t>ever</w:t>
      </w:r>
      <w:r>
        <w:rPr>
          <w:spacing w:val="-3"/>
        </w:rPr>
        <w:t> </w:t>
      </w:r>
      <w:r>
        <w:rPr/>
        <w:t>ask</w:t>
      </w:r>
      <w:r>
        <w:rPr>
          <w:spacing w:val="-2"/>
        </w:rPr>
        <w:t> </w:t>
      </w:r>
      <w:r>
        <w:rPr/>
        <w:t>for</w:t>
      </w:r>
      <w:r>
        <w:rPr>
          <w:spacing w:val="-3"/>
        </w:rPr>
        <w:t> </w:t>
      </w:r>
      <w:r>
        <w:rPr/>
        <w:t>and</w:t>
      </w:r>
      <w:r>
        <w:rPr>
          <w:spacing w:val="-3"/>
        </w:rPr>
        <w:t> </w:t>
      </w:r>
      <w:r>
        <w:rPr/>
        <w:t>making</w:t>
      </w:r>
      <w:r>
        <w:rPr>
          <w:spacing w:val="-3"/>
        </w:rPr>
        <w:t> </w:t>
      </w:r>
      <w:r>
        <w:rPr/>
        <w:t>me</w:t>
      </w:r>
      <w:r>
        <w:rPr>
          <w:spacing w:val="-3"/>
        </w:rPr>
        <w:t> </w:t>
      </w:r>
      <w:r>
        <w:rPr/>
        <w:t>take</w:t>
      </w:r>
      <w:r>
        <w:rPr>
          <w:spacing w:val="-2"/>
        </w:rPr>
        <w:t> </w:t>
      </w:r>
      <w:r>
        <w:rPr/>
        <w:t>breaks</w:t>
      </w:r>
      <w:r>
        <w:rPr>
          <w:spacing w:val="-3"/>
        </w:rPr>
        <w:t> </w:t>
      </w:r>
      <w:r>
        <w:rPr/>
        <w:t>from</w:t>
      </w:r>
      <w:r>
        <w:rPr>
          <w:spacing w:val="-3"/>
        </w:rPr>
        <w:t> </w:t>
      </w:r>
      <w:r>
        <w:rPr/>
        <w:t>the PhD to walk you!</w:t>
      </w:r>
      <w:r>
        <w:rPr>
          <w:spacing w:val="32"/>
        </w:rPr>
        <w:t> </w:t>
      </w:r>
      <w:r>
        <w:rPr/>
        <w:t>The rest of the family, thanks for the Skype game nights, the surprise birthday party, the general support and Xbox nights.</w:t>
      </w:r>
      <w:r>
        <w:rPr>
          <w:spacing w:val="28"/>
        </w:rPr>
        <w:t> </w:t>
      </w:r>
      <w:r>
        <w:rPr/>
        <w:t>I wouldn’t have completed this process without you.</w:t>
      </w:r>
    </w:p>
    <w:p>
      <w:pPr>
        <w:spacing w:after="0" w:line="312" w:lineRule="auto"/>
        <w:jc w:val="both"/>
        <w:sectPr>
          <w:pgSz w:w="11910" w:h="16840"/>
          <w:pgMar w:header="0" w:footer="1428" w:top="192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7"/>
        </w:rPr>
      </w:pPr>
    </w:p>
    <w:p>
      <w:pPr>
        <w:pStyle w:val="Heading2"/>
        <w:spacing w:before="114"/>
        <w:ind w:left="757" w:right="538" w:firstLine="0"/>
        <w:jc w:val="center"/>
      </w:pPr>
      <w:r>
        <w:rPr/>
        <w:t>Publications</w:t>
      </w:r>
      <w:r>
        <w:rPr>
          <w:spacing w:val="12"/>
        </w:rPr>
        <w:t> </w:t>
      </w:r>
      <w:r>
        <w:rPr/>
        <w:t>and</w:t>
      </w:r>
      <w:r>
        <w:rPr>
          <w:spacing w:val="13"/>
        </w:rPr>
        <w:t> </w:t>
      </w:r>
      <w:r>
        <w:rPr>
          <w:spacing w:val="-2"/>
        </w:rPr>
        <w:t>Presentations</w:t>
      </w:r>
    </w:p>
    <w:p>
      <w:pPr>
        <w:pStyle w:val="BodyText"/>
        <w:rPr>
          <w:b/>
          <w:sz w:val="20"/>
        </w:rPr>
      </w:pPr>
    </w:p>
    <w:p>
      <w:pPr>
        <w:spacing w:before="257"/>
        <w:ind w:left="610" w:right="0" w:firstLine="0"/>
        <w:jc w:val="left"/>
        <w:rPr>
          <w:b/>
          <w:sz w:val="28"/>
        </w:rPr>
      </w:pPr>
      <w:r>
        <w:rPr>
          <w:b/>
          <w:sz w:val="28"/>
          <w:u w:val="single"/>
        </w:rPr>
        <w:t>Books</w:t>
      </w:r>
      <w:r>
        <w:rPr>
          <w:b/>
          <w:spacing w:val="12"/>
          <w:sz w:val="28"/>
          <w:u w:val="single"/>
        </w:rPr>
        <w:t> </w:t>
      </w:r>
      <w:r>
        <w:rPr>
          <w:b/>
          <w:sz w:val="28"/>
          <w:u w:val="single"/>
        </w:rPr>
        <w:t>and</w:t>
      </w:r>
      <w:r>
        <w:rPr>
          <w:b/>
          <w:spacing w:val="13"/>
          <w:sz w:val="28"/>
          <w:u w:val="single"/>
        </w:rPr>
        <w:t> </w:t>
      </w:r>
      <w:r>
        <w:rPr>
          <w:b/>
          <w:spacing w:val="-2"/>
          <w:sz w:val="28"/>
          <w:u w:val="single"/>
        </w:rPr>
        <w:t>Journals</w:t>
      </w:r>
    </w:p>
    <w:p>
      <w:pPr>
        <w:pStyle w:val="ListParagraph"/>
        <w:numPr>
          <w:ilvl w:val="0"/>
          <w:numId w:val="1"/>
        </w:numPr>
        <w:tabs>
          <w:tab w:pos="1080" w:val="left" w:leader="none"/>
        </w:tabs>
        <w:spacing w:line="312" w:lineRule="auto" w:before="214" w:after="0"/>
        <w:ind w:left="1195" w:right="389" w:hanging="201"/>
        <w:jc w:val="left"/>
        <w:rPr>
          <w:sz w:val="24"/>
        </w:rPr>
      </w:pPr>
      <w:r>
        <w:rPr>
          <w:sz w:val="24"/>
        </w:rPr>
        <w:t>Thomas Sawczuk, Anna Palczewska, Ben Jones. Development of an expected pos- session</w:t>
      </w:r>
      <w:r>
        <w:rPr>
          <w:spacing w:val="-15"/>
          <w:sz w:val="24"/>
        </w:rPr>
        <w:t> </w:t>
      </w:r>
      <w:r>
        <w:rPr>
          <w:sz w:val="24"/>
        </w:rPr>
        <w:t>value</w:t>
      </w:r>
      <w:r>
        <w:rPr>
          <w:spacing w:val="-15"/>
          <w:sz w:val="24"/>
        </w:rPr>
        <w:t> </w:t>
      </w:r>
      <w:r>
        <w:rPr>
          <w:sz w:val="24"/>
        </w:rPr>
        <w:t>model</w:t>
      </w:r>
      <w:r>
        <w:rPr>
          <w:spacing w:val="-15"/>
          <w:sz w:val="24"/>
        </w:rPr>
        <w:t> </w:t>
      </w:r>
      <w:r>
        <w:rPr>
          <w:sz w:val="24"/>
        </w:rPr>
        <w:t>to</w:t>
      </w:r>
      <w:r>
        <w:rPr>
          <w:spacing w:val="-15"/>
          <w:sz w:val="24"/>
        </w:rPr>
        <w:t> </w:t>
      </w:r>
      <w:r>
        <w:rPr>
          <w:sz w:val="24"/>
        </w:rPr>
        <w:t>analyse</w:t>
      </w:r>
      <w:r>
        <w:rPr>
          <w:spacing w:val="-15"/>
          <w:sz w:val="24"/>
        </w:rPr>
        <w:t> </w:t>
      </w:r>
      <w:r>
        <w:rPr>
          <w:sz w:val="24"/>
        </w:rPr>
        <w:t>team</w:t>
      </w:r>
      <w:r>
        <w:rPr>
          <w:spacing w:val="-15"/>
          <w:sz w:val="24"/>
        </w:rPr>
        <w:t> </w:t>
      </w:r>
      <w:r>
        <w:rPr>
          <w:sz w:val="24"/>
        </w:rPr>
        <w:t>attacking</w:t>
      </w:r>
      <w:r>
        <w:rPr>
          <w:spacing w:val="-15"/>
          <w:sz w:val="24"/>
        </w:rPr>
        <w:t> </w:t>
      </w:r>
      <w:r>
        <w:rPr>
          <w:sz w:val="24"/>
        </w:rPr>
        <w:t>performances</w:t>
      </w:r>
      <w:r>
        <w:rPr>
          <w:spacing w:val="-15"/>
          <w:sz w:val="24"/>
        </w:rPr>
        <w:t> </w:t>
      </w:r>
      <w:r>
        <w:rPr>
          <w:sz w:val="24"/>
        </w:rPr>
        <w:t>in</w:t>
      </w:r>
      <w:r>
        <w:rPr>
          <w:spacing w:val="-15"/>
          <w:sz w:val="24"/>
        </w:rPr>
        <w:t> </w:t>
      </w:r>
      <w:r>
        <w:rPr>
          <w:sz w:val="24"/>
        </w:rPr>
        <w:t>rugby</w:t>
      </w:r>
      <w:r>
        <w:rPr>
          <w:spacing w:val="-15"/>
          <w:sz w:val="24"/>
        </w:rPr>
        <w:t> </w:t>
      </w:r>
      <w:r>
        <w:rPr>
          <w:sz w:val="24"/>
        </w:rPr>
        <w:t>league.</w:t>
      </w:r>
      <w:r>
        <w:rPr>
          <w:spacing w:val="-2"/>
          <w:sz w:val="24"/>
        </w:rPr>
        <w:t> </w:t>
      </w:r>
      <w:r>
        <w:rPr>
          <w:i/>
          <w:sz w:val="24"/>
        </w:rPr>
        <w:t>PLOS</w:t>
      </w:r>
      <w:r>
        <w:rPr>
          <w:i/>
          <w:sz w:val="24"/>
        </w:rPr>
        <w:t> One</w:t>
      </w:r>
      <w:r>
        <w:rPr>
          <w:sz w:val="24"/>
        </w:rPr>
        <w:t>, 16(11): e0259536, 2021</w:t>
      </w:r>
    </w:p>
    <w:p>
      <w:pPr>
        <w:pStyle w:val="ListParagraph"/>
        <w:numPr>
          <w:ilvl w:val="0"/>
          <w:numId w:val="1"/>
        </w:numPr>
        <w:tabs>
          <w:tab w:pos="1080" w:val="left" w:leader="none"/>
          <w:tab w:pos="7843" w:val="left" w:leader="none"/>
        </w:tabs>
        <w:spacing w:line="312" w:lineRule="auto" w:before="179" w:after="0"/>
        <w:ind w:left="1195" w:right="389" w:hanging="201"/>
        <w:jc w:val="left"/>
        <w:rPr>
          <w:sz w:val="24"/>
        </w:rPr>
      </w:pPr>
      <w:r>
        <w:rPr>
          <w:sz w:val="24"/>
        </w:rPr>
        <w:t>Thomas</w:t>
      </w:r>
      <w:r>
        <w:rPr>
          <w:spacing w:val="40"/>
          <w:sz w:val="24"/>
        </w:rPr>
        <w:t> </w:t>
      </w:r>
      <w:r>
        <w:rPr>
          <w:sz w:val="24"/>
        </w:rPr>
        <w:t>Sawczuk,</w:t>
      </w:r>
      <w:r>
        <w:rPr>
          <w:spacing w:val="40"/>
          <w:sz w:val="24"/>
        </w:rPr>
        <w:t> </w:t>
      </w:r>
      <w:r>
        <w:rPr>
          <w:sz w:val="24"/>
        </w:rPr>
        <w:t>Anna</w:t>
      </w:r>
      <w:r>
        <w:rPr>
          <w:spacing w:val="40"/>
          <w:sz w:val="24"/>
        </w:rPr>
        <w:t> </w:t>
      </w:r>
      <w:r>
        <w:rPr>
          <w:sz w:val="24"/>
        </w:rPr>
        <w:t>Palczewska,</w:t>
      </w:r>
      <w:r>
        <w:rPr>
          <w:spacing w:val="40"/>
          <w:sz w:val="24"/>
        </w:rPr>
        <w:t> </w:t>
      </w:r>
      <w:r>
        <w:rPr>
          <w:sz w:val="24"/>
        </w:rPr>
        <w:t>Ben</w:t>
      </w:r>
      <w:r>
        <w:rPr>
          <w:spacing w:val="40"/>
          <w:sz w:val="24"/>
        </w:rPr>
        <w:t> </w:t>
      </w:r>
      <w:r>
        <w:rPr>
          <w:sz w:val="24"/>
        </w:rPr>
        <w:t>Jones,</w:t>
      </w:r>
      <w:r>
        <w:rPr>
          <w:spacing w:val="40"/>
          <w:sz w:val="24"/>
        </w:rPr>
        <w:t> </w:t>
      </w:r>
      <w:r>
        <w:rPr>
          <w:sz w:val="24"/>
        </w:rPr>
        <w:t>Jan</w:t>
      </w:r>
      <w:r>
        <w:rPr>
          <w:spacing w:val="40"/>
          <w:sz w:val="24"/>
        </w:rPr>
        <w:t> </w:t>
      </w:r>
      <w:r>
        <w:rPr>
          <w:sz w:val="24"/>
        </w:rPr>
        <w:t>Palczewski.</w:t>
        <w:tab/>
        <w:t>A</w:t>
      </w:r>
      <w:r>
        <w:rPr>
          <w:spacing w:val="40"/>
          <w:sz w:val="24"/>
        </w:rPr>
        <w:t> </w:t>
      </w:r>
      <w:r>
        <w:rPr>
          <w:sz w:val="24"/>
        </w:rPr>
        <w:t>Bayesian expected possession value model to evaluate player and team performances.</w:t>
      </w:r>
      <w:r>
        <w:rPr>
          <w:spacing w:val="97"/>
          <w:sz w:val="24"/>
        </w:rPr>
        <w:t> </w:t>
      </w:r>
      <w:r>
        <w:rPr>
          <w:sz w:val="24"/>
        </w:rPr>
        <w:t>In</w:t>
      </w:r>
      <w:r>
        <w:rPr>
          <w:spacing w:val="40"/>
          <w:sz w:val="24"/>
        </w:rPr>
        <w:t> </w:t>
      </w:r>
      <w:r>
        <w:rPr>
          <w:sz w:val="24"/>
        </w:rPr>
        <w:t>progress, plan to submit to sport journal.</w:t>
      </w:r>
    </w:p>
    <w:p>
      <w:pPr>
        <w:pStyle w:val="BodyText"/>
        <w:rPr>
          <w:sz w:val="20"/>
        </w:rPr>
      </w:pPr>
    </w:p>
    <w:p>
      <w:pPr>
        <w:pStyle w:val="BodyText"/>
        <w:spacing w:before="3"/>
        <w:rPr>
          <w:sz w:val="28"/>
        </w:rPr>
      </w:pPr>
    </w:p>
    <w:p>
      <w:pPr>
        <w:spacing w:before="114"/>
        <w:ind w:left="610" w:right="0" w:firstLine="0"/>
        <w:jc w:val="left"/>
        <w:rPr>
          <w:b/>
          <w:sz w:val="28"/>
        </w:rPr>
      </w:pPr>
      <w:r>
        <w:rPr>
          <w:b/>
          <w:sz w:val="28"/>
          <w:u w:val="single"/>
        </w:rPr>
        <w:t>Conference</w:t>
      </w:r>
      <w:r>
        <w:rPr>
          <w:b/>
          <w:spacing w:val="22"/>
          <w:sz w:val="28"/>
          <w:u w:val="single"/>
        </w:rPr>
        <w:t> </w:t>
      </w:r>
      <w:r>
        <w:rPr>
          <w:b/>
          <w:spacing w:val="-2"/>
          <w:sz w:val="28"/>
          <w:u w:val="single"/>
        </w:rPr>
        <w:t>proceedings</w:t>
      </w:r>
    </w:p>
    <w:p>
      <w:pPr>
        <w:pStyle w:val="ListParagraph"/>
        <w:numPr>
          <w:ilvl w:val="0"/>
          <w:numId w:val="1"/>
        </w:numPr>
        <w:tabs>
          <w:tab w:pos="1080" w:val="left" w:leader="none"/>
        </w:tabs>
        <w:spacing w:line="312" w:lineRule="auto" w:before="214" w:after="0"/>
        <w:ind w:left="1195" w:right="389" w:hanging="201"/>
        <w:jc w:val="left"/>
        <w:rPr>
          <w:sz w:val="24"/>
        </w:rPr>
      </w:pPr>
      <w:r>
        <w:rPr>
          <w:sz w:val="24"/>
        </w:rPr>
        <w:t>Thomas</w:t>
      </w:r>
      <w:r>
        <w:rPr>
          <w:spacing w:val="-3"/>
          <w:sz w:val="24"/>
        </w:rPr>
        <w:t> </w:t>
      </w:r>
      <w:r>
        <w:rPr>
          <w:sz w:val="24"/>
        </w:rPr>
        <w:t>Sawczuk,</w:t>
      </w:r>
      <w:r>
        <w:rPr>
          <w:spacing w:val="-2"/>
          <w:sz w:val="24"/>
        </w:rPr>
        <w:t> </w:t>
      </w:r>
      <w:r>
        <w:rPr>
          <w:sz w:val="24"/>
        </w:rPr>
        <w:t>Anna</w:t>
      </w:r>
      <w:r>
        <w:rPr>
          <w:spacing w:val="-3"/>
          <w:sz w:val="24"/>
        </w:rPr>
        <w:t> </w:t>
      </w:r>
      <w:r>
        <w:rPr>
          <w:sz w:val="24"/>
        </w:rPr>
        <w:t>Palczewska,</w:t>
      </w:r>
      <w:r>
        <w:rPr>
          <w:spacing w:val="-2"/>
          <w:sz w:val="24"/>
        </w:rPr>
        <w:t> </w:t>
      </w:r>
      <w:r>
        <w:rPr>
          <w:sz w:val="24"/>
        </w:rPr>
        <w:t>Ben</w:t>
      </w:r>
      <w:r>
        <w:rPr>
          <w:spacing w:val="-3"/>
          <w:sz w:val="24"/>
        </w:rPr>
        <w:t> </w:t>
      </w:r>
      <w:r>
        <w:rPr>
          <w:sz w:val="24"/>
        </w:rPr>
        <w:t>Jones. ”Markov</w:t>
      </w:r>
      <w:r>
        <w:rPr>
          <w:spacing w:val="-3"/>
          <w:sz w:val="24"/>
        </w:rPr>
        <w:t> </w:t>
      </w:r>
      <w:r>
        <w:rPr>
          <w:sz w:val="24"/>
        </w:rPr>
        <w:t>Decision</w:t>
      </w:r>
      <w:r>
        <w:rPr>
          <w:spacing w:val="-3"/>
          <w:sz w:val="24"/>
        </w:rPr>
        <w:t> </w:t>
      </w:r>
      <w:r>
        <w:rPr>
          <w:sz w:val="24"/>
        </w:rPr>
        <w:t>Processes</w:t>
      </w:r>
      <w:r>
        <w:rPr>
          <w:spacing w:val="-3"/>
          <w:sz w:val="24"/>
        </w:rPr>
        <w:t> </w:t>
      </w:r>
      <w:r>
        <w:rPr>
          <w:sz w:val="24"/>
        </w:rPr>
        <w:t>with contextual nodes as a method of assessing attacking player performance in </w:t>
      </w:r>
      <w:r>
        <w:rPr>
          <w:sz w:val="24"/>
        </w:rPr>
        <w:t>rugby</w:t>
      </w:r>
      <w:r>
        <w:rPr>
          <w:sz w:val="24"/>
        </w:rPr>
        <w:t> league”</w:t>
      </w:r>
      <w:r>
        <w:rPr>
          <w:spacing w:val="-3"/>
          <w:sz w:val="24"/>
        </w:rPr>
        <w:t> </w:t>
      </w:r>
      <w:r>
        <w:rPr>
          <w:sz w:val="24"/>
        </w:rPr>
        <w:t>in</w:t>
      </w:r>
      <w:r>
        <w:rPr>
          <w:spacing w:val="-3"/>
          <w:sz w:val="24"/>
        </w:rPr>
        <w:t> </w:t>
      </w:r>
      <w:r>
        <w:rPr>
          <w:i/>
          <w:sz w:val="24"/>
        </w:rPr>
        <w:t>20th</w:t>
      </w:r>
      <w:r>
        <w:rPr>
          <w:i/>
          <w:spacing w:val="-3"/>
          <w:sz w:val="24"/>
        </w:rPr>
        <w:t> </w:t>
      </w:r>
      <w:r>
        <w:rPr>
          <w:i/>
          <w:sz w:val="24"/>
        </w:rPr>
        <w:t>UK</w:t>
      </w:r>
      <w:r>
        <w:rPr>
          <w:i/>
          <w:spacing w:val="-3"/>
          <w:sz w:val="24"/>
        </w:rPr>
        <w:t> </w:t>
      </w:r>
      <w:r>
        <w:rPr>
          <w:i/>
          <w:sz w:val="24"/>
        </w:rPr>
        <w:t>Workshop</w:t>
      </w:r>
      <w:r>
        <w:rPr>
          <w:i/>
          <w:spacing w:val="-3"/>
          <w:sz w:val="24"/>
        </w:rPr>
        <w:t> </w:t>
      </w:r>
      <w:r>
        <w:rPr>
          <w:i/>
          <w:sz w:val="24"/>
        </w:rPr>
        <w:t>on</w:t>
      </w:r>
      <w:r>
        <w:rPr>
          <w:i/>
          <w:spacing w:val="-3"/>
          <w:sz w:val="24"/>
        </w:rPr>
        <w:t> </w:t>
      </w:r>
      <w:r>
        <w:rPr>
          <w:i/>
          <w:sz w:val="24"/>
        </w:rPr>
        <w:t>Computational</w:t>
      </w:r>
      <w:r>
        <w:rPr>
          <w:i/>
          <w:spacing w:val="-3"/>
          <w:sz w:val="24"/>
        </w:rPr>
        <w:t> </w:t>
      </w:r>
      <w:r>
        <w:rPr>
          <w:i/>
          <w:sz w:val="24"/>
        </w:rPr>
        <w:t>Intelligence</w:t>
      </w:r>
      <w:r>
        <w:rPr>
          <w:sz w:val="24"/>
        </w:rPr>
        <w:t>,</w:t>
      </w:r>
      <w:r>
        <w:rPr>
          <w:spacing w:val="-3"/>
          <w:sz w:val="24"/>
        </w:rPr>
        <w:t> </w:t>
      </w:r>
      <w:r>
        <w:rPr>
          <w:sz w:val="24"/>
        </w:rPr>
        <w:t>Aberystwyth,</w:t>
      </w:r>
      <w:r>
        <w:rPr>
          <w:spacing w:val="-3"/>
          <w:sz w:val="24"/>
        </w:rPr>
        <w:t> </w:t>
      </w:r>
      <w:r>
        <w:rPr>
          <w:sz w:val="24"/>
        </w:rPr>
        <w:t>2021.</w:t>
      </w:r>
    </w:p>
    <w:p>
      <w:pPr>
        <w:pStyle w:val="ListParagraph"/>
        <w:numPr>
          <w:ilvl w:val="0"/>
          <w:numId w:val="1"/>
        </w:numPr>
        <w:tabs>
          <w:tab w:pos="1080" w:val="left" w:leader="none"/>
        </w:tabs>
        <w:spacing w:line="312" w:lineRule="auto" w:before="179" w:after="0"/>
        <w:ind w:left="1195" w:right="389" w:hanging="201"/>
        <w:jc w:val="left"/>
        <w:rPr>
          <w:sz w:val="24"/>
        </w:rPr>
      </w:pPr>
      <w:r>
        <w:rPr>
          <w:sz w:val="24"/>
        </w:rPr>
        <w:t>Thomas</w:t>
      </w:r>
      <w:r>
        <w:rPr>
          <w:spacing w:val="33"/>
          <w:sz w:val="24"/>
        </w:rPr>
        <w:t> </w:t>
      </w:r>
      <w:r>
        <w:rPr>
          <w:sz w:val="24"/>
        </w:rPr>
        <w:t>Sawczuk,</w:t>
      </w:r>
      <w:r>
        <w:rPr>
          <w:spacing w:val="40"/>
          <w:sz w:val="24"/>
        </w:rPr>
        <w:t> </w:t>
      </w:r>
      <w:r>
        <w:rPr>
          <w:sz w:val="24"/>
        </w:rPr>
        <w:t>Anna</w:t>
      </w:r>
      <w:r>
        <w:rPr>
          <w:spacing w:val="33"/>
          <w:sz w:val="24"/>
        </w:rPr>
        <w:t> </w:t>
      </w:r>
      <w:r>
        <w:rPr>
          <w:sz w:val="24"/>
        </w:rPr>
        <w:t>Palczewska,</w:t>
      </w:r>
      <w:r>
        <w:rPr>
          <w:spacing w:val="40"/>
          <w:sz w:val="24"/>
        </w:rPr>
        <w:t> </w:t>
      </w:r>
      <w:r>
        <w:rPr>
          <w:sz w:val="24"/>
        </w:rPr>
        <w:t>Ben</w:t>
      </w:r>
      <w:r>
        <w:rPr>
          <w:spacing w:val="33"/>
          <w:sz w:val="24"/>
        </w:rPr>
        <w:t> </w:t>
      </w:r>
      <w:r>
        <w:rPr>
          <w:sz w:val="24"/>
        </w:rPr>
        <w:t>Jones,</w:t>
      </w:r>
      <w:r>
        <w:rPr>
          <w:spacing w:val="40"/>
          <w:sz w:val="24"/>
        </w:rPr>
        <w:t> </w:t>
      </w:r>
      <w:r>
        <w:rPr>
          <w:sz w:val="24"/>
        </w:rPr>
        <w:t>Jan</w:t>
      </w:r>
      <w:r>
        <w:rPr>
          <w:spacing w:val="33"/>
          <w:sz w:val="24"/>
        </w:rPr>
        <w:t> </w:t>
      </w:r>
      <w:r>
        <w:rPr>
          <w:sz w:val="24"/>
        </w:rPr>
        <w:t>Palczewski.</w:t>
      </w:r>
      <w:r>
        <w:rPr>
          <w:spacing w:val="80"/>
          <w:sz w:val="24"/>
        </w:rPr>
        <w:t> </w:t>
      </w:r>
      <w:r>
        <w:rPr>
          <w:sz w:val="24"/>
        </w:rPr>
        <w:t>”Use</w:t>
      </w:r>
      <w:r>
        <w:rPr>
          <w:spacing w:val="33"/>
          <w:sz w:val="24"/>
        </w:rPr>
        <w:t> </w:t>
      </w:r>
      <w:r>
        <w:rPr>
          <w:sz w:val="24"/>
        </w:rPr>
        <w:t>of</w:t>
      </w:r>
      <w:r>
        <w:rPr>
          <w:spacing w:val="33"/>
          <w:sz w:val="24"/>
        </w:rPr>
        <w:t> </w:t>
      </w:r>
      <w:r>
        <w:rPr>
          <w:sz w:val="24"/>
        </w:rPr>
        <w:t>Ker- nel Density Estimation to understand the spatial trends of attacking </w:t>
      </w:r>
      <w:r>
        <w:rPr>
          <w:sz w:val="24"/>
        </w:rPr>
        <w:t>possessions</w:t>
      </w:r>
      <w:r>
        <w:rPr>
          <w:spacing w:val="80"/>
          <w:w w:val="150"/>
          <w:sz w:val="24"/>
        </w:rPr>
        <w:t> </w:t>
      </w:r>
      <w:r>
        <w:rPr>
          <w:sz w:val="24"/>
        </w:rPr>
        <w:t>in rugby league” in </w:t>
      </w:r>
      <w:r>
        <w:rPr>
          <w:i/>
          <w:sz w:val="24"/>
        </w:rPr>
        <w:t>21st UK Workshop on Computational Intelligence</w:t>
      </w:r>
      <w:r>
        <w:rPr>
          <w:sz w:val="24"/>
        </w:rPr>
        <w:t>, Sheffield, </w:t>
      </w:r>
      <w:r>
        <w:rPr>
          <w:spacing w:val="-2"/>
          <w:sz w:val="24"/>
        </w:rPr>
        <w:t>2022.</w:t>
      </w:r>
    </w:p>
    <w:p>
      <w:pPr>
        <w:pStyle w:val="BodyText"/>
        <w:rPr>
          <w:sz w:val="20"/>
        </w:rPr>
      </w:pPr>
    </w:p>
    <w:p>
      <w:pPr>
        <w:pStyle w:val="BodyText"/>
        <w:spacing w:before="3"/>
        <w:rPr>
          <w:sz w:val="28"/>
        </w:rPr>
      </w:pPr>
    </w:p>
    <w:p>
      <w:pPr>
        <w:spacing w:before="114"/>
        <w:ind w:left="610" w:right="0" w:firstLine="0"/>
        <w:jc w:val="left"/>
        <w:rPr>
          <w:b/>
          <w:sz w:val="28"/>
        </w:rPr>
      </w:pPr>
      <w:r>
        <w:rPr>
          <w:b/>
          <w:sz w:val="28"/>
          <w:u w:val="single"/>
        </w:rPr>
        <w:t>Presentation</w:t>
      </w:r>
      <w:r>
        <w:rPr>
          <w:b/>
          <w:spacing w:val="17"/>
          <w:sz w:val="28"/>
          <w:u w:val="single"/>
        </w:rPr>
        <w:t> </w:t>
      </w:r>
      <w:r>
        <w:rPr>
          <w:b/>
          <w:sz w:val="28"/>
          <w:u w:val="single"/>
        </w:rPr>
        <w:t>and</w:t>
      </w:r>
      <w:r>
        <w:rPr>
          <w:b/>
          <w:spacing w:val="18"/>
          <w:sz w:val="28"/>
          <w:u w:val="single"/>
        </w:rPr>
        <w:t> </w:t>
      </w:r>
      <w:r>
        <w:rPr>
          <w:b/>
          <w:spacing w:val="-2"/>
          <w:sz w:val="28"/>
          <w:u w:val="single"/>
        </w:rPr>
        <w:t>posters</w:t>
      </w:r>
    </w:p>
    <w:p>
      <w:pPr>
        <w:pStyle w:val="ListParagraph"/>
        <w:numPr>
          <w:ilvl w:val="0"/>
          <w:numId w:val="1"/>
        </w:numPr>
        <w:tabs>
          <w:tab w:pos="1080" w:val="left" w:leader="none"/>
        </w:tabs>
        <w:spacing w:line="312" w:lineRule="auto" w:before="214" w:after="0"/>
        <w:ind w:left="1195" w:right="389" w:hanging="201"/>
        <w:jc w:val="left"/>
        <w:rPr>
          <w:sz w:val="24"/>
        </w:rPr>
      </w:pPr>
      <w:r>
        <w:rPr>
          <w:sz w:val="24"/>
        </w:rPr>
        <w:t>”Markov</w:t>
      </w:r>
      <w:r>
        <w:rPr>
          <w:spacing w:val="-7"/>
          <w:sz w:val="24"/>
        </w:rPr>
        <w:t> </w:t>
      </w:r>
      <w:r>
        <w:rPr>
          <w:sz w:val="24"/>
        </w:rPr>
        <w:t>Decision</w:t>
      </w:r>
      <w:r>
        <w:rPr>
          <w:spacing w:val="-7"/>
          <w:sz w:val="24"/>
        </w:rPr>
        <w:t> </w:t>
      </w:r>
      <w:r>
        <w:rPr>
          <w:sz w:val="24"/>
        </w:rPr>
        <w:t>Processes</w:t>
      </w:r>
      <w:r>
        <w:rPr>
          <w:spacing w:val="-7"/>
          <w:sz w:val="24"/>
        </w:rPr>
        <w:t> </w:t>
      </w:r>
      <w:r>
        <w:rPr>
          <w:sz w:val="24"/>
        </w:rPr>
        <w:t>with</w:t>
      </w:r>
      <w:r>
        <w:rPr>
          <w:spacing w:val="-7"/>
          <w:sz w:val="24"/>
        </w:rPr>
        <w:t> </w:t>
      </w:r>
      <w:r>
        <w:rPr>
          <w:sz w:val="24"/>
        </w:rPr>
        <w:t>contextual</w:t>
      </w:r>
      <w:r>
        <w:rPr>
          <w:spacing w:val="-7"/>
          <w:sz w:val="24"/>
        </w:rPr>
        <w:t> </w:t>
      </w:r>
      <w:r>
        <w:rPr>
          <w:sz w:val="24"/>
        </w:rPr>
        <w:t>nodes</w:t>
      </w:r>
      <w:r>
        <w:rPr>
          <w:spacing w:val="-7"/>
          <w:sz w:val="24"/>
        </w:rPr>
        <w:t> </w:t>
      </w:r>
      <w:r>
        <w:rPr>
          <w:sz w:val="24"/>
        </w:rPr>
        <w:t>as</w:t>
      </w:r>
      <w:r>
        <w:rPr>
          <w:spacing w:val="-7"/>
          <w:sz w:val="24"/>
        </w:rPr>
        <w:t> </w:t>
      </w:r>
      <w:r>
        <w:rPr>
          <w:sz w:val="24"/>
        </w:rPr>
        <w:t>a</w:t>
      </w:r>
      <w:r>
        <w:rPr>
          <w:spacing w:val="-7"/>
          <w:sz w:val="24"/>
        </w:rPr>
        <w:t> </w:t>
      </w:r>
      <w:r>
        <w:rPr>
          <w:sz w:val="24"/>
        </w:rPr>
        <w:t>method</w:t>
      </w:r>
      <w:r>
        <w:rPr>
          <w:spacing w:val="-7"/>
          <w:sz w:val="24"/>
        </w:rPr>
        <w:t> </w:t>
      </w:r>
      <w:r>
        <w:rPr>
          <w:sz w:val="24"/>
        </w:rPr>
        <w:t>of</w:t>
      </w:r>
      <w:r>
        <w:rPr>
          <w:spacing w:val="-7"/>
          <w:sz w:val="24"/>
        </w:rPr>
        <w:t> </w:t>
      </w:r>
      <w:r>
        <w:rPr>
          <w:sz w:val="24"/>
        </w:rPr>
        <w:t>assessing</w:t>
      </w:r>
      <w:r>
        <w:rPr>
          <w:spacing w:val="-7"/>
          <w:sz w:val="24"/>
        </w:rPr>
        <w:t> </w:t>
      </w:r>
      <w:r>
        <w:rPr>
          <w:sz w:val="24"/>
        </w:rPr>
        <w:t>attack- ing player performance in rugby league”, UKCI 2021 Aberystwyth </w:t>
      </w:r>
      <w:r>
        <w:rPr>
          <w:sz w:val="24"/>
        </w:rPr>
        <w:t>Presentation,</w:t>
      </w:r>
      <w:r>
        <w:rPr>
          <w:sz w:val="24"/>
        </w:rPr>
        <w:t> September 2021</w:t>
      </w:r>
    </w:p>
    <w:p>
      <w:pPr>
        <w:pStyle w:val="ListParagraph"/>
        <w:numPr>
          <w:ilvl w:val="0"/>
          <w:numId w:val="1"/>
        </w:numPr>
        <w:tabs>
          <w:tab w:pos="1080" w:val="left" w:leader="none"/>
        </w:tabs>
        <w:spacing w:line="312" w:lineRule="auto" w:before="179" w:after="0"/>
        <w:ind w:left="1195" w:right="457" w:hanging="201"/>
        <w:jc w:val="left"/>
        <w:rPr>
          <w:sz w:val="24"/>
        </w:rPr>
      </w:pPr>
      <w:r>
        <w:rPr>
          <w:sz w:val="24"/>
        </w:rPr>
        <w:t>”Use of Kernel Density Estimation to understand the spatial trends of attacking</w:t>
      </w:r>
      <w:r>
        <w:rPr>
          <w:spacing w:val="80"/>
          <w:w w:val="150"/>
          <w:sz w:val="24"/>
        </w:rPr>
        <w:t> </w:t>
      </w:r>
      <w:r>
        <w:rPr>
          <w:sz w:val="24"/>
        </w:rPr>
        <w:t>possessions</w:t>
      </w:r>
      <w:r>
        <w:rPr>
          <w:spacing w:val="-9"/>
          <w:sz w:val="24"/>
        </w:rPr>
        <w:t> </w:t>
      </w:r>
      <w:r>
        <w:rPr>
          <w:sz w:val="24"/>
        </w:rPr>
        <w:t>in</w:t>
      </w:r>
      <w:r>
        <w:rPr>
          <w:spacing w:val="-9"/>
          <w:sz w:val="24"/>
        </w:rPr>
        <w:t> </w:t>
      </w:r>
      <w:r>
        <w:rPr>
          <w:sz w:val="24"/>
        </w:rPr>
        <w:t>rugby</w:t>
      </w:r>
      <w:r>
        <w:rPr>
          <w:spacing w:val="-9"/>
          <w:sz w:val="24"/>
        </w:rPr>
        <w:t> </w:t>
      </w:r>
      <w:r>
        <w:rPr>
          <w:sz w:val="24"/>
        </w:rPr>
        <w:t>league”,</w:t>
      </w:r>
      <w:r>
        <w:rPr>
          <w:spacing w:val="-9"/>
          <w:sz w:val="24"/>
        </w:rPr>
        <w:t> </w:t>
      </w:r>
      <w:r>
        <w:rPr>
          <w:sz w:val="24"/>
        </w:rPr>
        <w:t>UKCI</w:t>
      </w:r>
      <w:r>
        <w:rPr>
          <w:spacing w:val="-9"/>
          <w:sz w:val="24"/>
        </w:rPr>
        <w:t> </w:t>
      </w:r>
      <w:r>
        <w:rPr>
          <w:sz w:val="24"/>
        </w:rPr>
        <w:t>2022</w:t>
      </w:r>
      <w:r>
        <w:rPr>
          <w:spacing w:val="-9"/>
          <w:sz w:val="24"/>
        </w:rPr>
        <w:t> </w:t>
      </w:r>
      <w:r>
        <w:rPr>
          <w:sz w:val="24"/>
        </w:rPr>
        <w:t>Sheffield</w:t>
      </w:r>
      <w:r>
        <w:rPr>
          <w:spacing w:val="-9"/>
          <w:sz w:val="24"/>
        </w:rPr>
        <w:t> </w:t>
      </w:r>
      <w:r>
        <w:rPr>
          <w:sz w:val="24"/>
        </w:rPr>
        <w:t>Presentation,</w:t>
      </w:r>
      <w:r>
        <w:rPr>
          <w:spacing w:val="-9"/>
          <w:sz w:val="24"/>
        </w:rPr>
        <w:t> </w:t>
      </w:r>
      <w:r>
        <w:rPr>
          <w:sz w:val="24"/>
        </w:rPr>
        <w:t>September</w:t>
      </w:r>
      <w:r>
        <w:rPr>
          <w:spacing w:val="-9"/>
          <w:sz w:val="24"/>
        </w:rPr>
        <w:t> </w:t>
      </w:r>
      <w:r>
        <w:rPr>
          <w:sz w:val="24"/>
        </w:rPr>
        <w:t>2022</w:t>
      </w:r>
    </w:p>
    <w:p>
      <w:pPr>
        <w:spacing w:after="0" w:line="312" w:lineRule="auto"/>
        <w:jc w:val="left"/>
        <w:rPr>
          <w:sz w:val="24"/>
        </w:rPr>
        <w:sectPr>
          <w:pgSz w:w="11910" w:h="16840"/>
          <w:pgMar w:header="0" w:footer="1428" w:top="1920" w:bottom="1620" w:left="1680" w:right="720"/>
        </w:sectPr>
      </w:pPr>
    </w:p>
    <w:p>
      <w:pPr>
        <w:pStyle w:val="BodyText"/>
        <w:rPr>
          <w:sz w:val="20"/>
        </w:rPr>
      </w:pPr>
    </w:p>
    <w:p>
      <w:pPr>
        <w:pStyle w:val="BodyText"/>
        <w:rPr>
          <w:sz w:val="20"/>
        </w:rPr>
      </w:pPr>
    </w:p>
    <w:p>
      <w:pPr>
        <w:pStyle w:val="BodyText"/>
        <w:rPr>
          <w:sz w:val="20"/>
        </w:rPr>
      </w:pPr>
    </w:p>
    <w:p>
      <w:pPr>
        <w:pStyle w:val="ListParagraph"/>
        <w:numPr>
          <w:ilvl w:val="0"/>
          <w:numId w:val="1"/>
        </w:numPr>
        <w:tabs>
          <w:tab w:pos="1080" w:val="left" w:leader="none"/>
        </w:tabs>
        <w:spacing w:line="312" w:lineRule="auto" w:before="232" w:after="0"/>
        <w:ind w:left="1195" w:right="389" w:hanging="201"/>
        <w:jc w:val="left"/>
        <w:rPr>
          <w:sz w:val="24"/>
        </w:rPr>
      </w:pPr>
      <w:r>
        <w:rPr>
          <w:sz w:val="24"/>
        </w:rPr>
        <w:t>”Development</w:t>
      </w:r>
      <w:r>
        <w:rPr>
          <w:spacing w:val="40"/>
          <w:sz w:val="24"/>
        </w:rPr>
        <w:t> </w:t>
      </w:r>
      <w:r>
        <w:rPr>
          <w:sz w:val="24"/>
        </w:rPr>
        <w:t>of</w:t>
      </w:r>
      <w:r>
        <w:rPr>
          <w:spacing w:val="40"/>
          <w:sz w:val="24"/>
        </w:rPr>
        <w:t> </w:t>
      </w:r>
      <w:r>
        <w:rPr>
          <w:sz w:val="24"/>
        </w:rPr>
        <w:t>an</w:t>
      </w:r>
      <w:r>
        <w:rPr>
          <w:spacing w:val="40"/>
          <w:sz w:val="24"/>
        </w:rPr>
        <w:t> </w:t>
      </w:r>
      <w:r>
        <w:rPr>
          <w:sz w:val="24"/>
        </w:rPr>
        <w:t>expected</w:t>
      </w:r>
      <w:r>
        <w:rPr>
          <w:spacing w:val="40"/>
          <w:sz w:val="24"/>
        </w:rPr>
        <w:t> </w:t>
      </w:r>
      <w:r>
        <w:rPr>
          <w:sz w:val="24"/>
        </w:rPr>
        <w:t>possession</w:t>
      </w:r>
      <w:r>
        <w:rPr>
          <w:spacing w:val="40"/>
          <w:sz w:val="24"/>
        </w:rPr>
        <w:t> </w:t>
      </w:r>
      <w:r>
        <w:rPr>
          <w:sz w:val="24"/>
        </w:rPr>
        <w:t>value</w:t>
      </w:r>
      <w:r>
        <w:rPr>
          <w:spacing w:val="40"/>
          <w:sz w:val="24"/>
        </w:rPr>
        <w:t> </w:t>
      </w:r>
      <w:r>
        <w:rPr>
          <w:sz w:val="24"/>
        </w:rPr>
        <w:t>model</w:t>
      </w:r>
      <w:r>
        <w:rPr>
          <w:spacing w:val="40"/>
          <w:sz w:val="24"/>
        </w:rPr>
        <w:t> </w:t>
      </w:r>
      <w:r>
        <w:rPr>
          <w:sz w:val="24"/>
        </w:rPr>
        <w:t>to</w:t>
      </w:r>
      <w:r>
        <w:rPr>
          <w:spacing w:val="40"/>
          <w:sz w:val="24"/>
        </w:rPr>
        <w:t> </w:t>
      </w:r>
      <w:r>
        <w:rPr>
          <w:sz w:val="24"/>
        </w:rPr>
        <w:t>analyse</w:t>
      </w:r>
      <w:r>
        <w:rPr>
          <w:spacing w:val="40"/>
          <w:sz w:val="24"/>
        </w:rPr>
        <w:t> </w:t>
      </w:r>
      <w:r>
        <w:rPr>
          <w:sz w:val="24"/>
        </w:rPr>
        <w:t>rugby</w:t>
      </w:r>
      <w:r>
        <w:rPr>
          <w:spacing w:val="40"/>
          <w:sz w:val="24"/>
        </w:rPr>
        <w:t> </w:t>
      </w:r>
      <w:r>
        <w:rPr>
          <w:sz w:val="24"/>
        </w:rPr>
        <w:t>league team’s attacking performances”, Internal England Performance Unit </w:t>
      </w:r>
      <w:r>
        <w:rPr>
          <w:sz w:val="24"/>
        </w:rPr>
        <w:t>Presentation,</w:t>
      </w:r>
      <w:r>
        <w:rPr>
          <w:sz w:val="24"/>
        </w:rPr>
        <w:t> October 2020</w:t>
      </w:r>
    </w:p>
    <w:p>
      <w:pPr>
        <w:pStyle w:val="ListParagraph"/>
        <w:numPr>
          <w:ilvl w:val="0"/>
          <w:numId w:val="1"/>
        </w:numPr>
        <w:tabs>
          <w:tab w:pos="1080" w:val="left" w:leader="none"/>
        </w:tabs>
        <w:spacing w:line="312" w:lineRule="auto" w:before="198" w:after="0"/>
        <w:ind w:left="1195" w:right="389" w:hanging="201"/>
        <w:jc w:val="left"/>
        <w:rPr>
          <w:sz w:val="24"/>
        </w:rPr>
      </w:pPr>
      <w:r>
        <w:rPr>
          <w:sz w:val="24"/>
        </w:rPr>
        <w:t>”Evaluating team and player peformances in rugby league using Markov Decision Processes”, Internal Carnegie Applied Rugby Research Centre Presentation, </w:t>
      </w:r>
      <w:r>
        <w:rPr>
          <w:sz w:val="24"/>
        </w:rPr>
        <w:t>Au-</w:t>
      </w:r>
      <w:r>
        <w:rPr>
          <w:sz w:val="24"/>
        </w:rPr>
        <w:t> gust 2021</w:t>
      </w:r>
    </w:p>
    <w:p>
      <w:pPr>
        <w:pStyle w:val="ListParagraph"/>
        <w:numPr>
          <w:ilvl w:val="0"/>
          <w:numId w:val="1"/>
        </w:numPr>
        <w:tabs>
          <w:tab w:pos="1080" w:val="left" w:leader="none"/>
        </w:tabs>
        <w:spacing w:line="312" w:lineRule="auto" w:before="199" w:after="0"/>
        <w:ind w:left="1195" w:right="506" w:hanging="201"/>
        <w:jc w:val="left"/>
        <w:rPr>
          <w:sz w:val="24"/>
        </w:rPr>
      </w:pPr>
      <w:r>
        <w:rPr>
          <w:sz w:val="24"/>
        </w:rPr>
        <w:t>”Gaining greater insights into rugby league using Stats Perform event level </w:t>
      </w:r>
      <w:r>
        <w:rPr>
          <w:sz w:val="24"/>
        </w:rPr>
        <w:t>data”,</w:t>
      </w:r>
      <w:r>
        <w:rPr>
          <w:sz w:val="24"/>
        </w:rPr>
        <w:t> External StatsPerform Presentation, April 2022</w:t>
      </w:r>
    </w:p>
    <w:p>
      <w:pPr>
        <w:pStyle w:val="ListParagraph"/>
        <w:numPr>
          <w:ilvl w:val="0"/>
          <w:numId w:val="1"/>
        </w:numPr>
        <w:tabs>
          <w:tab w:pos="1080" w:val="left" w:leader="none"/>
        </w:tabs>
        <w:spacing w:line="312" w:lineRule="auto" w:before="199" w:after="0"/>
        <w:ind w:left="1195" w:right="506" w:hanging="201"/>
        <w:jc w:val="left"/>
        <w:rPr>
          <w:sz w:val="24"/>
        </w:rPr>
      </w:pPr>
      <w:r>
        <w:rPr>
          <w:spacing w:val="-2"/>
          <w:sz w:val="24"/>
        </w:rPr>
        <w:t>”Expected</w:t>
      </w:r>
      <w:r>
        <w:rPr>
          <w:spacing w:val="-9"/>
          <w:sz w:val="24"/>
        </w:rPr>
        <w:t> </w:t>
      </w:r>
      <w:r>
        <w:rPr>
          <w:spacing w:val="-2"/>
          <w:sz w:val="24"/>
        </w:rPr>
        <w:t>Possession</w:t>
      </w:r>
      <w:r>
        <w:rPr>
          <w:spacing w:val="-9"/>
          <w:sz w:val="24"/>
        </w:rPr>
        <w:t> </w:t>
      </w:r>
      <w:r>
        <w:rPr>
          <w:spacing w:val="-2"/>
          <w:sz w:val="24"/>
        </w:rPr>
        <w:t>Values</w:t>
      </w:r>
      <w:r>
        <w:rPr>
          <w:spacing w:val="-9"/>
          <w:sz w:val="24"/>
        </w:rPr>
        <w:t> </w:t>
      </w:r>
      <w:r>
        <w:rPr>
          <w:spacing w:val="-2"/>
          <w:sz w:val="24"/>
        </w:rPr>
        <w:t>in</w:t>
      </w:r>
      <w:r>
        <w:rPr>
          <w:spacing w:val="-9"/>
          <w:sz w:val="24"/>
        </w:rPr>
        <w:t> </w:t>
      </w:r>
      <w:r>
        <w:rPr>
          <w:spacing w:val="-2"/>
          <w:sz w:val="24"/>
        </w:rPr>
        <w:t>rugby</w:t>
      </w:r>
      <w:r>
        <w:rPr>
          <w:spacing w:val="-9"/>
          <w:sz w:val="24"/>
        </w:rPr>
        <w:t> </w:t>
      </w:r>
      <w:r>
        <w:rPr>
          <w:spacing w:val="-2"/>
          <w:sz w:val="24"/>
        </w:rPr>
        <w:t>league”,</w:t>
      </w:r>
      <w:r>
        <w:rPr>
          <w:spacing w:val="-6"/>
          <w:sz w:val="24"/>
        </w:rPr>
        <w:t> </w:t>
      </w:r>
      <w:r>
        <w:rPr>
          <w:spacing w:val="-2"/>
          <w:sz w:val="24"/>
        </w:rPr>
        <w:t>External</w:t>
      </w:r>
      <w:r>
        <w:rPr>
          <w:spacing w:val="-9"/>
          <w:sz w:val="24"/>
        </w:rPr>
        <w:t> </w:t>
      </w:r>
      <w:r>
        <w:rPr>
          <w:spacing w:val="-2"/>
          <w:sz w:val="24"/>
        </w:rPr>
        <w:t>Catapult</w:t>
      </w:r>
      <w:r>
        <w:rPr>
          <w:spacing w:val="-9"/>
          <w:sz w:val="24"/>
        </w:rPr>
        <w:t> </w:t>
      </w:r>
      <w:r>
        <w:rPr>
          <w:spacing w:val="-2"/>
          <w:sz w:val="24"/>
        </w:rPr>
        <w:t>Presentation,</w:t>
      </w:r>
      <w:r>
        <w:rPr>
          <w:spacing w:val="-6"/>
          <w:sz w:val="24"/>
        </w:rPr>
        <w:t> </w:t>
      </w:r>
      <w:r>
        <w:rPr>
          <w:spacing w:val="-2"/>
          <w:sz w:val="24"/>
        </w:rPr>
        <w:t>Ma</w:t>
      </w:r>
      <w:r>
        <w:rPr>
          <w:spacing w:val="-2"/>
          <w:sz w:val="24"/>
        </w:rPr>
        <w:t>y</w:t>
      </w:r>
      <w:r>
        <w:rPr>
          <w:spacing w:val="-2"/>
          <w:sz w:val="24"/>
        </w:rPr>
        <w:t> </w:t>
      </w:r>
      <w:r>
        <w:rPr>
          <w:spacing w:val="-4"/>
          <w:sz w:val="24"/>
        </w:rPr>
        <w:t>2022</w:t>
      </w:r>
    </w:p>
    <w:p>
      <w:pPr>
        <w:pStyle w:val="ListParagraph"/>
        <w:numPr>
          <w:ilvl w:val="0"/>
          <w:numId w:val="1"/>
        </w:numPr>
        <w:tabs>
          <w:tab w:pos="1080" w:val="left" w:leader="none"/>
        </w:tabs>
        <w:spacing w:line="312" w:lineRule="auto" w:before="198" w:after="0"/>
        <w:ind w:left="1195" w:right="389" w:hanging="201"/>
        <w:jc w:val="left"/>
        <w:rPr>
          <w:sz w:val="24"/>
        </w:rPr>
      </w:pPr>
      <w:r>
        <w:rPr>
          <w:sz w:val="24"/>
        </w:rPr>
        <w:t>”Gaining insights into rugby league match performances using advanced statistical </w:t>
      </w:r>
      <w:r>
        <w:rPr>
          <w:spacing w:val="-2"/>
          <w:sz w:val="24"/>
        </w:rPr>
        <w:t>methods”, Internal</w:t>
      </w:r>
      <w:r>
        <w:rPr>
          <w:spacing w:val="-3"/>
          <w:sz w:val="24"/>
        </w:rPr>
        <w:t> </w:t>
      </w:r>
      <w:r>
        <w:rPr>
          <w:spacing w:val="-2"/>
          <w:sz w:val="24"/>
        </w:rPr>
        <w:t>Carnegie</w:t>
      </w:r>
      <w:r>
        <w:rPr>
          <w:spacing w:val="-4"/>
          <w:sz w:val="24"/>
        </w:rPr>
        <w:t> </w:t>
      </w:r>
      <w:r>
        <w:rPr>
          <w:spacing w:val="-2"/>
          <w:sz w:val="24"/>
        </w:rPr>
        <w:t>School</w:t>
      </w:r>
      <w:r>
        <w:rPr>
          <w:spacing w:val="-3"/>
          <w:sz w:val="24"/>
        </w:rPr>
        <w:t> </w:t>
      </w:r>
      <w:r>
        <w:rPr>
          <w:spacing w:val="-2"/>
          <w:sz w:val="24"/>
        </w:rPr>
        <w:t>of</w:t>
      </w:r>
      <w:r>
        <w:rPr>
          <w:spacing w:val="-4"/>
          <w:sz w:val="24"/>
        </w:rPr>
        <w:t> </w:t>
      </w:r>
      <w:r>
        <w:rPr>
          <w:spacing w:val="-2"/>
          <w:sz w:val="24"/>
        </w:rPr>
        <w:t>Sport</w:t>
      </w:r>
      <w:r>
        <w:rPr>
          <w:spacing w:val="-3"/>
          <w:sz w:val="24"/>
        </w:rPr>
        <w:t> </w:t>
      </w:r>
      <w:r>
        <w:rPr>
          <w:spacing w:val="-2"/>
          <w:sz w:val="24"/>
        </w:rPr>
        <w:t>Postgraduate</w:t>
      </w:r>
      <w:r>
        <w:rPr>
          <w:spacing w:val="-3"/>
          <w:sz w:val="24"/>
        </w:rPr>
        <w:t> </w:t>
      </w:r>
      <w:r>
        <w:rPr>
          <w:spacing w:val="-2"/>
          <w:sz w:val="24"/>
        </w:rPr>
        <w:t>Conference</w:t>
      </w:r>
      <w:r>
        <w:rPr>
          <w:spacing w:val="-3"/>
          <w:sz w:val="24"/>
        </w:rPr>
        <w:t> </w:t>
      </w:r>
      <w:r>
        <w:rPr>
          <w:spacing w:val="-2"/>
          <w:sz w:val="24"/>
        </w:rPr>
        <w:t>Presentation</w:t>
      </w:r>
      <w:r>
        <w:rPr>
          <w:spacing w:val="-2"/>
          <w:sz w:val="24"/>
        </w:rPr>
        <w:t>,</w:t>
      </w:r>
      <w:r>
        <w:rPr>
          <w:spacing w:val="-2"/>
          <w:sz w:val="24"/>
        </w:rPr>
        <w:t> </w:t>
      </w:r>
      <w:r>
        <w:rPr>
          <w:sz w:val="24"/>
        </w:rPr>
        <w:t>June 2022</w:t>
      </w:r>
    </w:p>
    <w:p>
      <w:pPr>
        <w:pStyle w:val="ListParagraph"/>
        <w:numPr>
          <w:ilvl w:val="0"/>
          <w:numId w:val="1"/>
        </w:numPr>
        <w:tabs>
          <w:tab w:pos="1080" w:val="left" w:leader="none"/>
        </w:tabs>
        <w:spacing w:line="312" w:lineRule="auto" w:before="199" w:after="0"/>
        <w:ind w:left="1195" w:right="506" w:hanging="201"/>
        <w:jc w:val="left"/>
        <w:rPr>
          <w:sz w:val="24"/>
        </w:rPr>
      </w:pPr>
      <w:r>
        <w:rPr>
          <w:sz w:val="24"/>
        </w:rPr>
        <w:t>”Understanding</w:t>
      </w:r>
      <w:r>
        <w:rPr>
          <w:spacing w:val="26"/>
          <w:sz w:val="24"/>
        </w:rPr>
        <w:t> </w:t>
      </w:r>
      <w:r>
        <w:rPr>
          <w:sz w:val="24"/>
        </w:rPr>
        <w:t>player</w:t>
      </w:r>
      <w:r>
        <w:rPr>
          <w:spacing w:val="26"/>
          <w:sz w:val="24"/>
        </w:rPr>
        <w:t> </w:t>
      </w:r>
      <w:r>
        <w:rPr>
          <w:sz w:val="24"/>
        </w:rPr>
        <w:t>and</w:t>
      </w:r>
      <w:r>
        <w:rPr>
          <w:spacing w:val="26"/>
          <w:sz w:val="24"/>
        </w:rPr>
        <w:t> </w:t>
      </w:r>
      <w:r>
        <w:rPr>
          <w:sz w:val="24"/>
        </w:rPr>
        <w:t>team</w:t>
      </w:r>
      <w:r>
        <w:rPr>
          <w:spacing w:val="26"/>
          <w:sz w:val="24"/>
        </w:rPr>
        <w:t> </w:t>
      </w:r>
      <w:r>
        <w:rPr>
          <w:sz w:val="24"/>
        </w:rPr>
        <w:t>performances</w:t>
      </w:r>
      <w:r>
        <w:rPr>
          <w:spacing w:val="26"/>
          <w:sz w:val="24"/>
        </w:rPr>
        <w:t> </w:t>
      </w:r>
      <w:r>
        <w:rPr>
          <w:sz w:val="24"/>
        </w:rPr>
        <w:t>in</w:t>
      </w:r>
      <w:r>
        <w:rPr>
          <w:spacing w:val="26"/>
          <w:sz w:val="24"/>
        </w:rPr>
        <w:t> </w:t>
      </w:r>
      <w:r>
        <w:rPr>
          <w:sz w:val="24"/>
        </w:rPr>
        <w:t>rugby</w:t>
      </w:r>
      <w:r>
        <w:rPr>
          <w:spacing w:val="26"/>
          <w:sz w:val="24"/>
        </w:rPr>
        <w:t> </w:t>
      </w:r>
      <w:r>
        <w:rPr>
          <w:sz w:val="24"/>
        </w:rPr>
        <w:t>league”</w:t>
      </w:r>
      <w:r>
        <w:rPr>
          <w:spacing w:val="26"/>
          <w:sz w:val="24"/>
        </w:rPr>
        <w:t> </w:t>
      </w:r>
      <w:r>
        <w:rPr>
          <w:sz w:val="24"/>
        </w:rPr>
        <w:t>External</w:t>
      </w:r>
      <w:r>
        <w:rPr>
          <w:spacing w:val="26"/>
          <w:sz w:val="24"/>
        </w:rPr>
        <w:t> </w:t>
      </w:r>
      <w:r>
        <w:rPr>
          <w:sz w:val="24"/>
        </w:rPr>
        <w:t>Leeds</w:t>
      </w:r>
      <w:r>
        <w:rPr>
          <w:sz w:val="24"/>
        </w:rPr>
        <w:t> Rhinos Presentation, October 2022</w:t>
      </w:r>
    </w:p>
    <w:p>
      <w:pPr>
        <w:spacing w:after="0" w:line="312" w:lineRule="auto"/>
        <w:jc w:val="left"/>
        <w:rPr>
          <w:sz w:val="24"/>
        </w:rPr>
        <w:sectPr>
          <w:pgSz w:w="11910" w:h="16840"/>
          <w:pgMar w:header="0" w:footer="1428" w:top="192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2"/>
        </w:rPr>
      </w:pPr>
    </w:p>
    <w:p>
      <w:pPr>
        <w:pStyle w:val="Heading1"/>
        <w:spacing w:before="100"/>
      </w:pPr>
      <w:r>
        <w:rPr>
          <w:spacing w:val="-2"/>
        </w:rPr>
        <w:t>Contents</w:t>
      </w:r>
    </w:p>
    <w:p>
      <w:pPr>
        <w:pStyle w:val="BodyText"/>
        <w:rPr>
          <w:sz w:val="60"/>
        </w:rPr>
      </w:pPr>
    </w:p>
    <w:p>
      <w:pPr>
        <w:pStyle w:val="BodyText"/>
        <w:rPr>
          <w:sz w:val="60"/>
        </w:rPr>
      </w:pPr>
    </w:p>
    <w:p>
      <w:pPr>
        <w:pStyle w:val="ListParagraph"/>
        <w:numPr>
          <w:ilvl w:val="0"/>
          <w:numId w:val="2"/>
        </w:numPr>
        <w:tabs>
          <w:tab w:pos="968" w:val="left" w:leader="none"/>
          <w:tab w:pos="970" w:val="left" w:leader="none"/>
        </w:tabs>
        <w:spacing w:line="240" w:lineRule="auto" w:before="482" w:after="0"/>
        <w:ind w:left="969" w:right="0" w:hanging="360"/>
        <w:jc w:val="left"/>
        <w:rPr>
          <w:b/>
          <w:sz w:val="24"/>
        </w:rPr>
      </w:pPr>
      <w:r>
        <w:rPr>
          <w:b/>
          <w:spacing w:val="-2"/>
          <w:sz w:val="24"/>
        </w:rPr>
        <w:t>Introduction</w:t>
      </w:r>
      <w:r>
        <w:rPr>
          <w:b/>
          <w:color w:val="0000FF"/>
          <w:spacing w:val="-2"/>
          <w:sz w:val="24"/>
        </w:rPr>
        <w:t>1</w:t>
      </w:r>
    </w:p>
    <w:p>
      <w:pPr>
        <w:spacing w:after="0" w:line="240" w:lineRule="auto"/>
        <w:jc w:val="left"/>
        <w:rPr>
          <w:sz w:val="24"/>
        </w:rPr>
        <w:sectPr>
          <w:pgSz w:w="11910" w:h="16840"/>
          <w:pgMar w:header="0" w:footer="1428" w:top="1920" w:bottom="1320" w:left="1680" w:right="720"/>
        </w:sectPr>
      </w:pPr>
    </w:p>
    <w:sdt>
      <w:sdtPr>
        <w:docPartObj>
          <w:docPartGallery w:val="Table of Contents"/>
          <w:docPartUnique/>
        </w:docPartObj>
      </w:sdtPr>
      <w:sdtEndPr/>
      <w:sdtContent>
        <w:p>
          <w:pPr>
            <w:pStyle w:val="TOC2"/>
            <w:numPr>
              <w:ilvl w:val="1"/>
              <w:numId w:val="2"/>
            </w:numPr>
            <w:tabs>
              <w:tab w:pos="1518" w:val="left" w:leader="none"/>
              <w:tab w:pos="1519" w:val="left" w:leader="none"/>
              <w:tab w:pos="8739" w:val="right" w:leader="dot"/>
            </w:tabs>
            <w:spacing w:line="240" w:lineRule="auto" w:before="83" w:after="0"/>
            <w:ind w:left="1518" w:right="0" w:hanging="550"/>
            <w:jc w:val="left"/>
          </w:pPr>
          <w:hyperlink w:history="true" w:anchor="_TOC_250066">
            <w:r>
              <w:rPr>
                <w:spacing w:val="-2"/>
              </w:rPr>
              <w:t>Background</w:t>
            </w:r>
            <w:r>
              <w:rPr/>
              <w:tab/>
            </w:r>
            <w:r>
              <w:rPr>
                <w:color w:val="0000FF"/>
                <w:spacing w:val="-10"/>
              </w:rPr>
              <w:t>1</w:t>
            </w:r>
          </w:hyperlink>
        </w:p>
        <w:p>
          <w:pPr>
            <w:pStyle w:val="TOC2"/>
            <w:numPr>
              <w:ilvl w:val="1"/>
              <w:numId w:val="2"/>
            </w:numPr>
            <w:tabs>
              <w:tab w:pos="1518" w:val="left" w:leader="none"/>
              <w:tab w:pos="1519" w:val="left" w:leader="none"/>
              <w:tab w:pos="8739" w:val="right" w:leader="dot"/>
            </w:tabs>
            <w:spacing w:line="240" w:lineRule="auto" w:before="82" w:after="0"/>
            <w:ind w:left="1518" w:right="0" w:hanging="550"/>
            <w:jc w:val="left"/>
          </w:pPr>
          <w:hyperlink w:history="true" w:anchor="_TOC_250065">
            <w:r>
              <w:rPr>
                <w:spacing w:val="-2"/>
              </w:rPr>
              <w:t>Motivation</w:t>
            </w:r>
            <w:r>
              <w:rPr/>
              <w:tab/>
            </w:r>
            <w:r>
              <w:rPr>
                <w:color w:val="0000FF"/>
                <w:spacing w:val="-10"/>
              </w:rPr>
              <w:t>3</w:t>
            </w:r>
          </w:hyperlink>
        </w:p>
        <w:p>
          <w:pPr>
            <w:pStyle w:val="TOC2"/>
            <w:numPr>
              <w:ilvl w:val="1"/>
              <w:numId w:val="2"/>
            </w:numPr>
            <w:tabs>
              <w:tab w:pos="1518" w:val="left" w:leader="none"/>
              <w:tab w:pos="1519" w:val="left" w:leader="none"/>
              <w:tab w:pos="8739" w:val="right" w:leader="dot"/>
            </w:tabs>
            <w:spacing w:line="240" w:lineRule="auto" w:before="83" w:after="0"/>
            <w:ind w:left="1518" w:right="0" w:hanging="550"/>
            <w:jc w:val="left"/>
          </w:pPr>
          <w:hyperlink w:history="true" w:anchor="_TOC_250064">
            <w:r>
              <w:rPr/>
              <w:t>Goals</w:t>
            </w:r>
            <w:r>
              <w:rPr>
                <w:spacing w:val="-6"/>
              </w:rPr>
              <w:t> </w:t>
            </w:r>
            <w:r>
              <w:rPr/>
              <w:t>and</w:t>
            </w:r>
            <w:r>
              <w:rPr>
                <w:spacing w:val="-6"/>
              </w:rPr>
              <w:t> </w:t>
            </w:r>
            <w:r>
              <w:rPr>
                <w:spacing w:val="-2"/>
              </w:rPr>
              <w:t>Objectives</w:t>
            </w:r>
            <w:r>
              <w:rPr/>
              <w:tab/>
            </w:r>
            <w:r>
              <w:rPr>
                <w:color w:val="0000FF"/>
                <w:spacing w:val="-10"/>
              </w:rPr>
              <w:t>5</w:t>
            </w:r>
          </w:hyperlink>
        </w:p>
        <w:p>
          <w:pPr>
            <w:pStyle w:val="TOC2"/>
            <w:numPr>
              <w:ilvl w:val="1"/>
              <w:numId w:val="2"/>
            </w:numPr>
            <w:tabs>
              <w:tab w:pos="1518" w:val="left" w:leader="none"/>
              <w:tab w:pos="1519" w:val="left" w:leader="none"/>
              <w:tab w:pos="8739" w:val="right" w:leader="dot"/>
            </w:tabs>
            <w:spacing w:line="240" w:lineRule="auto" w:before="82" w:after="0"/>
            <w:ind w:left="1518" w:right="0" w:hanging="550"/>
            <w:jc w:val="left"/>
          </w:pPr>
          <w:hyperlink w:history="true" w:anchor="_TOC_250063">
            <w:r>
              <w:rPr/>
              <w:t>Thesis</w:t>
            </w:r>
            <w:r>
              <w:rPr>
                <w:spacing w:val="-8"/>
              </w:rPr>
              <w:t> </w:t>
            </w:r>
            <w:r>
              <w:rPr>
                <w:spacing w:val="-2"/>
              </w:rPr>
              <w:t>Scope</w:t>
            </w:r>
            <w:r>
              <w:rPr/>
              <w:tab/>
            </w:r>
            <w:r>
              <w:rPr>
                <w:color w:val="0000FF"/>
                <w:spacing w:val="-10"/>
              </w:rPr>
              <w:t>6</w:t>
            </w:r>
          </w:hyperlink>
        </w:p>
        <w:p>
          <w:pPr>
            <w:pStyle w:val="TOC2"/>
            <w:numPr>
              <w:ilvl w:val="1"/>
              <w:numId w:val="2"/>
            </w:numPr>
            <w:tabs>
              <w:tab w:pos="1518" w:val="left" w:leader="none"/>
              <w:tab w:pos="1519" w:val="left" w:leader="none"/>
              <w:tab w:pos="8739" w:val="right" w:leader="dot"/>
            </w:tabs>
            <w:spacing w:line="240" w:lineRule="auto" w:before="83" w:after="0"/>
            <w:ind w:left="1518" w:right="0" w:hanging="550"/>
            <w:jc w:val="left"/>
          </w:pPr>
          <w:hyperlink w:history="true" w:anchor="_TOC_250062">
            <w:r>
              <w:rPr/>
              <w:t>Thesis</w:t>
            </w:r>
            <w:r>
              <w:rPr>
                <w:spacing w:val="-8"/>
              </w:rPr>
              <w:t> </w:t>
            </w:r>
            <w:r>
              <w:rPr>
                <w:spacing w:val="-2"/>
              </w:rPr>
              <w:t>Structure</w:t>
            </w:r>
            <w:r>
              <w:rPr/>
              <w:tab/>
            </w:r>
            <w:r>
              <w:rPr>
                <w:color w:val="0000FF"/>
                <w:spacing w:val="-10"/>
              </w:rPr>
              <w:t>7</w:t>
            </w:r>
          </w:hyperlink>
        </w:p>
        <w:p>
          <w:pPr>
            <w:pStyle w:val="TOC1"/>
            <w:numPr>
              <w:ilvl w:val="0"/>
              <w:numId w:val="2"/>
            </w:numPr>
            <w:tabs>
              <w:tab w:pos="968" w:val="left" w:leader="none"/>
              <w:tab w:pos="970" w:val="left" w:leader="none"/>
            </w:tabs>
            <w:spacing w:line="240" w:lineRule="auto" w:before="322" w:after="0"/>
            <w:ind w:left="969" w:right="0" w:hanging="360"/>
            <w:jc w:val="left"/>
          </w:pPr>
          <w:r>
            <w:rPr>
              <w:spacing w:val="-2"/>
            </w:rPr>
            <w:t>Literature</w:t>
          </w:r>
          <w:r>
            <w:rPr>
              <w:spacing w:val="3"/>
            </w:rPr>
            <w:t> </w:t>
          </w:r>
          <w:r>
            <w:rPr>
              <w:spacing w:val="-2"/>
            </w:rPr>
            <w:t>Review</w:t>
          </w:r>
          <w:r>
            <w:rPr>
              <w:color w:val="0000FF"/>
              <w:spacing w:val="-2"/>
            </w:rPr>
            <w:t>11</w:t>
          </w:r>
        </w:p>
        <w:p>
          <w:pPr>
            <w:pStyle w:val="TOC2"/>
            <w:numPr>
              <w:ilvl w:val="1"/>
              <w:numId w:val="2"/>
            </w:numPr>
            <w:tabs>
              <w:tab w:pos="1518" w:val="left" w:leader="none"/>
              <w:tab w:pos="1519" w:val="left" w:leader="none"/>
              <w:tab w:pos="8859" w:val="right" w:leader="dot"/>
            </w:tabs>
            <w:spacing w:line="240" w:lineRule="auto" w:before="82" w:after="0"/>
            <w:ind w:left="1518" w:right="0" w:hanging="550"/>
            <w:jc w:val="left"/>
          </w:pPr>
          <w:hyperlink w:history="true" w:anchor="_TOC_250061">
            <w:r>
              <w:rPr/>
              <w:t>Data</w:t>
            </w:r>
            <w:r>
              <w:rPr>
                <w:spacing w:val="-11"/>
              </w:rPr>
              <w:t> </w:t>
            </w:r>
            <w:r>
              <w:rPr/>
              <w:t>in</w:t>
            </w:r>
            <w:r>
              <w:rPr>
                <w:spacing w:val="-11"/>
              </w:rPr>
              <w:t> </w:t>
            </w:r>
            <w:r>
              <w:rPr/>
              <w:t>Team</w:t>
            </w:r>
            <w:r>
              <w:rPr>
                <w:spacing w:val="-10"/>
              </w:rPr>
              <w:t> </w:t>
            </w:r>
            <w:r>
              <w:rPr>
                <w:spacing w:val="-2"/>
              </w:rPr>
              <w:t>Sports</w:t>
            </w:r>
            <w:r>
              <w:rPr/>
              <w:tab/>
            </w:r>
            <w:r>
              <w:rPr>
                <w:color w:val="0000FF"/>
                <w:spacing w:val="-5"/>
              </w:rPr>
              <w:t>11</w:t>
            </w:r>
          </w:hyperlink>
        </w:p>
        <w:p>
          <w:pPr>
            <w:pStyle w:val="TOC2"/>
            <w:numPr>
              <w:ilvl w:val="1"/>
              <w:numId w:val="2"/>
            </w:numPr>
            <w:tabs>
              <w:tab w:pos="1518" w:val="left" w:leader="none"/>
              <w:tab w:pos="1519" w:val="left" w:leader="none"/>
              <w:tab w:pos="8859" w:val="right" w:leader="dot"/>
            </w:tabs>
            <w:spacing w:line="240" w:lineRule="auto" w:before="83" w:after="0"/>
            <w:ind w:left="1518" w:right="0" w:hanging="550"/>
            <w:jc w:val="left"/>
          </w:pPr>
          <w:hyperlink w:history="true" w:anchor="_TOC_250060">
            <w:r>
              <w:rPr/>
              <w:t>Team</w:t>
            </w:r>
            <w:r>
              <w:rPr>
                <w:spacing w:val="-11"/>
              </w:rPr>
              <w:t> </w:t>
            </w:r>
            <w:r>
              <w:rPr/>
              <w:t>and</w:t>
            </w:r>
            <w:r>
              <w:rPr>
                <w:spacing w:val="-10"/>
              </w:rPr>
              <w:t> </w:t>
            </w:r>
            <w:r>
              <w:rPr/>
              <w:t>Player</w:t>
            </w:r>
            <w:r>
              <w:rPr>
                <w:spacing w:val="-10"/>
              </w:rPr>
              <w:t> </w:t>
            </w:r>
            <w:r>
              <w:rPr/>
              <w:t>Performance</w:t>
            </w:r>
            <w:r>
              <w:rPr>
                <w:spacing w:val="-10"/>
              </w:rPr>
              <w:t> </w:t>
            </w:r>
            <w:r>
              <w:rPr/>
              <w:t>Analysis</w:t>
            </w:r>
            <w:r>
              <w:rPr>
                <w:spacing w:val="-10"/>
              </w:rPr>
              <w:t> </w:t>
            </w:r>
            <w:r>
              <w:rPr/>
              <w:t>in</w:t>
            </w:r>
            <w:r>
              <w:rPr>
                <w:spacing w:val="-10"/>
              </w:rPr>
              <w:t> </w:t>
            </w:r>
            <w:r>
              <w:rPr>
                <w:spacing w:val="-2"/>
              </w:rPr>
              <w:t>Sport</w:t>
            </w:r>
            <w:r>
              <w:rPr/>
              <w:tab/>
            </w:r>
            <w:r>
              <w:rPr>
                <w:color w:val="0000FF"/>
                <w:spacing w:val="-5"/>
              </w:rPr>
              <w:t>13</w:t>
            </w:r>
          </w:hyperlink>
        </w:p>
        <w:p>
          <w:pPr>
            <w:pStyle w:val="TOC3"/>
            <w:numPr>
              <w:ilvl w:val="2"/>
              <w:numId w:val="2"/>
            </w:numPr>
            <w:tabs>
              <w:tab w:pos="2284" w:val="left" w:leader="none"/>
              <w:tab w:pos="2285" w:val="left" w:leader="none"/>
              <w:tab w:pos="8859" w:val="right" w:leader="dot"/>
            </w:tabs>
            <w:spacing w:line="240" w:lineRule="auto" w:before="82" w:after="0"/>
            <w:ind w:left="2284" w:right="0" w:hanging="767"/>
            <w:jc w:val="left"/>
          </w:pPr>
          <w:hyperlink w:history="true" w:anchor="_TOC_250059">
            <w:r>
              <w:rPr/>
              <w:t>Accumulated</w:t>
            </w:r>
            <w:r>
              <w:rPr>
                <w:spacing w:val="-11"/>
              </w:rPr>
              <w:t> </w:t>
            </w:r>
            <w:r>
              <w:rPr/>
              <w:t>Count</w:t>
            </w:r>
            <w:r>
              <w:rPr>
                <w:spacing w:val="-10"/>
              </w:rPr>
              <w:t> </w:t>
            </w:r>
            <w:r>
              <w:rPr/>
              <w:t>Data</w:t>
            </w:r>
            <w:r>
              <w:rPr>
                <w:spacing w:val="-10"/>
              </w:rPr>
              <w:t> </w:t>
            </w:r>
            <w:r>
              <w:rPr/>
              <w:t>Analysis</w:t>
            </w:r>
            <w:r>
              <w:rPr>
                <w:spacing w:val="-11"/>
              </w:rPr>
              <w:t> </w:t>
            </w:r>
            <w:r>
              <w:rPr/>
              <w:t>in</w:t>
            </w:r>
            <w:r>
              <w:rPr>
                <w:spacing w:val="-10"/>
              </w:rPr>
              <w:t> </w:t>
            </w:r>
            <w:r>
              <w:rPr/>
              <w:t>Team</w:t>
            </w:r>
            <w:r>
              <w:rPr>
                <w:spacing w:val="-10"/>
              </w:rPr>
              <w:t> </w:t>
            </w:r>
            <w:r>
              <w:rPr>
                <w:spacing w:val="-2"/>
              </w:rPr>
              <w:t>Sports</w:t>
            </w:r>
            <w:r>
              <w:rPr/>
              <w:tab/>
            </w:r>
            <w:r>
              <w:rPr>
                <w:color w:val="0000FF"/>
                <w:spacing w:val="-5"/>
              </w:rPr>
              <w:t>14</w:t>
            </w:r>
          </w:hyperlink>
        </w:p>
        <w:p>
          <w:pPr>
            <w:pStyle w:val="TOC3"/>
            <w:numPr>
              <w:ilvl w:val="2"/>
              <w:numId w:val="2"/>
            </w:numPr>
            <w:tabs>
              <w:tab w:pos="2284" w:val="left" w:leader="none"/>
              <w:tab w:pos="2285" w:val="left" w:leader="none"/>
              <w:tab w:pos="8859" w:val="right" w:leader="dot"/>
            </w:tabs>
            <w:spacing w:line="240" w:lineRule="auto" w:before="83" w:after="0"/>
            <w:ind w:left="2284" w:right="0" w:hanging="767"/>
            <w:jc w:val="left"/>
          </w:pPr>
          <w:hyperlink w:history="true" w:anchor="_TOC_250058">
            <w:r>
              <w:rPr/>
              <w:t>Action</w:t>
            </w:r>
            <w:r>
              <w:rPr>
                <w:spacing w:val="-9"/>
              </w:rPr>
              <w:t> </w:t>
            </w:r>
            <w:r>
              <w:rPr/>
              <w:t>by</w:t>
            </w:r>
            <w:r>
              <w:rPr>
                <w:spacing w:val="-9"/>
              </w:rPr>
              <w:t> </w:t>
            </w:r>
            <w:r>
              <w:rPr/>
              <w:t>Action</w:t>
            </w:r>
            <w:r>
              <w:rPr>
                <w:spacing w:val="-8"/>
              </w:rPr>
              <w:t> </w:t>
            </w:r>
            <w:r>
              <w:rPr/>
              <w:t>Data</w:t>
            </w:r>
            <w:r>
              <w:rPr>
                <w:spacing w:val="-9"/>
              </w:rPr>
              <w:t> </w:t>
            </w:r>
            <w:r>
              <w:rPr/>
              <w:t>Analysis</w:t>
            </w:r>
            <w:r>
              <w:rPr>
                <w:spacing w:val="-8"/>
              </w:rPr>
              <w:t> </w:t>
            </w:r>
            <w:r>
              <w:rPr/>
              <w:t>in</w:t>
            </w:r>
            <w:r>
              <w:rPr>
                <w:spacing w:val="-9"/>
              </w:rPr>
              <w:t> </w:t>
            </w:r>
            <w:r>
              <w:rPr/>
              <w:t>Team</w:t>
            </w:r>
            <w:r>
              <w:rPr>
                <w:spacing w:val="-8"/>
              </w:rPr>
              <w:t> </w:t>
            </w:r>
            <w:r>
              <w:rPr>
                <w:spacing w:val="-2"/>
              </w:rPr>
              <w:t>Sports</w:t>
            </w:r>
            <w:r>
              <w:rPr/>
              <w:tab/>
            </w:r>
            <w:r>
              <w:rPr>
                <w:color w:val="0000FF"/>
                <w:spacing w:val="-5"/>
              </w:rPr>
              <w:t>19</w:t>
            </w:r>
          </w:hyperlink>
        </w:p>
        <w:p>
          <w:pPr>
            <w:pStyle w:val="TOC4"/>
            <w:numPr>
              <w:ilvl w:val="3"/>
              <w:numId w:val="2"/>
            </w:numPr>
            <w:tabs>
              <w:tab w:pos="3264" w:val="left" w:leader="none"/>
              <w:tab w:pos="3265" w:val="left" w:leader="none"/>
              <w:tab w:pos="8859" w:val="right" w:leader="dot"/>
            </w:tabs>
            <w:spacing w:line="240" w:lineRule="auto" w:before="83" w:after="0"/>
            <w:ind w:left="3264" w:right="0" w:hanging="981"/>
            <w:jc w:val="left"/>
          </w:pPr>
          <w:hyperlink w:history="true" w:anchor="_TOC_250057">
            <w:r>
              <w:rPr/>
              <w:t>Spatial</w:t>
            </w:r>
            <w:r>
              <w:rPr>
                <w:spacing w:val="-13"/>
              </w:rPr>
              <w:t> </w:t>
            </w:r>
            <w:r>
              <w:rPr/>
              <w:t>Trends</w:t>
            </w:r>
            <w:r>
              <w:rPr>
                <w:spacing w:val="-12"/>
              </w:rPr>
              <w:t> </w:t>
            </w:r>
            <w:r>
              <w:rPr/>
              <w:t>Analysis</w:t>
            </w:r>
            <w:r>
              <w:rPr>
                <w:spacing w:val="-12"/>
              </w:rPr>
              <w:t> </w:t>
            </w:r>
            <w:r>
              <w:rPr/>
              <w:t>in</w:t>
            </w:r>
            <w:r>
              <w:rPr>
                <w:spacing w:val="-12"/>
              </w:rPr>
              <w:t> </w:t>
            </w:r>
            <w:r>
              <w:rPr/>
              <w:t>Team</w:t>
            </w:r>
            <w:r>
              <w:rPr>
                <w:spacing w:val="-12"/>
              </w:rPr>
              <w:t> </w:t>
            </w:r>
            <w:r>
              <w:rPr>
                <w:spacing w:val="-2"/>
              </w:rPr>
              <w:t>Sports</w:t>
            </w:r>
            <w:r>
              <w:rPr/>
              <w:tab/>
            </w:r>
            <w:r>
              <w:rPr>
                <w:color w:val="0000FF"/>
                <w:spacing w:val="-5"/>
              </w:rPr>
              <w:t>19</w:t>
            </w:r>
          </w:hyperlink>
        </w:p>
        <w:p>
          <w:pPr>
            <w:pStyle w:val="TOC4"/>
            <w:numPr>
              <w:ilvl w:val="3"/>
              <w:numId w:val="2"/>
            </w:numPr>
            <w:tabs>
              <w:tab w:pos="3264" w:val="left" w:leader="none"/>
              <w:tab w:pos="3265" w:val="left" w:leader="none"/>
              <w:tab w:pos="8859" w:val="right" w:leader="dot"/>
            </w:tabs>
            <w:spacing w:line="240" w:lineRule="auto" w:before="82" w:after="0"/>
            <w:ind w:left="3264" w:right="0" w:hanging="981"/>
            <w:jc w:val="left"/>
          </w:pPr>
          <w:hyperlink w:history="true" w:anchor="_TOC_250056">
            <w:r>
              <w:rPr/>
              <w:t>Expected</w:t>
            </w:r>
            <w:r>
              <w:rPr>
                <w:spacing w:val="-15"/>
              </w:rPr>
              <w:t> </w:t>
            </w:r>
            <w:r>
              <w:rPr/>
              <w:t>Possession</w:t>
            </w:r>
            <w:r>
              <w:rPr>
                <w:spacing w:val="-15"/>
              </w:rPr>
              <w:t> </w:t>
            </w:r>
            <w:r>
              <w:rPr/>
              <w:t>Value</w:t>
            </w:r>
            <w:r>
              <w:rPr>
                <w:spacing w:val="-15"/>
              </w:rPr>
              <w:t> </w:t>
            </w:r>
            <w:r>
              <w:rPr/>
              <w:t>Models</w:t>
            </w:r>
            <w:r>
              <w:rPr>
                <w:spacing w:val="-15"/>
              </w:rPr>
              <w:t> </w:t>
            </w:r>
            <w:r>
              <w:rPr/>
              <w:t>in</w:t>
            </w:r>
            <w:r>
              <w:rPr>
                <w:spacing w:val="-15"/>
              </w:rPr>
              <w:t> </w:t>
            </w:r>
            <w:r>
              <w:rPr/>
              <w:t>Team</w:t>
            </w:r>
            <w:r>
              <w:rPr>
                <w:spacing w:val="-15"/>
              </w:rPr>
              <w:t> </w:t>
            </w:r>
            <w:r>
              <w:rPr>
                <w:spacing w:val="-2"/>
              </w:rPr>
              <w:t>Sports</w:t>
            </w:r>
            <w:r>
              <w:rPr/>
              <w:tab/>
            </w:r>
            <w:r>
              <w:rPr>
                <w:color w:val="0000FF"/>
                <w:spacing w:val="-5"/>
              </w:rPr>
              <w:t>24</w:t>
            </w:r>
          </w:hyperlink>
        </w:p>
        <w:p>
          <w:pPr>
            <w:pStyle w:val="TOC2"/>
            <w:numPr>
              <w:ilvl w:val="1"/>
              <w:numId w:val="2"/>
            </w:numPr>
            <w:tabs>
              <w:tab w:pos="1518" w:val="left" w:leader="none"/>
              <w:tab w:pos="1519" w:val="left" w:leader="none"/>
              <w:tab w:pos="8859" w:val="right" w:leader="dot"/>
            </w:tabs>
            <w:spacing w:line="240" w:lineRule="auto" w:before="83" w:after="0"/>
            <w:ind w:left="1518" w:right="0" w:hanging="550"/>
            <w:jc w:val="left"/>
          </w:pPr>
          <w:hyperlink w:history="true" w:anchor="_TOC_250055">
            <w:r>
              <w:rPr/>
              <w:t>Rugby</w:t>
            </w:r>
            <w:r>
              <w:rPr>
                <w:spacing w:val="-8"/>
              </w:rPr>
              <w:t> </w:t>
            </w:r>
            <w:r>
              <w:rPr>
                <w:spacing w:val="-2"/>
              </w:rPr>
              <w:t>League</w:t>
            </w:r>
            <w:r>
              <w:rPr/>
              <w:tab/>
            </w:r>
            <w:r>
              <w:rPr>
                <w:color w:val="0000FF"/>
                <w:spacing w:val="-5"/>
              </w:rPr>
              <w:t>35</w:t>
            </w:r>
          </w:hyperlink>
        </w:p>
        <w:p>
          <w:pPr>
            <w:pStyle w:val="TOC3"/>
            <w:numPr>
              <w:ilvl w:val="2"/>
              <w:numId w:val="2"/>
            </w:numPr>
            <w:tabs>
              <w:tab w:pos="2284" w:val="left" w:leader="none"/>
              <w:tab w:pos="2285" w:val="left" w:leader="none"/>
              <w:tab w:pos="8859" w:val="right" w:leader="dot"/>
            </w:tabs>
            <w:spacing w:line="240" w:lineRule="auto" w:before="82" w:after="0"/>
            <w:ind w:left="2284" w:right="0" w:hanging="767"/>
            <w:jc w:val="left"/>
          </w:pPr>
          <w:hyperlink w:history="true" w:anchor="_TOC_250054">
            <w:r>
              <w:rPr>
                <w:spacing w:val="-2"/>
              </w:rPr>
              <w:t>Overview</w:t>
            </w:r>
            <w:r>
              <w:rPr/>
              <w:tab/>
            </w:r>
            <w:r>
              <w:rPr>
                <w:color w:val="0000FF"/>
                <w:spacing w:val="-5"/>
              </w:rPr>
              <w:t>35</w:t>
            </w:r>
          </w:hyperlink>
        </w:p>
        <w:p>
          <w:pPr>
            <w:pStyle w:val="TOC3"/>
            <w:numPr>
              <w:ilvl w:val="2"/>
              <w:numId w:val="2"/>
            </w:numPr>
            <w:tabs>
              <w:tab w:pos="2284" w:val="left" w:leader="none"/>
              <w:tab w:pos="2285" w:val="left" w:leader="none"/>
              <w:tab w:pos="8859" w:val="right" w:leader="dot"/>
            </w:tabs>
            <w:spacing w:line="240" w:lineRule="auto" w:before="83" w:after="0"/>
            <w:ind w:left="2284" w:right="0" w:hanging="767"/>
            <w:jc w:val="left"/>
          </w:pPr>
          <w:hyperlink w:history="true" w:anchor="_TOC_250053">
            <w:r>
              <w:rPr/>
              <w:t>Team</w:t>
            </w:r>
            <w:r>
              <w:rPr>
                <w:spacing w:val="-10"/>
              </w:rPr>
              <w:t> </w:t>
            </w:r>
            <w:r>
              <w:rPr/>
              <w:t>and</w:t>
            </w:r>
            <w:r>
              <w:rPr>
                <w:spacing w:val="-10"/>
              </w:rPr>
              <w:t> </w:t>
            </w:r>
            <w:r>
              <w:rPr/>
              <w:t>Player</w:t>
            </w:r>
            <w:r>
              <w:rPr>
                <w:spacing w:val="-10"/>
              </w:rPr>
              <w:t> </w:t>
            </w:r>
            <w:r>
              <w:rPr/>
              <w:t>Performance</w:t>
            </w:r>
            <w:r>
              <w:rPr>
                <w:spacing w:val="-9"/>
              </w:rPr>
              <w:t> </w:t>
            </w:r>
            <w:r>
              <w:rPr/>
              <w:t>Analysis</w:t>
            </w:r>
            <w:r>
              <w:rPr>
                <w:spacing w:val="-10"/>
              </w:rPr>
              <w:t> </w:t>
            </w:r>
            <w:r>
              <w:rPr/>
              <w:t>in</w:t>
            </w:r>
            <w:r>
              <w:rPr>
                <w:spacing w:val="-10"/>
              </w:rPr>
              <w:t> </w:t>
            </w:r>
            <w:r>
              <w:rPr/>
              <w:t>Rugby</w:t>
            </w:r>
            <w:r>
              <w:rPr>
                <w:spacing w:val="-9"/>
              </w:rPr>
              <w:t> </w:t>
            </w:r>
            <w:r>
              <w:rPr>
                <w:spacing w:val="-2"/>
              </w:rPr>
              <w:t>League</w:t>
            </w:r>
            <w:r>
              <w:rPr/>
              <w:tab/>
            </w:r>
            <w:r>
              <w:rPr>
                <w:color w:val="0000FF"/>
                <w:spacing w:val="-5"/>
              </w:rPr>
              <w:t>41</w:t>
            </w:r>
          </w:hyperlink>
        </w:p>
        <w:p>
          <w:pPr>
            <w:pStyle w:val="TOC4"/>
            <w:numPr>
              <w:ilvl w:val="3"/>
              <w:numId w:val="2"/>
            </w:numPr>
            <w:tabs>
              <w:tab w:pos="3264" w:val="left" w:leader="none"/>
              <w:tab w:pos="3265" w:val="left" w:leader="none"/>
              <w:tab w:pos="8859" w:val="right" w:leader="dot"/>
            </w:tabs>
            <w:spacing w:line="240" w:lineRule="auto" w:before="82" w:after="0"/>
            <w:ind w:left="3264" w:right="0" w:hanging="981"/>
            <w:jc w:val="left"/>
          </w:pPr>
          <w:hyperlink w:history="true" w:anchor="_TOC_250052">
            <w:r>
              <w:rPr/>
              <w:t>Accumulated</w:t>
            </w:r>
            <w:r>
              <w:rPr>
                <w:spacing w:val="-8"/>
              </w:rPr>
              <w:t> </w:t>
            </w:r>
            <w:r>
              <w:rPr/>
              <w:t>Count</w:t>
            </w:r>
            <w:r>
              <w:rPr>
                <w:spacing w:val="-8"/>
              </w:rPr>
              <w:t> </w:t>
            </w:r>
            <w:r>
              <w:rPr/>
              <w:t>Data</w:t>
            </w:r>
            <w:r>
              <w:rPr>
                <w:spacing w:val="-7"/>
              </w:rPr>
              <w:t> </w:t>
            </w:r>
            <w:r>
              <w:rPr/>
              <w:t>Analysis</w:t>
            </w:r>
            <w:r>
              <w:rPr>
                <w:spacing w:val="-8"/>
              </w:rPr>
              <w:t> </w:t>
            </w:r>
            <w:r>
              <w:rPr/>
              <w:t>in</w:t>
            </w:r>
            <w:r>
              <w:rPr>
                <w:spacing w:val="-8"/>
              </w:rPr>
              <w:t> </w:t>
            </w:r>
            <w:r>
              <w:rPr/>
              <w:t>Rugby</w:t>
            </w:r>
            <w:r>
              <w:rPr>
                <w:spacing w:val="-7"/>
              </w:rPr>
              <w:t> </w:t>
            </w:r>
            <w:r>
              <w:rPr>
                <w:spacing w:val="-2"/>
              </w:rPr>
              <w:t>League</w:t>
            </w:r>
            <w:r>
              <w:rPr/>
              <w:tab/>
            </w:r>
            <w:r>
              <w:rPr>
                <w:color w:val="0000FF"/>
                <w:spacing w:val="-5"/>
              </w:rPr>
              <w:t>41</w:t>
            </w:r>
          </w:hyperlink>
        </w:p>
        <w:p>
          <w:pPr>
            <w:pStyle w:val="TOC4"/>
            <w:numPr>
              <w:ilvl w:val="3"/>
              <w:numId w:val="2"/>
            </w:numPr>
            <w:tabs>
              <w:tab w:pos="3264" w:val="left" w:leader="none"/>
              <w:tab w:pos="3265" w:val="left" w:leader="none"/>
              <w:tab w:pos="8859" w:val="right" w:leader="dot"/>
            </w:tabs>
            <w:spacing w:line="240" w:lineRule="auto" w:before="83" w:after="0"/>
            <w:ind w:left="3264" w:right="0" w:hanging="981"/>
            <w:jc w:val="left"/>
          </w:pPr>
          <w:hyperlink w:history="true" w:anchor="_TOC_250051">
            <w:r>
              <w:rPr/>
              <w:t>Play</w:t>
            </w:r>
            <w:r>
              <w:rPr>
                <w:spacing w:val="-6"/>
              </w:rPr>
              <w:t> </w:t>
            </w:r>
            <w:r>
              <w:rPr/>
              <w:t>by</w:t>
            </w:r>
            <w:r>
              <w:rPr>
                <w:spacing w:val="-6"/>
              </w:rPr>
              <w:t> </w:t>
            </w:r>
            <w:r>
              <w:rPr/>
              <w:t>Play</w:t>
            </w:r>
            <w:r>
              <w:rPr>
                <w:spacing w:val="-5"/>
              </w:rPr>
              <w:t> </w:t>
            </w:r>
            <w:r>
              <w:rPr/>
              <w:t>Data</w:t>
            </w:r>
            <w:r>
              <w:rPr>
                <w:spacing w:val="-6"/>
              </w:rPr>
              <w:t> </w:t>
            </w:r>
            <w:r>
              <w:rPr/>
              <w:t>Analysis</w:t>
            </w:r>
            <w:r>
              <w:rPr>
                <w:spacing w:val="-5"/>
              </w:rPr>
              <w:t> </w:t>
            </w:r>
            <w:r>
              <w:rPr/>
              <w:t>in</w:t>
            </w:r>
            <w:r>
              <w:rPr>
                <w:spacing w:val="-6"/>
              </w:rPr>
              <w:t> </w:t>
            </w:r>
            <w:r>
              <w:rPr/>
              <w:t>Rugby</w:t>
            </w:r>
            <w:r>
              <w:rPr>
                <w:spacing w:val="-6"/>
              </w:rPr>
              <w:t> </w:t>
            </w:r>
            <w:r>
              <w:rPr>
                <w:spacing w:val="-2"/>
              </w:rPr>
              <w:t>League</w:t>
            </w:r>
            <w:r>
              <w:rPr/>
              <w:tab/>
            </w:r>
            <w:r>
              <w:rPr>
                <w:color w:val="0000FF"/>
                <w:spacing w:val="-5"/>
              </w:rPr>
              <w:t>43</w:t>
            </w:r>
          </w:hyperlink>
        </w:p>
        <w:p>
          <w:pPr>
            <w:pStyle w:val="TOC2"/>
            <w:numPr>
              <w:ilvl w:val="1"/>
              <w:numId w:val="2"/>
            </w:numPr>
            <w:tabs>
              <w:tab w:pos="1518" w:val="left" w:leader="none"/>
              <w:tab w:pos="1519" w:val="left" w:leader="none"/>
              <w:tab w:pos="8859" w:val="right" w:leader="dot"/>
            </w:tabs>
            <w:spacing w:line="240" w:lineRule="auto" w:before="83" w:after="0"/>
            <w:ind w:left="1518" w:right="0" w:hanging="550"/>
            <w:jc w:val="left"/>
          </w:pPr>
          <w:hyperlink w:history="true" w:anchor="_TOC_250050">
            <w:r>
              <w:rPr>
                <w:spacing w:val="-2"/>
              </w:rPr>
              <w:t>Summary</w:t>
            </w:r>
            <w:r>
              <w:rPr/>
              <w:tab/>
            </w:r>
            <w:r>
              <w:rPr>
                <w:color w:val="0000FF"/>
                <w:spacing w:val="-5"/>
              </w:rPr>
              <w:t>45</w:t>
            </w:r>
          </w:hyperlink>
        </w:p>
        <w:p>
          <w:pPr>
            <w:pStyle w:val="TOC3"/>
            <w:numPr>
              <w:ilvl w:val="2"/>
              <w:numId w:val="2"/>
            </w:numPr>
            <w:tabs>
              <w:tab w:pos="2284" w:val="left" w:leader="none"/>
              <w:tab w:pos="2285" w:val="left" w:leader="none"/>
              <w:tab w:pos="8859" w:val="right" w:leader="dot"/>
            </w:tabs>
            <w:spacing w:line="240" w:lineRule="auto" w:before="82" w:after="0"/>
            <w:ind w:left="2284" w:right="0" w:hanging="767"/>
            <w:jc w:val="left"/>
          </w:pPr>
          <w:hyperlink w:history="true" w:anchor="_TOC_250049">
            <w:r>
              <w:rPr/>
              <w:t>Spatial</w:t>
            </w:r>
            <w:r>
              <w:rPr>
                <w:spacing w:val="-13"/>
              </w:rPr>
              <w:t> </w:t>
            </w:r>
            <w:r>
              <w:rPr/>
              <w:t>Trends</w:t>
            </w:r>
            <w:r>
              <w:rPr>
                <w:spacing w:val="-12"/>
              </w:rPr>
              <w:t> </w:t>
            </w:r>
            <w:r>
              <w:rPr>
                <w:spacing w:val="-2"/>
              </w:rPr>
              <w:t>Models</w:t>
            </w:r>
            <w:r>
              <w:rPr/>
              <w:tab/>
            </w:r>
            <w:r>
              <w:rPr>
                <w:color w:val="0000FF"/>
                <w:spacing w:val="-5"/>
              </w:rPr>
              <w:t>46</w:t>
            </w:r>
          </w:hyperlink>
        </w:p>
        <w:p>
          <w:pPr>
            <w:pStyle w:val="TOC3"/>
            <w:numPr>
              <w:ilvl w:val="2"/>
              <w:numId w:val="2"/>
            </w:numPr>
            <w:tabs>
              <w:tab w:pos="2284" w:val="left" w:leader="none"/>
              <w:tab w:pos="2285" w:val="left" w:leader="none"/>
              <w:tab w:pos="8859" w:val="right" w:leader="dot"/>
            </w:tabs>
            <w:spacing w:line="240" w:lineRule="auto" w:before="83" w:after="240"/>
            <w:ind w:left="2284" w:right="0" w:hanging="767"/>
            <w:jc w:val="left"/>
          </w:pPr>
          <w:hyperlink w:history="true" w:anchor="_TOC_250048">
            <w:r>
              <w:rPr>
                <w:spacing w:val="-2"/>
              </w:rPr>
              <w:t>Expected</w:t>
            </w:r>
            <w:r>
              <w:rPr>
                <w:spacing w:val="-4"/>
              </w:rPr>
              <w:t> </w:t>
            </w:r>
            <w:r>
              <w:rPr>
                <w:spacing w:val="-2"/>
              </w:rPr>
              <w:t>Possession</w:t>
            </w:r>
            <w:r>
              <w:rPr>
                <w:spacing w:val="-3"/>
              </w:rPr>
              <w:t> </w:t>
            </w:r>
            <w:r>
              <w:rPr>
                <w:spacing w:val="-2"/>
              </w:rPr>
              <w:t>Value</w:t>
            </w:r>
            <w:r>
              <w:rPr>
                <w:spacing w:val="-3"/>
              </w:rPr>
              <w:t> </w:t>
            </w:r>
            <w:r>
              <w:rPr>
                <w:spacing w:val="-2"/>
              </w:rPr>
              <w:t>Models</w:t>
            </w:r>
            <w:r>
              <w:rPr/>
              <w:tab/>
            </w:r>
            <w:r>
              <w:rPr>
                <w:color w:val="0000FF"/>
                <w:spacing w:val="-5"/>
              </w:rPr>
              <w:t>50</w:t>
            </w:r>
          </w:hyperlink>
        </w:p>
        <w:p>
          <w:pPr>
            <w:pStyle w:val="TOC2"/>
            <w:numPr>
              <w:ilvl w:val="1"/>
              <w:numId w:val="2"/>
            </w:numPr>
            <w:tabs>
              <w:tab w:pos="1518" w:val="left" w:leader="none"/>
              <w:tab w:pos="1519" w:val="left" w:leader="none"/>
              <w:tab w:pos="8859" w:val="right" w:leader="dot"/>
            </w:tabs>
            <w:spacing w:line="240" w:lineRule="auto" w:before="572" w:after="0"/>
            <w:ind w:left="1518" w:right="0" w:hanging="550"/>
            <w:jc w:val="left"/>
          </w:pPr>
          <w:hyperlink w:history="true" w:anchor="_TOC_250047">
            <w:r>
              <w:rPr>
                <w:spacing w:val="-2"/>
              </w:rPr>
              <w:t>Methodological</w:t>
            </w:r>
            <w:r>
              <w:rPr>
                <w:spacing w:val="11"/>
              </w:rPr>
              <w:t> </w:t>
            </w:r>
            <w:r>
              <w:rPr>
                <w:spacing w:val="-2"/>
              </w:rPr>
              <w:t>Overview</w:t>
            </w:r>
            <w:r>
              <w:rPr/>
              <w:tab/>
            </w:r>
            <w:r>
              <w:rPr>
                <w:color w:val="0000FF"/>
                <w:spacing w:val="-5"/>
              </w:rPr>
              <w:t>52</w:t>
            </w:r>
          </w:hyperlink>
        </w:p>
        <w:p>
          <w:pPr>
            <w:pStyle w:val="TOC1"/>
            <w:numPr>
              <w:ilvl w:val="0"/>
              <w:numId w:val="2"/>
            </w:numPr>
            <w:tabs>
              <w:tab w:pos="968" w:val="left" w:leader="none"/>
              <w:tab w:pos="970" w:val="left" w:leader="none"/>
            </w:tabs>
            <w:spacing w:line="312" w:lineRule="auto" w:before="321" w:after="0"/>
            <w:ind w:left="969" w:right="759" w:hanging="359"/>
            <w:jc w:val="left"/>
          </w:pPr>
          <w:r>
            <w:rPr/>
            <w:t>Markov</w:t>
          </w:r>
          <w:r>
            <w:rPr>
              <w:spacing w:val="-9"/>
            </w:rPr>
            <w:t> </w:t>
          </w:r>
          <w:r>
            <w:rPr/>
            <w:t>Reward</w:t>
          </w:r>
          <w:r>
            <w:rPr>
              <w:spacing w:val="-9"/>
            </w:rPr>
            <w:t> </w:t>
          </w:r>
          <w:r>
            <w:rPr/>
            <w:t>Processes</w:t>
          </w:r>
          <w:r>
            <w:rPr>
              <w:spacing w:val="-9"/>
            </w:rPr>
            <w:t> </w:t>
          </w:r>
          <w:r>
            <w:rPr/>
            <w:t>for</w:t>
          </w:r>
          <w:r>
            <w:rPr>
              <w:spacing w:val="-9"/>
            </w:rPr>
            <w:t> </w:t>
          </w:r>
          <w:r>
            <w:rPr/>
            <w:t>the</w:t>
          </w:r>
          <w:r>
            <w:rPr>
              <w:spacing w:val="-9"/>
            </w:rPr>
            <w:t> </w:t>
          </w:r>
          <w:r>
            <w:rPr/>
            <w:t>Quantification</w:t>
          </w:r>
          <w:r>
            <w:rPr>
              <w:spacing w:val="-9"/>
            </w:rPr>
            <w:t> </w:t>
          </w:r>
          <w:r>
            <w:rPr/>
            <w:t>of</w:t>
          </w:r>
          <w:r>
            <w:rPr>
              <w:spacing w:val="-9"/>
            </w:rPr>
            <w:t> </w:t>
          </w:r>
          <w:r>
            <w:rPr/>
            <w:t>Team</w:t>
          </w:r>
          <w:r>
            <w:rPr>
              <w:spacing w:val="-9"/>
            </w:rPr>
            <w:t> </w:t>
          </w:r>
          <w:r>
            <w:rPr/>
            <w:t>Attacking</w:t>
          </w:r>
          <w:r>
            <w:rPr>
              <w:spacing w:val="-9"/>
            </w:rPr>
            <w:t> </w:t>
          </w:r>
          <w:r>
            <w:rPr/>
            <w:t>Perfor</w:t>
          </w:r>
          <w:r>
            <w:rPr/>
            <w:t>-</w:t>
          </w:r>
          <w:r>
            <w:rPr/>
            <w:t> </w:t>
          </w:r>
          <w:r>
            <w:rPr>
              <w:spacing w:val="-2"/>
            </w:rPr>
            <w:t>mances</w:t>
          </w:r>
          <w:r>
            <w:rPr>
              <w:color w:val="0000FF"/>
              <w:spacing w:val="-2"/>
            </w:rPr>
            <w:t>55</w:t>
          </w:r>
        </w:p>
        <w:p>
          <w:pPr>
            <w:pStyle w:val="TOC2"/>
            <w:numPr>
              <w:ilvl w:val="1"/>
              <w:numId w:val="2"/>
            </w:numPr>
            <w:tabs>
              <w:tab w:pos="1518" w:val="left" w:leader="none"/>
              <w:tab w:pos="1519" w:val="left" w:leader="none"/>
              <w:tab w:pos="8859" w:val="right" w:leader="dot"/>
            </w:tabs>
            <w:spacing w:line="276" w:lineRule="exact" w:before="0" w:after="0"/>
            <w:ind w:left="1518" w:right="0" w:hanging="550"/>
            <w:jc w:val="left"/>
          </w:pPr>
          <w:hyperlink w:history="true" w:anchor="_TOC_250046">
            <w:r>
              <w:rPr>
                <w:spacing w:val="-2"/>
              </w:rPr>
              <w:t>Introduction</w:t>
            </w:r>
            <w:r>
              <w:rPr/>
              <w:tab/>
            </w:r>
            <w:r>
              <w:rPr>
                <w:color w:val="0000FF"/>
                <w:spacing w:val="-5"/>
              </w:rPr>
              <w:t>55</w:t>
            </w:r>
          </w:hyperlink>
        </w:p>
        <w:p>
          <w:pPr>
            <w:pStyle w:val="TOC2"/>
            <w:numPr>
              <w:ilvl w:val="1"/>
              <w:numId w:val="2"/>
            </w:numPr>
            <w:tabs>
              <w:tab w:pos="1518" w:val="left" w:leader="none"/>
              <w:tab w:pos="1519" w:val="left" w:leader="none"/>
              <w:tab w:pos="8859" w:val="right" w:leader="dot"/>
            </w:tabs>
            <w:spacing w:line="240" w:lineRule="auto" w:before="83" w:after="0"/>
            <w:ind w:left="1518" w:right="0" w:hanging="550"/>
            <w:jc w:val="left"/>
          </w:pPr>
          <w:hyperlink w:history="true" w:anchor="_TOC_250045">
            <w:r>
              <w:rPr>
                <w:spacing w:val="-2"/>
              </w:rPr>
              <w:t>Methodology</w:t>
            </w:r>
            <w:r>
              <w:rPr/>
              <w:tab/>
            </w:r>
            <w:r>
              <w:rPr>
                <w:color w:val="0000FF"/>
                <w:spacing w:val="-5"/>
              </w:rPr>
              <w:t>56</w:t>
            </w:r>
          </w:hyperlink>
        </w:p>
        <w:p>
          <w:pPr>
            <w:pStyle w:val="TOC3"/>
            <w:numPr>
              <w:ilvl w:val="2"/>
              <w:numId w:val="2"/>
            </w:numPr>
            <w:tabs>
              <w:tab w:pos="2284" w:val="left" w:leader="none"/>
              <w:tab w:pos="2285" w:val="left" w:leader="none"/>
              <w:tab w:pos="8859" w:val="right" w:leader="dot"/>
            </w:tabs>
            <w:spacing w:line="240" w:lineRule="auto" w:before="83" w:after="0"/>
            <w:ind w:left="2284" w:right="0" w:hanging="767"/>
            <w:jc w:val="left"/>
          </w:pPr>
          <w:hyperlink w:history="true" w:anchor="_TOC_250044">
            <w:r>
              <w:rPr>
                <w:spacing w:val="-4"/>
              </w:rPr>
              <w:t>Data</w:t>
            </w:r>
            <w:r>
              <w:rPr/>
              <w:tab/>
            </w:r>
            <w:r>
              <w:rPr>
                <w:color w:val="0000FF"/>
                <w:spacing w:val="-5"/>
              </w:rPr>
              <w:t>56</w:t>
            </w:r>
          </w:hyperlink>
        </w:p>
        <w:p>
          <w:pPr>
            <w:pStyle w:val="TOC3"/>
            <w:numPr>
              <w:ilvl w:val="2"/>
              <w:numId w:val="2"/>
            </w:numPr>
            <w:tabs>
              <w:tab w:pos="2284" w:val="left" w:leader="none"/>
              <w:tab w:pos="2285" w:val="left" w:leader="none"/>
              <w:tab w:pos="8859" w:val="right" w:leader="dot"/>
            </w:tabs>
            <w:spacing w:line="240" w:lineRule="auto" w:before="82" w:after="0"/>
            <w:ind w:left="2284" w:right="0" w:hanging="767"/>
            <w:jc w:val="left"/>
          </w:pPr>
          <w:hyperlink w:history="true" w:anchor="_TOC_250043">
            <w:r>
              <w:rPr/>
              <w:t>Data</w:t>
            </w:r>
            <w:r>
              <w:rPr>
                <w:spacing w:val="-6"/>
              </w:rPr>
              <w:t> </w:t>
            </w:r>
            <w:r>
              <w:rPr>
                <w:spacing w:val="-2"/>
              </w:rPr>
              <w:t>Preprocessing</w:t>
            </w:r>
            <w:r>
              <w:rPr/>
              <w:tab/>
            </w:r>
            <w:r>
              <w:rPr>
                <w:color w:val="0000FF"/>
                <w:spacing w:val="-5"/>
              </w:rPr>
              <w:t>58</w:t>
            </w:r>
          </w:hyperlink>
        </w:p>
        <w:p>
          <w:pPr>
            <w:pStyle w:val="TOC3"/>
            <w:numPr>
              <w:ilvl w:val="2"/>
              <w:numId w:val="2"/>
            </w:numPr>
            <w:tabs>
              <w:tab w:pos="2284" w:val="left" w:leader="none"/>
              <w:tab w:pos="2285" w:val="left" w:leader="none"/>
              <w:tab w:pos="8859" w:val="right" w:leader="dot"/>
            </w:tabs>
            <w:spacing w:line="240" w:lineRule="auto" w:before="83" w:after="0"/>
            <w:ind w:left="2284" w:right="0" w:hanging="767"/>
            <w:jc w:val="left"/>
          </w:pPr>
          <w:hyperlink w:history="true" w:anchor="_TOC_250042">
            <w:r>
              <w:rPr>
                <w:spacing w:val="-2"/>
              </w:rPr>
              <w:t>Markov</w:t>
            </w:r>
            <w:r>
              <w:rPr>
                <w:spacing w:val="-5"/>
              </w:rPr>
              <w:t> </w:t>
            </w:r>
            <w:r>
              <w:rPr>
                <w:spacing w:val="-2"/>
              </w:rPr>
              <w:t>Reward</w:t>
            </w:r>
            <w:r>
              <w:rPr>
                <w:spacing w:val="-5"/>
              </w:rPr>
              <w:t> </w:t>
            </w:r>
            <w:r>
              <w:rPr>
                <w:spacing w:val="-2"/>
              </w:rPr>
              <w:t>Processes</w:t>
            </w:r>
            <w:r>
              <w:rPr/>
              <w:tab/>
            </w:r>
            <w:r>
              <w:rPr>
                <w:color w:val="0000FF"/>
                <w:spacing w:val="-5"/>
              </w:rPr>
              <w:t>62</w:t>
            </w:r>
          </w:hyperlink>
        </w:p>
        <w:p>
          <w:pPr>
            <w:pStyle w:val="TOC4"/>
            <w:numPr>
              <w:ilvl w:val="3"/>
              <w:numId w:val="2"/>
            </w:numPr>
            <w:tabs>
              <w:tab w:pos="3264" w:val="left" w:leader="none"/>
              <w:tab w:pos="3265" w:val="left" w:leader="none"/>
              <w:tab w:pos="8859" w:val="right" w:leader="dot"/>
            </w:tabs>
            <w:spacing w:line="240" w:lineRule="auto" w:before="82" w:after="0"/>
            <w:ind w:left="3264" w:right="0" w:hanging="981"/>
            <w:jc w:val="left"/>
          </w:pPr>
          <w:hyperlink w:history="true" w:anchor="_TOC_250041">
            <w:r>
              <w:rPr/>
              <w:t>Expected</w:t>
            </w:r>
            <w:r>
              <w:rPr>
                <w:spacing w:val="-11"/>
              </w:rPr>
              <w:t> </w:t>
            </w:r>
            <w:r>
              <w:rPr/>
              <w:t>Possession</w:t>
            </w:r>
            <w:r>
              <w:rPr>
                <w:spacing w:val="-11"/>
              </w:rPr>
              <w:t> </w:t>
            </w:r>
            <w:r>
              <w:rPr>
                <w:spacing w:val="-2"/>
              </w:rPr>
              <w:t>Value</w:t>
            </w:r>
            <w:r>
              <w:rPr/>
              <w:tab/>
            </w:r>
            <w:r>
              <w:rPr>
                <w:color w:val="0000FF"/>
                <w:spacing w:val="-5"/>
              </w:rPr>
              <w:t>64</w:t>
            </w:r>
          </w:hyperlink>
        </w:p>
        <w:p>
          <w:pPr>
            <w:pStyle w:val="TOC3"/>
            <w:numPr>
              <w:ilvl w:val="2"/>
              <w:numId w:val="2"/>
            </w:numPr>
            <w:tabs>
              <w:tab w:pos="2284" w:val="left" w:leader="none"/>
              <w:tab w:pos="2285" w:val="left" w:leader="none"/>
              <w:tab w:pos="8859" w:val="right" w:leader="dot"/>
            </w:tabs>
            <w:spacing w:line="240" w:lineRule="auto" w:before="83" w:after="0"/>
            <w:ind w:left="2284" w:right="0" w:hanging="767"/>
            <w:jc w:val="left"/>
          </w:pPr>
          <w:hyperlink w:history="true" w:anchor="_TOC_250040">
            <w:r>
              <w:rPr/>
              <w:t>Configuration</w:t>
            </w:r>
            <w:r>
              <w:rPr>
                <w:spacing w:val="-13"/>
              </w:rPr>
              <w:t> </w:t>
            </w:r>
            <w:r>
              <w:rPr/>
              <w:t>of</w:t>
            </w:r>
            <w:r>
              <w:rPr>
                <w:spacing w:val="-12"/>
              </w:rPr>
              <w:t> </w:t>
            </w:r>
            <w:r>
              <w:rPr/>
              <w:t>Zone</w:t>
            </w:r>
            <w:r>
              <w:rPr>
                <w:spacing w:val="-12"/>
              </w:rPr>
              <w:t> </w:t>
            </w:r>
            <w:r>
              <w:rPr>
                <w:spacing w:val="-2"/>
              </w:rPr>
              <w:t>Sizes</w:t>
            </w:r>
            <w:r>
              <w:rPr/>
              <w:tab/>
            </w:r>
            <w:r>
              <w:rPr>
                <w:color w:val="0000FF"/>
                <w:spacing w:val="-5"/>
              </w:rPr>
              <w:t>66</w:t>
            </w:r>
          </w:hyperlink>
        </w:p>
        <w:p>
          <w:pPr>
            <w:pStyle w:val="TOC4"/>
            <w:numPr>
              <w:ilvl w:val="3"/>
              <w:numId w:val="2"/>
            </w:numPr>
            <w:tabs>
              <w:tab w:pos="3264" w:val="left" w:leader="none"/>
              <w:tab w:pos="3265" w:val="left" w:leader="none"/>
              <w:tab w:pos="8859" w:val="right" w:leader="dot"/>
            </w:tabs>
            <w:spacing w:line="240" w:lineRule="auto" w:before="82" w:after="0"/>
            <w:ind w:left="3264" w:right="0" w:hanging="981"/>
            <w:jc w:val="left"/>
          </w:pPr>
          <w:hyperlink w:history="true" w:anchor="_TOC_250039">
            <w:r>
              <w:rPr>
                <w:spacing w:val="-2"/>
              </w:rPr>
              <w:t>Kullback-Leibler</w:t>
            </w:r>
            <w:r>
              <w:rPr>
                <w:spacing w:val="10"/>
              </w:rPr>
              <w:t> </w:t>
            </w:r>
            <w:r>
              <w:rPr>
                <w:spacing w:val="-2"/>
              </w:rPr>
              <w:t>Divergence</w:t>
            </w:r>
            <w:r>
              <w:rPr/>
              <w:tab/>
            </w:r>
            <w:r>
              <w:rPr>
                <w:color w:val="0000FF"/>
                <w:spacing w:val="-5"/>
              </w:rPr>
              <w:t>68</w:t>
            </w:r>
          </w:hyperlink>
        </w:p>
        <w:p>
          <w:pPr>
            <w:pStyle w:val="TOC3"/>
            <w:numPr>
              <w:ilvl w:val="2"/>
              <w:numId w:val="2"/>
            </w:numPr>
            <w:tabs>
              <w:tab w:pos="2284" w:val="left" w:leader="none"/>
              <w:tab w:pos="2285" w:val="left" w:leader="none"/>
              <w:tab w:pos="8859" w:val="right" w:leader="dot"/>
            </w:tabs>
            <w:spacing w:line="240" w:lineRule="auto" w:before="83" w:after="0"/>
            <w:ind w:left="2284" w:right="0" w:hanging="767"/>
            <w:jc w:val="left"/>
          </w:pPr>
          <w:hyperlink w:history="true" w:anchor="_TOC_250038">
            <w:r>
              <w:rPr/>
              <w:t>Z-score</w:t>
            </w:r>
            <w:r>
              <w:rPr>
                <w:spacing w:val="-9"/>
              </w:rPr>
              <w:t> </w:t>
            </w:r>
            <w:r>
              <w:rPr>
                <w:spacing w:val="-2"/>
              </w:rPr>
              <w:t>Analysis</w:t>
            </w:r>
            <w:r>
              <w:rPr/>
              <w:tab/>
            </w:r>
            <w:r>
              <w:rPr>
                <w:color w:val="0000FF"/>
                <w:spacing w:val="-5"/>
              </w:rPr>
              <w:t>70</w:t>
            </w:r>
          </w:hyperlink>
        </w:p>
        <w:p>
          <w:pPr>
            <w:pStyle w:val="TOC2"/>
            <w:numPr>
              <w:ilvl w:val="1"/>
              <w:numId w:val="2"/>
            </w:numPr>
            <w:tabs>
              <w:tab w:pos="1518" w:val="left" w:leader="none"/>
              <w:tab w:pos="1519" w:val="left" w:leader="none"/>
              <w:tab w:pos="8859" w:val="right" w:leader="dot"/>
            </w:tabs>
            <w:spacing w:line="240" w:lineRule="auto" w:before="82" w:after="0"/>
            <w:ind w:left="1518" w:right="0" w:hanging="550"/>
            <w:jc w:val="left"/>
          </w:pPr>
          <w:hyperlink w:history="true" w:anchor="_TOC_250037">
            <w:r>
              <w:rPr>
                <w:spacing w:val="-2"/>
              </w:rPr>
              <w:t>Results</w:t>
            </w:r>
            <w:r>
              <w:rPr/>
              <w:tab/>
            </w:r>
            <w:r>
              <w:rPr>
                <w:color w:val="0000FF"/>
                <w:spacing w:val="-5"/>
              </w:rPr>
              <w:t>71</w:t>
            </w:r>
          </w:hyperlink>
        </w:p>
        <w:p>
          <w:pPr>
            <w:pStyle w:val="TOC3"/>
            <w:numPr>
              <w:ilvl w:val="2"/>
              <w:numId w:val="2"/>
            </w:numPr>
            <w:tabs>
              <w:tab w:pos="2284" w:val="left" w:leader="none"/>
              <w:tab w:pos="2285" w:val="left" w:leader="none"/>
              <w:tab w:pos="8859" w:val="right" w:leader="dot"/>
            </w:tabs>
            <w:spacing w:line="240" w:lineRule="auto" w:before="83" w:after="0"/>
            <w:ind w:left="2284" w:right="0" w:hanging="767"/>
            <w:jc w:val="left"/>
          </w:pPr>
          <w:hyperlink w:history="true" w:anchor="_TOC_250036">
            <w:r>
              <w:rPr/>
              <w:t>EPV</w:t>
            </w:r>
            <w:r>
              <w:rPr>
                <w:spacing w:val="-6"/>
              </w:rPr>
              <w:t> </w:t>
            </w:r>
            <w:r>
              <w:rPr>
                <w:spacing w:val="-2"/>
              </w:rPr>
              <w:t>models</w:t>
            </w:r>
            <w:r>
              <w:rPr/>
              <w:tab/>
            </w:r>
            <w:r>
              <w:rPr>
                <w:color w:val="0000FF"/>
                <w:spacing w:val="-5"/>
              </w:rPr>
              <w:t>71</w:t>
            </w:r>
          </w:hyperlink>
        </w:p>
        <w:p>
          <w:pPr>
            <w:pStyle w:val="TOC3"/>
            <w:numPr>
              <w:ilvl w:val="2"/>
              <w:numId w:val="2"/>
            </w:numPr>
            <w:tabs>
              <w:tab w:pos="2284" w:val="left" w:leader="none"/>
              <w:tab w:pos="2285" w:val="left" w:leader="none"/>
              <w:tab w:pos="8859" w:val="right" w:leader="dot"/>
            </w:tabs>
            <w:spacing w:line="240" w:lineRule="auto" w:before="83" w:after="0"/>
            <w:ind w:left="2284" w:right="0" w:hanging="767"/>
            <w:jc w:val="left"/>
          </w:pPr>
          <w:hyperlink w:history="true" w:anchor="_TOC_250035">
            <w:r>
              <w:rPr/>
              <w:t>Reproducibility</w:t>
            </w:r>
            <w:r>
              <w:rPr>
                <w:spacing w:val="-10"/>
              </w:rPr>
              <w:t> </w:t>
            </w:r>
            <w:r>
              <w:rPr/>
              <w:t>of</w:t>
            </w:r>
            <w:r>
              <w:rPr>
                <w:spacing w:val="-9"/>
              </w:rPr>
              <w:t> </w:t>
            </w:r>
            <w:r>
              <w:rPr/>
              <w:t>Future</w:t>
            </w:r>
            <w:r>
              <w:rPr>
                <w:spacing w:val="-9"/>
              </w:rPr>
              <w:t> </w:t>
            </w:r>
            <w:r>
              <w:rPr/>
              <w:t>Attacking</w:t>
            </w:r>
            <w:r>
              <w:rPr>
                <w:spacing w:val="-9"/>
              </w:rPr>
              <w:t> </w:t>
            </w:r>
            <w:r>
              <w:rPr>
                <w:spacing w:val="-2"/>
              </w:rPr>
              <w:t>Performances</w:t>
            </w:r>
            <w:r>
              <w:rPr/>
              <w:tab/>
            </w:r>
            <w:r>
              <w:rPr>
                <w:color w:val="0000FF"/>
                <w:spacing w:val="-5"/>
              </w:rPr>
              <w:t>79</w:t>
            </w:r>
          </w:hyperlink>
        </w:p>
        <w:p>
          <w:pPr>
            <w:pStyle w:val="TOC3"/>
            <w:numPr>
              <w:ilvl w:val="2"/>
              <w:numId w:val="2"/>
            </w:numPr>
            <w:tabs>
              <w:tab w:pos="2284" w:val="left" w:leader="none"/>
              <w:tab w:pos="2285" w:val="left" w:leader="none"/>
              <w:tab w:pos="8859" w:val="right" w:leader="dot"/>
            </w:tabs>
            <w:spacing w:line="240" w:lineRule="auto" w:before="82" w:after="0"/>
            <w:ind w:left="2284" w:right="0" w:hanging="767"/>
            <w:jc w:val="left"/>
          </w:pPr>
          <w:hyperlink w:history="true" w:anchor="_TOC_250034">
            <w:r>
              <w:rPr>
                <w:spacing w:val="-2"/>
              </w:rPr>
              <w:t>Quantification of</w:t>
            </w:r>
            <w:r>
              <w:rPr>
                <w:spacing w:val="-1"/>
              </w:rPr>
              <w:t> </w:t>
            </w:r>
            <w:r>
              <w:rPr>
                <w:spacing w:val="-2"/>
              </w:rPr>
              <w:t>Teams’ Attacking</w:t>
            </w:r>
            <w:r>
              <w:rPr>
                <w:spacing w:val="-1"/>
              </w:rPr>
              <w:t> </w:t>
            </w:r>
            <w:r>
              <w:rPr>
                <w:spacing w:val="-2"/>
              </w:rPr>
              <w:t>Performances</w:t>
            </w:r>
            <w:r>
              <w:rPr/>
              <w:tab/>
            </w:r>
            <w:r>
              <w:rPr>
                <w:color w:val="0000FF"/>
                <w:spacing w:val="-5"/>
              </w:rPr>
              <w:t>82</w:t>
            </w:r>
          </w:hyperlink>
        </w:p>
        <w:p>
          <w:pPr>
            <w:pStyle w:val="TOC2"/>
            <w:numPr>
              <w:ilvl w:val="1"/>
              <w:numId w:val="2"/>
            </w:numPr>
            <w:tabs>
              <w:tab w:pos="1518" w:val="left" w:leader="none"/>
              <w:tab w:pos="1519" w:val="left" w:leader="none"/>
              <w:tab w:pos="8859" w:val="right" w:leader="dot"/>
            </w:tabs>
            <w:spacing w:line="240" w:lineRule="auto" w:before="83" w:after="0"/>
            <w:ind w:left="1518" w:right="0" w:hanging="550"/>
            <w:jc w:val="left"/>
          </w:pPr>
          <w:hyperlink w:history="true" w:anchor="_TOC_250033">
            <w:r>
              <w:rPr>
                <w:spacing w:val="-2"/>
              </w:rPr>
              <w:t>Summary</w:t>
            </w:r>
            <w:r>
              <w:rPr/>
              <w:tab/>
            </w:r>
            <w:r>
              <w:rPr>
                <w:color w:val="0000FF"/>
                <w:spacing w:val="-5"/>
              </w:rPr>
              <w:t>85</w:t>
            </w:r>
          </w:hyperlink>
        </w:p>
        <w:p>
          <w:pPr>
            <w:pStyle w:val="TOC1"/>
            <w:numPr>
              <w:ilvl w:val="0"/>
              <w:numId w:val="2"/>
            </w:numPr>
            <w:tabs>
              <w:tab w:pos="968" w:val="left" w:leader="none"/>
              <w:tab w:pos="970" w:val="left" w:leader="none"/>
            </w:tabs>
            <w:spacing w:line="312" w:lineRule="auto" w:before="321" w:after="0"/>
            <w:ind w:left="969" w:right="759" w:hanging="359"/>
            <w:jc w:val="left"/>
          </w:pPr>
          <w:r>
            <w:rPr/>
            <w:t>Markov Decision Processes for the Evaluation of Player and Team Perfor- </w:t>
          </w:r>
          <w:r>
            <w:rPr>
              <w:spacing w:val="-2"/>
            </w:rPr>
            <w:t>mances</w:t>
          </w:r>
          <w:r>
            <w:rPr>
              <w:color w:val="0000FF"/>
              <w:spacing w:val="-2"/>
            </w:rPr>
            <w:t>87</w:t>
          </w:r>
        </w:p>
        <w:p>
          <w:pPr>
            <w:pStyle w:val="TOC2"/>
            <w:numPr>
              <w:ilvl w:val="1"/>
              <w:numId w:val="2"/>
            </w:numPr>
            <w:tabs>
              <w:tab w:pos="1518" w:val="left" w:leader="none"/>
              <w:tab w:pos="1519" w:val="left" w:leader="none"/>
              <w:tab w:pos="8859" w:val="right" w:leader="dot"/>
            </w:tabs>
            <w:spacing w:line="276" w:lineRule="exact" w:before="0" w:after="0"/>
            <w:ind w:left="1518" w:right="0" w:hanging="550"/>
            <w:jc w:val="left"/>
          </w:pPr>
          <w:hyperlink w:history="true" w:anchor="_TOC_250032">
            <w:r>
              <w:rPr>
                <w:spacing w:val="-2"/>
              </w:rPr>
              <w:t>Introduction</w:t>
            </w:r>
            <w:r>
              <w:rPr/>
              <w:tab/>
            </w:r>
            <w:r>
              <w:rPr>
                <w:color w:val="0000FF"/>
                <w:spacing w:val="-5"/>
              </w:rPr>
              <w:t>87</w:t>
            </w:r>
          </w:hyperlink>
        </w:p>
        <w:p>
          <w:pPr>
            <w:pStyle w:val="TOC2"/>
            <w:numPr>
              <w:ilvl w:val="1"/>
              <w:numId w:val="2"/>
            </w:numPr>
            <w:tabs>
              <w:tab w:pos="1518" w:val="left" w:leader="none"/>
              <w:tab w:pos="1519" w:val="left" w:leader="none"/>
              <w:tab w:pos="8859" w:val="right" w:leader="dot"/>
            </w:tabs>
            <w:spacing w:line="240" w:lineRule="auto" w:before="83" w:after="0"/>
            <w:ind w:left="1518" w:right="0" w:hanging="550"/>
            <w:jc w:val="left"/>
          </w:pPr>
          <w:hyperlink w:history="true" w:anchor="_TOC_250031">
            <w:r>
              <w:rPr>
                <w:spacing w:val="-2"/>
              </w:rPr>
              <w:t>Methodology</w:t>
            </w:r>
            <w:r>
              <w:rPr/>
              <w:tab/>
            </w:r>
            <w:r>
              <w:rPr>
                <w:color w:val="0000FF"/>
                <w:spacing w:val="-5"/>
              </w:rPr>
              <w:t>88</w:t>
            </w:r>
          </w:hyperlink>
        </w:p>
      </w:sdtContent>
    </w:sdt>
    <w:p>
      <w:pPr>
        <w:spacing w:after="0" w:line="240" w:lineRule="auto"/>
        <w:jc w:val="left"/>
        <w:sectPr>
          <w:type w:val="continuous"/>
          <w:pgSz w:w="11910" w:h="16840"/>
          <w:pgMar w:header="0" w:footer="1428" w:top="2289" w:bottom="1320" w:left="1680" w:right="720"/>
        </w:sectPr>
      </w:pPr>
    </w:p>
    <w:p>
      <w:pPr>
        <w:pStyle w:val="BodyText"/>
        <w:spacing w:before="5"/>
        <w:rPr>
          <w:sz w:val="7"/>
        </w:rPr>
      </w:pPr>
    </w:p>
    <w:tbl>
      <w:tblPr>
        <w:tblW w:w="0" w:type="auto"/>
        <w:jc w:val="left"/>
        <w:tblInd w:w="9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74"/>
        <w:gridCol w:w="860"/>
        <w:gridCol w:w="6247"/>
        <w:gridCol w:w="528"/>
      </w:tblGrid>
      <w:tr>
        <w:trPr>
          <w:trHeight w:val="323" w:hRule="atLeast"/>
        </w:trPr>
        <w:tc>
          <w:tcPr>
            <w:tcW w:w="474" w:type="dxa"/>
            <w:vMerge w:val="restart"/>
          </w:tcPr>
          <w:p>
            <w:pPr>
              <w:pStyle w:val="TableParagraph"/>
              <w:spacing w:line="240" w:lineRule="auto"/>
              <w:jc w:val="left"/>
              <w:rPr>
                <w:sz w:val="22"/>
              </w:rPr>
            </w:pPr>
          </w:p>
        </w:tc>
        <w:tc>
          <w:tcPr>
            <w:tcW w:w="860" w:type="dxa"/>
          </w:tcPr>
          <w:p>
            <w:pPr>
              <w:pStyle w:val="TableParagraph"/>
              <w:spacing w:line="273" w:lineRule="exact"/>
              <w:ind w:left="125"/>
              <w:jc w:val="left"/>
              <w:rPr>
                <w:sz w:val="24"/>
              </w:rPr>
            </w:pPr>
            <w:r>
              <w:rPr>
                <w:spacing w:val="-2"/>
                <w:sz w:val="24"/>
              </w:rPr>
              <w:t>4.2.1</w:t>
            </w:r>
          </w:p>
        </w:tc>
        <w:tc>
          <w:tcPr>
            <w:tcW w:w="6247" w:type="dxa"/>
          </w:tcPr>
          <w:p>
            <w:pPr>
              <w:pStyle w:val="TableParagraph"/>
              <w:spacing w:line="273" w:lineRule="exact"/>
              <w:ind w:right="58"/>
              <w:jc w:val="right"/>
              <w:rPr>
                <w:sz w:val="24"/>
              </w:rPr>
            </w:pPr>
            <w:r>
              <w:rPr>
                <w:sz w:val="24"/>
              </w:rPr>
              <w:t>Data</w:t>
            </w:r>
            <w:r>
              <w:rPr>
                <w:spacing w:val="25"/>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pacing w:val="-10"/>
                <w:sz w:val="24"/>
              </w:rPr>
              <w:t>.</w:t>
            </w:r>
          </w:p>
        </w:tc>
        <w:tc>
          <w:tcPr>
            <w:tcW w:w="528" w:type="dxa"/>
          </w:tcPr>
          <w:p>
            <w:pPr>
              <w:pStyle w:val="TableParagraph"/>
              <w:spacing w:line="273" w:lineRule="exact"/>
              <w:ind w:left="60"/>
              <w:jc w:val="left"/>
              <w:rPr>
                <w:sz w:val="24"/>
              </w:rPr>
            </w:pPr>
            <w:r>
              <w:rPr>
                <w:spacing w:val="-5"/>
                <w:sz w:val="24"/>
              </w:rPr>
              <w:t>.</w:t>
            </w:r>
            <w:r>
              <w:rPr>
                <w:color w:val="0000FF"/>
                <w:spacing w:val="-5"/>
                <w:sz w:val="24"/>
              </w:rPr>
              <w:t>88</w:t>
            </w:r>
          </w:p>
        </w:tc>
      </w:tr>
      <w:tr>
        <w:trPr>
          <w:trHeight w:val="358" w:hRule="atLeast"/>
        </w:trPr>
        <w:tc>
          <w:tcPr>
            <w:tcW w:w="474" w:type="dxa"/>
            <w:vMerge/>
            <w:tcBorders>
              <w:top w:val="nil"/>
            </w:tcBorders>
          </w:tcPr>
          <w:p>
            <w:pPr>
              <w:rPr>
                <w:sz w:val="2"/>
                <w:szCs w:val="2"/>
              </w:rPr>
            </w:pPr>
          </w:p>
        </w:tc>
        <w:tc>
          <w:tcPr>
            <w:tcW w:w="860" w:type="dxa"/>
          </w:tcPr>
          <w:p>
            <w:pPr>
              <w:pStyle w:val="TableParagraph"/>
              <w:spacing w:line="240" w:lineRule="auto" w:before="32"/>
              <w:ind w:left="125"/>
              <w:jc w:val="left"/>
              <w:rPr>
                <w:sz w:val="24"/>
              </w:rPr>
            </w:pPr>
            <w:r>
              <w:rPr>
                <w:spacing w:val="-2"/>
                <w:sz w:val="24"/>
              </w:rPr>
              <w:t>4.2.2</w:t>
            </w:r>
          </w:p>
        </w:tc>
        <w:tc>
          <w:tcPr>
            <w:tcW w:w="6247" w:type="dxa"/>
          </w:tcPr>
          <w:p>
            <w:pPr>
              <w:pStyle w:val="TableParagraph"/>
              <w:spacing w:line="240" w:lineRule="auto" w:before="32"/>
              <w:ind w:right="58"/>
              <w:jc w:val="right"/>
              <w:rPr>
                <w:sz w:val="24"/>
              </w:rPr>
            </w:pPr>
            <w:r>
              <w:rPr>
                <w:sz w:val="24"/>
              </w:rPr>
              <w:t>Data</w:t>
            </w:r>
            <w:r>
              <w:rPr>
                <w:spacing w:val="-2"/>
                <w:sz w:val="24"/>
              </w:rPr>
              <w:t> </w:t>
            </w:r>
            <w:r>
              <w:rPr>
                <w:sz w:val="24"/>
              </w:rPr>
              <w:t>Preprocessing</w:t>
            </w:r>
            <w:r>
              <w:rPr>
                <w:spacing w:val="59"/>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pacing w:val="-12"/>
                <w:sz w:val="24"/>
              </w:rPr>
              <w:t>.</w:t>
            </w:r>
          </w:p>
        </w:tc>
        <w:tc>
          <w:tcPr>
            <w:tcW w:w="528" w:type="dxa"/>
          </w:tcPr>
          <w:p>
            <w:pPr>
              <w:pStyle w:val="TableParagraph"/>
              <w:spacing w:line="240" w:lineRule="auto" w:before="32"/>
              <w:ind w:left="60"/>
              <w:jc w:val="left"/>
              <w:rPr>
                <w:sz w:val="24"/>
              </w:rPr>
            </w:pPr>
            <w:r>
              <w:rPr>
                <w:spacing w:val="-5"/>
                <w:sz w:val="24"/>
              </w:rPr>
              <w:t>.</w:t>
            </w:r>
            <w:r>
              <w:rPr>
                <w:color w:val="0000FF"/>
                <w:spacing w:val="-5"/>
                <w:sz w:val="24"/>
              </w:rPr>
              <w:t>89</w:t>
            </w:r>
          </w:p>
        </w:tc>
      </w:tr>
      <w:tr>
        <w:trPr>
          <w:trHeight w:val="358" w:hRule="atLeast"/>
        </w:trPr>
        <w:tc>
          <w:tcPr>
            <w:tcW w:w="474" w:type="dxa"/>
            <w:vMerge/>
            <w:tcBorders>
              <w:top w:val="nil"/>
            </w:tcBorders>
          </w:tcPr>
          <w:p>
            <w:pPr>
              <w:rPr>
                <w:sz w:val="2"/>
                <w:szCs w:val="2"/>
              </w:rPr>
            </w:pPr>
          </w:p>
        </w:tc>
        <w:tc>
          <w:tcPr>
            <w:tcW w:w="860" w:type="dxa"/>
          </w:tcPr>
          <w:p>
            <w:pPr>
              <w:pStyle w:val="TableParagraph"/>
              <w:spacing w:line="240" w:lineRule="auto" w:before="32"/>
              <w:ind w:left="125"/>
              <w:jc w:val="left"/>
              <w:rPr>
                <w:sz w:val="24"/>
              </w:rPr>
            </w:pPr>
            <w:r>
              <w:rPr>
                <w:spacing w:val="-2"/>
                <w:sz w:val="24"/>
              </w:rPr>
              <w:t>4.2.3</w:t>
            </w:r>
          </w:p>
        </w:tc>
        <w:tc>
          <w:tcPr>
            <w:tcW w:w="6247" w:type="dxa"/>
          </w:tcPr>
          <w:p>
            <w:pPr>
              <w:pStyle w:val="TableParagraph"/>
              <w:tabs>
                <w:tab w:pos="2869" w:val="left" w:leader="none"/>
              </w:tabs>
              <w:spacing w:line="240" w:lineRule="auto" w:before="32"/>
              <w:ind w:right="58"/>
              <w:jc w:val="right"/>
              <w:rPr>
                <w:sz w:val="24"/>
              </w:rPr>
            </w:pPr>
            <w:r>
              <w:rPr>
                <w:sz w:val="24"/>
              </w:rPr>
              <w:t>Markov</w:t>
            </w:r>
            <w:r>
              <w:rPr>
                <w:spacing w:val="-13"/>
                <w:sz w:val="24"/>
              </w:rPr>
              <w:t> </w:t>
            </w:r>
            <w:r>
              <w:rPr>
                <w:sz w:val="24"/>
              </w:rPr>
              <w:t>Decision</w:t>
            </w:r>
            <w:r>
              <w:rPr>
                <w:spacing w:val="-13"/>
                <w:sz w:val="24"/>
              </w:rPr>
              <w:t> </w:t>
            </w:r>
            <w:r>
              <w:rPr>
                <w:spacing w:val="-2"/>
                <w:sz w:val="24"/>
              </w:rPr>
              <w:t>Processes</w:t>
            </w:r>
            <w:r>
              <w:rPr>
                <w:sz w:val="24"/>
              </w:rPr>
              <w:tab/>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pacing w:val="-10"/>
                <w:sz w:val="24"/>
              </w:rPr>
              <w:t>.</w:t>
            </w:r>
          </w:p>
        </w:tc>
        <w:tc>
          <w:tcPr>
            <w:tcW w:w="528" w:type="dxa"/>
          </w:tcPr>
          <w:p>
            <w:pPr>
              <w:pStyle w:val="TableParagraph"/>
              <w:spacing w:line="240" w:lineRule="auto" w:before="32"/>
              <w:ind w:left="60"/>
              <w:jc w:val="left"/>
              <w:rPr>
                <w:sz w:val="24"/>
              </w:rPr>
            </w:pPr>
            <w:r>
              <w:rPr>
                <w:spacing w:val="-5"/>
                <w:sz w:val="24"/>
              </w:rPr>
              <w:t>.</w:t>
            </w:r>
            <w:r>
              <w:rPr>
                <w:color w:val="0000FF"/>
                <w:spacing w:val="-5"/>
                <w:sz w:val="24"/>
              </w:rPr>
              <w:t>94</w:t>
            </w:r>
          </w:p>
        </w:tc>
      </w:tr>
      <w:tr>
        <w:trPr>
          <w:trHeight w:val="358" w:hRule="atLeast"/>
        </w:trPr>
        <w:tc>
          <w:tcPr>
            <w:tcW w:w="474" w:type="dxa"/>
            <w:vMerge/>
            <w:tcBorders>
              <w:top w:val="nil"/>
            </w:tcBorders>
          </w:tcPr>
          <w:p>
            <w:pPr>
              <w:rPr>
                <w:sz w:val="2"/>
                <w:szCs w:val="2"/>
              </w:rPr>
            </w:pPr>
          </w:p>
        </w:tc>
        <w:tc>
          <w:tcPr>
            <w:tcW w:w="860" w:type="dxa"/>
          </w:tcPr>
          <w:p>
            <w:pPr>
              <w:pStyle w:val="TableParagraph"/>
              <w:spacing w:line="240" w:lineRule="auto" w:before="32"/>
              <w:ind w:left="125"/>
              <w:jc w:val="left"/>
              <w:rPr>
                <w:sz w:val="24"/>
              </w:rPr>
            </w:pPr>
            <w:r>
              <w:rPr>
                <w:spacing w:val="-2"/>
                <w:sz w:val="24"/>
              </w:rPr>
              <w:t>4.2.4</w:t>
            </w:r>
          </w:p>
        </w:tc>
        <w:tc>
          <w:tcPr>
            <w:tcW w:w="6247" w:type="dxa"/>
          </w:tcPr>
          <w:p>
            <w:pPr>
              <w:pStyle w:val="TableParagraph"/>
              <w:spacing w:line="240" w:lineRule="auto" w:before="32"/>
              <w:ind w:right="58"/>
              <w:jc w:val="right"/>
              <w:rPr>
                <w:sz w:val="24"/>
              </w:rPr>
            </w:pPr>
            <w:r>
              <w:rPr>
                <w:sz w:val="24"/>
              </w:rPr>
              <w:t>Action</w:t>
            </w:r>
            <w:r>
              <w:rPr>
                <w:spacing w:val="-2"/>
                <w:sz w:val="24"/>
              </w:rPr>
              <w:t> </w:t>
            </w:r>
            <w:r>
              <w:rPr>
                <w:sz w:val="24"/>
              </w:rPr>
              <w:t>Impact</w:t>
            </w:r>
            <w:r>
              <w:rPr>
                <w:spacing w:val="-2"/>
                <w:sz w:val="24"/>
              </w:rPr>
              <w:t> </w:t>
            </w:r>
            <w:r>
              <w:rPr>
                <w:sz w:val="24"/>
              </w:rPr>
              <w:t>Ratings</w:t>
            </w:r>
            <w:r>
              <w:rPr>
                <w:spacing w:val="74"/>
                <w:w w:val="150"/>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pacing w:val="-10"/>
                <w:sz w:val="24"/>
              </w:rPr>
              <w:t>.</w:t>
            </w:r>
          </w:p>
        </w:tc>
        <w:tc>
          <w:tcPr>
            <w:tcW w:w="528" w:type="dxa"/>
          </w:tcPr>
          <w:p>
            <w:pPr>
              <w:pStyle w:val="TableParagraph"/>
              <w:spacing w:line="240" w:lineRule="auto" w:before="32"/>
              <w:ind w:left="60"/>
              <w:jc w:val="left"/>
              <w:rPr>
                <w:sz w:val="24"/>
              </w:rPr>
            </w:pPr>
            <w:r>
              <w:rPr>
                <w:spacing w:val="-5"/>
                <w:sz w:val="24"/>
              </w:rPr>
              <w:t>.</w:t>
            </w:r>
            <w:r>
              <w:rPr>
                <w:color w:val="0000FF"/>
                <w:spacing w:val="-5"/>
                <w:sz w:val="24"/>
              </w:rPr>
              <w:t>98</w:t>
            </w:r>
          </w:p>
        </w:tc>
      </w:tr>
      <w:tr>
        <w:trPr>
          <w:trHeight w:val="358" w:hRule="atLeast"/>
        </w:trPr>
        <w:tc>
          <w:tcPr>
            <w:tcW w:w="474" w:type="dxa"/>
            <w:vMerge/>
            <w:tcBorders>
              <w:top w:val="nil"/>
            </w:tcBorders>
          </w:tcPr>
          <w:p>
            <w:pPr>
              <w:rPr>
                <w:sz w:val="2"/>
                <w:szCs w:val="2"/>
              </w:rPr>
            </w:pPr>
          </w:p>
        </w:tc>
        <w:tc>
          <w:tcPr>
            <w:tcW w:w="860" w:type="dxa"/>
          </w:tcPr>
          <w:p>
            <w:pPr>
              <w:pStyle w:val="TableParagraph"/>
              <w:spacing w:line="240" w:lineRule="auto" w:before="32"/>
              <w:ind w:left="125"/>
              <w:jc w:val="left"/>
              <w:rPr>
                <w:sz w:val="24"/>
              </w:rPr>
            </w:pPr>
            <w:r>
              <w:rPr>
                <w:spacing w:val="-2"/>
                <w:sz w:val="24"/>
              </w:rPr>
              <w:t>4.2.5</w:t>
            </w:r>
          </w:p>
        </w:tc>
        <w:tc>
          <w:tcPr>
            <w:tcW w:w="6247" w:type="dxa"/>
          </w:tcPr>
          <w:p>
            <w:pPr>
              <w:pStyle w:val="TableParagraph"/>
              <w:spacing w:line="240" w:lineRule="auto" w:before="32"/>
              <w:ind w:right="58"/>
              <w:jc w:val="right"/>
              <w:rPr>
                <w:sz w:val="24"/>
              </w:rPr>
            </w:pPr>
            <w:r>
              <w:rPr>
                <w:sz w:val="24"/>
              </w:rPr>
              <w:t>Team</w:t>
            </w:r>
            <w:r>
              <w:rPr>
                <w:spacing w:val="-3"/>
                <w:sz w:val="24"/>
              </w:rPr>
              <w:t> </w:t>
            </w:r>
            <w:r>
              <w:rPr>
                <w:sz w:val="24"/>
              </w:rPr>
              <w:t>State,</w:t>
            </w:r>
            <w:r>
              <w:rPr>
                <w:spacing w:val="-3"/>
                <w:sz w:val="24"/>
              </w:rPr>
              <w:t> </w:t>
            </w:r>
            <w:r>
              <w:rPr>
                <w:sz w:val="24"/>
              </w:rPr>
              <w:t>Action</w:t>
            </w:r>
            <w:r>
              <w:rPr>
                <w:spacing w:val="-3"/>
                <w:sz w:val="24"/>
              </w:rPr>
              <w:t> </w:t>
            </w:r>
            <w:r>
              <w:rPr>
                <w:sz w:val="24"/>
              </w:rPr>
              <w:t>Values</w:t>
            </w:r>
            <w:r>
              <w:rPr>
                <w:spacing w:val="61"/>
                <w:w w:val="150"/>
                <w:sz w:val="24"/>
              </w:rPr>
              <w:t> </w:t>
            </w:r>
            <w:r>
              <w:rPr>
                <w:sz w:val="24"/>
              </w:rPr>
              <w:t>.</w:t>
            </w:r>
            <w:r>
              <w:rPr>
                <w:spacing w:val="56"/>
                <w:sz w:val="24"/>
              </w:rPr>
              <w:t> </w:t>
            </w:r>
            <w:r>
              <w:rPr>
                <w:sz w:val="24"/>
              </w:rPr>
              <w:t>.</w:t>
            </w:r>
            <w:r>
              <w:rPr>
                <w:spacing w:val="55"/>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5"/>
                <w:sz w:val="24"/>
              </w:rPr>
              <w:t> </w:t>
            </w:r>
            <w:r>
              <w:rPr>
                <w:sz w:val="24"/>
              </w:rPr>
              <w:t>.</w:t>
            </w:r>
            <w:r>
              <w:rPr>
                <w:spacing w:val="56"/>
                <w:sz w:val="24"/>
              </w:rPr>
              <w:t> </w:t>
            </w:r>
            <w:r>
              <w:rPr>
                <w:sz w:val="24"/>
              </w:rPr>
              <w:t>.</w:t>
            </w:r>
            <w:r>
              <w:rPr>
                <w:spacing w:val="55"/>
                <w:sz w:val="24"/>
              </w:rPr>
              <w:t> </w:t>
            </w:r>
            <w:r>
              <w:rPr>
                <w:spacing w:val="-10"/>
                <w:sz w:val="24"/>
              </w:rPr>
              <w:t>.</w:t>
            </w:r>
          </w:p>
        </w:tc>
        <w:tc>
          <w:tcPr>
            <w:tcW w:w="528" w:type="dxa"/>
          </w:tcPr>
          <w:p>
            <w:pPr>
              <w:pStyle w:val="TableParagraph"/>
              <w:spacing w:line="240" w:lineRule="auto" w:before="32"/>
              <w:ind w:left="60"/>
              <w:jc w:val="left"/>
              <w:rPr>
                <w:sz w:val="24"/>
              </w:rPr>
            </w:pPr>
            <w:r>
              <w:rPr>
                <w:spacing w:val="-5"/>
                <w:sz w:val="24"/>
              </w:rPr>
              <w:t>.</w:t>
            </w:r>
            <w:r>
              <w:rPr>
                <w:color w:val="0000FF"/>
                <w:spacing w:val="-5"/>
                <w:sz w:val="24"/>
              </w:rPr>
              <w:t>98</w:t>
            </w:r>
          </w:p>
        </w:tc>
      </w:tr>
      <w:tr>
        <w:trPr>
          <w:trHeight w:val="358" w:hRule="atLeast"/>
        </w:trPr>
        <w:tc>
          <w:tcPr>
            <w:tcW w:w="474" w:type="dxa"/>
          </w:tcPr>
          <w:p>
            <w:pPr>
              <w:pStyle w:val="TableParagraph"/>
              <w:spacing w:line="240" w:lineRule="auto" w:before="32"/>
              <w:ind w:left="50"/>
              <w:jc w:val="left"/>
              <w:rPr>
                <w:sz w:val="24"/>
              </w:rPr>
            </w:pPr>
            <w:r>
              <w:rPr>
                <w:spacing w:val="-5"/>
                <w:sz w:val="24"/>
              </w:rPr>
              <w:t>4.3</w:t>
            </w:r>
          </w:p>
        </w:tc>
        <w:tc>
          <w:tcPr>
            <w:tcW w:w="860" w:type="dxa"/>
          </w:tcPr>
          <w:p>
            <w:pPr>
              <w:pStyle w:val="TableParagraph"/>
              <w:spacing w:line="240" w:lineRule="auto" w:before="32"/>
              <w:ind w:left="125"/>
              <w:jc w:val="left"/>
              <w:rPr>
                <w:sz w:val="24"/>
              </w:rPr>
            </w:pPr>
            <w:r>
              <w:rPr>
                <w:spacing w:val="-2"/>
                <w:sz w:val="24"/>
              </w:rPr>
              <w:t>Results</w:t>
            </w:r>
          </w:p>
        </w:tc>
        <w:tc>
          <w:tcPr>
            <w:tcW w:w="6247" w:type="dxa"/>
          </w:tcPr>
          <w:p>
            <w:pPr>
              <w:pStyle w:val="TableParagraph"/>
              <w:spacing w:line="240" w:lineRule="auto" w:before="32"/>
              <w:ind w:right="58"/>
              <w:jc w:val="right"/>
              <w:rPr>
                <w:sz w:val="24"/>
              </w:rPr>
            </w:pP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pacing w:val="-10"/>
                <w:sz w:val="24"/>
              </w:rPr>
              <w:t>.</w:t>
            </w:r>
          </w:p>
        </w:tc>
        <w:tc>
          <w:tcPr>
            <w:tcW w:w="528" w:type="dxa"/>
          </w:tcPr>
          <w:p>
            <w:pPr>
              <w:pStyle w:val="TableParagraph"/>
              <w:spacing w:line="240" w:lineRule="auto" w:before="32"/>
              <w:ind w:left="60"/>
              <w:jc w:val="left"/>
              <w:rPr>
                <w:sz w:val="24"/>
              </w:rPr>
            </w:pPr>
            <w:r>
              <w:rPr>
                <w:spacing w:val="-5"/>
                <w:sz w:val="24"/>
              </w:rPr>
              <w:t>.</w:t>
            </w:r>
            <w:r>
              <w:rPr>
                <w:color w:val="0000FF"/>
                <w:spacing w:val="-5"/>
                <w:sz w:val="24"/>
              </w:rPr>
              <w:t>99</w:t>
            </w:r>
          </w:p>
        </w:tc>
      </w:tr>
      <w:tr>
        <w:trPr>
          <w:trHeight w:val="358" w:hRule="atLeast"/>
        </w:trPr>
        <w:tc>
          <w:tcPr>
            <w:tcW w:w="474" w:type="dxa"/>
          </w:tcPr>
          <w:p>
            <w:pPr>
              <w:pStyle w:val="TableParagraph"/>
              <w:spacing w:line="240" w:lineRule="auto"/>
              <w:jc w:val="left"/>
              <w:rPr>
                <w:sz w:val="22"/>
              </w:rPr>
            </w:pPr>
          </w:p>
        </w:tc>
        <w:tc>
          <w:tcPr>
            <w:tcW w:w="860" w:type="dxa"/>
          </w:tcPr>
          <w:p>
            <w:pPr>
              <w:pStyle w:val="TableParagraph"/>
              <w:spacing w:line="240" w:lineRule="auto" w:before="32"/>
              <w:ind w:left="125"/>
              <w:jc w:val="left"/>
              <w:rPr>
                <w:sz w:val="24"/>
              </w:rPr>
            </w:pPr>
            <w:r>
              <w:rPr>
                <w:spacing w:val="-2"/>
                <w:sz w:val="24"/>
              </w:rPr>
              <w:t>4.3.1</w:t>
            </w:r>
          </w:p>
        </w:tc>
        <w:tc>
          <w:tcPr>
            <w:tcW w:w="6247" w:type="dxa"/>
          </w:tcPr>
          <w:p>
            <w:pPr>
              <w:pStyle w:val="TableParagraph"/>
              <w:spacing w:line="240" w:lineRule="auto" w:before="32"/>
              <w:ind w:right="58"/>
              <w:jc w:val="right"/>
              <w:rPr>
                <w:sz w:val="24"/>
              </w:rPr>
            </w:pPr>
            <w:r>
              <w:rPr>
                <w:sz w:val="24"/>
              </w:rPr>
              <w:t>Evaluation</w:t>
            </w:r>
            <w:r>
              <w:rPr>
                <w:spacing w:val="-3"/>
                <w:sz w:val="24"/>
              </w:rPr>
              <w:t> </w:t>
            </w:r>
            <w:r>
              <w:rPr>
                <w:sz w:val="24"/>
              </w:rPr>
              <w:t>of</w:t>
            </w:r>
            <w:r>
              <w:rPr>
                <w:spacing w:val="-2"/>
                <w:sz w:val="24"/>
              </w:rPr>
              <w:t> </w:t>
            </w:r>
            <w:r>
              <w:rPr>
                <w:sz w:val="24"/>
              </w:rPr>
              <w:t>Player</w:t>
            </w:r>
            <w:r>
              <w:rPr>
                <w:spacing w:val="-3"/>
                <w:sz w:val="24"/>
              </w:rPr>
              <w:t> </w:t>
            </w:r>
            <w:r>
              <w:rPr>
                <w:sz w:val="24"/>
              </w:rPr>
              <w:t>Performances</w:t>
            </w:r>
            <w:r>
              <w:rPr>
                <w:spacing w:val="12"/>
                <w:sz w:val="24"/>
              </w:rPr>
              <w:t> </w:t>
            </w:r>
            <w:r>
              <w:rPr>
                <w:sz w:val="24"/>
              </w:rPr>
              <w:t>.</w:t>
            </w:r>
            <w:r>
              <w:rPr>
                <w:spacing w:val="56"/>
                <w:sz w:val="24"/>
              </w:rPr>
              <w:t> </w:t>
            </w:r>
            <w:r>
              <w:rPr>
                <w:sz w:val="24"/>
              </w:rPr>
              <w:t>.</w:t>
            </w:r>
            <w:r>
              <w:rPr>
                <w:spacing w:val="56"/>
                <w:sz w:val="24"/>
              </w:rPr>
              <w:t> </w:t>
            </w:r>
            <w:r>
              <w:rPr>
                <w:sz w:val="24"/>
              </w:rPr>
              <w:t>.</w:t>
            </w:r>
            <w:r>
              <w:rPr>
                <w:spacing w:val="57"/>
                <w:sz w:val="24"/>
              </w:rPr>
              <w:t> </w:t>
            </w:r>
            <w:r>
              <w:rPr>
                <w:sz w:val="24"/>
              </w:rPr>
              <w:t>.</w:t>
            </w:r>
            <w:r>
              <w:rPr>
                <w:spacing w:val="56"/>
                <w:sz w:val="24"/>
              </w:rPr>
              <w:t> </w:t>
            </w:r>
            <w:r>
              <w:rPr>
                <w:sz w:val="24"/>
              </w:rPr>
              <w:t>.</w:t>
            </w:r>
            <w:r>
              <w:rPr>
                <w:spacing w:val="56"/>
                <w:sz w:val="24"/>
              </w:rPr>
              <w:t> </w:t>
            </w:r>
            <w:r>
              <w:rPr>
                <w:sz w:val="24"/>
              </w:rPr>
              <w:t>.</w:t>
            </w:r>
            <w:r>
              <w:rPr>
                <w:spacing w:val="56"/>
                <w:sz w:val="24"/>
              </w:rPr>
              <w:t> </w:t>
            </w:r>
            <w:r>
              <w:rPr>
                <w:sz w:val="24"/>
              </w:rPr>
              <w:t>.</w:t>
            </w:r>
            <w:r>
              <w:rPr>
                <w:spacing w:val="57"/>
                <w:sz w:val="24"/>
              </w:rPr>
              <w:t> </w:t>
            </w:r>
            <w:r>
              <w:rPr>
                <w:sz w:val="24"/>
              </w:rPr>
              <w:t>.</w:t>
            </w:r>
            <w:r>
              <w:rPr>
                <w:spacing w:val="56"/>
                <w:sz w:val="24"/>
              </w:rPr>
              <w:t> </w:t>
            </w:r>
            <w:r>
              <w:rPr>
                <w:sz w:val="24"/>
              </w:rPr>
              <w:t>.</w:t>
            </w:r>
            <w:r>
              <w:rPr>
                <w:spacing w:val="56"/>
                <w:sz w:val="24"/>
              </w:rPr>
              <w:t> </w:t>
            </w:r>
            <w:r>
              <w:rPr>
                <w:sz w:val="24"/>
              </w:rPr>
              <w:t>.</w:t>
            </w:r>
            <w:r>
              <w:rPr>
                <w:spacing w:val="56"/>
                <w:sz w:val="24"/>
              </w:rPr>
              <w:t> </w:t>
            </w:r>
            <w:r>
              <w:rPr>
                <w:sz w:val="24"/>
              </w:rPr>
              <w:t>.</w:t>
            </w:r>
            <w:r>
              <w:rPr>
                <w:spacing w:val="57"/>
                <w:sz w:val="24"/>
              </w:rPr>
              <w:t> </w:t>
            </w:r>
            <w:r>
              <w:rPr>
                <w:sz w:val="24"/>
              </w:rPr>
              <w:t>.</w:t>
            </w:r>
            <w:r>
              <w:rPr>
                <w:spacing w:val="56"/>
                <w:sz w:val="24"/>
              </w:rPr>
              <w:t> </w:t>
            </w:r>
            <w:r>
              <w:rPr>
                <w:sz w:val="24"/>
              </w:rPr>
              <w:t>.</w:t>
            </w:r>
            <w:r>
              <w:rPr>
                <w:spacing w:val="56"/>
                <w:sz w:val="24"/>
              </w:rPr>
              <w:t> </w:t>
            </w:r>
            <w:r>
              <w:rPr>
                <w:sz w:val="24"/>
              </w:rPr>
              <w:t>.</w:t>
            </w:r>
            <w:r>
              <w:rPr>
                <w:spacing w:val="57"/>
                <w:sz w:val="24"/>
              </w:rPr>
              <w:t> </w:t>
            </w:r>
            <w:r>
              <w:rPr>
                <w:sz w:val="24"/>
              </w:rPr>
              <w:t>.</w:t>
            </w:r>
            <w:r>
              <w:rPr>
                <w:spacing w:val="56"/>
                <w:sz w:val="24"/>
              </w:rPr>
              <w:t> </w:t>
            </w:r>
            <w:r>
              <w:rPr>
                <w:spacing w:val="-10"/>
                <w:sz w:val="24"/>
              </w:rPr>
              <w:t>.</w:t>
            </w:r>
          </w:p>
        </w:tc>
        <w:tc>
          <w:tcPr>
            <w:tcW w:w="528" w:type="dxa"/>
          </w:tcPr>
          <w:p>
            <w:pPr>
              <w:pStyle w:val="TableParagraph"/>
              <w:spacing w:line="240" w:lineRule="auto" w:before="32"/>
              <w:ind w:left="60"/>
              <w:jc w:val="left"/>
              <w:rPr>
                <w:sz w:val="24"/>
              </w:rPr>
            </w:pPr>
            <w:r>
              <w:rPr>
                <w:spacing w:val="-5"/>
                <w:sz w:val="24"/>
              </w:rPr>
              <w:t>.</w:t>
            </w:r>
            <w:r>
              <w:rPr>
                <w:color w:val="0000FF"/>
                <w:spacing w:val="-5"/>
                <w:sz w:val="24"/>
              </w:rPr>
              <w:t>99</w:t>
            </w:r>
          </w:p>
        </w:tc>
      </w:tr>
      <w:tr>
        <w:trPr>
          <w:trHeight w:val="358" w:hRule="atLeast"/>
        </w:trPr>
        <w:tc>
          <w:tcPr>
            <w:tcW w:w="474" w:type="dxa"/>
          </w:tcPr>
          <w:p>
            <w:pPr>
              <w:pStyle w:val="TableParagraph"/>
              <w:spacing w:line="240" w:lineRule="auto"/>
              <w:jc w:val="left"/>
              <w:rPr>
                <w:sz w:val="22"/>
              </w:rPr>
            </w:pPr>
          </w:p>
        </w:tc>
        <w:tc>
          <w:tcPr>
            <w:tcW w:w="860" w:type="dxa"/>
          </w:tcPr>
          <w:p>
            <w:pPr>
              <w:pStyle w:val="TableParagraph"/>
              <w:spacing w:line="240" w:lineRule="auto"/>
              <w:jc w:val="left"/>
              <w:rPr>
                <w:sz w:val="22"/>
              </w:rPr>
            </w:pPr>
          </w:p>
        </w:tc>
        <w:tc>
          <w:tcPr>
            <w:tcW w:w="6247" w:type="dxa"/>
          </w:tcPr>
          <w:p>
            <w:pPr>
              <w:pStyle w:val="TableParagraph"/>
              <w:tabs>
                <w:tab w:pos="980" w:val="left" w:leader="none"/>
              </w:tabs>
              <w:spacing w:line="240" w:lineRule="auto" w:before="32"/>
              <w:ind w:right="58"/>
              <w:jc w:val="right"/>
              <w:rPr>
                <w:sz w:val="24"/>
              </w:rPr>
            </w:pPr>
            <w:r>
              <w:rPr>
                <w:spacing w:val="-2"/>
                <w:sz w:val="24"/>
              </w:rPr>
              <w:t>4.3.1.1</w:t>
            </w:r>
            <w:r>
              <w:rPr>
                <w:sz w:val="24"/>
              </w:rPr>
              <w:tab/>
              <w:t>Action</w:t>
            </w:r>
            <w:r>
              <w:rPr>
                <w:spacing w:val="-2"/>
                <w:sz w:val="24"/>
              </w:rPr>
              <w:t> </w:t>
            </w:r>
            <w:r>
              <w:rPr>
                <w:sz w:val="24"/>
              </w:rPr>
              <w:t>Impact</w:t>
            </w:r>
            <w:r>
              <w:rPr>
                <w:spacing w:val="-2"/>
                <w:sz w:val="24"/>
              </w:rPr>
              <w:t> </w:t>
            </w:r>
            <w:r>
              <w:rPr>
                <w:sz w:val="24"/>
              </w:rPr>
              <w:t>Ratings</w:t>
            </w:r>
            <w:r>
              <w:rPr>
                <w:spacing w:val="21"/>
                <w:sz w:val="24"/>
              </w:rPr>
              <w:t> </w:t>
            </w:r>
            <w:r>
              <w:rPr>
                <w:sz w:val="24"/>
              </w:rPr>
              <w:t>.</w:t>
            </w:r>
            <w:r>
              <w:rPr>
                <w:spacing w:val="57"/>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7"/>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7"/>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7"/>
                <w:sz w:val="24"/>
              </w:rPr>
              <w:t> </w:t>
            </w:r>
            <w:r>
              <w:rPr>
                <w:spacing w:val="-10"/>
                <w:sz w:val="24"/>
              </w:rPr>
              <w:t>.</w:t>
            </w:r>
          </w:p>
        </w:tc>
        <w:tc>
          <w:tcPr>
            <w:tcW w:w="528" w:type="dxa"/>
          </w:tcPr>
          <w:p>
            <w:pPr>
              <w:pStyle w:val="TableParagraph"/>
              <w:spacing w:line="240" w:lineRule="auto" w:before="32"/>
              <w:ind w:left="60"/>
              <w:jc w:val="left"/>
              <w:rPr>
                <w:sz w:val="24"/>
              </w:rPr>
            </w:pPr>
            <w:r>
              <w:rPr>
                <w:spacing w:val="-4"/>
                <w:sz w:val="24"/>
              </w:rPr>
              <w:t>.</w:t>
            </w:r>
            <w:r>
              <w:rPr>
                <w:color w:val="0000FF"/>
                <w:spacing w:val="-4"/>
                <w:sz w:val="24"/>
              </w:rPr>
              <w:t>100</w:t>
            </w:r>
          </w:p>
        </w:tc>
      </w:tr>
      <w:tr>
        <w:trPr>
          <w:trHeight w:val="358" w:hRule="atLeast"/>
        </w:trPr>
        <w:tc>
          <w:tcPr>
            <w:tcW w:w="474" w:type="dxa"/>
          </w:tcPr>
          <w:p>
            <w:pPr>
              <w:pStyle w:val="TableParagraph"/>
              <w:spacing w:line="240" w:lineRule="auto"/>
              <w:jc w:val="left"/>
              <w:rPr>
                <w:sz w:val="22"/>
              </w:rPr>
            </w:pPr>
          </w:p>
        </w:tc>
        <w:tc>
          <w:tcPr>
            <w:tcW w:w="860" w:type="dxa"/>
          </w:tcPr>
          <w:p>
            <w:pPr>
              <w:pStyle w:val="TableParagraph"/>
              <w:spacing w:line="240" w:lineRule="auto"/>
              <w:jc w:val="left"/>
              <w:rPr>
                <w:sz w:val="22"/>
              </w:rPr>
            </w:pPr>
          </w:p>
        </w:tc>
        <w:tc>
          <w:tcPr>
            <w:tcW w:w="6247" w:type="dxa"/>
          </w:tcPr>
          <w:p>
            <w:pPr>
              <w:pStyle w:val="TableParagraph"/>
              <w:tabs>
                <w:tab w:pos="980" w:val="left" w:leader="none"/>
                <w:tab w:pos="3048" w:val="left" w:leader="none"/>
              </w:tabs>
              <w:spacing w:line="240" w:lineRule="auto" w:before="32"/>
              <w:ind w:right="58"/>
              <w:jc w:val="right"/>
              <w:rPr>
                <w:sz w:val="24"/>
              </w:rPr>
            </w:pPr>
            <w:r>
              <w:rPr>
                <w:spacing w:val="-2"/>
                <w:sz w:val="24"/>
              </w:rPr>
              <w:t>4.3.1.2</w:t>
            </w:r>
            <w:r>
              <w:rPr>
                <w:sz w:val="24"/>
              </w:rPr>
              <w:tab/>
            </w:r>
            <w:r>
              <w:rPr>
                <w:spacing w:val="-2"/>
                <w:sz w:val="24"/>
              </w:rPr>
              <w:t>Contextual</w:t>
            </w:r>
            <w:r>
              <w:rPr>
                <w:spacing w:val="4"/>
                <w:sz w:val="24"/>
              </w:rPr>
              <w:t> </w:t>
            </w:r>
            <w:r>
              <w:rPr>
                <w:spacing w:val="-2"/>
                <w:sz w:val="24"/>
              </w:rPr>
              <w:t>Insights</w:t>
            </w:r>
            <w:r>
              <w:rPr>
                <w:sz w:val="24"/>
              </w:rPr>
              <w:tab/>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pacing w:val="-10"/>
                <w:sz w:val="24"/>
              </w:rPr>
              <w:t>.</w:t>
            </w:r>
          </w:p>
        </w:tc>
        <w:tc>
          <w:tcPr>
            <w:tcW w:w="528" w:type="dxa"/>
          </w:tcPr>
          <w:p>
            <w:pPr>
              <w:pStyle w:val="TableParagraph"/>
              <w:spacing w:line="240" w:lineRule="auto" w:before="32"/>
              <w:ind w:left="60"/>
              <w:jc w:val="left"/>
              <w:rPr>
                <w:sz w:val="24"/>
              </w:rPr>
            </w:pPr>
            <w:r>
              <w:rPr>
                <w:spacing w:val="-4"/>
                <w:sz w:val="24"/>
              </w:rPr>
              <w:t>.</w:t>
            </w:r>
            <w:r>
              <w:rPr>
                <w:color w:val="0000FF"/>
                <w:spacing w:val="-4"/>
                <w:sz w:val="24"/>
              </w:rPr>
              <w:t>102</w:t>
            </w:r>
          </w:p>
        </w:tc>
      </w:tr>
      <w:tr>
        <w:trPr>
          <w:trHeight w:val="323" w:hRule="atLeast"/>
        </w:trPr>
        <w:tc>
          <w:tcPr>
            <w:tcW w:w="474" w:type="dxa"/>
          </w:tcPr>
          <w:p>
            <w:pPr>
              <w:pStyle w:val="TableParagraph"/>
              <w:spacing w:line="240" w:lineRule="auto"/>
              <w:jc w:val="left"/>
              <w:rPr>
                <w:sz w:val="22"/>
              </w:rPr>
            </w:pPr>
          </w:p>
        </w:tc>
        <w:tc>
          <w:tcPr>
            <w:tcW w:w="860" w:type="dxa"/>
          </w:tcPr>
          <w:p>
            <w:pPr>
              <w:pStyle w:val="TableParagraph"/>
              <w:spacing w:line="271" w:lineRule="exact" w:before="32"/>
              <w:ind w:left="125"/>
              <w:jc w:val="left"/>
              <w:rPr>
                <w:sz w:val="24"/>
              </w:rPr>
            </w:pPr>
            <w:r>
              <w:rPr>
                <w:spacing w:val="-2"/>
                <w:sz w:val="24"/>
              </w:rPr>
              <w:t>4.3.2</w:t>
            </w:r>
          </w:p>
        </w:tc>
        <w:tc>
          <w:tcPr>
            <w:tcW w:w="6247" w:type="dxa"/>
          </w:tcPr>
          <w:p>
            <w:pPr>
              <w:pStyle w:val="TableParagraph"/>
              <w:spacing w:line="271" w:lineRule="exact" w:before="32"/>
              <w:ind w:right="58"/>
              <w:jc w:val="right"/>
              <w:rPr>
                <w:sz w:val="24"/>
              </w:rPr>
            </w:pPr>
            <w:r>
              <w:rPr>
                <w:sz w:val="24"/>
              </w:rPr>
              <w:t>Evaluation</w:t>
            </w:r>
            <w:r>
              <w:rPr>
                <w:spacing w:val="-3"/>
                <w:sz w:val="24"/>
              </w:rPr>
              <w:t> </w:t>
            </w:r>
            <w:r>
              <w:rPr>
                <w:sz w:val="24"/>
              </w:rPr>
              <w:t>of</w:t>
            </w:r>
            <w:r>
              <w:rPr>
                <w:spacing w:val="-3"/>
                <w:sz w:val="24"/>
              </w:rPr>
              <w:t> </w:t>
            </w:r>
            <w:r>
              <w:rPr>
                <w:sz w:val="24"/>
              </w:rPr>
              <w:t>Team</w:t>
            </w:r>
            <w:r>
              <w:rPr>
                <w:spacing w:val="-3"/>
                <w:sz w:val="24"/>
              </w:rPr>
              <w:t> </w:t>
            </w:r>
            <w:r>
              <w:rPr>
                <w:sz w:val="24"/>
              </w:rPr>
              <w:t>Performances</w:t>
            </w:r>
            <w:r>
              <w:rPr>
                <w:spacing w:val="62"/>
                <w:w w:val="150"/>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5"/>
                <w:sz w:val="24"/>
              </w:rPr>
              <w:t> </w:t>
            </w:r>
            <w:r>
              <w:rPr>
                <w:spacing w:val="-10"/>
                <w:sz w:val="24"/>
              </w:rPr>
              <w:t>.</w:t>
            </w:r>
          </w:p>
        </w:tc>
        <w:tc>
          <w:tcPr>
            <w:tcW w:w="528" w:type="dxa"/>
          </w:tcPr>
          <w:p>
            <w:pPr>
              <w:pStyle w:val="TableParagraph"/>
              <w:spacing w:line="271" w:lineRule="exact" w:before="32"/>
              <w:ind w:left="60"/>
              <w:jc w:val="left"/>
              <w:rPr>
                <w:sz w:val="24"/>
              </w:rPr>
            </w:pPr>
            <w:r>
              <w:rPr>
                <w:spacing w:val="-4"/>
                <w:sz w:val="24"/>
              </w:rPr>
              <w:t>.</w:t>
            </w:r>
            <w:r>
              <w:rPr>
                <w:color w:val="0000FF"/>
                <w:spacing w:val="-4"/>
                <w:sz w:val="24"/>
              </w:rPr>
              <w:t>102</w:t>
            </w:r>
          </w:p>
        </w:tc>
      </w:tr>
    </w:tbl>
    <w:p>
      <w:pPr>
        <w:spacing w:after="0" w:line="271" w:lineRule="exact"/>
        <w:jc w:val="left"/>
        <w:rPr>
          <w:sz w:val="24"/>
        </w:rPr>
        <w:sectPr>
          <w:type w:val="continuous"/>
          <w:pgSz w:w="11910" w:h="16840"/>
          <w:pgMar w:header="0" w:footer="1428" w:top="2280" w:bottom="1620" w:left="1680" w:right="720"/>
        </w:sectPr>
      </w:pPr>
    </w:p>
    <w:p>
      <w:pPr>
        <w:pStyle w:val="BodyText"/>
        <w:rPr>
          <w:sz w:val="20"/>
        </w:rPr>
      </w:pPr>
    </w:p>
    <w:p>
      <w:pPr>
        <w:pStyle w:val="BodyText"/>
        <w:spacing w:before="3"/>
        <w:rPr>
          <w:sz w:val="21"/>
        </w:rPr>
      </w:pPr>
    </w:p>
    <w:p>
      <w:pPr>
        <w:pStyle w:val="BodyText"/>
        <w:tabs>
          <w:tab w:pos="1518" w:val="left" w:leader="none"/>
          <w:tab w:pos="8620" w:val="left" w:leader="dot"/>
        </w:tabs>
        <w:spacing w:before="97"/>
        <w:ind w:left="969"/>
      </w:pPr>
      <w:hyperlink w:history="true" w:anchor="_TOC_250030">
        <w:r>
          <w:rPr>
            <w:spacing w:val="-5"/>
          </w:rPr>
          <w:t>4.4</w:t>
        </w:r>
        <w:r>
          <w:rPr/>
          <w:tab/>
        </w:r>
        <w:r>
          <w:rPr>
            <w:spacing w:val="-2"/>
          </w:rPr>
          <w:t>Summary</w:t>
        </w:r>
        <w:r>
          <w:rPr/>
          <w:tab/>
        </w:r>
        <w:r>
          <w:rPr>
            <w:color w:val="0000FF"/>
            <w:spacing w:val="-5"/>
          </w:rPr>
          <w:t>105</w:t>
        </w:r>
      </w:hyperlink>
    </w:p>
    <w:p>
      <w:pPr>
        <w:pStyle w:val="ListParagraph"/>
        <w:numPr>
          <w:ilvl w:val="0"/>
          <w:numId w:val="2"/>
        </w:numPr>
        <w:tabs>
          <w:tab w:pos="968" w:val="left" w:leader="none"/>
          <w:tab w:pos="970" w:val="left" w:leader="none"/>
        </w:tabs>
        <w:spacing w:line="312" w:lineRule="auto" w:before="322" w:after="0"/>
        <w:ind w:left="969" w:right="759" w:hanging="359"/>
        <w:jc w:val="left"/>
        <w:rPr>
          <w:b/>
          <w:sz w:val="24"/>
        </w:rPr>
      </w:pPr>
      <w:r>
        <w:rPr>
          <w:b/>
          <w:sz w:val="24"/>
        </w:rPr>
        <w:t>Kernel</w:t>
      </w:r>
      <w:r>
        <w:rPr>
          <w:b/>
          <w:spacing w:val="-2"/>
          <w:sz w:val="24"/>
        </w:rPr>
        <w:t> </w:t>
      </w:r>
      <w:r>
        <w:rPr>
          <w:b/>
          <w:sz w:val="24"/>
        </w:rPr>
        <w:t>Density</w:t>
      </w:r>
      <w:r>
        <w:rPr>
          <w:b/>
          <w:spacing w:val="-2"/>
          <w:sz w:val="24"/>
        </w:rPr>
        <w:t> </w:t>
      </w:r>
      <w:r>
        <w:rPr>
          <w:b/>
          <w:sz w:val="24"/>
        </w:rPr>
        <w:t>Estimation</w:t>
      </w:r>
      <w:r>
        <w:rPr>
          <w:b/>
          <w:spacing w:val="-2"/>
          <w:sz w:val="24"/>
        </w:rPr>
        <w:t> </w:t>
      </w:r>
      <w:r>
        <w:rPr>
          <w:b/>
          <w:sz w:val="24"/>
        </w:rPr>
        <w:t>and</w:t>
      </w:r>
      <w:r>
        <w:rPr>
          <w:b/>
          <w:spacing w:val="-2"/>
          <w:sz w:val="24"/>
        </w:rPr>
        <w:t> </w:t>
      </w:r>
      <w:r>
        <w:rPr>
          <w:b/>
          <w:sz w:val="24"/>
        </w:rPr>
        <w:t>Wasserstein</w:t>
      </w:r>
      <w:r>
        <w:rPr>
          <w:b/>
          <w:spacing w:val="-2"/>
          <w:sz w:val="24"/>
        </w:rPr>
        <w:t> </w:t>
      </w:r>
      <w:r>
        <w:rPr>
          <w:b/>
          <w:sz w:val="24"/>
        </w:rPr>
        <w:t>Distance</w:t>
      </w:r>
      <w:r>
        <w:rPr>
          <w:b/>
          <w:spacing w:val="-2"/>
          <w:sz w:val="24"/>
        </w:rPr>
        <w:t> </w:t>
      </w:r>
      <w:r>
        <w:rPr>
          <w:b/>
          <w:sz w:val="24"/>
        </w:rPr>
        <w:t>Evaluation</w:t>
      </w:r>
      <w:r>
        <w:rPr>
          <w:b/>
          <w:spacing w:val="-2"/>
          <w:sz w:val="24"/>
        </w:rPr>
        <w:t> </w:t>
      </w:r>
      <w:r>
        <w:rPr>
          <w:b/>
          <w:sz w:val="24"/>
        </w:rPr>
        <w:t>of</w:t>
      </w:r>
      <w:r>
        <w:rPr>
          <w:b/>
          <w:spacing w:val="-2"/>
          <w:sz w:val="24"/>
        </w:rPr>
        <w:t> </w:t>
      </w:r>
      <w:r>
        <w:rPr>
          <w:b/>
          <w:sz w:val="24"/>
        </w:rPr>
        <w:t>the</w:t>
      </w:r>
      <w:r>
        <w:rPr>
          <w:b/>
          <w:spacing w:val="-2"/>
          <w:sz w:val="24"/>
        </w:rPr>
        <w:t> </w:t>
      </w:r>
      <w:r>
        <w:rPr>
          <w:b/>
          <w:sz w:val="24"/>
        </w:rPr>
        <w:t>Spa- tial Trends of Team Attacking Performances</w:t>
      </w:r>
      <w:r>
        <w:rPr>
          <w:b/>
          <w:color w:val="0000FF"/>
          <w:sz w:val="24"/>
        </w:rPr>
        <w:t>109</w:t>
      </w:r>
    </w:p>
    <w:p>
      <w:pPr>
        <w:pStyle w:val="ListParagraph"/>
        <w:numPr>
          <w:ilvl w:val="1"/>
          <w:numId w:val="2"/>
        </w:numPr>
        <w:tabs>
          <w:tab w:pos="1518" w:val="left" w:leader="none"/>
          <w:tab w:pos="1519" w:val="left" w:leader="none"/>
          <w:tab w:pos="8620" w:val="left" w:leader="dot"/>
        </w:tabs>
        <w:spacing w:line="276" w:lineRule="exact" w:before="0" w:after="0"/>
        <w:ind w:left="1518" w:right="0" w:hanging="550"/>
        <w:jc w:val="left"/>
        <w:rPr>
          <w:sz w:val="24"/>
        </w:rPr>
      </w:pPr>
      <w:hyperlink w:history="true" w:anchor="_TOC_250029">
        <w:r>
          <w:rPr>
            <w:spacing w:val="-2"/>
            <w:sz w:val="24"/>
          </w:rPr>
          <w:t>Introduction</w:t>
        </w:r>
        <w:r>
          <w:rPr>
            <w:sz w:val="24"/>
          </w:rPr>
          <w:tab/>
        </w:r>
        <w:r>
          <w:rPr>
            <w:color w:val="0000FF"/>
            <w:spacing w:val="-5"/>
            <w:sz w:val="24"/>
          </w:rPr>
          <w:t>109</w:t>
        </w:r>
      </w:hyperlink>
    </w:p>
    <w:p>
      <w:pPr>
        <w:pStyle w:val="ListParagraph"/>
        <w:numPr>
          <w:ilvl w:val="1"/>
          <w:numId w:val="2"/>
        </w:numPr>
        <w:tabs>
          <w:tab w:pos="1518" w:val="left" w:leader="none"/>
          <w:tab w:pos="1519" w:val="left" w:leader="none"/>
          <w:tab w:pos="8620" w:val="left" w:leader="dot"/>
        </w:tabs>
        <w:spacing w:line="240" w:lineRule="auto" w:before="82" w:after="0"/>
        <w:ind w:left="1518" w:right="0" w:hanging="550"/>
        <w:jc w:val="left"/>
        <w:rPr>
          <w:sz w:val="24"/>
        </w:rPr>
      </w:pPr>
      <w:hyperlink w:history="true" w:anchor="_TOC_250028">
        <w:r>
          <w:rPr>
            <w:spacing w:val="-2"/>
            <w:sz w:val="24"/>
          </w:rPr>
          <w:t>Methodology</w:t>
        </w:r>
        <w:r>
          <w:rPr>
            <w:sz w:val="24"/>
          </w:rPr>
          <w:tab/>
        </w:r>
        <w:r>
          <w:rPr>
            <w:color w:val="0000FF"/>
            <w:spacing w:val="-5"/>
            <w:sz w:val="24"/>
          </w:rPr>
          <w:t>110</w:t>
        </w:r>
      </w:hyperlink>
    </w:p>
    <w:p>
      <w:pPr>
        <w:pStyle w:val="ListParagraph"/>
        <w:numPr>
          <w:ilvl w:val="2"/>
          <w:numId w:val="2"/>
        </w:numPr>
        <w:tabs>
          <w:tab w:pos="2284" w:val="left" w:leader="none"/>
          <w:tab w:pos="2285" w:val="left" w:leader="none"/>
          <w:tab w:pos="8620" w:val="left" w:leader="dot"/>
        </w:tabs>
        <w:spacing w:line="240" w:lineRule="auto" w:before="83" w:after="0"/>
        <w:ind w:left="2284" w:right="0" w:hanging="767"/>
        <w:jc w:val="left"/>
        <w:rPr>
          <w:sz w:val="24"/>
        </w:rPr>
      </w:pPr>
      <w:hyperlink w:history="true" w:anchor="_TOC_250027">
        <w:r>
          <w:rPr>
            <w:spacing w:val="-4"/>
            <w:sz w:val="24"/>
          </w:rPr>
          <w:t>Data</w:t>
        </w:r>
        <w:r>
          <w:rPr>
            <w:sz w:val="24"/>
          </w:rPr>
          <w:tab/>
        </w:r>
        <w:r>
          <w:rPr>
            <w:color w:val="0000FF"/>
            <w:spacing w:val="-5"/>
            <w:sz w:val="24"/>
          </w:rPr>
          <w:t>110</w:t>
        </w:r>
      </w:hyperlink>
    </w:p>
    <w:p>
      <w:pPr>
        <w:pStyle w:val="ListParagraph"/>
        <w:numPr>
          <w:ilvl w:val="2"/>
          <w:numId w:val="2"/>
        </w:numPr>
        <w:tabs>
          <w:tab w:pos="2284" w:val="left" w:leader="none"/>
          <w:tab w:pos="2285" w:val="left" w:leader="none"/>
          <w:tab w:pos="8620" w:val="left" w:leader="dot"/>
        </w:tabs>
        <w:spacing w:line="240" w:lineRule="auto" w:before="83" w:after="0"/>
        <w:ind w:left="2284" w:right="0" w:hanging="767"/>
        <w:jc w:val="left"/>
        <w:rPr>
          <w:sz w:val="24"/>
        </w:rPr>
      </w:pPr>
      <w:hyperlink w:history="true" w:anchor="_TOC_250026">
        <w:r>
          <w:rPr>
            <w:sz w:val="24"/>
          </w:rPr>
          <w:t>Data</w:t>
        </w:r>
        <w:r>
          <w:rPr>
            <w:spacing w:val="-6"/>
            <w:sz w:val="24"/>
          </w:rPr>
          <w:t> </w:t>
        </w:r>
        <w:r>
          <w:rPr>
            <w:spacing w:val="-2"/>
            <w:sz w:val="24"/>
          </w:rPr>
          <w:t>Preprocessing</w:t>
        </w:r>
        <w:r>
          <w:rPr>
            <w:sz w:val="24"/>
          </w:rPr>
          <w:tab/>
        </w:r>
        <w:r>
          <w:rPr>
            <w:color w:val="0000FF"/>
            <w:spacing w:val="-5"/>
            <w:sz w:val="24"/>
          </w:rPr>
          <w:t>111</w:t>
        </w:r>
      </w:hyperlink>
    </w:p>
    <w:p>
      <w:pPr>
        <w:pStyle w:val="ListParagraph"/>
        <w:numPr>
          <w:ilvl w:val="2"/>
          <w:numId w:val="2"/>
        </w:numPr>
        <w:tabs>
          <w:tab w:pos="2284" w:val="left" w:leader="none"/>
          <w:tab w:pos="2285" w:val="left" w:leader="none"/>
          <w:tab w:pos="8620" w:val="left" w:leader="dot"/>
        </w:tabs>
        <w:spacing w:line="240" w:lineRule="auto" w:before="82" w:after="0"/>
        <w:ind w:left="2284" w:right="0" w:hanging="767"/>
        <w:jc w:val="left"/>
        <w:rPr>
          <w:sz w:val="24"/>
        </w:rPr>
      </w:pPr>
      <w:hyperlink w:history="true" w:anchor="_TOC_250025">
        <w:r>
          <w:rPr>
            <w:sz w:val="24"/>
          </w:rPr>
          <w:t>Kernel</w:t>
        </w:r>
        <w:r>
          <w:rPr>
            <w:spacing w:val="-11"/>
            <w:sz w:val="24"/>
          </w:rPr>
          <w:t> </w:t>
        </w:r>
        <w:r>
          <w:rPr>
            <w:sz w:val="24"/>
          </w:rPr>
          <w:t>Density</w:t>
        </w:r>
        <w:r>
          <w:rPr>
            <w:spacing w:val="-11"/>
            <w:sz w:val="24"/>
          </w:rPr>
          <w:t> </w:t>
        </w:r>
        <w:r>
          <w:rPr>
            <w:spacing w:val="-2"/>
            <w:sz w:val="24"/>
          </w:rPr>
          <w:t>Estimation</w:t>
        </w:r>
        <w:r>
          <w:rPr>
            <w:sz w:val="24"/>
          </w:rPr>
          <w:tab/>
        </w:r>
        <w:r>
          <w:rPr>
            <w:color w:val="0000FF"/>
            <w:spacing w:val="-5"/>
            <w:sz w:val="24"/>
          </w:rPr>
          <w:t>117</w:t>
        </w:r>
      </w:hyperlink>
    </w:p>
    <w:p>
      <w:pPr>
        <w:pStyle w:val="ListParagraph"/>
        <w:numPr>
          <w:ilvl w:val="2"/>
          <w:numId w:val="2"/>
        </w:numPr>
        <w:tabs>
          <w:tab w:pos="2284" w:val="left" w:leader="none"/>
          <w:tab w:pos="2285" w:val="left" w:leader="none"/>
          <w:tab w:pos="8620" w:val="left" w:leader="dot"/>
        </w:tabs>
        <w:spacing w:line="240" w:lineRule="auto" w:before="83" w:after="0"/>
        <w:ind w:left="2284" w:right="0" w:hanging="767"/>
        <w:jc w:val="left"/>
        <w:rPr>
          <w:sz w:val="24"/>
        </w:rPr>
      </w:pPr>
      <w:hyperlink w:history="true" w:anchor="_TOC_250024">
        <w:r>
          <w:rPr>
            <w:spacing w:val="-2"/>
            <w:sz w:val="24"/>
          </w:rPr>
          <w:t>Wasserstein</w:t>
        </w:r>
        <w:r>
          <w:rPr>
            <w:spacing w:val="-11"/>
            <w:sz w:val="24"/>
          </w:rPr>
          <w:t> </w:t>
        </w:r>
        <w:r>
          <w:rPr>
            <w:spacing w:val="-2"/>
            <w:sz w:val="24"/>
          </w:rPr>
          <w:t>Distance</w:t>
        </w:r>
        <w:r>
          <w:rPr>
            <w:sz w:val="24"/>
          </w:rPr>
          <w:tab/>
        </w:r>
        <w:r>
          <w:rPr>
            <w:color w:val="0000FF"/>
            <w:spacing w:val="-5"/>
            <w:sz w:val="24"/>
          </w:rPr>
          <w:t>120</w:t>
        </w:r>
      </w:hyperlink>
    </w:p>
    <w:p>
      <w:pPr>
        <w:pStyle w:val="ListParagraph"/>
        <w:numPr>
          <w:ilvl w:val="3"/>
          <w:numId w:val="2"/>
        </w:numPr>
        <w:tabs>
          <w:tab w:pos="3264" w:val="left" w:leader="none"/>
          <w:tab w:pos="3265" w:val="left" w:leader="none"/>
          <w:tab w:pos="8620" w:val="left" w:leader="dot"/>
        </w:tabs>
        <w:spacing w:line="240" w:lineRule="auto" w:before="82" w:after="0"/>
        <w:ind w:left="3264" w:right="0" w:hanging="981"/>
        <w:jc w:val="left"/>
        <w:rPr>
          <w:sz w:val="24"/>
        </w:rPr>
      </w:pPr>
      <w:hyperlink w:history="true" w:anchor="_TOC_250023">
        <w:r>
          <w:rPr>
            <w:spacing w:val="-2"/>
            <w:sz w:val="24"/>
          </w:rPr>
          <w:t>Normalised</w:t>
        </w:r>
        <w:r>
          <w:rPr>
            <w:spacing w:val="-1"/>
            <w:sz w:val="24"/>
          </w:rPr>
          <w:t> </w:t>
        </w:r>
        <w:r>
          <w:rPr>
            <w:spacing w:val="-2"/>
            <w:sz w:val="24"/>
          </w:rPr>
          <w:t>Axis</w:t>
        </w:r>
        <w:r>
          <w:rPr>
            <w:sz w:val="24"/>
          </w:rPr>
          <w:t> </w:t>
        </w:r>
        <w:r>
          <w:rPr>
            <w:spacing w:val="-2"/>
            <w:sz w:val="24"/>
          </w:rPr>
          <w:t>Wasserstein</w:t>
        </w:r>
        <w:r>
          <w:rPr>
            <w:sz w:val="24"/>
          </w:rPr>
          <w:t> </w:t>
        </w:r>
        <w:r>
          <w:rPr>
            <w:spacing w:val="-2"/>
            <w:sz w:val="24"/>
          </w:rPr>
          <w:t>Distance</w:t>
        </w:r>
        <w:r>
          <w:rPr>
            <w:sz w:val="24"/>
          </w:rPr>
          <w:tab/>
        </w:r>
        <w:r>
          <w:rPr>
            <w:color w:val="0000FF"/>
            <w:spacing w:val="-5"/>
            <w:sz w:val="24"/>
          </w:rPr>
          <w:t>122</w:t>
        </w:r>
      </w:hyperlink>
    </w:p>
    <w:p>
      <w:pPr>
        <w:pStyle w:val="ListParagraph"/>
        <w:numPr>
          <w:ilvl w:val="3"/>
          <w:numId w:val="2"/>
        </w:numPr>
        <w:tabs>
          <w:tab w:pos="3264" w:val="left" w:leader="none"/>
          <w:tab w:pos="3265" w:val="left" w:leader="none"/>
          <w:tab w:pos="8620" w:val="left" w:leader="dot"/>
        </w:tabs>
        <w:spacing w:line="240" w:lineRule="auto" w:before="83" w:after="0"/>
        <w:ind w:left="3264" w:right="0" w:hanging="981"/>
        <w:jc w:val="left"/>
        <w:rPr>
          <w:sz w:val="24"/>
        </w:rPr>
      </w:pPr>
      <w:hyperlink w:history="true" w:anchor="_TOC_250022">
        <w:r>
          <w:rPr>
            <w:spacing w:val="-2"/>
            <w:sz w:val="24"/>
          </w:rPr>
          <w:t>Directional</w:t>
        </w:r>
        <w:r>
          <w:rPr>
            <w:spacing w:val="-1"/>
            <w:sz w:val="24"/>
          </w:rPr>
          <w:t> </w:t>
        </w:r>
        <w:r>
          <w:rPr>
            <w:spacing w:val="-2"/>
            <w:sz w:val="24"/>
          </w:rPr>
          <w:t>Wasserstein</w:t>
        </w:r>
        <w:r>
          <w:rPr>
            <w:sz w:val="24"/>
          </w:rPr>
          <w:t> </w:t>
        </w:r>
        <w:r>
          <w:rPr>
            <w:spacing w:val="-2"/>
            <w:sz w:val="24"/>
          </w:rPr>
          <w:t>Distance</w:t>
        </w:r>
        <w:r>
          <w:rPr>
            <w:sz w:val="24"/>
          </w:rPr>
          <w:tab/>
        </w:r>
        <w:r>
          <w:rPr>
            <w:color w:val="0000FF"/>
            <w:spacing w:val="-5"/>
            <w:sz w:val="24"/>
          </w:rPr>
          <w:t>124</w:t>
        </w:r>
      </w:hyperlink>
    </w:p>
    <w:p>
      <w:pPr>
        <w:pStyle w:val="ListParagraph"/>
        <w:numPr>
          <w:ilvl w:val="1"/>
          <w:numId w:val="2"/>
        </w:numPr>
        <w:tabs>
          <w:tab w:pos="1518" w:val="left" w:leader="none"/>
          <w:tab w:pos="1519" w:val="left" w:leader="none"/>
          <w:tab w:pos="8620" w:val="left" w:leader="dot"/>
        </w:tabs>
        <w:spacing w:line="240" w:lineRule="auto" w:before="82" w:after="0"/>
        <w:ind w:left="1518" w:right="0" w:hanging="550"/>
        <w:jc w:val="left"/>
        <w:rPr>
          <w:sz w:val="24"/>
        </w:rPr>
      </w:pPr>
      <w:hyperlink w:history="true" w:anchor="_TOC_250021">
        <w:r>
          <w:rPr>
            <w:spacing w:val="-2"/>
            <w:sz w:val="24"/>
          </w:rPr>
          <w:t>Results</w:t>
        </w:r>
        <w:r>
          <w:rPr>
            <w:sz w:val="24"/>
          </w:rPr>
          <w:tab/>
        </w:r>
        <w:r>
          <w:rPr>
            <w:color w:val="0000FF"/>
            <w:spacing w:val="-5"/>
            <w:sz w:val="24"/>
          </w:rPr>
          <w:t>125</w:t>
        </w:r>
      </w:hyperlink>
    </w:p>
    <w:p>
      <w:pPr>
        <w:pStyle w:val="ListParagraph"/>
        <w:numPr>
          <w:ilvl w:val="2"/>
          <w:numId w:val="2"/>
        </w:numPr>
        <w:tabs>
          <w:tab w:pos="2284" w:val="left" w:leader="none"/>
          <w:tab w:pos="2285" w:val="left" w:leader="none"/>
          <w:tab w:pos="8620" w:val="left" w:leader="dot"/>
        </w:tabs>
        <w:spacing w:line="312" w:lineRule="auto" w:before="83" w:after="0"/>
        <w:ind w:left="2284" w:right="524" w:hanging="766"/>
        <w:jc w:val="left"/>
        <w:rPr>
          <w:sz w:val="24"/>
        </w:rPr>
      </w:pPr>
      <w:hyperlink w:history="true" w:anchor="_TOC_250020">
        <w:r>
          <w:rPr>
            <w:sz w:val="24"/>
          </w:rPr>
          <w:t>Quantification of the Spatial Trends of Team Attacking Perfor- </w:t>
        </w:r>
        <w:r>
          <w:rPr>
            <w:spacing w:val="-2"/>
            <w:sz w:val="24"/>
          </w:rPr>
          <w:t>mances</w:t>
        </w:r>
        <w:r>
          <w:rPr>
            <w:sz w:val="24"/>
          </w:rPr>
          <w:tab/>
        </w:r>
        <w:r>
          <w:rPr>
            <w:color w:val="0000FF"/>
            <w:spacing w:val="-4"/>
            <w:sz w:val="24"/>
          </w:rPr>
          <w:t>12</w:t>
        </w:r>
        <w:r>
          <w:rPr>
            <w:color w:val="0000FF"/>
            <w:spacing w:val="-4"/>
            <w:sz w:val="24"/>
          </w:rPr>
          <w:t>6</w:t>
        </w:r>
      </w:hyperlink>
    </w:p>
    <w:p>
      <w:pPr>
        <w:pStyle w:val="ListParagraph"/>
        <w:numPr>
          <w:ilvl w:val="2"/>
          <w:numId w:val="2"/>
        </w:numPr>
        <w:tabs>
          <w:tab w:pos="2284" w:val="left" w:leader="none"/>
          <w:tab w:pos="2285" w:val="left" w:leader="none"/>
          <w:tab w:pos="8620" w:val="left" w:leader="dot"/>
        </w:tabs>
        <w:spacing w:line="276" w:lineRule="exact" w:before="0" w:after="0"/>
        <w:ind w:left="2284" w:right="0" w:hanging="767"/>
        <w:jc w:val="left"/>
        <w:rPr>
          <w:sz w:val="24"/>
        </w:rPr>
      </w:pPr>
      <w:hyperlink w:history="true" w:anchor="_TOC_250019">
        <w:r>
          <w:rPr>
            <w:sz w:val="24"/>
          </w:rPr>
          <w:t>Evaluation</w:t>
        </w:r>
        <w:r>
          <w:rPr>
            <w:spacing w:val="-13"/>
            <w:sz w:val="24"/>
          </w:rPr>
          <w:t> </w:t>
        </w:r>
        <w:r>
          <w:rPr>
            <w:sz w:val="24"/>
          </w:rPr>
          <w:t>of</w:t>
        </w:r>
        <w:r>
          <w:rPr>
            <w:spacing w:val="-13"/>
            <w:sz w:val="24"/>
          </w:rPr>
          <w:t> </w:t>
        </w:r>
        <w:r>
          <w:rPr>
            <w:sz w:val="24"/>
          </w:rPr>
          <w:t>Between</w:t>
        </w:r>
        <w:r>
          <w:rPr>
            <w:spacing w:val="-12"/>
            <w:sz w:val="24"/>
          </w:rPr>
          <w:t> </w:t>
        </w:r>
        <w:r>
          <w:rPr>
            <w:sz w:val="24"/>
          </w:rPr>
          <w:t>and</w:t>
        </w:r>
        <w:r>
          <w:rPr>
            <w:spacing w:val="-13"/>
            <w:sz w:val="24"/>
          </w:rPr>
          <w:t> </w:t>
        </w:r>
        <w:r>
          <w:rPr>
            <w:sz w:val="24"/>
          </w:rPr>
          <w:t>Within</w:t>
        </w:r>
        <w:r>
          <w:rPr>
            <w:spacing w:val="-12"/>
            <w:sz w:val="24"/>
          </w:rPr>
          <w:t> </w:t>
        </w:r>
        <w:r>
          <w:rPr>
            <w:sz w:val="24"/>
          </w:rPr>
          <w:t>Team</w:t>
        </w:r>
        <w:r>
          <w:rPr>
            <w:spacing w:val="-13"/>
            <w:sz w:val="24"/>
          </w:rPr>
          <w:t> </w:t>
        </w:r>
        <w:r>
          <w:rPr>
            <w:spacing w:val="-2"/>
            <w:sz w:val="24"/>
          </w:rPr>
          <w:t>Differences</w:t>
        </w:r>
        <w:r>
          <w:rPr>
            <w:sz w:val="24"/>
          </w:rPr>
          <w:tab/>
        </w:r>
        <w:r>
          <w:rPr>
            <w:color w:val="0000FF"/>
            <w:spacing w:val="-5"/>
            <w:sz w:val="24"/>
          </w:rPr>
          <w:t>127</w:t>
        </w:r>
      </w:hyperlink>
    </w:p>
    <w:p>
      <w:pPr>
        <w:pStyle w:val="ListParagraph"/>
        <w:numPr>
          <w:ilvl w:val="3"/>
          <w:numId w:val="2"/>
        </w:numPr>
        <w:tabs>
          <w:tab w:pos="3264" w:val="left" w:leader="none"/>
          <w:tab w:pos="3265" w:val="left" w:leader="none"/>
          <w:tab w:pos="8620" w:val="left" w:leader="dot"/>
        </w:tabs>
        <w:spacing w:line="240" w:lineRule="auto" w:before="79" w:after="0"/>
        <w:ind w:left="3264" w:right="0" w:hanging="981"/>
        <w:jc w:val="left"/>
        <w:rPr>
          <w:sz w:val="24"/>
        </w:rPr>
      </w:pPr>
      <w:hyperlink w:history="true" w:anchor="_TOC_250018">
        <w:r>
          <w:rPr>
            <w:spacing w:val="-2"/>
            <w:sz w:val="24"/>
          </w:rPr>
          <w:t>Identification of Suitable</w:t>
        </w:r>
        <w:r>
          <w:rPr>
            <w:spacing w:val="-1"/>
            <w:sz w:val="24"/>
          </w:rPr>
          <w:t> </w:t>
        </w:r>
        <w:r>
          <w:rPr>
            <w:rFonts w:ascii="Cambria"/>
            <w:spacing w:val="-2"/>
            <w:sz w:val="24"/>
          </w:rPr>
          <w:t>p</w:t>
        </w:r>
        <w:r>
          <w:rPr>
            <w:spacing w:val="-2"/>
            <w:sz w:val="24"/>
          </w:rPr>
          <w:t>-</w:t>
        </w:r>
        <w:r>
          <w:rPr>
            <w:spacing w:val="-4"/>
            <w:sz w:val="24"/>
          </w:rPr>
          <w:t>norm</w:t>
        </w:r>
        <w:r>
          <w:rPr>
            <w:sz w:val="24"/>
          </w:rPr>
          <w:tab/>
        </w:r>
        <w:r>
          <w:rPr>
            <w:color w:val="0000FF"/>
            <w:spacing w:val="-5"/>
            <w:sz w:val="24"/>
          </w:rPr>
          <w:t>128</w:t>
        </w:r>
      </w:hyperlink>
    </w:p>
    <w:p>
      <w:pPr>
        <w:pStyle w:val="ListParagraph"/>
        <w:numPr>
          <w:ilvl w:val="3"/>
          <w:numId w:val="2"/>
        </w:numPr>
        <w:tabs>
          <w:tab w:pos="3264" w:val="left" w:leader="none"/>
          <w:tab w:pos="3265" w:val="left" w:leader="none"/>
        </w:tabs>
        <w:spacing w:line="240" w:lineRule="auto" w:before="81" w:after="0"/>
        <w:ind w:left="3264" w:right="0" w:hanging="981"/>
        <w:jc w:val="left"/>
        <w:rPr>
          <w:sz w:val="24"/>
        </w:rPr>
      </w:pPr>
      <w:r>
        <w:rPr>
          <w:sz w:val="24"/>
        </w:rPr>
        <w:t>Normalised</w:t>
      </w:r>
      <w:r>
        <w:rPr>
          <w:spacing w:val="8"/>
          <w:sz w:val="24"/>
        </w:rPr>
        <w:t> </w:t>
      </w:r>
      <w:r>
        <w:rPr>
          <w:sz w:val="24"/>
        </w:rPr>
        <w:t>Axis</w:t>
      </w:r>
      <w:r>
        <w:rPr>
          <w:spacing w:val="8"/>
          <w:sz w:val="24"/>
        </w:rPr>
        <w:t> </w:t>
      </w:r>
      <w:r>
        <w:rPr>
          <w:sz w:val="24"/>
        </w:rPr>
        <w:t>Wasserstein</w:t>
      </w:r>
      <w:r>
        <w:rPr>
          <w:spacing w:val="9"/>
          <w:sz w:val="24"/>
        </w:rPr>
        <w:t> </w:t>
      </w:r>
      <w:r>
        <w:rPr>
          <w:sz w:val="24"/>
        </w:rPr>
        <w:t>Distance</w:t>
      </w:r>
      <w:r>
        <w:rPr>
          <w:spacing w:val="8"/>
          <w:sz w:val="24"/>
        </w:rPr>
        <w:t> </w:t>
      </w:r>
      <w:r>
        <w:rPr>
          <w:sz w:val="24"/>
        </w:rPr>
        <w:t>Differences</w:t>
      </w:r>
      <w:r>
        <w:rPr>
          <w:spacing w:val="9"/>
          <w:sz w:val="24"/>
        </w:rPr>
        <w:t> </w:t>
      </w:r>
      <w:r>
        <w:rPr>
          <w:spacing w:val="-5"/>
          <w:sz w:val="24"/>
        </w:rPr>
        <w:t>at</w:t>
      </w:r>
    </w:p>
    <w:p>
      <w:pPr>
        <w:pStyle w:val="BodyText"/>
        <w:tabs>
          <w:tab w:pos="8620" w:val="left" w:leader="dot"/>
        </w:tabs>
        <w:spacing w:before="82"/>
        <w:ind w:left="3264"/>
      </w:pPr>
      <w:r>
        <w:rPr/>
        <w:t>the</w:t>
      </w:r>
      <w:r>
        <w:rPr>
          <w:spacing w:val="-13"/>
        </w:rPr>
        <w:t> </w:t>
      </w:r>
      <w:r>
        <w:rPr/>
        <w:t>Between</w:t>
      </w:r>
      <w:r>
        <w:rPr>
          <w:spacing w:val="-12"/>
        </w:rPr>
        <w:t> </w:t>
      </w:r>
      <w:r>
        <w:rPr/>
        <w:t>Team</w:t>
      </w:r>
      <w:r>
        <w:rPr>
          <w:spacing w:val="-12"/>
        </w:rPr>
        <w:t> </w:t>
      </w:r>
      <w:r>
        <w:rPr>
          <w:spacing w:val="-4"/>
        </w:rPr>
        <w:t>Level</w:t>
      </w:r>
      <w:r>
        <w:rPr/>
        <w:tab/>
      </w:r>
      <w:r>
        <w:rPr>
          <w:color w:val="0000FF"/>
          <w:spacing w:val="-5"/>
        </w:rPr>
        <w:t>130</w:t>
      </w:r>
    </w:p>
    <w:p>
      <w:pPr>
        <w:pStyle w:val="ListParagraph"/>
        <w:numPr>
          <w:ilvl w:val="3"/>
          <w:numId w:val="2"/>
        </w:numPr>
        <w:tabs>
          <w:tab w:pos="3264" w:val="left" w:leader="none"/>
          <w:tab w:pos="3265" w:val="left" w:leader="none"/>
          <w:tab w:pos="8620" w:val="left" w:leader="dot"/>
        </w:tabs>
        <w:spacing w:line="312" w:lineRule="auto" w:before="83" w:after="0"/>
        <w:ind w:left="3264" w:right="524" w:hanging="981"/>
        <w:jc w:val="left"/>
        <w:rPr>
          <w:sz w:val="24"/>
        </w:rPr>
      </w:pPr>
      <w:hyperlink w:history="true" w:anchor="_TOC_250017">
        <w:r>
          <w:rPr>
            <w:sz w:val="24"/>
          </w:rPr>
          <w:t>Directional Wasserstein Distance Differences at the Be- tween Team Level</w:t>
        </w:r>
        <w:r>
          <w:rPr>
            <w:sz w:val="24"/>
          </w:rPr>
          <w:tab/>
        </w:r>
        <w:r>
          <w:rPr>
            <w:color w:val="0000FF"/>
            <w:spacing w:val="-4"/>
            <w:sz w:val="24"/>
          </w:rPr>
          <w:t>13</w:t>
        </w:r>
        <w:r>
          <w:rPr>
            <w:color w:val="0000FF"/>
            <w:spacing w:val="-4"/>
            <w:sz w:val="24"/>
          </w:rPr>
          <w:t>5</w:t>
        </w:r>
      </w:hyperlink>
    </w:p>
    <w:p>
      <w:pPr>
        <w:pStyle w:val="ListParagraph"/>
        <w:numPr>
          <w:ilvl w:val="3"/>
          <w:numId w:val="2"/>
        </w:numPr>
        <w:tabs>
          <w:tab w:pos="3264" w:val="left" w:leader="none"/>
          <w:tab w:pos="3265" w:val="left" w:leader="none"/>
          <w:tab w:pos="8620" w:val="left" w:leader="dot"/>
        </w:tabs>
        <w:spacing w:line="276" w:lineRule="exact" w:before="0" w:after="0"/>
        <w:ind w:left="3264" w:right="0" w:hanging="981"/>
        <w:jc w:val="left"/>
        <w:rPr>
          <w:sz w:val="24"/>
        </w:rPr>
      </w:pPr>
      <w:hyperlink w:history="true" w:anchor="_TOC_250016">
        <w:r>
          <w:rPr>
            <w:spacing w:val="-2"/>
            <w:sz w:val="24"/>
          </w:rPr>
          <w:t>Evaluation</w:t>
        </w:r>
        <w:r>
          <w:rPr>
            <w:spacing w:val="-5"/>
            <w:sz w:val="24"/>
          </w:rPr>
          <w:t> </w:t>
        </w:r>
        <w:r>
          <w:rPr>
            <w:spacing w:val="-2"/>
            <w:sz w:val="24"/>
          </w:rPr>
          <w:t>of</w:t>
        </w:r>
        <w:r>
          <w:rPr>
            <w:spacing w:val="-4"/>
            <w:sz w:val="24"/>
          </w:rPr>
          <w:t> </w:t>
        </w:r>
        <w:r>
          <w:rPr>
            <w:spacing w:val="-2"/>
            <w:sz w:val="24"/>
          </w:rPr>
          <w:t>Within</w:t>
        </w:r>
        <w:r>
          <w:rPr>
            <w:spacing w:val="-5"/>
            <w:sz w:val="24"/>
          </w:rPr>
          <w:t> </w:t>
        </w:r>
        <w:r>
          <w:rPr>
            <w:spacing w:val="-2"/>
            <w:sz w:val="24"/>
          </w:rPr>
          <w:t>Team</w:t>
        </w:r>
        <w:r>
          <w:rPr>
            <w:spacing w:val="-4"/>
            <w:sz w:val="24"/>
          </w:rPr>
          <w:t> </w:t>
        </w:r>
        <w:r>
          <w:rPr>
            <w:spacing w:val="-2"/>
            <w:sz w:val="24"/>
          </w:rPr>
          <w:t>Differences</w:t>
        </w:r>
        <w:r>
          <w:rPr>
            <w:sz w:val="24"/>
          </w:rPr>
          <w:tab/>
        </w:r>
        <w:r>
          <w:rPr>
            <w:color w:val="0000FF"/>
            <w:spacing w:val="-5"/>
            <w:sz w:val="24"/>
          </w:rPr>
          <w:t>137</w:t>
        </w:r>
      </w:hyperlink>
    </w:p>
    <w:p>
      <w:pPr>
        <w:pStyle w:val="ListParagraph"/>
        <w:numPr>
          <w:ilvl w:val="1"/>
          <w:numId w:val="2"/>
        </w:numPr>
        <w:tabs>
          <w:tab w:pos="1518" w:val="left" w:leader="none"/>
          <w:tab w:pos="1519" w:val="left" w:leader="none"/>
          <w:tab w:pos="8620" w:val="left" w:leader="dot"/>
        </w:tabs>
        <w:spacing w:line="240" w:lineRule="auto" w:before="82" w:after="0"/>
        <w:ind w:left="1518" w:right="0" w:hanging="550"/>
        <w:jc w:val="left"/>
        <w:rPr>
          <w:sz w:val="24"/>
        </w:rPr>
      </w:pPr>
      <w:hyperlink w:history="true" w:anchor="_TOC_250015">
        <w:r>
          <w:rPr>
            <w:spacing w:val="-2"/>
            <w:sz w:val="24"/>
          </w:rPr>
          <w:t>Summary</w:t>
        </w:r>
        <w:r>
          <w:rPr>
            <w:sz w:val="24"/>
          </w:rPr>
          <w:tab/>
        </w:r>
        <w:r>
          <w:rPr>
            <w:color w:val="0000FF"/>
            <w:spacing w:val="-5"/>
            <w:sz w:val="24"/>
          </w:rPr>
          <w:t>143</w:t>
        </w:r>
      </w:hyperlink>
    </w:p>
    <w:p>
      <w:pPr>
        <w:pStyle w:val="ListParagraph"/>
        <w:numPr>
          <w:ilvl w:val="0"/>
          <w:numId w:val="2"/>
        </w:numPr>
        <w:tabs>
          <w:tab w:pos="968" w:val="left" w:leader="none"/>
          <w:tab w:pos="970" w:val="left" w:leader="none"/>
        </w:tabs>
        <w:spacing w:line="240" w:lineRule="auto" w:before="322" w:after="0"/>
        <w:ind w:left="969" w:right="0" w:hanging="360"/>
        <w:jc w:val="left"/>
        <w:rPr>
          <w:b/>
          <w:sz w:val="24"/>
        </w:rPr>
      </w:pPr>
      <w:r>
        <w:rPr>
          <w:b/>
          <w:sz w:val="24"/>
        </w:rPr>
        <w:t>A</w:t>
      </w:r>
      <w:r>
        <w:rPr>
          <w:b/>
          <w:spacing w:val="-13"/>
          <w:sz w:val="24"/>
        </w:rPr>
        <w:t> </w:t>
      </w:r>
      <w:r>
        <w:rPr>
          <w:b/>
          <w:sz w:val="24"/>
        </w:rPr>
        <w:t>Bayesian</w:t>
      </w:r>
      <w:r>
        <w:rPr>
          <w:b/>
          <w:spacing w:val="-11"/>
          <w:sz w:val="24"/>
        </w:rPr>
        <w:t> </w:t>
      </w:r>
      <w:r>
        <w:rPr>
          <w:b/>
          <w:sz w:val="24"/>
        </w:rPr>
        <w:t>Approach</w:t>
      </w:r>
      <w:r>
        <w:rPr>
          <w:b/>
          <w:spacing w:val="-11"/>
          <w:sz w:val="24"/>
        </w:rPr>
        <w:t> </w:t>
      </w:r>
      <w:r>
        <w:rPr>
          <w:b/>
          <w:sz w:val="24"/>
        </w:rPr>
        <w:t>to</w:t>
      </w:r>
      <w:r>
        <w:rPr>
          <w:b/>
          <w:spacing w:val="-11"/>
          <w:sz w:val="24"/>
        </w:rPr>
        <w:t> </w:t>
      </w:r>
      <w:r>
        <w:rPr>
          <w:b/>
          <w:sz w:val="24"/>
        </w:rPr>
        <w:t>the</w:t>
      </w:r>
      <w:r>
        <w:rPr>
          <w:b/>
          <w:spacing w:val="-10"/>
          <w:sz w:val="24"/>
        </w:rPr>
        <w:t> </w:t>
      </w:r>
      <w:r>
        <w:rPr>
          <w:b/>
          <w:sz w:val="24"/>
        </w:rPr>
        <w:t>Evaluation</w:t>
      </w:r>
      <w:r>
        <w:rPr>
          <w:b/>
          <w:spacing w:val="-11"/>
          <w:sz w:val="24"/>
        </w:rPr>
        <w:t> </w:t>
      </w:r>
      <w:r>
        <w:rPr>
          <w:b/>
          <w:sz w:val="24"/>
        </w:rPr>
        <w:t>of</w:t>
      </w:r>
      <w:r>
        <w:rPr>
          <w:b/>
          <w:spacing w:val="-11"/>
          <w:sz w:val="24"/>
        </w:rPr>
        <w:t> </w:t>
      </w:r>
      <w:r>
        <w:rPr>
          <w:b/>
          <w:sz w:val="24"/>
        </w:rPr>
        <w:t>Team</w:t>
      </w:r>
      <w:r>
        <w:rPr>
          <w:b/>
          <w:spacing w:val="-11"/>
          <w:sz w:val="24"/>
        </w:rPr>
        <w:t> </w:t>
      </w:r>
      <w:r>
        <w:rPr>
          <w:b/>
          <w:sz w:val="24"/>
        </w:rPr>
        <w:t>and</w:t>
      </w:r>
      <w:r>
        <w:rPr>
          <w:b/>
          <w:spacing w:val="-11"/>
          <w:sz w:val="24"/>
        </w:rPr>
        <w:t> </w:t>
      </w:r>
      <w:r>
        <w:rPr>
          <w:b/>
          <w:sz w:val="24"/>
        </w:rPr>
        <w:t>Player</w:t>
      </w:r>
      <w:r>
        <w:rPr>
          <w:b/>
          <w:spacing w:val="-10"/>
          <w:sz w:val="24"/>
        </w:rPr>
        <w:t> </w:t>
      </w:r>
      <w:r>
        <w:rPr>
          <w:b/>
          <w:spacing w:val="-2"/>
          <w:sz w:val="24"/>
        </w:rPr>
        <w:t>Performances</w:t>
      </w:r>
      <w:r>
        <w:rPr>
          <w:b/>
          <w:color w:val="0000FF"/>
          <w:spacing w:val="-2"/>
          <w:sz w:val="24"/>
        </w:rPr>
        <w:t>145</w:t>
      </w:r>
    </w:p>
    <w:p>
      <w:pPr>
        <w:pStyle w:val="ListParagraph"/>
        <w:numPr>
          <w:ilvl w:val="1"/>
          <w:numId w:val="2"/>
        </w:numPr>
        <w:tabs>
          <w:tab w:pos="1518" w:val="left" w:leader="none"/>
          <w:tab w:pos="1519" w:val="left" w:leader="none"/>
          <w:tab w:pos="8620" w:val="left" w:leader="dot"/>
        </w:tabs>
        <w:spacing w:line="240" w:lineRule="auto" w:before="83" w:after="0"/>
        <w:ind w:left="1518" w:right="0" w:hanging="550"/>
        <w:jc w:val="left"/>
        <w:rPr>
          <w:sz w:val="24"/>
        </w:rPr>
      </w:pPr>
      <w:hyperlink w:history="true" w:anchor="_TOC_250014">
        <w:r>
          <w:rPr>
            <w:spacing w:val="-2"/>
            <w:sz w:val="24"/>
          </w:rPr>
          <w:t>Introduction</w:t>
        </w:r>
        <w:r>
          <w:rPr>
            <w:sz w:val="24"/>
          </w:rPr>
          <w:tab/>
        </w:r>
        <w:r>
          <w:rPr>
            <w:color w:val="0000FF"/>
            <w:spacing w:val="-5"/>
            <w:sz w:val="24"/>
          </w:rPr>
          <w:t>145</w:t>
        </w:r>
      </w:hyperlink>
    </w:p>
    <w:p>
      <w:pPr>
        <w:pStyle w:val="ListParagraph"/>
        <w:numPr>
          <w:ilvl w:val="1"/>
          <w:numId w:val="2"/>
        </w:numPr>
        <w:tabs>
          <w:tab w:pos="1518" w:val="left" w:leader="none"/>
          <w:tab w:pos="1519" w:val="left" w:leader="none"/>
          <w:tab w:pos="8620" w:val="left" w:leader="dot"/>
        </w:tabs>
        <w:spacing w:line="240" w:lineRule="auto" w:before="82" w:after="0"/>
        <w:ind w:left="1518" w:right="0" w:hanging="550"/>
        <w:jc w:val="left"/>
        <w:rPr>
          <w:sz w:val="24"/>
        </w:rPr>
      </w:pPr>
      <w:hyperlink w:history="true" w:anchor="_TOC_250013">
        <w:r>
          <w:rPr>
            <w:spacing w:val="-2"/>
            <w:sz w:val="24"/>
          </w:rPr>
          <w:t>Methodology</w:t>
        </w:r>
        <w:r>
          <w:rPr>
            <w:sz w:val="24"/>
          </w:rPr>
          <w:tab/>
        </w:r>
        <w:r>
          <w:rPr>
            <w:color w:val="0000FF"/>
            <w:spacing w:val="-5"/>
            <w:sz w:val="24"/>
          </w:rPr>
          <w:t>146</w:t>
        </w:r>
      </w:hyperlink>
    </w:p>
    <w:p>
      <w:pPr>
        <w:pStyle w:val="ListParagraph"/>
        <w:numPr>
          <w:ilvl w:val="2"/>
          <w:numId w:val="2"/>
        </w:numPr>
        <w:tabs>
          <w:tab w:pos="2284" w:val="left" w:leader="none"/>
          <w:tab w:pos="2285" w:val="left" w:leader="none"/>
          <w:tab w:pos="8620" w:val="left" w:leader="dot"/>
        </w:tabs>
        <w:spacing w:line="240" w:lineRule="auto" w:before="83" w:after="0"/>
        <w:ind w:left="2284" w:right="0" w:hanging="767"/>
        <w:jc w:val="left"/>
        <w:rPr>
          <w:sz w:val="24"/>
        </w:rPr>
      </w:pPr>
      <w:hyperlink w:history="true" w:anchor="_TOC_250012">
        <w:r>
          <w:rPr>
            <w:spacing w:val="-4"/>
            <w:sz w:val="24"/>
          </w:rPr>
          <w:t>Data</w:t>
        </w:r>
        <w:r>
          <w:rPr>
            <w:sz w:val="24"/>
          </w:rPr>
          <w:tab/>
        </w:r>
        <w:r>
          <w:rPr>
            <w:color w:val="0000FF"/>
            <w:spacing w:val="-5"/>
            <w:sz w:val="24"/>
          </w:rPr>
          <w:t>146</w:t>
        </w:r>
      </w:hyperlink>
    </w:p>
    <w:p>
      <w:pPr>
        <w:pStyle w:val="ListParagraph"/>
        <w:numPr>
          <w:ilvl w:val="2"/>
          <w:numId w:val="2"/>
        </w:numPr>
        <w:tabs>
          <w:tab w:pos="2284" w:val="left" w:leader="none"/>
          <w:tab w:pos="2285" w:val="left" w:leader="none"/>
          <w:tab w:pos="8620" w:val="left" w:leader="dot"/>
        </w:tabs>
        <w:spacing w:line="240" w:lineRule="auto" w:before="82" w:after="0"/>
        <w:ind w:left="2284" w:right="0" w:hanging="767"/>
        <w:jc w:val="left"/>
        <w:rPr>
          <w:sz w:val="24"/>
        </w:rPr>
      </w:pPr>
      <w:hyperlink w:history="true" w:anchor="_TOC_250011">
        <w:r>
          <w:rPr>
            <w:sz w:val="24"/>
          </w:rPr>
          <w:t>Data</w:t>
        </w:r>
        <w:r>
          <w:rPr>
            <w:spacing w:val="-6"/>
            <w:sz w:val="24"/>
          </w:rPr>
          <w:t> </w:t>
        </w:r>
        <w:r>
          <w:rPr>
            <w:spacing w:val="-2"/>
            <w:sz w:val="24"/>
          </w:rPr>
          <w:t>Preprocessing</w:t>
        </w:r>
        <w:r>
          <w:rPr>
            <w:sz w:val="24"/>
          </w:rPr>
          <w:tab/>
        </w:r>
        <w:r>
          <w:rPr>
            <w:color w:val="0000FF"/>
            <w:spacing w:val="-5"/>
            <w:sz w:val="24"/>
          </w:rPr>
          <w:t>147</w:t>
        </w:r>
      </w:hyperlink>
    </w:p>
    <w:p>
      <w:pPr>
        <w:pStyle w:val="ListParagraph"/>
        <w:numPr>
          <w:ilvl w:val="2"/>
          <w:numId w:val="2"/>
        </w:numPr>
        <w:tabs>
          <w:tab w:pos="2284" w:val="left" w:leader="none"/>
          <w:tab w:pos="2285" w:val="left" w:leader="none"/>
          <w:tab w:pos="8620" w:val="left" w:leader="dot"/>
        </w:tabs>
        <w:spacing w:line="240" w:lineRule="auto" w:before="83" w:after="0"/>
        <w:ind w:left="2284" w:right="0" w:hanging="767"/>
        <w:jc w:val="left"/>
        <w:rPr>
          <w:sz w:val="24"/>
        </w:rPr>
      </w:pPr>
      <w:hyperlink w:history="true" w:anchor="_TOC_250010">
        <w:r>
          <w:rPr>
            <w:sz w:val="24"/>
          </w:rPr>
          <w:t>Bayesian</w:t>
        </w:r>
        <w:r>
          <w:rPr>
            <w:spacing w:val="-10"/>
            <w:sz w:val="24"/>
          </w:rPr>
          <w:t> </w:t>
        </w:r>
        <w:r>
          <w:rPr>
            <w:sz w:val="24"/>
          </w:rPr>
          <w:t>Mixture</w:t>
        </w:r>
        <w:r>
          <w:rPr>
            <w:spacing w:val="-9"/>
            <w:sz w:val="24"/>
          </w:rPr>
          <w:t> </w:t>
        </w:r>
        <w:r>
          <w:rPr>
            <w:spacing w:val="-2"/>
            <w:sz w:val="24"/>
          </w:rPr>
          <w:t>Model</w:t>
        </w:r>
        <w:r>
          <w:rPr>
            <w:sz w:val="24"/>
          </w:rPr>
          <w:tab/>
        </w:r>
        <w:r>
          <w:rPr>
            <w:color w:val="0000FF"/>
            <w:spacing w:val="-5"/>
            <w:sz w:val="24"/>
          </w:rPr>
          <w:t>149</w:t>
        </w:r>
      </w:hyperlink>
    </w:p>
    <w:p>
      <w:pPr>
        <w:pStyle w:val="ListParagraph"/>
        <w:numPr>
          <w:ilvl w:val="3"/>
          <w:numId w:val="2"/>
        </w:numPr>
        <w:tabs>
          <w:tab w:pos="3264" w:val="left" w:leader="none"/>
          <w:tab w:pos="3265" w:val="left" w:leader="none"/>
          <w:tab w:pos="8620" w:val="left" w:leader="dot"/>
        </w:tabs>
        <w:spacing w:line="240" w:lineRule="auto" w:before="83" w:after="0"/>
        <w:ind w:left="3264" w:right="0" w:hanging="981"/>
        <w:jc w:val="left"/>
        <w:rPr>
          <w:sz w:val="24"/>
        </w:rPr>
      </w:pPr>
      <w:hyperlink w:history="true" w:anchor="_TOC_250009">
        <w:r>
          <w:rPr>
            <w:sz w:val="24"/>
          </w:rPr>
          <w:t>Centre</w:t>
        </w:r>
        <w:r>
          <w:rPr>
            <w:spacing w:val="-8"/>
            <w:sz w:val="24"/>
          </w:rPr>
          <w:t> </w:t>
        </w:r>
        <w:r>
          <w:rPr>
            <w:spacing w:val="-2"/>
            <w:sz w:val="24"/>
          </w:rPr>
          <w:t>Weights</w:t>
        </w:r>
        <w:r>
          <w:rPr>
            <w:sz w:val="24"/>
          </w:rPr>
          <w:tab/>
        </w:r>
        <w:r>
          <w:rPr>
            <w:color w:val="0000FF"/>
            <w:spacing w:val="-5"/>
            <w:sz w:val="24"/>
          </w:rPr>
          <w:t>152</w:t>
        </w:r>
      </w:hyperlink>
    </w:p>
    <w:p>
      <w:pPr>
        <w:pStyle w:val="ListParagraph"/>
        <w:numPr>
          <w:ilvl w:val="3"/>
          <w:numId w:val="2"/>
        </w:numPr>
        <w:tabs>
          <w:tab w:pos="3264" w:val="left" w:leader="none"/>
          <w:tab w:pos="3265" w:val="left" w:leader="none"/>
          <w:tab w:pos="8620" w:val="left" w:leader="dot"/>
        </w:tabs>
        <w:spacing w:line="240" w:lineRule="auto" w:before="82" w:after="0"/>
        <w:ind w:left="3264" w:right="0" w:hanging="981"/>
        <w:jc w:val="left"/>
        <w:rPr>
          <w:sz w:val="24"/>
        </w:rPr>
      </w:pPr>
      <w:hyperlink w:history="true" w:anchor="_TOC_250008">
        <w:r>
          <w:rPr>
            <w:sz w:val="24"/>
          </w:rPr>
          <w:t>EPV</w:t>
        </w:r>
        <w:r>
          <w:rPr>
            <w:spacing w:val="-6"/>
            <w:sz w:val="24"/>
          </w:rPr>
          <w:t> </w:t>
        </w:r>
        <w:r>
          <w:rPr>
            <w:spacing w:val="-2"/>
            <w:sz w:val="24"/>
          </w:rPr>
          <w:t>Calculation</w:t>
        </w:r>
        <w:r>
          <w:rPr>
            <w:sz w:val="24"/>
          </w:rPr>
          <w:tab/>
        </w:r>
        <w:r>
          <w:rPr>
            <w:color w:val="0000FF"/>
            <w:spacing w:val="-5"/>
            <w:sz w:val="24"/>
          </w:rPr>
          <w:t>154</w:t>
        </w:r>
      </w:hyperlink>
    </w:p>
    <w:p>
      <w:pPr>
        <w:pStyle w:val="ListParagraph"/>
        <w:numPr>
          <w:ilvl w:val="3"/>
          <w:numId w:val="2"/>
        </w:numPr>
        <w:tabs>
          <w:tab w:pos="3264" w:val="left" w:leader="none"/>
          <w:tab w:pos="3265" w:val="left" w:leader="none"/>
          <w:tab w:pos="8620" w:val="left" w:leader="dot"/>
        </w:tabs>
        <w:spacing w:line="240" w:lineRule="auto" w:before="83" w:after="0"/>
        <w:ind w:left="3264" w:right="0" w:hanging="981"/>
        <w:jc w:val="left"/>
        <w:rPr>
          <w:sz w:val="24"/>
        </w:rPr>
      </w:pPr>
      <w:hyperlink w:history="true" w:anchor="_TOC_250007">
        <w:r>
          <w:rPr>
            <w:sz w:val="24"/>
          </w:rPr>
          <w:t>Modelling</w:t>
        </w:r>
        <w:r>
          <w:rPr>
            <w:spacing w:val="-11"/>
            <w:sz w:val="24"/>
          </w:rPr>
          <w:t> </w:t>
        </w:r>
        <w:r>
          <w:rPr>
            <w:spacing w:val="-2"/>
            <w:sz w:val="24"/>
          </w:rPr>
          <w:t>Approach</w:t>
        </w:r>
        <w:r>
          <w:rPr>
            <w:sz w:val="24"/>
          </w:rPr>
          <w:tab/>
        </w:r>
        <w:r>
          <w:rPr>
            <w:color w:val="0000FF"/>
            <w:spacing w:val="-5"/>
            <w:sz w:val="24"/>
          </w:rPr>
          <w:t>155</w:t>
        </w:r>
      </w:hyperlink>
    </w:p>
    <w:p>
      <w:pPr>
        <w:spacing w:after="0" w:line="240" w:lineRule="auto"/>
        <w:jc w:val="left"/>
        <w:rPr>
          <w:sz w:val="24"/>
        </w:rPr>
        <w:sectPr>
          <w:headerReference w:type="default" r:id="rId6"/>
          <w:footerReference w:type="default" r:id="rId7"/>
          <w:pgSz w:w="11910" w:h="16840"/>
          <w:pgMar w:header="1961" w:footer="1428" w:top="2280" w:bottom="1620" w:left="1680" w:right="720"/>
        </w:sectPr>
      </w:pPr>
    </w:p>
    <w:p>
      <w:pPr>
        <w:pStyle w:val="BodyText"/>
        <w:rPr>
          <w:sz w:val="20"/>
        </w:rPr>
      </w:pPr>
    </w:p>
    <w:p>
      <w:pPr>
        <w:pStyle w:val="BodyText"/>
        <w:rPr>
          <w:sz w:val="20"/>
        </w:rPr>
      </w:pPr>
    </w:p>
    <w:p>
      <w:pPr>
        <w:pStyle w:val="BodyText"/>
        <w:rPr>
          <w:sz w:val="10"/>
        </w:rPr>
      </w:pPr>
    </w:p>
    <w:tbl>
      <w:tblPr>
        <w:tblW w:w="0" w:type="auto"/>
        <w:jc w:val="left"/>
        <w:tblInd w:w="9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74"/>
        <w:gridCol w:w="860"/>
        <w:gridCol w:w="6247"/>
        <w:gridCol w:w="528"/>
      </w:tblGrid>
      <w:tr>
        <w:trPr>
          <w:trHeight w:val="323" w:hRule="atLeast"/>
        </w:trPr>
        <w:tc>
          <w:tcPr>
            <w:tcW w:w="474" w:type="dxa"/>
            <w:vMerge w:val="restart"/>
          </w:tcPr>
          <w:p>
            <w:pPr>
              <w:pStyle w:val="TableParagraph"/>
              <w:spacing w:line="240" w:lineRule="auto"/>
              <w:jc w:val="left"/>
              <w:rPr>
                <w:sz w:val="22"/>
              </w:rPr>
            </w:pPr>
          </w:p>
        </w:tc>
        <w:tc>
          <w:tcPr>
            <w:tcW w:w="860" w:type="dxa"/>
          </w:tcPr>
          <w:p>
            <w:pPr>
              <w:pStyle w:val="TableParagraph"/>
              <w:spacing w:line="273" w:lineRule="exact"/>
              <w:ind w:left="125"/>
              <w:jc w:val="left"/>
              <w:rPr>
                <w:sz w:val="24"/>
              </w:rPr>
            </w:pPr>
            <w:r>
              <w:rPr>
                <w:spacing w:val="-2"/>
                <w:sz w:val="24"/>
              </w:rPr>
              <w:t>6.2.4</w:t>
            </w:r>
          </w:p>
        </w:tc>
        <w:tc>
          <w:tcPr>
            <w:tcW w:w="6247" w:type="dxa"/>
          </w:tcPr>
          <w:p>
            <w:pPr>
              <w:pStyle w:val="TableParagraph"/>
              <w:spacing w:line="273" w:lineRule="exact"/>
              <w:ind w:right="58"/>
              <w:jc w:val="right"/>
              <w:rPr>
                <w:sz w:val="24"/>
              </w:rPr>
            </w:pPr>
            <w:r>
              <w:rPr>
                <w:sz w:val="24"/>
              </w:rPr>
              <w:t>Expected</w:t>
            </w:r>
            <w:r>
              <w:rPr>
                <w:spacing w:val="-2"/>
                <w:sz w:val="24"/>
              </w:rPr>
              <w:t> </w:t>
            </w:r>
            <w:r>
              <w:rPr>
                <w:sz w:val="24"/>
              </w:rPr>
              <w:t>Points</w:t>
            </w:r>
            <w:r>
              <w:rPr>
                <w:spacing w:val="-2"/>
                <w:sz w:val="24"/>
              </w:rPr>
              <w:t> </w:t>
            </w:r>
            <w:r>
              <w:rPr>
                <w:sz w:val="24"/>
              </w:rPr>
              <w:t>Scored</w:t>
            </w:r>
            <w:r>
              <w:rPr>
                <w:spacing w:val="-1"/>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8"/>
                <w:sz w:val="24"/>
              </w:rPr>
              <w:t> </w:t>
            </w:r>
            <w:r>
              <w:rPr>
                <w:sz w:val="24"/>
              </w:rPr>
              <w:t>.</w:t>
            </w:r>
            <w:r>
              <w:rPr>
                <w:spacing w:val="57"/>
                <w:sz w:val="24"/>
              </w:rPr>
              <w:t> </w:t>
            </w:r>
            <w:r>
              <w:rPr>
                <w:spacing w:val="-10"/>
                <w:sz w:val="24"/>
              </w:rPr>
              <w:t>.</w:t>
            </w:r>
          </w:p>
        </w:tc>
        <w:tc>
          <w:tcPr>
            <w:tcW w:w="528" w:type="dxa"/>
          </w:tcPr>
          <w:p>
            <w:pPr>
              <w:pStyle w:val="TableParagraph"/>
              <w:spacing w:line="273" w:lineRule="exact"/>
              <w:ind w:left="47" w:right="36"/>
              <w:rPr>
                <w:sz w:val="24"/>
              </w:rPr>
            </w:pPr>
            <w:r>
              <w:rPr>
                <w:spacing w:val="-4"/>
                <w:sz w:val="24"/>
              </w:rPr>
              <w:t>.</w:t>
            </w:r>
            <w:r>
              <w:rPr>
                <w:color w:val="0000FF"/>
                <w:spacing w:val="-4"/>
                <w:sz w:val="24"/>
              </w:rPr>
              <w:t>158</w:t>
            </w:r>
          </w:p>
        </w:tc>
      </w:tr>
      <w:tr>
        <w:trPr>
          <w:trHeight w:val="358" w:hRule="atLeast"/>
        </w:trPr>
        <w:tc>
          <w:tcPr>
            <w:tcW w:w="474" w:type="dxa"/>
            <w:vMerge/>
            <w:tcBorders>
              <w:top w:val="nil"/>
            </w:tcBorders>
          </w:tcPr>
          <w:p>
            <w:pPr>
              <w:rPr>
                <w:sz w:val="2"/>
                <w:szCs w:val="2"/>
              </w:rPr>
            </w:pPr>
          </w:p>
        </w:tc>
        <w:tc>
          <w:tcPr>
            <w:tcW w:w="860" w:type="dxa"/>
          </w:tcPr>
          <w:p>
            <w:pPr>
              <w:pStyle w:val="TableParagraph"/>
              <w:spacing w:line="240" w:lineRule="auto" w:before="32"/>
              <w:ind w:left="125"/>
              <w:jc w:val="left"/>
              <w:rPr>
                <w:sz w:val="24"/>
              </w:rPr>
            </w:pPr>
            <w:r>
              <w:rPr>
                <w:spacing w:val="-2"/>
                <w:sz w:val="24"/>
              </w:rPr>
              <w:t>6.2.5</w:t>
            </w:r>
          </w:p>
        </w:tc>
        <w:tc>
          <w:tcPr>
            <w:tcW w:w="6247" w:type="dxa"/>
          </w:tcPr>
          <w:p>
            <w:pPr>
              <w:pStyle w:val="TableParagraph"/>
              <w:tabs>
                <w:tab w:pos="2869" w:val="left" w:leader="none"/>
              </w:tabs>
              <w:spacing w:line="240" w:lineRule="auto" w:before="32"/>
              <w:ind w:right="58"/>
              <w:jc w:val="right"/>
              <w:rPr>
                <w:sz w:val="24"/>
              </w:rPr>
            </w:pPr>
            <w:r>
              <w:rPr>
                <w:sz w:val="24"/>
              </w:rPr>
              <w:t>Actual</w:t>
            </w:r>
            <w:r>
              <w:rPr>
                <w:spacing w:val="-7"/>
                <w:sz w:val="24"/>
              </w:rPr>
              <w:t> </w:t>
            </w:r>
            <w:r>
              <w:rPr>
                <w:sz w:val="24"/>
              </w:rPr>
              <w:t>vs</w:t>
            </w:r>
            <w:r>
              <w:rPr>
                <w:spacing w:val="-7"/>
                <w:sz w:val="24"/>
              </w:rPr>
              <w:t> </w:t>
            </w:r>
            <w:r>
              <w:rPr>
                <w:sz w:val="24"/>
              </w:rPr>
              <w:t>Expected</w:t>
            </w:r>
            <w:r>
              <w:rPr>
                <w:spacing w:val="-7"/>
                <w:sz w:val="24"/>
              </w:rPr>
              <w:t> </w:t>
            </w:r>
            <w:r>
              <w:rPr>
                <w:spacing w:val="-2"/>
                <w:sz w:val="24"/>
              </w:rPr>
              <w:t>Ratings</w:t>
            </w:r>
            <w:r>
              <w:rPr>
                <w:sz w:val="24"/>
              </w:rPr>
              <w:tab/>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pacing w:val="-10"/>
                <w:sz w:val="24"/>
              </w:rPr>
              <w:t>.</w:t>
            </w:r>
          </w:p>
        </w:tc>
        <w:tc>
          <w:tcPr>
            <w:tcW w:w="528" w:type="dxa"/>
          </w:tcPr>
          <w:p>
            <w:pPr>
              <w:pStyle w:val="TableParagraph"/>
              <w:spacing w:line="240" w:lineRule="auto" w:before="32"/>
              <w:ind w:left="47" w:right="36"/>
              <w:rPr>
                <w:sz w:val="24"/>
              </w:rPr>
            </w:pPr>
            <w:r>
              <w:rPr>
                <w:spacing w:val="-4"/>
                <w:sz w:val="24"/>
              </w:rPr>
              <w:t>.</w:t>
            </w:r>
            <w:r>
              <w:rPr>
                <w:color w:val="0000FF"/>
                <w:spacing w:val="-4"/>
                <w:sz w:val="24"/>
              </w:rPr>
              <w:t>159</w:t>
            </w:r>
          </w:p>
        </w:tc>
      </w:tr>
      <w:tr>
        <w:trPr>
          <w:trHeight w:val="358" w:hRule="atLeast"/>
        </w:trPr>
        <w:tc>
          <w:tcPr>
            <w:tcW w:w="474" w:type="dxa"/>
          </w:tcPr>
          <w:p>
            <w:pPr>
              <w:pStyle w:val="TableParagraph"/>
              <w:spacing w:line="240" w:lineRule="auto" w:before="32"/>
              <w:ind w:left="38" w:right="111"/>
              <w:rPr>
                <w:sz w:val="24"/>
              </w:rPr>
            </w:pPr>
            <w:r>
              <w:rPr>
                <w:spacing w:val="-5"/>
                <w:sz w:val="24"/>
              </w:rPr>
              <w:t>6.3</w:t>
            </w:r>
          </w:p>
        </w:tc>
        <w:tc>
          <w:tcPr>
            <w:tcW w:w="860" w:type="dxa"/>
          </w:tcPr>
          <w:p>
            <w:pPr>
              <w:pStyle w:val="TableParagraph"/>
              <w:spacing w:line="240" w:lineRule="auto" w:before="32"/>
              <w:ind w:left="125"/>
              <w:jc w:val="left"/>
              <w:rPr>
                <w:sz w:val="24"/>
              </w:rPr>
            </w:pPr>
            <w:r>
              <w:rPr>
                <w:spacing w:val="-2"/>
                <w:sz w:val="24"/>
              </w:rPr>
              <w:t>Results</w:t>
            </w:r>
          </w:p>
        </w:tc>
        <w:tc>
          <w:tcPr>
            <w:tcW w:w="6247" w:type="dxa"/>
          </w:tcPr>
          <w:p>
            <w:pPr>
              <w:pStyle w:val="TableParagraph"/>
              <w:spacing w:line="240" w:lineRule="auto" w:before="32"/>
              <w:ind w:right="58"/>
              <w:jc w:val="right"/>
              <w:rPr>
                <w:sz w:val="24"/>
              </w:rPr>
            </w:pP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pacing w:val="-10"/>
                <w:sz w:val="24"/>
              </w:rPr>
              <w:t>.</w:t>
            </w:r>
          </w:p>
        </w:tc>
        <w:tc>
          <w:tcPr>
            <w:tcW w:w="528" w:type="dxa"/>
          </w:tcPr>
          <w:p>
            <w:pPr>
              <w:pStyle w:val="TableParagraph"/>
              <w:spacing w:line="240" w:lineRule="auto" w:before="32"/>
              <w:ind w:left="47" w:right="36"/>
              <w:rPr>
                <w:sz w:val="24"/>
              </w:rPr>
            </w:pPr>
            <w:r>
              <w:rPr>
                <w:spacing w:val="-4"/>
                <w:sz w:val="24"/>
              </w:rPr>
              <w:t>.</w:t>
            </w:r>
            <w:r>
              <w:rPr>
                <w:color w:val="0000FF"/>
                <w:spacing w:val="-4"/>
                <w:sz w:val="24"/>
              </w:rPr>
              <w:t>160</w:t>
            </w:r>
          </w:p>
        </w:tc>
      </w:tr>
      <w:tr>
        <w:trPr>
          <w:trHeight w:val="358" w:hRule="atLeast"/>
        </w:trPr>
        <w:tc>
          <w:tcPr>
            <w:tcW w:w="474" w:type="dxa"/>
          </w:tcPr>
          <w:p>
            <w:pPr>
              <w:pStyle w:val="TableParagraph"/>
              <w:spacing w:line="240" w:lineRule="auto"/>
              <w:jc w:val="left"/>
              <w:rPr>
                <w:sz w:val="22"/>
              </w:rPr>
            </w:pPr>
          </w:p>
        </w:tc>
        <w:tc>
          <w:tcPr>
            <w:tcW w:w="860" w:type="dxa"/>
          </w:tcPr>
          <w:p>
            <w:pPr>
              <w:pStyle w:val="TableParagraph"/>
              <w:spacing w:line="240" w:lineRule="auto" w:before="32"/>
              <w:ind w:left="125"/>
              <w:jc w:val="left"/>
              <w:rPr>
                <w:sz w:val="24"/>
              </w:rPr>
            </w:pPr>
            <w:r>
              <w:rPr>
                <w:spacing w:val="-2"/>
                <w:sz w:val="24"/>
              </w:rPr>
              <w:t>6.3.1</w:t>
            </w:r>
          </w:p>
        </w:tc>
        <w:tc>
          <w:tcPr>
            <w:tcW w:w="6247" w:type="dxa"/>
          </w:tcPr>
          <w:p>
            <w:pPr>
              <w:pStyle w:val="TableParagraph"/>
              <w:tabs>
                <w:tab w:pos="4662" w:val="left" w:leader="none"/>
              </w:tabs>
              <w:spacing w:line="240" w:lineRule="auto" w:before="32"/>
              <w:ind w:right="58"/>
              <w:jc w:val="right"/>
              <w:rPr>
                <w:sz w:val="24"/>
              </w:rPr>
            </w:pPr>
            <w:r>
              <w:rPr>
                <w:sz w:val="24"/>
              </w:rPr>
              <w:t>Estimation</w:t>
            </w:r>
            <w:r>
              <w:rPr>
                <w:spacing w:val="-11"/>
                <w:sz w:val="24"/>
              </w:rPr>
              <w:t> </w:t>
            </w:r>
            <w:r>
              <w:rPr>
                <w:sz w:val="24"/>
              </w:rPr>
              <w:t>of</w:t>
            </w:r>
            <w:r>
              <w:rPr>
                <w:spacing w:val="-11"/>
                <w:sz w:val="24"/>
              </w:rPr>
              <w:t> </w:t>
            </w:r>
            <w:r>
              <w:rPr>
                <w:sz w:val="24"/>
              </w:rPr>
              <w:t>Individual</w:t>
            </w:r>
            <w:r>
              <w:rPr>
                <w:spacing w:val="-10"/>
                <w:sz w:val="24"/>
              </w:rPr>
              <w:t> </w:t>
            </w:r>
            <w:r>
              <w:rPr>
                <w:sz w:val="24"/>
              </w:rPr>
              <w:t>Possession</w:t>
            </w:r>
            <w:r>
              <w:rPr>
                <w:spacing w:val="-11"/>
                <w:sz w:val="24"/>
              </w:rPr>
              <w:t> </w:t>
            </w:r>
            <w:r>
              <w:rPr>
                <w:spacing w:val="-2"/>
                <w:sz w:val="24"/>
              </w:rPr>
              <w:t>Outcomes</w:t>
            </w:r>
            <w:r>
              <w:rPr>
                <w:sz w:val="24"/>
              </w:rPr>
              <w:tab/>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9"/>
                <w:sz w:val="24"/>
              </w:rPr>
              <w:t> </w:t>
            </w:r>
            <w:r>
              <w:rPr>
                <w:spacing w:val="-10"/>
                <w:sz w:val="24"/>
              </w:rPr>
              <w:t>.</w:t>
            </w:r>
          </w:p>
        </w:tc>
        <w:tc>
          <w:tcPr>
            <w:tcW w:w="528" w:type="dxa"/>
          </w:tcPr>
          <w:p>
            <w:pPr>
              <w:pStyle w:val="TableParagraph"/>
              <w:spacing w:line="240" w:lineRule="auto" w:before="32"/>
              <w:ind w:left="47" w:right="36"/>
              <w:rPr>
                <w:sz w:val="24"/>
              </w:rPr>
            </w:pPr>
            <w:r>
              <w:rPr>
                <w:spacing w:val="-4"/>
                <w:sz w:val="24"/>
              </w:rPr>
              <w:t>.</w:t>
            </w:r>
            <w:r>
              <w:rPr>
                <w:color w:val="0000FF"/>
                <w:spacing w:val="-4"/>
                <w:sz w:val="24"/>
              </w:rPr>
              <w:t>161</w:t>
            </w:r>
          </w:p>
        </w:tc>
      </w:tr>
      <w:tr>
        <w:trPr>
          <w:trHeight w:val="358" w:hRule="atLeast"/>
        </w:trPr>
        <w:tc>
          <w:tcPr>
            <w:tcW w:w="474" w:type="dxa"/>
          </w:tcPr>
          <w:p>
            <w:pPr>
              <w:pStyle w:val="TableParagraph"/>
              <w:spacing w:line="240" w:lineRule="auto"/>
              <w:jc w:val="left"/>
              <w:rPr>
                <w:sz w:val="22"/>
              </w:rPr>
            </w:pPr>
          </w:p>
        </w:tc>
        <w:tc>
          <w:tcPr>
            <w:tcW w:w="860" w:type="dxa"/>
          </w:tcPr>
          <w:p>
            <w:pPr>
              <w:pStyle w:val="TableParagraph"/>
              <w:spacing w:line="240" w:lineRule="auto" w:before="32"/>
              <w:ind w:left="125"/>
              <w:jc w:val="left"/>
              <w:rPr>
                <w:sz w:val="24"/>
              </w:rPr>
            </w:pPr>
            <w:r>
              <w:rPr>
                <w:spacing w:val="-2"/>
                <w:sz w:val="24"/>
              </w:rPr>
              <w:t>6.3.2</w:t>
            </w:r>
          </w:p>
        </w:tc>
        <w:tc>
          <w:tcPr>
            <w:tcW w:w="6247" w:type="dxa"/>
          </w:tcPr>
          <w:p>
            <w:pPr>
              <w:pStyle w:val="TableParagraph"/>
              <w:spacing w:line="240" w:lineRule="auto" w:before="32"/>
              <w:ind w:right="58"/>
              <w:jc w:val="right"/>
              <w:rPr>
                <w:sz w:val="24"/>
              </w:rPr>
            </w:pPr>
            <w:r>
              <w:rPr>
                <w:sz w:val="24"/>
              </w:rPr>
              <w:t>Evaluation</w:t>
            </w:r>
            <w:r>
              <w:rPr>
                <w:spacing w:val="-3"/>
                <w:sz w:val="24"/>
              </w:rPr>
              <w:t> </w:t>
            </w:r>
            <w:r>
              <w:rPr>
                <w:sz w:val="24"/>
              </w:rPr>
              <w:t>of</w:t>
            </w:r>
            <w:r>
              <w:rPr>
                <w:spacing w:val="-3"/>
                <w:sz w:val="24"/>
              </w:rPr>
              <w:t> </w:t>
            </w:r>
            <w:r>
              <w:rPr>
                <w:sz w:val="24"/>
              </w:rPr>
              <w:t>Team</w:t>
            </w:r>
            <w:r>
              <w:rPr>
                <w:spacing w:val="-3"/>
                <w:sz w:val="24"/>
              </w:rPr>
              <w:t> </w:t>
            </w:r>
            <w:r>
              <w:rPr>
                <w:sz w:val="24"/>
              </w:rPr>
              <w:t>Performances</w:t>
            </w:r>
            <w:r>
              <w:rPr>
                <w:spacing w:val="62"/>
                <w:w w:val="150"/>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6"/>
                <w:sz w:val="24"/>
              </w:rPr>
              <w:t> </w:t>
            </w:r>
            <w:r>
              <w:rPr>
                <w:sz w:val="24"/>
              </w:rPr>
              <w:t>.</w:t>
            </w:r>
            <w:r>
              <w:rPr>
                <w:spacing w:val="55"/>
                <w:sz w:val="24"/>
              </w:rPr>
              <w:t> </w:t>
            </w:r>
            <w:r>
              <w:rPr>
                <w:sz w:val="24"/>
              </w:rPr>
              <w:t>.</w:t>
            </w:r>
            <w:r>
              <w:rPr>
                <w:spacing w:val="55"/>
                <w:sz w:val="24"/>
              </w:rPr>
              <w:t> </w:t>
            </w:r>
            <w:r>
              <w:rPr>
                <w:spacing w:val="-10"/>
                <w:sz w:val="24"/>
              </w:rPr>
              <w:t>.</w:t>
            </w:r>
          </w:p>
        </w:tc>
        <w:tc>
          <w:tcPr>
            <w:tcW w:w="528" w:type="dxa"/>
          </w:tcPr>
          <w:p>
            <w:pPr>
              <w:pStyle w:val="TableParagraph"/>
              <w:spacing w:line="240" w:lineRule="auto" w:before="32"/>
              <w:ind w:left="47" w:right="36"/>
              <w:rPr>
                <w:sz w:val="24"/>
              </w:rPr>
            </w:pPr>
            <w:r>
              <w:rPr>
                <w:spacing w:val="-4"/>
                <w:sz w:val="24"/>
              </w:rPr>
              <w:t>.</w:t>
            </w:r>
            <w:r>
              <w:rPr>
                <w:color w:val="0000FF"/>
                <w:spacing w:val="-4"/>
                <w:sz w:val="24"/>
              </w:rPr>
              <w:t>164</w:t>
            </w:r>
          </w:p>
        </w:tc>
      </w:tr>
      <w:tr>
        <w:trPr>
          <w:trHeight w:val="323" w:hRule="atLeast"/>
        </w:trPr>
        <w:tc>
          <w:tcPr>
            <w:tcW w:w="474" w:type="dxa"/>
          </w:tcPr>
          <w:p>
            <w:pPr>
              <w:pStyle w:val="TableParagraph"/>
              <w:spacing w:line="240" w:lineRule="auto"/>
              <w:jc w:val="left"/>
              <w:rPr>
                <w:sz w:val="22"/>
              </w:rPr>
            </w:pPr>
          </w:p>
        </w:tc>
        <w:tc>
          <w:tcPr>
            <w:tcW w:w="860" w:type="dxa"/>
          </w:tcPr>
          <w:p>
            <w:pPr>
              <w:pStyle w:val="TableParagraph"/>
              <w:spacing w:line="240" w:lineRule="auto"/>
              <w:jc w:val="left"/>
              <w:rPr>
                <w:sz w:val="22"/>
              </w:rPr>
            </w:pPr>
          </w:p>
        </w:tc>
        <w:tc>
          <w:tcPr>
            <w:tcW w:w="6247" w:type="dxa"/>
          </w:tcPr>
          <w:p>
            <w:pPr>
              <w:pStyle w:val="TableParagraph"/>
              <w:tabs>
                <w:tab w:pos="980" w:val="left" w:leader="none"/>
              </w:tabs>
              <w:spacing w:line="271" w:lineRule="exact" w:before="32"/>
              <w:ind w:right="58"/>
              <w:jc w:val="right"/>
              <w:rPr>
                <w:sz w:val="24"/>
              </w:rPr>
            </w:pPr>
            <w:r>
              <w:rPr>
                <w:spacing w:val="-2"/>
                <w:sz w:val="24"/>
              </w:rPr>
              <w:t>6.3.2.1</w:t>
            </w:r>
            <w:r>
              <w:rPr>
                <w:sz w:val="24"/>
              </w:rPr>
              <w:tab/>
              <w:t>Expected</w:t>
            </w:r>
            <w:r>
              <w:rPr>
                <w:spacing w:val="-2"/>
                <w:sz w:val="24"/>
              </w:rPr>
              <w:t> </w:t>
            </w:r>
            <w:r>
              <w:rPr>
                <w:sz w:val="24"/>
              </w:rPr>
              <w:t>Points</w:t>
            </w:r>
            <w:r>
              <w:rPr>
                <w:spacing w:val="-2"/>
                <w:sz w:val="24"/>
              </w:rPr>
              <w:t> </w:t>
            </w:r>
            <w:r>
              <w:rPr>
                <w:sz w:val="24"/>
              </w:rPr>
              <w:t>Scored</w:t>
            </w:r>
            <w:r>
              <w:rPr>
                <w:spacing w:val="62"/>
                <w:w w:val="150"/>
                <w:sz w:val="24"/>
              </w:rPr>
              <w:t> </w:t>
            </w:r>
            <w:r>
              <w:rPr>
                <w:sz w:val="24"/>
              </w:rPr>
              <w:t>.</w:t>
            </w:r>
            <w:r>
              <w:rPr>
                <w:spacing w:val="58"/>
                <w:sz w:val="24"/>
              </w:rPr>
              <w:t> </w:t>
            </w:r>
            <w:r>
              <w:rPr>
                <w:sz w:val="24"/>
              </w:rPr>
              <w:t>.</w:t>
            </w:r>
            <w:r>
              <w:rPr>
                <w:spacing w:val="57"/>
                <w:sz w:val="24"/>
              </w:rPr>
              <w:t> </w:t>
            </w:r>
            <w:r>
              <w:rPr>
                <w:sz w:val="24"/>
              </w:rPr>
              <w:t>.</w:t>
            </w:r>
            <w:r>
              <w:rPr>
                <w:spacing w:val="57"/>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7"/>
                <w:sz w:val="24"/>
              </w:rPr>
              <w:t> </w:t>
            </w:r>
            <w:r>
              <w:rPr>
                <w:sz w:val="24"/>
              </w:rPr>
              <w:t>.</w:t>
            </w:r>
            <w:r>
              <w:rPr>
                <w:spacing w:val="57"/>
                <w:sz w:val="24"/>
              </w:rPr>
              <w:t> </w:t>
            </w:r>
            <w:r>
              <w:rPr>
                <w:sz w:val="24"/>
              </w:rPr>
              <w:t>.</w:t>
            </w:r>
            <w:r>
              <w:rPr>
                <w:spacing w:val="58"/>
                <w:sz w:val="24"/>
              </w:rPr>
              <w:t> </w:t>
            </w:r>
            <w:r>
              <w:rPr>
                <w:sz w:val="24"/>
              </w:rPr>
              <w:t>.</w:t>
            </w:r>
            <w:r>
              <w:rPr>
                <w:spacing w:val="57"/>
                <w:sz w:val="24"/>
              </w:rPr>
              <w:t> </w:t>
            </w:r>
            <w:r>
              <w:rPr>
                <w:sz w:val="24"/>
              </w:rPr>
              <w:t>.</w:t>
            </w:r>
            <w:r>
              <w:rPr>
                <w:spacing w:val="57"/>
                <w:sz w:val="24"/>
              </w:rPr>
              <w:t> </w:t>
            </w:r>
            <w:r>
              <w:rPr>
                <w:sz w:val="24"/>
              </w:rPr>
              <w:t>.</w:t>
            </w:r>
            <w:r>
              <w:rPr>
                <w:spacing w:val="57"/>
                <w:sz w:val="24"/>
              </w:rPr>
              <w:t> </w:t>
            </w:r>
            <w:r>
              <w:rPr>
                <w:sz w:val="24"/>
              </w:rPr>
              <w:t>.</w:t>
            </w:r>
            <w:r>
              <w:rPr>
                <w:spacing w:val="57"/>
                <w:sz w:val="24"/>
              </w:rPr>
              <w:t> </w:t>
            </w:r>
            <w:r>
              <w:rPr>
                <w:sz w:val="24"/>
              </w:rPr>
              <w:t>.</w:t>
            </w:r>
            <w:r>
              <w:rPr>
                <w:spacing w:val="58"/>
                <w:sz w:val="24"/>
              </w:rPr>
              <w:t> </w:t>
            </w:r>
            <w:r>
              <w:rPr>
                <w:sz w:val="24"/>
              </w:rPr>
              <w:t>.</w:t>
            </w:r>
            <w:r>
              <w:rPr>
                <w:spacing w:val="57"/>
                <w:sz w:val="24"/>
              </w:rPr>
              <w:t> </w:t>
            </w:r>
            <w:r>
              <w:rPr>
                <w:spacing w:val="-10"/>
                <w:sz w:val="24"/>
              </w:rPr>
              <w:t>.</w:t>
            </w:r>
          </w:p>
        </w:tc>
        <w:tc>
          <w:tcPr>
            <w:tcW w:w="528" w:type="dxa"/>
          </w:tcPr>
          <w:p>
            <w:pPr>
              <w:pStyle w:val="TableParagraph"/>
              <w:spacing w:line="271" w:lineRule="exact" w:before="32"/>
              <w:ind w:left="47" w:right="36"/>
              <w:rPr>
                <w:sz w:val="24"/>
              </w:rPr>
            </w:pPr>
            <w:r>
              <w:rPr>
                <w:spacing w:val="-4"/>
                <w:sz w:val="24"/>
              </w:rPr>
              <w:t>.</w:t>
            </w:r>
            <w:r>
              <w:rPr>
                <w:color w:val="0000FF"/>
                <w:spacing w:val="-4"/>
                <w:sz w:val="24"/>
              </w:rPr>
              <w:t>171</w:t>
            </w:r>
          </w:p>
        </w:tc>
      </w:tr>
      <w:tr>
        <w:trPr>
          <w:trHeight w:val="393" w:hRule="atLeast"/>
        </w:trPr>
        <w:tc>
          <w:tcPr>
            <w:tcW w:w="474" w:type="dxa"/>
          </w:tcPr>
          <w:p>
            <w:pPr>
              <w:pStyle w:val="TableParagraph"/>
              <w:spacing w:line="240" w:lineRule="auto"/>
              <w:jc w:val="left"/>
              <w:rPr>
                <w:sz w:val="22"/>
              </w:rPr>
            </w:pPr>
          </w:p>
        </w:tc>
        <w:tc>
          <w:tcPr>
            <w:tcW w:w="7107" w:type="dxa"/>
            <w:gridSpan w:val="2"/>
          </w:tcPr>
          <w:p>
            <w:pPr>
              <w:pStyle w:val="TableParagraph"/>
              <w:tabs>
                <w:tab w:pos="890" w:val="left" w:leader="none"/>
              </w:tabs>
              <w:spacing w:line="240" w:lineRule="auto" w:before="67"/>
              <w:ind w:left="125"/>
              <w:jc w:val="left"/>
              <w:rPr>
                <w:sz w:val="24"/>
              </w:rPr>
            </w:pPr>
            <w:r>
              <w:rPr>
                <w:spacing w:val="-2"/>
                <w:sz w:val="24"/>
              </w:rPr>
              <w:t>6.3.3</w:t>
            </w:r>
            <w:r>
              <w:rPr>
                <w:sz w:val="24"/>
              </w:rPr>
              <w:tab/>
              <w:t>Evaluation</w:t>
            </w:r>
            <w:r>
              <w:rPr>
                <w:spacing w:val="-3"/>
                <w:sz w:val="24"/>
              </w:rPr>
              <w:t> </w:t>
            </w:r>
            <w:r>
              <w:rPr>
                <w:sz w:val="24"/>
              </w:rPr>
              <w:t>of</w:t>
            </w:r>
            <w:r>
              <w:rPr>
                <w:spacing w:val="-2"/>
                <w:sz w:val="24"/>
              </w:rPr>
              <w:t> </w:t>
            </w:r>
            <w:r>
              <w:rPr>
                <w:sz w:val="24"/>
              </w:rPr>
              <w:t>Player</w:t>
            </w:r>
            <w:r>
              <w:rPr>
                <w:spacing w:val="-3"/>
                <w:sz w:val="24"/>
              </w:rPr>
              <w:t> </w:t>
            </w:r>
            <w:r>
              <w:rPr>
                <w:sz w:val="24"/>
              </w:rPr>
              <w:t>Performances</w:t>
            </w:r>
            <w:r>
              <w:rPr>
                <w:spacing w:val="12"/>
                <w:sz w:val="24"/>
              </w:rPr>
              <w:t> </w:t>
            </w:r>
            <w:r>
              <w:rPr>
                <w:sz w:val="24"/>
              </w:rPr>
              <w:t>.</w:t>
            </w:r>
            <w:r>
              <w:rPr>
                <w:spacing w:val="56"/>
                <w:sz w:val="24"/>
              </w:rPr>
              <w:t> </w:t>
            </w:r>
            <w:r>
              <w:rPr>
                <w:sz w:val="24"/>
              </w:rPr>
              <w:t>.</w:t>
            </w:r>
            <w:r>
              <w:rPr>
                <w:spacing w:val="56"/>
                <w:sz w:val="24"/>
              </w:rPr>
              <w:t> </w:t>
            </w:r>
            <w:r>
              <w:rPr>
                <w:sz w:val="24"/>
              </w:rPr>
              <w:t>.</w:t>
            </w:r>
            <w:r>
              <w:rPr>
                <w:spacing w:val="57"/>
                <w:sz w:val="24"/>
              </w:rPr>
              <w:t> </w:t>
            </w:r>
            <w:r>
              <w:rPr>
                <w:sz w:val="24"/>
              </w:rPr>
              <w:t>.</w:t>
            </w:r>
            <w:r>
              <w:rPr>
                <w:spacing w:val="56"/>
                <w:sz w:val="24"/>
              </w:rPr>
              <w:t> </w:t>
            </w:r>
            <w:r>
              <w:rPr>
                <w:sz w:val="24"/>
              </w:rPr>
              <w:t>.</w:t>
            </w:r>
            <w:r>
              <w:rPr>
                <w:spacing w:val="56"/>
                <w:sz w:val="24"/>
              </w:rPr>
              <w:t> </w:t>
            </w:r>
            <w:r>
              <w:rPr>
                <w:sz w:val="24"/>
              </w:rPr>
              <w:t>.</w:t>
            </w:r>
            <w:r>
              <w:rPr>
                <w:spacing w:val="56"/>
                <w:sz w:val="24"/>
              </w:rPr>
              <w:t> </w:t>
            </w:r>
            <w:r>
              <w:rPr>
                <w:sz w:val="24"/>
              </w:rPr>
              <w:t>.</w:t>
            </w:r>
            <w:r>
              <w:rPr>
                <w:spacing w:val="57"/>
                <w:sz w:val="24"/>
              </w:rPr>
              <w:t> </w:t>
            </w:r>
            <w:r>
              <w:rPr>
                <w:sz w:val="24"/>
              </w:rPr>
              <w:t>.</w:t>
            </w:r>
            <w:r>
              <w:rPr>
                <w:spacing w:val="56"/>
                <w:sz w:val="24"/>
              </w:rPr>
              <w:t> </w:t>
            </w:r>
            <w:r>
              <w:rPr>
                <w:sz w:val="24"/>
              </w:rPr>
              <w:t>.</w:t>
            </w:r>
            <w:r>
              <w:rPr>
                <w:spacing w:val="56"/>
                <w:sz w:val="24"/>
              </w:rPr>
              <w:t> </w:t>
            </w:r>
            <w:r>
              <w:rPr>
                <w:sz w:val="24"/>
              </w:rPr>
              <w:t>.</w:t>
            </w:r>
            <w:r>
              <w:rPr>
                <w:spacing w:val="56"/>
                <w:sz w:val="24"/>
              </w:rPr>
              <w:t> </w:t>
            </w:r>
            <w:r>
              <w:rPr>
                <w:sz w:val="24"/>
              </w:rPr>
              <w:t>.</w:t>
            </w:r>
            <w:r>
              <w:rPr>
                <w:spacing w:val="57"/>
                <w:sz w:val="24"/>
              </w:rPr>
              <w:t> </w:t>
            </w:r>
            <w:r>
              <w:rPr>
                <w:sz w:val="24"/>
              </w:rPr>
              <w:t>.</w:t>
            </w:r>
            <w:r>
              <w:rPr>
                <w:spacing w:val="56"/>
                <w:sz w:val="24"/>
              </w:rPr>
              <w:t> </w:t>
            </w:r>
            <w:r>
              <w:rPr>
                <w:sz w:val="24"/>
              </w:rPr>
              <w:t>.</w:t>
            </w:r>
            <w:r>
              <w:rPr>
                <w:spacing w:val="56"/>
                <w:sz w:val="24"/>
              </w:rPr>
              <w:t> </w:t>
            </w:r>
            <w:r>
              <w:rPr>
                <w:sz w:val="24"/>
              </w:rPr>
              <w:t>.</w:t>
            </w:r>
            <w:r>
              <w:rPr>
                <w:spacing w:val="57"/>
                <w:sz w:val="24"/>
              </w:rPr>
              <w:t> </w:t>
            </w:r>
            <w:r>
              <w:rPr>
                <w:sz w:val="24"/>
              </w:rPr>
              <w:t>.</w:t>
            </w:r>
            <w:r>
              <w:rPr>
                <w:spacing w:val="56"/>
                <w:sz w:val="24"/>
              </w:rPr>
              <w:t> </w:t>
            </w:r>
            <w:r>
              <w:rPr>
                <w:spacing w:val="-10"/>
                <w:sz w:val="24"/>
              </w:rPr>
              <w:t>.</w:t>
            </w:r>
          </w:p>
        </w:tc>
        <w:tc>
          <w:tcPr>
            <w:tcW w:w="528" w:type="dxa"/>
          </w:tcPr>
          <w:p>
            <w:pPr>
              <w:pStyle w:val="TableParagraph"/>
              <w:spacing w:line="240" w:lineRule="auto" w:before="67"/>
              <w:ind w:left="47" w:right="36"/>
              <w:rPr>
                <w:sz w:val="24"/>
              </w:rPr>
            </w:pPr>
            <w:r>
              <w:rPr>
                <w:spacing w:val="-4"/>
                <w:sz w:val="24"/>
              </w:rPr>
              <w:t>.</w:t>
            </w:r>
            <w:r>
              <w:rPr>
                <w:color w:val="0000FF"/>
                <w:spacing w:val="-4"/>
                <w:sz w:val="24"/>
              </w:rPr>
              <w:t>172</w:t>
            </w:r>
          </w:p>
        </w:tc>
      </w:tr>
      <w:tr>
        <w:trPr>
          <w:trHeight w:val="323" w:hRule="atLeast"/>
        </w:trPr>
        <w:tc>
          <w:tcPr>
            <w:tcW w:w="474" w:type="dxa"/>
          </w:tcPr>
          <w:p>
            <w:pPr>
              <w:pStyle w:val="TableParagraph"/>
              <w:spacing w:line="271" w:lineRule="exact" w:before="32"/>
              <w:ind w:left="38" w:right="111"/>
              <w:rPr>
                <w:sz w:val="24"/>
              </w:rPr>
            </w:pPr>
            <w:r>
              <w:rPr>
                <w:spacing w:val="-5"/>
                <w:sz w:val="24"/>
              </w:rPr>
              <w:t>6.4</w:t>
            </w:r>
          </w:p>
        </w:tc>
        <w:tc>
          <w:tcPr>
            <w:tcW w:w="7107" w:type="dxa"/>
            <w:gridSpan w:val="2"/>
          </w:tcPr>
          <w:p>
            <w:pPr>
              <w:pStyle w:val="TableParagraph"/>
              <w:spacing w:line="271" w:lineRule="exact" w:before="32"/>
              <w:ind w:left="125"/>
              <w:jc w:val="left"/>
              <w:rPr>
                <w:sz w:val="24"/>
              </w:rPr>
            </w:pPr>
            <w:r>
              <w:rPr>
                <w:sz w:val="24"/>
              </w:rPr>
              <w:t>Summary</w:t>
            </w:r>
            <w:r>
              <w:rPr>
                <w:spacing w:val="35"/>
                <w:sz w:val="24"/>
              </w:rPr>
              <w:t>  </w:t>
            </w:r>
            <w:r>
              <w:rPr>
                <w:sz w:val="24"/>
              </w:rPr>
              <w:t>.</w:t>
            </w:r>
            <w:r>
              <w:rPr>
                <w:spacing w:val="59"/>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8"/>
                <w:sz w:val="24"/>
              </w:rPr>
              <w:t> </w:t>
            </w:r>
            <w:r>
              <w:rPr>
                <w:sz w:val="24"/>
              </w:rPr>
              <w:t>.</w:t>
            </w:r>
            <w:r>
              <w:rPr>
                <w:spacing w:val="59"/>
                <w:sz w:val="24"/>
              </w:rPr>
              <w:t> </w:t>
            </w:r>
            <w:r>
              <w:rPr>
                <w:sz w:val="24"/>
              </w:rPr>
              <w:t>.</w:t>
            </w:r>
            <w:r>
              <w:rPr>
                <w:spacing w:val="58"/>
                <w:sz w:val="24"/>
              </w:rPr>
              <w:t> </w:t>
            </w:r>
            <w:r>
              <w:rPr>
                <w:sz w:val="24"/>
              </w:rPr>
              <w:t>.</w:t>
            </w:r>
            <w:r>
              <w:rPr>
                <w:spacing w:val="58"/>
                <w:sz w:val="24"/>
              </w:rPr>
              <w:t> </w:t>
            </w:r>
            <w:r>
              <w:rPr>
                <w:sz w:val="24"/>
              </w:rPr>
              <w:t>.</w:t>
            </w:r>
            <w:r>
              <w:rPr>
                <w:spacing w:val="58"/>
                <w:sz w:val="24"/>
              </w:rPr>
              <w:t> </w:t>
            </w:r>
            <w:r>
              <w:rPr>
                <w:spacing w:val="-10"/>
                <w:sz w:val="24"/>
              </w:rPr>
              <w:t>.</w:t>
            </w:r>
          </w:p>
        </w:tc>
        <w:tc>
          <w:tcPr>
            <w:tcW w:w="528" w:type="dxa"/>
          </w:tcPr>
          <w:p>
            <w:pPr>
              <w:pStyle w:val="TableParagraph"/>
              <w:spacing w:line="271" w:lineRule="exact" w:before="32"/>
              <w:ind w:left="47" w:right="36"/>
              <w:rPr>
                <w:sz w:val="24"/>
              </w:rPr>
            </w:pPr>
            <w:r>
              <w:rPr>
                <w:spacing w:val="-4"/>
                <w:sz w:val="24"/>
              </w:rPr>
              <w:t>.</w:t>
            </w:r>
            <w:r>
              <w:rPr>
                <w:color w:val="0000FF"/>
                <w:spacing w:val="-4"/>
                <w:sz w:val="24"/>
              </w:rPr>
              <w:t>174</w:t>
            </w:r>
          </w:p>
        </w:tc>
      </w:tr>
    </w:tbl>
    <w:p>
      <w:pPr>
        <w:pStyle w:val="BodyText"/>
        <w:spacing w:before="11"/>
        <w:rPr>
          <w:sz w:val="26"/>
        </w:rPr>
      </w:pPr>
    </w:p>
    <w:p>
      <w:pPr>
        <w:pStyle w:val="ListParagraph"/>
        <w:numPr>
          <w:ilvl w:val="0"/>
          <w:numId w:val="2"/>
        </w:numPr>
        <w:tabs>
          <w:tab w:pos="968" w:val="left" w:leader="none"/>
          <w:tab w:pos="970" w:val="left" w:leader="none"/>
        </w:tabs>
        <w:spacing w:line="240" w:lineRule="auto" w:before="0" w:after="0"/>
        <w:ind w:left="969" w:right="0" w:hanging="360"/>
        <w:jc w:val="left"/>
        <w:rPr>
          <w:b/>
          <w:sz w:val="24"/>
        </w:rPr>
      </w:pPr>
      <w:r>
        <w:rPr>
          <w:b/>
          <w:spacing w:val="-2"/>
          <w:sz w:val="24"/>
        </w:rPr>
        <w:t>Conclusions</w:t>
      </w:r>
      <w:r>
        <w:rPr>
          <w:b/>
          <w:color w:val="0000FF"/>
          <w:spacing w:val="-2"/>
          <w:sz w:val="24"/>
        </w:rPr>
        <w:t>176</w:t>
      </w:r>
    </w:p>
    <w:p>
      <w:pPr>
        <w:pStyle w:val="ListParagraph"/>
        <w:numPr>
          <w:ilvl w:val="1"/>
          <w:numId w:val="2"/>
        </w:numPr>
        <w:tabs>
          <w:tab w:pos="1518" w:val="left" w:leader="none"/>
          <w:tab w:pos="1519" w:val="left" w:leader="none"/>
          <w:tab w:pos="8620" w:val="left" w:leader="dot"/>
        </w:tabs>
        <w:spacing w:line="240" w:lineRule="auto" w:before="83" w:after="0"/>
        <w:ind w:left="1518" w:right="0" w:hanging="550"/>
        <w:jc w:val="left"/>
        <w:rPr>
          <w:sz w:val="24"/>
        </w:rPr>
      </w:pPr>
      <w:hyperlink w:history="true" w:anchor="_TOC_250006">
        <w:r>
          <w:rPr>
            <w:sz w:val="24"/>
          </w:rPr>
          <w:t>Rugby</w:t>
        </w:r>
        <w:r>
          <w:rPr>
            <w:spacing w:val="-8"/>
            <w:sz w:val="24"/>
          </w:rPr>
          <w:t> </w:t>
        </w:r>
        <w:r>
          <w:rPr>
            <w:spacing w:val="-2"/>
            <w:sz w:val="24"/>
          </w:rPr>
          <w:t>League</w:t>
        </w:r>
        <w:r>
          <w:rPr>
            <w:sz w:val="24"/>
          </w:rPr>
          <w:tab/>
        </w:r>
        <w:r>
          <w:rPr>
            <w:color w:val="0000FF"/>
            <w:spacing w:val="-5"/>
            <w:sz w:val="24"/>
          </w:rPr>
          <w:t>177</w:t>
        </w:r>
      </w:hyperlink>
    </w:p>
    <w:p>
      <w:pPr>
        <w:pStyle w:val="ListParagraph"/>
        <w:numPr>
          <w:ilvl w:val="1"/>
          <w:numId w:val="2"/>
        </w:numPr>
        <w:tabs>
          <w:tab w:pos="1518" w:val="left" w:leader="none"/>
          <w:tab w:pos="1519" w:val="left" w:leader="none"/>
          <w:tab w:pos="8620" w:val="left" w:leader="dot"/>
        </w:tabs>
        <w:spacing w:line="240" w:lineRule="auto" w:before="82" w:after="0"/>
        <w:ind w:left="1518" w:right="0" w:hanging="550"/>
        <w:jc w:val="left"/>
        <w:rPr>
          <w:sz w:val="24"/>
        </w:rPr>
      </w:pPr>
      <w:hyperlink w:history="true" w:anchor="_TOC_250005">
        <w:r>
          <w:rPr>
            <w:sz w:val="24"/>
          </w:rPr>
          <w:t>Research</w:t>
        </w:r>
        <w:r>
          <w:rPr>
            <w:spacing w:val="-10"/>
            <w:sz w:val="24"/>
          </w:rPr>
          <w:t> </w:t>
        </w:r>
        <w:r>
          <w:rPr>
            <w:spacing w:val="-2"/>
            <w:sz w:val="24"/>
          </w:rPr>
          <w:t>Contributions</w:t>
        </w:r>
        <w:r>
          <w:rPr>
            <w:sz w:val="24"/>
          </w:rPr>
          <w:tab/>
        </w:r>
        <w:r>
          <w:rPr>
            <w:color w:val="0000FF"/>
            <w:spacing w:val="-5"/>
            <w:sz w:val="24"/>
          </w:rPr>
          <w:t>178</w:t>
        </w:r>
      </w:hyperlink>
    </w:p>
    <w:p>
      <w:pPr>
        <w:pStyle w:val="ListParagraph"/>
        <w:numPr>
          <w:ilvl w:val="2"/>
          <w:numId w:val="2"/>
        </w:numPr>
        <w:tabs>
          <w:tab w:pos="2284" w:val="left" w:leader="none"/>
          <w:tab w:pos="2285" w:val="left" w:leader="none"/>
        </w:tabs>
        <w:spacing w:line="240" w:lineRule="auto" w:before="83" w:after="0"/>
        <w:ind w:left="2284" w:right="0" w:hanging="767"/>
        <w:jc w:val="left"/>
        <w:rPr>
          <w:sz w:val="24"/>
        </w:rPr>
      </w:pPr>
      <w:r>
        <w:rPr>
          <w:spacing w:val="-2"/>
          <w:sz w:val="24"/>
        </w:rPr>
        <w:t>Markov</w:t>
      </w:r>
      <w:r>
        <w:rPr>
          <w:spacing w:val="-9"/>
          <w:sz w:val="24"/>
        </w:rPr>
        <w:t> </w:t>
      </w:r>
      <w:r>
        <w:rPr>
          <w:spacing w:val="-2"/>
          <w:sz w:val="24"/>
        </w:rPr>
        <w:t>Reward</w:t>
      </w:r>
      <w:r>
        <w:rPr>
          <w:spacing w:val="-9"/>
          <w:sz w:val="24"/>
        </w:rPr>
        <w:t> </w:t>
      </w:r>
      <w:r>
        <w:rPr>
          <w:spacing w:val="-2"/>
          <w:sz w:val="24"/>
        </w:rPr>
        <w:t>Processes</w:t>
      </w:r>
      <w:r>
        <w:rPr>
          <w:spacing w:val="-8"/>
          <w:sz w:val="24"/>
        </w:rPr>
        <w:t> </w:t>
      </w:r>
      <w:r>
        <w:rPr>
          <w:spacing w:val="-2"/>
          <w:sz w:val="24"/>
        </w:rPr>
        <w:t>for</w:t>
      </w:r>
      <w:r>
        <w:rPr>
          <w:spacing w:val="-9"/>
          <w:sz w:val="24"/>
        </w:rPr>
        <w:t> </w:t>
      </w:r>
      <w:r>
        <w:rPr>
          <w:spacing w:val="-2"/>
          <w:sz w:val="24"/>
        </w:rPr>
        <w:t>the</w:t>
      </w:r>
      <w:r>
        <w:rPr>
          <w:spacing w:val="-8"/>
          <w:sz w:val="24"/>
        </w:rPr>
        <w:t> </w:t>
      </w:r>
      <w:r>
        <w:rPr>
          <w:spacing w:val="-2"/>
          <w:sz w:val="24"/>
        </w:rPr>
        <w:t>Quantification</w:t>
      </w:r>
      <w:r>
        <w:rPr>
          <w:spacing w:val="-9"/>
          <w:sz w:val="24"/>
        </w:rPr>
        <w:t> </w:t>
      </w:r>
      <w:r>
        <w:rPr>
          <w:spacing w:val="-2"/>
          <w:sz w:val="24"/>
        </w:rPr>
        <w:t>of</w:t>
      </w:r>
      <w:r>
        <w:rPr>
          <w:spacing w:val="-8"/>
          <w:sz w:val="24"/>
        </w:rPr>
        <w:t> </w:t>
      </w:r>
      <w:r>
        <w:rPr>
          <w:spacing w:val="-2"/>
          <w:sz w:val="24"/>
        </w:rPr>
        <w:t>Team</w:t>
      </w:r>
      <w:r>
        <w:rPr>
          <w:spacing w:val="-9"/>
          <w:sz w:val="24"/>
        </w:rPr>
        <w:t> </w:t>
      </w:r>
      <w:r>
        <w:rPr>
          <w:spacing w:val="-2"/>
          <w:sz w:val="24"/>
        </w:rPr>
        <w:t>Attack-</w:t>
      </w:r>
    </w:p>
    <w:p>
      <w:pPr>
        <w:pStyle w:val="BodyText"/>
        <w:tabs>
          <w:tab w:pos="8620" w:val="left" w:leader="dot"/>
        </w:tabs>
        <w:spacing w:before="82"/>
        <w:ind w:left="2284"/>
      </w:pPr>
      <w:r>
        <w:rPr/>
        <w:t>ing</w:t>
      </w:r>
      <w:r>
        <w:rPr>
          <w:spacing w:val="-5"/>
        </w:rPr>
        <w:t> </w:t>
      </w:r>
      <w:r>
        <w:rPr>
          <w:spacing w:val="-2"/>
        </w:rPr>
        <w:t>Performances</w:t>
      </w:r>
      <w:r>
        <w:rPr/>
        <w:tab/>
      </w:r>
      <w:r>
        <w:rPr>
          <w:color w:val="0000FF"/>
          <w:spacing w:val="-5"/>
        </w:rPr>
        <w:t>178</w:t>
      </w:r>
    </w:p>
    <w:p>
      <w:pPr>
        <w:pStyle w:val="ListParagraph"/>
        <w:numPr>
          <w:ilvl w:val="2"/>
          <w:numId w:val="2"/>
        </w:numPr>
        <w:tabs>
          <w:tab w:pos="2284" w:val="left" w:leader="none"/>
          <w:tab w:pos="2285" w:val="left" w:leader="none"/>
          <w:tab w:pos="8620" w:val="left" w:leader="dot"/>
        </w:tabs>
        <w:spacing w:line="312" w:lineRule="auto" w:before="83" w:after="0"/>
        <w:ind w:left="2284" w:right="524" w:hanging="766"/>
        <w:jc w:val="left"/>
        <w:rPr>
          <w:sz w:val="24"/>
        </w:rPr>
      </w:pPr>
      <w:hyperlink w:history="true" w:anchor="_TOC_250004">
        <w:r>
          <w:rPr>
            <w:sz w:val="24"/>
          </w:rPr>
          <w:t>Markov</w:t>
        </w:r>
        <w:r>
          <w:rPr>
            <w:spacing w:val="-3"/>
            <w:sz w:val="24"/>
          </w:rPr>
          <w:t> </w:t>
        </w:r>
        <w:r>
          <w:rPr>
            <w:sz w:val="24"/>
          </w:rPr>
          <w:t>Decision</w:t>
        </w:r>
        <w:r>
          <w:rPr>
            <w:spacing w:val="-3"/>
            <w:sz w:val="24"/>
          </w:rPr>
          <w:t> </w:t>
        </w:r>
        <w:r>
          <w:rPr>
            <w:sz w:val="24"/>
          </w:rPr>
          <w:t>Processes</w:t>
        </w:r>
        <w:r>
          <w:rPr>
            <w:spacing w:val="-3"/>
            <w:sz w:val="24"/>
          </w:rPr>
          <w:t> </w:t>
        </w:r>
        <w:r>
          <w:rPr>
            <w:sz w:val="24"/>
          </w:rPr>
          <w:t>for</w:t>
        </w:r>
        <w:r>
          <w:rPr>
            <w:spacing w:val="-3"/>
            <w:sz w:val="24"/>
          </w:rPr>
          <w:t> </w:t>
        </w:r>
        <w:r>
          <w:rPr>
            <w:sz w:val="24"/>
          </w:rPr>
          <w:t>the</w:t>
        </w:r>
        <w:r>
          <w:rPr>
            <w:spacing w:val="-3"/>
            <w:sz w:val="24"/>
          </w:rPr>
          <w:t> </w:t>
        </w:r>
        <w:r>
          <w:rPr>
            <w:sz w:val="24"/>
          </w:rPr>
          <w:t>Evaluation</w:t>
        </w:r>
        <w:r>
          <w:rPr>
            <w:spacing w:val="-3"/>
            <w:sz w:val="24"/>
          </w:rPr>
          <w:t> </w:t>
        </w:r>
        <w:r>
          <w:rPr>
            <w:sz w:val="24"/>
          </w:rPr>
          <w:t>of</w:t>
        </w:r>
        <w:r>
          <w:rPr>
            <w:spacing w:val="-3"/>
            <w:sz w:val="24"/>
          </w:rPr>
          <w:t> </w:t>
        </w:r>
        <w:r>
          <w:rPr>
            <w:sz w:val="24"/>
          </w:rPr>
          <w:t>Player</w:t>
        </w:r>
        <w:r>
          <w:rPr>
            <w:spacing w:val="-3"/>
            <w:sz w:val="24"/>
          </w:rPr>
          <w:t> </w:t>
        </w:r>
        <w:r>
          <w:rPr>
            <w:sz w:val="24"/>
          </w:rPr>
          <w:t>and</w:t>
        </w:r>
        <w:r>
          <w:rPr>
            <w:spacing w:val="-3"/>
            <w:sz w:val="24"/>
          </w:rPr>
          <w:t> </w:t>
        </w:r>
        <w:r>
          <w:rPr>
            <w:sz w:val="24"/>
          </w:rPr>
          <w:t>Team </w:t>
        </w:r>
        <w:r>
          <w:rPr>
            <w:spacing w:val="-2"/>
            <w:sz w:val="24"/>
          </w:rPr>
          <w:t>Performances</w:t>
        </w:r>
        <w:r>
          <w:rPr>
            <w:sz w:val="24"/>
          </w:rPr>
          <w:tab/>
        </w:r>
        <w:r>
          <w:rPr>
            <w:color w:val="0000FF"/>
            <w:spacing w:val="-5"/>
            <w:sz w:val="24"/>
          </w:rPr>
          <w:t>17</w:t>
        </w:r>
        <w:r>
          <w:rPr>
            <w:color w:val="0000FF"/>
            <w:spacing w:val="-5"/>
            <w:sz w:val="24"/>
          </w:rPr>
          <w:t>9</w:t>
        </w:r>
      </w:hyperlink>
    </w:p>
    <w:p>
      <w:pPr>
        <w:pStyle w:val="ListParagraph"/>
        <w:numPr>
          <w:ilvl w:val="2"/>
          <w:numId w:val="2"/>
        </w:numPr>
        <w:tabs>
          <w:tab w:pos="2284" w:val="left" w:leader="none"/>
          <w:tab w:pos="2285" w:val="left" w:leader="none"/>
        </w:tabs>
        <w:spacing w:line="276" w:lineRule="exact" w:before="0" w:after="0"/>
        <w:ind w:left="2284" w:right="0" w:hanging="767"/>
        <w:jc w:val="left"/>
        <w:rPr>
          <w:sz w:val="24"/>
        </w:rPr>
      </w:pPr>
      <w:r>
        <w:rPr>
          <w:sz w:val="24"/>
        </w:rPr>
        <w:t>Kernel</w:t>
      </w:r>
      <w:r>
        <w:rPr>
          <w:spacing w:val="1"/>
          <w:sz w:val="24"/>
        </w:rPr>
        <w:t> </w:t>
      </w:r>
      <w:r>
        <w:rPr>
          <w:sz w:val="24"/>
        </w:rPr>
        <w:t>Density</w:t>
      </w:r>
      <w:r>
        <w:rPr>
          <w:spacing w:val="2"/>
          <w:sz w:val="24"/>
        </w:rPr>
        <w:t> </w:t>
      </w:r>
      <w:r>
        <w:rPr>
          <w:sz w:val="24"/>
        </w:rPr>
        <w:t>Estimation</w:t>
      </w:r>
      <w:r>
        <w:rPr>
          <w:spacing w:val="2"/>
          <w:sz w:val="24"/>
        </w:rPr>
        <w:t> </w:t>
      </w:r>
      <w:r>
        <w:rPr>
          <w:sz w:val="24"/>
        </w:rPr>
        <w:t>and</w:t>
      </w:r>
      <w:r>
        <w:rPr>
          <w:spacing w:val="1"/>
          <w:sz w:val="24"/>
        </w:rPr>
        <w:t> </w:t>
      </w:r>
      <w:r>
        <w:rPr>
          <w:sz w:val="24"/>
        </w:rPr>
        <w:t>Wasserstein</w:t>
      </w:r>
      <w:r>
        <w:rPr>
          <w:spacing w:val="2"/>
          <w:sz w:val="24"/>
        </w:rPr>
        <w:t> </w:t>
      </w:r>
      <w:r>
        <w:rPr>
          <w:sz w:val="24"/>
        </w:rPr>
        <w:t>Distance</w:t>
      </w:r>
      <w:r>
        <w:rPr>
          <w:spacing w:val="2"/>
          <w:sz w:val="24"/>
        </w:rPr>
        <w:t> </w:t>
      </w:r>
      <w:r>
        <w:rPr>
          <w:spacing w:val="-2"/>
          <w:sz w:val="24"/>
        </w:rPr>
        <w:t>Evaluation</w:t>
      </w:r>
    </w:p>
    <w:p>
      <w:pPr>
        <w:pStyle w:val="BodyText"/>
        <w:tabs>
          <w:tab w:pos="8620" w:val="left" w:leader="dot"/>
        </w:tabs>
        <w:spacing w:before="82"/>
        <w:ind w:left="2284"/>
      </w:pPr>
      <w:r>
        <w:rPr/>
        <w:t>of</w:t>
      </w:r>
      <w:r>
        <w:rPr>
          <w:spacing w:val="-10"/>
        </w:rPr>
        <w:t> </w:t>
      </w:r>
      <w:r>
        <w:rPr/>
        <w:t>the</w:t>
      </w:r>
      <w:r>
        <w:rPr>
          <w:spacing w:val="-10"/>
        </w:rPr>
        <w:t> </w:t>
      </w:r>
      <w:r>
        <w:rPr/>
        <w:t>Spatial</w:t>
      </w:r>
      <w:r>
        <w:rPr>
          <w:spacing w:val="-10"/>
        </w:rPr>
        <w:t> </w:t>
      </w:r>
      <w:r>
        <w:rPr/>
        <w:t>Trends</w:t>
      </w:r>
      <w:r>
        <w:rPr>
          <w:spacing w:val="-9"/>
        </w:rPr>
        <w:t> </w:t>
      </w:r>
      <w:r>
        <w:rPr/>
        <w:t>of</w:t>
      </w:r>
      <w:r>
        <w:rPr>
          <w:spacing w:val="-10"/>
        </w:rPr>
        <w:t> </w:t>
      </w:r>
      <w:r>
        <w:rPr/>
        <w:t>Team</w:t>
      </w:r>
      <w:r>
        <w:rPr>
          <w:spacing w:val="-10"/>
        </w:rPr>
        <w:t> </w:t>
      </w:r>
      <w:r>
        <w:rPr/>
        <w:t>Attacking</w:t>
      </w:r>
      <w:r>
        <w:rPr>
          <w:spacing w:val="-10"/>
        </w:rPr>
        <w:t> </w:t>
      </w:r>
      <w:r>
        <w:rPr>
          <w:spacing w:val="-2"/>
        </w:rPr>
        <w:t>Performances</w:t>
      </w:r>
      <w:r>
        <w:rPr/>
        <w:tab/>
      </w:r>
      <w:r>
        <w:rPr>
          <w:color w:val="0000FF"/>
          <w:spacing w:val="-5"/>
        </w:rPr>
        <w:t>180</w:t>
      </w:r>
    </w:p>
    <w:p>
      <w:pPr>
        <w:pStyle w:val="ListParagraph"/>
        <w:numPr>
          <w:ilvl w:val="2"/>
          <w:numId w:val="2"/>
        </w:numPr>
        <w:tabs>
          <w:tab w:pos="2284" w:val="left" w:leader="none"/>
          <w:tab w:pos="2285" w:val="left" w:leader="none"/>
          <w:tab w:pos="8620" w:val="left" w:leader="dot"/>
        </w:tabs>
        <w:spacing w:line="312" w:lineRule="auto" w:before="83" w:after="0"/>
        <w:ind w:left="2284" w:right="524" w:hanging="766"/>
        <w:jc w:val="left"/>
        <w:rPr>
          <w:sz w:val="24"/>
        </w:rPr>
      </w:pPr>
      <w:hyperlink w:history="true" w:anchor="_TOC_250003">
        <w:r>
          <w:rPr>
            <w:sz w:val="24"/>
          </w:rPr>
          <w:t>A Bayesian Approach to the Evaluation of Team and Player Per- </w:t>
        </w:r>
        <w:r>
          <w:rPr>
            <w:spacing w:val="-2"/>
            <w:sz w:val="24"/>
          </w:rPr>
          <w:t>formances</w:t>
        </w:r>
        <w:r>
          <w:rPr>
            <w:sz w:val="24"/>
          </w:rPr>
          <w:tab/>
        </w:r>
        <w:r>
          <w:rPr>
            <w:color w:val="0000FF"/>
            <w:spacing w:val="-5"/>
            <w:sz w:val="24"/>
          </w:rPr>
          <w:t>18</w:t>
        </w:r>
        <w:r>
          <w:rPr>
            <w:color w:val="0000FF"/>
            <w:spacing w:val="-5"/>
            <w:sz w:val="24"/>
          </w:rPr>
          <w:t>2</w:t>
        </w:r>
      </w:hyperlink>
    </w:p>
    <w:p>
      <w:pPr>
        <w:pStyle w:val="ListParagraph"/>
        <w:numPr>
          <w:ilvl w:val="2"/>
          <w:numId w:val="2"/>
        </w:numPr>
        <w:tabs>
          <w:tab w:pos="2284" w:val="left" w:leader="none"/>
          <w:tab w:pos="2285" w:val="left" w:leader="none"/>
          <w:tab w:pos="8620" w:val="left" w:leader="dot"/>
        </w:tabs>
        <w:spacing w:line="276" w:lineRule="exact" w:before="0" w:after="0"/>
        <w:ind w:left="2284" w:right="0" w:hanging="767"/>
        <w:jc w:val="left"/>
        <w:rPr>
          <w:sz w:val="24"/>
        </w:rPr>
      </w:pPr>
      <w:hyperlink w:history="true" w:anchor="_TOC_250002">
        <w:r>
          <w:rPr>
            <w:sz w:val="24"/>
          </w:rPr>
          <w:t>Summary</w:t>
        </w:r>
        <w:r>
          <w:rPr>
            <w:spacing w:val="-7"/>
            <w:sz w:val="24"/>
          </w:rPr>
          <w:t> </w:t>
        </w:r>
        <w:r>
          <w:rPr>
            <w:sz w:val="24"/>
          </w:rPr>
          <w:t>of</w:t>
        </w:r>
        <w:r>
          <w:rPr>
            <w:spacing w:val="-7"/>
            <w:sz w:val="24"/>
          </w:rPr>
          <w:t> </w:t>
        </w:r>
        <w:r>
          <w:rPr>
            <w:spacing w:val="-2"/>
            <w:sz w:val="24"/>
          </w:rPr>
          <w:t>contributions</w:t>
        </w:r>
        <w:r>
          <w:rPr>
            <w:sz w:val="24"/>
          </w:rPr>
          <w:tab/>
        </w:r>
        <w:r>
          <w:rPr>
            <w:color w:val="0000FF"/>
            <w:spacing w:val="-5"/>
            <w:sz w:val="24"/>
          </w:rPr>
          <w:t>183</w:t>
        </w:r>
      </w:hyperlink>
    </w:p>
    <w:p>
      <w:pPr>
        <w:pStyle w:val="ListParagraph"/>
        <w:numPr>
          <w:ilvl w:val="1"/>
          <w:numId w:val="2"/>
        </w:numPr>
        <w:tabs>
          <w:tab w:pos="1518" w:val="left" w:leader="none"/>
          <w:tab w:pos="1519" w:val="left" w:leader="none"/>
          <w:tab w:pos="8620" w:val="left" w:leader="dot"/>
        </w:tabs>
        <w:spacing w:line="240" w:lineRule="auto" w:before="83" w:after="0"/>
        <w:ind w:left="1518" w:right="0" w:hanging="550"/>
        <w:jc w:val="left"/>
        <w:rPr>
          <w:sz w:val="24"/>
        </w:rPr>
      </w:pPr>
      <w:hyperlink w:history="true" w:anchor="_TOC_250001">
        <w:r>
          <w:rPr>
            <w:spacing w:val="-2"/>
            <w:sz w:val="24"/>
          </w:rPr>
          <w:t>Limitations</w:t>
        </w:r>
        <w:r>
          <w:rPr>
            <w:sz w:val="24"/>
          </w:rPr>
          <w:tab/>
        </w:r>
        <w:r>
          <w:rPr>
            <w:color w:val="0000FF"/>
            <w:spacing w:val="-5"/>
            <w:sz w:val="24"/>
          </w:rPr>
          <w:t>184</w:t>
        </w:r>
      </w:hyperlink>
    </w:p>
    <w:p>
      <w:pPr>
        <w:pStyle w:val="ListParagraph"/>
        <w:numPr>
          <w:ilvl w:val="1"/>
          <w:numId w:val="2"/>
        </w:numPr>
        <w:tabs>
          <w:tab w:pos="1518" w:val="left" w:leader="none"/>
          <w:tab w:pos="1519" w:val="left" w:leader="none"/>
          <w:tab w:pos="8620" w:val="left" w:leader="dot"/>
        </w:tabs>
        <w:spacing w:line="240" w:lineRule="auto" w:before="82" w:after="0"/>
        <w:ind w:left="1518" w:right="0" w:hanging="550"/>
        <w:jc w:val="left"/>
        <w:rPr>
          <w:sz w:val="24"/>
        </w:rPr>
      </w:pPr>
      <w:hyperlink w:history="true" w:anchor="_TOC_250000">
        <w:r>
          <w:rPr>
            <w:sz w:val="24"/>
          </w:rPr>
          <w:t>Future</w:t>
        </w:r>
        <w:r>
          <w:rPr>
            <w:spacing w:val="-8"/>
            <w:sz w:val="24"/>
          </w:rPr>
          <w:t> </w:t>
        </w:r>
        <w:r>
          <w:rPr>
            <w:spacing w:val="-4"/>
            <w:sz w:val="24"/>
          </w:rPr>
          <w:t>Work</w:t>
        </w:r>
        <w:r>
          <w:rPr>
            <w:sz w:val="24"/>
          </w:rPr>
          <w:tab/>
        </w:r>
        <w:r>
          <w:rPr>
            <w:color w:val="0000FF"/>
            <w:spacing w:val="-5"/>
            <w:sz w:val="24"/>
          </w:rPr>
          <w:t>186</w:t>
        </w:r>
      </w:hyperlink>
    </w:p>
    <w:p>
      <w:pPr>
        <w:spacing w:before="322"/>
        <w:ind w:left="610" w:right="0" w:firstLine="0"/>
        <w:jc w:val="left"/>
        <w:rPr>
          <w:b/>
          <w:sz w:val="24"/>
        </w:rPr>
      </w:pPr>
      <w:r>
        <w:rPr>
          <w:b/>
          <w:spacing w:val="-2"/>
          <w:sz w:val="24"/>
        </w:rPr>
        <w:t>References</w:t>
      </w:r>
      <w:r>
        <w:rPr>
          <w:b/>
          <w:color w:val="0000FF"/>
          <w:spacing w:val="-2"/>
          <w:sz w:val="24"/>
        </w:rPr>
        <w:t>189</w:t>
      </w:r>
    </w:p>
    <w:p>
      <w:pPr>
        <w:spacing w:before="322"/>
        <w:ind w:left="610" w:right="0" w:firstLine="0"/>
        <w:jc w:val="left"/>
        <w:rPr>
          <w:b/>
          <w:sz w:val="24"/>
        </w:rPr>
      </w:pPr>
      <w:r>
        <w:rPr>
          <w:b/>
          <w:sz w:val="24"/>
        </w:rPr>
        <w:t>Appendix</w:t>
      </w:r>
      <w:r>
        <w:rPr>
          <w:b/>
          <w:spacing w:val="-6"/>
          <w:sz w:val="24"/>
        </w:rPr>
        <w:t> </w:t>
      </w:r>
      <w:r>
        <w:rPr>
          <w:b/>
          <w:sz w:val="24"/>
        </w:rPr>
        <w:t>A</w:t>
      </w:r>
      <w:r>
        <w:rPr>
          <w:b/>
          <w:spacing w:val="25"/>
          <w:sz w:val="24"/>
        </w:rPr>
        <w:t>  </w:t>
      </w:r>
      <w:r>
        <w:rPr>
          <w:b/>
          <w:sz w:val="24"/>
        </w:rPr>
        <w:t>Ethical</w:t>
      </w:r>
      <w:r>
        <w:rPr>
          <w:b/>
          <w:spacing w:val="-6"/>
          <w:sz w:val="24"/>
        </w:rPr>
        <w:t> </w:t>
      </w:r>
      <w:r>
        <w:rPr>
          <w:b/>
          <w:spacing w:val="-2"/>
          <w:sz w:val="24"/>
        </w:rPr>
        <w:t>Approval</w:t>
      </w:r>
      <w:r>
        <w:rPr>
          <w:b/>
          <w:color w:val="0000FF"/>
          <w:spacing w:val="-2"/>
          <w:sz w:val="24"/>
        </w:rPr>
        <w:t>198</w:t>
      </w:r>
    </w:p>
    <w:p>
      <w:pPr>
        <w:spacing w:line="312" w:lineRule="auto" w:before="321"/>
        <w:ind w:left="969" w:right="389" w:hanging="359"/>
        <w:jc w:val="left"/>
        <w:rPr>
          <w:b/>
          <w:sz w:val="24"/>
        </w:rPr>
      </w:pPr>
      <w:r>
        <w:rPr>
          <w:b/>
          <w:sz w:val="24"/>
        </w:rPr>
        <w:t>Appendix B</w:t>
      </w:r>
      <w:r>
        <w:rPr>
          <w:b/>
          <w:spacing w:val="80"/>
          <w:sz w:val="24"/>
        </w:rPr>
        <w:t> </w:t>
      </w:r>
      <w:r>
        <w:rPr>
          <w:b/>
          <w:sz w:val="24"/>
        </w:rPr>
        <w:t>List</w:t>
      </w:r>
      <w:r>
        <w:rPr>
          <w:b/>
          <w:spacing w:val="-1"/>
          <w:sz w:val="24"/>
        </w:rPr>
        <w:t> </w:t>
      </w:r>
      <w:r>
        <w:rPr>
          <w:b/>
          <w:sz w:val="24"/>
        </w:rPr>
        <w:t>of actions</w:t>
      </w:r>
      <w:r>
        <w:rPr>
          <w:b/>
          <w:spacing w:val="-1"/>
          <w:sz w:val="24"/>
        </w:rPr>
        <w:t> </w:t>
      </w:r>
      <w:r>
        <w:rPr>
          <w:b/>
          <w:sz w:val="24"/>
        </w:rPr>
        <w:t>and definitions</w:t>
      </w:r>
      <w:r>
        <w:rPr>
          <w:b/>
          <w:spacing w:val="-1"/>
          <w:sz w:val="24"/>
        </w:rPr>
        <w:t> </w:t>
      </w:r>
      <w:r>
        <w:rPr>
          <w:b/>
          <w:sz w:val="24"/>
        </w:rPr>
        <w:t>coded by Opta/Stats</w:t>
      </w:r>
      <w:r>
        <w:rPr>
          <w:b/>
          <w:spacing w:val="-1"/>
          <w:sz w:val="24"/>
        </w:rPr>
        <w:t> </w:t>
      </w:r>
      <w:r>
        <w:rPr>
          <w:b/>
          <w:sz w:val="24"/>
        </w:rPr>
        <w:t>Perform </w:t>
      </w:r>
      <w:r>
        <w:rPr>
          <w:b/>
          <w:sz w:val="24"/>
        </w:rPr>
        <w:t>2019- </w:t>
      </w:r>
      <w:r>
        <w:rPr>
          <w:b/>
          <w:spacing w:val="-2"/>
          <w:sz w:val="24"/>
        </w:rPr>
        <w:t>2020</w:t>
      </w:r>
      <w:r>
        <w:rPr>
          <w:b/>
          <w:color w:val="0000FF"/>
          <w:spacing w:val="-2"/>
          <w:sz w:val="24"/>
        </w:rPr>
        <w:t>200</w:t>
      </w:r>
    </w:p>
    <w:p>
      <w:pPr>
        <w:spacing w:line="520" w:lineRule="auto" w:before="239"/>
        <w:ind w:left="610" w:right="1369" w:firstLine="0"/>
        <w:jc w:val="left"/>
        <w:rPr>
          <w:b/>
          <w:sz w:val="24"/>
        </w:rPr>
      </w:pPr>
      <w:r>
        <w:rPr>
          <w:b/>
          <w:sz w:val="24"/>
        </w:rPr>
        <w:t>Appendix</w:t>
      </w:r>
      <w:r>
        <w:rPr>
          <w:b/>
          <w:spacing w:val="-9"/>
          <w:sz w:val="24"/>
        </w:rPr>
        <w:t> </w:t>
      </w:r>
      <w:r>
        <w:rPr>
          <w:b/>
          <w:sz w:val="24"/>
        </w:rPr>
        <w:t>C</w:t>
      </w:r>
      <w:r>
        <w:rPr>
          <w:b/>
          <w:spacing w:val="80"/>
          <w:sz w:val="24"/>
        </w:rPr>
        <w:t> </w:t>
      </w:r>
      <w:r>
        <w:rPr>
          <w:b/>
          <w:sz w:val="24"/>
        </w:rPr>
        <w:t>Opta/Stats</w:t>
      </w:r>
      <w:r>
        <w:rPr>
          <w:b/>
          <w:spacing w:val="-9"/>
          <w:sz w:val="24"/>
        </w:rPr>
        <w:t> </w:t>
      </w:r>
      <w:r>
        <w:rPr>
          <w:b/>
          <w:sz w:val="24"/>
        </w:rPr>
        <w:t>Perform</w:t>
      </w:r>
      <w:r>
        <w:rPr>
          <w:b/>
          <w:spacing w:val="-9"/>
          <w:sz w:val="24"/>
        </w:rPr>
        <w:t> </w:t>
      </w:r>
      <w:r>
        <w:rPr>
          <w:b/>
          <w:sz w:val="24"/>
        </w:rPr>
        <w:t>User</w:t>
      </w:r>
      <w:r>
        <w:rPr>
          <w:b/>
          <w:spacing w:val="-9"/>
          <w:sz w:val="24"/>
        </w:rPr>
        <w:t> </w:t>
      </w:r>
      <w:r>
        <w:rPr>
          <w:b/>
          <w:sz w:val="24"/>
        </w:rPr>
        <w:t>Manual</w:t>
      </w:r>
      <w:r>
        <w:rPr>
          <w:b/>
          <w:spacing w:val="-9"/>
          <w:sz w:val="24"/>
        </w:rPr>
        <w:t> </w:t>
      </w:r>
      <w:r>
        <w:rPr>
          <w:b/>
          <w:sz w:val="24"/>
        </w:rPr>
        <w:t>for</w:t>
      </w:r>
      <w:r>
        <w:rPr>
          <w:b/>
          <w:spacing w:val="-9"/>
          <w:sz w:val="24"/>
        </w:rPr>
        <w:t> </w:t>
      </w:r>
      <w:r>
        <w:rPr>
          <w:b/>
          <w:sz w:val="24"/>
        </w:rPr>
        <w:t>2021</w:t>
      </w:r>
      <w:r>
        <w:rPr>
          <w:b/>
          <w:spacing w:val="-9"/>
          <w:sz w:val="24"/>
        </w:rPr>
        <w:t> </w:t>
      </w:r>
      <w:r>
        <w:rPr>
          <w:b/>
          <w:sz w:val="24"/>
        </w:rPr>
        <w:t>Data</w:t>
      </w:r>
      <w:r>
        <w:rPr>
          <w:b/>
          <w:color w:val="0000FF"/>
          <w:sz w:val="24"/>
        </w:rPr>
        <w:t>215 </w:t>
      </w:r>
      <w:r>
        <w:rPr>
          <w:b/>
          <w:sz w:val="24"/>
        </w:rPr>
        <w:t>Appendix D</w:t>
      </w:r>
      <w:r>
        <w:rPr>
          <w:b/>
          <w:spacing w:val="80"/>
          <w:sz w:val="24"/>
        </w:rPr>
        <w:t> </w:t>
      </w:r>
      <w:r>
        <w:rPr>
          <w:b/>
          <w:sz w:val="24"/>
        </w:rPr>
        <w:t>Leeds Rhinos Impact Statement</w:t>
      </w:r>
      <w:r>
        <w:rPr>
          <w:b/>
          <w:color w:val="0000FF"/>
          <w:sz w:val="24"/>
        </w:rPr>
        <w:t>259</w:t>
      </w:r>
    </w:p>
    <w:p>
      <w:pPr>
        <w:spacing w:after="0" w:line="520" w:lineRule="auto"/>
        <w:jc w:val="left"/>
        <w:rPr>
          <w:sz w:val="24"/>
        </w:rPr>
        <w:sectPr>
          <w:pgSz w:w="11910" w:h="16840"/>
          <w:pgMar w:header="1961" w:footer="1428" w:top="2280" w:bottom="1620" w:left="1680" w:right="720"/>
        </w:sectPr>
      </w:pPr>
    </w:p>
    <w:p>
      <w:pPr>
        <w:pStyle w:val="BodyText"/>
        <w:rPr>
          <w:b/>
          <w:sz w:val="60"/>
        </w:rPr>
      </w:pPr>
    </w:p>
    <w:p>
      <w:pPr>
        <w:pStyle w:val="BodyText"/>
        <w:rPr>
          <w:b/>
          <w:sz w:val="60"/>
        </w:rPr>
      </w:pPr>
    </w:p>
    <w:p>
      <w:pPr>
        <w:pStyle w:val="BodyText"/>
        <w:rPr>
          <w:b/>
          <w:sz w:val="60"/>
        </w:rPr>
      </w:pPr>
    </w:p>
    <w:p>
      <w:pPr>
        <w:pStyle w:val="Heading1"/>
        <w:spacing w:before="356"/>
      </w:pPr>
      <w:r>
        <w:rPr/>
        <w:t>List</w:t>
      </w:r>
      <w:r>
        <w:rPr>
          <w:spacing w:val="6"/>
        </w:rPr>
        <w:t> </w:t>
      </w:r>
      <w:r>
        <w:rPr/>
        <w:t>of</w:t>
      </w:r>
      <w:r>
        <w:rPr>
          <w:spacing w:val="7"/>
        </w:rPr>
        <w:t> </w:t>
      </w:r>
      <w:r>
        <w:rPr>
          <w:spacing w:val="-2"/>
        </w:rPr>
        <w:t>Figures</w:t>
      </w:r>
    </w:p>
    <w:p>
      <w:pPr>
        <w:pStyle w:val="BodyText"/>
        <w:rPr>
          <w:sz w:val="60"/>
        </w:rPr>
      </w:pPr>
    </w:p>
    <w:p>
      <w:pPr>
        <w:pStyle w:val="BodyText"/>
        <w:rPr>
          <w:sz w:val="60"/>
        </w:rPr>
      </w:pPr>
    </w:p>
    <w:p>
      <w:pPr>
        <w:pStyle w:val="ListParagraph"/>
        <w:numPr>
          <w:ilvl w:val="1"/>
          <w:numId w:val="3"/>
        </w:numPr>
        <w:tabs>
          <w:tab w:pos="1518" w:val="left" w:leader="none"/>
          <w:tab w:pos="1519" w:val="left" w:leader="none"/>
        </w:tabs>
        <w:spacing w:line="312" w:lineRule="auto" w:before="442" w:after="0"/>
        <w:ind w:left="1518" w:right="697" w:hanging="550"/>
        <w:jc w:val="left"/>
        <w:rPr>
          <w:sz w:val="24"/>
        </w:rPr>
      </w:pPr>
      <w:r>
        <w:rPr>
          <w:sz w:val="24"/>
        </w:rPr>
        <w:t>Overview of thesis outlining most important literature, timeline and how</w:t>
      </w:r>
      <w:r>
        <w:rPr>
          <w:spacing w:val="40"/>
          <w:sz w:val="24"/>
        </w:rPr>
        <w:t> </w:t>
      </w:r>
      <w:r>
        <w:rPr>
          <w:sz w:val="24"/>
        </w:rPr>
        <w:t>the</w:t>
      </w:r>
      <w:r>
        <w:rPr>
          <w:spacing w:val="40"/>
          <w:sz w:val="24"/>
        </w:rPr>
        <w:t> </w:t>
      </w:r>
      <w:r>
        <w:rPr>
          <w:sz w:val="24"/>
        </w:rPr>
        <w:t>work</w:t>
      </w:r>
      <w:r>
        <w:rPr>
          <w:spacing w:val="40"/>
          <w:sz w:val="24"/>
        </w:rPr>
        <w:t> </w:t>
      </w:r>
      <w:r>
        <w:rPr>
          <w:sz w:val="24"/>
        </w:rPr>
        <w:t>links</w:t>
      </w:r>
      <w:r>
        <w:rPr>
          <w:spacing w:val="40"/>
          <w:sz w:val="24"/>
        </w:rPr>
        <w:t> </w:t>
      </w:r>
      <w:r>
        <w:rPr>
          <w:sz w:val="24"/>
        </w:rPr>
        <w:t>to</w:t>
      </w:r>
      <w:r>
        <w:rPr>
          <w:spacing w:val="40"/>
          <w:sz w:val="24"/>
        </w:rPr>
        <w:t> </w:t>
      </w:r>
      <w:r>
        <w:rPr>
          <w:sz w:val="24"/>
        </w:rPr>
        <w:t>the</w:t>
      </w:r>
      <w:r>
        <w:rPr>
          <w:spacing w:val="40"/>
          <w:sz w:val="24"/>
        </w:rPr>
        <w:t> </w:t>
      </w:r>
      <w:r>
        <w:rPr>
          <w:sz w:val="24"/>
        </w:rPr>
        <w:t>literature.</w:t>
      </w:r>
      <w:r>
        <w:rPr>
          <w:spacing w:val="80"/>
          <w:sz w:val="24"/>
        </w:rPr>
        <w:t> </w:t>
      </w:r>
      <w:r>
        <w:rPr>
          <w:sz w:val="24"/>
        </w:rPr>
        <w:t>Note:</w:t>
      </w:r>
      <w:r>
        <w:rPr>
          <w:spacing w:val="40"/>
          <w:sz w:val="24"/>
        </w:rPr>
        <w:t> </w:t>
      </w:r>
      <w:r>
        <w:rPr>
          <w:sz w:val="24"/>
        </w:rPr>
        <w:t>Objective</w:t>
      </w:r>
      <w:r>
        <w:rPr>
          <w:spacing w:val="40"/>
          <w:sz w:val="24"/>
        </w:rPr>
        <w:t> </w:t>
      </w:r>
      <w:r>
        <w:rPr>
          <w:sz w:val="24"/>
        </w:rPr>
        <w:t>1</w:t>
      </w:r>
      <w:r>
        <w:rPr>
          <w:spacing w:val="40"/>
          <w:sz w:val="24"/>
        </w:rPr>
        <w:t> </w:t>
      </w:r>
      <w:r>
        <w:rPr>
          <w:sz w:val="24"/>
        </w:rPr>
        <w:t>was</w:t>
      </w:r>
      <w:r>
        <w:rPr>
          <w:spacing w:val="40"/>
          <w:sz w:val="24"/>
        </w:rPr>
        <w:t> </w:t>
      </w:r>
      <w:r>
        <w:rPr>
          <w:sz w:val="24"/>
        </w:rPr>
        <w:t>completed</w:t>
      </w:r>
      <w:r>
        <w:rPr>
          <w:spacing w:val="40"/>
          <w:sz w:val="24"/>
        </w:rPr>
        <w:t> </w:t>
      </w:r>
      <w:r>
        <w:rPr>
          <w:sz w:val="24"/>
        </w:rPr>
        <w:t>by Chapter</w:t>
      </w:r>
      <w:r>
        <w:rPr>
          <w:color w:val="0000FF"/>
          <w:sz w:val="24"/>
        </w:rPr>
        <w:t>2</w:t>
      </w:r>
      <w:hyperlink w:history="true" w:anchor="_bookmark8">
        <w:r>
          <w:rPr>
            <w:sz w:val="24"/>
          </w:rPr>
          <w:t>,</w:t>
        </w:r>
      </w:hyperlink>
      <w:r>
        <w:rPr>
          <w:spacing w:val="-10"/>
          <w:sz w:val="24"/>
        </w:rPr>
        <w:t> </w:t>
      </w:r>
      <w:r>
        <w:rPr>
          <w:sz w:val="24"/>
        </w:rPr>
        <w:t>but</w:t>
      </w:r>
      <w:r>
        <w:rPr>
          <w:spacing w:val="-10"/>
          <w:sz w:val="24"/>
        </w:rPr>
        <w:t> </w:t>
      </w:r>
      <w:r>
        <w:rPr>
          <w:sz w:val="24"/>
        </w:rPr>
        <w:t>was</w:t>
      </w:r>
      <w:r>
        <w:rPr>
          <w:spacing w:val="-10"/>
          <w:sz w:val="24"/>
        </w:rPr>
        <w:t> </w:t>
      </w:r>
      <w:r>
        <w:rPr>
          <w:sz w:val="24"/>
        </w:rPr>
        <w:t>not</w:t>
      </w:r>
      <w:r>
        <w:rPr>
          <w:spacing w:val="-10"/>
          <w:sz w:val="24"/>
        </w:rPr>
        <w:t> </w:t>
      </w:r>
      <w:r>
        <w:rPr>
          <w:sz w:val="24"/>
        </w:rPr>
        <w:t>included</w:t>
      </w:r>
      <w:r>
        <w:rPr>
          <w:spacing w:val="-10"/>
          <w:sz w:val="24"/>
        </w:rPr>
        <w:t> </w:t>
      </w:r>
      <w:r>
        <w:rPr>
          <w:sz w:val="24"/>
        </w:rPr>
        <w:t>in</w:t>
      </w:r>
      <w:r>
        <w:rPr>
          <w:spacing w:val="-10"/>
          <w:sz w:val="24"/>
        </w:rPr>
        <w:t> </w:t>
      </w:r>
      <w:r>
        <w:rPr>
          <w:sz w:val="24"/>
        </w:rPr>
        <w:t>the</w:t>
      </w:r>
      <w:r>
        <w:rPr>
          <w:spacing w:val="-10"/>
          <w:sz w:val="24"/>
        </w:rPr>
        <w:t> </w:t>
      </w:r>
      <w:r>
        <w:rPr>
          <w:sz w:val="24"/>
        </w:rPr>
        <w:t>schematic</w:t>
      </w:r>
      <w:r>
        <w:rPr>
          <w:spacing w:val="-10"/>
          <w:sz w:val="24"/>
        </w:rPr>
        <w:t> </w:t>
      </w:r>
      <w:r>
        <w:rPr>
          <w:sz w:val="24"/>
        </w:rPr>
        <w:t>as</w:t>
      </w:r>
      <w:r>
        <w:rPr>
          <w:spacing w:val="-10"/>
          <w:sz w:val="24"/>
        </w:rPr>
        <w:t> </w:t>
      </w:r>
      <w:r>
        <w:rPr>
          <w:sz w:val="24"/>
        </w:rPr>
        <w:t>it</w:t>
      </w:r>
      <w:r>
        <w:rPr>
          <w:spacing w:val="-10"/>
          <w:sz w:val="24"/>
        </w:rPr>
        <w:t> </w:t>
      </w:r>
      <w:r>
        <w:rPr>
          <w:sz w:val="24"/>
        </w:rPr>
        <w:t>is</w:t>
      </w:r>
      <w:r>
        <w:rPr>
          <w:spacing w:val="-10"/>
          <w:sz w:val="24"/>
        </w:rPr>
        <w:t> </w:t>
      </w:r>
      <w:r>
        <w:rPr>
          <w:sz w:val="24"/>
        </w:rPr>
        <w:t>not</w:t>
      </w:r>
      <w:r>
        <w:rPr>
          <w:spacing w:val="-10"/>
          <w:sz w:val="24"/>
        </w:rPr>
        <w:t> </w:t>
      </w:r>
      <w:r>
        <w:rPr>
          <w:sz w:val="24"/>
        </w:rPr>
        <w:t>a</w:t>
      </w:r>
      <w:r>
        <w:rPr>
          <w:spacing w:val="-10"/>
          <w:sz w:val="24"/>
        </w:rPr>
        <w:t> </w:t>
      </w:r>
      <w:r>
        <w:rPr>
          <w:sz w:val="24"/>
        </w:rPr>
        <w:t>specific</w:t>
      </w:r>
      <w:r>
        <w:rPr>
          <w:spacing w:val="-10"/>
          <w:sz w:val="24"/>
        </w:rPr>
        <w:t> </w:t>
      </w:r>
      <w:r>
        <w:rPr>
          <w:sz w:val="24"/>
        </w:rPr>
        <w:t>study.</w:t>
      </w:r>
      <w:r>
        <w:rPr>
          <w:color w:val="0000FF"/>
          <w:sz w:val="24"/>
        </w:rPr>
        <w:t>8</w:t>
      </w:r>
    </w:p>
    <w:p>
      <w:pPr>
        <w:pStyle w:val="ListParagraph"/>
        <w:numPr>
          <w:ilvl w:val="1"/>
          <w:numId w:val="4"/>
        </w:numPr>
        <w:tabs>
          <w:tab w:pos="1269" w:val="left" w:leader="none"/>
        </w:tabs>
        <w:spacing w:line="312" w:lineRule="auto" w:before="199" w:after="0"/>
        <w:ind w:left="1518" w:right="998" w:hanging="550"/>
        <w:jc w:val="left"/>
        <w:rPr>
          <w:sz w:val="24"/>
        </w:rPr>
      </w:pPr>
      <w:r>
        <w:rPr>
          <w:color w:val="FF0000"/>
          <w:sz w:val="24"/>
        </w:rPr>
        <w:t>W</w:t>
      </w:r>
      <w:hyperlink w:history="true" w:anchor="_bookmark313">
        <w:r>
          <w:rPr>
            <w:color w:val="FF0000"/>
            <w:sz w:val="24"/>
          </w:rPr>
          <w:t>oods</w:t>
        </w:r>
        <w:r>
          <w:rPr>
            <w:sz w:val="24"/>
          </w:rPr>
          <w:t>(</w:t>
        </w:r>
      </w:hyperlink>
      <w:r>
        <w:rPr>
          <w:color w:val="FF0000"/>
          <w:sz w:val="24"/>
        </w:rPr>
        <w:t>2016</w:t>
      </w:r>
      <w:hyperlink w:history="true" w:anchor="_bookmark313">
        <w:r>
          <w:rPr>
            <w:sz w:val="24"/>
          </w:rPr>
          <w:t>)</w:t>
        </w:r>
      </w:hyperlink>
      <w:r>
        <w:rPr>
          <w:sz w:val="24"/>
        </w:rPr>
        <w:t> violin plot of performance indicators significantly associ- ated</w:t>
      </w:r>
      <w:r>
        <w:rPr>
          <w:spacing w:val="-7"/>
          <w:sz w:val="24"/>
        </w:rPr>
        <w:t> </w:t>
      </w:r>
      <w:r>
        <w:rPr>
          <w:sz w:val="24"/>
        </w:rPr>
        <w:t>with</w:t>
      </w:r>
      <w:r>
        <w:rPr>
          <w:spacing w:val="-7"/>
          <w:sz w:val="24"/>
        </w:rPr>
        <w:t> </w:t>
      </w:r>
      <w:r>
        <w:rPr>
          <w:sz w:val="24"/>
        </w:rPr>
        <w:t>final</w:t>
      </w:r>
      <w:r>
        <w:rPr>
          <w:spacing w:val="-7"/>
          <w:sz w:val="24"/>
        </w:rPr>
        <w:t> </w:t>
      </w:r>
      <w:r>
        <w:rPr>
          <w:sz w:val="24"/>
        </w:rPr>
        <w:t>league</w:t>
      </w:r>
      <w:r>
        <w:rPr>
          <w:spacing w:val="-7"/>
          <w:sz w:val="24"/>
        </w:rPr>
        <w:t> </w:t>
      </w:r>
      <w:r>
        <w:rPr>
          <w:sz w:val="24"/>
        </w:rPr>
        <w:t>position. Model</w:t>
      </w:r>
      <w:r>
        <w:rPr>
          <w:spacing w:val="-7"/>
          <w:sz w:val="24"/>
        </w:rPr>
        <w:t> </w:t>
      </w:r>
      <w:r>
        <w:rPr>
          <w:sz w:val="24"/>
        </w:rPr>
        <w:t>was</w:t>
      </w:r>
      <w:r>
        <w:rPr>
          <w:spacing w:val="-7"/>
          <w:sz w:val="24"/>
        </w:rPr>
        <w:t> </w:t>
      </w:r>
      <w:r>
        <w:rPr>
          <w:sz w:val="24"/>
        </w:rPr>
        <w:t>completed</w:t>
      </w:r>
      <w:r>
        <w:rPr>
          <w:spacing w:val="-7"/>
          <w:sz w:val="24"/>
        </w:rPr>
        <w:t> </w:t>
      </w:r>
      <w:r>
        <w:rPr>
          <w:sz w:val="24"/>
        </w:rPr>
        <w:t>using</w:t>
      </w:r>
      <w:r>
        <w:rPr>
          <w:spacing w:val="-7"/>
          <w:sz w:val="24"/>
        </w:rPr>
        <w:t> </w:t>
      </w:r>
      <w:r>
        <w:rPr>
          <w:sz w:val="24"/>
        </w:rPr>
        <w:t>season</w:t>
      </w:r>
      <w:r>
        <w:rPr>
          <w:spacing w:val="-7"/>
          <w:sz w:val="24"/>
        </w:rPr>
        <w:t> </w:t>
      </w:r>
      <w:r>
        <w:rPr>
          <w:sz w:val="24"/>
        </w:rPr>
        <w:t>accu-</w:t>
      </w:r>
      <w:r>
        <w:rPr>
          <w:sz w:val="24"/>
        </w:rPr>
        <w:t> mulated</w:t>
      </w:r>
      <w:r>
        <w:rPr>
          <w:spacing w:val="-7"/>
          <w:sz w:val="24"/>
        </w:rPr>
        <w:t> </w:t>
      </w:r>
      <w:r>
        <w:rPr>
          <w:sz w:val="24"/>
        </w:rPr>
        <w:t>counts,</w:t>
      </w:r>
      <w:r>
        <w:rPr>
          <w:spacing w:val="-7"/>
          <w:sz w:val="24"/>
        </w:rPr>
        <w:t> </w:t>
      </w:r>
      <w:r>
        <w:rPr>
          <w:sz w:val="24"/>
        </w:rPr>
        <w:t>dots</w:t>
      </w:r>
      <w:r>
        <w:rPr>
          <w:spacing w:val="-7"/>
          <w:sz w:val="24"/>
        </w:rPr>
        <w:t> </w:t>
      </w:r>
      <w:r>
        <w:rPr>
          <w:sz w:val="24"/>
        </w:rPr>
        <w:t>in</w:t>
      </w:r>
      <w:r>
        <w:rPr>
          <w:spacing w:val="-7"/>
          <w:sz w:val="24"/>
        </w:rPr>
        <w:t> </w:t>
      </w:r>
      <w:r>
        <w:rPr>
          <w:sz w:val="24"/>
        </w:rPr>
        <w:t>this</w:t>
      </w:r>
      <w:r>
        <w:rPr>
          <w:spacing w:val="-7"/>
          <w:sz w:val="24"/>
        </w:rPr>
        <w:t> </w:t>
      </w:r>
      <w:r>
        <w:rPr>
          <w:sz w:val="24"/>
        </w:rPr>
        <w:t>plot</w:t>
      </w:r>
      <w:r>
        <w:rPr>
          <w:spacing w:val="-7"/>
          <w:sz w:val="24"/>
        </w:rPr>
        <w:t> </w:t>
      </w:r>
      <w:r>
        <w:rPr>
          <w:sz w:val="24"/>
        </w:rPr>
        <w:t>represent</w:t>
      </w:r>
      <w:r>
        <w:rPr>
          <w:spacing w:val="-8"/>
          <w:sz w:val="24"/>
        </w:rPr>
        <w:t> </w:t>
      </w:r>
      <w:r>
        <w:rPr>
          <w:sz w:val="24"/>
        </w:rPr>
        <w:t>match</w:t>
      </w:r>
      <w:r>
        <w:rPr>
          <w:spacing w:val="-7"/>
          <w:sz w:val="24"/>
        </w:rPr>
        <w:t> </w:t>
      </w:r>
      <w:r>
        <w:rPr>
          <w:sz w:val="24"/>
        </w:rPr>
        <w:t>accumulated</w:t>
      </w:r>
      <w:r>
        <w:rPr>
          <w:spacing w:val="-7"/>
          <w:sz w:val="24"/>
        </w:rPr>
        <w:t> </w:t>
      </w:r>
      <w:r>
        <w:rPr>
          <w:sz w:val="24"/>
        </w:rPr>
        <w:t>counts</w:t>
      </w:r>
      <w:r>
        <w:rPr>
          <w:spacing w:val="-7"/>
          <w:sz w:val="24"/>
        </w:rPr>
        <w:t> </w:t>
      </w:r>
      <w:r>
        <w:rPr>
          <w:sz w:val="24"/>
        </w:rPr>
        <w:t>and</w:t>
      </w:r>
      <w:r>
        <w:rPr>
          <w:sz w:val="24"/>
        </w:rPr>
        <w:t> show</w:t>
      </w:r>
      <w:r>
        <w:rPr>
          <w:spacing w:val="-8"/>
          <w:sz w:val="24"/>
        </w:rPr>
        <w:t> </w:t>
      </w:r>
      <w:r>
        <w:rPr>
          <w:sz w:val="24"/>
        </w:rPr>
        <w:t>the</w:t>
      </w:r>
      <w:r>
        <w:rPr>
          <w:spacing w:val="-8"/>
          <w:sz w:val="24"/>
        </w:rPr>
        <w:t> </w:t>
      </w:r>
      <w:r>
        <w:rPr>
          <w:sz w:val="24"/>
        </w:rPr>
        <w:t>variability</w:t>
      </w:r>
      <w:r>
        <w:rPr>
          <w:spacing w:val="-8"/>
          <w:sz w:val="24"/>
        </w:rPr>
        <w:t> </w:t>
      </w:r>
      <w:r>
        <w:rPr>
          <w:sz w:val="24"/>
        </w:rPr>
        <w:t>inherent</w:t>
      </w:r>
      <w:r>
        <w:rPr>
          <w:spacing w:val="-8"/>
          <w:sz w:val="24"/>
        </w:rPr>
        <w:t> </w:t>
      </w:r>
      <w:r>
        <w:rPr>
          <w:sz w:val="24"/>
        </w:rPr>
        <w:t>within</w:t>
      </w:r>
      <w:r>
        <w:rPr>
          <w:spacing w:val="-8"/>
          <w:sz w:val="24"/>
        </w:rPr>
        <w:t> </w:t>
      </w:r>
      <w:r>
        <w:rPr>
          <w:sz w:val="24"/>
        </w:rPr>
        <w:t>the</w:t>
      </w:r>
      <w:r>
        <w:rPr>
          <w:spacing w:val="-8"/>
          <w:sz w:val="24"/>
        </w:rPr>
        <w:t> </w:t>
      </w:r>
      <w:r>
        <w:rPr>
          <w:sz w:val="24"/>
        </w:rPr>
        <w:t>use</w:t>
      </w:r>
      <w:r>
        <w:rPr>
          <w:spacing w:val="-8"/>
          <w:sz w:val="24"/>
        </w:rPr>
        <w:t> </w:t>
      </w:r>
      <w:r>
        <w:rPr>
          <w:sz w:val="24"/>
        </w:rPr>
        <w:t>of</w:t>
      </w:r>
      <w:r>
        <w:rPr>
          <w:spacing w:val="-8"/>
          <w:sz w:val="24"/>
        </w:rPr>
        <w:t> </w:t>
      </w:r>
      <w:r>
        <w:rPr>
          <w:sz w:val="24"/>
        </w:rPr>
        <w:t>accumulated</w:t>
      </w:r>
      <w:r>
        <w:rPr>
          <w:spacing w:val="-8"/>
          <w:sz w:val="24"/>
        </w:rPr>
        <w:t> </w:t>
      </w:r>
      <w:r>
        <w:rPr>
          <w:sz w:val="24"/>
        </w:rPr>
        <w:t>match</w:t>
      </w:r>
      <w:r>
        <w:rPr>
          <w:spacing w:val="-8"/>
          <w:sz w:val="24"/>
        </w:rPr>
        <w:t> </w:t>
      </w:r>
      <w:r>
        <w:rPr>
          <w:sz w:val="24"/>
        </w:rPr>
        <w:t>counts</w:t>
      </w:r>
      <w:r>
        <w:rPr>
          <w:sz w:val="24"/>
        </w:rPr>
        <w:t> on</w:t>
      </w:r>
      <w:r>
        <w:rPr>
          <w:spacing w:val="17"/>
          <w:sz w:val="24"/>
        </w:rPr>
        <w:t> </w:t>
      </w:r>
      <w:r>
        <w:rPr>
          <w:sz w:val="24"/>
        </w:rPr>
        <w:t>a</w:t>
      </w:r>
      <w:r>
        <w:rPr>
          <w:spacing w:val="17"/>
          <w:sz w:val="24"/>
        </w:rPr>
        <w:t> </w:t>
      </w:r>
      <w:r>
        <w:rPr>
          <w:sz w:val="24"/>
        </w:rPr>
        <w:t>match</w:t>
      </w:r>
      <w:r>
        <w:rPr>
          <w:spacing w:val="17"/>
          <w:sz w:val="24"/>
        </w:rPr>
        <w:t> </w:t>
      </w:r>
      <w:r>
        <w:rPr>
          <w:sz w:val="24"/>
        </w:rPr>
        <w:t>by</w:t>
      </w:r>
      <w:r>
        <w:rPr>
          <w:spacing w:val="17"/>
          <w:sz w:val="24"/>
        </w:rPr>
        <w:t> </w:t>
      </w:r>
      <w:r>
        <w:rPr>
          <w:sz w:val="24"/>
        </w:rPr>
        <w:t>match</w:t>
      </w:r>
      <w:r>
        <w:rPr>
          <w:spacing w:val="17"/>
          <w:sz w:val="24"/>
        </w:rPr>
        <w:t> </w:t>
      </w:r>
      <w:r>
        <w:rPr>
          <w:sz w:val="24"/>
        </w:rPr>
        <w:t>basis.</w:t>
      </w:r>
      <w:r>
        <w:rPr>
          <w:spacing w:val="73"/>
          <w:sz w:val="24"/>
        </w:rPr>
        <w:t> </w:t>
      </w:r>
      <w:r>
        <w:rPr>
          <w:sz w:val="24"/>
        </w:rPr>
        <w:t>League</w:t>
      </w:r>
      <w:r>
        <w:rPr>
          <w:spacing w:val="17"/>
          <w:sz w:val="24"/>
        </w:rPr>
        <w:t> </w:t>
      </w:r>
      <w:r>
        <w:rPr>
          <w:sz w:val="24"/>
        </w:rPr>
        <w:t>position</w:t>
      </w:r>
      <w:r>
        <w:rPr>
          <w:spacing w:val="17"/>
          <w:sz w:val="24"/>
        </w:rPr>
        <w:t> </w:t>
      </w:r>
      <w:r>
        <w:rPr>
          <w:sz w:val="24"/>
        </w:rPr>
        <w:t>is</w:t>
      </w:r>
      <w:r>
        <w:rPr>
          <w:spacing w:val="17"/>
          <w:sz w:val="24"/>
        </w:rPr>
        <w:t> </w:t>
      </w:r>
      <w:r>
        <w:rPr>
          <w:sz w:val="24"/>
        </w:rPr>
        <w:t>denoted</w:t>
      </w:r>
      <w:r>
        <w:rPr>
          <w:spacing w:val="17"/>
          <w:sz w:val="24"/>
        </w:rPr>
        <w:t> </w:t>
      </w:r>
      <w:r>
        <w:rPr>
          <w:sz w:val="24"/>
        </w:rPr>
        <w:t>in</w:t>
      </w:r>
      <w:r>
        <w:rPr>
          <w:spacing w:val="17"/>
          <w:sz w:val="24"/>
        </w:rPr>
        <w:t> </w:t>
      </w:r>
      <w:r>
        <w:rPr>
          <w:sz w:val="24"/>
        </w:rPr>
        <w:t>alphabetical</w:t>
      </w:r>
    </w:p>
    <w:p>
      <w:pPr>
        <w:pStyle w:val="BodyText"/>
        <w:tabs>
          <w:tab w:pos="8620" w:val="left" w:leader="dot"/>
        </w:tabs>
        <w:spacing w:line="275" w:lineRule="exact"/>
        <w:ind w:left="1518"/>
      </w:pPr>
      <w:r>
        <w:rPr/>
        <w:t>order</w:t>
      </w:r>
      <w:r>
        <w:rPr>
          <w:spacing w:val="-3"/>
        </w:rPr>
        <w:t> </w:t>
      </w:r>
      <w:r>
        <w:rPr/>
        <w:t>(e.g.</w:t>
      </w:r>
      <w:r>
        <w:rPr>
          <w:spacing w:val="12"/>
        </w:rPr>
        <w:t> </w:t>
      </w:r>
      <w:r>
        <w:rPr/>
        <w:t>A</w:t>
      </w:r>
      <w:r>
        <w:rPr>
          <w:spacing w:val="-3"/>
        </w:rPr>
        <w:t> </w:t>
      </w:r>
      <w:r>
        <w:rPr/>
        <w:t>=</w:t>
      </w:r>
      <w:r>
        <w:rPr>
          <w:spacing w:val="-2"/>
        </w:rPr>
        <w:t> </w:t>
      </w:r>
      <w:r>
        <w:rPr/>
        <w:t>1</w:t>
      </w:r>
      <w:r>
        <w:rPr>
          <w:vertAlign w:val="superscript"/>
        </w:rPr>
        <w:t>st</w:t>
      </w:r>
      <w:r>
        <w:rPr>
          <w:vertAlign w:val="baseline"/>
        </w:rPr>
        <w:t>,</w:t>
      </w:r>
      <w:r>
        <w:rPr>
          <w:spacing w:val="-3"/>
          <w:vertAlign w:val="baseline"/>
        </w:rPr>
        <w:t> </w:t>
      </w:r>
      <w:r>
        <w:rPr>
          <w:vertAlign w:val="baseline"/>
        </w:rPr>
        <w:t>B</w:t>
      </w:r>
      <w:r>
        <w:rPr>
          <w:spacing w:val="-2"/>
          <w:vertAlign w:val="baseline"/>
        </w:rPr>
        <w:t> </w:t>
      </w:r>
      <w:r>
        <w:rPr>
          <w:vertAlign w:val="baseline"/>
        </w:rPr>
        <w:t>=</w:t>
      </w:r>
      <w:r>
        <w:rPr>
          <w:spacing w:val="-3"/>
          <w:vertAlign w:val="baseline"/>
        </w:rPr>
        <w:t> </w:t>
      </w:r>
      <w:r>
        <w:rPr>
          <w:vertAlign w:val="baseline"/>
        </w:rPr>
        <w:t>2</w:t>
      </w:r>
      <w:r>
        <w:rPr>
          <w:vertAlign w:val="superscript"/>
        </w:rPr>
        <w:t>nd</w:t>
      </w:r>
      <w:r>
        <w:rPr>
          <w:spacing w:val="7"/>
          <w:vertAlign w:val="baseline"/>
        </w:rPr>
        <w:t> </w:t>
      </w:r>
      <w:r>
        <w:rPr>
          <w:spacing w:val="-2"/>
          <w:vertAlign w:val="baseline"/>
        </w:rPr>
        <w:t>etc).</w:t>
      </w:r>
      <w:r>
        <w:rPr>
          <w:vertAlign w:val="baseline"/>
        </w:rPr>
        <w:tab/>
      </w:r>
      <w:r>
        <w:rPr>
          <w:color w:val="0000FF"/>
          <w:spacing w:val="-5"/>
          <w:vertAlign w:val="baseline"/>
        </w:rPr>
        <w:t>17</w:t>
      </w:r>
    </w:p>
    <w:p>
      <w:pPr>
        <w:pStyle w:val="ListParagraph"/>
        <w:numPr>
          <w:ilvl w:val="1"/>
          <w:numId w:val="4"/>
        </w:numPr>
        <w:tabs>
          <w:tab w:pos="1269" w:val="left" w:leader="none"/>
          <w:tab w:pos="8620" w:val="left" w:leader="dot"/>
        </w:tabs>
        <w:spacing w:line="312" w:lineRule="auto" w:before="82" w:after="0"/>
        <w:ind w:left="1518" w:right="644" w:hanging="550"/>
        <w:jc w:val="left"/>
        <w:rPr>
          <w:sz w:val="24"/>
        </w:rPr>
      </w:pPr>
      <w:r>
        <w:rPr>
          <w:color w:val="FF0000"/>
          <w:sz w:val="24"/>
        </w:rPr>
        <w:t>Whitak</w:t>
      </w:r>
      <w:hyperlink w:history="true" w:anchor="_bookmark309">
        <w:r>
          <w:rPr>
            <w:color w:val="FF0000"/>
            <w:sz w:val="24"/>
          </w:rPr>
          <w:t>er et al.</w:t>
        </w:r>
        <w:r>
          <w:rPr>
            <w:sz w:val="24"/>
          </w:rPr>
          <w:t>(</w:t>
        </w:r>
      </w:hyperlink>
      <w:r>
        <w:rPr>
          <w:color w:val="FF0000"/>
          <w:sz w:val="24"/>
        </w:rPr>
        <w:t>2021</w:t>
      </w:r>
      <w:hyperlink w:history="true" w:anchor="_bookmark309">
        <w:r>
          <w:rPr>
            <w:sz w:val="24"/>
          </w:rPr>
          <w:t>)</w:t>
        </w:r>
      </w:hyperlink>
      <w:r>
        <w:rPr>
          <w:sz w:val="24"/>
        </w:rPr>
        <w:t> posterior plot of goal abilities (i.e.</w:t>
      </w:r>
      <w:r>
        <w:rPr>
          <w:spacing w:val="40"/>
          <w:sz w:val="24"/>
        </w:rPr>
        <w:t> </w:t>
      </w:r>
      <w:r>
        <w:rPr>
          <w:sz w:val="24"/>
        </w:rPr>
        <w:t>those actions attempting</w:t>
      </w:r>
      <w:r>
        <w:rPr>
          <w:spacing w:val="-7"/>
          <w:sz w:val="24"/>
        </w:rPr>
        <w:t> </w:t>
      </w:r>
      <w:r>
        <w:rPr>
          <w:sz w:val="24"/>
        </w:rPr>
        <w:t>to</w:t>
      </w:r>
      <w:r>
        <w:rPr>
          <w:spacing w:val="-6"/>
          <w:sz w:val="24"/>
        </w:rPr>
        <w:t> </w:t>
      </w:r>
      <w:r>
        <w:rPr>
          <w:sz w:val="24"/>
        </w:rPr>
        <w:t>score</w:t>
      </w:r>
      <w:r>
        <w:rPr>
          <w:spacing w:val="-7"/>
          <w:sz w:val="24"/>
        </w:rPr>
        <w:t> </w:t>
      </w:r>
      <w:r>
        <w:rPr>
          <w:sz w:val="24"/>
        </w:rPr>
        <w:t>goals)</w:t>
      </w:r>
      <w:r>
        <w:rPr>
          <w:spacing w:val="-6"/>
          <w:sz w:val="24"/>
        </w:rPr>
        <w:t> </w:t>
      </w:r>
      <w:r>
        <w:rPr>
          <w:sz w:val="24"/>
        </w:rPr>
        <w:t>for</w:t>
      </w:r>
      <w:r>
        <w:rPr>
          <w:spacing w:val="-7"/>
          <w:sz w:val="24"/>
        </w:rPr>
        <w:t> </w:t>
      </w:r>
      <w:r>
        <w:rPr>
          <w:sz w:val="24"/>
        </w:rPr>
        <w:t>Sturridge</w:t>
      </w:r>
      <w:r>
        <w:rPr>
          <w:spacing w:val="-6"/>
          <w:sz w:val="24"/>
        </w:rPr>
        <w:t> </w:t>
      </w:r>
      <w:r>
        <w:rPr>
          <w:sz w:val="24"/>
        </w:rPr>
        <w:t>and</w:t>
      </w:r>
      <w:r>
        <w:rPr>
          <w:spacing w:val="-7"/>
          <w:sz w:val="24"/>
        </w:rPr>
        <w:t> </w:t>
      </w:r>
      <w:r>
        <w:rPr>
          <w:spacing w:val="-2"/>
          <w:sz w:val="24"/>
        </w:rPr>
        <w:t>Reed.</w:t>
      </w:r>
      <w:r>
        <w:rPr>
          <w:sz w:val="24"/>
        </w:rPr>
        <w:tab/>
      </w:r>
      <w:r>
        <w:rPr>
          <w:color w:val="0000FF"/>
          <w:spacing w:val="-5"/>
          <w:sz w:val="24"/>
        </w:rPr>
        <w:t>1</w:t>
      </w:r>
      <w:r>
        <w:rPr>
          <w:color w:val="0000FF"/>
          <w:spacing w:val="-5"/>
          <w:sz w:val="24"/>
        </w:rPr>
        <w:t>8</w:t>
      </w:r>
    </w:p>
    <w:p>
      <w:pPr>
        <w:pStyle w:val="ListParagraph"/>
        <w:numPr>
          <w:ilvl w:val="1"/>
          <w:numId w:val="4"/>
        </w:numPr>
        <w:tabs>
          <w:tab w:pos="1269" w:val="left" w:leader="none"/>
          <w:tab w:pos="8620" w:val="left" w:leader="dot"/>
        </w:tabs>
        <w:spacing w:line="312" w:lineRule="auto" w:before="0" w:after="0"/>
        <w:ind w:left="1518" w:right="644" w:hanging="550"/>
        <w:jc w:val="left"/>
        <w:rPr>
          <w:sz w:val="24"/>
        </w:rPr>
      </w:pPr>
      <w:hyperlink w:history="true" w:anchor="_bookmark298">
        <w:r>
          <w:rPr>
            <w:color w:val="FF0000"/>
            <w:sz w:val="24"/>
          </w:rPr>
          <w:t>Spearman</w:t>
        </w:r>
        <w:r>
          <w:rPr>
            <w:color w:val="FF0000"/>
            <w:spacing w:val="34"/>
            <w:sz w:val="24"/>
          </w:rPr>
          <w:t> </w:t>
        </w:r>
        <w:r>
          <w:rPr>
            <w:color w:val="FF0000"/>
            <w:sz w:val="24"/>
          </w:rPr>
          <w:t>et</w:t>
        </w:r>
        <w:r>
          <w:rPr>
            <w:color w:val="FF0000"/>
            <w:spacing w:val="34"/>
            <w:sz w:val="24"/>
          </w:rPr>
          <w:t> </w:t>
        </w:r>
        <w:r>
          <w:rPr>
            <w:color w:val="FF0000"/>
            <w:sz w:val="24"/>
          </w:rPr>
          <w:t>al.</w:t>
        </w:r>
        <w:r>
          <w:rPr>
            <w:sz w:val="24"/>
          </w:rPr>
          <w:t>(</w:t>
        </w:r>
      </w:hyperlink>
      <w:r>
        <w:rPr>
          <w:color w:val="FF0000"/>
          <w:sz w:val="24"/>
        </w:rPr>
        <w:t>2017</w:t>
      </w:r>
      <w:hyperlink w:history="true" w:anchor="_bookmark298">
        <w:r>
          <w:rPr>
            <w:sz w:val="24"/>
          </w:rPr>
          <w:t>)</w:t>
        </w:r>
      </w:hyperlink>
      <w:r>
        <w:rPr>
          <w:spacing w:val="34"/>
          <w:sz w:val="24"/>
        </w:rPr>
        <w:t> </w:t>
      </w:r>
      <w:r>
        <w:rPr>
          <w:sz w:val="24"/>
        </w:rPr>
        <w:t>pitch</w:t>
      </w:r>
      <w:r>
        <w:rPr>
          <w:spacing w:val="34"/>
          <w:sz w:val="24"/>
        </w:rPr>
        <w:t> </w:t>
      </w:r>
      <w:r>
        <w:rPr>
          <w:sz w:val="24"/>
        </w:rPr>
        <w:t>control</w:t>
      </w:r>
      <w:r>
        <w:rPr>
          <w:spacing w:val="34"/>
          <w:sz w:val="24"/>
        </w:rPr>
        <w:t> </w:t>
      </w:r>
      <w:r>
        <w:rPr>
          <w:sz w:val="24"/>
        </w:rPr>
        <w:t>probability</w:t>
      </w:r>
      <w:r>
        <w:rPr>
          <w:spacing w:val="34"/>
          <w:sz w:val="24"/>
        </w:rPr>
        <w:t> </w:t>
      </w:r>
      <w:r>
        <w:rPr>
          <w:sz w:val="24"/>
        </w:rPr>
        <w:t>plot.</w:t>
      </w:r>
      <w:r>
        <w:rPr>
          <w:spacing w:val="80"/>
          <w:sz w:val="24"/>
        </w:rPr>
        <w:t> </w:t>
      </w:r>
      <w:r>
        <w:rPr>
          <w:sz w:val="24"/>
        </w:rPr>
        <w:t>On</w:t>
      </w:r>
      <w:r>
        <w:rPr>
          <w:spacing w:val="34"/>
          <w:sz w:val="24"/>
        </w:rPr>
        <w:t> </w:t>
      </w:r>
      <w:r>
        <w:rPr>
          <w:sz w:val="24"/>
        </w:rPr>
        <w:t>the</w:t>
      </w:r>
      <w:r>
        <w:rPr>
          <w:spacing w:val="34"/>
          <w:sz w:val="24"/>
        </w:rPr>
        <w:t> </w:t>
      </w:r>
      <w:r>
        <w:rPr>
          <w:sz w:val="24"/>
        </w:rPr>
        <w:t>left,</w:t>
      </w:r>
      <w:r>
        <w:rPr>
          <w:spacing w:val="40"/>
          <w:sz w:val="24"/>
        </w:rPr>
        <w:t> </w:t>
      </w:r>
      <w:r>
        <w:rPr>
          <w:sz w:val="24"/>
        </w:rPr>
        <w:t>blue regions are those controlled by the team in possession of the ball, red re- gions</w:t>
      </w:r>
      <w:r>
        <w:rPr>
          <w:spacing w:val="33"/>
          <w:sz w:val="24"/>
        </w:rPr>
        <w:t> </w:t>
      </w:r>
      <w:r>
        <w:rPr>
          <w:sz w:val="24"/>
        </w:rPr>
        <w:t>are</w:t>
      </w:r>
      <w:r>
        <w:rPr>
          <w:spacing w:val="33"/>
          <w:sz w:val="24"/>
        </w:rPr>
        <w:t> </w:t>
      </w:r>
      <w:r>
        <w:rPr>
          <w:sz w:val="24"/>
        </w:rPr>
        <w:t>controlled</w:t>
      </w:r>
      <w:r>
        <w:rPr>
          <w:spacing w:val="33"/>
          <w:sz w:val="24"/>
        </w:rPr>
        <w:t> </w:t>
      </w:r>
      <w:r>
        <w:rPr>
          <w:sz w:val="24"/>
        </w:rPr>
        <w:t>by</w:t>
      </w:r>
      <w:r>
        <w:rPr>
          <w:spacing w:val="33"/>
          <w:sz w:val="24"/>
        </w:rPr>
        <w:t> </w:t>
      </w:r>
      <w:r>
        <w:rPr>
          <w:sz w:val="24"/>
        </w:rPr>
        <w:t>the</w:t>
      </w:r>
      <w:r>
        <w:rPr>
          <w:spacing w:val="33"/>
          <w:sz w:val="24"/>
        </w:rPr>
        <w:t> </w:t>
      </w:r>
      <w:r>
        <w:rPr>
          <w:sz w:val="24"/>
        </w:rPr>
        <w:t>opposition</w:t>
      </w:r>
      <w:r>
        <w:rPr>
          <w:spacing w:val="33"/>
          <w:sz w:val="24"/>
        </w:rPr>
        <w:t> </w:t>
      </w:r>
      <w:r>
        <w:rPr>
          <w:sz w:val="24"/>
        </w:rPr>
        <w:t>team.</w:t>
      </w:r>
      <w:r>
        <w:rPr>
          <w:spacing w:val="80"/>
          <w:sz w:val="24"/>
        </w:rPr>
        <w:t> </w:t>
      </w:r>
      <w:r>
        <w:rPr>
          <w:sz w:val="24"/>
        </w:rPr>
        <w:t>White</w:t>
      </w:r>
      <w:r>
        <w:rPr>
          <w:spacing w:val="33"/>
          <w:sz w:val="24"/>
        </w:rPr>
        <w:t> </w:t>
      </w:r>
      <w:r>
        <w:rPr>
          <w:sz w:val="24"/>
        </w:rPr>
        <w:t>areas</w:t>
      </w:r>
      <w:r>
        <w:rPr>
          <w:spacing w:val="33"/>
          <w:sz w:val="24"/>
        </w:rPr>
        <w:t> </w:t>
      </w:r>
      <w:r>
        <w:rPr>
          <w:sz w:val="24"/>
        </w:rPr>
        <w:t>are</w:t>
      </w:r>
      <w:r>
        <w:rPr>
          <w:spacing w:val="33"/>
          <w:sz w:val="24"/>
        </w:rPr>
        <w:t> </w:t>
      </w:r>
      <w:r>
        <w:rPr>
          <w:sz w:val="24"/>
        </w:rPr>
        <w:t>contested (i.e. not controlled by either team). On the right, the shaded region repre- sents the area of the pitch controlled by blue number 7.</w:t>
      </w:r>
      <w:r>
        <w:rPr>
          <w:spacing w:val="40"/>
          <w:sz w:val="24"/>
        </w:rPr>
        <w:t> </w:t>
      </w:r>
      <w:r>
        <w:rPr>
          <w:sz w:val="24"/>
        </w:rPr>
        <w:t>The trail behind every player, the ball represents their position over the past 3 seconds.</w:t>
      </w:r>
      <w:r>
        <w:rPr>
          <w:sz w:val="24"/>
        </w:rPr>
        <w:tab/>
      </w:r>
      <w:r>
        <w:rPr>
          <w:color w:val="0000FF"/>
          <w:spacing w:val="-6"/>
          <w:sz w:val="24"/>
        </w:rPr>
        <w:t>2</w:t>
      </w:r>
      <w:r>
        <w:rPr>
          <w:color w:val="0000FF"/>
          <w:spacing w:val="-6"/>
          <w:sz w:val="24"/>
        </w:rPr>
        <w:t>1</w:t>
      </w:r>
    </w:p>
    <w:p>
      <w:pPr>
        <w:spacing w:after="0" w:line="312" w:lineRule="auto"/>
        <w:jc w:val="left"/>
        <w:rPr>
          <w:sz w:val="24"/>
        </w:rPr>
        <w:sectPr>
          <w:headerReference w:type="default" r:id="rId8"/>
          <w:footerReference w:type="default" r:id="rId9"/>
          <w:pgSz w:w="11910" w:h="16840"/>
          <w:pgMar w:header="0" w:footer="1428" w:top="1920" w:bottom="1620" w:left="1680" w:right="720"/>
        </w:sectPr>
      </w:pPr>
    </w:p>
    <w:p>
      <w:pPr>
        <w:pStyle w:val="BodyText"/>
        <w:rPr>
          <w:sz w:val="20"/>
        </w:rPr>
      </w:pPr>
    </w:p>
    <w:p>
      <w:pPr>
        <w:pStyle w:val="BodyText"/>
        <w:spacing w:before="2"/>
        <w:rPr>
          <w:sz w:val="21"/>
        </w:rPr>
      </w:pPr>
    </w:p>
    <w:p>
      <w:pPr>
        <w:pStyle w:val="ListParagraph"/>
        <w:numPr>
          <w:ilvl w:val="1"/>
          <w:numId w:val="4"/>
        </w:numPr>
        <w:tabs>
          <w:tab w:pos="1269" w:val="left" w:leader="none"/>
          <w:tab w:pos="1957" w:val="left" w:leader="none"/>
        </w:tabs>
        <w:spacing w:line="240" w:lineRule="auto" w:before="98" w:after="0"/>
        <w:ind w:left="1268" w:right="0" w:hanging="300"/>
        <w:jc w:val="left"/>
        <w:rPr>
          <w:sz w:val="24"/>
        </w:rPr>
      </w:pPr>
      <w:r>
        <w:rPr>
          <w:color w:val="FF0000"/>
          <w:spacing w:val="-4"/>
          <w:sz w:val="24"/>
        </w:rPr>
        <w:t>Fern</w:t>
      </w:r>
      <w:r>
        <w:rPr>
          <w:color w:val="FF0000"/>
          <w:sz w:val="24"/>
        </w:rPr>
        <w:tab/>
      </w:r>
      <w:hyperlink w:history="true" w:anchor="_bookmark241">
        <w:r>
          <w:rPr>
            <w:color w:val="FF0000"/>
            <w:spacing w:val="-80"/>
            <w:sz w:val="24"/>
          </w:rPr>
          <w:t>a</w:t>
        </w:r>
        <w:r>
          <w:rPr>
            <w:color w:val="FF0000"/>
            <w:spacing w:val="26"/>
            <w:sz w:val="24"/>
          </w:rPr>
          <w:t>´</w:t>
        </w:r>
        <w:r>
          <w:rPr>
            <w:color w:val="FF0000"/>
            <w:spacing w:val="13"/>
            <w:sz w:val="24"/>
          </w:rPr>
          <w:t>ndez</w:t>
        </w:r>
        <w:r>
          <w:rPr>
            <w:color w:val="FF0000"/>
            <w:spacing w:val="-14"/>
            <w:sz w:val="24"/>
          </w:rPr>
          <w:t> </w:t>
        </w:r>
        <w:r>
          <w:rPr>
            <w:color w:val="FF0000"/>
            <w:sz w:val="24"/>
          </w:rPr>
          <w:t>and</w:t>
        </w:r>
        <w:r>
          <w:rPr>
            <w:color w:val="FF0000"/>
            <w:spacing w:val="-16"/>
            <w:sz w:val="24"/>
          </w:rPr>
          <w:t> </w:t>
        </w:r>
        <w:r>
          <w:rPr>
            <w:color w:val="FF0000"/>
            <w:sz w:val="24"/>
          </w:rPr>
          <w:t>Bornn</w:t>
        </w:r>
      </w:hyperlink>
      <w:r>
        <w:rPr>
          <w:sz w:val="24"/>
        </w:rPr>
        <w:t>(</w:t>
      </w:r>
      <w:hyperlink w:history="true" w:anchor="_bookmark241">
        <w:r>
          <w:rPr>
            <w:color w:val="FF0000"/>
            <w:sz w:val="24"/>
          </w:rPr>
          <w:t>2018</w:t>
        </w:r>
        <w:r>
          <w:rPr>
            <w:sz w:val="24"/>
          </w:rPr>
          <w:t>)</w:t>
        </w:r>
      </w:hyperlink>
      <w:r>
        <w:rPr>
          <w:spacing w:val="-15"/>
          <w:sz w:val="24"/>
        </w:rPr>
        <w:t> </w:t>
      </w:r>
      <w:r>
        <w:rPr>
          <w:sz w:val="24"/>
        </w:rPr>
        <w:t>pitch</w:t>
      </w:r>
      <w:r>
        <w:rPr>
          <w:spacing w:val="-15"/>
          <w:sz w:val="24"/>
        </w:rPr>
        <w:t> </w:t>
      </w:r>
      <w:r>
        <w:rPr>
          <w:sz w:val="24"/>
        </w:rPr>
        <w:t>control</w:t>
      </w:r>
      <w:r>
        <w:rPr>
          <w:spacing w:val="-15"/>
          <w:sz w:val="24"/>
        </w:rPr>
        <w:t> </w:t>
      </w:r>
      <w:r>
        <w:rPr>
          <w:sz w:val="24"/>
        </w:rPr>
        <w:t>plot.</w:t>
      </w:r>
      <w:r>
        <w:rPr>
          <w:spacing w:val="-13"/>
          <w:sz w:val="24"/>
        </w:rPr>
        <w:t> </w:t>
      </w:r>
      <w:r>
        <w:rPr>
          <w:sz w:val="24"/>
        </w:rPr>
        <w:t>In</w:t>
      </w:r>
      <w:r>
        <w:rPr>
          <w:spacing w:val="-15"/>
          <w:sz w:val="24"/>
        </w:rPr>
        <w:t> </w:t>
      </w:r>
      <w:r>
        <w:rPr>
          <w:sz w:val="24"/>
        </w:rPr>
        <w:t>the</w:t>
      </w:r>
      <w:r>
        <w:rPr>
          <w:spacing w:val="-15"/>
          <w:sz w:val="24"/>
        </w:rPr>
        <w:t> </w:t>
      </w:r>
      <w:r>
        <w:rPr>
          <w:sz w:val="24"/>
        </w:rPr>
        <w:t>left</w:t>
      </w:r>
      <w:r>
        <w:rPr>
          <w:spacing w:val="-15"/>
          <w:sz w:val="24"/>
        </w:rPr>
        <w:t> </w:t>
      </w:r>
      <w:r>
        <w:rPr>
          <w:sz w:val="24"/>
        </w:rPr>
        <w:t>frame,</w:t>
      </w:r>
      <w:r>
        <w:rPr>
          <w:spacing w:val="-15"/>
          <w:sz w:val="24"/>
        </w:rPr>
        <w:t> </w:t>
      </w:r>
      <w:r>
        <w:rPr>
          <w:sz w:val="24"/>
        </w:rPr>
        <w:t>a</w:t>
      </w:r>
      <w:r>
        <w:rPr>
          <w:spacing w:val="-15"/>
          <w:sz w:val="24"/>
        </w:rPr>
        <w:t> </w:t>
      </w:r>
      <w:r>
        <w:rPr>
          <w:spacing w:val="-2"/>
          <w:sz w:val="24"/>
        </w:rPr>
        <w:t>player</w:t>
      </w:r>
    </w:p>
    <w:p>
      <w:pPr>
        <w:pStyle w:val="BodyText"/>
        <w:spacing w:line="312" w:lineRule="auto" w:before="83"/>
        <w:ind w:left="1518" w:right="998"/>
        <w:jc w:val="both"/>
      </w:pPr>
      <w:r>
        <w:rPr/>
        <w:t>moves backwards from the 18 yard line to occupy a space of value with higher control.</w:t>
      </w:r>
      <w:r>
        <w:rPr>
          <w:spacing w:val="40"/>
        </w:rPr>
        <w:t> </w:t>
      </w:r>
      <w:r>
        <w:rPr/>
        <w:t>In the middle frame, the player attacks a space in </w:t>
      </w:r>
      <w:r>
        <w:rPr/>
        <w:t>front</w:t>
      </w:r>
      <w:r>
        <w:rPr>
          <w:spacing w:val="40"/>
        </w:rPr>
        <w:t> </w:t>
      </w:r>
      <w:r>
        <w:rPr/>
        <w:t>of him, dragging three defenders towards him.</w:t>
      </w:r>
      <w:r>
        <w:rPr>
          <w:spacing w:val="40"/>
        </w:rPr>
        <w:t> </w:t>
      </w:r>
      <w:r>
        <w:rPr/>
        <w:t>In the third frame, the green</w:t>
      </w:r>
      <w:r>
        <w:rPr>
          <w:spacing w:val="-11"/>
        </w:rPr>
        <w:t> </w:t>
      </w:r>
      <w:r>
        <w:rPr/>
        <w:t>circled</w:t>
      </w:r>
      <w:r>
        <w:rPr>
          <w:spacing w:val="-10"/>
        </w:rPr>
        <w:t> </w:t>
      </w:r>
      <w:r>
        <w:rPr/>
        <w:t>player</w:t>
      </w:r>
      <w:r>
        <w:rPr>
          <w:spacing w:val="-11"/>
        </w:rPr>
        <w:t> </w:t>
      </w:r>
      <w:r>
        <w:rPr/>
        <w:t>is</w:t>
      </w:r>
      <w:r>
        <w:rPr>
          <w:spacing w:val="-10"/>
        </w:rPr>
        <w:t> </w:t>
      </w:r>
      <w:r>
        <w:rPr/>
        <w:t>free</w:t>
      </w:r>
      <w:r>
        <w:rPr>
          <w:spacing w:val="-11"/>
        </w:rPr>
        <w:t> </w:t>
      </w:r>
      <w:r>
        <w:rPr/>
        <w:t>because</w:t>
      </w:r>
      <w:r>
        <w:rPr>
          <w:spacing w:val="-10"/>
        </w:rPr>
        <w:t> </w:t>
      </w:r>
      <w:r>
        <w:rPr/>
        <w:t>of</w:t>
      </w:r>
      <w:r>
        <w:rPr>
          <w:spacing w:val="-11"/>
        </w:rPr>
        <w:t> </w:t>
      </w:r>
      <w:r>
        <w:rPr/>
        <w:t>the</w:t>
      </w:r>
      <w:r>
        <w:rPr>
          <w:spacing w:val="-10"/>
        </w:rPr>
        <w:t> </w:t>
      </w:r>
      <w:r>
        <w:rPr/>
        <w:t>movement</w:t>
      </w:r>
      <w:r>
        <w:rPr>
          <w:spacing w:val="-10"/>
        </w:rPr>
        <w:t> </w:t>
      </w:r>
      <w:r>
        <w:rPr/>
        <w:t>in</w:t>
      </w:r>
      <w:r>
        <w:rPr>
          <w:spacing w:val="-11"/>
        </w:rPr>
        <w:t> </w:t>
      </w:r>
      <w:r>
        <w:rPr/>
        <w:t>the</w:t>
      </w:r>
      <w:r>
        <w:rPr>
          <w:spacing w:val="-10"/>
        </w:rPr>
        <w:t> </w:t>
      </w:r>
      <w:r>
        <w:rPr/>
        <w:t>middle</w:t>
      </w:r>
      <w:r>
        <w:rPr>
          <w:spacing w:val="-11"/>
        </w:rPr>
        <w:t> </w:t>
      </w:r>
      <w:r>
        <w:rPr>
          <w:spacing w:val="-2"/>
        </w:rPr>
        <w:t>frame.</w:t>
      </w:r>
    </w:p>
    <w:p>
      <w:pPr>
        <w:pStyle w:val="BodyText"/>
        <w:tabs>
          <w:tab w:pos="8859" w:val="right" w:leader="dot"/>
        </w:tabs>
        <w:spacing w:line="312" w:lineRule="auto"/>
        <w:ind w:left="1518" w:right="644"/>
        <w:jc w:val="both"/>
      </w:pPr>
      <w:r>
        <w:rPr/>
        <w:t>The player on the 18 yard line makes a forward run into space so he can receive</w:t>
      </w:r>
      <w:r>
        <w:rPr>
          <w:spacing w:val="-10"/>
        </w:rPr>
        <w:t> </w:t>
      </w:r>
      <w:r>
        <w:rPr/>
        <w:t>a</w:t>
      </w:r>
      <w:r>
        <w:rPr>
          <w:spacing w:val="-9"/>
        </w:rPr>
        <w:t> </w:t>
      </w:r>
      <w:r>
        <w:rPr/>
        <w:t>crossed</w:t>
      </w:r>
      <w:r>
        <w:rPr>
          <w:spacing w:val="-10"/>
        </w:rPr>
        <w:t> </w:t>
      </w:r>
      <w:r>
        <w:rPr>
          <w:spacing w:val="-2"/>
        </w:rPr>
        <w:t>pass.</w:t>
      </w:r>
      <w:r>
        <w:rPr/>
        <w:tab/>
      </w:r>
      <w:r>
        <w:rPr>
          <w:color w:val="0000FF"/>
          <w:spacing w:val="-5"/>
        </w:rPr>
        <w:t>22</w:t>
      </w:r>
    </w:p>
    <w:p>
      <w:pPr>
        <w:pStyle w:val="ListParagraph"/>
        <w:numPr>
          <w:ilvl w:val="1"/>
          <w:numId w:val="4"/>
        </w:numPr>
        <w:tabs>
          <w:tab w:pos="1269" w:val="left" w:leader="none"/>
          <w:tab w:pos="8859" w:val="right" w:leader="dot"/>
        </w:tabs>
        <w:spacing w:line="312" w:lineRule="auto" w:before="0" w:after="0"/>
        <w:ind w:left="1518" w:right="644" w:hanging="550"/>
        <w:jc w:val="left"/>
        <w:rPr>
          <w:sz w:val="24"/>
        </w:rPr>
      </w:pPr>
      <w:hyperlink w:history="true" w:anchor="_bookmark271">
        <w:r>
          <w:rPr>
            <w:color w:val="FF0000"/>
            <w:sz w:val="24"/>
          </w:rPr>
          <w:t>Mallepalle et al.</w:t>
        </w:r>
        <w:r>
          <w:rPr>
            <w:sz w:val="24"/>
          </w:rPr>
          <w:t>(</w:t>
        </w:r>
      </w:hyperlink>
      <w:r>
        <w:rPr>
          <w:color w:val="FF0000"/>
          <w:sz w:val="24"/>
        </w:rPr>
        <w:t>2020</w:t>
      </w:r>
      <w:hyperlink w:history="true" w:anchor="_bookmark271">
        <w:r>
          <w:rPr>
            <w:sz w:val="24"/>
          </w:rPr>
          <w:t>)</w:t>
        </w:r>
      </w:hyperlink>
      <w:r>
        <w:rPr>
          <w:sz w:val="24"/>
        </w:rPr>
        <w:t> quarterback KDE plot (left) and pass completion probability surface (right).</w:t>
      </w:r>
      <w:r>
        <w:rPr>
          <w:sz w:val="24"/>
        </w:rPr>
        <w:tab/>
      </w:r>
      <w:r>
        <w:rPr>
          <w:color w:val="0000FF"/>
          <w:spacing w:val="-6"/>
          <w:sz w:val="24"/>
        </w:rPr>
        <w:t>23</w:t>
      </w:r>
    </w:p>
    <w:p>
      <w:pPr>
        <w:pStyle w:val="ListParagraph"/>
        <w:numPr>
          <w:ilvl w:val="1"/>
          <w:numId w:val="4"/>
        </w:numPr>
        <w:tabs>
          <w:tab w:pos="1269" w:val="left" w:leader="none"/>
          <w:tab w:pos="8859" w:val="right" w:leader="dot"/>
        </w:tabs>
        <w:spacing w:line="312" w:lineRule="auto" w:before="0" w:after="0"/>
        <w:ind w:left="1518" w:right="644" w:hanging="550"/>
        <w:jc w:val="left"/>
        <w:rPr>
          <w:sz w:val="24"/>
        </w:rPr>
      </w:pPr>
      <w:r>
        <w:rPr>
          <w:color w:val="FF0000"/>
          <w:sz w:val="24"/>
        </w:rPr>
        <w:t>Cerv</w:t>
      </w:r>
      <w:hyperlink w:history="true" w:anchor="_bookmark231">
        <w:r>
          <w:rPr>
            <w:color w:val="FF0000"/>
            <w:sz w:val="24"/>
          </w:rPr>
          <w:t>one et al.</w:t>
        </w:r>
        <w:r>
          <w:rPr>
            <w:sz w:val="24"/>
          </w:rPr>
          <w:t>(</w:t>
        </w:r>
      </w:hyperlink>
      <w:r>
        <w:rPr>
          <w:color w:val="FF0000"/>
          <w:sz w:val="24"/>
        </w:rPr>
        <w:t>2016</w:t>
      </w:r>
      <w:hyperlink w:history="true" w:anchor="_bookmark231">
        <w:r>
          <w:rPr>
            <w:sz w:val="24"/>
          </w:rPr>
          <w:t>)</w:t>
        </w:r>
      </w:hyperlink>
      <w:r>
        <w:rPr>
          <w:sz w:val="24"/>
        </w:rPr>
        <w:t> EPV plot for a sample possession. Immediate, rapid changes are caused by actions such as passes and shots.</w:t>
      </w:r>
      <w:r>
        <w:rPr>
          <w:spacing w:val="40"/>
          <w:sz w:val="24"/>
        </w:rPr>
        <w:t> </w:t>
      </w:r>
      <w:r>
        <w:rPr>
          <w:sz w:val="24"/>
        </w:rPr>
        <w:t>Smaller, more incremental changes in EPV are induced by changes in players’ locations. The black line slightly smooths the EPV evaluations at each time point</w:t>
      </w:r>
      <w:r>
        <w:rPr>
          <w:spacing w:val="40"/>
          <w:sz w:val="24"/>
        </w:rPr>
        <w:t> </w:t>
      </w:r>
      <w:r>
        <w:rPr>
          <w:sz w:val="24"/>
        </w:rPr>
        <w:t>(grey dots).</w:t>
      </w:r>
      <w:r>
        <w:rPr>
          <w:sz w:val="24"/>
        </w:rPr>
        <w:tab/>
      </w:r>
      <w:r>
        <w:rPr>
          <w:color w:val="0000FF"/>
          <w:spacing w:val="-6"/>
          <w:sz w:val="24"/>
        </w:rPr>
        <w:t>26</w:t>
      </w:r>
    </w:p>
    <w:p>
      <w:pPr>
        <w:pStyle w:val="ListParagraph"/>
        <w:numPr>
          <w:ilvl w:val="1"/>
          <w:numId w:val="4"/>
        </w:numPr>
        <w:tabs>
          <w:tab w:pos="1518" w:val="left" w:leader="none"/>
          <w:tab w:pos="1519" w:val="left" w:leader="none"/>
        </w:tabs>
        <w:spacing w:line="275" w:lineRule="exact" w:before="0" w:after="0"/>
        <w:ind w:left="1518" w:right="0" w:hanging="550"/>
        <w:jc w:val="left"/>
        <w:rPr>
          <w:sz w:val="24"/>
        </w:rPr>
      </w:pPr>
      <w:r>
        <w:rPr>
          <w:spacing w:val="-2"/>
          <w:sz w:val="24"/>
        </w:rPr>
        <w:t>Plot</w:t>
      </w:r>
      <w:r>
        <w:rPr>
          <w:spacing w:val="-10"/>
          <w:sz w:val="24"/>
        </w:rPr>
        <w:t> </w:t>
      </w:r>
      <w:r>
        <w:rPr>
          <w:spacing w:val="-2"/>
          <w:sz w:val="24"/>
        </w:rPr>
        <w:t>outlining</w:t>
      </w:r>
      <w:r>
        <w:rPr>
          <w:spacing w:val="-10"/>
          <w:sz w:val="24"/>
        </w:rPr>
        <w:t> </w:t>
      </w:r>
      <w:r>
        <w:rPr>
          <w:spacing w:val="-2"/>
          <w:sz w:val="24"/>
        </w:rPr>
        <w:t>the</w:t>
      </w:r>
      <w:r>
        <w:rPr>
          <w:spacing w:val="-9"/>
          <w:sz w:val="24"/>
        </w:rPr>
        <w:t> </w:t>
      </w:r>
      <w:r>
        <w:rPr>
          <w:spacing w:val="-2"/>
          <w:sz w:val="24"/>
        </w:rPr>
        <w:t>decomposed</w:t>
      </w:r>
      <w:r>
        <w:rPr>
          <w:spacing w:val="-10"/>
          <w:sz w:val="24"/>
        </w:rPr>
        <w:t> </w:t>
      </w:r>
      <w:r>
        <w:rPr>
          <w:spacing w:val="-2"/>
          <w:sz w:val="24"/>
        </w:rPr>
        <w:t>MDP</w:t>
      </w:r>
      <w:r>
        <w:rPr>
          <w:spacing w:val="-9"/>
          <w:sz w:val="24"/>
        </w:rPr>
        <w:t> </w:t>
      </w:r>
      <w:r>
        <w:rPr>
          <w:spacing w:val="-2"/>
          <w:sz w:val="24"/>
        </w:rPr>
        <w:t>methodology</w:t>
      </w:r>
      <w:r>
        <w:rPr>
          <w:spacing w:val="-10"/>
          <w:sz w:val="24"/>
        </w:rPr>
        <w:t> </w:t>
      </w:r>
      <w:r>
        <w:rPr>
          <w:spacing w:val="-2"/>
          <w:sz w:val="24"/>
        </w:rPr>
        <w:t>employed</w:t>
      </w:r>
      <w:r>
        <w:rPr>
          <w:spacing w:val="-10"/>
          <w:sz w:val="24"/>
        </w:rPr>
        <w:t> </w:t>
      </w:r>
      <w:r>
        <w:rPr>
          <w:spacing w:val="-2"/>
          <w:sz w:val="24"/>
        </w:rPr>
        <w:t>by</w:t>
      </w:r>
      <w:hyperlink w:history="true" w:anchor="_bookmark242">
        <w:r>
          <w:rPr>
            <w:color w:val="FF0000"/>
            <w:spacing w:val="-2"/>
            <w:sz w:val="24"/>
          </w:rPr>
          <w:t>Fern</w:t>
        </w:r>
        <w:r>
          <w:rPr>
            <w:color w:val="FF0000"/>
            <w:spacing w:val="-9"/>
            <w:sz w:val="24"/>
          </w:rPr>
          <w:t> </w:t>
        </w:r>
        <w:r>
          <w:rPr>
            <w:color w:val="FF0000"/>
            <w:spacing w:val="-82"/>
            <w:sz w:val="24"/>
          </w:rPr>
          <w:t>a</w:t>
        </w:r>
        <w:r>
          <w:rPr>
            <w:color w:val="FF0000"/>
            <w:spacing w:val="24"/>
            <w:sz w:val="24"/>
          </w:rPr>
          <w:t>´</w:t>
        </w:r>
        <w:r>
          <w:rPr>
            <w:color w:val="FF0000"/>
            <w:spacing w:val="11"/>
            <w:sz w:val="24"/>
          </w:rPr>
          <w:t>ndez</w:t>
        </w:r>
      </w:hyperlink>
    </w:p>
    <w:p>
      <w:pPr>
        <w:pStyle w:val="BodyText"/>
        <w:spacing w:before="81"/>
        <w:ind w:left="757" w:right="304"/>
        <w:jc w:val="center"/>
      </w:pPr>
      <w:hyperlink w:history="true" w:anchor="_bookmark242">
        <w:r>
          <w:rPr>
            <w:color w:val="FF0000"/>
          </w:rPr>
          <w:t>et</w:t>
        </w:r>
        <w:r>
          <w:rPr>
            <w:color w:val="FF0000"/>
            <w:spacing w:val="-8"/>
          </w:rPr>
          <w:t> </w:t>
        </w:r>
        <w:r>
          <w:rPr>
            <w:color w:val="FF0000"/>
          </w:rPr>
          <w:t>al.</w:t>
        </w:r>
      </w:hyperlink>
      <w:r>
        <w:rPr/>
        <w:t>(</w:t>
      </w:r>
      <w:hyperlink w:history="true" w:anchor="_bookmark242">
        <w:r>
          <w:rPr>
            <w:color w:val="FF0000"/>
          </w:rPr>
          <w:t>2019</w:t>
        </w:r>
        <w:r>
          <w:rPr/>
          <w:t>,</w:t>
        </w:r>
      </w:hyperlink>
      <w:hyperlink w:history="true" w:anchor="_bookmark243">
        <w:r>
          <w:rPr>
            <w:color w:val="FF0000"/>
          </w:rPr>
          <w:t>2021</w:t>
        </w:r>
        <w:r>
          <w:rPr/>
          <w:t>).</w:t>
        </w:r>
      </w:hyperlink>
      <w:r>
        <w:rPr>
          <w:spacing w:val="10"/>
        </w:rPr>
        <w:t> </w:t>
      </w:r>
      <w:r>
        <w:rPr/>
        <w:t>Figure</w:t>
      </w:r>
      <w:r>
        <w:rPr>
          <w:spacing w:val="-8"/>
        </w:rPr>
        <w:t> </w:t>
      </w:r>
      <w:r>
        <w:rPr/>
        <w:t>taken</w:t>
      </w:r>
      <w:r>
        <w:rPr>
          <w:spacing w:val="-7"/>
        </w:rPr>
        <w:t> </w:t>
      </w:r>
      <w:r>
        <w:rPr/>
        <w:t>from</w:t>
      </w:r>
      <w:r>
        <w:rPr>
          <w:color w:val="FF0000"/>
        </w:rPr>
        <w:t>Fern</w:t>
      </w:r>
      <w:r>
        <w:rPr>
          <w:color w:val="FF0000"/>
          <w:spacing w:val="67"/>
          <w:w w:val="150"/>
        </w:rPr>
        <w:t> </w:t>
      </w:r>
      <w:hyperlink w:history="true" w:anchor="_bookmark242">
        <w:r>
          <w:rPr>
            <w:color w:val="FF0000"/>
            <w:spacing w:val="-80"/>
          </w:rPr>
          <w:t>a</w:t>
        </w:r>
        <w:r>
          <w:rPr>
            <w:color w:val="FF0000"/>
            <w:spacing w:val="26"/>
          </w:rPr>
          <w:t>´</w:t>
        </w:r>
        <w:r>
          <w:rPr>
            <w:color w:val="FF0000"/>
            <w:spacing w:val="13"/>
          </w:rPr>
          <w:t>ndez</w:t>
        </w:r>
        <w:r>
          <w:rPr>
            <w:color w:val="FF0000"/>
            <w:spacing w:val="-8"/>
          </w:rPr>
          <w:t> </w:t>
        </w:r>
        <w:r>
          <w:rPr>
            <w:color w:val="FF0000"/>
          </w:rPr>
          <w:t>et</w:t>
        </w:r>
        <w:r>
          <w:rPr>
            <w:color w:val="FF0000"/>
            <w:spacing w:val="-8"/>
          </w:rPr>
          <w:t> </w:t>
        </w:r>
        <w:r>
          <w:rPr>
            <w:color w:val="FF0000"/>
          </w:rPr>
          <w:t>al.</w:t>
        </w:r>
      </w:hyperlink>
      <w:r>
        <w:rPr/>
        <w:t>(</w:t>
      </w:r>
      <w:hyperlink w:history="true" w:anchor="_bookmark242">
        <w:r>
          <w:rPr>
            <w:color w:val="FF0000"/>
          </w:rPr>
          <w:t>2019</w:t>
        </w:r>
      </w:hyperlink>
      <w:r>
        <w:rPr/>
        <w:t>).</w:t>
      </w:r>
      <w:r>
        <w:rPr>
          <w:spacing w:val="10"/>
        </w:rPr>
        <w:t> </w:t>
      </w:r>
      <w:r>
        <w:rPr/>
        <w:t>EPV</w:t>
      </w:r>
      <w:r>
        <w:rPr>
          <w:spacing w:val="-7"/>
        </w:rPr>
        <w:t> </w:t>
      </w:r>
      <w:r>
        <w:rPr>
          <w:spacing w:val="-4"/>
        </w:rPr>
        <w:t>plot</w:t>
      </w:r>
    </w:p>
    <w:p>
      <w:pPr>
        <w:pStyle w:val="BodyText"/>
        <w:spacing w:line="312" w:lineRule="auto" w:before="82"/>
        <w:ind w:left="1518" w:right="998"/>
        <w:jc w:val="both"/>
      </w:pPr>
      <w:r>
        <w:rPr/>
        <w:t>highlights</w:t>
      </w:r>
      <w:r>
        <w:rPr>
          <w:spacing w:val="-3"/>
        </w:rPr>
        <w:t> </w:t>
      </w:r>
      <w:r>
        <w:rPr/>
        <w:t>three</w:t>
      </w:r>
      <w:r>
        <w:rPr>
          <w:spacing w:val="-3"/>
        </w:rPr>
        <w:t> </w:t>
      </w:r>
      <w:r>
        <w:rPr/>
        <w:t>specific</w:t>
      </w:r>
      <w:r>
        <w:rPr>
          <w:spacing w:val="-3"/>
        </w:rPr>
        <w:t> </w:t>
      </w:r>
      <w:r>
        <w:rPr/>
        <w:t>situations</w:t>
      </w:r>
      <w:r>
        <w:rPr>
          <w:spacing w:val="-3"/>
        </w:rPr>
        <w:t> </w:t>
      </w:r>
      <w:r>
        <w:rPr/>
        <w:t>(A,</w:t>
      </w:r>
      <w:r>
        <w:rPr>
          <w:spacing w:val="-3"/>
        </w:rPr>
        <w:t> </w:t>
      </w:r>
      <w:r>
        <w:rPr/>
        <w:t>B</w:t>
      </w:r>
      <w:r>
        <w:rPr>
          <w:spacing w:val="-3"/>
        </w:rPr>
        <w:t> </w:t>
      </w:r>
      <w:r>
        <w:rPr/>
        <w:t>and</w:t>
      </w:r>
      <w:r>
        <w:rPr>
          <w:spacing w:val="-3"/>
        </w:rPr>
        <w:t> </w:t>
      </w:r>
      <w:r>
        <w:rPr/>
        <w:t>C).</w:t>
      </w:r>
      <w:r>
        <w:rPr>
          <w:spacing w:val="-3"/>
        </w:rPr>
        <w:t> </w:t>
      </w:r>
      <w:r>
        <w:rPr/>
        <w:t>Blue</w:t>
      </w:r>
      <w:r>
        <w:rPr>
          <w:spacing w:val="-3"/>
        </w:rPr>
        <w:t> </w:t>
      </w:r>
      <w:r>
        <w:rPr/>
        <w:t>areas</w:t>
      </w:r>
      <w:r>
        <w:rPr>
          <w:spacing w:val="-3"/>
        </w:rPr>
        <w:t> </w:t>
      </w:r>
      <w:r>
        <w:rPr/>
        <w:t>represent</w:t>
      </w:r>
      <w:r>
        <w:rPr>
          <w:spacing w:val="-3"/>
        </w:rPr>
        <w:t> </w:t>
      </w:r>
      <w:r>
        <w:rPr/>
        <w:t>ar- eas</w:t>
      </w:r>
      <w:r>
        <w:rPr>
          <w:spacing w:val="-14"/>
        </w:rPr>
        <w:t> </w:t>
      </w:r>
      <w:r>
        <w:rPr/>
        <w:t>of</w:t>
      </w:r>
      <w:r>
        <w:rPr>
          <w:spacing w:val="-14"/>
        </w:rPr>
        <w:t> </w:t>
      </w:r>
      <w:r>
        <w:rPr/>
        <w:t>low</w:t>
      </w:r>
      <w:r>
        <w:rPr>
          <w:spacing w:val="-15"/>
        </w:rPr>
        <w:t> </w:t>
      </w:r>
      <w:r>
        <w:rPr/>
        <w:t>EPV,</w:t>
      </w:r>
      <w:r>
        <w:rPr>
          <w:spacing w:val="-14"/>
        </w:rPr>
        <w:t> </w:t>
      </w:r>
      <w:r>
        <w:rPr/>
        <w:t>red</w:t>
      </w:r>
      <w:r>
        <w:rPr>
          <w:spacing w:val="-14"/>
        </w:rPr>
        <w:t> </w:t>
      </w:r>
      <w:r>
        <w:rPr/>
        <w:t>areas</w:t>
      </w:r>
      <w:r>
        <w:rPr>
          <w:spacing w:val="-14"/>
        </w:rPr>
        <w:t> </w:t>
      </w:r>
      <w:r>
        <w:rPr/>
        <w:t>represent</w:t>
      </w:r>
      <w:r>
        <w:rPr>
          <w:spacing w:val="-14"/>
        </w:rPr>
        <w:t> </w:t>
      </w:r>
      <w:r>
        <w:rPr/>
        <w:t>high</w:t>
      </w:r>
      <w:r>
        <w:rPr>
          <w:spacing w:val="-14"/>
        </w:rPr>
        <w:t> </w:t>
      </w:r>
      <w:r>
        <w:rPr/>
        <w:t>EPV.</w:t>
      </w:r>
      <w:r>
        <w:rPr>
          <w:spacing w:val="-14"/>
        </w:rPr>
        <w:t> </w:t>
      </w:r>
      <w:r>
        <w:rPr/>
        <w:t>Blue</w:t>
      </w:r>
      <w:r>
        <w:rPr>
          <w:spacing w:val="-14"/>
        </w:rPr>
        <w:t> </w:t>
      </w:r>
      <w:r>
        <w:rPr/>
        <w:t>arrows</w:t>
      </w:r>
      <w:r>
        <w:rPr>
          <w:spacing w:val="-14"/>
        </w:rPr>
        <w:t> </w:t>
      </w:r>
      <w:r>
        <w:rPr/>
        <w:t>represent</w:t>
      </w:r>
      <w:r>
        <w:rPr>
          <w:spacing w:val="-14"/>
        </w:rPr>
        <w:t> </w:t>
      </w:r>
      <w:r>
        <w:rPr/>
        <w:t>pass chosen</w:t>
      </w:r>
      <w:r>
        <w:rPr>
          <w:spacing w:val="-11"/>
        </w:rPr>
        <w:t> </w:t>
      </w:r>
      <w:r>
        <w:rPr/>
        <w:t>by</w:t>
      </w:r>
      <w:r>
        <w:rPr>
          <w:spacing w:val="-11"/>
        </w:rPr>
        <w:t> </w:t>
      </w:r>
      <w:r>
        <w:rPr/>
        <w:t>the</w:t>
      </w:r>
      <w:r>
        <w:rPr>
          <w:spacing w:val="-11"/>
        </w:rPr>
        <w:t> </w:t>
      </w:r>
      <w:r>
        <w:rPr/>
        <w:t>player,</w:t>
      </w:r>
      <w:r>
        <w:rPr>
          <w:spacing w:val="-10"/>
        </w:rPr>
        <w:t> </w:t>
      </w:r>
      <w:r>
        <w:rPr/>
        <w:t>green</w:t>
      </w:r>
      <w:r>
        <w:rPr>
          <w:spacing w:val="-11"/>
        </w:rPr>
        <w:t> </w:t>
      </w:r>
      <w:r>
        <w:rPr/>
        <w:t>arrows</w:t>
      </w:r>
      <w:r>
        <w:rPr>
          <w:spacing w:val="-11"/>
        </w:rPr>
        <w:t> </w:t>
      </w:r>
      <w:r>
        <w:rPr/>
        <w:t>represent</w:t>
      </w:r>
      <w:r>
        <w:rPr>
          <w:spacing w:val="-11"/>
        </w:rPr>
        <w:t> </w:t>
      </w:r>
      <w:r>
        <w:rPr/>
        <w:t>best</w:t>
      </w:r>
      <w:r>
        <w:rPr>
          <w:spacing w:val="-11"/>
        </w:rPr>
        <w:t> </w:t>
      </w:r>
      <w:r>
        <w:rPr/>
        <w:t>possible</w:t>
      </w:r>
      <w:r>
        <w:rPr>
          <w:spacing w:val="-11"/>
        </w:rPr>
        <w:t> </w:t>
      </w:r>
      <w:r>
        <w:rPr/>
        <w:t>pass</w:t>
      </w:r>
      <w:r>
        <w:rPr>
          <w:spacing w:val="-11"/>
        </w:rPr>
        <w:t> </w:t>
      </w:r>
      <w:r>
        <w:rPr/>
        <w:t>according to</w:t>
      </w:r>
      <w:r>
        <w:rPr>
          <w:spacing w:val="-7"/>
        </w:rPr>
        <w:t> </w:t>
      </w:r>
      <w:r>
        <w:rPr/>
        <w:t>the</w:t>
      </w:r>
      <w:r>
        <w:rPr>
          <w:spacing w:val="-6"/>
        </w:rPr>
        <w:t> </w:t>
      </w:r>
      <w:r>
        <w:rPr/>
        <w:t>model.</w:t>
      </w:r>
      <w:r>
        <w:rPr>
          <w:spacing w:val="11"/>
        </w:rPr>
        <w:t> </w:t>
      </w:r>
      <w:r>
        <w:rPr/>
        <w:t>Yellow</w:t>
      </w:r>
      <w:r>
        <w:rPr>
          <w:spacing w:val="-6"/>
        </w:rPr>
        <w:t> </w:t>
      </w:r>
      <w:r>
        <w:rPr/>
        <w:t>dots</w:t>
      </w:r>
      <w:r>
        <w:rPr>
          <w:spacing w:val="-7"/>
        </w:rPr>
        <w:t> </w:t>
      </w:r>
      <w:r>
        <w:rPr/>
        <w:t>represent</w:t>
      </w:r>
      <w:r>
        <w:rPr>
          <w:spacing w:val="-6"/>
        </w:rPr>
        <w:t> </w:t>
      </w:r>
      <w:r>
        <w:rPr/>
        <w:t>players</w:t>
      </w:r>
      <w:r>
        <w:rPr>
          <w:spacing w:val="-6"/>
        </w:rPr>
        <w:t> </w:t>
      </w:r>
      <w:r>
        <w:rPr/>
        <w:t>on</w:t>
      </w:r>
      <w:r>
        <w:rPr>
          <w:spacing w:val="-6"/>
        </w:rPr>
        <w:t> </w:t>
      </w:r>
      <w:r>
        <w:rPr/>
        <w:t>the</w:t>
      </w:r>
      <w:r>
        <w:rPr>
          <w:spacing w:val="-6"/>
        </w:rPr>
        <w:t> </w:t>
      </w:r>
      <w:r>
        <w:rPr/>
        <w:t>attacking</w:t>
      </w:r>
      <w:r>
        <w:rPr>
          <w:spacing w:val="-7"/>
        </w:rPr>
        <w:t> </w:t>
      </w:r>
      <w:r>
        <w:rPr/>
        <w:t>team</w:t>
      </w:r>
      <w:r>
        <w:rPr>
          <w:spacing w:val="-6"/>
        </w:rPr>
        <w:t> </w:t>
      </w:r>
      <w:r>
        <w:rPr/>
        <w:t>(i.e.</w:t>
      </w:r>
      <w:r>
        <w:rPr>
          <w:spacing w:val="11"/>
        </w:rPr>
        <w:t> </w:t>
      </w:r>
      <w:r>
        <w:rPr>
          <w:spacing w:val="-5"/>
        </w:rPr>
        <w:t>in</w:t>
      </w:r>
    </w:p>
    <w:p>
      <w:pPr>
        <w:pStyle w:val="BodyText"/>
        <w:tabs>
          <w:tab w:pos="8620" w:val="left" w:leader="dot"/>
        </w:tabs>
        <w:spacing w:line="275" w:lineRule="exact"/>
        <w:ind w:left="1518"/>
        <w:jc w:val="both"/>
      </w:pPr>
      <w:r>
        <w:rPr/>
        <w:t>possession),</w:t>
      </w:r>
      <w:r>
        <w:rPr>
          <w:spacing w:val="-9"/>
        </w:rPr>
        <w:t> </w:t>
      </w:r>
      <w:r>
        <w:rPr/>
        <w:t>blue</w:t>
      </w:r>
      <w:r>
        <w:rPr>
          <w:spacing w:val="-9"/>
        </w:rPr>
        <w:t> </w:t>
      </w:r>
      <w:r>
        <w:rPr/>
        <w:t>dots</w:t>
      </w:r>
      <w:r>
        <w:rPr>
          <w:spacing w:val="-8"/>
        </w:rPr>
        <w:t> </w:t>
      </w:r>
      <w:r>
        <w:rPr/>
        <w:t>represent</w:t>
      </w:r>
      <w:r>
        <w:rPr>
          <w:spacing w:val="-9"/>
        </w:rPr>
        <w:t> </w:t>
      </w:r>
      <w:r>
        <w:rPr/>
        <w:t>defending</w:t>
      </w:r>
      <w:r>
        <w:rPr>
          <w:spacing w:val="-9"/>
        </w:rPr>
        <w:t> </w:t>
      </w:r>
      <w:r>
        <w:rPr>
          <w:spacing w:val="-2"/>
        </w:rPr>
        <w:t>team.</w:t>
      </w:r>
      <w:r>
        <w:rPr/>
        <w:tab/>
      </w:r>
      <w:r>
        <w:rPr>
          <w:color w:val="0000FF"/>
          <w:spacing w:val="-5"/>
        </w:rPr>
        <w:t>27</w:t>
      </w:r>
    </w:p>
    <w:p>
      <w:pPr>
        <w:pStyle w:val="ListParagraph"/>
        <w:numPr>
          <w:ilvl w:val="1"/>
          <w:numId w:val="4"/>
        </w:numPr>
        <w:tabs>
          <w:tab w:pos="1269" w:val="left" w:leader="none"/>
          <w:tab w:pos="1957" w:val="left" w:leader="none"/>
        </w:tabs>
        <w:spacing w:line="240" w:lineRule="auto" w:before="83" w:after="0"/>
        <w:ind w:left="1268" w:right="0" w:hanging="300"/>
        <w:jc w:val="left"/>
        <w:rPr>
          <w:sz w:val="24"/>
        </w:rPr>
      </w:pPr>
      <w:r>
        <w:rPr>
          <w:color w:val="FF0000"/>
          <w:spacing w:val="-4"/>
          <w:sz w:val="24"/>
        </w:rPr>
        <w:t>Fern</w:t>
      </w:r>
      <w:r>
        <w:rPr>
          <w:color w:val="FF0000"/>
          <w:sz w:val="24"/>
        </w:rPr>
        <w:tab/>
      </w:r>
      <w:hyperlink w:history="true" w:anchor="_bookmark243">
        <w:r>
          <w:rPr>
            <w:color w:val="FF0000"/>
            <w:spacing w:val="-80"/>
            <w:sz w:val="24"/>
          </w:rPr>
          <w:t>a</w:t>
        </w:r>
        <w:r>
          <w:rPr>
            <w:color w:val="FF0000"/>
            <w:spacing w:val="26"/>
            <w:sz w:val="24"/>
          </w:rPr>
          <w:t>´</w:t>
        </w:r>
        <w:r>
          <w:rPr>
            <w:color w:val="FF0000"/>
            <w:spacing w:val="13"/>
            <w:sz w:val="24"/>
          </w:rPr>
          <w:t>ndez</w:t>
        </w:r>
        <w:r>
          <w:rPr>
            <w:color w:val="FF0000"/>
            <w:spacing w:val="11"/>
            <w:sz w:val="24"/>
          </w:rPr>
          <w:t> </w:t>
        </w:r>
        <w:r>
          <w:rPr>
            <w:color w:val="FF0000"/>
            <w:sz w:val="24"/>
          </w:rPr>
          <w:t>et</w:t>
        </w:r>
        <w:r>
          <w:rPr>
            <w:color w:val="FF0000"/>
            <w:spacing w:val="11"/>
            <w:sz w:val="24"/>
          </w:rPr>
          <w:t> </w:t>
        </w:r>
        <w:r>
          <w:rPr>
            <w:color w:val="FF0000"/>
            <w:sz w:val="24"/>
          </w:rPr>
          <w:t>al.</w:t>
        </w:r>
      </w:hyperlink>
      <w:r>
        <w:rPr>
          <w:sz w:val="24"/>
        </w:rPr>
        <w:t>(</w:t>
      </w:r>
      <w:hyperlink w:history="true" w:anchor="_bookmark243">
        <w:r>
          <w:rPr>
            <w:color w:val="FF0000"/>
            <w:sz w:val="24"/>
          </w:rPr>
          <w:t>2021</w:t>
        </w:r>
        <w:r>
          <w:rPr>
            <w:sz w:val="24"/>
          </w:rPr>
          <w:t>)</w:t>
        </w:r>
      </w:hyperlink>
      <w:r>
        <w:rPr>
          <w:spacing w:val="12"/>
          <w:sz w:val="24"/>
        </w:rPr>
        <w:t> </w:t>
      </w:r>
      <w:r>
        <w:rPr>
          <w:sz w:val="24"/>
        </w:rPr>
        <w:t>evaluation</w:t>
      </w:r>
      <w:r>
        <w:rPr>
          <w:spacing w:val="11"/>
          <w:sz w:val="24"/>
        </w:rPr>
        <w:t> </w:t>
      </w:r>
      <w:r>
        <w:rPr>
          <w:sz w:val="24"/>
        </w:rPr>
        <w:t>of</w:t>
      </w:r>
      <w:r>
        <w:rPr>
          <w:spacing w:val="12"/>
          <w:sz w:val="24"/>
        </w:rPr>
        <w:t> </w:t>
      </w:r>
      <w:r>
        <w:rPr>
          <w:sz w:val="24"/>
        </w:rPr>
        <w:t>single</w:t>
      </w:r>
      <w:r>
        <w:rPr>
          <w:spacing w:val="11"/>
          <w:sz w:val="24"/>
        </w:rPr>
        <w:t> </w:t>
      </w:r>
      <w:r>
        <w:rPr>
          <w:sz w:val="24"/>
        </w:rPr>
        <w:t>player’s</w:t>
      </w:r>
      <w:r>
        <w:rPr>
          <w:spacing w:val="12"/>
          <w:sz w:val="24"/>
        </w:rPr>
        <w:t> </w:t>
      </w:r>
      <w:r>
        <w:rPr>
          <w:sz w:val="24"/>
        </w:rPr>
        <w:t>EPV</w:t>
      </w:r>
      <w:r>
        <w:rPr>
          <w:spacing w:val="11"/>
          <w:sz w:val="24"/>
        </w:rPr>
        <w:t> </w:t>
      </w:r>
      <w:r>
        <w:rPr>
          <w:sz w:val="24"/>
        </w:rPr>
        <w:t>added</w:t>
      </w:r>
      <w:r>
        <w:rPr>
          <w:spacing w:val="12"/>
          <w:sz w:val="24"/>
        </w:rPr>
        <w:t> </w:t>
      </w:r>
      <w:r>
        <w:rPr>
          <w:spacing w:val="-4"/>
          <w:sz w:val="24"/>
        </w:rPr>
        <w:t>when</w:t>
      </w:r>
    </w:p>
    <w:p>
      <w:pPr>
        <w:pStyle w:val="BodyText"/>
        <w:spacing w:line="312" w:lineRule="auto" w:before="82"/>
        <w:ind w:left="1518" w:right="998"/>
        <w:jc w:val="both"/>
      </w:pPr>
      <w:r>
        <w:rPr/>
        <w:t>passing (left) and receiving (right) passes from different players.</w:t>
      </w:r>
      <w:r>
        <w:rPr>
          <w:spacing w:val="40"/>
        </w:rPr>
        <w:t> </w:t>
      </w:r>
      <w:r>
        <w:rPr/>
        <w:t>Plot shows probability of passes being selected by size of player circle and </w:t>
      </w:r>
      <w:r>
        <w:rPr>
          <w:spacing w:val="-2"/>
        </w:rPr>
        <w:t>value</w:t>
      </w:r>
      <w:r>
        <w:rPr>
          <w:spacing w:val="-11"/>
        </w:rPr>
        <w:t> </w:t>
      </w:r>
      <w:r>
        <w:rPr>
          <w:spacing w:val="-2"/>
        </w:rPr>
        <w:t>of</w:t>
      </w:r>
      <w:r>
        <w:rPr>
          <w:spacing w:val="-11"/>
        </w:rPr>
        <w:t> </w:t>
      </w:r>
      <w:r>
        <w:rPr>
          <w:spacing w:val="-2"/>
        </w:rPr>
        <w:t>pass</w:t>
      </w:r>
      <w:r>
        <w:rPr>
          <w:spacing w:val="-11"/>
        </w:rPr>
        <w:t> </w:t>
      </w:r>
      <w:r>
        <w:rPr>
          <w:spacing w:val="-2"/>
        </w:rPr>
        <w:t>through</w:t>
      </w:r>
      <w:r>
        <w:rPr>
          <w:spacing w:val="-11"/>
        </w:rPr>
        <w:t> </w:t>
      </w:r>
      <w:r>
        <w:rPr>
          <w:spacing w:val="-2"/>
        </w:rPr>
        <w:t>the</w:t>
      </w:r>
      <w:r>
        <w:rPr>
          <w:spacing w:val="-11"/>
        </w:rPr>
        <w:t> </w:t>
      </w:r>
      <w:r>
        <w:rPr>
          <w:spacing w:val="-2"/>
        </w:rPr>
        <w:t>arrow</w:t>
      </w:r>
      <w:r>
        <w:rPr>
          <w:spacing w:val="-12"/>
        </w:rPr>
        <w:t> </w:t>
      </w:r>
      <w:r>
        <w:rPr>
          <w:spacing w:val="-2"/>
        </w:rPr>
        <w:t>size</w:t>
      </w:r>
      <w:r>
        <w:rPr>
          <w:spacing w:val="-11"/>
        </w:rPr>
        <w:t> </w:t>
      </w:r>
      <w:r>
        <w:rPr>
          <w:spacing w:val="-2"/>
        </w:rPr>
        <w:t>and</w:t>
      </w:r>
      <w:r>
        <w:rPr>
          <w:spacing w:val="-11"/>
        </w:rPr>
        <w:t> </w:t>
      </w:r>
      <w:r>
        <w:rPr>
          <w:spacing w:val="-2"/>
        </w:rPr>
        <w:t>colour.</w:t>
      </w:r>
      <w:r>
        <w:rPr>
          <w:spacing w:val="14"/>
        </w:rPr>
        <w:t> </w:t>
      </w:r>
      <w:r>
        <w:rPr>
          <w:spacing w:val="-2"/>
        </w:rPr>
        <w:t>Metrics</w:t>
      </w:r>
      <w:r>
        <w:rPr>
          <w:spacing w:val="-12"/>
        </w:rPr>
        <w:t> </w:t>
      </w:r>
      <w:r>
        <w:rPr>
          <w:spacing w:val="-2"/>
        </w:rPr>
        <w:t>are</w:t>
      </w:r>
      <w:r>
        <w:rPr>
          <w:spacing w:val="-11"/>
        </w:rPr>
        <w:t> </w:t>
      </w:r>
      <w:r>
        <w:rPr>
          <w:spacing w:val="-2"/>
        </w:rPr>
        <w:t>normalised</w:t>
      </w:r>
      <w:r>
        <w:rPr>
          <w:spacing w:val="-11"/>
        </w:rPr>
        <w:t> </w:t>
      </w:r>
      <w:r>
        <w:rPr>
          <w:spacing w:val="-2"/>
        </w:rPr>
        <w:t>by </w:t>
      </w:r>
      <w:r>
        <w:rPr/>
        <w:t>the</w:t>
      </w:r>
      <w:r>
        <w:rPr>
          <w:spacing w:val="-11"/>
        </w:rPr>
        <w:t> </w:t>
      </w:r>
      <w:r>
        <w:rPr/>
        <w:t>minutes</w:t>
      </w:r>
      <w:r>
        <w:rPr>
          <w:spacing w:val="-10"/>
        </w:rPr>
        <w:t> </w:t>
      </w:r>
      <w:r>
        <w:rPr/>
        <w:t>the</w:t>
      </w:r>
      <w:r>
        <w:rPr>
          <w:spacing w:val="-11"/>
        </w:rPr>
        <w:t> </w:t>
      </w:r>
      <w:r>
        <w:rPr/>
        <w:t>two</w:t>
      </w:r>
      <w:r>
        <w:rPr>
          <w:spacing w:val="-10"/>
        </w:rPr>
        <w:t> </w:t>
      </w:r>
      <w:r>
        <w:rPr/>
        <w:t>players</w:t>
      </w:r>
      <w:r>
        <w:rPr>
          <w:spacing w:val="-11"/>
        </w:rPr>
        <w:t> </w:t>
      </w:r>
      <w:r>
        <w:rPr/>
        <w:t>played</w:t>
      </w:r>
      <w:r>
        <w:rPr>
          <w:spacing w:val="-10"/>
        </w:rPr>
        <w:t> </w:t>
      </w:r>
      <w:r>
        <w:rPr/>
        <w:t>together</w:t>
      </w:r>
      <w:r>
        <w:rPr>
          <w:spacing w:val="-11"/>
        </w:rPr>
        <w:t> </w:t>
      </w:r>
      <w:r>
        <w:rPr/>
        <w:t>and</w:t>
      </w:r>
      <w:r>
        <w:rPr>
          <w:spacing w:val="-10"/>
        </w:rPr>
        <w:t> </w:t>
      </w:r>
      <w:r>
        <w:rPr/>
        <w:t>multiplied</w:t>
      </w:r>
      <w:r>
        <w:rPr>
          <w:spacing w:val="-11"/>
        </w:rPr>
        <w:t> </w:t>
      </w:r>
      <w:r>
        <w:rPr/>
        <w:t>by</w:t>
      </w:r>
      <w:r>
        <w:rPr>
          <w:spacing w:val="-10"/>
        </w:rPr>
        <w:t> </w:t>
      </w:r>
      <w:r>
        <w:rPr/>
        <w:t>90</w:t>
      </w:r>
      <w:r>
        <w:rPr>
          <w:spacing w:val="-11"/>
        </w:rPr>
        <w:t> </w:t>
      </w:r>
      <w:r>
        <w:rPr>
          <w:spacing w:val="-2"/>
        </w:rPr>
        <w:t>minutes</w:t>
      </w:r>
    </w:p>
    <w:p>
      <w:pPr>
        <w:pStyle w:val="BodyText"/>
        <w:tabs>
          <w:tab w:pos="8620" w:val="left" w:leader="dot"/>
        </w:tabs>
        <w:spacing w:line="275" w:lineRule="exact"/>
        <w:ind w:left="1518"/>
        <w:jc w:val="both"/>
      </w:pPr>
      <w:r>
        <w:rPr/>
        <w:t>to</w:t>
      </w:r>
      <w:r>
        <w:rPr>
          <w:spacing w:val="-7"/>
        </w:rPr>
        <w:t> </w:t>
      </w:r>
      <w:r>
        <w:rPr/>
        <w:t>provide</w:t>
      </w:r>
      <w:r>
        <w:rPr>
          <w:spacing w:val="-6"/>
        </w:rPr>
        <w:t> </w:t>
      </w:r>
      <w:r>
        <w:rPr/>
        <w:t>a</w:t>
      </w:r>
      <w:r>
        <w:rPr>
          <w:spacing w:val="-6"/>
        </w:rPr>
        <w:t> </w:t>
      </w:r>
      <w:r>
        <w:rPr/>
        <w:t>match</w:t>
      </w:r>
      <w:r>
        <w:rPr>
          <w:spacing w:val="-6"/>
        </w:rPr>
        <w:t> </w:t>
      </w:r>
      <w:r>
        <w:rPr>
          <w:spacing w:val="-2"/>
        </w:rPr>
        <w:t>value.</w:t>
      </w:r>
      <w:r>
        <w:rPr/>
        <w:tab/>
      </w:r>
      <w:r>
        <w:rPr>
          <w:color w:val="0000FF"/>
          <w:spacing w:val="-5"/>
        </w:rPr>
        <w:t>28</w:t>
      </w:r>
    </w:p>
    <w:p>
      <w:pPr>
        <w:pStyle w:val="ListParagraph"/>
        <w:numPr>
          <w:ilvl w:val="1"/>
          <w:numId w:val="4"/>
        </w:numPr>
        <w:tabs>
          <w:tab w:pos="1269" w:val="left" w:leader="none"/>
          <w:tab w:pos="1957" w:val="left" w:leader="none"/>
        </w:tabs>
        <w:spacing w:line="240" w:lineRule="auto" w:before="83" w:after="0"/>
        <w:ind w:left="1268" w:right="0" w:hanging="300"/>
        <w:jc w:val="left"/>
        <w:rPr>
          <w:sz w:val="24"/>
        </w:rPr>
      </w:pPr>
      <w:r>
        <w:rPr>
          <w:color w:val="FF0000"/>
          <w:spacing w:val="-4"/>
          <w:sz w:val="24"/>
        </w:rPr>
        <w:t>Fern</w:t>
      </w:r>
      <w:r>
        <w:rPr>
          <w:color w:val="FF0000"/>
          <w:sz w:val="24"/>
        </w:rPr>
        <w:tab/>
      </w:r>
      <w:hyperlink w:history="true" w:anchor="_bookmark243">
        <w:r>
          <w:rPr>
            <w:color w:val="FF0000"/>
            <w:spacing w:val="-80"/>
            <w:sz w:val="24"/>
          </w:rPr>
          <w:t>a</w:t>
        </w:r>
        <w:r>
          <w:rPr>
            <w:color w:val="FF0000"/>
            <w:spacing w:val="26"/>
            <w:sz w:val="24"/>
          </w:rPr>
          <w:t>´</w:t>
        </w:r>
        <w:r>
          <w:rPr>
            <w:color w:val="FF0000"/>
            <w:spacing w:val="13"/>
            <w:sz w:val="24"/>
          </w:rPr>
          <w:t>ndez</w:t>
        </w:r>
        <w:r>
          <w:rPr>
            <w:color w:val="FF0000"/>
            <w:spacing w:val="5"/>
            <w:sz w:val="24"/>
          </w:rPr>
          <w:t> </w:t>
        </w:r>
        <w:r>
          <w:rPr>
            <w:color w:val="FF0000"/>
            <w:sz w:val="24"/>
          </w:rPr>
          <w:t>et</w:t>
        </w:r>
        <w:r>
          <w:rPr>
            <w:color w:val="FF0000"/>
            <w:spacing w:val="5"/>
            <w:sz w:val="24"/>
          </w:rPr>
          <w:t> </w:t>
        </w:r>
        <w:r>
          <w:rPr>
            <w:color w:val="FF0000"/>
            <w:sz w:val="24"/>
          </w:rPr>
          <w:t>al.</w:t>
        </w:r>
      </w:hyperlink>
      <w:r>
        <w:rPr>
          <w:sz w:val="24"/>
        </w:rPr>
        <w:t>(</w:t>
      </w:r>
      <w:hyperlink w:history="true" w:anchor="_bookmark243">
        <w:r>
          <w:rPr>
            <w:color w:val="FF0000"/>
            <w:sz w:val="24"/>
          </w:rPr>
          <w:t>2021</w:t>
        </w:r>
        <w:r>
          <w:rPr>
            <w:sz w:val="24"/>
          </w:rPr>
          <w:t>)</w:t>
        </w:r>
      </w:hyperlink>
      <w:r>
        <w:rPr>
          <w:spacing w:val="5"/>
          <w:sz w:val="24"/>
        </w:rPr>
        <w:t> </w:t>
      </w:r>
      <w:r>
        <w:rPr>
          <w:sz w:val="24"/>
        </w:rPr>
        <w:t>plot</w:t>
      </w:r>
      <w:r>
        <w:rPr>
          <w:spacing w:val="5"/>
          <w:sz w:val="24"/>
        </w:rPr>
        <w:t> </w:t>
      </w:r>
      <w:r>
        <w:rPr>
          <w:sz w:val="24"/>
        </w:rPr>
        <w:t>identifying</w:t>
      </w:r>
      <w:r>
        <w:rPr>
          <w:spacing w:val="6"/>
          <w:sz w:val="24"/>
        </w:rPr>
        <w:t> </w:t>
      </w:r>
      <w:r>
        <w:rPr>
          <w:sz w:val="24"/>
        </w:rPr>
        <w:t>the</w:t>
      </w:r>
      <w:r>
        <w:rPr>
          <w:spacing w:val="4"/>
          <w:sz w:val="24"/>
        </w:rPr>
        <w:t> </w:t>
      </w:r>
      <w:r>
        <w:rPr>
          <w:sz w:val="24"/>
        </w:rPr>
        <w:t>EPV</w:t>
      </w:r>
      <w:r>
        <w:rPr>
          <w:spacing w:val="6"/>
          <w:sz w:val="24"/>
        </w:rPr>
        <w:t> </w:t>
      </w:r>
      <w:r>
        <w:rPr>
          <w:sz w:val="24"/>
        </w:rPr>
        <w:t>generated</w:t>
      </w:r>
      <w:r>
        <w:rPr>
          <w:spacing w:val="5"/>
          <w:sz w:val="24"/>
        </w:rPr>
        <w:t> </w:t>
      </w:r>
      <w:r>
        <w:rPr>
          <w:sz w:val="24"/>
        </w:rPr>
        <w:t>by</w:t>
      </w:r>
      <w:r>
        <w:rPr>
          <w:spacing w:val="5"/>
          <w:sz w:val="24"/>
        </w:rPr>
        <w:t> </w:t>
      </w:r>
      <w:r>
        <w:rPr>
          <w:sz w:val="24"/>
        </w:rPr>
        <w:t>teams</w:t>
      </w:r>
      <w:r>
        <w:rPr>
          <w:spacing w:val="6"/>
          <w:sz w:val="24"/>
        </w:rPr>
        <w:t> </w:t>
      </w:r>
      <w:r>
        <w:rPr>
          <w:spacing w:val="-5"/>
          <w:sz w:val="24"/>
        </w:rPr>
        <w:t>in</w:t>
      </w:r>
    </w:p>
    <w:p>
      <w:pPr>
        <w:pStyle w:val="BodyText"/>
        <w:spacing w:before="82"/>
        <w:ind w:left="1518"/>
      </w:pPr>
      <w:r>
        <w:rPr/>
        <w:t>different</w:t>
      </w:r>
      <w:r>
        <w:rPr>
          <w:spacing w:val="3"/>
        </w:rPr>
        <w:t> </w:t>
      </w:r>
      <w:r>
        <w:rPr/>
        <w:t>formations</w:t>
      </w:r>
      <w:r>
        <w:rPr>
          <w:spacing w:val="4"/>
        </w:rPr>
        <w:t> </w:t>
      </w:r>
      <w:r>
        <w:rPr/>
        <w:t>against</w:t>
      </w:r>
      <w:r>
        <w:rPr>
          <w:spacing w:val="4"/>
        </w:rPr>
        <w:t> </w:t>
      </w:r>
      <w:r>
        <w:rPr/>
        <w:t>a</w:t>
      </w:r>
      <w:r>
        <w:rPr>
          <w:spacing w:val="4"/>
        </w:rPr>
        <w:t> </w:t>
      </w:r>
      <w:r>
        <w:rPr/>
        <w:t>specific</w:t>
      </w:r>
      <w:r>
        <w:rPr>
          <w:spacing w:val="4"/>
        </w:rPr>
        <w:t> </w:t>
      </w:r>
      <w:r>
        <w:rPr/>
        <w:t>team.</w:t>
      </w:r>
      <w:r>
        <w:rPr>
          <w:spacing w:val="40"/>
        </w:rPr>
        <w:t> </w:t>
      </w:r>
      <w:r>
        <w:rPr/>
        <w:t>The</w:t>
      </w:r>
      <w:r>
        <w:rPr>
          <w:spacing w:val="4"/>
        </w:rPr>
        <w:t> </w:t>
      </w:r>
      <w:r>
        <w:rPr/>
        <w:t>green</w:t>
      </w:r>
      <w:r>
        <w:rPr>
          <w:spacing w:val="4"/>
        </w:rPr>
        <w:t> </w:t>
      </w:r>
      <w:r>
        <w:rPr/>
        <w:t>circle</w:t>
      </w:r>
      <w:r>
        <w:rPr>
          <w:spacing w:val="4"/>
        </w:rPr>
        <w:t> </w:t>
      </w:r>
      <w:r>
        <w:rPr>
          <w:spacing w:val="-2"/>
        </w:rPr>
        <w:t>represents</w:t>
      </w:r>
    </w:p>
    <w:p>
      <w:pPr>
        <w:pStyle w:val="BodyText"/>
        <w:tabs>
          <w:tab w:pos="8620" w:val="left" w:leader="dot"/>
        </w:tabs>
        <w:spacing w:before="83"/>
        <w:ind w:left="1518"/>
      </w:pPr>
      <w:r>
        <w:rPr/>
        <w:t>the</w:t>
      </w:r>
      <w:r>
        <w:rPr>
          <w:spacing w:val="-5"/>
        </w:rPr>
        <w:t> </w:t>
      </w:r>
      <w:r>
        <w:rPr/>
        <w:t>ball</w:t>
      </w:r>
      <w:r>
        <w:rPr>
          <w:spacing w:val="-4"/>
        </w:rPr>
        <w:t> </w:t>
      </w:r>
      <w:r>
        <w:rPr>
          <w:spacing w:val="-2"/>
        </w:rPr>
        <w:t>location.</w:t>
      </w:r>
      <w:r>
        <w:rPr/>
        <w:tab/>
      </w:r>
      <w:r>
        <w:rPr>
          <w:color w:val="0000FF"/>
          <w:spacing w:val="-5"/>
        </w:rPr>
        <w:t>29</w:t>
      </w:r>
    </w:p>
    <w:p>
      <w:pPr>
        <w:pStyle w:val="ListParagraph"/>
        <w:numPr>
          <w:ilvl w:val="1"/>
          <w:numId w:val="4"/>
        </w:numPr>
        <w:tabs>
          <w:tab w:pos="1389" w:val="left" w:leader="none"/>
          <w:tab w:pos="8620" w:val="left" w:leader="dot"/>
        </w:tabs>
        <w:spacing w:line="312" w:lineRule="auto" w:before="83" w:after="0"/>
        <w:ind w:left="1518" w:right="644" w:hanging="550"/>
        <w:jc w:val="left"/>
        <w:rPr>
          <w:sz w:val="24"/>
        </w:rPr>
      </w:pPr>
      <w:hyperlink w:history="true" w:anchor="_bookmark239">
        <w:r>
          <w:rPr>
            <w:color w:val="FF0000"/>
            <w:sz w:val="24"/>
          </w:rPr>
          <w:t>Decroos et al.</w:t>
        </w:r>
        <w:r>
          <w:rPr>
            <w:sz w:val="24"/>
          </w:rPr>
          <w:t>(</w:t>
        </w:r>
      </w:hyperlink>
      <w:r>
        <w:rPr>
          <w:color w:val="FF0000"/>
          <w:sz w:val="24"/>
        </w:rPr>
        <w:t>2019</w:t>
      </w:r>
      <w:hyperlink w:history="true" w:anchor="_bookmark239">
        <w:r>
          <w:rPr>
            <w:sz w:val="24"/>
          </w:rPr>
          <w:t>)</w:t>
        </w:r>
      </w:hyperlink>
      <w:r>
        <w:rPr>
          <w:sz w:val="24"/>
        </w:rPr>
        <w:t> plot of VAEP for different actions.</w:t>
      </w:r>
      <w:r>
        <w:rPr>
          <w:spacing w:val="40"/>
          <w:sz w:val="24"/>
        </w:rPr>
        <w:t> </w:t>
      </w:r>
      <w:r>
        <w:rPr>
          <w:sz w:val="24"/>
        </w:rPr>
        <w:t>Plot shows an overview of the total contribution per 90 minutes for different types of actions for different players in the 2016/17 (a) and 2017/18 (b) seasons.</w:t>
      </w:r>
      <w:r>
        <w:rPr>
          <w:sz w:val="24"/>
        </w:rPr>
        <w:tab/>
      </w:r>
      <w:r>
        <w:rPr>
          <w:color w:val="0000FF"/>
          <w:spacing w:val="-6"/>
          <w:sz w:val="24"/>
        </w:rPr>
        <w:t>2</w:t>
      </w:r>
      <w:r>
        <w:rPr>
          <w:color w:val="0000FF"/>
          <w:spacing w:val="-6"/>
          <w:sz w:val="24"/>
        </w:rPr>
        <w:t>9</w:t>
      </w:r>
    </w:p>
    <w:p>
      <w:pPr>
        <w:spacing w:after="0" w:line="312" w:lineRule="auto"/>
        <w:jc w:val="left"/>
        <w:rPr>
          <w:sz w:val="24"/>
        </w:rPr>
        <w:sectPr>
          <w:headerReference w:type="default" r:id="rId10"/>
          <w:footerReference w:type="default" r:id="rId11"/>
          <w:pgSz w:w="11910" w:h="16840"/>
          <w:pgMar w:header="1961" w:footer="1428" w:top="2280" w:bottom="1620" w:left="1680" w:right="720"/>
        </w:sectPr>
      </w:pPr>
    </w:p>
    <w:p>
      <w:pPr>
        <w:pStyle w:val="ListParagraph"/>
        <w:numPr>
          <w:ilvl w:val="1"/>
          <w:numId w:val="4"/>
        </w:numPr>
        <w:tabs>
          <w:tab w:pos="1389" w:val="left" w:leader="none"/>
          <w:tab w:pos="8620" w:val="left" w:leader="dot"/>
        </w:tabs>
        <w:spacing w:line="312" w:lineRule="auto" w:before="572" w:after="0"/>
        <w:ind w:left="1518" w:right="644" w:hanging="550"/>
        <w:jc w:val="left"/>
        <w:rPr>
          <w:sz w:val="24"/>
        </w:rPr>
      </w:pPr>
      <w:hyperlink w:history="true" w:anchor="_bookmark228">
        <w:r>
          <w:rPr>
            <w:color w:val="FF0000"/>
            <w:sz w:val="24"/>
          </w:rPr>
          <w:t>Bransen and Haaren</w:t>
        </w:r>
        <w:r>
          <w:rPr>
            <w:sz w:val="24"/>
          </w:rPr>
          <w:t>(</w:t>
        </w:r>
      </w:hyperlink>
      <w:r>
        <w:rPr>
          <w:color w:val="FF0000"/>
          <w:sz w:val="24"/>
        </w:rPr>
        <w:t>2020</w:t>
      </w:r>
      <w:hyperlink w:history="true" w:anchor="_bookmark228">
        <w:r>
          <w:rPr>
            <w:sz w:val="24"/>
          </w:rPr>
          <w:t>)</w:t>
        </w:r>
      </w:hyperlink>
      <w:r>
        <w:rPr>
          <w:sz w:val="24"/>
        </w:rPr>
        <w:t> joint chemistry plot showing value generated between pairs of players on the same team.</w:t>
      </w:r>
      <w:r>
        <w:rPr>
          <w:spacing w:val="40"/>
          <w:sz w:val="24"/>
        </w:rPr>
        <w:t> </w:t>
      </w:r>
      <w:r>
        <w:rPr>
          <w:sz w:val="24"/>
        </w:rPr>
        <w:t>Green lines represent high</w:t>
      </w:r>
      <w:r>
        <w:rPr>
          <w:spacing w:val="40"/>
          <w:sz w:val="24"/>
        </w:rPr>
        <w:t> </w:t>
      </w:r>
      <w:r>
        <w:rPr>
          <w:sz w:val="24"/>
        </w:rPr>
        <w:t>attacking chemistry links, dark red lines reflect low attacking chemistry </w:t>
      </w:r>
      <w:r>
        <w:rPr>
          <w:spacing w:val="-2"/>
          <w:sz w:val="24"/>
        </w:rPr>
        <w:t>links.</w:t>
      </w:r>
      <w:r>
        <w:rPr>
          <w:sz w:val="24"/>
        </w:rPr>
        <w:tab/>
      </w:r>
      <w:r>
        <w:rPr>
          <w:color w:val="0000FF"/>
          <w:spacing w:val="-6"/>
          <w:sz w:val="24"/>
        </w:rPr>
        <w:t>3</w:t>
      </w:r>
      <w:r>
        <w:rPr>
          <w:color w:val="0000FF"/>
          <w:spacing w:val="-6"/>
          <w:sz w:val="24"/>
        </w:rPr>
        <w:t>0</w:t>
      </w:r>
    </w:p>
    <w:p>
      <w:pPr>
        <w:pStyle w:val="ListParagraph"/>
        <w:numPr>
          <w:ilvl w:val="1"/>
          <w:numId w:val="4"/>
        </w:numPr>
        <w:tabs>
          <w:tab w:pos="1389" w:val="left" w:leader="none"/>
          <w:tab w:pos="8620" w:val="left" w:leader="dot"/>
        </w:tabs>
        <w:spacing w:line="312" w:lineRule="auto" w:before="0" w:after="0"/>
        <w:ind w:left="1518" w:right="644" w:hanging="550"/>
        <w:jc w:val="left"/>
        <w:rPr>
          <w:sz w:val="24"/>
        </w:rPr>
      </w:pPr>
      <w:hyperlink w:history="true" w:anchor="_bookmark287">
        <w:r>
          <w:rPr>
            <w:color w:val="FF0000"/>
            <w:sz w:val="24"/>
          </w:rPr>
          <w:t>Routley and Schulte</w:t>
        </w:r>
        <w:r>
          <w:rPr>
            <w:sz w:val="24"/>
          </w:rPr>
          <w:t>(</w:t>
        </w:r>
      </w:hyperlink>
      <w:r>
        <w:rPr>
          <w:color w:val="FF0000"/>
          <w:sz w:val="24"/>
        </w:rPr>
        <w:t>2015</w:t>
      </w:r>
      <w:hyperlink w:history="true" w:anchor="_bookmark287">
        <w:r>
          <w:rPr>
            <w:sz w:val="24"/>
          </w:rPr>
          <w:t>)</w:t>
        </w:r>
      </w:hyperlink>
      <w:r>
        <w:rPr>
          <w:sz w:val="24"/>
        </w:rPr>
        <w:t> box plot of action impact values across dif-</w:t>
      </w:r>
      <w:r>
        <w:rPr>
          <w:spacing w:val="80"/>
          <w:w w:val="150"/>
          <w:sz w:val="24"/>
        </w:rPr>
        <w:t> </w:t>
      </w:r>
      <w:r>
        <w:rPr>
          <w:sz w:val="24"/>
        </w:rPr>
        <w:t>ferent contexts.</w:t>
      </w:r>
      <w:r>
        <w:rPr>
          <w:spacing w:val="40"/>
          <w:sz w:val="24"/>
        </w:rPr>
        <w:t> </w:t>
      </w:r>
      <w:r>
        <w:rPr>
          <w:sz w:val="24"/>
        </w:rPr>
        <w:t>Left shows the action impact values for goals,</w:t>
      </w:r>
      <w:r>
        <w:rPr>
          <w:spacing w:val="32"/>
          <w:sz w:val="24"/>
        </w:rPr>
        <w:t> </w:t>
      </w:r>
      <w:r>
        <w:rPr>
          <w:sz w:val="24"/>
        </w:rPr>
        <w:t>where a</w:t>
      </w:r>
      <w:r>
        <w:rPr>
          <w:spacing w:val="80"/>
          <w:sz w:val="24"/>
        </w:rPr>
        <w:t> </w:t>
      </w:r>
      <w:r>
        <w:rPr>
          <w:sz w:val="24"/>
        </w:rPr>
        <w:t>high value is better for the team. Right shows the action impact values for penalties,</w:t>
      </w:r>
      <w:r>
        <w:rPr>
          <w:spacing w:val="20"/>
          <w:sz w:val="24"/>
        </w:rPr>
        <w:t> </w:t>
      </w:r>
      <w:r>
        <w:rPr>
          <w:sz w:val="24"/>
        </w:rPr>
        <w:t>where a high value is worse for the team.</w:t>
      </w:r>
      <w:r>
        <w:rPr>
          <w:spacing w:val="40"/>
          <w:sz w:val="24"/>
        </w:rPr>
        <w:t> </w:t>
      </w:r>
      <w:r>
        <w:rPr>
          <w:sz w:val="24"/>
        </w:rPr>
        <w:t>Central mark of the</w:t>
      </w:r>
      <w:r>
        <w:rPr>
          <w:spacing w:val="80"/>
          <w:sz w:val="24"/>
        </w:rPr>
        <w:t> </w:t>
      </w:r>
      <w:r>
        <w:rPr>
          <w:sz w:val="24"/>
        </w:rPr>
        <w:t>box plot is the median, the edges represent the 25th and 75th percentiles</w:t>
      </w:r>
      <w:r>
        <w:rPr>
          <w:spacing w:val="80"/>
          <w:sz w:val="24"/>
        </w:rPr>
        <w:t> </w:t>
      </w:r>
      <w:r>
        <w:rPr>
          <w:sz w:val="24"/>
        </w:rPr>
        <w:t>and the whiskers are at approximately 2.7 standard deviations.</w:t>
      </w:r>
      <w:r>
        <w:rPr>
          <w:sz w:val="24"/>
        </w:rPr>
        <w:tab/>
      </w:r>
      <w:r>
        <w:rPr>
          <w:color w:val="0000FF"/>
          <w:spacing w:val="-6"/>
          <w:sz w:val="24"/>
        </w:rPr>
        <w:t>3</w:t>
      </w:r>
      <w:r>
        <w:rPr>
          <w:color w:val="0000FF"/>
          <w:spacing w:val="-6"/>
          <w:sz w:val="24"/>
        </w:rPr>
        <w:t>1</w:t>
      </w:r>
    </w:p>
    <w:p>
      <w:pPr>
        <w:pStyle w:val="ListParagraph"/>
        <w:numPr>
          <w:ilvl w:val="1"/>
          <w:numId w:val="4"/>
        </w:numPr>
        <w:tabs>
          <w:tab w:pos="1389" w:val="left" w:leader="none"/>
        </w:tabs>
        <w:spacing w:line="275" w:lineRule="exact" w:before="0" w:after="0"/>
        <w:ind w:left="1388" w:right="0" w:hanging="420"/>
        <w:jc w:val="left"/>
        <w:rPr>
          <w:sz w:val="24"/>
        </w:rPr>
      </w:pPr>
      <w:r>
        <w:rPr>
          <w:color w:val="FF0000"/>
          <w:sz w:val="24"/>
        </w:rPr>
        <w:t>Liu</w:t>
      </w:r>
      <w:r>
        <w:rPr>
          <w:color w:val="FF0000"/>
          <w:spacing w:val="-5"/>
          <w:sz w:val="24"/>
        </w:rPr>
        <w:t> </w:t>
      </w:r>
      <w:hyperlink w:history="true" w:anchor="_bookmark269">
        <w:r>
          <w:rPr>
            <w:color w:val="FF0000"/>
            <w:sz w:val="24"/>
          </w:rPr>
          <w:t>et</w:t>
        </w:r>
        <w:r>
          <w:rPr>
            <w:color w:val="FF0000"/>
            <w:spacing w:val="-4"/>
            <w:sz w:val="24"/>
          </w:rPr>
          <w:t> </w:t>
        </w:r>
        <w:r>
          <w:rPr>
            <w:color w:val="FF0000"/>
            <w:sz w:val="24"/>
          </w:rPr>
          <w:t>al.</w:t>
        </w:r>
        <w:r>
          <w:rPr>
            <w:sz w:val="24"/>
          </w:rPr>
          <w:t>(</w:t>
        </w:r>
      </w:hyperlink>
      <w:r>
        <w:rPr>
          <w:color w:val="FF0000"/>
          <w:sz w:val="24"/>
        </w:rPr>
        <w:t>2020</w:t>
      </w:r>
      <w:hyperlink w:history="true" w:anchor="_bookmark269">
        <w:r>
          <w:rPr>
            <w:sz w:val="24"/>
          </w:rPr>
          <w:t>)</w:t>
        </w:r>
      </w:hyperlink>
      <w:r>
        <w:rPr>
          <w:spacing w:val="-4"/>
          <w:sz w:val="24"/>
        </w:rPr>
        <w:t> </w:t>
      </w:r>
      <w:r>
        <w:rPr>
          <w:sz w:val="24"/>
        </w:rPr>
        <w:t>action</w:t>
      </w:r>
      <w:r>
        <w:rPr>
          <w:spacing w:val="-5"/>
          <w:sz w:val="24"/>
        </w:rPr>
        <w:t> </w:t>
      </w:r>
      <w:r>
        <w:rPr>
          <w:sz w:val="24"/>
        </w:rPr>
        <w:t>values</w:t>
      </w:r>
      <w:r>
        <w:rPr>
          <w:spacing w:val="-4"/>
          <w:sz w:val="24"/>
        </w:rPr>
        <w:t> </w:t>
      </w:r>
      <w:r>
        <w:rPr>
          <w:sz w:val="24"/>
        </w:rPr>
        <w:t>for</w:t>
      </w:r>
      <w:r>
        <w:rPr>
          <w:spacing w:val="-4"/>
          <w:sz w:val="24"/>
        </w:rPr>
        <w:t> </w:t>
      </w:r>
      <w:r>
        <w:rPr>
          <w:sz w:val="24"/>
        </w:rPr>
        <w:t>four</w:t>
      </w:r>
      <w:r>
        <w:rPr>
          <w:spacing w:val="-5"/>
          <w:sz w:val="24"/>
        </w:rPr>
        <w:t> </w:t>
      </w:r>
      <w:r>
        <w:rPr>
          <w:sz w:val="24"/>
        </w:rPr>
        <w:t>different</w:t>
      </w:r>
      <w:r>
        <w:rPr>
          <w:spacing w:val="-4"/>
          <w:sz w:val="24"/>
        </w:rPr>
        <w:t> </w:t>
      </w:r>
      <w:r>
        <w:rPr>
          <w:sz w:val="24"/>
        </w:rPr>
        <w:t>actions</w:t>
      </w:r>
      <w:r>
        <w:rPr>
          <w:spacing w:val="-4"/>
          <w:sz w:val="24"/>
        </w:rPr>
        <w:t> </w:t>
      </w:r>
      <w:r>
        <w:rPr>
          <w:sz w:val="24"/>
        </w:rPr>
        <w:t>(shot,</w:t>
      </w:r>
      <w:r>
        <w:rPr>
          <w:spacing w:val="-4"/>
          <w:sz w:val="24"/>
        </w:rPr>
        <w:t> </w:t>
      </w:r>
      <w:r>
        <w:rPr>
          <w:sz w:val="24"/>
        </w:rPr>
        <w:t>pass,</w:t>
      </w:r>
      <w:r>
        <w:rPr>
          <w:spacing w:val="-4"/>
          <w:sz w:val="24"/>
        </w:rPr>
        <w:t> </w:t>
      </w:r>
      <w:r>
        <w:rPr>
          <w:spacing w:val="-2"/>
          <w:sz w:val="24"/>
        </w:rPr>
        <w:t>cross</w:t>
      </w:r>
    </w:p>
    <w:p>
      <w:pPr>
        <w:pStyle w:val="BodyText"/>
        <w:tabs>
          <w:tab w:pos="8620" w:val="left" w:leader="dot"/>
        </w:tabs>
        <w:spacing w:before="81"/>
        <w:ind w:left="1518"/>
      </w:pPr>
      <w:r>
        <w:rPr/>
        <w:t>and</w:t>
      </w:r>
      <w:r>
        <w:rPr>
          <w:spacing w:val="-6"/>
        </w:rPr>
        <w:t> </w:t>
      </w:r>
      <w:r>
        <w:rPr/>
        <w:t>tackle)</w:t>
      </w:r>
      <w:r>
        <w:rPr>
          <w:spacing w:val="-6"/>
        </w:rPr>
        <w:t> </w:t>
      </w:r>
      <w:r>
        <w:rPr/>
        <w:t>across</w:t>
      </w:r>
      <w:r>
        <w:rPr>
          <w:spacing w:val="-6"/>
        </w:rPr>
        <w:t> </w:t>
      </w:r>
      <w:r>
        <w:rPr/>
        <w:t>the</w:t>
      </w:r>
      <w:r>
        <w:rPr>
          <w:spacing w:val="-5"/>
        </w:rPr>
        <w:t> </w:t>
      </w:r>
      <w:r>
        <w:rPr>
          <w:spacing w:val="-2"/>
        </w:rPr>
        <w:t>pitch.</w:t>
      </w:r>
      <w:r>
        <w:rPr/>
        <w:tab/>
      </w:r>
      <w:r>
        <w:rPr>
          <w:color w:val="0000FF"/>
          <w:spacing w:val="-5"/>
        </w:rPr>
        <w:t>33</w:t>
      </w:r>
    </w:p>
    <w:p>
      <w:pPr>
        <w:pStyle w:val="ListParagraph"/>
        <w:numPr>
          <w:ilvl w:val="1"/>
          <w:numId w:val="4"/>
        </w:numPr>
        <w:tabs>
          <w:tab w:pos="1389" w:val="left" w:leader="none"/>
          <w:tab w:pos="8428" w:val="left" w:leader="dot"/>
        </w:tabs>
        <w:spacing w:line="240" w:lineRule="auto" w:before="83" w:after="0"/>
        <w:ind w:left="1388" w:right="0" w:hanging="420"/>
        <w:jc w:val="left"/>
        <w:rPr>
          <w:sz w:val="24"/>
        </w:rPr>
      </w:pPr>
      <w:hyperlink w:history="true" w:anchor="_bookmark294">
        <w:r>
          <w:rPr>
            <w:color w:val="FF0000"/>
            <w:sz w:val="24"/>
          </w:rPr>
          <w:t>Singh</w:t>
        </w:r>
        <w:r>
          <w:rPr>
            <w:sz w:val="24"/>
          </w:rPr>
          <w:t>(</w:t>
        </w:r>
      </w:hyperlink>
      <w:r>
        <w:rPr>
          <w:color w:val="FF0000"/>
          <w:sz w:val="24"/>
        </w:rPr>
        <w:t>n.d.</w:t>
      </w:r>
      <w:hyperlink w:history="true" w:anchor="_bookmark294">
        <w:r>
          <w:rPr>
            <w:sz w:val="24"/>
          </w:rPr>
          <w:t>)</w:t>
        </w:r>
      </w:hyperlink>
      <w:r>
        <w:rPr>
          <w:spacing w:val="6"/>
          <w:sz w:val="24"/>
        </w:rPr>
        <w:t> </w:t>
      </w:r>
      <w:r>
        <w:rPr>
          <w:sz w:val="24"/>
        </w:rPr>
        <w:t>xT</w:t>
      </w:r>
      <w:r>
        <w:rPr>
          <w:spacing w:val="-7"/>
          <w:sz w:val="24"/>
        </w:rPr>
        <w:t> </w:t>
      </w:r>
      <w:r>
        <w:rPr>
          <w:spacing w:val="-4"/>
          <w:sz w:val="24"/>
        </w:rPr>
        <w:t>plot</w:t>
      </w:r>
      <w:r>
        <w:rPr>
          <w:sz w:val="24"/>
        </w:rPr>
        <w:tab/>
      </w:r>
      <w:r>
        <w:rPr>
          <w:color w:val="0000FF"/>
          <w:spacing w:val="-5"/>
          <w:sz w:val="24"/>
        </w:rPr>
        <w:t>34</w:t>
      </w:r>
    </w:p>
    <w:p>
      <w:pPr>
        <w:pStyle w:val="ListParagraph"/>
        <w:numPr>
          <w:ilvl w:val="1"/>
          <w:numId w:val="4"/>
        </w:numPr>
        <w:tabs>
          <w:tab w:pos="1519" w:val="left" w:leader="none"/>
          <w:tab w:pos="8620" w:val="left" w:leader="dot"/>
        </w:tabs>
        <w:spacing w:line="312" w:lineRule="auto" w:before="83" w:after="0"/>
        <w:ind w:left="1518" w:right="644" w:hanging="550"/>
        <w:jc w:val="left"/>
        <w:rPr>
          <w:sz w:val="24"/>
        </w:rPr>
      </w:pPr>
      <w:r>
        <w:rPr>
          <w:sz w:val="24"/>
        </w:rPr>
        <w:t>Plot</w:t>
      </w:r>
      <w:r>
        <w:rPr>
          <w:spacing w:val="34"/>
          <w:sz w:val="24"/>
        </w:rPr>
        <w:t> </w:t>
      </w:r>
      <w:r>
        <w:rPr>
          <w:sz w:val="24"/>
        </w:rPr>
        <w:t>of</w:t>
      </w:r>
      <w:r>
        <w:rPr>
          <w:spacing w:val="34"/>
          <w:sz w:val="24"/>
        </w:rPr>
        <w:t> </w:t>
      </w:r>
      <w:r>
        <w:rPr>
          <w:sz w:val="24"/>
        </w:rPr>
        <w:t>70m</w:t>
      </w:r>
      <w:r>
        <w:rPr>
          <w:spacing w:val="34"/>
          <w:sz w:val="24"/>
        </w:rPr>
        <w:t> </w:t>
      </w:r>
      <w:r>
        <w:rPr>
          <w:sz w:val="24"/>
        </w:rPr>
        <w:t>x</w:t>
      </w:r>
      <w:r>
        <w:rPr>
          <w:spacing w:val="34"/>
          <w:sz w:val="24"/>
        </w:rPr>
        <w:t> </w:t>
      </w:r>
      <w:r>
        <w:rPr>
          <w:sz w:val="24"/>
        </w:rPr>
        <w:t>120m</w:t>
      </w:r>
      <w:r>
        <w:rPr>
          <w:spacing w:val="34"/>
          <w:sz w:val="24"/>
        </w:rPr>
        <w:t> </w:t>
      </w:r>
      <w:r>
        <w:rPr>
          <w:sz w:val="24"/>
        </w:rPr>
        <w:t>rugby</w:t>
      </w:r>
      <w:r>
        <w:rPr>
          <w:spacing w:val="34"/>
          <w:sz w:val="24"/>
        </w:rPr>
        <w:t> </w:t>
      </w:r>
      <w:r>
        <w:rPr>
          <w:sz w:val="24"/>
        </w:rPr>
        <w:t>league</w:t>
      </w:r>
      <w:r>
        <w:rPr>
          <w:spacing w:val="34"/>
          <w:sz w:val="24"/>
        </w:rPr>
        <w:t> </w:t>
      </w:r>
      <w:r>
        <w:rPr>
          <w:sz w:val="24"/>
        </w:rPr>
        <w:t>pitch.</w:t>
      </w:r>
      <w:r>
        <w:rPr>
          <w:spacing w:val="80"/>
          <w:sz w:val="24"/>
        </w:rPr>
        <w:t> </w:t>
      </w:r>
      <w:r>
        <w:rPr>
          <w:sz w:val="24"/>
        </w:rPr>
        <w:t>Assumes</w:t>
      </w:r>
      <w:r>
        <w:rPr>
          <w:spacing w:val="34"/>
          <w:sz w:val="24"/>
        </w:rPr>
        <w:t> </w:t>
      </w:r>
      <w:r>
        <w:rPr>
          <w:sz w:val="24"/>
        </w:rPr>
        <w:t>the</w:t>
      </w:r>
      <w:r>
        <w:rPr>
          <w:spacing w:val="34"/>
          <w:sz w:val="24"/>
        </w:rPr>
        <w:t> </w:t>
      </w:r>
      <w:r>
        <w:rPr>
          <w:sz w:val="24"/>
        </w:rPr>
        <w:t>team</w:t>
      </w:r>
      <w:r>
        <w:rPr>
          <w:spacing w:val="34"/>
          <w:sz w:val="24"/>
        </w:rPr>
        <w:t> </w:t>
      </w:r>
      <w:r>
        <w:rPr>
          <w:sz w:val="24"/>
        </w:rPr>
        <w:t>in</w:t>
      </w:r>
      <w:r>
        <w:rPr>
          <w:spacing w:val="34"/>
          <w:sz w:val="24"/>
        </w:rPr>
        <w:t> </w:t>
      </w:r>
      <w:r>
        <w:rPr>
          <w:sz w:val="24"/>
        </w:rPr>
        <w:t>posses- sion of the ball is attacking in an upwards direction.</w:t>
      </w:r>
      <w:r>
        <w:rPr>
          <w:spacing w:val="40"/>
          <w:sz w:val="24"/>
        </w:rPr>
        <w:t> </w:t>
      </w:r>
      <w:r>
        <w:rPr>
          <w:sz w:val="24"/>
        </w:rPr>
        <w:t>Own refers to the</w:t>
      </w:r>
      <w:r>
        <w:rPr>
          <w:spacing w:val="40"/>
          <w:sz w:val="24"/>
        </w:rPr>
        <w:t> </w:t>
      </w:r>
      <w:r>
        <w:rPr>
          <w:sz w:val="24"/>
        </w:rPr>
        <w:t>possession</w:t>
      </w:r>
      <w:r>
        <w:rPr>
          <w:spacing w:val="-7"/>
          <w:sz w:val="24"/>
        </w:rPr>
        <w:t> </w:t>
      </w:r>
      <w:r>
        <w:rPr>
          <w:sz w:val="24"/>
        </w:rPr>
        <w:t>team;</w:t>
      </w:r>
      <w:r>
        <w:rPr>
          <w:spacing w:val="-7"/>
          <w:sz w:val="24"/>
        </w:rPr>
        <w:t> </w:t>
      </w:r>
      <w:r>
        <w:rPr>
          <w:sz w:val="24"/>
        </w:rPr>
        <w:t>Opp</w:t>
      </w:r>
      <w:r>
        <w:rPr>
          <w:spacing w:val="-7"/>
          <w:sz w:val="24"/>
        </w:rPr>
        <w:t> </w:t>
      </w:r>
      <w:r>
        <w:rPr>
          <w:sz w:val="24"/>
        </w:rPr>
        <w:t>refers</w:t>
      </w:r>
      <w:r>
        <w:rPr>
          <w:spacing w:val="-6"/>
          <w:sz w:val="24"/>
        </w:rPr>
        <w:t> </w:t>
      </w:r>
      <w:r>
        <w:rPr>
          <w:sz w:val="24"/>
        </w:rPr>
        <w:t>to</w:t>
      </w:r>
      <w:r>
        <w:rPr>
          <w:spacing w:val="-7"/>
          <w:sz w:val="24"/>
        </w:rPr>
        <w:t> </w:t>
      </w:r>
      <w:r>
        <w:rPr>
          <w:sz w:val="24"/>
        </w:rPr>
        <w:t>the</w:t>
      </w:r>
      <w:r>
        <w:rPr>
          <w:spacing w:val="-7"/>
          <w:sz w:val="24"/>
        </w:rPr>
        <w:t> </w:t>
      </w:r>
      <w:r>
        <w:rPr>
          <w:sz w:val="24"/>
        </w:rPr>
        <w:t>opposition</w:t>
      </w:r>
      <w:r>
        <w:rPr>
          <w:spacing w:val="-7"/>
          <w:sz w:val="24"/>
        </w:rPr>
        <w:t> </w:t>
      </w:r>
      <w:r>
        <w:rPr>
          <w:spacing w:val="-2"/>
          <w:sz w:val="24"/>
        </w:rPr>
        <w:t>team.</w:t>
      </w:r>
      <w:r>
        <w:rPr>
          <w:sz w:val="24"/>
        </w:rPr>
        <w:tab/>
      </w:r>
      <w:r>
        <w:rPr>
          <w:color w:val="0000FF"/>
          <w:spacing w:val="-5"/>
          <w:sz w:val="24"/>
        </w:rPr>
        <w:t>3</w:t>
      </w:r>
      <w:r>
        <w:rPr>
          <w:color w:val="0000FF"/>
          <w:spacing w:val="-5"/>
          <w:sz w:val="24"/>
        </w:rPr>
        <w:t>6</w:t>
      </w:r>
    </w:p>
    <w:p>
      <w:pPr>
        <w:pStyle w:val="ListParagraph"/>
        <w:numPr>
          <w:ilvl w:val="1"/>
          <w:numId w:val="4"/>
        </w:numPr>
        <w:tabs>
          <w:tab w:pos="1389" w:val="left" w:leader="none"/>
          <w:tab w:pos="8428" w:val="left" w:leader="dot"/>
        </w:tabs>
        <w:spacing w:line="275" w:lineRule="exact" w:before="0" w:after="0"/>
        <w:ind w:left="1388" w:right="0" w:hanging="420"/>
        <w:jc w:val="left"/>
        <w:rPr>
          <w:sz w:val="24"/>
        </w:rPr>
      </w:pPr>
      <w:r>
        <w:rPr>
          <w:color w:val="FF0000"/>
          <w:sz w:val="24"/>
        </w:rPr>
        <w:t>K</w:t>
      </w:r>
      <w:hyperlink w:history="true" w:anchor="_bookmark263">
        <w:r>
          <w:rPr>
            <w:color w:val="FF0000"/>
            <w:sz w:val="24"/>
          </w:rPr>
          <w:t>empton</w:t>
        </w:r>
        <w:r>
          <w:rPr>
            <w:color w:val="FF0000"/>
            <w:spacing w:val="-9"/>
            <w:sz w:val="24"/>
          </w:rPr>
          <w:t> </w:t>
        </w:r>
        <w:r>
          <w:rPr>
            <w:color w:val="FF0000"/>
            <w:sz w:val="24"/>
          </w:rPr>
          <w:t>et</w:t>
        </w:r>
        <w:r>
          <w:rPr>
            <w:color w:val="FF0000"/>
            <w:spacing w:val="-8"/>
            <w:sz w:val="24"/>
          </w:rPr>
          <w:t> </w:t>
        </w:r>
        <w:r>
          <w:rPr>
            <w:color w:val="FF0000"/>
            <w:sz w:val="24"/>
          </w:rPr>
          <w:t>al.</w:t>
        </w:r>
        <w:r>
          <w:rPr>
            <w:sz w:val="24"/>
          </w:rPr>
          <w:t>(</w:t>
        </w:r>
      </w:hyperlink>
      <w:r>
        <w:rPr>
          <w:color w:val="FF0000"/>
          <w:sz w:val="24"/>
        </w:rPr>
        <w:t>2016</w:t>
      </w:r>
      <w:hyperlink w:history="true" w:anchor="_bookmark263">
        <w:r>
          <w:rPr>
            <w:sz w:val="24"/>
          </w:rPr>
          <w:t>)</w:t>
        </w:r>
      </w:hyperlink>
      <w:r>
        <w:rPr>
          <w:spacing w:val="-9"/>
          <w:sz w:val="24"/>
        </w:rPr>
        <w:t> </w:t>
      </w:r>
      <w:r>
        <w:rPr>
          <w:sz w:val="24"/>
        </w:rPr>
        <w:t>EPV</w:t>
      </w:r>
      <w:r>
        <w:rPr>
          <w:spacing w:val="-8"/>
          <w:sz w:val="24"/>
        </w:rPr>
        <w:t> </w:t>
      </w:r>
      <w:r>
        <w:rPr>
          <w:spacing w:val="-2"/>
          <w:sz w:val="24"/>
        </w:rPr>
        <w:t>plot.</w:t>
      </w:r>
      <w:r>
        <w:rPr>
          <w:sz w:val="24"/>
        </w:rPr>
        <w:tab/>
      </w:r>
      <w:r>
        <w:rPr>
          <w:color w:val="0000FF"/>
          <w:spacing w:val="-5"/>
          <w:sz w:val="24"/>
        </w:rPr>
        <w:t>44</w:t>
      </w:r>
    </w:p>
    <w:p>
      <w:pPr>
        <w:pStyle w:val="ListParagraph"/>
        <w:numPr>
          <w:ilvl w:val="1"/>
          <w:numId w:val="5"/>
        </w:numPr>
        <w:tabs>
          <w:tab w:pos="1518" w:val="left" w:leader="none"/>
          <w:tab w:pos="1519" w:val="left" w:leader="none"/>
          <w:tab w:pos="8620" w:val="left" w:leader="dot"/>
        </w:tabs>
        <w:spacing w:line="240" w:lineRule="auto" w:before="281" w:after="0"/>
        <w:ind w:left="1518" w:right="0" w:hanging="550"/>
        <w:jc w:val="left"/>
        <w:rPr>
          <w:sz w:val="24"/>
        </w:rPr>
      </w:pPr>
      <w:r>
        <w:rPr>
          <w:sz w:val="24"/>
        </w:rPr>
        <w:t>Data</w:t>
      </w:r>
      <w:r>
        <w:rPr>
          <w:spacing w:val="-10"/>
          <w:sz w:val="24"/>
        </w:rPr>
        <w:t> </w:t>
      </w:r>
      <w:r>
        <w:rPr>
          <w:sz w:val="24"/>
        </w:rPr>
        <w:t>preprocessing</w:t>
      </w:r>
      <w:r>
        <w:rPr>
          <w:spacing w:val="-10"/>
          <w:sz w:val="24"/>
        </w:rPr>
        <w:t> </w:t>
      </w:r>
      <w:r>
        <w:rPr>
          <w:spacing w:val="-2"/>
          <w:sz w:val="24"/>
        </w:rPr>
        <w:t>workflow</w:t>
      </w:r>
      <w:r>
        <w:rPr>
          <w:sz w:val="24"/>
        </w:rPr>
        <w:tab/>
      </w:r>
      <w:r>
        <w:rPr>
          <w:color w:val="0000FF"/>
          <w:spacing w:val="-5"/>
          <w:sz w:val="24"/>
        </w:rPr>
        <w:t>59</w:t>
      </w:r>
    </w:p>
    <w:p>
      <w:pPr>
        <w:pStyle w:val="ListParagraph"/>
        <w:numPr>
          <w:ilvl w:val="1"/>
          <w:numId w:val="5"/>
        </w:numPr>
        <w:tabs>
          <w:tab w:pos="1518" w:val="left" w:leader="none"/>
          <w:tab w:pos="1519" w:val="left" w:leader="none"/>
          <w:tab w:pos="8620" w:val="left" w:leader="dot"/>
        </w:tabs>
        <w:spacing w:line="312" w:lineRule="auto" w:before="83" w:after="0"/>
        <w:ind w:left="1518" w:right="644" w:hanging="550"/>
        <w:jc w:val="left"/>
        <w:rPr>
          <w:sz w:val="24"/>
        </w:rPr>
      </w:pPr>
      <w:r>
        <w:rPr>
          <w:sz w:val="24"/>
        </w:rPr>
        <w:t>Counts for the actions beginning a play according to the Opta coding sys- tem in 2019. All actions began a play on at least 100 occasions. Complete passes</w:t>
      </w:r>
      <w:r>
        <w:rPr>
          <w:spacing w:val="-7"/>
          <w:sz w:val="24"/>
        </w:rPr>
        <w:t> </w:t>
      </w:r>
      <w:r>
        <w:rPr>
          <w:sz w:val="24"/>
        </w:rPr>
        <w:t>are</w:t>
      </w:r>
      <w:r>
        <w:rPr>
          <w:spacing w:val="-6"/>
          <w:sz w:val="24"/>
        </w:rPr>
        <w:t> </w:t>
      </w:r>
      <w:r>
        <w:rPr>
          <w:sz w:val="24"/>
        </w:rPr>
        <w:t>clearly</w:t>
      </w:r>
      <w:r>
        <w:rPr>
          <w:spacing w:val="-6"/>
          <w:sz w:val="24"/>
        </w:rPr>
        <w:t> </w:t>
      </w:r>
      <w:r>
        <w:rPr>
          <w:sz w:val="24"/>
        </w:rPr>
        <w:t>the</w:t>
      </w:r>
      <w:r>
        <w:rPr>
          <w:spacing w:val="-6"/>
          <w:sz w:val="24"/>
        </w:rPr>
        <w:t> </w:t>
      </w:r>
      <w:r>
        <w:rPr>
          <w:sz w:val="24"/>
        </w:rPr>
        <w:t>most</w:t>
      </w:r>
      <w:r>
        <w:rPr>
          <w:spacing w:val="-6"/>
          <w:sz w:val="24"/>
        </w:rPr>
        <w:t> </w:t>
      </w:r>
      <w:r>
        <w:rPr>
          <w:sz w:val="24"/>
        </w:rPr>
        <w:t>frequent</w:t>
      </w:r>
      <w:r>
        <w:rPr>
          <w:spacing w:val="-7"/>
          <w:sz w:val="24"/>
        </w:rPr>
        <w:t> </w:t>
      </w:r>
      <w:r>
        <w:rPr>
          <w:spacing w:val="-2"/>
          <w:sz w:val="24"/>
        </w:rPr>
        <w:t>action.</w:t>
      </w:r>
      <w:r>
        <w:rPr>
          <w:sz w:val="24"/>
        </w:rPr>
        <w:tab/>
      </w:r>
      <w:r>
        <w:rPr>
          <w:color w:val="0000FF"/>
          <w:spacing w:val="-5"/>
          <w:sz w:val="24"/>
        </w:rPr>
        <w:t>6</w:t>
      </w:r>
      <w:r>
        <w:rPr>
          <w:color w:val="0000FF"/>
          <w:spacing w:val="-5"/>
          <w:sz w:val="24"/>
        </w:rPr>
        <w:t>0</w:t>
      </w:r>
    </w:p>
    <w:p>
      <w:pPr>
        <w:pStyle w:val="ListParagraph"/>
        <w:numPr>
          <w:ilvl w:val="1"/>
          <w:numId w:val="5"/>
        </w:numPr>
        <w:tabs>
          <w:tab w:pos="1518" w:val="left" w:leader="none"/>
          <w:tab w:pos="1519" w:val="left" w:leader="none"/>
          <w:tab w:pos="8620" w:val="left" w:leader="dot"/>
        </w:tabs>
        <w:spacing w:line="275" w:lineRule="exact" w:before="0" w:after="0"/>
        <w:ind w:left="1518" w:right="0" w:hanging="550"/>
        <w:jc w:val="left"/>
        <w:rPr>
          <w:sz w:val="24"/>
        </w:rPr>
      </w:pPr>
      <w:r>
        <w:rPr>
          <w:sz w:val="24"/>
        </w:rPr>
        <w:t>Data</w:t>
      </w:r>
      <w:r>
        <w:rPr>
          <w:spacing w:val="-8"/>
          <w:sz w:val="24"/>
        </w:rPr>
        <w:t> </w:t>
      </w:r>
      <w:r>
        <w:rPr>
          <w:sz w:val="24"/>
        </w:rPr>
        <w:t>analysis</w:t>
      </w:r>
      <w:r>
        <w:rPr>
          <w:spacing w:val="-7"/>
          <w:sz w:val="24"/>
        </w:rPr>
        <w:t> </w:t>
      </w:r>
      <w:r>
        <w:rPr>
          <w:spacing w:val="-2"/>
          <w:sz w:val="24"/>
        </w:rPr>
        <w:t>workflow</w:t>
      </w:r>
      <w:r>
        <w:rPr>
          <w:sz w:val="24"/>
        </w:rPr>
        <w:tab/>
      </w:r>
      <w:r>
        <w:rPr>
          <w:color w:val="0000FF"/>
          <w:spacing w:val="-5"/>
          <w:sz w:val="24"/>
        </w:rPr>
        <w:t>62</w:t>
      </w:r>
    </w:p>
    <w:p>
      <w:pPr>
        <w:pStyle w:val="ListParagraph"/>
        <w:numPr>
          <w:ilvl w:val="1"/>
          <w:numId w:val="5"/>
        </w:numPr>
        <w:tabs>
          <w:tab w:pos="1519" w:val="left" w:leader="none"/>
        </w:tabs>
        <w:spacing w:line="312" w:lineRule="auto" w:before="83" w:after="0"/>
        <w:ind w:left="1518" w:right="998" w:hanging="550"/>
        <w:jc w:val="both"/>
        <w:rPr>
          <w:sz w:val="24"/>
        </w:rPr>
      </w:pPr>
      <w:r>
        <w:rPr>
          <w:spacing w:val="-2"/>
          <w:sz w:val="24"/>
        </w:rPr>
        <w:t>Depiction</w:t>
      </w:r>
      <w:r>
        <w:rPr>
          <w:spacing w:val="-7"/>
          <w:sz w:val="24"/>
        </w:rPr>
        <w:t> </w:t>
      </w:r>
      <w:r>
        <w:rPr>
          <w:spacing w:val="-2"/>
          <w:sz w:val="24"/>
        </w:rPr>
        <w:t>of</w:t>
      </w:r>
      <w:r>
        <w:rPr>
          <w:spacing w:val="-7"/>
          <w:sz w:val="24"/>
        </w:rPr>
        <w:t> </w:t>
      </w:r>
      <w:r>
        <w:rPr>
          <w:spacing w:val="-2"/>
          <w:sz w:val="24"/>
        </w:rPr>
        <w:t>relationship</w:t>
      </w:r>
      <w:r>
        <w:rPr>
          <w:spacing w:val="-7"/>
          <w:sz w:val="24"/>
        </w:rPr>
        <w:t> </w:t>
      </w:r>
      <w:r>
        <w:rPr>
          <w:spacing w:val="-2"/>
          <w:sz w:val="24"/>
        </w:rPr>
        <w:t>between</w:t>
      </w:r>
      <w:r>
        <w:rPr>
          <w:spacing w:val="-7"/>
          <w:sz w:val="24"/>
        </w:rPr>
        <w:t> </w:t>
      </w:r>
      <w:r>
        <w:rPr>
          <w:spacing w:val="-2"/>
          <w:sz w:val="24"/>
        </w:rPr>
        <w:t>EPV-308</w:t>
      </w:r>
      <w:r>
        <w:rPr>
          <w:spacing w:val="-7"/>
          <w:sz w:val="24"/>
        </w:rPr>
        <w:t> </w:t>
      </w:r>
      <w:r>
        <w:rPr>
          <w:spacing w:val="-2"/>
          <w:sz w:val="24"/>
        </w:rPr>
        <w:t>zones</w:t>
      </w:r>
      <w:r>
        <w:rPr>
          <w:spacing w:val="-7"/>
          <w:sz w:val="24"/>
        </w:rPr>
        <w:t> </w:t>
      </w:r>
      <w:r>
        <w:rPr>
          <w:spacing w:val="-2"/>
          <w:sz w:val="24"/>
        </w:rPr>
        <w:t>and</w:t>
      </w:r>
      <w:r>
        <w:rPr>
          <w:spacing w:val="-7"/>
          <w:sz w:val="24"/>
        </w:rPr>
        <w:t> </w:t>
      </w:r>
      <w:r>
        <w:rPr>
          <w:spacing w:val="-2"/>
          <w:sz w:val="24"/>
        </w:rPr>
        <w:t>columns/rows</w:t>
      </w:r>
      <w:r>
        <w:rPr>
          <w:spacing w:val="-7"/>
          <w:sz w:val="24"/>
        </w:rPr>
        <w:t> </w:t>
      </w:r>
      <w:r>
        <w:rPr>
          <w:spacing w:val="-2"/>
          <w:sz w:val="24"/>
        </w:rPr>
        <w:t>use</w:t>
      </w:r>
      <w:r>
        <w:rPr>
          <w:spacing w:val="-2"/>
          <w:sz w:val="24"/>
        </w:rPr>
        <w:t>d</w:t>
      </w:r>
      <w:r>
        <w:rPr>
          <w:spacing w:val="-2"/>
          <w:sz w:val="24"/>
        </w:rPr>
        <w:t> </w:t>
      </w:r>
      <w:r>
        <w:rPr>
          <w:sz w:val="24"/>
        </w:rPr>
        <w:t>for</w:t>
      </w:r>
      <w:r>
        <w:rPr>
          <w:spacing w:val="-15"/>
          <w:sz w:val="24"/>
        </w:rPr>
        <w:t> </w:t>
      </w:r>
      <w:r>
        <w:rPr>
          <w:sz w:val="24"/>
        </w:rPr>
        <w:t>statistical</w:t>
      </w:r>
      <w:r>
        <w:rPr>
          <w:spacing w:val="-15"/>
          <w:sz w:val="24"/>
        </w:rPr>
        <w:t> </w:t>
      </w:r>
      <w:r>
        <w:rPr>
          <w:sz w:val="24"/>
        </w:rPr>
        <w:t>analysis.</w:t>
      </w:r>
      <w:r>
        <w:rPr>
          <w:spacing w:val="-15"/>
          <w:sz w:val="24"/>
        </w:rPr>
        <w:t> </w:t>
      </w:r>
      <w:r>
        <w:rPr>
          <w:sz w:val="24"/>
        </w:rPr>
        <w:t>Top</w:t>
      </w:r>
      <w:r>
        <w:rPr>
          <w:spacing w:val="-15"/>
          <w:sz w:val="24"/>
        </w:rPr>
        <w:t> </w:t>
      </w:r>
      <w:r>
        <w:rPr>
          <w:sz w:val="24"/>
        </w:rPr>
        <w:t>figure</w:t>
      </w:r>
      <w:r>
        <w:rPr>
          <w:spacing w:val="-15"/>
          <w:sz w:val="24"/>
        </w:rPr>
        <w:t> </w:t>
      </w:r>
      <w:r>
        <w:rPr>
          <w:sz w:val="24"/>
        </w:rPr>
        <w:t>represents</w:t>
      </w:r>
      <w:r>
        <w:rPr>
          <w:spacing w:val="-15"/>
          <w:sz w:val="24"/>
        </w:rPr>
        <w:t> </w:t>
      </w:r>
      <w:r>
        <w:rPr>
          <w:sz w:val="24"/>
        </w:rPr>
        <w:t>the</w:t>
      </w:r>
      <w:r>
        <w:rPr>
          <w:spacing w:val="-15"/>
          <w:sz w:val="24"/>
        </w:rPr>
        <w:t> </w:t>
      </w:r>
      <w:r>
        <w:rPr>
          <w:sz w:val="24"/>
        </w:rPr>
        <w:t>5m</w:t>
      </w:r>
      <w:r>
        <w:rPr>
          <w:spacing w:val="-15"/>
          <w:sz w:val="24"/>
        </w:rPr>
        <w:t> </w:t>
      </w:r>
      <w:r>
        <w:rPr>
          <w:sz w:val="24"/>
        </w:rPr>
        <w:t>x</w:t>
      </w:r>
      <w:r>
        <w:rPr>
          <w:spacing w:val="-15"/>
          <w:sz w:val="24"/>
        </w:rPr>
        <w:t> </w:t>
      </w:r>
      <w:r>
        <w:rPr>
          <w:sz w:val="24"/>
        </w:rPr>
        <w:t>5m</w:t>
      </w:r>
      <w:r>
        <w:rPr>
          <w:spacing w:val="-15"/>
          <w:sz w:val="24"/>
        </w:rPr>
        <w:t> </w:t>
      </w:r>
      <w:r>
        <w:rPr>
          <w:sz w:val="24"/>
        </w:rPr>
        <w:t>EPV-308</w:t>
      </w:r>
      <w:r>
        <w:rPr>
          <w:spacing w:val="-15"/>
          <w:sz w:val="24"/>
        </w:rPr>
        <w:t> </w:t>
      </w:r>
      <w:r>
        <w:rPr>
          <w:sz w:val="24"/>
        </w:rPr>
        <w:t>zones. Bottom</w:t>
      </w:r>
      <w:r>
        <w:rPr>
          <w:spacing w:val="-13"/>
          <w:sz w:val="24"/>
        </w:rPr>
        <w:t> </w:t>
      </w:r>
      <w:r>
        <w:rPr>
          <w:sz w:val="24"/>
        </w:rPr>
        <w:t>left</w:t>
      </w:r>
      <w:r>
        <w:rPr>
          <w:spacing w:val="-13"/>
          <w:sz w:val="24"/>
        </w:rPr>
        <w:t> </w:t>
      </w:r>
      <w:r>
        <w:rPr>
          <w:sz w:val="24"/>
        </w:rPr>
        <w:t>figure</w:t>
      </w:r>
      <w:r>
        <w:rPr>
          <w:spacing w:val="-13"/>
          <w:sz w:val="24"/>
        </w:rPr>
        <w:t> </w:t>
      </w:r>
      <w:r>
        <w:rPr>
          <w:sz w:val="24"/>
        </w:rPr>
        <w:t>represents</w:t>
      </w:r>
      <w:r>
        <w:rPr>
          <w:spacing w:val="-13"/>
          <w:sz w:val="24"/>
        </w:rPr>
        <w:t> </w:t>
      </w:r>
      <w:r>
        <w:rPr>
          <w:sz w:val="24"/>
        </w:rPr>
        <w:t>the</w:t>
      </w:r>
      <w:r>
        <w:rPr>
          <w:spacing w:val="-13"/>
          <w:sz w:val="24"/>
        </w:rPr>
        <w:t> </w:t>
      </w:r>
      <w:r>
        <w:rPr>
          <w:sz w:val="24"/>
        </w:rPr>
        <w:t>columns;</w:t>
      </w:r>
      <w:r>
        <w:rPr>
          <w:spacing w:val="-12"/>
          <w:sz w:val="24"/>
        </w:rPr>
        <w:t> </w:t>
      </w:r>
      <w:r>
        <w:rPr>
          <w:sz w:val="24"/>
        </w:rPr>
        <w:t>column</w:t>
      </w:r>
      <w:r>
        <w:rPr>
          <w:spacing w:val="-13"/>
          <w:sz w:val="24"/>
        </w:rPr>
        <w:t> </w:t>
      </w:r>
      <w:r>
        <w:rPr>
          <w:sz w:val="24"/>
        </w:rPr>
        <w:t>match</w:t>
      </w:r>
      <w:r>
        <w:rPr>
          <w:spacing w:val="-13"/>
          <w:sz w:val="24"/>
        </w:rPr>
        <w:t> </w:t>
      </w:r>
      <w:r>
        <w:rPr>
          <w:sz w:val="24"/>
        </w:rPr>
        <w:t>EPVs</w:t>
      </w:r>
      <w:r>
        <w:rPr>
          <w:spacing w:val="-13"/>
          <w:sz w:val="24"/>
        </w:rPr>
        <w:t> </w:t>
      </w:r>
      <w:r>
        <w:rPr>
          <w:sz w:val="24"/>
        </w:rPr>
        <w:t>were</w:t>
      </w:r>
      <w:r>
        <w:rPr>
          <w:spacing w:val="-13"/>
          <w:sz w:val="24"/>
        </w:rPr>
        <w:t> </w:t>
      </w:r>
      <w:r>
        <w:rPr>
          <w:sz w:val="24"/>
        </w:rPr>
        <w:t>pro-</w:t>
      </w:r>
      <w:r>
        <w:rPr>
          <w:sz w:val="24"/>
        </w:rPr>
        <w:t> duced</w:t>
      </w:r>
      <w:r>
        <w:rPr>
          <w:spacing w:val="-6"/>
          <w:sz w:val="24"/>
        </w:rPr>
        <w:t> </w:t>
      </w:r>
      <w:r>
        <w:rPr>
          <w:sz w:val="24"/>
        </w:rPr>
        <w:t>by</w:t>
      </w:r>
      <w:r>
        <w:rPr>
          <w:spacing w:val="-5"/>
          <w:sz w:val="24"/>
        </w:rPr>
        <w:t> </w:t>
      </w:r>
      <w:r>
        <w:rPr>
          <w:sz w:val="24"/>
        </w:rPr>
        <w:t>summing</w:t>
      </w:r>
      <w:r>
        <w:rPr>
          <w:spacing w:val="-6"/>
          <w:sz w:val="24"/>
        </w:rPr>
        <w:t> </w:t>
      </w:r>
      <w:r>
        <w:rPr>
          <w:sz w:val="24"/>
        </w:rPr>
        <w:t>the</w:t>
      </w:r>
      <w:r>
        <w:rPr>
          <w:spacing w:val="-6"/>
          <w:sz w:val="24"/>
        </w:rPr>
        <w:t> </w:t>
      </w:r>
      <w:r>
        <w:rPr>
          <w:sz w:val="24"/>
        </w:rPr>
        <w:t>match</w:t>
      </w:r>
      <w:r>
        <w:rPr>
          <w:spacing w:val="-5"/>
          <w:sz w:val="24"/>
        </w:rPr>
        <w:t> </w:t>
      </w:r>
      <w:r>
        <w:rPr>
          <w:sz w:val="24"/>
        </w:rPr>
        <w:t>EPV</w:t>
      </w:r>
      <w:r>
        <w:rPr>
          <w:spacing w:val="-6"/>
          <w:sz w:val="24"/>
        </w:rPr>
        <w:t> </w:t>
      </w:r>
      <w:r>
        <w:rPr>
          <w:sz w:val="24"/>
        </w:rPr>
        <w:t>for</w:t>
      </w:r>
      <w:r>
        <w:rPr>
          <w:spacing w:val="-6"/>
          <w:sz w:val="24"/>
        </w:rPr>
        <w:t> </w:t>
      </w:r>
      <w:r>
        <w:rPr>
          <w:sz w:val="24"/>
        </w:rPr>
        <w:t>all</w:t>
      </w:r>
      <w:r>
        <w:rPr>
          <w:spacing w:val="-6"/>
          <w:sz w:val="24"/>
        </w:rPr>
        <w:t> </w:t>
      </w:r>
      <w:r>
        <w:rPr>
          <w:sz w:val="24"/>
        </w:rPr>
        <w:t>zones</w:t>
      </w:r>
      <w:r>
        <w:rPr>
          <w:spacing w:val="-5"/>
          <w:sz w:val="24"/>
        </w:rPr>
        <w:t> </w:t>
      </w:r>
      <w:r>
        <w:rPr>
          <w:sz w:val="24"/>
        </w:rPr>
        <w:t>from</w:t>
      </w:r>
      <w:r>
        <w:rPr>
          <w:spacing w:val="-6"/>
          <w:sz w:val="24"/>
        </w:rPr>
        <w:t> </w:t>
      </w:r>
      <w:r>
        <w:rPr>
          <w:sz w:val="24"/>
        </w:rPr>
        <w:t>the</w:t>
      </w:r>
      <w:r>
        <w:rPr>
          <w:spacing w:val="-6"/>
          <w:sz w:val="24"/>
        </w:rPr>
        <w:t> </w:t>
      </w:r>
      <w:r>
        <w:rPr>
          <w:sz w:val="24"/>
        </w:rPr>
        <w:t>EPV-308</w:t>
      </w:r>
      <w:r>
        <w:rPr>
          <w:spacing w:val="-5"/>
          <w:sz w:val="24"/>
        </w:rPr>
        <w:t> </w:t>
      </w:r>
      <w:r>
        <w:rPr>
          <w:sz w:val="24"/>
        </w:rPr>
        <w:t>in</w:t>
      </w:r>
      <w:r>
        <w:rPr>
          <w:spacing w:val="-6"/>
          <w:sz w:val="24"/>
        </w:rPr>
        <w:t> </w:t>
      </w:r>
      <w:r>
        <w:rPr>
          <w:sz w:val="24"/>
        </w:rPr>
        <w:t>the column.</w:t>
      </w:r>
      <w:r>
        <w:rPr>
          <w:spacing w:val="32"/>
          <w:sz w:val="24"/>
        </w:rPr>
        <w:t> </w:t>
      </w:r>
      <w:r>
        <w:rPr>
          <w:sz w:val="24"/>
        </w:rPr>
        <w:t>Bottom right figure represents the rows; row match EPVs were produced</w:t>
      </w:r>
      <w:r>
        <w:rPr>
          <w:spacing w:val="-3"/>
          <w:sz w:val="24"/>
        </w:rPr>
        <w:t> </w:t>
      </w:r>
      <w:r>
        <w:rPr>
          <w:sz w:val="24"/>
        </w:rPr>
        <w:t>by</w:t>
      </w:r>
      <w:r>
        <w:rPr>
          <w:spacing w:val="-3"/>
          <w:sz w:val="24"/>
        </w:rPr>
        <w:t> </w:t>
      </w:r>
      <w:r>
        <w:rPr>
          <w:sz w:val="24"/>
        </w:rPr>
        <w:t>summing</w:t>
      </w:r>
      <w:r>
        <w:rPr>
          <w:spacing w:val="-3"/>
          <w:sz w:val="24"/>
        </w:rPr>
        <w:t> </w:t>
      </w:r>
      <w:r>
        <w:rPr>
          <w:sz w:val="24"/>
        </w:rPr>
        <w:t>the</w:t>
      </w:r>
      <w:r>
        <w:rPr>
          <w:spacing w:val="-3"/>
          <w:sz w:val="24"/>
        </w:rPr>
        <w:t> </w:t>
      </w:r>
      <w:r>
        <w:rPr>
          <w:sz w:val="24"/>
        </w:rPr>
        <w:t>match</w:t>
      </w:r>
      <w:r>
        <w:rPr>
          <w:spacing w:val="-3"/>
          <w:sz w:val="24"/>
        </w:rPr>
        <w:t> </w:t>
      </w:r>
      <w:r>
        <w:rPr>
          <w:sz w:val="24"/>
        </w:rPr>
        <w:t>EPV</w:t>
      </w:r>
      <w:r>
        <w:rPr>
          <w:spacing w:val="-3"/>
          <w:sz w:val="24"/>
        </w:rPr>
        <w:t> </w:t>
      </w:r>
      <w:r>
        <w:rPr>
          <w:sz w:val="24"/>
        </w:rPr>
        <w:t>for</w:t>
      </w:r>
      <w:r>
        <w:rPr>
          <w:spacing w:val="-3"/>
          <w:sz w:val="24"/>
        </w:rPr>
        <w:t> </w:t>
      </w:r>
      <w:r>
        <w:rPr>
          <w:sz w:val="24"/>
        </w:rPr>
        <w:t>all</w:t>
      </w:r>
      <w:r>
        <w:rPr>
          <w:spacing w:val="-3"/>
          <w:sz w:val="24"/>
        </w:rPr>
        <w:t> </w:t>
      </w:r>
      <w:r>
        <w:rPr>
          <w:sz w:val="24"/>
        </w:rPr>
        <w:t>zones</w:t>
      </w:r>
      <w:r>
        <w:rPr>
          <w:spacing w:val="-3"/>
          <w:sz w:val="24"/>
        </w:rPr>
        <w:t> </w:t>
      </w:r>
      <w:r>
        <w:rPr>
          <w:sz w:val="24"/>
        </w:rPr>
        <w:t>from</w:t>
      </w:r>
      <w:r>
        <w:rPr>
          <w:spacing w:val="-3"/>
          <w:sz w:val="24"/>
        </w:rPr>
        <w:t> </w:t>
      </w:r>
      <w:r>
        <w:rPr>
          <w:sz w:val="24"/>
        </w:rPr>
        <w:t>the</w:t>
      </w:r>
      <w:r>
        <w:rPr>
          <w:spacing w:val="-3"/>
          <w:sz w:val="24"/>
        </w:rPr>
        <w:t> </w:t>
      </w:r>
      <w:r>
        <w:rPr>
          <w:sz w:val="24"/>
        </w:rPr>
        <w:t>EPV-308</w:t>
      </w:r>
      <w:r>
        <w:rPr>
          <w:spacing w:val="-3"/>
          <w:sz w:val="24"/>
        </w:rPr>
        <w:t> </w:t>
      </w:r>
      <w:r>
        <w:rPr>
          <w:sz w:val="24"/>
        </w:rPr>
        <w:t>in the row.</w:t>
      </w:r>
      <w:r>
        <w:rPr>
          <w:spacing w:val="29"/>
          <w:sz w:val="24"/>
        </w:rPr>
        <w:t> </w:t>
      </w:r>
      <w:r>
        <w:rPr>
          <w:sz w:val="24"/>
        </w:rPr>
        <w:t>Pitch lines represent own try area, half way line and </w:t>
      </w:r>
      <w:r>
        <w:rPr>
          <w:sz w:val="24"/>
        </w:rPr>
        <w:t>opposition</w:t>
      </w:r>
    </w:p>
    <w:p>
      <w:pPr>
        <w:pStyle w:val="BodyText"/>
        <w:tabs>
          <w:tab w:pos="8620" w:val="left" w:leader="dot"/>
        </w:tabs>
        <w:spacing w:line="274" w:lineRule="exact"/>
        <w:ind w:left="1518"/>
        <w:jc w:val="both"/>
      </w:pPr>
      <w:r>
        <w:rPr/>
        <w:t>try</w:t>
      </w:r>
      <w:r>
        <w:rPr>
          <w:spacing w:val="-7"/>
        </w:rPr>
        <w:t> </w:t>
      </w:r>
      <w:r>
        <w:rPr/>
        <w:t>area</w:t>
      </w:r>
      <w:r>
        <w:rPr>
          <w:spacing w:val="-6"/>
        </w:rPr>
        <w:t> </w:t>
      </w:r>
      <w:r>
        <w:rPr/>
        <w:t>for</w:t>
      </w:r>
      <w:r>
        <w:rPr>
          <w:spacing w:val="-6"/>
        </w:rPr>
        <w:t> </w:t>
      </w:r>
      <w:r>
        <w:rPr/>
        <w:t>team</w:t>
      </w:r>
      <w:r>
        <w:rPr>
          <w:spacing w:val="-6"/>
        </w:rPr>
        <w:t> </w:t>
      </w:r>
      <w:r>
        <w:rPr/>
        <w:t>attacking</w:t>
      </w:r>
      <w:r>
        <w:rPr>
          <w:spacing w:val="-6"/>
        </w:rPr>
        <w:t> </w:t>
      </w:r>
      <w:r>
        <w:rPr/>
        <w:t>in</w:t>
      </w:r>
      <w:r>
        <w:rPr>
          <w:spacing w:val="-6"/>
        </w:rPr>
        <w:t> </w:t>
      </w:r>
      <w:r>
        <w:rPr/>
        <w:t>upwards</w:t>
      </w:r>
      <w:r>
        <w:rPr>
          <w:spacing w:val="-6"/>
        </w:rPr>
        <w:t> </w:t>
      </w:r>
      <w:r>
        <w:rPr>
          <w:spacing w:val="-2"/>
        </w:rPr>
        <w:t>direction.</w:t>
      </w:r>
      <w:r>
        <w:rPr/>
        <w:tab/>
      </w:r>
      <w:r>
        <w:rPr>
          <w:color w:val="0000FF"/>
          <w:spacing w:val="-5"/>
        </w:rPr>
        <w:t>67</w:t>
      </w:r>
    </w:p>
    <w:p>
      <w:pPr>
        <w:spacing w:after="0" w:line="274" w:lineRule="exact"/>
        <w:jc w:val="both"/>
        <w:sectPr>
          <w:pgSz w:w="11910" w:h="16840"/>
          <w:pgMar w:header="1961" w:footer="1428" w:top="2280" w:bottom="1620" w:left="1680" w:right="720"/>
        </w:sectPr>
      </w:pPr>
    </w:p>
    <w:p>
      <w:pPr>
        <w:pStyle w:val="ListParagraph"/>
        <w:numPr>
          <w:ilvl w:val="1"/>
          <w:numId w:val="5"/>
        </w:numPr>
        <w:tabs>
          <w:tab w:pos="1518" w:val="left" w:leader="none"/>
          <w:tab w:pos="1519" w:val="left" w:leader="none"/>
        </w:tabs>
        <w:spacing w:line="240" w:lineRule="auto" w:before="572" w:after="0"/>
        <w:ind w:left="1518" w:right="0" w:hanging="550"/>
        <w:jc w:val="left"/>
        <w:rPr>
          <w:sz w:val="24"/>
        </w:rPr>
      </w:pPr>
      <w:r>
        <w:rPr>
          <w:sz w:val="24"/>
        </w:rPr>
        <w:t>Depiction</w:t>
      </w:r>
      <w:r>
        <w:rPr>
          <w:spacing w:val="-3"/>
          <w:sz w:val="24"/>
        </w:rPr>
        <w:t> </w:t>
      </w:r>
      <w:r>
        <w:rPr>
          <w:sz w:val="24"/>
        </w:rPr>
        <w:t>of</w:t>
      </w:r>
      <w:r>
        <w:rPr>
          <w:spacing w:val="-3"/>
          <w:sz w:val="24"/>
        </w:rPr>
        <w:t> </w:t>
      </w:r>
      <w:r>
        <w:rPr>
          <w:sz w:val="24"/>
        </w:rPr>
        <w:t>similarities</w:t>
      </w:r>
      <w:r>
        <w:rPr>
          <w:spacing w:val="-2"/>
          <w:sz w:val="24"/>
        </w:rPr>
        <w:t> </w:t>
      </w:r>
      <w:r>
        <w:rPr>
          <w:sz w:val="24"/>
        </w:rPr>
        <w:t>and</w:t>
      </w:r>
      <w:r>
        <w:rPr>
          <w:spacing w:val="-3"/>
          <w:sz w:val="24"/>
        </w:rPr>
        <w:t> </w:t>
      </w:r>
      <w:r>
        <w:rPr>
          <w:sz w:val="24"/>
        </w:rPr>
        <w:t>differences</w:t>
      </w:r>
      <w:r>
        <w:rPr>
          <w:spacing w:val="-2"/>
          <w:sz w:val="24"/>
        </w:rPr>
        <w:t> </w:t>
      </w:r>
      <w:r>
        <w:rPr>
          <w:sz w:val="24"/>
        </w:rPr>
        <w:t>between</w:t>
      </w:r>
      <w:r>
        <w:rPr>
          <w:spacing w:val="-3"/>
          <w:sz w:val="24"/>
        </w:rPr>
        <w:t> </w:t>
      </w:r>
      <w:r>
        <w:rPr>
          <w:sz w:val="24"/>
        </w:rPr>
        <w:t>EPV-308</w:t>
      </w:r>
      <w:r>
        <w:rPr>
          <w:spacing w:val="-2"/>
          <w:sz w:val="24"/>
        </w:rPr>
        <w:t> </w:t>
      </w:r>
      <w:r>
        <w:rPr>
          <w:sz w:val="24"/>
        </w:rPr>
        <w:t>(A),</w:t>
      </w:r>
      <w:r>
        <w:rPr>
          <w:spacing w:val="-3"/>
          <w:sz w:val="24"/>
        </w:rPr>
        <w:t> </w:t>
      </w:r>
      <w:r>
        <w:rPr>
          <w:sz w:val="24"/>
        </w:rPr>
        <w:t>EPV-</w:t>
      </w:r>
      <w:r>
        <w:rPr>
          <w:spacing w:val="-5"/>
          <w:sz w:val="24"/>
        </w:rPr>
        <w:t>77</w:t>
      </w:r>
    </w:p>
    <w:p>
      <w:pPr>
        <w:pStyle w:val="BodyText"/>
        <w:spacing w:line="312" w:lineRule="auto" w:before="82"/>
        <w:ind w:left="1518" w:right="496"/>
      </w:pPr>
      <w:r>
        <w:rPr/>
        <w:t>(B)</w:t>
      </w:r>
      <w:r>
        <w:rPr>
          <w:spacing w:val="25"/>
        </w:rPr>
        <w:t> </w:t>
      </w:r>
      <w:r>
        <w:rPr/>
        <w:t>and</w:t>
      </w:r>
      <w:r>
        <w:rPr>
          <w:spacing w:val="25"/>
        </w:rPr>
        <w:t> </w:t>
      </w:r>
      <w:r>
        <w:rPr/>
        <w:t>EPV-19</w:t>
      </w:r>
      <w:r>
        <w:rPr>
          <w:spacing w:val="25"/>
        </w:rPr>
        <w:t> </w:t>
      </w:r>
      <w:r>
        <w:rPr/>
        <w:t>(C)</w:t>
      </w:r>
      <w:r>
        <w:rPr>
          <w:spacing w:val="25"/>
        </w:rPr>
        <w:t> </w:t>
      </w:r>
      <w:r>
        <w:rPr/>
        <w:t>in</w:t>
      </w:r>
      <w:r>
        <w:rPr>
          <w:spacing w:val="25"/>
        </w:rPr>
        <w:t> </w:t>
      </w:r>
      <w:r>
        <w:rPr/>
        <w:t>the</w:t>
      </w:r>
      <w:r>
        <w:rPr>
          <w:spacing w:val="25"/>
        </w:rPr>
        <w:t> </w:t>
      </w:r>
      <w:r>
        <w:rPr/>
        <w:t>30m</w:t>
      </w:r>
      <w:r>
        <w:rPr>
          <w:spacing w:val="25"/>
        </w:rPr>
        <w:t> </w:t>
      </w:r>
      <w:r>
        <w:rPr/>
        <w:t>closest</w:t>
      </w:r>
      <w:r>
        <w:rPr>
          <w:spacing w:val="25"/>
        </w:rPr>
        <w:t> </w:t>
      </w:r>
      <w:r>
        <w:rPr/>
        <w:t>to</w:t>
      </w:r>
      <w:r>
        <w:rPr>
          <w:spacing w:val="25"/>
        </w:rPr>
        <w:t> </w:t>
      </w:r>
      <w:r>
        <w:rPr/>
        <w:t>the</w:t>
      </w:r>
      <w:r>
        <w:rPr>
          <w:spacing w:val="25"/>
        </w:rPr>
        <w:t> </w:t>
      </w:r>
      <w:r>
        <w:rPr/>
        <w:t>opposition</w:t>
      </w:r>
      <w:r>
        <w:rPr>
          <w:spacing w:val="25"/>
        </w:rPr>
        <w:t> </w:t>
      </w:r>
      <w:r>
        <w:rPr/>
        <w:t>try</w:t>
      </w:r>
      <w:r>
        <w:rPr>
          <w:spacing w:val="25"/>
        </w:rPr>
        <w:t> </w:t>
      </w:r>
      <w:r>
        <w:rPr/>
        <w:t>line.</w:t>
      </w:r>
      <w:r>
        <w:rPr>
          <w:spacing w:val="79"/>
        </w:rPr>
        <w:t> </w:t>
      </w:r>
      <w:r>
        <w:rPr/>
        <w:t>Each zone from the EPV-77 and EPV-19 is a weighted average of the EPV-308 zones</w:t>
      </w:r>
      <w:r>
        <w:rPr>
          <w:spacing w:val="-10"/>
        </w:rPr>
        <w:t> </w:t>
      </w:r>
      <w:r>
        <w:rPr/>
        <w:t>they</w:t>
      </w:r>
      <w:r>
        <w:rPr>
          <w:spacing w:val="-10"/>
        </w:rPr>
        <w:t> </w:t>
      </w:r>
      <w:r>
        <w:rPr/>
        <w:t>are</w:t>
      </w:r>
      <w:r>
        <w:rPr>
          <w:spacing w:val="-10"/>
        </w:rPr>
        <w:t> </w:t>
      </w:r>
      <w:r>
        <w:rPr/>
        <w:t>composed</w:t>
      </w:r>
      <w:r>
        <w:rPr>
          <w:spacing w:val="-10"/>
        </w:rPr>
        <w:t> </w:t>
      </w:r>
      <w:r>
        <w:rPr/>
        <w:t>of. Dotted</w:t>
      </w:r>
      <w:r>
        <w:rPr>
          <w:spacing w:val="-10"/>
        </w:rPr>
        <w:t> </w:t>
      </w:r>
      <w:r>
        <w:rPr/>
        <w:t>line</w:t>
      </w:r>
      <w:r>
        <w:rPr>
          <w:spacing w:val="-10"/>
        </w:rPr>
        <w:t> </w:t>
      </w:r>
      <w:r>
        <w:rPr/>
        <w:t>represents</w:t>
      </w:r>
      <w:r>
        <w:rPr>
          <w:spacing w:val="-10"/>
        </w:rPr>
        <w:t> </w:t>
      </w:r>
      <w:r>
        <w:rPr/>
        <w:t>the</w:t>
      </w:r>
      <w:r>
        <w:rPr>
          <w:spacing w:val="-10"/>
        </w:rPr>
        <w:t> </w:t>
      </w:r>
      <w:r>
        <w:rPr/>
        <w:t>opposition</w:t>
      </w:r>
      <w:r>
        <w:rPr>
          <w:spacing w:val="-10"/>
        </w:rPr>
        <w:t> </w:t>
      </w:r>
      <w:r>
        <w:rPr/>
        <w:t>20m</w:t>
      </w:r>
      <w:r>
        <w:rPr>
          <w:spacing w:val="-10"/>
        </w:rPr>
        <w:t> </w:t>
      </w:r>
      <w:r>
        <w:rPr/>
        <w:t>line.</w:t>
      </w:r>
      <w:r>
        <w:rPr>
          <w:color w:val="0000FF"/>
        </w:rPr>
        <w:t>69</w:t>
      </w:r>
    </w:p>
    <w:p>
      <w:pPr>
        <w:pStyle w:val="ListParagraph"/>
        <w:numPr>
          <w:ilvl w:val="1"/>
          <w:numId w:val="5"/>
        </w:numPr>
        <w:tabs>
          <w:tab w:pos="1518" w:val="left" w:leader="none"/>
          <w:tab w:pos="1519" w:val="left" w:leader="none"/>
        </w:tabs>
        <w:spacing w:line="275" w:lineRule="exact" w:before="0" w:after="0"/>
        <w:ind w:left="1518" w:right="0" w:hanging="550"/>
        <w:jc w:val="left"/>
        <w:rPr>
          <w:sz w:val="24"/>
        </w:rPr>
      </w:pPr>
      <w:r>
        <w:rPr>
          <w:sz w:val="24"/>
        </w:rPr>
        <w:t>EPV-308</w:t>
      </w:r>
      <w:r>
        <w:rPr>
          <w:spacing w:val="-7"/>
          <w:sz w:val="24"/>
        </w:rPr>
        <w:t> </w:t>
      </w:r>
      <w:r>
        <w:rPr>
          <w:sz w:val="24"/>
        </w:rPr>
        <w:t>(A),</w:t>
      </w:r>
      <w:r>
        <w:rPr>
          <w:spacing w:val="-6"/>
          <w:sz w:val="24"/>
        </w:rPr>
        <w:t> </w:t>
      </w:r>
      <w:r>
        <w:rPr>
          <w:sz w:val="24"/>
        </w:rPr>
        <w:t>EPV-77</w:t>
      </w:r>
      <w:r>
        <w:rPr>
          <w:spacing w:val="-7"/>
          <w:sz w:val="24"/>
        </w:rPr>
        <w:t> </w:t>
      </w:r>
      <w:r>
        <w:rPr>
          <w:sz w:val="24"/>
        </w:rPr>
        <w:t>(B),</w:t>
      </w:r>
      <w:r>
        <w:rPr>
          <w:spacing w:val="-6"/>
          <w:sz w:val="24"/>
        </w:rPr>
        <w:t> </w:t>
      </w:r>
      <w:r>
        <w:rPr>
          <w:sz w:val="24"/>
        </w:rPr>
        <w:t>EPV-37</w:t>
      </w:r>
      <w:r>
        <w:rPr>
          <w:spacing w:val="-7"/>
          <w:sz w:val="24"/>
        </w:rPr>
        <w:t> </w:t>
      </w:r>
      <w:r>
        <w:rPr>
          <w:sz w:val="24"/>
        </w:rPr>
        <w:t>(C),</w:t>
      </w:r>
      <w:r>
        <w:rPr>
          <w:spacing w:val="-6"/>
          <w:sz w:val="24"/>
        </w:rPr>
        <w:t> </w:t>
      </w:r>
      <w:r>
        <w:rPr>
          <w:sz w:val="24"/>
        </w:rPr>
        <w:t>EPV-19</w:t>
      </w:r>
      <w:r>
        <w:rPr>
          <w:spacing w:val="-7"/>
          <w:sz w:val="24"/>
        </w:rPr>
        <w:t> </w:t>
      </w:r>
      <w:r>
        <w:rPr>
          <w:sz w:val="24"/>
        </w:rPr>
        <w:t>(D),</w:t>
      </w:r>
      <w:r>
        <w:rPr>
          <w:spacing w:val="-6"/>
          <w:sz w:val="24"/>
        </w:rPr>
        <w:t> </w:t>
      </w:r>
      <w:r>
        <w:rPr>
          <w:sz w:val="24"/>
        </w:rPr>
        <w:t>EPV-13</w:t>
      </w:r>
      <w:r>
        <w:rPr>
          <w:spacing w:val="-6"/>
          <w:sz w:val="24"/>
        </w:rPr>
        <w:t> </w:t>
      </w:r>
      <w:r>
        <w:rPr>
          <w:sz w:val="24"/>
        </w:rPr>
        <w:t>(E),</w:t>
      </w:r>
      <w:r>
        <w:rPr>
          <w:spacing w:val="-6"/>
          <w:sz w:val="24"/>
        </w:rPr>
        <w:t> </w:t>
      </w:r>
      <w:r>
        <w:rPr>
          <w:spacing w:val="-4"/>
          <w:sz w:val="24"/>
        </w:rPr>
        <w:t>EPV-</w:t>
      </w:r>
    </w:p>
    <w:p>
      <w:pPr>
        <w:pStyle w:val="BodyText"/>
        <w:tabs>
          <w:tab w:pos="8620" w:val="left" w:leader="dot"/>
        </w:tabs>
        <w:spacing w:line="312" w:lineRule="auto" w:before="83"/>
        <w:ind w:left="1518" w:right="644"/>
      </w:pPr>
      <w:r>
        <w:rPr/>
        <w:t>9 (F). These are the six EPV-models produced in this study, where the</w:t>
      </w:r>
      <w:r>
        <w:rPr>
          <w:spacing w:val="40"/>
        </w:rPr>
        <w:t> </w:t>
      </w:r>
      <w:r>
        <w:rPr/>
        <w:t>number represents the number of zones present within the model.</w:t>
      </w:r>
      <w:r>
        <w:rPr>
          <w:spacing w:val="40"/>
        </w:rPr>
        <w:t> </w:t>
      </w:r>
      <w:r>
        <w:rPr/>
        <w:t>Lines represent the 20m line and 50m line.</w:t>
      </w:r>
      <w:r>
        <w:rPr>
          <w:spacing w:val="40"/>
        </w:rPr>
        <w:t> </w:t>
      </w:r>
      <w:r>
        <w:rPr/>
        <w:t>All zone values are shaded to the</w:t>
      </w:r>
      <w:r>
        <w:rPr>
          <w:spacing w:val="80"/>
        </w:rPr>
        <w:t> </w:t>
      </w:r>
      <w:r>
        <w:rPr/>
        <w:t>same scale.</w:t>
      </w:r>
      <w:r>
        <w:rPr/>
        <w:tab/>
      </w:r>
      <w:r>
        <w:rPr>
          <w:color w:val="0000FF"/>
          <w:spacing w:val="-6"/>
        </w:rPr>
        <w:t>7</w:t>
      </w:r>
      <w:r>
        <w:rPr>
          <w:color w:val="0000FF"/>
          <w:spacing w:val="-6"/>
        </w:rPr>
        <w:t>2</w:t>
      </w:r>
    </w:p>
    <w:p>
      <w:pPr>
        <w:pStyle w:val="ListParagraph"/>
        <w:numPr>
          <w:ilvl w:val="1"/>
          <w:numId w:val="5"/>
        </w:numPr>
        <w:tabs>
          <w:tab w:pos="1519" w:val="left" w:leader="none"/>
        </w:tabs>
        <w:spacing w:line="312" w:lineRule="auto" w:before="0" w:after="0"/>
        <w:ind w:left="1518" w:right="998" w:hanging="550"/>
        <w:jc w:val="both"/>
        <w:rPr>
          <w:sz w:val="24"/>
        </w:rPr>
      </w:pPr>
      <w:r>
        <w:rPr>
          <w:spacing w:val="-2"/>
          <w:sz w:val="24"/>
        </w:rPr>
        <w:t>KL</w:t>
      </w:r>
      <w:r>
        <w:rPr>
          <w:spacing w:val="-15"/>
          <w:sz w:val="24"/>
        </w:rPr>
        <w:t> </w:t>
      </w:r>
      <w:r>
        <w:rPr>
          <w:spacing w:val="-2"/>
          <w:sz w:val="24"/>
        </w:rPr>
        <w:t>Divergence</w:t>
      </w:r>
      <w:r>
        <w:rPr>
          <w:spacing w:val="-13"/>
          <w:sz w:val="24"/>
        </w:rPr>
        <w:t> </w:t>
      </w:r>
      <w:r>
        <w:rPr>
          <w:spacing w:val="-2"/>
          <w:sz w:val="24"/>
        </w:rPr>
        <w:t>values</w:t>
      </w:r>
      <w:r>
        <w:rPr>
          <w:spacing w:val="-13"/>
          <w:sz w:val="24"/>
        </w:rPr>
        <w:t> </w:t>
      </w:r>
      <w:r>
        <w:rPr>
          <w:spacing w:val="-2"/>
          <w:sz w:val="24"/>
        </w:rPr>
        <w:t>for</w:t>
      </w:r>
      <w:r>
        <w:rPr>
          <w:spacing w:val="-13"/>
          <w:sz w:val="24"/>
        </w:rPr>
        <w:t> </w:t>
      </w:r>
      <w:r>
        <w:rPr>
          <w:spacing w:val="-2"/>
          <w:sz w:val="24"/>
        </w:rPr>
        <w:t>EPV-77,</w:t>
      </w:r>
      <w:r>
        <w:rPr>
          <w:spacing w:val="-13"/>
          <w:sz w:val="24"/>
        </w:rPr>
        <w:t> </w:t>
      </w:r>
      <w:r>
        <w:rPr>
          <w:spacing w:val="-2"/>
          <w:sz w:val="24"/>
        </w:rPr>
        <w:t>EPV-37,</w:t>
      </w:r>
      <w:r>
        <w:rPr>
          <w:spacing w:val="-13"/>
          <w:sz w:val="24"/>
        </w:rPr>
        <w:t> </w:t>
      </w:r>
      <w:r>
        <w:rPr>
          <w:spacing w:val="-2"/>
          <w:sz w:val="24"/>
        </w:rPr>
        <w:t>EPV-19,</w:t>
      </w:r>
      <w:r>
        <w:rPr>
          <w:spacing w:val="-13"/>
          <w:sz w:val="24"/>
        </w:rPr>
        <w:t> </w:t>
      </w:r>
      <w:r>
        <w:rPr>
          <w:spacing w:val="-2"/>
          <w:sz w:val="24"/>
        </w:rPr>
        <w:t>EPV-13</w:t>
      </w:r>
      <w:r>
        <w:rPr>
          <w:spacing w:val="-13"/>
          <w:sz w:val="24"/>
        </w:rPr>
        <w:t> </w:t>
      </w:r>
      <w:r>
        <w:rPr>
          <w:spacing w:val="-2"/>
          <w:sz w:val="24"/>
        </w:rPr>
        <w:t>and</w:t>
      </w:r>
      <w:r>
        <w:rPr>
          <w:spacing w:val="-13"/>
          <w:sz w:val="24"/>
        </w:rPr>
        <w:t> </w:t>
      </w:r>
      <w:r>
        <w:rPr>
          <w:spacing w:val="-2"/>
          <w:sz w:val="24"/>
        </w:rPr>
        <w:t>EPV-9</w:t>
      </w:r>
      <w:r>
        <w:rPr>
          <w:spacing w:val="-2"/>
          <w:sz w:val="24"/>
        </w:rPr>
        <w:t>.</w:t>
      </w:r>
      <w:r>
        <w:rPr>
          <w:spacing w:val="-2"/>
          <w:sz w:val="24"/>
        </w:rPr>
        <w:t> </w:t>
      </w:r>
      <w:r>
        <w:rPr>
          <w:sz w:val="24"/>
        </w:rPr>
        <w:t>A</w:t>
      </w:r>
      <w:r>
        <w:rPr>
          <w:spacing w:val="-14"/>
          <w:sz w:val="24"/>
        </w:rPr>
        <w:t> </w:t>
      </w:r>
      <w:r>
        <w:rPr>
          <w:sz w:val="24"/>
        </w:rPr>
        <w:t>lower</w:t>
      </w:r>
      <w:r>
        <w:rPr>
          <w:spacing w:val="-14"/>
          <w:sz w:val="24"/>
        </w:rPr>
        <w:t> </w:t>
      </w:r>
      <w:r>
        <w:rPr>
          <w:sz w:val="24"/>
        </w:rPr>
        <w:t>value</w:t>
      </w:r>
      <w:r>
        <w:rPr>
          <w:spacing w:val="-14"/>
          <w:sz w:val="24"/>
        </w:rPr>
        <w:t> </w:t>
      </w:r>
      <w:r>
        <w:rPr>
          <w:sz w:val="24"/>
        </w:rPr>
        <w:t>indicates</w:t>
      </w:r>
      <w:r>
        <w:rPr>
          <w:spacing w:val="-14"/>
          <w:sz w:val="24"/>
        </w:rPr>
        <w:t> </w:t>
      </w:r>
      <w:r>
        <w:rPr>
          <w:sz w:val="24"/>
        </w:rPr>
        <w:t>greater</w:t>
      </w:r>
      <w:r>
        <w:rPr>
          <w:spacing w:val="-14"/>
          <w:sz w:val="24"/>
        </w:rPr>
        <w:t> </w:t>
      </w:r>
      <w:r>
        <w:rPr>
          <w:sz w:val="24"/>
        </w:rPr>
        <w:t>similarity</w:t>
      </w:r>
      <w:r>
        <w:rPr>
          <w:spacing w:val="-14"/>
          <w:sz w:val="24"/>
        </w:rPr>
        <w:t> </w:t>
      </w:r>
      <w:r>
        <w:rPr>
          <w:sz w:val="24"/>
        </w:rPr>
        <w:t>in</w:t>
      </w:r>
      <w:r>
        <w:rPr>
          <w:spacing w:val="-14"/>
          <w:sz w:val="24"/>
        </w:rPr>
        <w:t> </w:t>
      </w:r>
      <w:r>
        <w:rPr>
          <w:sz w:val="24"/>
        </w:rPr>
        <w:t>reward</w:t>
      </w:r>
      <w:r>
        <w:rPr>
          <w:spacing w:val="-14"/>
          <w:sz w:val="24"/>
        </w:rPr>
        <w:t> </w:t>
      </w:r>
      <w:r>
        <w:rPr>
          <w:sz w:val="24"/>
        </w:rPr>
        <w:t>distributions</w:t>
      </w:r>
      <w:r>
        <w:rPr>
          <w:spacing w:val="-14"/>
          <w:sz w:val="24"/>
        </w:rPr>
        <w:t> </w:t>
      </w:r>
      <w:r>
        <w:rPr>
          <w:sz w:val="24"/>
        </w:rPr>
        <w:t>between previous matches and the subsequent match.</w:t>
      </w:r>
      <w:r>
        <w:rPr>
          <w:spacing w:val="40"/>
          <w:sz w:val="24"/>
        </w:rPr>
        <w:t> </w:t>
      </w:r>
      <w:r>
        <w:rPr>
          <w:sz w:val="24"/>
        </w:rPr>
        <w:t>EPV-308 not included </w:t>
      </w:r>
      <w:r>
        <w:rPr>
          <w:sz w:val="24"/>
        </w:rPr>
        <w:t>as</w:t>
      </w:r>
      <w:r>
        <w:rPr>
          <w:sz w:val="24"/>
        </w:rPr>
        <w:t> values could not be calculated for the first seven matches due to no non- infinity values being present.</w:t>
      </w:r>
      <w:r>
        <w:rPr>
          <w:spacing w:val="32"/>
          <w:sz w:val="24"/>
        </w:rPr>
        <w:t> </w:t>
      </w:r>
      <w:r>
        <w:rPr>
          <w:sz w:val="24"/>
        </w:rPr>
        <w:t>Line provides mean value, shaded area </w:t>
      </w:r>
      <w:r>
        <w:rPr>
          <w:sz w:val="24"/>
        </w:rPr>
        <w:t>in-</w:t>
      </w:r>
    </w:p>
    <w:p>
      <w:pPr>
        <w:pStyle w:val="BodyText"/>
        <w:tabs>
          <w:tab w:pos="8620" w:val="left" w:leader="dot"/>
        </w:tabs>
        <w:spacing w:line="275" w:lineRule="exact"/>
        <w:ind w:left="1518"/>
        <w:jc w:val="both"/>
      </w:pPr>
      <w:r>
        <w:rPr/>
        <w:t>dicates</w:t>
      </w:r>
      <w:r>
        <w:rPr>
          <w:spacing w:val="-9"/>
        </w:rPr>
        <w:t> </w:t>
      </w:r>
      <w:r>
        <w:rPr/>
        <w:t>standard</w:t>
      </w:r>
      <w:r>
        <w:rPr>
          <w:spacing w:val="-8"/>
        </w:rPr>
        <w:t> </w:t>
      </w:r>
      <w:r>
        <w:rPr>
          <w:spacing w:val="-2"/>
        </w:rPr>
        <w:t>deviation.</w:t>
      </w:r>
      <w:r>
        <w:rPr/>
        <w:tab/>
      </w:r>
      <w:r>
        <w:rPr>
          <w:color w:val="0000FF"/>
          <w:spacing w:val="-5"/>
        </w:rPr>
        <w:t>81</w:t>
      </w:r>
    </w:p>
    <w:p>
      <w:pPr>
        <w:pStyle w:val="ListParagraph"/>
        <w:numPr>
          <w:ilvl w:val="1"/>
          <w:numId w:val="5"/>
        </w:numPr>
        <w:tabs>
          <w:tab w:pos="1518" w:val="left" w:leader="none"/>
          <w:tab w:pos="1519" w:val="left" w:leader="none"/>
          <w:tab w:pos="8620" w:val="left" w:leader="dot"/>
        </w:tabs>
        <w:spacing w:line="358" w:lineRule="exact" w:before="19" w:after="0"/>
        <w:ind w:left="1518" w:right="644" w:hanging="550"/>
        <w:jc w:val="left"/>
        <w:rPr>
          <w:sz w:val="24"/>
        </w:rPr>
      </w:pPr>
      <w:r>
        <w:rPr>
          <w:sz w:val="24"/>
        </w:rPr>
        <w:t>EPV-19 zones numbered so they can be distinguished from each other. Where numbers are</w:t>
      </w:r>
      <w:r>
        <w:rPr>
          <w:spacing w:val="30"/>
          <w:sz w:val="24"/>
        </w:rPr>
        <w:t> </w:t>
      </w:r>
      <w:r>
        <w:rPr>
          <w:sz w:val="24"/>
        </w:rPr>
        <w:t>repeated,</w:t>
      </w:r>
      <w:r>
        <w:rPr>
          <w:spacing w:val="34"/>
          <w:sz w:val="24"/>
        </w:rPr>
        <w:t> </w:t>
      </w:r>
      <w:r>
        <w:rPr>
          <w:sz w:val="24"/>
        </w:rPr>
        <w:t>both sides of</w:t>
      </w:r>
      <w:r>
        <w:rPr>
          <w:spacing w:val="30"/>
          <w:sz w:val="24"/>
        </w:rPr>
        <w:t> </w:t>
      </w:r>
      <w:r>
        <w:rPr>
          <w:sz w:val="24"/>
        </w:rPr>
        <w:t>the pitch make up</w:t>
      </w:r>
      <w:r>
        <w:rPr>
          <w:spacing w:val="30"/>
          <w:sz w:val="24"/>
        </w:rPr>
        <w:t> </w:t>
      </w:r>
      <w:r>
        <w:rPr>
          <w:sz w:val="24"/>
        </w:rPr>
        <w:t>the same zone (e.g. zone 2 is comprised of the widest </w:t>
      </w:r>
      <w:r>
        <w:rPr>
          <w:rFonts w:ascii="Lucida Sans Unicode" w:hAnsi="Lucida Sans Unicode"/>
          <w:sz w:val="24"/>
        </w:rPr>
        <w:t>∼</w:t>
      </w:r>
      <w:r>
        <w:rPr>
          <w:rFonts w:ascii="Lucida Sans Unicode" w:hAnsi="Lucida Sans Unicode"/>
          <w:spacing w:val="-9"/>
          <w:sz w:val="24"/>
        </w:rPr>
        <w:t> </w:t>
      </w:r>
      <w:r>
        <w:rPr>
          <w:sz w:val="24"/>
        </w:rPr>
        <w:t>5m on both sides of pitch, between 10m and 70m from the team’s own try line.</w:t>
      </w:r>
      <w:r>
        <w:rPr>
          <w:sz w:val="24"/>
        </w:rPr>
        <w:tab/>
      </w:r>
      <w:r>
        <w:rPr>
          <w:color w:val="0000FF"/>
          <w:spacing w:val="-6"/>
          <w:sz w:val="24"/>
        </w:rPr>
        <w:t>8</w:t>
      </w:r>
      <w:r>
        <w:rPr>
          <w:color w:val="0000FF"/>
          <w:spacing w:val="-6"/>
          <w:sz w:val="24"/>
        </w:rPr>
        <w:t>3</w:t>
      </w:r>
    </w:p>
    <w:p>
      <w:pPr>
        <w:pStyle w:val="ListParagraph"/>
        <w:numPr>
          <w:ilvl w:val="1"/>
          <w:numId w:val="5"/>
        </w:numPr>
        <w:tabs>
          <w:tab w:pos="1518" w:val="left" w:leader="none"/>
          <w:tab w:pos="1519" w:val="left" w:leader="none"/>
        </w:tabs>
        <w:spacing w:line="312" w:lineRule="auto" w:before="65" w:after="0"/>
        <w:ind w:left="1518" w:right="998" w:hanging="550"/>
        <w:jc w:val="left"/>
        <w:rPr>
          <w:sz w:val="24"/>
        </w:rPr>
      </w:pPr>
      <w:r>
        <w:rPr>
          <w:sz w:val="24"/>
        </w:rPr>
        <w:t>Z-score</w:t>
      </w:r>
      <w:r>
        <w:rPr>
          <w:spacing w:val="27"/>
          <w:sz w:val="24"/>
        </w:rPr>
        <w:t> </w:t>
      </w:r>
      <w:r>
        <w:rPr>
          <w:sz w:val="24"/>
        </w:rPr>
        <w:t>analysis</w:t>
      </w:r>
      <w:r>
        <w:rPr>
          <w:spacing w:val="26"/>
          <w:sz w:val="24"/>
        </w:rPr>
        <w:t> </w:t>
      </w:r>
      <w:r>
        <w:rPr>
          <w:sz w:val="24"/>
        </w:rPr>
        <w:t>of</w:t>
      </w:r>
      <w:r>
        <w:rPr>
          <w:spacing w:val="27"/>
          <w:sz w:val="24"/>
        </w:rPr>
        <w:t> </w:t>
      </w:r>
      <w:r>
        <w:rPr>
          <w:sz w:val="24"/>
        </w:rPr>
        <w:t>teams’</w:t>
      </w:r>
      <w:r>
        <w:rPr>
          <w:spacing w:val="26"/>
          <w:sz w:val="24"/>
        </w:rPr>
        <w:t> </w:t>
      </w:r>
      <w:r>
        <w:rPr>
          <w:sz w:val="24"/>
        </w:rPr>
        <w:t>attacking</w:t>
      </w:r>
      <w:r>
        <w:rPr>
          <w:spacing w:val="27"/>
          <w:sz w:val="24"/>
        </w:rPr>
        <w:t> </w:t>
      </w:r>
      <w:r>
        <w:rPr>
          <w:sz w:val="24"/>
        </w:rPr>
        <w:t>performances</w:t>
      </w:r>
      <w:r>
        <w:rPr>
          <w:spacing w:val="26"/>
          <w:sz w:val="24"/>
        </w:rPr>
        <w:t> </w:t>
      </w:r>
      <w:r>
        <w:rPr>
          <w:sz w:val="24"/>
        </w:rPr>
        <w:t>for</w:t>
      </w:r>
      <w:r>
        <w:rPr>
          <w:spacing w:val="27"/>
          <w:sz w:val="24"/>
        </w:rPr>
        <w:t> </w:t>
      </w:r>
      <w:r>
        <w:rPr>
          <w:sz w:val="24"/>
        </w:rPr>
        <w:t>the</w:t>
      </w:r>
      <w:r>
        <w:rPr>
          <w:spacing w:val="26"/>
          <w:sz w:val="24"/>
        </w:rPr>
        <w:t> </w:t>
      </w:r>
      <w:r>
        <w:rPr>
          <w:sz w:val="24"/>
        </w:rPr>
        <w:t>whole</w:t>
      </w:r>
      <w:r>
        <w:rPr>
          <w:spacing w:val="27"/>
          <w:sz w:val="24"/>
        </w:rPr>
        <w:t> </w:t>
      </w:r>
      <w:r>
        <w:rPr>
          <w:sz w:val="24"/>
        </w:rPr>
        <w:t>2019</w:t>
      </w:r>
      <w:r>
        <w:rPr>
          <w:sz w:val="24"/>
        </w:rPr>
        <w:t> Super League season.</w:t>
      </w:r>
      <w:r>
        <w:rPr>
          <w:spacing w:val="35"/>
          <w:sz w:val="24"/>
        </w:rPr>
        <w:t> </w:t>
      </w:r>
      <w:r>
        <w:rPr>
          <w:sz w:val="24"/>
        </w:rPr>
        <w:t>Numbers 1-19 reflect the zone numbers in </w:t>
      </w:r>
      <w:r>
        <w:rPr>
          <w:sz w:val="24"/>
        </w:rPr>
        <w:t>Figure</w:t>
      </w:r>
    </w:p>
    <w:p>
      <w:pPr>
        <w:pStyle w:val="BodyText"/>
        <w:tabs>
          <w:tab w:pos="8620" w:val="left" w:leader="dot"/>
        </w:tabs>
        <w:spacing w:line="312" w:lineRule="auto"/>
        <w:ind w:left="1518" w:right="644"/>
      </w:pPr>
      <w:hyperlink w:history="true" w:anchor="_bookmark89">
        <w:r>
          <w:rPr>
            <w:color w:val="0000FF"/>
          </w:rPr>
          <w:t>3.8</w:t>
        </w:r>
      </w:hyperlink>
      <w:r>
        <w:rPr/>
        <w:t>.</w:t>
      </w:r>
      <w:r>
        <w:rPr>
          <w:spacing w:val="40"/>
        </w:rPr>
        <w:t> </w:t>
      </w:r>
      <w:r>
        <w:rPr/>
        <w:t>A greater value indicates a greater proportion of EPV was obtained from the zone than the average Super League 2019 team.</w:t>
      </w:r>
      <w:r>
        <w:rPr>
          <w:spacing w:val="40"/>
        </w:rPr>
        <w:t> </w:t>
      </w:r>
      <w:r>
        <w:rPr/>
        <w:t>Distances are measured</w:t>
      </w:r>
      <w:r>
        <w:rPr>
          <w:spacing w:val="-7"/>
        </w:rPr>
        <w:t> </w:t>
      </w:r>
      <w:r>
        <w:rPr/>
        <w:t>from</w:t>
      </w:r>
      <w:r>
        <w:rPr>
          <w:spacing w:val="-7"/>
        </w:rPr>
        <w:t> </w:t>
      </w:r>
      <w:r>
        <w:rPr/>
        <w:t>the</w:t>
      </w:r>
      <w:r>
        <w:rPr>
          <w:spacing w:val="-7"/>
        </w:rPr>
        <w:t> </w:t>
      </w:r>
      <w:r>
        <w:rPr/>
        <w:t>teams</w:t>
      </w:r>
      <w:r>
        <w:rPr>
          <w:spacing w:val="-7"/>
        </w:rPr>
        <w:t> </w:t>
      </w:r>
      <w:r>
        <w:rPr/>
        <w:t>own</w:t>
      </w:r>
      <w:r>
        <w:rPr>
          <w:spacing w:val="-7"/>
        </w:rPr>
        <w:t> </w:t>
      </w:r>
      <w:r>
        <w:rPr/>
        <w:t>try</w:t>
      </w:r>
      <w:r>
        <w:rPr>
          <w:spacing w:val="-7"/>
        </w:rPr>
        <w:t> </w:t>
      </w:r>
      <w:r>
        <w:rPr>
          <w:spacing w:val="-2"/>
        </w:rPr>
        <w:t>line.</w:t>
      </w:r>
      <w:r>
        <w:rPr/>
        <w:tab/>
      </w:r>
      <w:r>
        <w:rPr>
          <w:color w:val="0000FF"/>
          <w:spacing w:val="-5"/>
        </w:rPr>
        <w:t>8</w:t>
      </w:r>
      <w:r>
        <w:rPr>
          <w:color w:val="0000FF"/>
          <w:spacing w:val="-5"/>
        </w:rPr>
        <w:t>4</w:t>
      </w:r>
    </w:p>
    <w:p>
      <w:pPr>
        <w:pStyle w:val="ListParagraph"/>
        <w:numPr>
          <w:ilvl w:val="1"/>
          <w:numId w:val="6"/>
        </w:numPr>
        <w:tabs>
          <w:tab w:pos="1518" w:val="left" w:leader="none"/>
          <w:tab w:pos="1519" w:val="left" w:leader="none"/>
          <w:tab w:pos="8620" w:val="left" w:leader="dot"/>
        </w:tabs>
        <w:spacing w:line="240" w:lineRule="auto" w:before="198" w:after="0"/>
        <w:ind w:left="1518" w:right="0" w:hanging="550"/>
        <w:jc w:val="left"/>
        <w:rPr>
          <w:sz w:val="24"/>
        </w:rPr>
      </w:pPr>
      <w:r>
        <w:rPr>
          <w:sz w:val="24"/>
        </w:rPr>
        <w:t>Data</w:t>
      </w:r>
      <w:r>
        <w:rPr>
          <w:spacing w:val="-10"/>
          <w:sz w:val="24"/>
        </w:rPr>
        <w:t> </w:t>
      </w:r>
      <w:r>
        <w:rPr>
          <w:sz w:val="24"/>
        </w:rPr>
        <w:t>preprocessing</w:t>
      </w:r>
      <w:r>
        <w:rPr>
          <w:spacing w:val="-10"/>
          <w:sz w:val="24"/>
        </w:rPr>
        <w:t> </w:t>
      </w:r>
      <w:r>
        <w:rPr>
          <w:spacing w:val="-2"/>
          <w:sz w:val="24"/>
        </w:rPr>
        <w:t>workflow</w:t>
      </w:r>
      <w:r>
        <w:rPr>
          <w:sz w:val="24"/>
        </w:rPr>
        <w:tab/>
      </w:r>
      <w:r>
        <w:rPr>
          <w:color w:val="0000FF"/>
          <w:spacing w:val="-5"/>
          <w:sz w:val="24"/>
        </w:rPr>
        <w:t>90</w:t>
      </w:r>
    </w:p>
    <w:p>
      <w:pPr>
        <w:pStyle w:val="ListParagraph"/>
        <w:numPr>
          <w:ilvl w:val="1"/>
          <w:numId w:val="6"/>
        </w:numPr>
        <w:tabs>
          <w:tab w:pos="1518" w:val="left" w:leader="none"/>
          <w:tab w:pos="1519" w:val="left" w:leader="none"/>
        </w:tabs>
        <w:spacing w:line="312" w:lineRule="auto" w:before="82" w:after="0"/>
        <w:ind w:left="1518" w:right="998" w:hanging="550"/>
        <w:jc w:val="left"/>
        <w:rPr>
          <w:sz w:val="24"/>
        </w:rPr>
      </w:pPr>
      <w:r>
        <w:rPr>
          <w:sz w:val="24"/>
        </w:rPr>
        <w:t>Standard rugby league pitch (A). Lines represent try line, 20m from </w:t>
      </w:r>
      <w:r>
        <w:rPr>
          <w:sz w:val="24"/>
        </w:rPr>
        <w:t>the</w:t>
      </w:r>
      <w:r>
        <w:rPr>
          <w:sz w:val="24"/>
        </w:rPr>
        <w:t> try</w:t>
      </w:r>
      <w:r>
        <w:rPr>
          <w:spacing w:val="-8"/>
          <w:sz w:val="24"/>
        </w:rPr>
        <w:t> </w:t>
      </w:r>
      <w:r>
        <w:rPr>
          <w:sz w:val="24"/>
        </w:rPr>
        <w:t>line</w:t>
      </w:r>
      <w:r>
        <w:rPr>
          <w:spacing w:val="-8"/>
          <w:sz w:val="24"/>
        </w:rPr>
        <w:t> </w:t>
      </w:r>
      <w:r>
        <w:rPr>
          <w:sz w:val="24"/>
        </w:rPr>
        <w:t>and</w:t>
      </w:r>
      <w:r>
        <w:rPr>
          <w:spacing w:val="-8"/>
          <w:sz w:val="24"/>
        </w:rPr>
        <w:t> </w:t>
      </w:r>
      <w:r>
        <w:rPr>
          <w:sz w:val="24"/>
        </w:rPr>
        <w:t>half</w:t>
      </w:r>
      <w:r>
        <w:rPr>
          <w:spacing w:val="-8"/>
          <w:sz w:val="24"/>
        </w:rPr>
        <w:t> </w:t>
      </w:r>
      <w:r>
        <w:rPr>
          <w:sz w:val="24"/>
        </w:rPr>
        <w:t>way</w:t>
      </w:r>
      <w:r>
        <w:rPr>
          <w:spacing w:val="-8"/>
          <w:sz w:val="24"/>
        </w:rPr>
        <w:t> </w:t>
      </w:r>
      <w:r>
        <w:rPr>
          <w:sz w:val="24"/>
        </w:rPr>
        <w:t>line. Rugby</w:t>
      </w:r>
      <w:r>
        <w:rPr>
          <w:spacing w:val="-8"/>
          <w:sz w:val="24"/>
        </w:rPr>
        <w:t> </w:t>
      </w:r>
      <w:r>
        <w:rPr>
          <w:sz w:val="24"/>
        </w:rPr>
        <w:t>league</w:t>
      </w:r>
      <w:r>
        <w:rPr>
          <w:spacing w:val="-8"/>
          <w:sz w:val="24"/>
        </w:rPr>
        <w:t> </w:t>
      </w:r>
      <w:r>
        <w:rPr>
          <w:sz w:val="24"/>
        </w:rPr>
        <w:t>pitch</w:t>
      </w:r>
      <w:r>
        <w:rPr>
          <w:spacing w:val="-8"/>
          <w:sz w:val="24"/>
        </w:rPr>
        <w:t> </w:t>
      </w:r>
      <w:r>
        <w:rPr>
          <w:sz w:val="24"/>
        </w:rPr>
        <w:t>split</w:t>
      </w:r>
      <w:r>
        <w:rPr>
          <w:spacing w:val="-8"/>
          <w:sz w:val="24"/>
        </w:rPr>
        <w:t> </w:t>
      </w:r>
      <w:r>
        <w:rPr>
          <w:sz w:val="24"/>
        </w:rPr>
        <w:t>into</w:t>
      </w:r>
      <w:r>
        <w:rPr>
          <w:spacing w:val="-8"/>
          <w:sz w:val="24"/>
        </w:rPr>
        <w:t> </w:t>
      </w:r>
      <w:r>
        <w:rPr>
          <w:sz w:val="24"/>
        </w:rPr>
        <w:t>the</w:t>
      </w:r>
      <w:r>
        <w:rPr>
          <w:spacing w:val="-8"/>
          <w:sz w:val="24"/>
        </w:rPr>
        <w:t> </w:t>
      </w:r>
      <w:r>
        <w:rPr>
          <w:sz w:val="24"/>
        </w:rPr>
        <w:t>19</w:t>
      </w:r>
      <w:r>
        <w:rPr>
          <w:spacing w:val="-8"/>
          <w:sz w:val="24"/>
        </w:rPr>
        <w:t> </w:t>
      </w:r>
      <w:r>
        <w:rPr>
          <w:sz w:val="24"/>
        </w:rPr>
        <w:t>states</w:t>
      </w:r>
      <w:r>
        <w:rPr>
          <w:spacing w:val="-8"/>
          <w:sz w:val="24"/>
        </w:rPr>
        <w:t> </w:t>
      </w:r>
      <w:r>
        <w:rPr>
          <w:sz w:val="24"/>
        </w:rPr>
        <w:t>used</w:t>
      </w:r>
    </w:p>
    <w:p>
      <w:pPr>
        <w:pStyle w:val="BodyText"/>
        <w:tabs>
          <w:tab w:pos="8620" w:val="left" w:leader="dot"/>
        </w:tabs>
        <w:spacing w:line="276" w:lineRule="exact"/>
        <w:ind w:left="1518"/>
      </w:pPr>
      <w:r>
        <w:rPr/>
        <w:t>within</w:t>
      </w:r>
      <w:r>
        <w:rPr>
          <w:spacing w:val="-7"/>
        </w:rPr>
        <w:t> </w:t>
      </w:r>
      <w:r>
        <w:rPr/>
        <w:t>this</w:t>
      </w:r>
      <w:r>
        <w:rPr>
          <w:spacing w:val="-7"/>
        </w:rPr>
        <w:t> </w:t>
      </w:r>
      <w:r>
        <w:rPr/>
        <w:t>analysis</w:t>
      </w:r>
      <w:r>
        <w:rPr>
          <w:spacing w:val="-7"/>
        </w:rPr>
        <w:t> </w:t>
      </w:r>
      <w:r>
        <w:rPr>
          <w:spacing w:val="-4"/>
        </w:rPr>
        <w:t>(B).</w:t>
      </w:r>
      <w:r>
        <w:rPr/>
        <w:tab/>
      </w:r>
      <w:r>
        <w:rPr>
          <w:color w:val="0000FF"/>
          <w:spacing w:val="-5"/>
        </w:rPr>
        <w:t>92</w:t>
      </w:r>
    </w:p>
    <w:p>
      <w:pPr>
        <w:pStyle w:val="ListParagraph"/>
        <w:numPr>
          <w:ilvl w:val="1"/>
          <w:numId w:val="6"/>
        </w:numPr>
        <w:tabs>
          <w:tab w:pos="1518" w:val="left" w:leader="none"/>
          <w:tab w:pos="1519" w:val="left" w:leader="none"/>
          <w:tab w:pos="8620" w:val="left" w:leader="dot"/>
        </w:tabs>
        <w:spacing w:line="312" w:lineRule="auto" w:before="83" w:after="0"/>
        <w:ind w:left="1518" w:right="524" w:hanging="550"/>
        <w:jc w:val="left"/>
        <w:rPr>
          <w:sz w:val="24"/>
        </w:rPr>
      </w:pPr>
      <w:r>
        <w:rPr>
          <w:sz w:val="24"/>
        </w:rPr>
        <w:t>Boxplot showing variation in action values for each action across the 19 states</w:t>
      </w:r>
      <w:r>
        <w:rPr>
          <w:spacing w:val="-4"/>
          <w:sz w:val="24"/>
        </w:rPr>
        <w:t> </w:t>
      </w:r>
      <w:r>
        <w:rPr>
          <w:sz w:val="24"/>
        </w:rPr>
        <w:t>with</w:t>
      </w:r>
      <w:r>
        <w:rPr>
          <w:spacing w:val="-4"/>
          <w:sz w:val="24"/>
        </w:rPr>
        <w:t> </w:t>
      </w:r>
      <w:r>
        <w:rPr>
          <w:sz w:val="24"/>
        </w:rPr>
        <w:t>no</w:t>
      </w:r>
      <w:r>
        <w:rPr>
          <w:spacing w:val="-4"/>
          <w:sz w:val="24"/>
        </w:rPr>
        <w:t> </w:t>
      </w:r>
      <w:r>
        <w:rPr>
          <w:sz w:val="24"/>
        </w:rPr>
        <w:t>context</w:t>
      </w:r>
      <w:r>
        <w:rPr>
          <w:spacing w:val="-4"/>
          <w:sz w:val="24"/>
        </w:rPr>
        <w:t> </w:t>
      </w:r>
      <w:r>
        <w:rPr>
          <w:sz w:val="24"/>
        </w:rPr>
        <w:t>nodes</w:t>
      </w:r>
      <w:r>
        <w:rPr>
          <w:spacing w:val="-4"/>
          <w:sz w:val="24"/>
        </w:rPr>
        <w:t> </w:t>
      </w:r>
      <w:r>
        <w:rPr>
          <w:sz w:val="24"/>
        </w:rPr>
        <w:t>included</w:t>
      </w:r>
      <w:r>
        <w:rPr>
          <w:spacing w:val="-4"/>
          <w:sz w:val="24"/>
        </w:rPr>
        <w:t> </w:t>
      </w:r>
      <w:r>
        <w:rPr>
          <w:sz w:val="24"/>
        </w:rPr>
        <w:t>(A),</w:t>
      </w:r>
      <w:r>
        <w:rPr>
          <w:spacing w:val="-4"/>
          <w:sz w:val="24"/>
        </w:rPr>
        <w:t> </w:t>
      </w:r>
      <w:r>
        <w:rPr>
          <w:sz w:val="24"/>
        </w:rPr>
        <w:t>period</w:t>
      </w:r>
      <w:r>
        <w:rPr>
          <w:spacing w:val="-4"/>
          <w:sz w:val="24"/>
        </w:rPr>
        <w:t> </w:t>
      </w:r>
      <w:r>
        <w:rPr>
          <w:sz w:val="24"/>
        </w:rPr>
        <w:t>as</w:t>
      </w:r>
      <w:r>
        <w:rPr>
          <w:spacing w:val="-4"/>
          <w:sz w:val="24"/>
        </w:rPr>
        <w:t> </w:t>
      </w:r>
      <w:r>
        <w:rPr>
          <w:sz w:val="24"/>
        </w:rPr>
        <w:t>context</w:t>
      </w:r>
      <w:r>
        <w:rPr>
          <w:spacing w:val="-4"/>
          <w:sz w:val="24"/>
        </w:rPr>
        <w:t> </w:t>
      </w:r>
      <w:r>
        <w:rPr>
          <w:sz w:val="24"/>
        </w:rPr>
        <w:t>(B)</w:t>
      </w:r>
      <w:r>
        <w:rPr>
          <w:spacing w:val="-4"/>
          <w:sz w:val="24"/>
        </w:rPr>
        <w:t> </w:t>
      </w:r>
      <w:r>
        <w:rPr>
          <w:sz w:val="24"/>
        </w:rPr>
        <w:t>and</w:t>
      </w:r>
      <w:r>
        <w:rPr>
          <w:spacing w:val="-4"/>
          <w:sz w:val="24"/>
        </w:rPr>
        <w:t> </w:t>
      </w:r>
      <w:r>
        <w:rPr>
          <w:sz w:val="24"/>
        </w:rPr>
        <w:t>match score</w:t>
      </w:r>
      <w:r>
        <w:rPr>
          <w:spacing w:val="32"/>
          <w:sz w:val="24"/>
        </w:rPr>
        <w:t> </w:t>
      </w:r>
      <w:r>
        <w:rPr>
          <w:sz w:val="24"/>
        </w:rPr>
        <w:t>as</w:t>
      </w:r>
      <w:r>
        <w:rPr>
          <w:spacing w:val="32"/>
          <w:sz w:val="24"/>
        </w:rPr>
        <w:t> </w:t>
      </w:r>
      <w:r>
        <w:rPr>
          <w:sz w:val="24"/>
        </w:rPr>
        <w:t>context</w:t>
      </w:r>
      <w:r>
        <w:rPr>
          <w:spacing w:val="32"/>
          <w:sz w:val="24"/>
        </w:rPr>
        <w:t> </w:t>
      </w:r>
      <w:r>
        <w:rPr>
          <w:sz w:val="24"/>
        </w:rPr>
        <w:t>(C)).</w:t>
      </w:r>
      <w:r>
        <w:rPr>
          <w:spacing w:val="32"/>
          <w:sz w:val="24"/>
        </w:rPr>
        <w:t> </w:t>
      </w:r>
      <w:r>
        <w:rPr>
          <w:sz w:val="24"/>
        </w:rPr>
        <w:t>Circles</w:t>
      </w:r>
      <w:r>
        <w:rPr>
          <w:spacing w:val="32"/>
          <w:sz w:val="24"/>
        </w:rPr>
        <w:t> </w:t>
      </w:r>
      <w:r>
        <w:rPr>
          <w:sz w:val="24"/>
        </w:rPr>
        <w:t>depict</w:t>
      </w:r>
      <w:r>
        <w:rPr>
          <w:spacing w:val="32"/>
          <w:sz w:val="24"/>
        </w:rPr>
        <w:t> </w:t>
      </w:r>
      <w:r>
        <w:rPr>
          <w:sz w:val="24"/>
        </w:rPr>
        <w:t>outliers,</w:t>
      </w:r>
      <w:r>
        <w:rPr>
          <w:spacing w:val="38"/>
          <w:sz w:val="24"/>
        </w:rPr>
        <w:t> </w:t>
      </w:r>
      <w:r>
        <w:rPr>
          <w:sz w:val="24"/>
        </w:rPr>
        <w:t>calculated</w:t>
      </w:r>
      <w:r>
        <w:rPr>
          <w:spacing w:val="32"/>
          <w:sz w:val="24"/>
        </w:rPr>
        <w:t> </w:t>
      </w:r>
      <w:r>
        <w:rPr>
          <w:sz w:val="24"/>
        </w:rPr>
        <w:t>as</w:t>
      </w:r>
      <w:r>
        <w:rPr>
          <w:spacing w:val="32"/>
          <w:sz w:val="24"/>
        </w:rPr>
        <w:t> </w:t>
      </w:r>
      <w:r>
        <w:rPr>
          <w:sz w:val="24"/>
        </w:rPr>
        <w:t>those</w:t>
      </w:r>
      <w:r>
        <w:rPr>
          <w:spacing w:val="32"/>
          <w:sz w:val="24"/>
        </w:rPr>
        <w:t> </w:t>
      </w:r>
      <w:r>
        <w:rPr>
          <w:sz w:val="24"/>
        </w:rPr>
        <w:t>values more than 1.5*interquartile range beyond the upper quartile.</w:t>
      </w:r>
      <w:r>
        <w:rPr>
          <w:sz w:val="24"/>
        </w:rPr>
        <w:tab/>
      </w:r>
      <w:r>
        <w:rPr>
          <w:color w:val="0000FF"/>
          <w:spacing w:val="-4"/>
          <w:sz w:val="24"/>
        </w:rPr>
        <w:t>10</w:t>
      </w:r>
      <w:r>
        <w:rPr>
          <w:color w:val="0000FF"/>
          <w:spacing w:val="-4"/>
          <w:sz w:val="24"/>
        </w:rPr>
        <w:t>0</w:t>
      </w:r>
    </w:p>
    <w:p>
      <w:pPr>
        <w:spacing w:after="0" w:line="312" w:lineRule="auto"/>
        <w:jc w:val="left"/>
        <w:rPr>
          <w:sz w:val="24"/>
        </w:rPr>
        <w:sectPr>
          <w:pgSz w:w="11910" w:h="16840"/>
          <w:pgMar w:header="1961" w:footer="1428" w:top="2280" w:bottom="1620" w:left="1680" w:right="720"/>
        </w:sectPr>
      </w:pPr>
    </w:p>
    <w:p>
      <w:pPr>
        <w:pStyle w:val="ListParagraph"/>
        <w:numPr>
          <w:ilvl w:val="1"/>
          <w:numId w:val="6"/>
        </w:numPr>
        <w:tabs>
          <w:tab w:pos="1519" w:val="left" w:leader="none"/>
        </w:tabs>
        <w:spacing w:line="312" w:lineRule="auto" w:before="572" w:after="0"/>
        <w:ind w:left="1518" w:right="998" w:hanging="550"/>
        <w:jc w:val="both"/>
        <w:rPr>
          <w:sz w:val="24"/>
        </w:rPr>
      </w:pPr>
      <w:r>
        <w:rPr>
          <w:sz w:val="24"/>
        </w:rPr>
        <w:t>Team</w:t>
      </w:r>
      <w:r>
        <w:rPr>
          <w:spacing w:val="-7"/>
          <w:sz w:val="24"/>
        </w:rPr>
        <w:t> </w:t>
      </w:r>
      <w:r>
        <w:rPr>
          <w:sz w:val="24"/>
        </w:rPr>
        <w:t>state,</w:t>
      </w:r>
      <w:r>
        <w:rPr>
          <w:spacing w:val="-7"/>
          <w:sz w:val="24"/>
        </w:rPr>
        <w:t> </w:t>
      </w:r>
      <w:r>
        <w:rPr>
          <w:sz w:val="24"/>
        </w:rPr>
        <w:t>action</w:t>
      </w:r>
      <w:r>
        <w:rPr>
          <w:spacing w:val="-7"/>
          <w:sz w:val="24"/>
        </w:rPr>
        <w:t> </w:t>
      </w:r>
      <w:r>
        <w:rPr>
          <w:sz w:val="24"/>
        </w:rPr>
        <w:t>value</w:t>
      </w:r>
      <w:r>
        <w:rPr>
          <w:spacing w:val="-7"/>
          <w:sz w:val="24"/>
        </w:rPr>
        <w:t> </w:t>
      </w:r>
      <w:r>
        <w:rPr>
          <w:sz w:val="24"/>
        </w:rPr>
        <w:t>plot</w:t>
      </w:r>
      <w:r>
        <w:rPr>
          <w:spacing w:val="-7"/>
          <w:sz w:val="24"/>
        </w:rPr>
        <w:t> </w:t>
      </w:r>
      <w:r>
        <w:rPr>
          <w:sz w:val="24"/>
        </w:rPr>
        <w:t>for</w:t>
      </w:r>
      <w:r>
        <w:rPr>
          <w:spacing w:val="-7"/>
          <w:sz w:val="24"/>
        </w:rPr>
        <w:t> </w:t>
      </w:r>
      <w:r>
        <w:rPr>
          <w:sz w:val="24"/>
        </w:rPr>
        <w:t>Hull. All</w:t>
      </w:r>
      <w:r>
        <w:rPr>
          <w:spacing w:val="-7"/>
          <w:sz w:val="24"/>
        </w:rPr>
        <w:t> </w:t>
      </w:r>
      <w:r>
        <w:rPr>
          <w:sz w:val="24"/>
        </w:rPr>
        <w:t>state,</w:t>
      </w:r>
      <w:r>
        <w:rPr>
          <w:spacing w:val="-7"/>
          <w:sz w:val="24"/>
        </w:rPr>
        <w:t> </w:t>
      </w:r>
      <w:r>
        <w:rPr>
          <w:sz w:val="24"/>
        </w:rPr>
        <w:t>action</w:t>
      </w:r>
      <w:r>
        <w:rPr>
          <w:spacing w:val="-7"/>
          <w:sz w:val="24"/>
        </w:rPr>
        <w:t> </w:t>
      </w:r>
      <w:r>
        <w:rPr>
          <w:sz w:val="24"/>
        </w:rPr>
        <w:t>values</w:t>
      </w:r>
      <w:r>
        <w:rPr>
          <w:spacing w:val="-7"/>
          <w:sz w:val="24"/>
        </w:rPr>
        <w:t> </w:t>
      </w:r>
      <w:r>
        <w:rPr>
          <w:sz w:val="24"/>
        </w:rPr>
        <w:t>are</w:t>
      </w:r>
      <w:r>
        <w:rPr>
          <w:spacing w:val="-7"/>
          <w:sz w:val="24"/>
        </w:rPr>
        <w:t> </w:t>
      </w:r>
      <w:r>
        <w:rPr>
          <w:sz w:val="24"/>
        </w:rPr>
        <w:t>centred</w:t>
      </w:r>
      <w:r>
        <w:rPr>
          <w:sz w:val="24"/>
        </w:rPr>
        <w:t> by the league average value.</w:t>
      </w:r>
      <w:r>
        <w:rPr>
          <w:spacing w:val="40"/>
          <w:sz w:val="24"/>
        </w:rPr>
        <w:t> </w:t>
      </w:r>
      <w:r>
        <w:rPr>
          <w:sz w:val="24"/>
        </w:rPr>
        <w:t>Green values indicate team is better at the action</w:t>
      </w:r>
      <w:r>
        <w:rPr>
          <w:spacing w:val="15"/>
          <w:sz w:val="24"/>
        </w:rPr>
        <w:t> </w:t>
      </w:r>
      <w:r>
        <w:rPr>
          <w:sz w:val="24"/>
        </w:rPr>
        <w:t>in</w:t>
      </w:r>
      <w:r>
        <w:rPr>
          <w:spacing w:val="15"/>
          <w:sz w:val="24"/>
        </w:rPr>
        <w:t> </w:t>
      </w:r>
      <w:r>
        <w:rPr>
          <w:sz w:val="24"/>
        </w:rPr>
        <w:t>a</w:t>
      </w:r>
      <w:r>
        <w:rPr>
          <w:spacing w:val="15"/>
          <w:sz w:val="24"/>
        </w:rPr>
        <w:t> </w:t>
      </w:r>
      <w:r>
        <w:rPr>
          <w:sz w:val="24"/>
        </w:rPr>
        <w:t>specific</w:t>
      </w:r>
      <w:r>
        <w:rPr>
          <w:spacing w:val="15"/>
          <w:sz w:val="24"/>
        </w:rPr>
        <w:t> </w:t>
      </w:r>
      <w:r>
        <w:rPr>
          <w:sz w:val="24"/>
        </w:rPr>
        <w:t>state</w:t>
      </w:r>
      <w:r>
        <w:rPr>
          <w:spacing w:val="15"/>
          <w:sz w:val="24"/>
        </w:rPr>
        <w:t> </w:t>
      </w:r>
      <w:r>
        <w:rPr>
          <w:sz w:val="24"/>
        </w:rPr>
        <w:t>than</w:t>
      </w:r>
      <w:r>
        <w:rPr>
          <w:spacing w:val="15"/>
          <w:sz w:val="24"/>
        </w:rPr>
        <w:t> </w:t>
      </w:r>
      <w:r>
        <w:rPr>
          <w:sz w:val="24"/>
        </w:rPr>
        <w:t>the</w:t>
      </w:r>
      <w:r>
        <w:rPr>
          <w:spacing w:val="15"/>
          <w:sz w:val="24"/>
        </w:rPr>
        <w:t> </w:t>
      </w:r>
      <w:r>
        <w:rPr>
          <w:sz w:val="24"/>
        </w:rPr>
        <w:t>league</w:t>
      </w:r>
      <w:r>
        <w:rPr>
          <w:spacing w:val="15"/>
          <w:sz w:val="24"/>
        </w:rPr>
        <w:t> </w:t>
      </w:r>
      <w:r>
        <w:rPr>
          <w:sz w:val="24"/>
        </w:rPr>
        <w:t>average</w:t>
      </w:r>
      <w:r>
        <w:rPr>
          <w:spacing w:val="15"/>
          <w:sz w:val="24"/>
        </w:rPr>
        <w:t> </w:t>
      </w:r>
      <w:r>
        <w:rPr>
          <w:sz w:val="24"/>
        </w:rPr>
        <w:t>team;</w:t>
      </w:r>
      <w:r>
        <w:rPr>
          <w:spacing w:val="25"/>
          <w:sz w:val="24"/>
        </w:rPr>
        <w:t> </w:t>
      </w:r>
      <w:r>
        <w:rPr>
          <w:sz w:val="24"/>
        </w:rPr>
        <w:t>red</w:t>
      </w:r>
      <w:r>
        <w:rPr>
          <w:spacing w:val="15"/>
          <w:sz w:val="24"/>
        </w:rPr>
        <w:t> </w:t>
      </w:r>
      <w:r>
        <w:rPr>
          <w:sz w:val="24"/>
        </w:rPr>
        <w:t>indicate</w:t>
      </w:r>
      <w:r>
        <w:rPr>
          <w:spacing w:val="15"/>
          <w:sz w:val="24"/>
        </w:rPr>
        <w:t> </w:t>
      </w:r>
      <w:r>
        <w:rPr>
          <w:sz w:val="24"/>
        </w:rPr>
        <w:t>the</w:t>
      </w:r>
    </w:p>
    <w:p>
      <w:pPr>
        <w:pStyle w:val="BodyText"/>
        <w:tabs>
          <w:tab w:pos="8620" w:val="left" w:leader="dot"/>
        </w:tabs>
        <w:spacing w:line="275" w:lineRule="exact"/>
        <w:ind w:left="1518"/>
        <w:jc w:val="both"/>
      </w:pPr>
      <w:r>
        <w:rPr/>
        <w:t>team</w:t>
      </w:r>
      <w:r>
        <w:rPr>
          <w:spacing w:val="-5"/>
        </w:rPr>
        <w:t> </w:t>
      </w:r>
      <w:r>
        <w:rPr/>
        <w:t>is</w:t>
      </w:r>
      <w:r>
        <w:rPr>
          <w:spacing w:val="-4"/>
        </w:rPr>
        <w:t> </w:t>
      </w:r>
      <w:r>
        <w:rPr>
          <w:spacing w:val="-2"/>
        </w:rPr>
        <w:t>worse.</w:t>
      </w:r>
      <w:r>
        <w:rPr/>
        <w:tab/>
      </w:r>
      <w:r>
        <w:rPr>
          <w:color w:val="0000FF"/>
          <w:spacing w:val="-5"/>
        </w:rPr>
        <w:t>105</w:t>
      </w:r>
    </w:p>
    <w:p>
      <w:pPr>
        <w:pStyle w:val="ListParagraph"/>
        <w:numPr>
          <w:ilvl w:val="1"/>
          <w:numId w:val="6"/>
        </w:numPr>
        <w:tabs>
          <w:tab w:pos="1519" w:val="left" w:leader="none"/>
        </w:tabs>
        <w:spacing w:line="312" w:lineRule="auto" w:before="82" w:after="0"/>
        <w:ind w:left="1518" w:right="998" w:hanging="550"/>
        <w:jc w:val="both"/>
        <w:rPr>
          <w:sz w:val="24"/>
        </w:rPr>
      </w:pPr>
      <w:r>
        <w:rPr>
          <w:sz w:val="24"/>
        </w:rPr>
        <w:t>Team state, action value plot for St Helens.</w:t>
      </w:r>
      <w:r>
        <w:rPr>
          <w:spacing w:val="40"/>
          <w:sz w:val="24"/>
        </w:rPr>
        <w:t> </w:t>
      </w:r>
      <w:r>
        <w:rPr>
          <w:sz w:val="24"/>
        </w:rPr>
        <w:t>All state, action values are centred</w:t>
      </w:r>
      <w:r>
        <w:rPr>
          <w:spacing w:val="-5"/>
          <w:sz w:val="24"/>
        </w:rPr>
        <w:t> </w:t>
      </w:r>
      <w:r>
        <w:rPr>
          <w:sz w:val="24"/>
        </w:rPr>
        <w:t>by</w:t>
      </w:r>
      <w:r>
        <w:rPr>
          <w:spacing w:val="-5"/>
          <w:sz w:val="24"/>
        </w:rPr>
        <w:t> </w:t>
      </w:r>
      <w:r>
        <w:rPr>
          <w:sz w:val="24"/>
        </w:rPr>
        <w:t>the</w:t>
      </w:r>
      <w:r>
        <w:rPr>
          <w:spacing w:val="-5"/>
          <w:sz w:val="24"/>
        </w:rPr>
        <w:t> </w:t>
      </w:r>
      <w:r>
        <w:rPr>
          <w:sz w:val="24"/>
        </w:rPr>
        <w:t>league</w:t>
      </w:r>
      <w:r>
        <w:rPr>
          <w:spacing w:val="-5"/>
          <w:sz w:val="24"/>
        </w:rPr>
        <w:t> </w:t>
      </w:r>
      <w:r>
        <w:rPr>
          <w:sz w:val="24"/>
        </w:rPr>
        <w:t>average</w:t>
      </w:r>
      <w:r>
        <w:rPr>
          <w:spacing w:val="-5"/>
          <w:sz w:val="24"/>
        </w:rPr>
        <w:t> </w:t>
      </w:r>
      <w:r>
        <w:rPr>
          <w:sz w:val="24"/>
        </w:rPr>
        <w:t>value. Green</w:t>
      </w:r>
      <w:r>
        <w:rPr>
          <w:spacing w:val="-5"/>
          <w:sz w:val="24"/>
        </w:rPr>
        <w:t> </w:t>
      </w:r>
      <w:r>
        <w:rPr>
          <w:sz w:val="24"/>
        </w:rPr>
        <w:t>values</w:t>
      </w:r>
      <w:r>
        <w:rPr>
          <w:spacing w:val="-5"/>
          <w:sz w:val="24"/>
        </w:rPr>
        <w:t> </w:t>
      </w:r>
      <w:r>
        <w:rPr>
          <w:sz w:val="24"/>
        </w:rPr>
        <w:t>indicate</w:t>
      </w:r>
      <w:r>
        <w:rPr>
          <w:spacing w:val="-5"/>
          <w:sz w:val="24"/>
        </w:rPr>
        <w:t> </w:t>
      </w:r>
      <w:r>
        <w:rPr>
          <w:sz w:val="24"/>
        </w:rPr>
        <w:t>team</w:t>
      </w:r>
      <w:r>
        <w:rPr>
          <w:spacing w:val="-5"/>
          <w:sz w:val="24"/>
        </w:rPr>
        <w:t> </w:t>
      </w:r>
      <w:r>
        <w:rPr>
          <w:sz w:val="24"/>
        </w:rPr>
        <w:t>is</w:t>
      </w:r>
      <w:r>
        <w:rPr>
          <w:spacing w:val="-5"/>
          <w:sz w:val="24"/>
        </w:rPr>
        <w:t> </w:t>
      </w:r>
      <w:r>
        <w:rPr>
          <w:sz w:val="24"/>
        </w:rPr>
        <w:t>better</w:t>
      </w:r>
      <w:r>
        <w:rPr>
          <w:sz w:val="24"/>
        </w:rPr>
        <w:t> at</w:t>
      </w:r>
      <w:r>
        <w:rPr>
          <w:spacing w:val="-3"/>
          <w:sz w:val="24"/>
        </w:rPr>
        <w:t> </w:t>
      </w:r>
      <w:r>
        <w:rPr>
          <w:sz w:val="24"/>
        </w:rPr>
        <w:t>the</w:t>
      </w:r>
      <w:r>
        <w:rPr>
          <w:spacing w:val="-3"/>
          <w:sz w:val="24"/>
        </w:rPr>
        <w:t> </w:t>
      </w:r>
      <w:r>
        <w:rPr>
          <w:sz w:val="24"/>
        </w:rPr>
        <w:t>action</w:t>
      </w:r>
      <w:r>
        <w:rPr>
          <w:spacing w:val="-3"/>
          <w:sz w:val="24"/>
        </w:rPr>
        <w:t> </w:t>
      </w:r>
      <w:r>
        <w:rPr>
          <w:sz w:val="24"/>
        </w:rPr>
        <w:t>in</w:t>
      </w:r>
      <w:r>
        <w:rPr>
          <w:spacing w:val="-3"/>
          <w:sz w:val="24"/>
        </w:rPr>
        <w:t> </w:t>
      </w:r>
      <w:r>
        <w:rPr>
          <w:sz w:val="24"/>
        </w:rPr>
        <w:t>a</w:t>
      </w:r>
      <w:r>
        <w:rPr>
          <w:spacing w:val="-3"/>
          <w:sz w:val="24"/>
        </w:rPr>
        <w:t> </w:t>
      </w:r>
      <w:r>
        <w:rPr>
          <w:sz w:val="24"/>
        </w:rPr>
        <w:t>specific</w:t>
      </w:r>
      <w:r>
        <w:rPr>
          <w:spacing w:val="-3"/>
          <w:sz w:val="24"/>
        </w:rPr>
        <w:t> </w:t>
      </w:r>
      <w:r>
        <w:rPr>
          <w:sz w:val="24"/>
        </w:rPr>
        <w:t>state</w:t>
      </w:r>
      <w:r>
        <w:rPr>
          <w:spacing w:val="-3"/>
          <w:sz w:val="24"/>
        </w:rPr>
        <w:t> </w:t>
      </w:r>
      <w:r>
        <w:rPr>
          <w:sz w:val="24"/>
        </w:rPr>
        <w:t>than</w:t>
      </w:r>
      <w:r>
        <w:rPr>
          <w:spacing w:val="-3"/>
          <w:sz w:val="24"/>
        </w:rPr>
        <w:t> </w:t>
      </w:r>
      <w:r>
        <w:rPr>
          <w:sz w:val="24"/>
        </w:rPr>
        <w:t>the</w:t>
      </w:r>
      <w:r>
        <w:rPr>
          <w:spacing w:val="-3"/>
          <w:sz w:val="24"/>
        </w:rPr>
        <w:t> </w:t>
      </w:r>
      <w:r>
        <w:rPr>
          <w:sz w:val="24"/>
        </w:rPr>
        <w:t>league</w:t>
      </w:r>
      <w:r>
        <w:rPr>
          <w:spacing w:val="-3"/>
          <w:sz w:val="24"/>
        </w:rPr>
        <w:t> </w:t>
      </w:r>
      <w:r>
        <w:rPr>
          <w:sz w:val="24"/>
        </w:rPr>
        <w:t>average</w:t>
      </w:r>
      <w:r>
        <w:rPr>
          <w:spacing w:val="-3"/>
          <w:sz w:val="24"/>
        </w:rPr>
        <w:t> </w:t>
      </w:r>
      <w:r>
        <w:rPr>
          <w:sz w:val="24"/>
        </w:rPr>
        <w:t>team;</w:t>
      </w:r>
      <w:r>
        <w:rPr>
          <w:spacing w:val="-2"/>
          <w:sz w:val="24"/>
        </w:rPr>
        <w:t> </w:t>
      </w:r>
      <w:r>
        <w:rPr>
          <w:sz w:val="24"/>
        </w:rPr>
        <w:t>red</w:t>
      </w:r>
      <w:r>
        <w:rPr>
          <w:spacing w:val="-3"/>
          <w:sz w:val="24"/>
        </w:rPr>
        <w:t> </w:t>
      </w:r>
      <w:r>
        <w:rPr>
          <w:sz w:val="24"/>
        </w:rPr>
        <w:t>indicate</w:t>
      </w:r>
    </w:p>
    <w:p>
      <w:pPr>
        <w:pStyle w:val="BodyText"/>
        <w:tabs>
          <w:tab w:pos="8620" w:val="left" w:leader="dot"/>
        </w:tabs>
        <w:spacing w:line="275" w:lineRule="exact"/>
        <w:ind w:left="1518"/>
        <w:jc w:val="both"/>
      </w:pPr>
      <w:r>
        <w:rPr/>
        <w:t>the</w:t>
      </w:r>
      <w:r>
        <w:rPr>
          <w:spacing w:val="-5"/>
        </w:rPr>
        <w:t> </w:t>
      </w:r>
      <w:r>
        <w:rPr/>
        <w:t>team</w:t>
      </w:r>
      <w:r>
        <w:rPr>
          <w:spacing w:val="-4"/>
        </w:rPr>
        <w:t> </w:t>
      </w:r>
      <w:r>
        <w:rPr/>
        <w:t>is</w:t>
      </w:r>
      <w:r>
        <w:rPr>
          <w:spacing w:val="-4"/>
        </w:rPr>
        <w:t> </w:t>
      </w:r>
      <w:r>
        <w:rPr>
          <w:spacing w:val="-2"/>
        </w:rPr>
        <w:t>worse.</w:t>
      </w:r>
      <w:r>
        <w:rPr/>
        <w:tab/>
      </w:r>
      <w:r>
        <w:rPr>
          <w:color w:val="0000FF"/>
          <w:spacing w:val="-5"/>
        </w:rPr>
        <w:t>106</w:t>
      </w:r>
    </w:p>
    <w:p>
      <w:pPr>
        <w:pStyle w:val="ListParagraph"/>
        <w:numPr>
          <w:ilvl w:val="1"/>
          <w:numId w:val="7"/>
        </w:numPr>
        <w:tabs>
          <w:tab w:pos="1518" w:val="left" w:leader="none"/>
          <w:tab w:pos="1519" w:val="left" w:leader="none"/>
          <w:tab w:pos="8620" w:val="left" w:leader="dot"/>
        </w:tabs>
        <w:spacing w:line="240" w:lineRule="auto" w:before="282" w:after="0"/>
        <w:ind w:left="1518" w:right="0" w:hanging="550"/>
        <w:jc w:val="left"/>
        <w:rPr>
          <w:sz w:val="24"/>
        </w:rPr>
      </w:pPr>
      <w:r>
        <w:rPr>
          <w:sz w:val="24"/>
        </w:rPr>
        <w:t>Data</w:t>
      </w:r>
      <w:r>
        <w:rPr>
          <w:spacing w:val="-10"/>
          <w:sz w:val="24"/>
        </w:rPr>
        <w:t> </w:t>
      </w:r>
      <w:r>
        <w:rPr>
          <w:sz w:val="24"/>
        </w:rPr>
        <w:t>preprocessing</w:t>
      </w:r>
      <w:r>
        <w:rPr>
          <w:spacing w:val="-10"/>
          <w:sz w:val="24"/>
        </w:rPr>
        <w:t> </w:t>
      </w:r>
      <w:r>
        <w:rPr>
          <w:spacing w:val="-2"/>
          <w:sz w:val="24"/>
        </w:rPr>
        <w:t>workflow</w:t>
      </w:r>
      <w:r>
        <w:rPr>
          <w:sz w:val="24"/>
        </w:rPr>
        <w:tab/>
      </w:r>
      <w:r>
        <w:rPr>
          <w:color w:val="0000FF"/>
          <w:spacing w:val="-5"/>
          <w:sz w:val="24"/>
        </w:rPr>
        <w:t>112</w:t>
      </w:r>
    </w:p>
    <w:p>
      <w:pPr>
        <w:pStyle w:val="ListParagraph"/>
        <w:numPr>
          <w:ilvl w:val="1"/>
          <w:numId w:val="7"/>
        </w:numPr>
        <w:tabs>
          <w:tab w:pos="1518" w:val="left" w:leader="none"/>
          <w:tab w:pos="1519" w:val="left" w:leader="none"/>
          <w:tab w:pos="8620" w:val="left" w:leader="dot"/>
        </w:tabs>
        <w:spacing w:line="312" w:lineRule="auto" w:before="83" w:after="0"/>
        <w:ind w:left="1518" w:right="524" w:hanging="550"/>
        <w:jc w:val="left"/>
        <w:rPr>
          <w:sz w:val="24"/>
        </w:rPr>
      </w:pPr>
      <w:r>
        <w:rPr>
          <w:sz w:val="24"/>
        </w:rPr>
        <w:t>Location of 99,966 actions used in this study.</w:t>
      </w:r>
      <w:r>
        <w:rPr>
          <w:spacing w:val="40"/>
          <w:sz w:val="24"/>
        </w:rPr>
        <w:t> </w:t>
      </w:r>
      <w:r>
        <w:rPr>
          <w:sz w:val="24"/>
        </w:rPr>
        <w:t>Dots representative of lo- cation</w:t>
      </w:r>
      <w:r>
        <w:rPr>
          <w:spacing w:val="29"/>
          <w:sz w:val="24"/>
        </w:rPr>
        <w:t> </w:t>
      </w:r>
      <w:r>
        <w:rPr>
          <w:sz w:val="24"/>
        </w:rPr>
        <w:t>only;</w:t>
      </w:r>
      <w:r>
        <w:rPr>
          <w:spacing w:val="40"/>
          <w:sz w:val="24"/>
        </w:rPr>
        <w:t> </w:t>
      </w:r>
      <w:r>
        <w:rPr>
          <w:sz w:val="24"/>
        </w:rPr>
        <w:t>quantity</w:t>
      </w:r>
      <w:r>
        <w:rPr>
          <w:spacing w:val="29"/>
          <w:sz w:val="24"/>
        </w:rPr>
        <w:t> </w:t>
      </w:r>
      <w:r>
        <w:rPr>
          <w:sz w:val="24"/>
        </w:rPr>
        <w:t>of</w:t>
      </w:r>
      <w:r>
        <w:rPr>
          <w:spacing w:val="29"/>
          <w:sz w:val="24"/>
        </w:rPr>
        <w:t> </w:t>
      </w:r>
      <w:r>
        <w:rPr>
          <w:sz w:val="24"/>
        </w:rPr>
        <w:t>actions</w:t>
      </w:r>
      <w:r>
        <w:rPr>
          <w:spacing w:val="29"/>
          <w:sz w:val="24"/>
        </w:rPr>
        <w:t> </w:t>
      </w:r>
      <w:r>
        <w:rPr>
          <w:sz w:val="24"/>
        </w:rPr>
        <w:t>at</w:t>
      </w:r>
      <w:r>
        <w:rPr>
          <w:spacing w:val="29"/>
          <w:sz w:val="24"/>
        </w:rPr>
        <w:t> </w:t>
      </w:r>
      <w:r>
        <w:rPr>
          <w:sz w:val="24"/>
        </w:rPr>
        <w:t>each</w:t>
      </w:r>
      <w:r>
        <w:rPr>
          <w:spacing w:val="29"/>
          <w:sz w:val="24"/>
        </w:rPr>
        <w:t> </w:t>
      </w:r>
      <w:r>
        <w:rPr>
          <w:sz w:val="24"/>
        </w:rPr>
        <w:t>location</w:t>
      </w:r>
      <w:r>
        <w:rPr>
          <w:spacing w:val="29"/>
          <w:sz w:val="24"/>
        </w:rPr>
        <w:t> </w:t>
      </w:r>
      <w:r>
        <w:rPr>
          <w:sz w:val="24"/>
        </w:rPr>
        <w:t>is</w:t>
      </w:r>
      <w:r>
        <w:rPr>
          <w:spacing w:val="29"/>
          <w:sz w:val="24"/>
        </w:rPr>
        <w:t> </w:t>
      </w:r>
      <w:r>
        <w:rPr>
          <w:sz w:val="24"/>
        </w:rPr>
        <w:t>not</w:t>
      </w:r>
      <w:r>
        <w:rPr>
          <w:spacing w:val="29"/>
          <w:sz w:val="24"/>
        </w:rPr>
        <w:t> </w:t>
      </w:r>
      <w:r>
        <w:rPr>
          <w:sz w:val="24"/>
        </w:rPr>
        <w:t>displayed</w:t>
      </w:r>
      <w:r>
        <w:rPr>
          <w:spacing w:val="29"/>
          <w:sz w:val="24"/>
        </w:rPr>
        <w:t> </w:t>
      </w:r>
      <w:r>
        <w:rPr>
          <w:sz w:val="24"/>
        </w:rPr>
        <w:t>in</w:t>
      </w:r>
      <w:r>
        <w:rPr>
          <w:spacing w:val="29"/>
          <w:sz w:val="24"/>
        </w:rPr>
        <w:t> </w:t>
      </w:r>
      <w:r>
        <w:rPr>
          <w:sz w:val="24"/>
        </w:rPr>
        <w:t>this</w:t>
      </w:r>
      <w:r>
        <w:rPr>
          <w:sz w:val="24"/>
        </w:rPr>
        <w:t> </w:t>
      </w:r>
      <w:r>
        <w:rPr>
          <w:spacing w:val="-2"/>
          <w:sz w:val="24"/>
        </w:rPr>
        <w:t>plot.</w:t>
      </w:r>
      <w:r>
        <w:rPr>
          <w:sz w:val="24"/>
        </w:rPr>
        <w:tab/>
      </w:r>
      <w:r>
        <w:rPr>
          <w:color w:val="0000FF"/>
          <w:spacing w:val="-5"/>
          <w:sz w:val="24"/>
        </w:rPr>
        <w:t>11</w:t>
      </w:r>
      <w:r>
        <w:rPr>
          <w:color w:val="0000FF"/>
          <w:spacing w:val="-5"/>
          <w:sz w:val="24"/>
        </w:rPr>
        <w:t>5</w:t>
      </w:r>
    </w:p>
    <w:p>
      <w:pPr>
        <w:pStyle w:val="ListParagraph"/>
        <w:numPr>
          <w:ilvl w:val="1"/>
          <w:numId w:val="7"/>
        </w:numPr>
        <w:tabs>
          <w:tab w:pos="1518" w:val="left" w:leader="none"/>
          <w:tab w:pos="1519" w:val="left" w:leader="none"/>
          <w:tab w:pos="8620" w:val="left" w:leader="dot"/>
        </w:tabs>
        <w:spacing w:line="275" w:lineRule="exact" w:before="0" w:after="0"/>
        <w:ind w:left="1518" w:right="0" w:hanging="550"/>
        <w:jc w:val="left"/>
        <w:rPr>
          <w:sz w:val="24"/>
        </w:rPr>
      </w:pPr>
      <w:r>
        <w:rPr>
          <w:sz w:val="24"/>
        </w:rPr>
        <w:t>Workflow</w:t>
      </w:r>
      <w:r>
        <w:rPr>
          <w:spacing w:val="-14"/>
          <w:sz w:val="24"/>
        </w:rPr>
        <w:t> </w:t>
      </w:r>
      <w:r>
        <w:rPr>
          <w:sz w:val="24"/>
        </w:rPr>
        <w:t>of</w:t>
      </w:r>
      <w:r>
        <w:rPr>
          <w:spacing w:val="-14"/>
          <w:sz w:val="24"/>
        </w:rPr>
        <w:t> </w:t>
      </w:r>
      <w:r>
        <w:rPr>
          <w:sz w:val="24"/>
        </w:rPr>
        <w:t>analyses</w:t>
      </w:r>
      <w:r>
        <w:rPr>
          <w:spacing w:val="-14"/>
          <w:sz w:val="24"/>
        </w:rPr>
        <w:t> </w:t>
      </w:r>
      <w:r>
        <w:rPr>
          <w:sz w:val="24"/>
        </w:rPr>
        <w:t>conducted</w:t>
      </w:r>
      <w:r>
        <w:rPr>
          <w:spacing w:val="-14"/>
          <w:sz w:val="24"/>
        </w:rPr>
        <w:t> </w:t>
      </w:r>
      <w:r>
        <w:rPr>
          <w:sz w:val="24"/>
        </w:rPr>
        <w:t>within</w:t>
      </w:r>
      <w:r>
        <w:rPr>
          <w:spacing w:val="-14"/>
          <w:sz w:val="24"/>
        </w:rPr>
        <w:t> </w:t>
      </w:r>
      <w:r>
        <w:rPr>
          <w:sz w:val="24"/>
        </w:rPr>
        <w:t>this</w:t>
      </w:r>
      <w:r>
        <w:rPr>
          <w:spacing w:val="-14"/>
          <w:sz w:val="24"/>
        </w:rPr>
        <w:t> </w:t>
      </w:r>
      <w:r>
        <w:rPr>
          <w:spacing w:val="-2"/>
          <w:sz w:val="24"/>
        </w:rPr>
        <w:t>study</w:t>
      </w:r>
      <w:r>
        <w:rPr>
          <w:sz w:val="24"/>
        </w:rPr>
        <w:tab/>
      </w:r>
      <w:r>
        <w:rPr>
          <w:color w:val="0000FF"/>
          <w:spacing w:val="-5"/>
          <w:sz w:val="24"/>
        </w:rPr>
        <w:t>117</w:t>
      </w:r>
    </w:p>
    <w:p>
      <w:pPr>
        <w:pStyle w:val="ListParagraph"/>
        <w:numPr>
          <w:ilvl w:val="1"/>
          <w:numId w:val="7"/>
        </w:numPr>
        <w:tabs>
          <w:tab w:pos="1518" w:val="left" w:leader="none"/>
          <w:tab w:pos="1519" w:val="left" w:leader="none"/>
        </w:tabs>
        <w:spacing w:line="240" w:lineRule="auto" w:before="78" w:after="0"/>
        <w:ind w:left="1518" w:right="0" w:hanging="550"/>
        <w:jc w:val="left"/>
        <w:rPr>
          <w:rFonts w:ascii="Garamond"/>
          <w:sz w:val="24"/>
        </w:rPr>
      </w:pPr>
      <w:r>
        <w:rPr>
          <w:sz w:val="24"/>
        </w:rPr>
        <w:t>Standardised,</w:t>
      </w:r>
      <w:r>
        <w:rPr>
          <w:spacing w:val="27"/>
          <w:sz w:val="24"/>
        </w:rPr>
        <w:t> </w:t>
      </w:r>
      <w:r>
        <w:rPr>
          <w:sz w:val="24"/>
        </w:rPr>
        <w:t>unweighted</w:t>
      </w:r>
      <w:r>
        <w:rPr>
          <w:spacing w:val="21"/>
          <w:sz w:val="24"/>
        </w:rPr>
        <w:t> </w:t>
      </w:r>
      <w:r>
        <w:rPr>
          <w:sz w:val="24"/>
        </w:rPr>
        <w:t>Wasserstein</w:t>
      </w:r>
      <w:r>
        <w:rPr>
          <w:spacing w:val="22"/>
          <w:sz w:val="24"/>
        </w:rPr>
        <w:t> </w:t>
      </w:r>
      <w:r>
        <w:rPr>
          <w:sz w:val="24"/>
        </w:rPr>
        <w:t>metrics</w:t>
      </w:r>
      <w:r>
        <w:rPr>
          <w:spacing w:val="21"/>
          <w:sz w:val="24"/>
        </w:rPr>
        <w:t> </w:t>
      </w:r>
      <w:r>
        <w:rPr>
          <w:sz w:val="24"/>
        </w:rPr>
        <w:t>for</w:t>
      </w:r>
      <w:r>
        <w:rPr>
          <w:spacing w:val="21"/>
          <w:sz w:val="24"/>
        </w:rPr>
        <w:t> </w:t>
      </w:r>
      <w:r>
        <w:rPr>
          <w:rFonts w:ascii="Cambria"/>
          <w:sz w:val="24"/>
        </w:rPr>
        <w:t>p</w:t>
      </w:r>
      <w:r>
        <w:rPr>
          <w:rFonts w:ascii="Cambria"/>
          <w:spacing w:val="55"/>
          <w:sz w:val="24"/>
        </w:rPr>
        <w:t> </w:t>
      </w:r>
      <w:r>
        <w:rPr>
          <w:rFonts w:ascii="Garamond"/>
          <w:sz w:val="24"/>
        </w:rPr>
        <w:t>=</w:t>
      </w:r>
      <w:r>
        <w:rPr>
          <w:rFonts w:ascii="Garamond"/>
          <w:spacing w:val="50"/>
          <w:sz w:val="24"/>
        </w:rPr>
        <w:t> </w:t>
      </w:r>
      <w:r>
        <w:rPr>
          <w:rFonts w:ascii="Garamond"/>
          <w:sz w:val="24"/>
        </w:rPr>
        <w:t>1</w:t>
      </w:r>
      <w:r>
        <w:rPr>
          <w:rFonts w:ascii="Garamond"/>
          <w:spacing w:val="21"/>
          <w:sz w:val="24"/>
        </w:rPr>
        <w:t> </w:t>
      </w:r>
      <w:r>
        <w:rPr>
          <w:sz w:val="24"/>
        </w:rPr>
        <w:t>(left),</w:t>
      </w:r>
      <w:r>
        <w:rPr>
          <w:spacing w:val="28"/>
          <w:sz w:val="24"/>
        </w:rPr>
        <w:t> </w:t>
      </w:r>
      <w:r>
        <w:rPr>
          <w:rFonts w:ascii="Cambria"/>
          <w:sz w:val="24"/>
        </w:rPr>
        <w:t>p</w:t>
      </w:r>
      <w:r>
        <w:rPr>
          <w:rFonts w:ascii="Cambria"/>
          <w:spacing w:val="55"/>
          <w:sz w:val="24"/>
        </w:rPr>
        <w:t> </w:t>
      </w:r>
      <w:r>
        <w:rPr>
          <w:rFonts w:ascii="Garamond"/>
          <w:sz w:val="24"/>
        </w:rPr>
        <w:t>=</w:t>
      </w:r>
      <w:r>
        <w:rPr>
          <w:rFonts w:ascii="Garamond"/>
          <w:spacing w:val="50"/>
          <w:sz w:val="24"/>
        </w:rPr>
        <w:t> </w:t>
      </w:r>
      <w:r>
        <w:rPr>
          <w:rFonts w:ascii="Garamond"/>
          <w:spacing w:val="-10"/>
          <w:sz w:val="24"/>
        </w:rPr>
        <w:t>2</w:t>
      </w:r>
    </w:p>
    <w:p>
      <w:pPr>
        <w:pStyle w:val="BodyText"/>
        <w:tabs>
          <w:tab w:pos="8620" w:val="left" w:leader="dot"/>
        </w:tabs>
        <w:spacing w:before="68"/>
        <w:ind w:left="1518"/>
      </w:pPr>
      <w:r>
        <w:rPr/>
        <w:t>(centre)</w:t>
      </w:r>
      <w:r>
        <w:rPr>
          <w:spacing w:val="-5"/>
        </w:rPr>
        <w:t> </w:t>
      </w:r>
      <w:r>
        <w:rPr/>
        <w:t>and</w:t>
      </w:r>
      <w:r>
        <w:rPr>
          <w:spacing w:val="-5"/>
        </w:rPr>
        <w:t> </w:t>
      </w:r>
      <w:r>
        <w:rPr>
          <w:rFonts w:ascii="Cambria"/>
        </w:rPr>
        <w:t>p</w:t>
      </w:r>
      <w:r>
        <w:rPr>
          <w:rFonts w:ascii="Cambria"/>
          <w:spacing w:val="9"/>
        </w:rPr>
        <w:t> </w:t>
      </w:r>
      <w:r>
        <w:rPr>
          <w:rFonts w:ascii="Garamond"/>
        </w:rPr>
        <w:t>=</w:t>
      </w:r>
      <w:r>
        <w:rPr>
          <w:rFonts w:ascii="Garamond"/>
          <w:spacing w:val="1"/>
        </w:rPr>
        <w:t> </w:t>
      </w:r>
      <w:r>
        <w:rPr>
          <w:rFonts w:ascii="Garamond"/>
        </w:rPr>
        <w:t>3</w:t>
      </w:r>
      <w:r>
        <w:rPr>
          <w:rFonts w:ascii="Garamond"/>
          <w:spacing w:val="-5"/>
        </w:rPr>
        <w:t> </w:t>
      </w:r>
      <w:r>
        <w:rPr/>
        <w:t>(right).</w:t>
      </w:r>
      <w:r>
        <w:rPr>
          <w:spacing w:val="10"/>
        </w:rPr>
        <w:t> </w:t>
      </w:r>
      <w:r>
        <w:rPr/>
        <w:t>Distances</w:t>
      </w:r>
      <w:r>
        <w:rPr>
          <w:spacing w:val="-5"/>
        </w:rPr>
        <w:t> </w:t>
      </w:r>
      <w:r>
        <w:rPr/>
        <w:t>are</w:t>
      </w:r>
      <w:r>
        <w:rPr>
          <w:spacing w:val="-5"/>
        </w:rPr>
        <w:t> </w:t>
      </w:r>
      <w:r>
        <w:rPr/>
        <w:t>calculated</w:t>
      </w:r>
      <w:r>
        <w:rPr>
          <w:spacing w:val="-5"/>
        </w:rPr>
        <w:t> </w:t>
      </w:r>
      <w:r>
        <w:rPr/>
        <w:t>from</w:t>
      </w:r>
      <w:r>
        <w:rPr>
          <w:spacing w:val="-5"/>
        </w:rPr>
        <w:t> </w:t>
      </w:r>
      <w:r>
        <w:rPr/>
        <w:t>central</w:t>
      </w:r>
      <w:r>
        <w:rPr>
          <w:spacing w:val="-5"/>
        </w:rPr>
        <w:t> </w:t>
      </w:r>
      <w:r>
        <w:rPr>
          <w:spacing w:val="-2"/>
        </w:rPr>
        <w:t>point.</w:t>
      </w:r>
      <w:r>
        <w:rPr/>
        <w:tab/>
      </w:r>
      <w:r>
        <w:rPr>
          <w:color w:val="0000FF"/>
          <w:spacing w:val="-5"/>
        </w:rPr>
        <w:t>122</w:t>
      </w:r>
    </w:p>
    <w:p>
      <w:pPr>
        <w:pStyle w:val="ListParagraph"/>
        <w:numPr>
          <w:ilvl w:val="1"/>
          <w:numId w:val="7"/>
        </w:numPr>
        <w:tabs>
          <w:tab w:pos="1518" w:val="left" w:leader="none"/>
          <w:tab w:pos="1519" w:val="left" w:leader="none"/>
        </w:tabs>
        <w:spacing w:line="240" w:lineRule="auto" w:before="71" w:after="0"/>
        <w:ind w:left="1518" w:right="0" w:hanging="550"/>
        <w:jc w:val="left"/>
        <w:rPr>
          <w:sz w:val="24"/>
        </w:rPr>
      </w:pPr>
      <w:r>
        <w:rPr>
          <w:sz w:val="24"/>
        </w:rPr>
        <w:t>Kernel</w:t>
      </w:r>
      <w:r>
        <w:rPr>
          <w:spacing w:val="-7"/>
          <w:sz w:val="24"/>
        </w:rPr>
        <w:t> </w:t>
      </w:r>
      <w:r>
        <w:rPr>
          <w:sz w:val="24"/>
        </w:rPr>
        <w:t>Density</w:t>
      </w:r>
      <w:r>
        <w:rPr>
          <w:spacing w:val="-6"/>
          <w:sz w:val="24"/>
        </w:rPr>
        <w:t> </w:t>
      </w:r>
      <w:r>
        <w:rPr>
          <w:sz w:val="24"/>
        </w:rPr>
        <w:t>Estimation</w:t>
      </w:r>
      <w:r>
        <w:rPr>
          <w:spacing w:val="-7"/>
          <w:sz w:val="24"/>
        </w:rPr>
        <w:t> </w:t>
      </w:r>
      <w:r>
        <w:rPr>
          <w:sz w:val="24"/>
        </w:rPr>
        <w:t>plot</w:t>
      </w:r>
      <w:r>
        <w:rPr>
          <w:spacing w:val="-6"/>
          <w:sz w:val="24"/>
        </w:rPr>
        <w:t> </w:t>
      </w:r>
      <w:r>
        <w:rPr>
          <w:sz w:val="24"/>
        </w:rPr>
        <w:t>for</w:t>
      </w:r>
      <w:r>
        <w:rPr>
          <w:spacing w:val="-7"/>
          <w:sz w:val="24"/>
        </w:rPr>
        <w:t> </w:t>
      </w:r>
      <w:r>
        <w:rPr>
          <w:sz w:val="24"/>
        </w:rPr>
        <w:t>whole</w:t>
      </w:r>
      <w:r>
        <w:rPr>
          <w:spacing w:val="-6"/>
          <w:sz w:val="24"/>
        </w:rPr>
        <w:t> </w:t>
      </w:r>
      <w:r>
        <w:rPr>
          <w:sz w:val="24"/>
        </w:rPr>
        <w:t>league</w:t>
      </w:r>
      <w:r>
        <w:rPr>
          <w:spacing w:val="-7"/>
          <w:sz w:val="24"/>
        </w:rPr>
        <w:t> </w:t>
      </w:r>
      <w:r>
        <w:rPr>
          <w:sz w:val="24"/>
        </w:rPr>
        <w:t>data</w:t>
      </w:r>
      <w:r>
        <w:rPr>
          <w:spacing w:val="-6"/>
          <w:sz w:val="24"/>
        </w:rPr>
        <w:t> </w:t>
      </w:r>
      <w:r>
        <w:rPr>
          <w:sz w:val="24"/>
        </w:rPr>
        <w:t>at</w:t>
      </w:r>
      <w:r>
        <w:rPr>
          <w:spacing w:val="-6"/>
          <w:sz w:val="24"/>
        </w:rPr>
        <w:t> </w:t>
      </w:r>
      <w:r>
        <w:rPr>
          <w:sz w:val="24"/>
        </w:rPr>
        <w:t>bandwidth</w:t>
      </w:r>
      <w:r>
        <w:rPr>
          <w:spacing w:val="-7"/>
          <w:sz w:val="24"/>
        </w:rPr>
        <w:t> </w:t>
      </w:r>
      <w:r>
        <w:rPr>
          <w:sz w:val="24"/>
        </w:rPr>
        <w:t>4.10</w:t>
      </w:r>
      <w:r>
        <w:rPr>
          <w:spacing w:val="55"/>
          <w:w w:val="150"/>
          <w:sz w:val="24"/>
        </w:rPr>
        <w:t> </w:t>
      </w:r>
      <w:r>
        <w:rPr>
          <w:spacing w:val="-4"/>
          <w:sz w:val="24"/>
        </w:rPr>
        <w:t>.</w:t>
      </w:r>
      <w:r>
        <w:rPr>
          <w:color w:val="0000FF"/>
          <w:spacing w:val="-4"/>
          <w:sz w:val="24"/>
        </w:rPr>
        <w:t>127</w:t>
      </w:r>
    </w:p>
    <w:p>
      <w:pPr>
        <w:pStyle w:val="ListParagraph"/>
        <w:numPr>
          <w:ilvl w:val="1"/>
          <w:numId w:val="7"/>
        </w:numPr>
        <w:tabs>
          <w:tab w:pos="1518" w:val="left" w:leader="none"/>
          <w:tab w:pos="1519" w:val="left" w:leader="none"/>
        </w:tabs>
        <w:spacing w:line="312" w:lineRule="auto" w:before="83" w:after="0"/>
        <w:ind w:left="1518" w:right="998" w:hanging="550"/>
        <w:jc w:val="left"/>
        <w:rPr>
          <w:sz w:val="24"/>
        </w:rPr>
      </w:pPr>
      <w:r>
        <w:rPr>
          <w:sz w:val="24"/>
        </w:rPr>
        <w:t>Comparison</w:t>
      </w:r>
      <w:r>
        <w:rPr>
          <w:spacing w:val="-9"/>
          <w:sz w:val="24"/>
        </w:rPr>
        <w:t> </w:t>
      </w:r>
      <w:r>
        <w:rPr>
          <w:sz w:val="24"/>
        </w:rPr>
        <w:t>between</w:t>
      </w:r>
      <w:r>
        <w:rPr>
          <w:spacing w:val="-9"/>
          <w:sz w:val="24"/>
        </w:rPr>
        <w:t> </w:t>
      </w:r>
      <w:r>
        <w:rPr>
          <w:sz w:val="24"/>
        </w:rPr>
        <w:t>whole</w:t>
      </w:r>
      <w:r>
        <w:rPr>
          <w:spacing w:val="-9"/>
          <w:sz w:val="24"/>
        </w:rPr>
        <w:t> </w:t>
      </w:r>
      <w:r>
        <w:rPr>
          <w:sz w:val="24"/>
        </w:rPr>
        <w:t>league</w:t>
      </w:r>
      <w:r>
        <w:rPr>
          <w:spacing w:val="-9"/>
          <w:sz w:val="24"/>
        </w:rPr>
        <w:t> </w:t>
      </w:r>
      <w:r>
        <w:rPr>
          <w:sz w:val="24"/>
        </w:rPr>
        <w:t>attacking</w:t>
      </w:r>
      <w:r>
        <w:rPr>
          <w:spacing w:val="-9"/>
          <w:sz w:val="24"/>
        </w:rPr>
        <w:t> </w:t>
      </w:r>
      <w:r>
        <w:rPr>
          <w:sz w:val="24"/>
        </w:rPr>
        <w:t>KDE</w:t>
      </w:r>
      <w:r>
        <w:rPr>
          <w:spacing w:val="-9"/>
          <w:sz w:val="24"/>
        </w:rPr>
        <w:t> </w:t>
      </w:r>
      <w:r>
        <w:rPr>
          <w:sz w:val="24"/>
        </w:rPr>
        <w:t>and</w:t>
      </w:r>
      <w:r>
        <w:rPr>
          <w:spacing w:val="-9"/>
          <w:sz w:val="24"/>
        </w:rPr>
        <w:t> </w:t>
      </w:r>
      <w:r>
        <w:rPr>
          <w:sz w:val="24"/>
        </w:rPr>
        <w:t>each</w:t>
      </w:r>
      <w:r>
        <w:rPr>
          <w:spacing w:val="-9"/>
          <w:sz w:val="24"/>
        </w:rPr>
        <w:t> </w:t>
      </w:r>
      <w:r>
        <w:rPr>
          <w:sz w:val="24"/>
        </w:rPr>
        <w:t>team’s</w:t>
      </w:r>
      <w:r>
        <w:rPr>
          <w:spacing w:val="-9"/>
          <w:sz w:val="24"/>
        </w:rPr>
        <w:t> </w:t>
      </w:r>
      <w:r>
        <w:rPr>
          <w:sz w:val="24"/>
        </w:rPr>
        <w:t>over</w:t>
      </w:r>
      <w:r>
        <w:rPr>
          <w:sz w:val="24"/>
        </w:rPr>
        <w:t>-</w:t>
      </w:r>
      <w:r>
        <w:rPr>
          <w:sz w:val="24"/>
        </w:rPr>
        <w:t> </w:t>
      </w:r>
      <w:r>
        <w:rPr>
          <w:spacing w:val="-2"/>
          <w:sz w:val="24"/>
        </w:rPr>
        <w:t>all</w:t>
      </w:r>
      <w:r>
        <w:rPr>
          <w:spacing w:val="-10"/>
          <w:sz w:val="24"/>
        </w:rPr>
        <w:t> </w:t>
      </w:r>
      <w:r>
        <w:rPr>
          <w:spacing w:val="-2"/>
          <w:sz w:val="24"/>
        </w:rPr>
        <w:t>KDE.</w:t>
      </w:r>
      <w:r>
        <w:rPr>
          <w:spacing w:val="-10"/>
          <w:sz w:val="24"/>
        </w:rPr>
        <w:t> </w:t>
      </w:r>
      <w:r>
        <w:rPr>
          <w:spacing w:val="-2"/>
          <w:sz w:val="24"/>
        </w:rPr>
        <w:t>Green</w:t>
      </w:r>
      <w:r>
        <w:rPr>
          <w:spacing w:val="-10"/>
          <w:sz w:val="24"/>
        </w:rPr>
        <w:t> </w:t>
      </w:r>
      <w:r>
        <w:rPr>
          <w:spacing w:val="-2"/>
          <w:sz w:val="24"/>
        </w:rPr>
        <w:t>areas</w:t>
      </w:r>
      <w:r>
        <w:rPr>
          <w:spacing w:val="-10"/>
          <w:sz w:val="24"/>
        </w:rPr>
        <w:t> </w:t>
      </w:r>
      <w:r>
        <w:rPr>
          <w:spacing w:val="-2"/>
          <w:sz w:val="24"/>
        </w:rPr>
        <w:t>are</w:t>
      </w:r>
      <w:r>
        <w:rPr>
          <w:spacing w:val="-10"/>
          <w:sz w:val="24"/>
        </w:rPr>
        <w:t> </w:t>
      </w:r>
      <w:r>
        <w:rPr>
          <w:spacing w:val="-2"/>
          <w:sz w:val="24"/>
        </w:rPr>
        <w:t>areas</w:t>
      </w:r>
      <w:r>
        <w:rPr>
          <w:spacing w:val="-10"/>
          <w:sz w:val="24"/>
        </w:rPr>
        <w:t> </w:t>
      </w:r>
      <w:r>
        <w:rPr>
          <w:spacing w:val="-2"/>
          <w:sz w:val="24"/>
        </w:rPr>
        <w:t>represent</w:t>
      </w:r>
      <w:r>
        <w:rPr>
          <w:spacing w:val="-10"/>
          <w:sz w:val="24"/>
        </w:rPr>
        <w:t> </w:t>
      </w:r>
      <w:r>
        <w:rPr>
          <w:spacing w:val="-2"/>
          <w:sz w:val="24"/>
        </w:rPr>
        <w:t>areas</w:t>
      </w:r>
      <w:r>
        <w:rPr>
          <w:spacing w:val="-10"/>
          <w:sz w:val="24"/>
        </w:rPr>
        <w:t> </w:t>
      </w:r>
      <w:r>
        <w:rPr>
          <w:spacing w:val="-2"/>
          <w:sz w:val="24"/>
        </w:rPr>
        <w:t>where</w:t>
      </w:r>
      <w:r>
        <w:rPr>
          <w:spacing w:val="-10"/>
          <w:sz w:val="24"/>
        </w:rPr>
        <w:t> </w:t>
      </w:r>
      <w:r>
        <w:rPr>
          <w:spacing w:val="-2"/>
          <w:sz w:val="24"/>
        </w:rPr>
        <w:t>the</w:t>
      </w:r>
      <w:r>
        <w:rPr>
          <w:spacing w:val="-10"/>
          <w:sz w:val="24"/>
        </w:rPr>
        <w:t> </w:t>
      </w:r>
      <w:r>
        <w:rPr>
          <w:spacing w:val="-2"/>
          <w:sz w:val="24"/>
        </w:rPr>
        <w:t>team</w:t>
      </w:r>
      <w:r>
        <w:rPr>
          <w:spacing w:val="-10"/>
          <w:sz w:val="24"/>
        </w:rPr>
        <w:t> </w:t>
      </w:r>
      <w:r>
        <w:rPr>
          <w:spacing w:val="-2"/>
          <w:sz w:val="24"/>
        </w:rPr>
        <w:t>has</w:t>
      </w:r>
      <w:r>
        <w:rPr>
          <w:spacing w:val="-10"/>
          <w:sz w:val="24"/>
        </w:rPr>
        <w:t> </w:t>
      </w:r>
      <w:r>
        <w:rPr>
          <w:spacing w:val="-2"/>
          <w:sz w:val="24"/>
        </w:rPr>
        <w:t>a</w:t>
      </w:r>
      <w:r>
        <w:rPr>
          <w:spacing w:val="-10"/>
          <w:sz w:val="24"/>
        </w:rPr>
        <w:t> </w:t>
      </w:r>
      <w:r>
        <w:rPr>
          <w:spacing w:val="-2"/>
          <w:sz w:val="24"/>
        </w:rPr>
        <w:t>higher</w:t>
      </w:r>
    </w:p>
    <w:p>
      <w:pPr>
        <w:pStyle w:val="BodyText"/>
        <w:tabs>
          <w:tab w:pos="8620" w:val="left" w:leader="dot"/>
        </w:tabs>
        <w:spacing w:line="276" w:lineRule="exact"/>
        <w:ind w:left="1518"/>
      </w:pPr>
      <w:r>
        <w:rPr/>
        <w:t>density</w:t>
      </w:r>
      <w:r>
        <w:rPr>
          <w:spacing w:val="-8"/>
        </w:rPr>
        <w:t> </w:t>
      </w:r>
      <w:r>
        <w:rPr/>
        <w:t>than</w:t>
      </w:r>
      <w:r>
        <w:rPr>
          <w:spacing w:val="-8"/>
        </w:rPr>
        <w:t> </w:t>
      </w:r>
      <w:r>
        <w:rPr/>
        <w:t>the</w:t>
      </w:r>
      <w:r>
        <w:rPr>
          <w:spacing w:val="-7"/>
        </w:rPr>
        <w:t> </w:t>
      </w:r>
      <w:r>
        <w:rPr/>
        <w:t>whole</w:t>
      </w:r>
      <w:r>
        <w:rPr>
          <w:spacing w:val="-8"/>
        </w:rPr>
        <w:t> </w:t>
      </w:r>
      <w:r>
        <w:rPr/>
        <w:t>league,</w:t>
      </w:r>
      <w:r>
        <w:rPr>
          <w:spacing w:val="-8"/>
        </w:rPr>
        <w:t> </w:t>
      </w:r>
      <w:r>
        <w:rPr/>
        <w:t>red</w:t>
      </w:r>
      <w:r>
        <w:rPr>
          <w:spacing w:val="-7"/>
        </w:rPr>
        <w:t> </w:t>
      </w:r>
      <w:r>
        <w:rPr/>
        <w:t>areas</w:t>
      </w:r>
      <w:r>
        <w:rPr>
          <w:spacing w:val="-8"/>
        </w:rPr>
        <w:t> </w:t>
      </w:r>
      <w:r>
        <w:rPr/>
        <w:t>have</w:t>
      </w:r>
      <w:r>
        <w:rPr>
          <w:spacing w:val="-8"/>
        </w:rPr>
        <w:t> </w:t>
      </w:r>
      <w:r>
        <w:rPr/>
        <w:t>lower</w:t>
      </w:r>
      <w:r>
        <w:rPr>
          <w:spacing w:val="-7"/>
        </w:rPr>
        <w:t> </w:t>
      </w:r>
      <w:r>
        <w:rPr>
          <w:spacing w:val="-2"/>
        </w:rPr>
        <w:t>densities.</w:t>
      </w:r>
      <w:r>
        <w:rPr/>
        <w:tab/>
      </w:r>
      <w:r>
        <w:rPr>
          <w:color w:val="0000FF"/>
          <w:spacing w:val="-5"/>
        </w:rPr>
        <w:t>128</w:t>
      </w:r>
    </w:p>
    <w:p>
      <w:pPr>
        <w:pStyle w:val="ListParagraph"/>
        <w:numPr>
          <w:ilvl w:val="1"/>
          <w:numId w:val="7"/>
        </w:numPr>
        <w:tabs>
          <w:tab w:pos="1519" w:val="left" w:leader="none"/>
        </w:tabs>
        <w:spacing w:line="312" w:lineRule="auto" w:before="82" w:after="0"/>
        <w:ind w:left="1518" w:right="998" w:hanging="550"/>
        <w:jc w:val="both"/>
        <w:rPr>
          <w:sz w:val="24"/>
        </w:rPr>
      </w:pPr>
      <w:r>
        <w:rPr>
          <w:sz w:val="24"/>
        </w:rPr>
        <w:t>Visualisation</w:t>
      </w:r>
      <w:r>
        <w:rPr>
          <w:spacing w:val="-10"/>
          <w:sz w:val="24"/>
        </w:rPr>
        <w:t> </w:t>
      </w:r>
      <w:r>
        <w:rPr>
          <w:sz w:val="24"/>
        </w:rPr>
        <w:t>of</w:t>
      </w:r>
      <w:r>
        <w:rPr>
          <w:spacing w:val="-10"/>
          <w:sz w:val="24"/>
        </w:rPr>
        <w:t> </w:t>
      </w:r>
      <w:r>
        <w:rPr>
          <w:sz w:val="24"/>
        </w:rPr>
        <w:t>the</w:t>
      </w:r>
      <w:r>
        <w:rPr>
          <w:spacing w:val="-10"/>
          <w:sz w:val="24"/>
        </w:rPr>
        <w:t> </w:t>
      </w:r>
      <w:r>
        <w:rPr>
          <w:sz w:val="24"/>
        </w:rPr>
        <w:t>diagonal</w:t>
      </w:r>
      <w:r>
        <w:rPr>
          <w:spacing w:val="-10"/>
          <w:sz w:val="24"/>
        </w:rPr>
        <w:t> </w:t>
      </w:r>
      <w:r>
        <w:rPr>
          <w:sz w:val="24"/>
        </w:rPr>
        <w:t>distance</w:t>
      </w:r>
      <w:r>
        <w:rPr>
          <w:spacing w:val="-10"/>
          <w:sz w:val="24"/>
        </w:rPr>
        <w:t> </w:t>
      </w:r>
      <w:r>
        <w:rPr>
          <w:sz w:val="24"/>
        </w:rPr>
        <w:t>when</w:t>
      </w:r>
      <w:r>
        <w:rPr>
          <w:spacing w:val="-10"/>
          <w:sz w:val="24"/>
        </w:rPr>
        <w:t> </w:t>
      </w:r>
      <w:r>
        <w:rPr>
          <w:sz w:val="24"/>
        </w:rPr>
        <w:t>moving</w:t>
      </w:r>
      <w:r>
        <w:rPr>
          <w:spacing w:val="-10"/>
          <w:sz w:val="24"/>
        </w:rPr>
        <w:t> </w:t>
      </w:r>
      <w:r>
        <w:rPr>
          <w:sz w:val="24"/>
        </w:rPr>
        <w:t>mass</w:t>
      </w:r>
      <w:r>
        <w:rPr>
          <w:spacing w:val="-10"/>
          <w:sz w:val="24"/>
        </w:rPr>
        <w:t> </w:t>
      </w:r>
      <w:r>
        <w:rPr>
          <w:sz w:val="24"/>
        </w:rPr>
        <w:t>from</w:t>
      </w:r>
      <w:r>
        <w:rPr>
          <w:spacing w:val="-10"/>
          <w:sz w:val="24"/>
        </w:rPr>
        <w:t> </w:t>
      </w:r>
      <w:r>
        <w:rPr>
          <w:sz w:val="24"/>
        </w:rPr>
        <w:t>the</w:t>
      </w:r>
      <w:r>
        <w:rPr>
          <w:spacing w:val="-10"/>
          <w:sz w:val="24"/>
        </w:rPr>
        <w:t> </w:t>
      </w:r>
      <w:r>
        <w:rPr>
          <w:sz w:val="24"/>
        </w:rPr>
        <w:t>centre of the pitch relative to the horizontal/vertical components of the move- ment. Left</w:t>
      </w:r>
      <w:r>
        <w:rPr>
          <w:spacing w:val="-6"/>
          <w:sz w:val="24"/>
        </w:rPr>
        <w:t> </w:t>
      </w:r>
      <w:r>
        <w:rPr>
          <w:sz w:val="24"/>
        </w:rPr>
        <w:t>figure</w:t>
      </w:r>
      <w:r>
        <w:rPr>
          <w:spacing w:val="-6"/>
          <w:sz w:val="24"/>
        </w:rPr>
        <w:t> </w:t>
      </w:r>
      <w:r>
        <w:rPr>
          <w:sz w:val="24"/>
        </w:rPr>
        <w:t>shows</w:t>
      </w:r>
      <w:r>
        <w:rPr>
          <w:spacing w:val="-6"/>
          <w:sz w:val="24"/>
        </w:rPr>
        <w:t> </w:t>
      </w:r>
      <w:r>
        <w:rPr>
          <w:sz w:val="24"/>
        </w:rPr>
        <w:t>that</w:t>
      </w:r>
      <w:r>
        <w:rPr>
          <w:spacing w:val="-6"/>
          <w:sz w:val="24"/>
        </w:rPr>
        <w:t> </w:t>
      </w:r>
      <w:r>
        <w:rPr>
          <w:sz w:val="24"/>
        </w:rPr>
        <w:t>the</w:t>
      </w:r>
      <w:r>
        <w:rPr>
          <w:spacing w:val="-6"/>
          <w:sz w:val="24"/>
        </w:rPr>
        <w:t> </w:t>
      </w:r>
      <w:r>
        <w:rPr>
          <w:sz w:val="24"/>
        </w:rPr>
        <w:t>diagonal</w:t>
      </w:r>
      <w:r>
        <w:rPr>
          <w:spacing w:val="-6"/>
          <w:sz w:val="24"/>
        </w:rPr>
        <w:t> </w:t>
      </w:r>
      <w:r>
        <w:rPr>
          <w:sz w:val="24"/>
        </w:rPr>
        <w:t>distance</w:t>
      </w:r>
      <w:r>
        <w:rPr>
          <w:spacing w:val="-6"/>
          <w:sz w:val="24"/>
        </w:rPr>
        <w:t> </w:t>
      </w:r>
      <w:r>
        <w:rPr>
          <w:sz w:val="24"/>
        </w:rPr>
        <w:t>covered</w:t>
      </w:r>
      <w:r>
        <w:rPr>
          <w:spacing w:val="-6"/>
          <w:sz w:val="24"/>
        </w:rPr>
        <w:t> </w:t>
      </w:r>
      <w:r>
        <w:rPr>
          <w:sz w:val="24"/>
        </w:rPr>
        <w:t>to</w:t>
      </w:r>
      <w:r>
        <w:rPr>
          <w:spacing w:val="-6"/>
          <w:sz w:val="24"/>
        </w:rPr>
        <w:t> </w:t>
      </w:r>
      <w:r>
        <w:rPr>
          <w:sz w:val="24"/>
        </w:rPr>
        <w:t>move</w:t>
      </w:r>
      <w:r>
        <w:rPr>
          <w:spacing w:val="-6"/>
          <w:sz w:val="24"/>
        </w:rPr>
        <w:t> </w:t>
      </w:r>
      <w:r>
        <w:rPr>
          <w:sz w:val="24"/>
        </w:rPr>
        <w:t>mass</w:t>
      </w:r>
      <w:r>
        <w:rPr>
          <w:sz w:val="24"/>
        </w:rPr>
        <w:t> from</w:t>
      </w:r>
      <w:r>
        <w:rPr>
          <w:spacing w:val="-13"/>
          <w:sz w:val="24"/>
        </w:rPr>
        <w:t> </w:t>
      </w:r>
      <w:r>
        <w:rPr>
          <w:sz w:val="24"/>
        </w:rPr>
        <w:t>the</w:t>
      </w:r>
      <w:r>
        <w:rPr>
          <w:spacing w:val="-13"/>
          <w:sz w:val="24"/>
        </w:rPr>
        <w:t> </w:t>
      </w:r>
      <w:r>
        <w:rPr>
          <w:sz w:val="24"/>
        </w:rPr>
        <w:t>opposition</w:t>
      </w:r>
      <w:r>
        <w:rPr>
          <w:spacing w:val="-13"/>
          <w:sz w:val="24"/>
        </w:rPr>
        <w:t> </w:t>
      </w:r>
      <w:r>
        <w:rPr>
          <w:sz w:val="24"/>
        </w:rPr>
        <w:t>20m</w:t>
      </w:r>
      <w:r>
        <w:rPr>
          <w:spacing w:val="-13"/>
          <w:sz w:val="24"/>
        </w:rPr>
        <w:t> </w:t>
      </w:r>
      <w:r>
        <w:rPr>
          <w:sz w:val="24"/>
        </w:rPr>
        <w:t>to</w:t>
      </w:r>
      <w:r>
        <w:rPr>
          <w:spacing w:val="-13"/>
          <w:sz w:val="24"/>
        </w:rPr>
        <w:t> </w:t>
      </w:r>
      <w:r>
        <w:rPr>
          <w:sz w:val="24"/>
        </w:rPr>
        <w:t>the</w:t>
      </w:r>
      <w:r>
        <w:rPr>
          <w:spacing w:val="-13"/>
          <w:sz w:val="24"/>
        </w:rPr>
        <w:t> </w:t>
      </w:r>
      <w:r>
        <w:rPr>
          <w:sz w:val="24"/>
        </w:rPr>
        <w:t>team’s</w:t>
      </w:r>
      <w:r>
        <w:rPr>
          <w:spacing w:val="-13"/>
          <w:sz w:val="24"/>
        </w:rPr>
        <w:t> </w:t>
      </w:r>
      <w:r>
        <w:rPr>
          <w:sz w:val="24"/>
        </w:rPr>
        <w:t>own</w:t>
      </w:r>
      <w:r>
        <w:rPr>
          <w:spacing w:val="-13"/>
          <w:sz w:val="24"/>
        </w:rPr>
        <w:t> </w:t>
      </w:r>
      <w:r>
        <w:rPr>
          <w:sz w:val="24"/>
        </w:rPr>
        <w:t>try</w:t>
      </w:r>
      <w:r>
        <w:rPr>
          <w:spacing w:val="-13"/>
          <w:sz w:val="24"/>
        </w:rPr>
        <w:t> </w:t>
      </w:r>
      <w:r>
        <w:rPr>
          <w:sz w:val="24"/>
        </w:rPr>
        <w:t>line</w:t>
      </w:r>
      <w:r>
        <w:rPr>
          <w:spacing w:val="-13"/>
          <w:sz w:val="24"/>
        </w:rPr>
        <w:t> </w:t>
      </w:r>
      <w:r>
        <w:rPr>
          <w:sz w:val="24"/>
        </w:rPr>
        <w:t>is</w:t>
      </w:r>
      <w:r>
        <w:rPr>
          <w:spacing w:val="-13"/>
          <w:sz w:val="24"/>
        </w:rPr>
        <w:t> </w:t>
      </w:r>
      <w:r>
        <w:rPr>
          <w:sz w:val="24"/>
        </w:rPr>
        <w:t>significantly</w:t>
      </w:r>
      <w:r>
        <w:rPr>
          <w:spacing w:val="-13"/>
          <w:sz w:val="24"/>
        </w:rPr>
        <w:t> </w:t>
      </w:r>
      <w:r>
        <w:rPr>
          <w:sz w:val="24"/>
        </w:rPr>
        <w:t>greater than</w:t>
      </w:r>
      <w:r>
        <w:rPr>
          <w:spacing w:val="-10"/>
          <w:sz w:val="24"/>
        </w:rPr>
        <w:t> </w:t>
      </w:r>
      <w:r>
        <w:rPr>
          <w:sz w:val="24"/>
        </w:rPr>
        <w:t>the</w:t>
      </w:r>
      <w:r>
        <w:rPr>
          <w:spacing w:val="-9"/>
          <w:sz w:val="24"/>
        </w:rPr>
        <w:t> </w:t>
      </w:r>
      <w:r>
        <w:rPr>
          <w:sz w:val="24"/>
        </w:rPr>
        <w:t>horizontal</w:t>
      </w:r>
      <w:r>
        <w:rPr>
          <w:spacing w:val="-9"/>
          <w:sz w:val="24"/>
        </w:rPr>
        <w:t> </w:t>
      </w:r>
      <w:r>
        <w:rPr>
          <w:sz w:val="24"/>
        </w:rPr>
        <w:t>distance. Right</w:t>
      </w:r>
      <w:r>
        <w:rPr>
          <w:spacing w:val="-9"/>
          <w:sz w:val="24"/>
        </w:rPr>
        <w:t> </w:t>
      </w:r>
      <w:r>
        <w:rPr>
          <w:sz w:val="24"/>
        </w:rPr>
        <w:t>figure</w:t>
      </w:r>
      <w:r>
        <w:rPr>
          <w:spacing w:val="-10"/>
          <w:sz w:val="24"/>
        </w:rPr>
        <w:t> </w:t>
      </w:r>
      <w:r>
        <w:rPr>
          <w:sz w:val="24"/>
        </w:rPr>
        <w:t>shows</w:t>
      </w:r>
      <w:r>
        <w:rPr>
          <w:spacing w:val="-10"/>
          <w:sz w:val="24"/>
        </w:rPr>
        <w:t> </w:t>
      </w:r>
      <w:r>
        <w:rPr>
          <w:sz w:val="24"/>
        </w:rPr>
        <w:t>that</w:t>
      </w:r>
      <w:r>
        <w:rPr>
          <w:spacing w:val="-10"/>
          <w:sz w:val="24"/>
        </w:rPr>
        <w:t> </w:t>
      </w:r>
      <w:r>
        <w:rPr>
          <w:sz w:val="24"/>
        </w:rPr>
        <w:t>the</w:t>
      </w:r>
      <w:r>
        <w:rPr>
          <w:spacing w:val="-9"/>
          <w:sz w:val="24"/>
        </w:rPr>
        <w:t> </w:t>
      </w:r>
      <w:r>
        <w:rPr>
          <w:sz w:val="24"/>
        </w:rPr>
        <w:t>distance</w:t>
      </w:r>
      <w:r>
        <w:rPr>
          <w:spacing w:val="-10"/>
          <w:sz w:val="24"/>
        </w:rPr>
        <w:t> </w:t>
      </w:r>
      <w:r>
        <w:rPr>
          <w:sz w:val="24"/>
        </w:rPr>
        <w:t>covered is much more even between diagonal and vertical movements, </w:t>
      </w:r>
      <w:r>
        <w:rPr>
          <w:sz w:val="24"/>
        </w:rPr>
        <w:t>reducing</w:t>
      </w:r>
      <w:r>
        <w:rPr>
          <w:sz w:val="24"/>
        </w:rPr>
        <w:t> the</w:t>
      </w:r>
      <w:r>
        <w:rPr>
          <w:spacing w:val="-6"/>
          <w:sz w:val="24"/>
        </w:rPr>
        <w:t> </w:t>
      </w:r>
      <w:r>
        <w:rPr>
          <w:sz w:val="24"/>
        </w:rPr>
        <w:t>influence</w:t>
      </w:r>
      <w:r>
        <w:rPr>
          <w:spacing w:val="-6"/>
          <w:sz w:val="24"/>
        </w:rPr>
        <w:t> </w:t>
      </w:r>
      <w:r>
        <w:rPr>
          <w:sz w:val="24"/>
        </w:rPr>
        <w:t>of</w:t>
      </w:r>
      <w:r>
        <w:rPr>
          <w:spacing w:val="-6"/>
          <w:sz w:val="24"/>
        </w:rPr>
        <w:t> </w:t>
      </w:r>
      <w:r>
        <w:rPr>
          <w:sz w:val="24"/>
        </w:rPr>
        <w:t>diagonal</w:t>
      </w:r>
      <w:r>
        <w:rPr>
          <w:spacing w:val="-6"/>
          <w:sz w:val="24"/>
        </w:rPr>
        <w:t> </w:t>
      </w:r>
      <w:r>
        <w:rPr>
          <w:sz w:val="24"/>
        </w:rPr>
        <w:t>movements</w:t>
      </w:r>
      <w:r>
        <w:rPr>
          <w:spacing w:val="-6"/>
          <w:sz w:val="24"/>
        </w:rPr>
        <w:t> </w:t>
      </w:r>
      <w:r>
        <w:rPr>
          <w:sz w:val="24"/>
        </w:rPr>
        <w:t>on</w:t>
      </w:r>
      <w:r>
        <w:rPr>
          <w:spacing w:val="-6"/>
          <w:sz w:val="24"/>
        </w:rPr>
        <w:t> </w:t>
      </w:r>
      <w:r>
        <w:rPr>
          <w:sz w:val="24"/>
        </w:rPr>
        <w:t>the</w:t>
      </w:r>
      <w:r>
        <w:rPr>
          <w:spacing w:val="-6"/>
          <w:sz w:val="24"/>
        </w:rPr>
        <w:t> </w:t>
      </w:r>
      <w:r>
        <w:rPr>
          <w:sz w:val="24"/>
        </w:rPr>
        <w:t>overall</w:t>
      </w:r>
      <w:r>
        <w:rPr>
          <w:spacing w:val="-6"/>
          <w:sz w:val="24"/>
        </w:rPr>
        <w:t> </w:t>
      </w:r>
      <w:r>
        <w:rPr>
          <w:sz w:val="24"/>
        </w:rPr>
        <w:t>Wasserstein</w:t>
      </w:r>
      <w:r>
        <w:rPr>
          <w:spacing w:val="-6"/>
          <w:sz w:val="24"/>
        </w:rPr>
        <w:t> </w:t>
      </w:r>
      <w:r>
        <w:rPr>
          <w:sz w:val="24"/>
        </w:rPr>
        <w:t>distance</w:t>
      </w:r>
    </w:p>
    <w:p>
      <w:pPr>
        <w:pStyle w:val="BodyText"/>
        <w:tabs>
          <w:tab w:pos="8620" w:val="left" w:leader="dot"/>
        </w:tabs>
        <w:spacing w:line="274" w:lineRule="exact"/>
        <w:ind w:left="1518"/>
        <w:jc w:val="both"/>
      </w:pPr>
      <w:r>
        <w:rPr/>
        <w:t>when</w:t>
      </w:r>
      <w:r>
        <w:rPr>
          <w:spacing w:val="-10"/>
        </w:rPr>
        <w:t> </w:t>
      </w:r>
      <w:r>
        <w:rPr/>
        <w:t>mass</w:t>
      </w:r>
      <w:r>
        <w:rPr>
          <w:spacing w:val="-9"/>
        </w:rPr>
        <w:t> </w:t>
      </w:r>
      <w:r>
        <w:rPr/>
        <w:t>is</w:t>
      </w:r>
      <w:r>
        <w:rPr>
          <w:spacing w:val="-9"/>
        </w:rPr>
        <w:t> </w:t>
      </w:r>
      <w:r>
        <w:rPr/>
        <w:t>moved</w:t>
      </w:r>
      <w:r>
        <w:rPr>
          <w:spacing w:val="-10"/>
        </w:rPr>
        <w:t> </w:t>
      </w:r>
      <w:r>
        <w:rPr/>
        <w:t>vertically</w:t>
      </w:r>
      <w:r>
        <w:rPr>
          <w:spacing w:val="-9"/>
        </w:rPr>
        <w:t> </w:t>
      </w:r>
      <w:r>
        <w:rPr/>
        <w:t>relative</w:t>
      </w:r>
      <w:r>
        <w:rPr>
          <w:spacing w:val="-9"/>
        </w:rPr>
        <w:t> </w:t>
      </w:r>
      <w:r>
        <w:rPr/>
        <w:t>to</w:t>
      </w:r>
      <w:r>
        <w:rPr>
          <w:spacing w:val="-10"/>
        </w:rPr>
        <w:t> </w:t>
      </w:r>
      <w:r>
        <w:rPr>
          <w:spacing w:val="-2"/>
        </w:rPr>
        <w:t>horizontally</w:t>
      </w:r>
      <w:r>
        <w:rPr/>
        <w:tab/>
      </w:r>
      <w:r>
        <w:rPr>
          <w:color w:val="0000FF"/>
          <w:spacing w:val="-5"/>
        </w:rPr>
        <w:t>131</w:t>
      </w:r>
    </w:p>
    <w:p>
      <w:pPr>
        <w:pStyle w:val="ListParagraph"/>
        <w:numPr>
          <w:ilvl w:val="1"/>
          <w:numId w:val="7"/>
        </w:numPr>
        <w:tabs>
          <w:tab w:pos="1519" w:val="left" w:leader="none"/>
        </w:tabs>
        <w:spacing w:line="300" w:lineRule="auto" w:before="79" w:after="0"/>
        <w:ind w:left="1518" w:right="998" w:hanging="550"/>
        <w:jc w:val="both"/>
        <w:rPr>
          <w:sz w:val="24"/>
        </w:rPr>
      </w:pPr>
      <w:r>
        <w:rPr>
          <w:sz w:val="24"/>
        </w:rPr>
        <w:t>Advanced Wasserstein metrics for </w:t>
      </w:r>
      <w:r>
        <w:rPr>
          <w:rFonts w:ascii="Cambria"/>
          <w:sz w:val="24"/>
        </w:rPr>
        <w:t>p </w:t>
      </w:r>
      <w:r>
        <w:rPr>
          <w:rFonts w:ascii="Garamond"/>
          <w:sz w:val="24"/>
        </w:rPr>
        <w:t>= 1 </w:t>
      </w:r>
      <w:r>
        <w:rPr>
          <w:sz w:val="24"/>
        </w:rPr>
        <w:t>(left), </w:t>
      </w:r>
      <w:r>
        <w:rPr>
          <w:rFonts w:ascii="Cambria"/>
          <w:sz w:val="24"/>
        </w:rPr>
        <w:t>p </w:t>
      </w:r>
      <w:r>
        <w:rPr>
          <w:rFonts w:ascii="Garamond"/>
          <w:sz w:val="24"/>
        </w:rPr>
        <w:t>= 2 </w:t>
      </w:r>
      <w:r>
        <w:rPr>
          <w:sz w:val="24"/>
        </w:rPr>
        <w:t>(centre) and </w:t>
      </w:r>
      <w:r>
        <w:rPr>
          <w:rFonts w:ascii="Cambria"/>
          <w:sz w:val="24"/>
        </w:rPr>
        <w:t>p </w:t>
      </w:r>
      <w:r>
        <w:rPr>
          <w:rFonts w:ascii="Garamond"/>
          <w:sz w:val="24"/>
        </w:rPr>
        <w:t>= 3 </w:t>
      </w:r>
      <w:r>
        <w:rPr>
          <w:sz w:val="24"/>
        </w:rPr>
        <w:t>(right).</w:t>
      </w:r>
      <w:r>
        <w:rPr>
          <w:spacing w:val="40"/>
          <w:sz w:val="24"/>
        </w:rPr>
        <w:t> </w:t>
      </w:r>
      <w:r>
        <w:rPr>
          <w:sz w:val="24"/>
        </w:rPr>
        <w:t>Plots are shown for </w:t>
      </w:r>
      <w:r>
        <w:rPr>
          <w:rFonts w:ascii="Cambria"/>
          <w:sz w:val="24"/>
        </w:rPr>
        <w:t>x</w:t>
      </w:r>
      <w:r>
        <w:rPr>
          <w:sz w:val="24"/>
        </w:rPr>
        <w:t>-factor = 6, </w:t>
      </w:r>
      <w:r>
        <w:rPr>
          <w:rFonts w:ascii="Cambria"/>
          <w:sz w:val="24"/>
        </w:rPr>
        <w:t>y</w:t>
      </w:r>
      <w:r>
        <w:rPr>
          <w:sz w:val="24"/>
        </w:rPr>
        <w:t>-factor = 1 and highlight the rectangular shape of </w:t>
      </w:r>
      <w:r>
        <w:rPr>
          <w:rFonts w:ascii="Cambria"/>
          <w:sz w:val="24"/>
        </w:rPr>
        <w:t>p</w:t>
      </w:r>
      <w:r>
        <w:rPr>
          <w:rFonts w:ascii="Cambria"/>
          <w:spacing w:val="23"/>
          <w:sz w:val="24"/>
        </w:rPr>
        <w:t> </w:t>
      </w:r>
      <w:r>
        <w:rPr>
          <w:rFonts w:ascii="Garamond"/>
          <w:sz w:val="24"/>
        </w:rPr>
        <w:t>=</w:t>
      </w:r>
      <w:r>
        <w:rPr>
          <w:rFonts w:ascii="Garamond"/>
          <w:spacing w:val="16"/>
          <w:sz w:val="24"/>
        </w:rPr>
        <w:t> </w:t>
      </w:r>
      <w:r>
        <w:rPr>
          <w:rFonts w:ascii="Garamond"/>
          <w:sz w:val="24"/>
        </w:rPr>
        <w:t>3 </w:t>
      </w:r>
      <w:r>
        <w:rPr>
          <w:sz w:val="24"/>
        </w:rPr>
        <w:t>compared to the diamond for </w:t>
      </w:r>
      <w:r>
        <w:rPr>
          <w:rFonts w:ascii="Cambria"/>
          <w:sz w:val="24"/>
        </w:rPr>
        <w:t>p</w:t>
      </w:r>
      <w:r>
        <w:rPr>
          <w:rFonts w:ascii="Cambria"/>
          <w:spacing w:val="23"/>
          <w:sz w:val="24"/>
        </w:rPr>
        <w:t> </w:t>
      </w:r>
      <w:r>
        <w:rPr>
          <w:rFonts w:ascii="Garamond"/>
          <w:sz w:val="24"/>
        </w:rPr>
        <w:t>=</w:t>
      </w:r>
      <w:r>
        <w:rPr>
          <w:rFonts w:ascii="Garamond"/>
          <w:spacing w:val="16"/>
          <w:sz w:val="24"/>
        </w:rPr>
        <w:t> </w:t>
      </w:r>
      <w:r>
        <w:rPr>
          <w:rFonts w:ascii="Garamond"/>
          <w:sz w:val="24"/>
        </w:rPr>
        <w:t>1 </w:t>
      </w:r>
      <w:r>
        <w:rPr>
          <w:sz w:val="24"/>
        </w:rPr>
        <w:t>and oval</w:t>
      </w:r>
    </w:p>
    <w:p>
      <w:pPr>
        <w:pStyle w:val="BodyText"/>
        <w:tabs>
          <w:tab w:pos="8620" w:val="left" w:leader="dot"/>
        </w:tabs>
        <w:ind w:left="1518"/>
        <w:jc w:val="both"/>
      </w:pPr>
      <w:r>
        <w:rPr/>
        <w:t>for</w:t>
      </w:r>
      <w:r>
        <w:rPr>
          <w:spacing w:val="-5"/>
        </w:rPr>
        <w:t> </w:t>
      </w:r>
      <w:r>
        <w:rPr>
          <w:rFonts w:ascii="Cambria"/>
        </w:rPr>
        <w:t>p</w:t>
      </w:r>
      <w:r>
        <w:rPr>
          <w:rFonts w:ascii="Cambria"/>
          <w:spacing w:val="10"/>
        </w:rPr>
        <w:t> </w:t>
      </w:r>
      <w:r>
        <w:rPr>
          <w:rFonts w:ascii="Garamond"/>
        </w:rPr>
        <w:t>=</w:t>
      </w:r>
      <w:r>
        <w:rPr>
          <w:rFonts w:ascii="Garamond"/>
          <w:spacing w:val="2"/>
        </w:rPr>
        <w:t> </w:t>
      </w:r>
      <w:r>
        <w:rPr>
          <w:rFonts w:ascii="Garamond"/>
        </w:rPr>
        <w:t>2</w:t>
      </w:r>
      <w:r>
        <w:rPr/>
        <w:t>.</w:t>
      </w:r>
      <w:r>
        <w:rPr>
          <w:spacing w:val="10"/>
        </w:rPr>
        <w:t> </w:t>
      </w:r>
      <w:r>
        <w:rPr/>
        <w:t>Distances</w:t>
      </w:r>
      <w:r>
        <w:rPr>
          <w:spacing w:val="-4"/>
        </w:rPr>
        <w:t> </w:t>
      </w:r>
      <w:r>
        <w:rPr/>
        <w:t>are</w:t>
      </w:r>
      <w:r>
        <w:rPr>
          <w:spacing w:val="-4"/>
        </w:rPr>
        <w:t> </w:t>
      </w:r>
      <w:r>
        <w:rPr/>
        <w:t>calculated</w:t>
      </w:r>
      <w:r>
        <w:rPr>
          <w:spacing w:val="-4"/>
        </w:rPr>
        <w:t> </w:t>
      </w:r>
      <w:r>
        <w:rPr/>
        <w:t>from</w:t>
      </w:r>
      <w:r>
        <w:rPr>
          <w:spacing w:val="-4"/>
        </w:rPr>
        <w:t> </w:t>
      </w:r>
      <w:r>
        <w:rPr/>
        <w:t>central</w:t>
      </w:r>
      <w:r>
        <w:rPr>
          <w:spacing w:val="-4"/>
        </w:rPr>
        <w:t> </w:t>
      </w:r>
      <w:r>
        <w:rPr>
          <w:spacing w:val="-2"/>
        </w:rPr>
        <w:t>point.</w:t>
      </w:r>
      <w:r>
        <w:rPr/>
        <w:tab/>
      </w:r>
      <w:r>
        <w:rPr>
          <w:color w:val="0000FF"/>
          <w:spacing w:val="-5"/>
        </w:rPr>
        <w:t>132</w:t>
      </w:r>
    </w:p>
    <w:p>
      <w:pPr>
        <w:spacing w:after="0"/>
        <w:jc w:val="both"/>
        <w:sectPr>
          <w:pgSz w:w="11910" w:h="16840"/>
          <w:pgMar w:header="1961" w:footer="1428" w:top="2280" w:bottom="1620" w:left="1680" w:right="720"/>
        </w:sectPr>
      </w:pPr>
    </w:p>
    <w:p>
      <w:pPr>
        <w:pStyle w:val="ListParagraph"/>
        <w:numPr>
          <w:ilvl w:val="1"/>
          <w:numId w:val="7"/>
        </w:numPr>
        <w:tabs>
          <w:tab w:pos="1519" w:val="left" w:leader="none"/>
        </w:tabs>
        <w:spacing w:line="307" w:lineRule="auto" w:before="568" w:after="0"/>
        <w:ind w:left="1518" w:right="998" w:hanging="550"/>
        <w:jc w:val="both"/>
        <w:rPr>
          <w:sz w:val="24"/>
        </w:rPr>
      </w:pPr>
      <w:r>
        <w:rPr>
          <w:sz w:val="24"/>
        </w:rPr>
        <w:t>Quadrant plot for Wasserstein distance using factor 2 for </w:t>
      </w:r>
      <w:r>
        <w:rPr>
          <w:rFonts w:ascii="Cambria"/>
          <w:sz w:val="24"/>
        </w:rPr>
        <w:t>x </w:t>
      </w:r>
      <w:r>
        <w:rPr>
          <w:sz w:val="24"/>
        </w:rPr>
        <w:t>and </w:t>
      </w:r>
      <w:r>
        <w:rPr>
          <w:rFonts w:ascii="Cambria"/>
          <w:sz w:val="24"/>
        </w:rPr>
        <w:t>y </w:t>
      </w:r>
      <w:r>
        <w:rPr>
          <w:sz w:val="24"/>
        </w:rPr>
        <w:t>direc- tions.</w:t>
      </w:r>
      <w:r>
        <w:rPr>
          <w:spacing w:val="40"/>
          <w:sz w:val="24"/>
        </w:rPr>
        <w:t> </w:t>
      </w:r>
      <w:r>
        <w:rPr>
          <w:rFonts w:ascii="Cambria"/>
          <w:sz w:val="24"/>
        </w:rPr>
        <w:t>y</w:t>
      </w:r>
      <w:r>
        <w:rPr>
          <w:sz w:val="24"/>
        </w:rPr>
        <w:t>-axis represents the normalised increase in Wasserstein </w:t>
      </w:r>
      <w:r>
        <w:rPr>
          <w:sz w:val="24"/>
        </w:rPr>
        <w:t>distance</w:t>
      </w:r>
      <w:r>
        <w:rPr>
          <w:sz w:val="24"/>
        </w:rPr>
        <w:t> in</w:t>
      </w:r>
      <w:r>
        <w:rPr>
          <w:spacing w:val="-7"/>
          <w:sz w:val="24"/>
        </w:rPr>
        <w:t> </w:t>
      </w:r>
      <w:r>
        <w:rPr>
          <w:rFonts w:ascii="Cambria"/>
          <w:sz w:val="24"/>
        </w:rPr>
        <w:t>x </w:t>
      </w:r>
      <w:r>
        <w:rPr>
          <w:sz w:val="24"/>
        </w:rPr>
        <w:t>(left)</w:t>
      </w:r>
      <w:r>
        <w:rPr>
          <w:spacing w:val="-7"/>
          <w:sz w:val="24"/>
        </w:rPr>
        <w:t> </w:t>
      </w:r>
      <w:r>
        <w:rPr>
          <w:sz w:val="24"/>
        </w:rPr>
        <w:t>or</w:t>
      </w:r>
      <w:r>
        <w:rPr>
          <w:spacing w:val="-7"/>
          <w:sz w:val="24"/>
        </w:rPr>
        <w:t> </w:t>
      </w:r>
      <w:r>
        <w:rPr>
          <w:rFonts w:ascii="Cambria"/>
          <w:sz w:val="24"/>
        </w:rPr>
        <w:t>y </w:t>
      </w:r>
      <w:r>
        <w:rPr>
          <w:sz w:val="24"/>
        </w:rPr>
        <w:t>(right)</w:t>
      </w:r>
      <w:r>
        <w:rPr>
          <w:spacing w:val="-7"/>
          <w:sz w:val="24"/>
        </w:rPr>
        <w:t> </w:t>
      </w:r>
      <w:r>
        <w:rPr>
          <w:sz w:val="24"/>
        </w:rPr>
        <w:t>dimensions. </w:t>
      </w:r>
      <w:r>
        <w:rPr>
          <w:rFonts w:ascii="Cambria"/>
          <w:sz w:val="24"/>
        </w:rPr>
        <w:t>x</w:t>
      </w:r>
      <w:r>
        <w:rPr>
          <w:sz w:val="24"/>
        </w:rPr>
        <w:t>-axis</w:t>
      </w:r>
      <w:r>
        <w:rPr>
          <w:spacing w:val="-7"/>
          <w:sz w:val="24"/>
        </w:rPr>
        <w:t> </w:t>
      </w:r>
      <w:r>
        <w:rPr>
          <w:sz w:val="24"/>
        </w:rPr>
        <w:t>represents</w:t>
      </w:r>
      <w:r>
        <w:rPr>
          <w:spacing w:val="-7"/>
          <w:sz w:val="24"/>
        </w:rPr>
        <w:t> </w:t>
      </w:r>
      <w:r>
        <w:rPr>
          <w:sz w:val="24"/>
        </w:rPr>
        <w:t>standard</w:t>
      </w:r>
      <w:r>
        <w:rPr>
          <w:spacing w:val="-7"/>
          <w:sz w:val="24"/>
        </w:rPr>
        <w:t> </w:t>
      </w:r>
      <w:r>
        <w:rPr>
          <w:sz w:val="24"/>
        </w:rPr>
        <w:t>Wasserstein distance for </w:t>
      </w:r>
      <w:r>
        <w:rPr>
          <w:rFonts w:ascii="Cambria"/>
          <w:sz w:val="24"/>
        </w:rPr>
        <w:t>p</w:t>
      </w:r>
      <w:r>
        <w:rPr>
          <w:sz w:val="24"/>
        </w:rPr>
        <w:t>=3.</w:t>
      </w:r>
      <w:r>
        <w:rPr>
          <w:spacing w:val="40"/>
          <w:sz w:val="24"/>
        </w:rPr>
        <w:t> </w:t>
      </w:r>
      <w:r>
        <w:rPr>
          <w:sz w:val="24"/>
        </w:rPr>
        <w:t>All distances represent differences between the </w:t>
      </w:r>
      <w:r>
        <w:rPr>
          <w:sz w:val="24"/>
        </w:rPr>
        <w:t>team</w:t>
      </w:r>
      <w:r>
        <w:rPr>
          <w:sz w:val="24"/>
        </w:rPr>
        <w:t> overall</w:t>
      </w:r>
      <w:r>
        <w:rPr>
          <w:spacing w:val="-13"/>
          <w:sz w:val="24"/>
        </w:rPr>
        <w:t> </w:t>
      </w:r>
      <w:r>
        <w:rPr>
          <w:sz w:val="24"/>
        </w:rPr>
        <w:t>KDE</w:t>
      </w:r>
      <w:r>
        <w:rPr>
          <w:spacing w:val="-13"/>
          <w:sz w:val="24"/>
        </w:rPr>
        <w:t> </w:t>
      </w:r>
      <w:r>
        <w:rPr>
          <w:sz w:val="24"/>
        </w:rPr>
        <w:t>and</w:t>
      </w:r>
      <w:r>
        <w:rPr>
          <w:spacing w:val="-13"/>
          <w:sz w:val="24"/>
        </w:rPr>
        <w:t> </w:t>
      </w:r>
      <w:r>
        <w:rPr>
          <w:sz w:val="24"/>
        </w:rPr>
        <w:t>the</w:t>
      </w:r>
      <w:r>
        <w:rPr>
          <w:spacing w:val="-13"/>
          <w:sz w:val="24"/>
        </w:rPr>
        <w:t> </w:t>
      </w:r>
      <w:r>
        <w:rPr>
          <w:sz w:val="24"/>
        </w:rPr>
        <w:t>whole</w:t>
      </w:r>
      <w:r>
        <w:rPr>
          <w:spacing w:val="-13"/>
          <w:sz w:val="24"/>
        </w:rPr>
        <w:t> </w:t>
      </w:r>
      <w:r>
        <w:rPr>
          <w:sz w:val="24"/>
        </w:rPr>
        <w:t>league</w:t>
      </w:r>
      <w:r>
        <w:rPr>
          <w:spacing w:val="-13"/>
          <w:sz w:val="24"/>
        </w:rPr>
        <w:t> </w:t>
      </w:r>
      <w:r>
        <w:rPr>
          <w:sz w:val="24"/>
        </w:rPr>
        <w:t>KDE.</w:t>
      </w:r>
      <w:r>
        <w:rPr>
          <w:spacing w:val="-13"/>
          <w:sz w:val="24"/>
        </w:rPr>
        <w:t> </w:t>
      </w:r>
      <w:r>
        <w:rPr>
          <w:sz w:val="24"/>
        </w:rPr>
        <w:t>Blue</w:t>
      </w:r>
      <w:r>
        <w:rPr>
          <w:spacing w:val="-13"/>
          <w:sz w:val="24"/>
        </w:rPr>
        <w:t> </w:t>
      </w:r>
      <w:r>
        <w:rPr>
          <w:sz w:val="24"/>
        </w:rPr>
        <w:t>lines</w:t>
      </w:r>
      <w:r>
        <w:rPr>
          <w:spacing w:val="-13"/>
          <w:sz w:val="24"/>
        </w:rPr>
        <w:t> </w:t>
      </w:r>
      <w:r>
        <w:rPr>
          <w:sz w:val="24"/>
        </w:rPr>
        <w:t>represent</w:t>
      </w:r>
      <w:r>
        <w:rPr>
          <w:spacing w:val="-13"/>
          <w:sz w:val="24"/>
        </w:rPr>
        <w:t> </w:t>
      </w:r>
      <w:r>
        <w:rPr>
          <w:sz w:val="24"/>
        </w:rPr>
        <w:t>median</w:t>
      </w:r>
      <w:r>
        <w:rPr>
          <w:spacing w:val="-13"/>
          <w:sz w:val="24"/>
        </w:rPr>
        <w:t> </w:t>
      </w:r>
      <w:r>
        <w:rPr>
          <w:sz w:val="24"/>
        </w:rPr>
        <w:t>val-</w:t>
      </w:r>
    </w:p>
    <w:p>
      <w:pPr>
        <w:pStyle w:val="BodyText"/>
        <w:tabs>
          <w:tab w:pos="8620" w:val="left" w:leader="dot"/>
        </w:tabs>
        <w:spacing w:before="3"/>
        <w:ind w:left="1518"/>
        <w:jc w:val="both"/>
      </w:pPr>
      <w:r>
        <w:rPr>
          <w:spacing w:val="-4"/>
        </w:rPr>
        <w:t>ues.</w:t>
      </w:r>
      <w:r>
        <w:rPr/>
        <w:tab/>
      </w:r>
      <w:r>
        <w:rPr>
          <w:color w:val="0000FF"/>
          <w:spacing w:val="-5"/>
        </w:rPr>
        <w:t>132</w:t>
      </w:r>
    </w:p>
    <w:p>
      <w:pPr>
        <w:pStyle w:val="ListParagraph"/>
        <w:numPr>
          <w:ilvl w:val="1"/>
          <w:numId w:val="7"/>
        </w:numPr>
        <w:tabs>
          <w:tab w:pos="1519" w:val="left" w:leader="none"/>
        </w:tabs>
        <w:spacing w:line="307" w:lineRule="auto" w:before="78" w:after="0"/>
        <w:ind w:left="1518" w:right="998" w:hanging="550"/>
        <w:jc w:val="both"/>
        <w:rPr>
          <w:sz w:val="24"/>
        </w:rPr>
      </w:pPr>
      <w:r>
        <w:rPr>
          <w:sz w:val="24"/>
        </w:rPr>
        <w:t>Quadrant plot for Wasserstein distance using factor 2 for </w:t>
      </w:r>
      <w:r>
        <w:rPr>
          <w:rFonts w:ascii="Cambria"/>
          <w:sz w:val="24"/>
        </w:rPr>
        <w:t>x </w:t>
      </w:r>
      <w:r>
        <w:rPr>
          <w:sz w:val="24"/>
        </w:rPr>
        <w:t>and </w:t>
      </w:r>
      <w:r>
        <w:rPr>
          <w:rFonts w:ascii="Cambria"/>
          <w:sz w:val="24"/>
        </w:rPr>
        <w:t>y </w:t>
      </w:r>
      <w:r>
        <w:rPr>
          <w:sz w:val="24"/>
        </w:rPr>
        <w:t>direc- tions.</w:t>
      </w:r>
      <w:r>
        <w:rPr>
          <w:spacing w:val="40"/>
          <w:sz w:val="24"/>
        </w:rPr>
        <w:t> </w:t>
      </w:r>
      <w:r>
        <w:rPr>
          <w:rFonts w:ascii="Cambria"/>
          <w:sz w:val="24"/>
        </w:rPr>
        <w:t>y</w:t>
      </w:r>
      <w:r>
        <w:rPr>
          <w:sz w:val="24"/>
        </w:rPr>
        <w:t>-axis represents the normalised increase in Wasserstein </w:t>
      </w:r>
      <w:r>
        <w:rPr>
          <w:sz w:val="24"/>
        </w:rPr>
        <w:t>distance</w:t>
      </w:r>
      <w:r>
        <w:rPr>
          <w:sz w:val="24"/>
        </w:rPr>
        <w:t> in</w:t>
      </w:r>
      <w:r>
        <w:rPr>
          <w:spacing w:val="-7"/>
          <w:sz w:val="24"/>
        </w:rPr>
        <w:t> </w:t>
      </w:r>
      <w:r>
        <w:rPr>
          <w:rFonts w:ascii="Cambria"/>
          <w:sz w:val="24"/>
        </w:rPr>
        <w:t>x </w:t>
      </w:r>
      <w:r>
        <w:rPr>
          <w:sz w:val="24"/>
        </w:rPr>
        <w:t>(left)</w:t>
      </w:r>
      <w:r>
        <w:rPr>
          <w:spacing w:val="-7"/>
          <w:sz w:val="24"/>
        </w:rPr>
        <w:t> </w:t>
      </w:r>
      <w:r>
        <w:rPr>
          <w:sz w:val="24"/>
        </w:rPr>
        <w:t>or</w:t>
      </w:r>
      <w:r>
        <w:rPr>
          <w:spacing w:val="-7"/>
          <w:sz w:val="24"/>
        </w:rPr>
        <w:t> </w:t>
      </w:r>
      <w:r>
        <w:rPr>
          <w:rFonts w:ascii="Cambria"/>
          <w:sz w:val="24"/>
        </w:rPr>
        <w:t>y </w:t>
      </w:r>
      <w:r>
        <w:rPr>
          <w:sz w:val="24"/>
        </w:rPr>
        <w:t>(right)</w:t>
      </w:r>
      <w:r>
        <w:rPr>
          <w:spacing w:val="-7"/>
          <w:sz w:val="24"/>
        </w:rPr>
        <w:t> </w:t>
      </w:r>
      <w:r>
        <w:rPr>
          <w:sz w:val="24"/>
        </w:rPr>
        <w:t>dimensions. </w:t>
      </w:r>
      <w:r>
        <w:rPr>
          <w:rFonts w:ascii="Cambria"/>
          <w:sz w:val="24"/>
        </w:rPr>
        <w:t>x</w:t>
      </w:r>
      <w:r>
        <w:rPr>
          <w:sz w:val="24"/>
        </w:rPr>
        <w:t>-axis</w:t>
      </w:r>
      <w:r>
        <w:rPr>
          <w:spacing w:val="-7"/>
          <w:sz w:val="24"/>
        </w:rPr>
        <w:t> </w:t>
      </w:r>
      <w:r>
        <w:rPr>
          <w:sz w:val="24"/>
        </w:rPr>
        <w:t>represents</w:t>
      </w:r>
      <w:r>
        <w:rPr>
          <w:spacing w:val="-7"/>
          <w:sz w:val="24"/>
        </w:rPr>
        <w:t> </w:t>
      </w:r>
      <w:r>
        <w:rPr>
          <w:sz w:val="24"/>
        </w:rPr>
        <w:t>standard</w:t>
      </w:r>
      <w:r>
        <w:rPr>
          <w:spacing w:val="-7"/>
          <w:sz w:val="24"/>
        </w:rPr>
        <w:t> </w:t>
      </w:r>
      <w:r>
        <w:rPr>
          <w:sz w:val="24"/>
        </w:rPr>
        <w:t>Wasserstein distance for </w:t>
      </w:r>
      <w:r>
        <w:rPr>
          <w:rFonts w:ascii="Cambria"/>
          <w:sz w:val="24"/>
        </w:rPr>
        <w:t>p</w:t>
      </w:r>
      <w:r>
        <w:rPr>
          <w:sz w:val="24"/>
        </w:rPr>
        <w:t>=3.</w:t>
      </w:r>
      <w:r>
        <w:rPr>
          <w:spacing w:val="40"/>
          <w:sz w:val="24"/>
        </w:rPr>
        <w:t> </w:t>
      </w:r>
      <w:r>
        <w:rPr>
          <w:sz w:val="24"/>
        </w:rPr>
        <w:t>All distances represent differences between the </w:t>
      </w:r>
      <w:r>
        <w:rPr>
          <w:sz w:val="24"/>
        </w:rPr>
        <w:t>team</w:t>
      </w:r>
      <w:r>
        <w:rPr>
          <w:sz w:val="24"/>
        </w:rPr>
        <w:t> overall</w:t>
      </w:r>
      <w:r>
        <w:rPr>
          <w:spacing w:val="-13"/>
          <w:sz w:val="24"/>
        </w:rPr>
        <w:t> </w:t>
      </w:r>
      <w:r>
        <w:rPr>
          <w:sz w:val="24"/>
        </w:rPr>
        <w:t>KDE</w:t>
      </w:r>
      <w:r>
        <w:rPr>
          <w:spacing w:val="-13"/>
          <w:sz w:val="24"/>
        </w:rPr>
        <w:t> </w:t>
      </w:r>
      <w:r>
        <w:rPr>
          <w:sz w:val="24"/>
        </w:rPr>
        <w:t>and</w:t>
      </w:r>
      <w:r>
        <w:rPr>
          <w:spacing w:val="-13"/>
          <w:sz w:val="24"/>
        </w:rPr>
        <w:t> </w:t>
      </w:r>
      <w:r>
        <w:rPr>
          <w:sz w:val="24"/>
        </w:rPr>
        <w:t>the</w:t>
      </w:r>
      <w:r>
        <w:rPr>
          <w:spacing w:val="-13"/>
          <w:sz w:val="24"/>
        </w:rPr>
        <w:t> </w:t>
      </w:r>
      <w:r>
        <w:rPr>
          <w:sz w:val="24"/>
        </w:rPr>
        <w:t>whole</w:t>
      </w:r>
      <w:r>
        <w:rPr>
          <w:spacing w:val="-13"/>
          <w:sz w:val="24"/>
        </w:rPr>
        <w:t> </w:t>
      </w:r>
      <w:r>
        <w:rPr>
          <w:sz w:val="24"/>
        </w:rPr>
        <w:t>league</w:t>
      </w:r>
      <w:r>
        <w:rPr>
          <w:spacing w:val="-13"/>
          <w:sz w:val="24"/>
        </w:rPr>
        <w:t> </w:t>
      </w:r>
      <w:r>
        <w:rPr>
          <w:sz w:val="24"/>
        </w:rPr>
        <w:t>KDE.</w:t>
      </w:r>
      <w:r>
        <w:rPr>
          <w:spacing w:val="-13"/>
          <w:sz w:val="24"/>
        </w:rPr>
        <w:t> </w:t>
      </w:r>
      <w:r>
        <w:rPr>
          <w:sz w:val="24"/>
        </w:rPr>
        <w:t>Blue</w:t>
      </w:r>
      <w:r>
        <w:rPr>
          <w:spacing w:val="-13"/>
          <w:sz w:val="24"/>
        </w:rPr>
        <w:t> </w:t>
      </w:r>
      <w:r>
        <w:rPr>
          <w:sz w:val="24"/>
        </w:rPr>
        <w:t>lines</w:t>
      </w:r>
      <w:r>
        <w:rPr>
          <w:spacing w:val="-13"/>
          <w:sz w:val="24"/>
        </w:rPr>
        <w:t> </w:t>
      </w:r>
      <w:r>
        <w:rPr>
          <w:sz w:val="24"/>
        </w:rPr>
        <w:t>represent</w:t>
      </w:r>
      <w:r>
        <w:rPr>
          <w:spacing w:val="-13"/>
          <w:sz w:val="24"/>
        </w:rPr>
        <w:t> </w:t>
      </w:r>
      <w:r>
        <w:rPr>
          <w:sz w:val="24"/>
        </w:rPr>
        <w:t>median</w:t>
      </w:r>
      <w:r>
        <w:rPr>
          <w:spacing w:val="-13"/>
          <w:sz w:val="24"/>
        </w:rPr>
        <w:t> </w:t>
      </w:r>
      <w:r>
        <w:rPr>
          <w:sz w:val="24"/>
        </w:rPr>
        <w:t>val-</w:t>
      </w:r>
    </w:p>
    <w:p>
      <w:pPr>
        <w:pStyle w:val="BodyText"/>
        <w:tabs>
          <w:tab w:pos="8620" w:val="left" w:leader="dot"/>
        </w:tabs>
        <w:spacing w:before="3"/>
        <w:ind w:left="1518"/>
        <w:jc w:val="both"/>
      </w:pPr>
      <w:r>
        <w:rPr>
          <w:spacing w:val="-4"/>
        </w:rPr>
        <w:t>ues.</w:t>
      </w:r>
      <w:r>
        <w:rPr/>
        <w:tab/>
      </w:r>
      <w:r>
        <w:rPr>
          <w:color w:val="0000FF"/>
          <w:spacing w:val="-5"/>
        </w:rPr>
        <w:t>133</w:t>
      </w:r>
    </w:p>
    <w:p>
      <w:pPr>
        <w:pStyle w:val="ListParagraph"/>
        <w:numPr>
          <w:ilvl w:val="1"/>
          <w:numId w:val="7"/>
        </w:numPr>
        <w:tabs>
          <w:tab w:pos="1519" w:val="left" w:leader="none"/>
        </w:tabs>
        <w:spacing w:line="302" w:lineRule="auto" w:before="79" w:after="0"/>
        <w:ind w:left="1518" w:right="998" w:hanging="550"/>
        <w:jc w:val="both"/>
        <w:rPr>
          <w:sz w:val="24"/>
        </w:rPr>
      </w:pPr>
      <w:r>
        <w:rPr>
          <w:sz w:val="24"/>
        </w:rPr>
        <w:t>Quadrant plot for Wasserstein distance using </w:t>
      </w:r>
      <w:r>
        <w:rPr>
          <w:rFonts w:ascii="Garamond"/>
          <w:sz w:val="24"/>
        </w:rPr>
        <w:t>4</w:t>
      </w:r>
      <w:r>
        <w:rPr>
          <w:rFonts w:ascii="Cambria"/>
          <w:sz w:val="24"/>
        </w:rPr>
        <w:t>.</w:t>
      </w:r>
      <w:r>
        <w:rPr>
          <w:rFonts w:ascii="Garamond"/>
          <w:sz w:val="24"/>
        </w:rPr>
        <w:t>8</w:t>
      </w:r>
      <w:r>
        <w:rPr>
          <w:rFonts w:ascii="Cambria"/>
          <w:sz w:val="24"/>
        </w:rPr>
        <w:t>x</w:t>
      </w:r>
      <w:r>
        <w:rPr>
          <w:sz w:val="24"/>
        </w:rPr>
        <w:t>, </w:t>
      </w:r>
      <w:r>
        <w:rPr>
          <w:rFonts w:ascii="Garamond"/>
          <w:sz w:val="24"/>
        </w:rPr>
        <w:t>2</w:t>
      </w:r>
      <w:r>
        <w:rPr>
          <w:rFonts w:ascii="Cambria"/>
          <w:sz w:val="24"/>
        </w:rPr>
        <w:t>.</w:t>
      </w:r>
      <w:r>
        <w:rPr>
          <w:rFonts w:ascii="Garamond"/>
          <w:sz w:val="24"/>
        </w:rPr>
        <w:t>8</w:t>
      </w:r>
      <w:r>
        <w:rPr>
          <w:rFonts w:ascii="Cambria"/>
          <w:sz w:val="24"/>
        </w:rPr>
        <w:t>y </w:t>
      </w:r>
      <w:r>
        <w:rPr>
          <w:sz w:val="24"/>
        </w:rPr>
        <w:t>factors.</w:t>
      </w:r>
      <w:r>
        <w:rPr>
          <w:spacing w:val="40"/>
          <w:sz w:val="24"/>
        </w:rPr>
        <w:t> </w:t>
      </w:r>
      <w:r>
        <w:rPr>
          <w:rFonts w:ascii="Cambria"/>
          <w:sz w:val="24"/>
        </w:rPr>
        <w:t>y</w:t>
      </w:r>
      <w:r>
        <w:rPr>
          <w:sz w:val="24"/>
        </w:rPr>
        <w:t>-axis represents the normalised increase in Wasserstein distance in </w:t>
      </w:r>
      <w:r>
        <w:rPr>
          <w:rFonts w:ascii="Cambria"/>
          <w:sz w:val="24"/>
        </w:rPr>
        <w:t>x </w:t>
      </w:r>
      <w:r>
        <w:rPr>
          <w:sz w:val="24"/>
        </w:rPr>
        <w:t>(left) or</w:t>
      </w:r>
      <w:r>
        <w:rPr>
          <w:spacing w:val="40"/>
          <w:sz w:val="24"/>
        </w:rPr>
        <w:t> </w:t>
      </w:r>
      <w:r>
        <w:rPr>
          <w:rFonts w:ascii="Cambria"/>
          <w:sz w:val="24"/>
        </w:rPr>
        <w:t>y </w:t>
      </w:r>
      <w:r>
        <w:rPr>
          <w:sz w:val="24"/>
        </w:rPr>
        <w:t>(right)</w:t>
      </w:r>
      <w:r>
        <w:rPr>
          <w:spacing w:val="-5"/>
          <w:sz w:val="24"/>
        </w:rPr>
        <w:t> </w:t>
      </w:r>
      <w:r>
        <w:rPr>
          <w:sz w:val="24"/>
        </w:rPr>
        <w:t>dimensions. </w:t>
      </w:r>
      <w:r>
        <w:rPr>
          <w:rFonts w:ascii="Cambria"/>
          <w:sz w:val="24"/>
        </w:rPr>
        <w:t>x</w:t>
      </w:r>
      <w:r>
        <w:rPr>
          <w:sz w:val="24"/>
        </w:rPr>
        <w:t>-axis</w:t>
      </w:r>
      <w:r>
        <w:rPr>
          <w:spacing w:val="-5"/>
          <w:sz w:val="24"/>
        </w:rPr>
        <w:t> </w:t>
      </w:r>
      <w:r>
        <w:rPr>
          <w:sz w:val="24"/>
        </w:rPr>
        <w:t>represents</w:t>
      </w:r>
      <w:r>
        <w:rPr>
          <w:spacing w:val="-5"/>
          <w:sz w:val="24"/>
        </w:rPr>
        <w:t> </w:t>
      </w:r>
      <w:r>
        <w:rPr>
          <w:sz w:val="24"/>
        </w:rPr>
        <w:t>standard</w:t>
      </w:r>
      <w:r>
        <w:rPr>
          <w:spacing w:val="-5"/>
          <w:sz w:val="24"/>
        </w:rPr>
        <w:t> </w:t>
      </w:r>
      <w:r>
        <w:rPr>
          <w:sz w:val="24"/>
        </w:rPr>
        <w:t>Wasserstein</w:t>
      </w:r>
      <w:r>
        <w:rPr>
          <w:spacing w:val="-5"/>
          <w:sz w:val="24"/>
        </w:rPr>
        <w:t> </w:t>
      </w:r>
      <w:r>
        <w:rPr>
          <w:sz w:val="24"/>
        </w:rPr>
        <w:t>distance</w:t>
      </w:r>
      <w:r>
        <w:rPr>
          <w:spacing w:val="-5"/>
          <w:sz w:val="24"/>
        </w:rPr>
        <w:t> </w:t>
      </w:r>
      <w:r>
        <w:rPr>
          <w:sz w:val="24"/>
        </w:rPr>
        <w:t>for</w:t>
      </w:r>
      <w:r>
        <w:rPr>
          <w:sz w:val="24"/>
        </w:rPr>
        <w:t> </w:t>
      </w:r>
      <w:r>
        <w:rPr>
          <w:rFonts w:ascii="Cambria"/>
          <w:sz w:val="24"/>
        </w:rPr>
        <w:t>p</w:t>
      </w:r>
      <w:r>
        <w:rPr>
          <w:sz w:val="24"/>
        </w:rPr>
        <w:t>=3.</w:t>
      </w:r>
      <w:r>
        <w:rPr>
          <w:spacing w:val="40"/>
          <w:sz w:val="24"/>
        </w:rPr>
        <w:t> </w:t>
      </w:r>
      <w:r>
        <w:rPr>
          <w:sz w:val="24"/>
        </w:rPr>
        <w:t>All distances represent differences between the team overall KDE</w:t>
      </w:r>
    </w:p>
    <w:p>
      <w:pPr>
        <w:pStyle w:val="BodyText"/>
        <w:tabs>
          <w:tab w:pos="8620" w:val="left" w:leader="dot"/>
        </w:tabs>
        <w:spacing w:before="10"/>
        <w:ind w:left="1518"/>
        <w:jc w:val="both"/>
      </w:pPr>
      <w:r>
        <w:rPr/>
        <w:t>and</w:t>
      </w:r>
      <w:r>
        <w:rPr>
          <w:spacing w:val="-7"/>
        </w:rPr>
        <w:t> </w:t>
      </w:r>
      <w:r>
        <w:rPr/>
        <w:t>the</w:t>
      </w:r>
      <w:r>
        <w:rPr>
          <w:spacing w:val="-6"/>
        </w:rPr>
        <w:t> </w:t>
      </w:r>
      <w:r>
        <w:rPr/>
        <w:t>whole</w:t>
      </w:r>
      <w:r>
        <w:rPr>
          <w:spacing w:val="-7"/>
        </w:rPr>
        <w:t> </w:t>
      </w:r>
      <w:r>
        <w:rPr/>
        <w:t>league</w:t>
      </w:r>
      <w:r>
        <w:rPr>
          <w:spacing w:val="-6"/>
        </w:rPr>
        <w:t> </w:t>
      </w:r>
      <w:r>
        <w:rPr/>
        <w:t>KDE.</w:t>
      </w:r>
      <w:r>
        <w:rPr>
          <w:spacing w:val="-7"/>
        </w:rPr>
        <w:t> </w:t>
      </w:r>
      <w:r>
        <w:rPr/>
        <w:t>Blue</w:t>
      </w:r>
      <w:r>
        <w:rPr>
          <w:spacing w:val="-6"/>
        </w:rPr>
        <w:t> </w:t>
      </w:r>
      <w:r>
        <w:rPr/>
        <w:t>lines</w:t>
      </w:r>
      <w:r>
        <w:rPr>
          <w:spacing w:val="-7"/>
        </w:rPr>
        <w:t> </w:t>
      </w:r>
      <w:r>
        <w:rPr/>
        <w:t>represent</w:t>
      </w:r>
      <w:r>
        <w:rPr>
          <w:spacing w:val="-6"/>
        </w:rPr>
        <w:t> </w:t>
      </w:r>
      <w:r>
        <w:rPr/>
        <w:t>median</w:t>
      </w:r>
      <w:r>
        <w:rPr>
          <w:spacing w:val="-6"/>
        </w:rPr>
        <w:t> </w:t>
      </w:r>
      <w:r>
        <w:rPr>
          <w:spacing w:val="-2"/>
        </w:rPr>
        <w:t>values.</w:t>
      </w:r>
      <w:r>
        <w:rPr/>
        <w:tab/>
      </w:r>
      <w:r>
        <w:rPr>
          <w:color w:val="0000FF"/>
          <w:spacing w:val="-5"/>
        </w:rPr>
        <w:t>133</w:t>
      </w:r>
    </w:p>
    <w:p>
      <w:pPr>
        <w:pStyle w:val="ListParagraph"/>
        <w:numPr>
          <w:ilvl w:val="1"/>
          <w:numId w:val="7"/>
        </w:numPr>
        <w:tabs>
          <w:tab w:pos="1519" w:val="left" w:leader="none"/>
        </w:tabs>
        <w:spacing w:line="302" w:lineRule="auto" w:before="78" w:after="0"/>
        <w:ind w:left="1518" w:right="998" w:hanging="550"/>
        <w:jc w:val="both"/>
        <w:rPr>
          <w:sz w:val="24"/>
        </w:rPr>
      </w:pPr>
      <w:r>
        <w:rPr>
          <w:sz w:val="24"/>
        </w:rPr>
        <w:t>Quadrant plot for Wasserstein distance using </w:t>
      </w:r>
      <w:r>
        <w:rPr>
          <w:rFonts w:ascii="Garamond"/>
          <w:sz w:val="24"/>
        </w:rPr>
        <w:t>6</w:t>
      </w:r>
      <w:r>
        <w:rPr>
          <w:rFonts w:ascii="Cambria"/>
          <w:sz w:val="24"/>
        </w:rPr>
        <w:t>.</w:t>
      </w:r>
      <w:r>
        <w:rPr>
          <w:rFonts w:ascii="Garamond"/>
          <w:sz w:val="24"/>
        </w:rPr>
        <w:t>0</w:t>
      </w:r>
      <w:r>
        <w:rPr>
          <w:rFonts w:ascii="Cambria"/>
          <w:sz w:val="24"/>
        </w:rPr>
        <w:t>x</w:t>
      </w:r>
      <w:r>
        <w:rPr>
          <w:sz w:val="24"/>
        </w:rPr>
        <w:t>, </w:t>
      </w:r>
      <w:r>
        <w:rPr>
          <w:rFonts w:ascii="Garamond"/>
          <w:sz w:val="24"/>
        </w:rPr>
        <w:t>3</w:t>
      </w:r>
      <w:r>
        <w:rPr>
          <w:rFonts w:ascii="Cambria"/>
          <w:sz w:val="24"/>
        </w:rPr>
        <w:t>.</w:t>
      </w:r>
      <w:r>
        <w:rPr>
          <w:rFonts w:ascii="Garamond"/>
          <w:sz w:val="24"/>
        </w:rPr>
        <w:t>5</w:t>
      </w:r>
      <w:r>
        <w:rPr>
          <w:rFonts w:ascii="Cambria"/>
          <w:sz w:val="24"/>
        </w:rPr>
        <w:t>y </w:t>
      </w:r>
      <w:r>
        <w:rPr>
          <w:sz w:val="24"/>
        </w:rPr>
        <w:t>factors.</w:t>
      </w:r>
      <w:r>
        <w:rPr>
          <w:spacing w:val="40"/>
          <w:sz w:val="24"/>
        </w:rPr>
        <w:t> </w:t>
      </w:r>
      <w:r>
        <w:rPr>
          <w:rFonts w:ascii="Cambria"/>
          <w:sz w:val="24"/>
        </w:rPr>
        <w:t>y</w:t>
      </w:r>
      <w:r>
        <w:rPr>
          <w:sz w:val="24"/>
        </w:rPr>
        <w:t>-axis represents the normalised increase in Wasserstein distance in </w:t>
      </w:r>
      <w:r>
        <w:rPr>
          <w:rFonts w:ascii="Cambria"/>
          <w:sz w:val="24"/>
        </w:rPr>
        <w:t>x </w:t>
      </w:r>
      <w:r>
        <w:rPr>
          <w:sz w:val="24"/>
        </w:rPr>
        <w:t>(left) or</w:t>
      </w:r>
      <w:r>
        <w:rPr>
          <w:spacing w:val="40"/>
          <w:sz w:val="24"/>
        </w:rPr>
        <w:t> </w:t>
      </w:r>
      <w:r>
        <w:rPr>
          <w:rFonts w:ascii="Cambria"/>
          <w:sz w:val="24"/>
        </w:rPr>
        <w:t>y </w:t>
      </w:r>
      <w:r>
        <w:rPr>
          <w:sz w:val="24"/>
        </w:rPr>
        <w:t>(right)</w:t>
      </w:r>
      <w:r>
        <w:rPr>
          <w:spacing w:val="-5"/>
          <w:sz w:val="24"/>
        </w:rPr>
        <w:t> </w:t>
      </w:r>
      <w:r>
        <w:rPr>
          <w:sz w:val="24"/>
        </w:rPr>
        <w:t>dimensions. </w:t>
      </w:r>
      <w:r>
        <w:rPr>
          <w:rFonts w:ascii="Cambria"/>
          <w:sz w:val="24"/>
        </w:rPr>
        <w:t>x</w:t>
      </w:r>
      <w:r>
        <w:rPr>
          <w:sz w:val="24"/>
        </w:rPr>
        <w:t>-axis</w:t>
      </w:r>
      <w:r>
        <w:rPr>
          <w:spacing w:val="-5"/>
          <w:sz w:val="24"/>
        </w:rPr>
        <w:t> </w:t>
      </w:r>
      <w:r>
        <w:rPr>
          <w:sz w:val="24"/>
        </w:rPr>
        <w:t>represents</w:t>
      </w:r>
      <w:r>
        <w:rPr>
          <w:spacing w:val="-5"/>
          <w:sz w:val="24"/>
        </w:rPr>
        <w:t> </w:t>
      </w:r>
      <w:r>
        <w:rPr>
          <w:sz w:val="24"/>
        </w:rPr>
        <w:t>standard</w:t>
      </w:r>
      <w:r>
        <w:rPr>
          <w:spacing w:val="-5"/>
          <w:sz w:val="24"/>
        </w:rPr>
        <w:t> </w:t>
      </w:r>
      <w:r>
        <w:rPr>
          <w:sz w:val="24"/>
        </w:rPr>
        <w:t>Wasserstein</w:t>
      </w:r>
      <w:r>
        <w:rPr>
          <w:spacing w:val="-5"/>
          <w:sz w:val="24"/>
        </w:rPr>
        <w:t> </w:t>
      </w:r>
      <w:r>
        <w:rPr>
          <w:sz w:val="24"/>
        </w:rPr>
        <w:t>distance</w:t>
      </w:r>
      <w:r>
        <w:rPr>
          <w:spacing w:val="-5"/>
          <w:sz w:val="24"/>
        </w:rPr>
        <w:t> </w:t>
      </w:r>
      <w:r>
        <w:rPr>
          <w:sz w:val="24"/>
        </w:rPr>
        <w:t>for</w:t>
      </w:r>
      <w:r>
        <w:rPr>
          <w:sz w:val="24"/>
        </w:rPr>
        <w:t> </w:t>
      </w:r>
      <w:r>
        <w:rPr>
          <w:rFonts w:ascii="Cambria"/>
          <w:sz w:val="24"/>
        </w:rPr>
        <w:t>p</w:t>
      </w:r>
      <w:r>
        <w:rPr>
          <w:sz w:val="24"/>
        </w:rPr>
        <w:t>=3.</w:t>
      </w:r>
      <w:r>
        <w:rPr>
          <w:spacing w:val="40"/>
          <w:sz w:val="24"/>
        </w:rPr>
        <w:t> </w:t>
      </w:r>
      <w:r>
        <w:rPr>
          <w:sz w:val="24"/>
        </w:rPr>
        <w:t>All distances represent differences between the team overall KDE</w:t>
      </w:r>
    </w:p>
    <w:p>
      <w:pPr>
        <w:pStyle w:val="BodyText"/>
        <w:tabs>
          <w:tab w:pos="8620" w:val="left" w:leader="dot"/>
        </w:tabs>
        <w:spacing w:before="11"/>
        <w:ind w:left="1518"/>
        <w:jc w:val="both"/>
      </w:pPr>
      <w:r>
        <w:rPr/>
        <w:t>and</w:t>
      </w:r>
      <w:r>
        <w:rPr>
          <w:spacing w:val="-7"/>
        </w:rPr>
        <w:t> </w:t>
      </w:r>
      <w:r>
        <w:rPr/>
        <w:t>the</w:t>
      </w:r>
      <w:r>
        <w:rPr>
          <w:spacing w:val="-6"/>
        </w:rPr>
        <w:t> </w:t>
      </w:r>
      <w:r>
        <w:rPr/>
        <w:t>whole</w:t>
      </w:r>
      <w:r>
        <w:rPr>
          <w:spacing w:val="-7"/>
        </w:rPr>
        <w:t> </w:t>
      </w:r>
      <w:r>
        <w:rPr/>
        <w:t>league</w:t>
      </w:r>
      <w:r>
        <w:rPr>
          <w:spacing w:val="-6"/>
        </w:rPr>
        <w:t> </w:t>
      </w:r>
      <w:r>
        <w:rPr/>
        <w:t>KDE.</w:t>
      </w:r>
      <w:r>
        <w:rPr>
          <w:spacing w:val="-7"/>
        </w:rPr>
        <w:t> </w:t>
      </w:r>
      <w:r>
        <w:rPr/>
        <w:t>Blue</w:t>
      </w:r>
      <w:r>
        <w:rPr>
          <w:spacing w:val="-6"/>
        </w:rPr>
        <w:t> </w:t>
      </w:r>
      <w:r>
        <w:rPr/>
        <w:t>lines</w:t>
      </w:r>
      <w:r>
        <w:rPr>
          <w:spacing w:val="-7"/>
        </w:rPr>
        <w:t> </w:t>
      </w:r>
      <w:r>
        <w:rPr/>
        <w:t>represent</w:t>
      </w:r>
      <w:r>
        <w:rPr>
          <w:spacing w:val="-6"/>
        </w:rPr>
        <w:t> </w:t>
      </w:r>
      <w:r>
        <w:rPr/>
        <w:t>median</w:t>
      </w:r>
      <w:r>
        <w:rPr>
          <w:spacing w:val="-6"/>
        </w:rPr>
        <w:t> </w:t>
      </w:r>
      <w:r>
        <w:rPr>
          <w:spacing w:val="-2"/>
        </w:rPr>
        <w:t>values.</w:t>
      </w:r>
      <w:r>
        <w:rPr/>
        <w:tab/>
      </w:r>
      <w:r>
        <w:rPr>
          <w:color w:val="0000FF"/>
          <w:spacing w:val="-5"/>
        </w:rPr>
        <w:t>134</w:t>
      </w:r>
    </w:p>
    <w:p>
      <w:pPr>
        <w:pStyle w:val="ListParagraph"/>
        <w:numPr>
          <w:ilvl w:val="1"/>
          <w:numId w:val="7"/>
        </w:numPr>
        <w:tabs>
          <w:tab w:pos="1519" w:val="left" w:leader="none"/>
        </w:tabs>
        <w:spacing w:line="312" w:lineRule="auto" w:before="82" w:after="0"/>
        <w:ind w:left="1518" w:right="998" w:hanging="550"/>
        <w:jc w:val="both"/>
        <w:rPr>
          <w:sz w:val="24"/>
        </w:rPr>
      </w:pPr>
      <w:r>
        <w:rPr>
          <w:sz w:val="24"/>
        </w:rPr>
        <w:t>Quadrant plot showing directional Wasserstein distance at the </w:t>
      </w:r>
      <w:r>
        <w:rPr>
          <w:sz w:val="24"/>
        </w:rPr>
        <w:t>between</w:t>
      </w:r>
      <w:r>
        <w:rPr>
          <w:sz w:val="24"/>
        </w:rPr>
        <w:t> team levels.</w:t>
      </w:r>
      <w:r>
        <w:rPr>
          <w:spacing w:val="40"/>
          <w:sz w:val="24"/>
        </w:rPr>
        <w:t> </w:t>
      </w:r>
      <w:r>
        <w:rPr>
          <w:sz w:val="24"/>
        </w:rPr>
        <w:t>Positive numbers in the left plot represent an overall shift</w:t>
      </w:r>
      <w:r>
        <w:rPr>
          <w:spacing w:val="40"/>
          <w:sz w:val="24"/>
        </w:rPr>
        <w:t> </w:t>
      </w:r>
      <w:r>
        <w:rPr>
          <w:sz w:val="24"/>
        </w:rPr>
        <w:t>to</w:t>
      </w:r>
      <w:r>
        <w:rPr>
          <w:spacing w:val="22"/>
          <w:sz w:val="24"/>
        </w:rPr>
        <w:t> </w:t>
      </w:r>
      <w:r>
        <w:rPr>
          <w:sz w:val="24"/>
        </w:rPr>
        <w:t>the</w:t>
      </w:r>
      <w:r>
        <w:rPr>
          <w:spacing w:val="22"/>
          <w:sz w:val="24"/>
        </w:rPr>
        <w:t> </w:t>
      </w:r>
      <w:r>
        <w:rPr>
          <w:sz w:val="24"/>
        </w:rPr>
        <w:t>left,</w:t>
      </w:r>
      <w:r>
        <w:rPr>
          <w:spacing w:val="29"/>
          <w:sz w:val="24"/>
        </w:rPr>
        <w:t> </w:t>
      </w:r>
      <w:r>
        <w:rPr>
          <w:sz w:val="24"/>
        </w:rPr>
        <w:t>positive</w:t>
      </w:r>
      <w:r>
        <w:rPr>
          <w:spacing w:val="22"/>
          <w:sz w:val="24"/>
        </w:rPr>
        <w:t> </w:t>
      </w:r>
      <w:r>
        <w:rPr>
          <w:sz w:val="24"/>
        </w:rPr>
        <w:t>numbers</w:t>
      </w:r>
      <w:r>
        <w:rPr>
          <w:spacing w:val="22"/>
          <w:sz w:val="24"/>
        </w:rPr>
        <w:t> </w:t>
      </w:r>
      <w:r>
        <w:rPr>
          <w:sz w:val="24"/>
        </w:rPr>
        <w:t>in</w:t>
      </w:r>
      <w:r>
        <w:rPr>
          <w:spacing w:val="22"/>
          <w:sz w:val="24"/>
        </w:rPr>
        <w:t> </w:t>
      </w:r>
      <w:r>
        <w:rPr>
          <w:sz w:val="24"/>
        </w:rPr>
        <w:t>the</w:t>
      </w:r>
      <w:r>
        <w:rPr>
          <w:spacing w:val="22"/>
          <w:sz w:val="24"/>
        </w:rPr>
        <w:t> </w:t>
      </w:r>
      <w:r>
        <w:rPr>
          <w:sz w:val="24"/>
        </w:rPr>
        <w:t>right</w:t>
      </w:r>
      <w:r>
        <w:rPr>
          <w:spacing w:val="22"/>
          <w:sz w:val="24"/>
        </w:rPr>
        <w:t> </w:t>
      </w:r>
      <w:r>
        <w:rPr>
          <w:sz w:val="24"/>
        </w:rPr>
        <w:t>plot</w:t>
      </w:r>
      <w:r>
        <w:rPr>
          <w:spacing w:val="22"/>
          <w:sz w:val="24"/>
        </w:rPr>
        <w:t> </w:t>
      </w:r>
      <w:r>
        <w:rPr>
          <w:sz w:val="24"/>
        </w:rPr>
        <w:t>represent</w:t>
      </w:r>
      <w:r>
        <w:rPr>
          <w:spacing w:val="22"/>
          <w:sz w:val="24"/>
        </w:rPr>
        <w:t> </w:t>
      </w:r>
      <w:r>
        <w:rPr>
          <w:sz w:val="24"/>
        </w:rPr>
        <w:t>an</w:t>
      </w:r>
      <w:r>
        <w:rPr>
          <w:spacing w:val="22"/>
          <w:sz w:val="24"/>
        </w:rPr>
        <w:t> </w:t>
      </w:r>
      <w:r>
        <w:rPr>
          <w:sz w:val="24"/>
        </w:rPr>
        <w:t>overall</w:t>
      </w:r>
      <w:r>
        <w:rPr>
          <w:spacing w:val="22"/>
          <w:sz w:val="24"/>
        </w:rPr>
        <w:t> </w:t>
      </w:r>
      <w:r>
        <w:rPr>
          <w:sz w:val="24"/>
        </w:rPr>
        <w:t>shift</w:t>
      </w:r>
    </w:p>
    <w:p>
      <w:pPr>
        <w:pStyle w:val="BodyText"/>
        <w:tabs>
          <w:tab w:pos="8620" w:val="left" w:leader="dot"/>
        </w:tabs>
        <w:spacing w:line="275" w:lineRule="exact"/>
        <w:ind w:left="1518"/>
        <w:jc w:val="both"/>
      </w:pPr>
      <w:r>
        <w:rPr/>
        <w:t>upwards.</w:t>
      </w:r>
      <w:r>
        <w:rPr>
          <w:spacing w:val="5"/>
        </w:rPr>
        <w:t> </w:t>
      </w:r>
      <w:r>
        <w:rPr/>
        <w:t>Blue</w:t>
      </w:r>
      <w:r>
        <w:rPr>
          <w:spacing w:val="-8"/>
        </w:rPr>
        <w:t> </w:t>
      </w:r>
      <w:r>
        <w:rPr/>
        <w:t>lines</w:t>
      </w:r>
      <w:r>
        <w:rPr>
          <w:spacing w:val="-8"/>
        </w:rPr>
        <w:t> </w:t>
      </w:r>
      <w:r>
        <w:rPr/>
        <w:t>represent</w:t>
      </w:r>
      <w:r>
        <w:rPr>
          <w:spacing w:val="-8"/>
        </w:rPr>
        <w:t> </w:t>
      </w:r>
      <w:r>
        <w:rPr/>
        <w:t>median</w:t>
      </w:r>
      <w:r>
        <w:rPr>
          <w:spacing w:val="-8"/>
        </w:rPr>
        <w:t> </w:t>
      </w:r>
      <w:r>
        <w:rPr>
          <w:spacing w:val="-2"/>
        </w:rPr>
        <w:t>values.</w:t>
      </w:r>
      <w:r>
        <w:rPr/>
        <w:tab/>
      </w:r>
      <w:r>
        <w:rPr>
          <w:color w:val="0000FF"/>
          <w:spacing w:val="-5"/>
        </w:rPr>
        <w:t>136</w:t>
      </w:r>
    </w:p>
    <w:p>
      <w:pPr>
        <w:pStyle w:val="ListParagraph"/>
        <w:numPr>
          <w:ilvl w:val="1"/>
          <w:numId w:val="7"/>
        </w:numPr>
        <w:tabs>
          <w:tab w:pos="1519" w:val="left" w:leader="none"/>
          <w:tab w:pos="8620" w:val="left" w:leader="dot"/>
        </w:tabs>
        <w:spacing w:line="312" w:lineRule="auto" w:before="83" w:after="0"/>
        <w:ind w:left="1518" w:right="524" w:hanging="550"/>
        <w:jc w:val="left"/>
        <w:rPr>
          <w:sz w:val="24"/>
        </w:rPr>
      </w:pPr>
      <w:r>
        <w:rPr>
          <w:sz w:val="24"/>
        </w:rPr>
        <w:t>Comparison between team-opponent KDE and team’s overall KDE for Castleford. Top left plot shows overall KDE for Castleford. For all other plots, green areas are areas represent areas where the team has a higher density against a specific opponent than the overall KDE, red areas have lower densities.</w:t>
      </w:r>
      <w:r>
        <w:rPr>
          <w:sz w:val="24"/>
        </w:rPr>
        <w:tab/>
      </w:r>
      <w:r>
        <w:rPr>
          <w:color w:val="0000FF"/>
          <w:spacing w:val="-4"/>
          <w:sz w:val="24"/>
        </w:rPr>
        <w:t>13</w:t>
      </w:r>
      <w:r>
        <w:rPr>
          <w:color w:val="0000FF"/>
          <w:spacing w:val="-4"/>
          <w:sz w:val="24"/>
        </w:rPr>
        <w:t>8</w:t>
      </w:r>
    </w:p>
    <w:p>
      <w:pPr>
        <w:spacing w:after="0" w:line="312" w:lineRule="auto"/>
        <w:jc w:val="left"/>
        <w:rPr>
          <w:sz w:val="24"/>
        </w:rPr>
        <w:sectPr>
          <w:pgSz w:w="11910" w:h="16840"/>
          <w:pgMar w:header="1961" w:footer="1428" w:top="2280" w:bottom="1620" w:left="1680" w:right="720"/>
        </w:sectPr>
      </w:pPr>
    </w:p>
    <w:p>
      <w:pPr>
        <w:pStyle w:val="ListParagraph"/>
        <w:numPr>
          <w:ilvl w:val="1"/>
          <w:numId w:val="7"/>
        </w:numPr>
        <w:tabs>
          <w:tab w:pos="1519" w:val="left" w:leader="none"/>
        </w:tabs>
        <w:spacing w:line="312" w:lineRule="auto" w:before="572" w:after="0"/>
        <w:ind w:left="1518" w:right="998" w:hanging="550"/>
        <w:jc w:val="both"/>
        <w:rPr>
          <w:sz w:val="24"/>
        </w:rPr>
      </w:pPr>
      <w:r>
        <w:rPr>
          <w:sz w:val="24"/>
        </w:rPr>
        <w:t>Quadrant plot showing directional Wasserstein distance for </w:t>
      </w:r>
      <w:r>
        <w:rPr>
          <w:sz w:val="24"/>
        </w:rPr>
        <w:t>Castleford</w:t>
      </w:r>
      <w:r>
        <w:rPr>
          <w:sz w:val="24"/>
        </w:rPr>
        <w:t> against different opponents.</w:t>
      </w:r>
      <w:r>
        <w:rPr>
          <w:spacing w:val="40"/>
          <w:sz w:val="24"/>
        </w:rPr>
        <w:t> </w:t>
      </w:r>
      <w:r>
        <w:rPr>
          <w:sz w:val="24"/>
        </w:rPr>
        <w:t>Positive numbers in the left plot </w:t>
      </w:r>
      <w:r>
        <w:rPr>
          <w:sz w:val="24"/>
        </w:rPr>
        <w:t>represent</w:t>
      </w:r>
      <w:r>
        <w:rPr>
          <w:sz w:val="24"/>
        </w:rPr>
        <w:t> an</w:t>
      </w:r>
      <w:r>
        <w:rPr>
          <w:spacing w:val="-1"/>
          <w:sz w:val="24"/>
        </w:rPr>
        <w:t> </w:t>
      </w:r>
      <w:r>
        <w:rPr>
          <w:sz w:val="24"/>
        </w:rPr>
        <w:t>overall</w:t>
      </w:r>
      <w:r>
        <w:rPr>
          <w:spacing w:val="-1"/>
          <w:sz w:val="24"/>
        </w:rPr>
        <w:t> </w:t>
      </w:r>
      <w:r>
        <w:rPr>
          <w:sz w:val="24"/>
        </w:rPr>
        <w:t>shift</w:t>
      </w:r>
      <w:r>
        <w:rPr>
          <w:spacing w:val="-2"/>
          <w:sz w:val="24"/>
        </w:rPr>
        <w:t> </w:t>
      </w:r>
      <w:r>
        <w:rPr>
          <w:sz w:val="24"/>
        </w:rPr>
        <w:t>to</w:t>
      </w:r>
      <w:r>
        <w:rPr>
          <w:spacing w:val="-1"/>
          <w:sz w:val="24"/>
        </w:rPr>
        <w:t> </w:t>
      </w:r>
      <w:r>
        <w:rPr>
          <w:sz w:val="24"/>
        </w:rPr>
        <w:t>the</w:t>
      </w:r>
      <w:r>
        <w:rPr>
          <w:spacing w:val="-1"/>
          <w:sz w:val="24"/>
        </w:rPr>
        <w:t> </w:t>
      </w:r>
      <w:r>
        <w:rPr>
          <w:sz w:val="24"/>
        </w:rPr>
        <w:t>left, positive</w:t>
      </w:r>
      <w:r>
        <w:rPr>
          <w:spacing w:val="-1"/>
          <w:sz w:val="24"/>
        </w:rPr>
        <w:t> </w:t>
      </w:r>
      <w:r>
        <w:rPr>
          <w:sz w:val="24"/>
        </w:rPr>
        <w:t>numbers</w:t>
      </w:r>
      <w:r>
        <w:rPr>
          <w:spacing w:val="-1"/>
          <w:sz w:val="24"/>
        </w:rPr>
        <w:t> </w:t>
      </w:r>
      <w:r>
        <w:rPr>
          <w:sz w:val="24"/>
        </w:rPr>
        <w:t>in</w:t>
      </w:r>
      <w:r>
        <w:rPr>
          <w:spacing w:val="-1"/>
          <w:sz w:val="24"/>
        </w:rPr>
        <w:t> </w:t>
      </w:r>
      <w:r>
        <w:rPr>
          <w:sz w:val="24"/>
        </w:rPr>
        <w:t>the</w:t>
      </w:r>
      <w:r>
        <w:rPr>
          <w:spacing w:val="-1"/>
          <w:sz w:val="24"/>
        </w:rPr>
        <w:t> </w:t>
      </w:r>
      <w:r>
        <w:rPr>
          <w:sz w:val="24"/>
        </w:rPr>
        <w:t>right</w:t>
      </w:r>
      <w:r>
        <w:rPr>
          <w:spacing w:val="-2"/>
          <w:sz w:val="24"/>
        </w:rPr>
        <w:t> </w:t>
      </w:r>
      <w:r>
        <w:rPr>
          <w:sz w:val="24"/>
        </w:rPr>
        <w:t>plot</w:t>
      </w:r>
      <w:r>
        <w:rPr>
          <w:spacing w:val="-1"/>
          <w:sz w:val="24"/>
        </w:rPr>
        <w:t> </w:t>
      </w:r>
      <w:r>
        <w:rPr>
          <w:sz w:val="24"/>
        </w:rPr>
        <w:t>represent</w:t>
      </w:r>
      <w:r>
        <w:rPr>
          <w:spacing w:val="-1"/>
          <w:sz w:val="24"/>
        </w:rPr>
        <w:t> </w:t>
      </w:r>
      <w:r>
        <w:rPr>
          <w:sz w:val="24"/>
        </w:rPr>
        <w:t>an</w:t>
      </w:r>
    </w:p>
    <w:p>
      <w:pPr>
        <w:pStyle w:val="BodyText"/>
        <w:tabs>
          <w:tab w:pos="8620" w:val="left" w:leader="dot"/>
        </w:tabs>
        <w:spacing w:line="275" w:lineRule="exact"/>
        <w:ind w:left="1518"/>
        <w:jc w:val="both"/>
      </w:pPr>
      <w:r>
        <w:rPr/>
        <w:t>overall</w:t>
      </w:r>
      <w:r>
        <w:rPr>
          <w:spacing w:val="-9"/>
        </w:rPr>
        <w:t> </w:t>
      </w:r>
      <w:r>
        <w:rPr/>
        <w:t>shift</w:t>
      </w:r>
      <w:r>
        <w:rPr>
          <w:spacing w:val="-9"/>
        </w:rPr>
        <w:t> </w:t>
      </w:r>
      <w:r>
        <w:rPr/>
        <w:t>upwards.</w:t>
      </w:r>
      <w:r>
        <w:rPr>
          <w:spacing w:val="5"/>
        </w:rPr>
        <w:t> </w:t>
      </w:r>
      <w:r>
        <w:rPr/>
        <w:t>Blue</w:t>
      </w:r>
      <w:r>
        <w:rPr>
          <w:spacing w:val="-9"/>
        </w:rPr>
        <w:t> </w:t>
      </w:r>
      <w:r>
        <w:rPr/>
        <w:t>lines</w:t>
      </w:r>
      <w:r>
        <w:rPr>
          <w:spacing w:val="-9"/>
        </w:rPr>
        <w:t> </w:t>
      </w:r>
      <w:r>
        <w:rPr/>
        <w:t>represent</w:t>
      </w:r>
      <w:r>
        <w:rPr>
          <w:spacing w:val="-8"/>
        </w:rPr>
        <w:t> </w:t>
      </w:r>
      <w:r>
        <w:rPr/>
        <w:t>median</w:t>
      </w:r>
      <w:r>
        <w:rPr>
          <w:spacing w:val="-9"/>
        </w:rPr>
        <w:t> </w:t>
      </w:r>
      <w:r>
        <w:rPr>
          <w:spacing w:val="-2"/>
        </w:rPr>
        <w:t>values.</w:t>
      </w:r>
      <w:r>
        <w:rPr/>
        <w:tab/>
      </w:r>
      <w:r>
        <w:rPr>
          <w:color w:val="0000FF"/>
          <w:spacing w:val="-5"/>
        </w:rPr>
        <w:t>139</w:t>
      </w:r>
    </w:p>
    <w:p>
      <w:pPr>
        <w:pStyle w:val="ListParagraph"/>
        <w:numPr>
          <w:ilvl w:val="1"/>
          <w:numId w:val="7"/>
        </w:numPr>
        <w:tabs>
          <w:tab w:pos="1519" w:val="left" w:leader="none"/>
          <w:tab w:pos="8620" w:val="left" w:leader="dot"/>
        </w:tabs>
        <w:spacing w:line="312" w:lineRule="auto" w:before="82" w:after="0"/>
        <w:ind w:left="1518" w:right="524" w:hanging="550"/>
        <w:jc w:val="left"/>
        <w:rPr>
          <w:sz w:val="24"/>
        </w:rPr>
      </w:pPr>
      <w:r>
        <w:rPr>
          <w:sz w:val="24"/>
        </w:rPr>
        <w:t>Comparison between team-opponent KDE and team’s overall KDE for Catalans.</w:t>
      </w:r>
      <w:r>
        <w:rPr>
          <w:spacing w:val="80"/>
          <w:sz w:val="24"/>
        </w:rPr>
        <w:t> </w:t>
      </w:r>
      <w:r>
        <w:rPr>
          <w:sz w:val="24"/>
        </w:rPr>
        <w:t>Top</w:t>
      </w:r>
      <w:r>
        <w:rPr>
          <w:spacing w:val="33"/>
          <w:sz w:val="24"/>
        </w:rPr>
        <w:t> </w:t>
      </w:r>
      <w:r>
        <w:rPr>
          <w:sz w:val="24"/>
        </w:rPr>
        <w:t>left</w:t>
      </w:r>
      <w:r>
        <w:rPr>
          <w:spacing w:val="33"/>
          <w:sz w:val="24"/>
        </w:rPr>
        <w:t> </w:t>
      </w:r>
      <w:r>
        <w:rPr>
          <w:sz w:val="24"/>
        </w:rPr>
        <w:t>plot</w:t>
      </w:r>
      <w:r>
        <w:rPr>
          <w:spacing w:val="33"/>
          <w:sz w:val="24"/>
        </w:rPr>
        <w:t> </w:t>
      </w:r>
      <w:r>
        <w:rPr>
          <w:sz w:val="24"/>
        </w:rPr>
        <w:t>shows</w:t>
      </w:r>
      <w:r>
        <w:rPr>
          <w:spacing w:val="33"/>
          <w:sz w:val="24"/>
        </w:rPr>
        <w:t> </w:t>
      </w:r>
      <w:r>
        <w:rPr>
          <w:sz w:val="24"/>
        </w:rPr>
        <w:t>overall</w:t>
      </w:r>
      <w:r>
        <w:rPr>
          <w:spacing w:val="33"/>
          <w:sz w:val="24"/>
        </w:rPr>
        <w:t> </w:t>
      </w:r>
      <w:r>
        <w:rPr>
          <w:sz w:val="24"/>
        </w:rPr>
        <w:t>KDE</w:t>
      </w:r>
      <w:r>
        <w:rPr>
          <w:spacing w:val="33"/>
          <w:sz w:val="24"/>
        </w:rPr>
        <w:t> </w:t>
      </w:r>
      <w:r>
        <w:rPr>
          <w:sz w:val="24"/>
        </w:rPr>
        <w:t>for</w:t>
      </w:r>
      <w:r>
        <w:rPr>
          <w:spacing w:val="33"/>
          <w:sz w:val="24"/>
        </w:rPr>
        <w:t> </w:t>
      </w:r>
      <w:r>
        <w:rPr>
          <w:sz w:val="24"/>
        </w:rPr>
        <w:t>Catalans.</w:t>
      </w:r>
      <w:r>
        <w:rPr>
          <w:spacing w:val="80"/>
          <w:sz w:val="24"/>
        </w:rPr>
        <w:t> </w:t>
      </w:r>
      <w:r>
        <w:rPr>
          <w:sz w:val="24"/>
        </w:rPr>
        <w:t>For</w:t>
      </w:r>
      <w:r>
        <w:rPr>
          <w:spacing w:val="33"/>
          <w:sz w:val="24"/>
        </w:rPr>
        <w:t> </w:t>
      </w:r>
      <w:r>
        <w:rPr>
          <w:sz w:val="24"/>
        </w:rPr>
        <w:t>all</w:t>
      </w:r>
      <w:r>
        <w:rPr>
          <w:spacing w:val="33"/>
          <w:sz w:val="24"/>
        </w:rPr>
        <w:t> </w:t>
      </w:r>
      <w:r>
        <w:rPr>
          <w:sz w:val="24"/>
        </w:rPr>
        <w:t>other plots, green areas are areas represent areas where the team has a higher density against a specific opponent than the overall KDE, red areas have lower densities.</w:t>
      </w:r>
      <w:r>
        <w:rPr>
          <w:sz w:val="24"/>
        </w:rPr>
        <w:tab/>
      </w:r>
      <w:r>
        <w:rPr>
          <w:color w:val="0000FF"/>
          <w:spacing w:val="-4"/>
          <w:sz w:val="24"/>
        </w:rPr>
        <w:t>14</w:t>
      </w:r>
      <w:r>
        <w:rPr>
          <w:color w:val="0000FF"/>
          <w:spacing w:val="-4"/>
          <w:sz w:val="24"/>
        </w:rPr>
        <w:t>0</w:t>
      </w:r>
    </w:p>
    <w:p>
      <w:pPr>
        <w:pStyle w:val="ListParagraph"/>
        <w:numPr>
          <w:ilvl w:val="1"/>
          <w:numId w:val="7"/>
        </w:numPr>
        <w:tabs>
          <w:tab w:pos="1519" w:val="left" w:leader="none"/>
          <w:tab w:pos="8620" w:val="left" w:leader="dot"/>
        </w:tabs>
        <w:spacing w:line="312" w:lineRule="auto" w:before="0" w:after="0"/>
        <w:ind w:left="1518" w:right="524" w:hanging="550"/>
        <w:jc w:val="left"/>
        <w:rPr>
          <w:sz w:val="24"/>
        </w:rPr>
      </w:pPr>
      <w:r>
        <w:rPr>
          <w:sz w:val="24"/>
        </w:rPr>
        <w:t>Quadrant</w:t>
      </w:r>
      <w:r>
        <w:rPr>
          <w:spacing w:val="-2"/>
          <w:sz w:val="24"/>
        </w:rPr>
        <w:t> </w:t>
      </w:r>
      <w:r>
        <w:rPr>
          <w:sz w:val="24"/>
        </w:rPr>
        <w:t>plot</w:t>
      </w:r>
      <w:r>
        <w:rPr>
          <w:spacing w:val="-2"/>
          <w:sz w:val="24"/>
        </w:rPr>
        <w:t> </w:t>
      </w:r>
      <w:r>
        <w:rPr>
          <w:sz w:val="24"/>
        </w:rPr>
        <w:t>showing</w:t>
      </w:r>
      <w:r>
        <w:rPr>
          <w:spacing w:val="-2"/>
          <w:sz w:val="24"/>
        </w:rPr>
        <w:t> </w:t>
      </w:r>
      <w:r>
        <w:rPr>
          <w:sz w:val="24"/>
        </w:rPr>
        <w:t>directional</w:t>
      </w:r>
      <w:r>
        <w:rPr>
          <w:spacing w:val="-2"/>
          <w:sz w:val="24"/>
        </w:rPr>
        <w:t> </w:t>
      </w:r>
      <w:r>
        <w:rPr>
          <w:sz w:val="24"/>
        </w:rPr>
        <w:t>Wasserstein</w:t>
      </w:r>
      <w:r>
        <w:rPr>
          <w:spacing w:val="-2"/>
          <w:sz w:val="24"/>
        </w:rPr>
        <w:t> </w:t>
      </w:r>
      <w:r>
        <w:rPr>
          <w:sz w:val="24"/>
        </w:rPr>
        <w:t>distance</w:t>
      </w:r>
      <w:r>
        <w:rPr>
          <w:spacing w:val="-2"/>
          <w:sz w:val="24"/>
        </w:rPr>
        <w:t> </w:t>
      </w:r>
      <w:r>
        <w:rPr>
          <w:sz w:val="24"/>
        </w:rPr>
        <w:t>for</w:t>
      </w:r>
      <w:r>
        <w:rPr>
          <w:spacing w:val="-2"/>
          <w:sz w:val="24"/>
        </w:rPr>
        <w:t> </w:t>
      </w:r>
      <w:r>
        <w:rPr>
          <w:sz w:val="24"/>
        </w:rPr>
        <w:t>Catalans</w:t>
      </w:r>
      <w:r>
        <w:rPr>
          <w:spacing w:val="-2"/>
          <w:sz w:val="24"/>
        </w:rPr>
        <w:t> </w:t>
      </w:r>
      <w:r>
        <w:rPr>
          <w:sz w:val="24"/>
        </w:rPr>
        <w:t>against different opponents.</w:t>
      </w:r>
      <w:r>
        <w:rPr>
          <w:spacing w:val="27"/>
          <w:sz w:val="24"/>
        </w:rPr>
        <w:t> </w:t>
      </w:r>
      <w:r>
        <w:rPr>
          <w:sz w:val="24"/>
        </w:rPr>
        <w:t>Positive numbers in the left plot represent an overall</w:t>
      </w:r>
      <w:r>
        <w:rPr>
          <w:sz w:val="24"/>
        </w:rPr>
        <w:t> shift</w:t>
      </w:r>
      <w:r>
        <w:rPr>
          <w:spacing w:val="-2"/>
          <w:sz w:val="24"/>
        </w:rPr>
        <w:t> </w:t>
      </w:r>
      <w:r>
        <w:rPr>
          <w:sz w:val="24"/>
        </w:rPr>
        <w:t>to</w:t>
      </w:r>
      <w:r>
        <w:rPr>
          <w:spacing w:val="-2"/>
          <w:sz w:val="24"/>
        </w:rPr>
        <w:t> </w:t>
      </w:r>
      <w:r>
        <w:rPr>
          <w:sz w:val="24"/>
        </w:rPr>
        <w:t>the</w:t>
      </w:r>
      <w:r>
        <w:rPr>
          <w:spacing w:val="-2"/>
          <w:sz w:val="24"/>
        </w:rPr>
        <w:t> </w:t>
      </w:r>
      <w:r>
        <w:rPr>
          <w:sz w:val="24"/>
        </w:rPr>
        <w:t>left, positive</w:t>
      </w:r>
      <w:r>
        <w:rPr>
          <w:spacing w:val="-2"/>
          <w:sz w:val="24"/>
        </w:rPr>
        <w:t> </w:t>
      </w:r>
      <w:r>
        <w:rPr>
          <w:sz w:val="24"/>
        </w:rPr>
        <w:t>numbers</w:t>
      </w:r>
      <w:r>
        <w:rPr>
          <w:spacing w:val="-2"/>
          <w:sz w:val="24"/>
        </w:rPr>
        <w:t> </w:t>
      </w:r>
      <w:r>
        <w:rPr>
          <w:sz w:val="24"/>
        </w:rPr>
        <w:t>in</w:t>
      </w:r>
      <w:r>
        <w:rPr>
          <w:spacing w:val="-2"/>
          <w:sz w:val="24"/>
        </w:rPr>
        <w:t> </w:t>
      </w:r>
      <w:r>
        <w:rPr>
          <w:sz w:val="24"/>
        </w:rPr>
        <w:t>the</w:t>
      </w:r>
      <w:r>
        <w:rPr>
          <w:spacing w:val="-2"/>
          <w:sz w:val="24"/>
        </w:rPr>
        <w:t> </w:t>
      </w:r>
      <w:r>
        <w:rPr>
          <w:sz w:val="24"/>
        </w:rPr>
        <w:t>right</w:t>
      </w:r>
      <w:r>
        <w:rPr>
          <w:spacing w:val="-2"/>
          <w:sz w:val="24"/>
        </w:rPr>
        <w:t> </w:t>
      </w:r>
      <w:r>
        <w:rPr>
          <w:sz w:val="24"/>
        </w:rPr>
        <w:t>plot</w:t>
      </w:r>
      <w:r>
        <w:rPr>
          <w:spacing w:val="-2"/>
          <w:sz w:val="24"/>
        </w:rPr>
        <w:t> </w:t>
      </w:r>
      <w:r>
        <w:rPr>
          <w:sz w:val="24"/>
        </w:rPr>
        <w:t>represent</w:t>
      </w:r>
      <w:r>
        <w:rPr>
          <w:spacing w:val="-2"/>
          <w:sz w:val="24"/>
        </w:rPr>
        <w:t> </w:t>
      </w:r>
      <w:r>
        <w:rPr>
          <w:sz w:val="24"/>
        </w:rPr>
        <w:t>an</w:t>
      </w:r>
      <w:r>
        <w:rPr>
          <w:spacing w:val="-2"/>
          <w:sz w:val="24"/>
        </w:rPr>
        <w:t> </w:t>
      </w:r>
      <w:r>
        <w:rPr>
          <w:sz w:val="24"/>
        </w:rPr>
        <w:t>overall</w:t>
      </w:r>
      <w:r>
        <w:rPr>
          <w:spacing w:val="-2"/>
          <w:sz w:val="24"/>
        </w:rPr>
        <w:t> </w:t>
      </w:r>
      <w:r>
        <w:rPr>
          <w:sz w:val="24"/>
        </w:rPr>
        <w:t>shift upwards. Blue lines represent median values.</w:t>
      </w:r>
      <w:r>
        <w:rPr>
          <w:sz w:val="24"/>
        </w:rPr>
        <w:tab/>
      </w:r>
      <w:r>
        <w:rPr>
          <w:color w:val="0000FF"/>
          <w:spacing w:val="-4"/>
          <w:sz w:val="24"/>
        </w:rPr>
        <w:t>14</w:t>
      </w:r>
      <w:r>
        <w:rPr>
          <w:color w:val="0000FF"/>
          <w:spacing w:val="-4"/>
          <w:sz w:val="24"/>
        </w:rPr>
        <w:t>1</w:t>
      </w:r>
    </w:p>
    <w:p>
      <w:pPr>
        <w:pStyle w:val="ListParagraph"/>
        <w:numPr>
          <w:ilvl w:val="1"/>
          <w:numId w:val="7"/>
        </w:numPr>
        <w:tabs>
          <w:tab w:pos="1519" w:val="left" w:leader="none"/>
        </w:tabs>
        <w:spacing w:line="312" w:lineRule="auto" w:before="0" w:after="0"/>
        <w:ind w:left="1518" w:right="998" w:hanging="550"/>
        <w:jc w:val="both"/>
        <w:rPr>
          <w:sz w:val="24"/>
        </w:rPr>
      </w:pPr>
      <w:r>
        <w:rPr>
          <w:sz w:val="24"/>
        </w:rPr>
        <w:t>Zoomed in quadrant plot showing directional Wasserstein distance </w:t>
      </w:r>
      <w:r>
        <w:rPr>
          <w:sz w:val="24"/>
        </w:rPr>
        <w:t>for</w:t>
      </w:r>
      <w:r>
        <w:rPr>
          <w:sz w:val="24"/>
        </w:rPr>
        <w:t> Castleford against different opponents.</w:t>
      </w:r>
      <w:r>
        <w:rPr>
          <w:spacing w:val="40"/>
          <w:sz w:val="24"/>
        </w:rPr>
        <w:t> </w:t>
      </w:r>
      <w:r>
        <w:rPr>
          <w:sz w:val="24"/>
        </w:rPr>
        <w:t>Positive numbers in the left </w:t>
      </w:r>
      <w:r>
        <w:rPr>
          <w:sz w:val="24"/>
        </w:rPr>
        <w:t>plot</w:t>
      </w:r>
      <w:r>
        <w:rPr>
          <w:sz w:val="24"/>
        </w:rPr>
        <w:t> represent an overall shift to the left, positive numbers in the right plot represent</w:t>
      </w:r>
      <w:r>
        <w:rPr>
          <w:spacing w:val="-4"/>
          <w:sz w:val="24"/>
        </w:rPr>
        <w:t> </w:t>
      </w:r>
      <w:r>
        <w:rPr>
          <w:sz w:val="24"/>
        </w:rPr>
        <w:t>an</w:t>
      </w:r>
      <w:r>
        <w:rPr>
          <w:spacing w:val="-4"/>
          <w:sz w:val="24"/>
        </w:rPr>
        <w:t> </w:t>
      </w:r>
      <w:r>
        <w:rPr>
          <w:sz w:val="24"/>
        </w:rPr>
        <w:t>overall</w:t>
      </w:r>
      <w:r>
        <w:rPr>
          <w:spacing w:val="-4"/>
          <w:sz w:val="24"/>
        </w:rPr>
        <w:t> </w:t>
      </w:r>
      <w:r>
        <w:rPr>
          <w:sz w:val="24"/>
        </w:rPr>
        <w:t>shift</w:t>
      </w:r>
      <w:r>
        <w:rPr>
          <w:spacing w:val="-4"/>
          <w:sz w:val="24"/>
        </w:rPr>
        <w:t> </w:t>
      </w:r>
      <w:r>
        <w:rPr>
          <w:sz w:val="24"/>
        </w:rPr>
        <w:t>upwards. The</w:t>
      </w:r>
      <w:r>
        <w:rPr>
          <w:spacing w:val="-4"/>
          <w:sz w:val="24"/>
        </w:rPr>
        <w:t> </w:t>
      </w:r>
      <w:r>
        <w:rPr>
          <w:sz w:val="24"/>
        </w:rPr>
        <w:t>opponent</w:t>
      </w:r>
      <w:r>
        <w:rPr>
          <w:spacing w:val="-4"/>
          <w:sz w:val="24"/>
        </w:rPr>
        <w:t> </w:t>
      </w:r>
      <w:r>
        <w:rPr>
          <w:sz w:val="24"/>
        </w:rPr>
        <w:t>Leeds</w:t>
      </w:r>
      <w:r>
        <w:rPr>
          <w:spacing w:val="-4"/>
          <w:sz w:val="24"/>
        </w:rPr>
        <w:t> </w:t>
      </w:r>
      <w:r>
        <w:rPr>
          <w:sz w:val="24"/>
        </w:rPr>
        <w:t>is</w:t>
      </w:r>
      <w:r>
        <w:rPr>
          <w:spacing w:val="-4"/>
          <w:sz w:val="24"/>
        </w:rPr>
        <w:t> </w:t>
      </w:r>
      <w:r>
        <w:rPr>
          <w:sz w:val="24"/>
        </w:rPr>
        <w:t>removed. The co-ordinates</w:t>
      </w:r>
      <w:r>
        <w:rPr>
          <w:spacing w:val="-7"/>
          <w:sz w:val="24"/>
        </w:rPr>
        <w:t> </w:t>
      </w:r>
      <w:r>
        <w:rPr>
          <w:sz w:val="24"/>
        </w:rPr>
        <w:t>for</w:t>
      </w:r>
      <w:r>
        <w:rPr>
          <w:spacing w:val="-7"/>
          <w:sz w:val="24"/>
        </w:rPr>
        <w:t> </w:t>
      </w:r>
      <w:r>
        <w:rPr>
          <w:sz w:val="24"/>
        </w:rPr>
        <w:t>Leeds</w:t>
      </w:r>
      <w:r>
        <w:rPr>
          <w:spacing w:val="-7"/>
          <w:sz w:val="24"/>
        </w:rPr>
        <w:t> </w:t>
      </w:r>
      <w:r>
        <w:rPr>
          <w:sz w:val="24"/>
        </w:rPr>
        <w:t>would</w:t>
      </w:r>
      <w:r>
        <w:rPr>
          <w:spacing w:val="-7"/>
          <w:sz w:val="24"/>
        </w:rPr>
        <w:t> </w:t>
      </w:r>
      <w:r>
        <w:rPr>
          <w:sz w:val="24"/>
        </w:rPr>
        <w:t>be</w:t>
      </w:r>
      <w:r>
        <w:rPr>
          <w:spacing w:val="-6"/>
          <w:sz w:val="24"/>
        </w:rPr>
        <w:t> </w:t>
      </w:r>
      <w:r>
        <w:rPr>
          <w:sz w:val="24"/>
        </w:rPr>
        <w:t>(9.41,</w:t>
      </w:r>
      <w:r>
        <w:rPr>
          <w:spacing w:val="-7"/>
          <w:sz w:val="24"/>
        </w:rPr>
        <w:t> </w:t>
      </w:r>
      <w:r>
        <w:rPr>
          <w:sz w:val="24"/>
        </w:rPr>
        <w:t>-0.58)</w:t>
      </w:r>
      <w:r>
        <w:rPr>
          <w:spacing w:val="-6"/>
          <w:sz w:val="24"/>
        </w:rPr>
        <w:t> </w:t>
      </w:r>
      <w:r>
        <w:rPr>
          <w:sz w:val="24"/>
        </w:rPr>
        <w:t>and</w:t>
      </w:r>
      <w:r>
        <w:rPr>
          <w:spacing w:val="-7"/>
          <w:sz w:val="24"/>
        </w:rPr>
        <w:t> </w:t>
      </w:r>
      <w:r>
        <w:rPr>
          <w:sz w:val="24"/>
        </w:rPr>
        <w:t>(9.41,</w:t>
      </w:r>
      <w:r>
        <w:rPr>
          <w:spacing w:val="-6"/>
          <w:sz w:val="24"/>
        </w:rPr>
        <w:t> </w:t>
      </w:r>
      <w:r>
        <w:rPr>
          <w:sz w:val="24"/>
        </w:rPr>
        <w:t>7.14)</w:t>
      </w:r>
      <w:r>
        <w:rPr>
          <w:spacing w:val="-7"/>
          <w:sz w:val="24"/>
        </w:rPr>
        <w:t> </w:t>
      </w:r>
      <w:r>
        <w:rPr>
          <w:sz w:val="24"/>
        </w:rPr>
        <w:t>for</w:t>
      </w:r>
      <w:r>
        <w:rPr>
          <w:spacing w:val="-7"/>
          <w:sz w:val="24"/>
        </w:rPr>
        <w:t> </w:t>
      </w:r>
      <w:r>
        <w:rPr>
          <w:sz w:val="24"/>
        </w:rPr>
        <w:t>the</w:t>
      </w:r>
      <w:r>
        <w:rPr>
          <w:spacing w:val="-7"/>
          <w:sz w:val="24"/>
        </w:rPr>
        <w:t> </w:t>
      </w:r>
      <w:r>
        <w:rPr>
          <w:sz w:val="24"/>
        </w:rPr>
        <w:t>left and</w:t>
      </w:r>
      <w:r>
        <w:rPr>
          <w:spacing w:val="-8"/>
          <w:sz w:val="24"/>
        </w:rPr>
        <w:t> </w:t>
      </w:r>
      <w:r>
        <w:rPr>
          <w:sz w:val="24"/>
        </w:rPr>
        <w:t>right</w:t>
      </w:r>
      <w:r>
        <w:rPr>
          <w:spacing w:val="-8"/>
          <w:sz w:val="24"/>
        </w:rPr>
        <w:t> </w:t>
      </w:r>
      <w:r>
        <w:rPr>
          <w:sz w:val="24"/>
        </w:rPr>
        <w:t>plot</w:t>
      </w:r>
      <w:r>
        <w:rPr>
          <w:spacing w:val="-8"/>
          <w:sz w:val="24"/>
        </w:rPr>
        <w:t> </w:t>
      </w:r>
      <w:r>
        <w:rPr>
          <w:sz w:val="24"/>
        </w:rPr>
        <w:t>respectively. Blue</w:t>
      </w:r>
      <w:r>
        <w:rPr>
          <w:spacing w:val="-8"/>
          <w:sz w:val="24"/>
        </w:rPr>
        <w:t> </w:t>
      </w:r>
      <w:r>
        <w:rPr>
          <w:sz w:val="24"/>
        </w:rPr>
        <w:t>lines</w:t>
      </w:r>
      <w:r>
        <w:rPr>
          <w:spacing w:val="-8"/>
          <w:sz w:val="24"/>
        </w:rPr>
        <w:t> </w:t>
      </w:r>
      <w:r>
        <w:rPr>
          <w:sz w:val="24"/>
        </w:rPr>
        <w:t>represent</w:t>
      </w:r>
      <w:r>
        <w:rPr>
          <w:spacing w:val="-8"/>
          <w:sz w:val="24"/>
        </w:rPr>
        <w:t> </w:t>
      </w:r>
      <w:r>
        <w:rPr>
          <w:sz w:val="24"/>
        </w:rPr>
        <w:t>median</w:t>
      </w:r>
      <w:r>
        <w:rPr>
          <w:spacing w:val="-8"/>
          <w:sz w:val="24"/>
        </w:rPr>
        <w:t> </w:t>
      </w:r>
      <w:r>
        <w:rPr>
          <w:sz w:val="24"/>
        </w:rPr>
        <w:t>values,</w:t>
      </w:r>
      <w:r>
        <w:rPr>
          <w:spacing w:val="-7"/>
          <w:sz w:val="24"/>
        </w:rPr>
        <w:t> </w:t>
      </w:r>
      <w:r>
        <w:rPr>
          <w:sz w:val="24"/>
        </w:rPr>
        <w:t>including</w:t>
      </w:r>
    </w:p>
    <w:p>
      <w:pPr>
        <w:pStyle w:val="BodyText"/>
        <w:tabs>
          <w:tab w:pos="8620" w:val="left" w:leader="dot"/>
        </w:tabs>
        <w:spacing w:line="275" w:lineRule="exact"/>
        <w:ind w:left="1518"/>
        <w:jc w:val="both"/>
      </w:pPr>
      <w:r>
        <w:rPr>
          <w:spacing w:val="-2"/>
        </w:rPr>
        <w:t>Leeds.</w:t>
      </w:r>
      <w:r>
        <w:rPr/>
        <w:tab/>
      </w:r>
      <w:r>
        <w:rPr>
          <w:color w:val="0000FF"/>
          <w:spacing w:val="-5"/>
        </w:rPr>
        <w:t>142</w:t>
      </w:r>
    </w:p>
    <w:p>
      <w:pPr>
        <w:pStyle w:val="ListParagraph"/>
        <w:numPr>
          <w:ilvl w:val="1"/>
          <w:numId w:val="8"/>
        </w:numPr>
        <w:tabs>
          <w:tab w:pos="1519" w:val="left" w:leader="none"/>
        </w:tabs>
        <w:spacing w:line="266" w:lineRule="auto" w:before="280" w:after="0"/>
        <w:ind w:left="1518" w:right="998" w:hanging="550"/>
        <w:jc w:val="both"/>
        <w:rPr>
          <w:sz w:val="24"/>
        </w:rPr>
      </w:pPr>
      <w:r>
        <w:rPr>
          <w:sz w:val="24"/>
        </w:rPr>
        <w:t>Location</w:t>
      </w:r>
      <w:r>
        <w:rPr>
          <w:spacing w:val="-13"/>
          <w:sz w:val="24"/>
        </w:rPr>
        <w:t> </w:t>
      </w:r>
      <w:r>
        <w:rPr>
          <w:sz w:val="24"/>
        </w:rPr>
        <w:t>of</w:t>
      </w:r>
      <w:r>
        <w:rPr>
          <w:spacing w:val="-13"/>
          <w:sz w:val="24"/>
        </w:rPr>
        <w:t> </w:t>
      </w:r>
      <w:r>
        <w:rPr>
          <w:sz w:val="24"/>
        </w:rPr>
        <w:t>30</w:t>
      </w:r>
      <w:r>
        <w:rPr>
          <w:spacing w:val="-13"/>
          <w:sz w:val="24"/>
        </w:rPr>
        <w:t> </w:t>
      </w:r>
      <w:r>
        <w:rPr>
          <w:sz w:val="24"/>
        </w:rPr>
        <w:t>centres</w:t>
      </w:r>
      <w:r>
        <w:rPr>
          <w:spacing w:val="-13"/>
          <w:sz w:val="24"/>
        </w:rPr>
        <w:t> </w:t>
      </w:r>
      <w:r>
        <w:rPr>
          <w:sz w:val="24"/>
        </w:rPr>
        <w:t>used</w:t>
      </w:r>
      <w:r>
        <w:rPr>
          <w:spacing w:val="-13"/>
          <w:sz w:val="24"/>
        </w:rPr>
        <w:t> </w:t>
      </w:r>
      <w:r>
        <w:rPr>
          <w:sz w:val="24"/>
        </w:rPr>
        <w:t>in</w:t>
      </w:r>
      <w:r>
        <w:rPr>
          <w:spacing w:val="-13"/>
          <w:sz w:val="24"/>
        </w:rPr>
        <w:t> </w:t>
      </w:r>
      <w:r>
        <w:rPr>
          <w:sz w:val="24"/>
        </w:rPr>
        <w:t>this</w:t>
      </w:r>
      <w:r>
        <w:rPr>
          <w:spacing w:val="-13"/>
          <w:sz w:val="24"/>
        </w:rPr>
        <w:t> </w:t>
      </w:r>
      <w:r>
        <w:rPr>
          <w:sz w:val="24"/>
        </w:rPr>
        <w:t>study. Three</w:t>
      </w:r>
      <w:r>
        <w:rPr>
          <w:spacing w:val="-13"/>
          <w:sz w:val="24"/>
        </w:rPr>
        <w:t> </w:t>
      </w:r>
      <w:r>
        <w:rPr>
          <w:sz w:val="24"/>
        </w:rPr>
        <w:t>centres</w:t>
      </w:r>
      <w:r>
        <w:rPr>
          <w:spacing w:val="-13"/>
          <w:sz w:val="24"/>
        </w:rPr>
        <w:t> </w:t>
      </w:r>
      <w:r>
        <w:rPr>
          <w:sz w:val="24"/>
        </w:rPr>
        <w:t>(not</w:t>
      </w:r>
      <w:r>
        <w:rPr>
          <w:spacing w:val="-13"/>
          <w:sz w:val="24"/>
        </w:rPr>
        <w:t> </w:t>
      </w:r>
      <w:r>
        <w:rPr>
          <w:sz w:val="24"/>
        </w:rPr>
        <w:t>plotted)</w:t>
      </w:r>
      <w:r>
        <w:rPr>
          <w:spacing w:val="-13"/>
          <w:sz w:val="24"/>
        </w:rPr>
        <w:t> </w:t>
      </w:r>
      <w:r>
        <w:rPr>
          <w:sz w:val="24"/>
        </w:rPr>
        <w:t>were included in the try area at </w:t>
      </w:r>
      <w:r>
        <w:rPr>
          <w:rFonts w:ascii="Cambria" w:hAnsi="Cambria"/>
          <w:sz w:val="24"/>
        </w:rPr>
        <w:t>x </w:t>
      </w:r>
      <w:r>
        <w:rPr>
          <w:rFonts w:ascii="Lucida Sans Unicode" w:hAnsi="Lucida Sans Unicode"/>
          <w:sz w:val="24"/>
        </w:rPr>
        <w:t>∈</w:t>
      </w:r>
      <w:r>
        <w:rPr>
          <w:rFonts w:ascii="Lucida Sans Unicode" w:hAnsi="Lucida Sans Unicode"/>
          <w:spacing w:val="-8"/>
          <w:sz w:val="24"/>
        </w:rPr>
        <w:t> </w:t>
      </w:r>
      <w:r>
        <w:rPr>
          <w:rFonts w:ascii="Lucida Sans Unicode" w:hAnsi="Lucida Sans Unicode"/>
          <w:sz w:val="24"/>
        </w:rPr>
        <w:t>{</w:t>
      </w:r>
      <w:r>
        <w:rPr>
          <w:sz w:val="24"/>
        </w:rPr>
        <w:t>0, 35, 70</w:t>
      </w:r>
      <w:r>
        <w:rPr>
          <w:rFonts w:ascii="Lucida Sans Unicode" w:hAnsi="Lucida Sans Unicode"/>
          <w:sz w:val="24"/>
        </w:rPr>
        <w:t>}</w:t>
      </w:r>
      <w:r>
        <w:rPr>
          <w:sz w:val="24"/>
        </w:rPr>
        <w:t>, equivalent to the left, middle and</w:t>
      </w:r>
      <w:r>
        <w:rPr>
          <w:spacing w:val="-4"/>
          <w:sz w:val="24"/>
        </w:rPr>
        <w:t> </w:t>
      </w:r>
      <w:r>
        <w:rPr>
          <w:sz w:val="24"/>
        </w:rPr>
        <w:t>right</w:t>
      </w:r>
      <w:r>
        <w:rPr>
          <w:spacing w:val="-4"/>
          <w:sz w:val="24"/>
        </w:rPr>
        <w:t> </w:t>
      </w:r>
      <w:r>
        <w:rPr>
          <w:sz w:val="24"/>
        </w:rPr>
        <w:t>centres</w:t>
      </w:r>
      <w:r>
        <w:rPr>
          <w:spacing w:val="-4"/>
          <w:sz w:val="24"/>
        </w:rPr>
        <w:t> </w:t>
      </w:r>
      <w:r>
        <w:rPr>
          <w:sz w:val="24"/>
        </w:rPr>
        <w:t>in</w:t>
      </w:r>
      <w:r>
        <w:rPr>
          <w:spacing w:val="-4"/>
          <w:sz w:val="24"/>
        </w:rPr>
        <w:t> </w:t>
      </w:r>
      <w:r>
        <w:rPr>
          <w:sz w:val="24"/>
        </w:rPr>
        <w:t>the</w:t>
      </w:r>
      <w:r>
        <w:rPr>
          <w:spacing w:val="-4"/>
          <w:sz w:val="24"/>
        </w:rPr>
        <w:t> </w:t>
      </w:r>
      <w:r>
        <w:rPr>
          <w:sz w:val="24"/>
        </w:rPr>
        <w:t>field</w:t>
      </w:r>
      <w:r>
        <w:rPr>
          <w:spacing w:val="-4"/>
          <w:sz w:val="24"/>
        </w:rPr>
        <w:t> </w:t>
      </w:r>
      <w:r>
        <w:rPr>
          <w:sz w:val="24"/>
        </w:rPr>
        <w:t>of</w:t>
      </w:r>
      <w:r>
        <w:rPr>
          <w:spacing w:val="-4"/>
          <w:sz w:val="24"/>
        </w:rPr>
        <w:t> </w:t>
      </w:r>
      <w:r>
        <w:rPr>
          <w:sz w:val="24"/>
        </w:rPr>
        <w:t>play. No</w:t>
      </w:r>
      <w:r>
        <w:rPr>
          <w:spacing w:val="-4"/>
          <w:sz w:val="24"/>
        </w:rPr>
        <w:t> </w:t>
      </w:r>
      <w:r>
        <w:rPr>
          <w:rFonts w:ascii="Cambria" w:hAnsi="Cambria"/>
          <w:sz w:val="24"/>
        </w:rPr>
        <w:t>y </w:t>
      </w:r>
      <w:r>
        <w:rPr>
          <w:sz w:val="24"/>
        </w:rPr>
        <w:t>coordinate</w:t>
      </w:r>
      <w:r>
        <w:rPr>
          <w:spacing w:val="-4"/>
          <w:sz w:val="24"/>
        </w:rPr>
        <w:t> </w:t>
      </w:r>
      <w:r>
        <w:rPr>
          <w:sz w:val="24"/>
        </w:rPr>
        <w:t>was</w:t>
      </w:r>
      <w:r>
        <w:rPr>
          <w:spacing w:val="-4"/>
          <w:sz w:val="24"/>
        </w:rPr>
        <w:t> </w:t>
      </w:r>
      <w:r>
        <w:rPr>
          <w:sz w:val="24"/>
        </w:rPr>
        <w:t>considered</w:t>
      </w:r>
      <w:r>
        <w:rPr>
          <w:spacing w:val="-4"/>
          <w:sz w:val="24"/>
        </w:rPr>
        <w:t> </w:t>
      </w:r>
      <w:r>
        <w:rPr>
          <w:sz w:val="24"/>
        </w:rPr>
        <w:t>for</w:t>
      </w:r>
    </w:p>
    <w:p>
      <w:pPr>
        <w:pStyle w:val="BodyText"/>
        <w:tabs>
          <w:tab w:pos="8620" w:val="left" w:leader="dot"/>
        </w:tabs>
        <w:spacing w:before="48"/>
        <w:ind w:left="1518"/>
        <w:jc w:val="both"/>
      </w:pPr>
      <w:r>
        <w:rPr/>
        <w:t>these</w:t>
      </w:r>
      <w:r>
        <w:rPr>
          <w:spacing w:val="-6"/>
        </w:rPr>
        <w:t> </w:t>
      </w:r>
      <w:r>
        <w:rPr>
          <w:spacing w:val="-2"/>
        </w:rPr>
        <w:t>centres.</w:t>
      </w:r>
      <w:r>
        <w:rPr/>
        <w:tab/>
      </w:r>
      <w:r>
        <w:rPr>
          <w:color w:val="0000FF"/>
          <w:spacing w:val="-5"/>
        </w:rPr>
        <w:t>153</w:t>
      </w:r>
    </w:p>
    <w:p>
      <w:pPr>
        <w:pStyle w:val="ListParagraph"/>
        <w:numPr>
          <w:ilvl w:val="1"/>
          <w:numId w:val="8"/>
        </w:numPr>
        <w:tabs>
          <w:tab w:pos="1518" w:val="left" w:leader="none"/>
          <w:tab w:pos="1519" w:val="left" w:leader="none"/>
          <w:tab w:pos="8620" w:val="left" w:leader="dot"/>
        </w:tabs>
        <w:spacing w:line="309" w:lineRule="auto" w:before="82" w:after="0"/>
        <w:ind w:left="1518" w:right="524" w:hanging="550"/>
        <w:jc w:val="left"/>
        <w:rPr>
          <w:sz w:val="24"/>
        </w:rPr>
      </w:pPr>
      <w:r>
        <w:rPr>
          <w:sz w:val="24"/>
        </w:rPr>
        <w:t>Whole league model mean pitch surface plot. 4pt Try and 6pt Try refer to unconverted and converted tries respectively. With the exception of EPV, probabilities are plotted.</w:t>
      </w:r>
      <w:r>
        <w:rPr>
          <w:spacing w:val="40"/>
          <w:sz w:val="24"/>
        </w:rPr>
        <w:t> </w:t>
      </w:r>
      <w:r>
        <w:rPr>
          <w:sz w:val="24"/>
        </w:rPr>
        <w:t>Smooth pitch surface for possession outcome probabilities is calculated using Equation</w:t>
      </w:r>
      <w:hyperlink w:history="true" w:anchor="_bookmark181">
        <w:r>
          <w:rPr>
            <w:color w:val="0000FF"/>
            <w:sz w:val="24"/>
          </w:rPr>
          <w:t>6.3</w:t>
        </w:r>
      </w:hyperlink>
      <w:r>
        <w:rPr>
          <w:sz w:val="24"/>
        </w:rPr>
        <w:t>for each</w:t>
      </w:r>
      <w:r>
        <w:rPr>
          <w:spacing w:val="80"/>
          <w:sz w:val="24"/>
        </w:rPr>
        <w:t> </w:t>
      </w:r>
      <w:r>
        <w:rPr>
          <w:rFonts w:ascii="Cambria"/>
          <w:sz w:val="24"/>
        </w:rPr>
        <w:t>x,</w:t>
      </w:r>
      <w:r>
        <w:rPr>
          <w:rFonts w:ascii="Cambria"/>
          <w:spacing w:val="-3"/>
          <w:sz w:val="24"/>
        </w:rPr>
        <w:t> </w:t>
      </w:r>
      <w:r>
        <w:rPr>
          <w:rFonts w:ascii="Cambria"/>
          <w:sz w:val="24"/>
        </w:rPr>
        <w:t>y </w:t>
      </w:r>
      <w:r>
        <w:rPr>
          <w:sz w:val="24"/>
        </w:rPr>
        <w:t>location on the pitch.</w:t>
      </w:r>
      <w:r>
        <w:rPr>
          <w:spacing w:val="40"/>
          <w:sz w:val="24"/>
        </w:rPr>
        <w:t> </w:t>
      </w:r>
      <w:r>
        <w:rPr>
          <w:sz w:val="24"/>
        </w:rPr>
        <w:t>EPV for each location is calculated using Equation</w:t>
      </w:r>
      <w:hyperlink w:history="true" w:anchor="_bookmark189">
        <w:r>
          <w:rPr>
            <w:color w:val="0000FF"/>
            <w:sz w:val="24"/>
          </w:rPr>
          <w:t>6.10</w:t>
        </w:r>
        <w:r>
          <w:rPr>
            <w:sz w:val="24"/>
          </w:rPr>
          <w:t>.</w:t>
        </w:r>
      </w:hyperlink>
      <w:r>
        <w:rPr>
          <w:spacing w:val="40"/>
          <w:sz w:val="24"/>
        </w:rPr>
        <w:t> </w:t>
      </w:r>
      <w:r>
        <w:rPr>
          <w:sz w:val="24"/>
        </w:rPr>
        <w:t>Brighter</w:t>
      </w:r>
      <w:r>
        <w:rPr>
          <w:spacing w:val="80"/>
          <w:sz w:val="24"/>
        </w:rPr>
        <w:t> </w:t>
      </w:r>
      <w:r>
        <w:rPr>
          <w:sz w:val="24"/>
        </w:rPr>
        <w:t>areas represent higher values.</w:t>
      </w:r>
      <w:r>
        <w:rPr>
          <w:sz w:val="24"/>
        </w:rPr>
        <w:tab/>
      </w:r>
      <w:r>
        <w:rPr>
          <w:color w:val="0000FF"/>
          <w:spacing w:val="-4"/>
          <w:sz w:val="24"/>
        </w:rPr>
        <w:t>16</w:t>
      </w:r>
      <w:r>
        <w:rPr>
          <w:color w:val="0000FF"/>
          <w:spacing w:val="-4"/>
          <w:sz w:val="24"/>
        </w:rPr>
        <w:t>2</w:t>
      </w:r>
    </w:p>
    <w:p>
      <w:pPr>
        <w:spacing w:after="0" w:line="309" w:lineRule="auto"/>
        <w:jc w:val="left"/>
        <w:rPr>
          <w:sz w:val="24"/>
        </w:rPr>
        <w:sectPr>
          <w:pgSz w:w="11910" w:h="16840"/>
          <w:pgMar w:header="1961" w:footer="1428" w:top="2280" w:bottom="1620" w:left="1680" w:right="720"/>
        </w:sectPr>
      </w:pPr>
    </w:p>
    <w:p>
      <w:pPr>
        <w:pStyle w:val="ListParagraph"/>
        <w:numPr>
          <w:ilvl w:val="1"/>
          <w:numId w:val="8"/>
        </w:numPr>
        <w:tabs>
          <w:tab w:pos="1519" w:val="left" w:leader="none"/>
        </w:tabs>
        <w:spacing w:line="312" w:lineRule="auto" w:before="572" w:after="0"/>
        <w:ind w:left="1518" w:right="998" w:hanging="550"/>
        <w:jc w:val="both"/>
        <w:rPr>
          <w:sz w:val="24"/>
        </w:rPr>
      </w:pPr>
      <w:r>
        <w:rPr>
          <w:sz w:val="24"/>
        </w:rPr>
        <w:t>Whole league model EPV standard deviation plot.</w:t>
      </w:r>
      <w:r>
        <w:rPr>
          <w:spacing w:val="40"/>
          <w:sz w:val="24"/>
        </w:rPr>
        <w:t> </w:t>
      </w:r>
      <w:r>
        <w:rPr>
          <w:sz w:val="24"/>
        </w:rPr>
        <w:t>4pt Try and 6pt Try refer</w:t>
      </w:r>
      <w:r>
        <w:rPr>
          <w:spacing w:val="-13"/>
          <w:sz w:val="24"/>
        </w:rPr>
        <w:t> </w:t>
      </w:r>
      <w:r>
        <w:rPr>
          <w:sz w:val="24"/>
        </w:rPr>
        <w:t>to</w:t>
      </w:r>
      <w:r>
        <w:rPr>
          <w:spacing w:val="-13"/>
          <w:sz w:val="24"/>
        </w:rPr>
        <w:t> </w:t>
      </w:r>
      <w:r>
        <w:rPr>
          <w:sz w:val="24"/>
        </w:rPr>
        <w:t>unconverted</w:t>
      </w:r>
      <w:r>
        <w:rPr>
          <w:spacing w:val="-13"/>
          <w:sz w:val="24"/>
        </w:rPr>
        <w:t> </w:t>
      </w:r>
      <w:r>
        <w:rPr>
          <w:sz w:val="24"/>
        </w:rPr>
        <w:t>and</w:t>
      </w:r>
      <w:r>
        <w:rPr>
          <w:spacing w:val="-13"/>
          <w:sz w:val="24"/>
        </w:rPr>
        <w:t> </w:t>
      </w:r>
      <w:r>
        <w:rPr>
          <w:sz w:val="24"/>
        </w:rPr>
        <w:t>converted</w:t>
      </w:r>
      <w:r>
        <w:rPr>
          <w:spacing w:val="-13"/>
          <w:sz w:val="24"/>
        </w:rPr>
        <w:t> </w:t>
      </w:r>
      <w:r>
        <w:rPr>
          <w:sz w:val="24"/>
        </w:rPr>
        <w:t>tries</w:t>
      </w:r>
      <w:r>
        <w:rPr>
          <w:spacing w:val="-13"/>
          <w:sz w:val="24"/>
        </w:rPr>
        <w:t> </w:t>
      </w:r>
      <w:r>
        <w:rPr>
          <w:sz w:val="24"/>
        </w:rPr>
        <w:t>respectively. Whole</w:t>
      </w:r>
      <w:r>
        <w:rPr>
          <w:spacing w:val="-13"/>
          <w:sz w:val="24"/>
        </w:rPr>
        <w:t> </w:t>
      </w:r>
      <w:r>
        <w:rPr>
          <w:sz w:val="24"/>
        </w:rPr>
        <w:t>league</w:t>
      </w:r>
      <w:r>
        <w:rPr>
          <w:spacing w:val="-13"/>
          <w:sz w:val="24"/>
        </w:rPr>
        <w:t> </w:t>
      </w:r>
      <w:r>
        <w:rPr>
          <w:sz w:val="24"/>
        </w:rPr>
        <w:t>KDE is</w:t>
      </w:r>
      <w:r>
        <w:rPr>
          <w:spacing w:val="40"/>
          <w:sz w:val="24"/>
        </w:rPr>
        <w:t> </w:t>
      </w:r>
      <w:r>
        <w:rPr>
          <w:sz w:val="24"/>
        </w:rPr>
        <w:t>reproduced</w:t>
      </w:r>
      <w:r>
        <w:rPr>
          <w:spacing w:val="40"/>
          <w:sz w:val="24"/>
        </w:rPr>
        <w:t> </w:t>
      </w:r>
      <w:r>
        <w:rPr>
          <w:sz w:val="24"/>
        </w:rPr>
        <w:t>from</w:t>
      </w:r>
      <w:r>
        <w:rPr>
          <w:spacing w:val="40"/>
          <w:sz w:val="24"/>
        </w:rPr>
        <w:t> </w:t>
      </w:r>
      <w:r>
        <w:rPr>
          <w:sz w:val="24"/>
        </w:rPr>
        <w:t>Chapter</w:t>
      </w:r>
      <w:r>
        <w:rPr>
          <w:color w:val="0000FF"/>
          <w:sz w:val="24"/>
        </w:rPr>
        <w:t>5</w:t>
      </w:r>
      <w:r>
        <w:rPr>
          <w:sz w:val="24"/>
        </w:rPr>
        <w:t>to</w:t>
      </w:r>
      <w:r>
        <w:rPr>
          <w:spacing w:val="40"/>
          <w:sz w:val="24"/>
        </w:rPr>
        <w:t> </w:t>
      </w:r>
      <w:r>
        <w:rPr>
          <w:sz w:val="24"/>
        </w:rPr>
        <w:t>provide</w:t>
      </w:r>
      <w:r>
        <w:rPr>
          <w:spacing w:val="40"/>
          <w:sz w:val="24"/>
        </w:rPr>
        <w:t> </w:t>
      </w:r>
      <w:r>
        <w:rPr>
          <w:sz w:val="24"/>
        </w:rPr>
        <w:t>an</w:t>
      </w:r>
      <w:r>
        <w:rPr>
          <w:spacing w:val="40"/>
          <w:sz w:val="24"/>
        </w:rPr>
        <w:t> </w:t>
      </w:r>
      <w:r>
        <w:rPr>
          <w:sz w:val="24"/>
        </w:rPr>
        <w:t>understanding</w:t>
      </w:r>
      <w:r>
        <w:rPr>
          <w:spacing w:val="40"/>
          <w:sz w:val="24"/>
        </w:rPr>
        <w:t> </w:t>
      </w:r>
      <w:r>
        <w:rPr>
          <w:sz w:val="24"/>
        </w:rPr>
        <w:t>of</w:t>
      </w:r>
      <w:r>
        <w:rPr>
          <w:spacing w:val="40"/>
          <w:sz w:val="24"/>
        </w:rPr>
        <w:t> </w:t>
      </w:r>
      <w:r>
        <w:rPr>
          <w:sz w:val="24"/>
        </w:rPr>
        <w:t>location</w:t>
      </w:r>
    </w:p>
    <w:p>
      <w:pPr>
        <w:pStyle w:val="BodyText"/>
        <w:tabs>
          <w:tab w:pos="8620" w:val="left" w:leader="dot"/>
        </w:tabs>
        <w:spacing w:line="275" w:lineRule="exact"/>
        <w:ind w:left="1518"/>
        <w:jc w:val="both"/>
      </w:pPr>
      <w:r>
        <w:rPr/>
        <w:t>densities.</w:t>
      </w:r>
      <w:r>
        <w:rPr>
          <w:spacing w:val="4"/>
        </w:rPr>
        <w:t> </w:t>
      </w:r>
      <w:r>
        <w:rPr/>
        <w:t>Brighter</w:t>
      </w:r>
      <w:r>
        <w:rPr>
          <w:spacing w:val="-8"/>
        </w:rPr>
        <w:t> </w:t>
      </w:r>
      <w:r>
        <w:rPr/>
        <w:t>colours</w:t>
      </w:r>
      <w:r>
        <w:rPr>
          <w:spacing w:val="-8"/>
        </w:rPr>
        <w:t> </w:t>
      </w:r>
      <w:r>
        <w:rPr/>
        <w:t>indicate</w:t>
      </w:r>
      <w:r>
        <w:rPr>
          <w:spacing w:val="-8"/>
        </w:rPr>
        <w:t> </w:t>
      </w:r>
      <w:r>
        <w:rPr/>
        <w:t>higher</w:t>
      </w:r>
      <w:r>
        <w:rPr>
          <w:spacing w:val="-8"/>
        </w:rPr>
        <w:t> </w:t>
      </w:r>
      <w:r>
        <w:rPr>
          <w:spacing w:val="-2"/>
        </w:rPr>
        <w:t>values.</w:t>
      </w:r>
      <w:r>
        <w:rPr/>
        <w:tab/>
      </w:r>
      <w:r>
        <w:rPr>
          <w:color w:val="0000FF"/>
          <w:spacing w:val="-5"/>
        </w:rPr>
        <w:t>164</w:t>
      </w:r>
    </w:p>
    <w:p>
      <w:pPr>
        <w:pStyle w:val="ListParagraph"/>
        <w:numPr>
          <w:ilvl w:val="1"/>
          <w:numId w:val="8"/>
        </w:numPr>
        <w:tabs>
          <w:tab w:pos="1518" w:val="left" w:leader="none"/>
          <w:tab w:pos="1519" w:val="left" w:leader="none"/>
          <w:tab w:pos="8620" w:val="left" w:leader="dot"/>
        </w:tabs>
        <w:spacing w:line="312" w:lineRule="auto" w:before="82" w:after="0"/>
        <w:ind w:left="1518" w:right="524" w:hanging="550"/>
        <w:jc w:val="left"/>
        <w:rPr>
          <w:sz w:val="24"/>
        </w:rPr>
      </w:pPr>
      <w:r>
        <w:rPr>
          <w:sz w:val="24"/>
        </w:rPr>
        <w:t>Castleford smooth pitch surface plot from team attacking model.</w:t>
      </w:r>
      <w:r>
        <w:rPr>
          <w:spacing w:val="40"/>
          <w:sz w:val="24"/>
        </w:rPr>
        <w:t> </w:t>
      </w:r>
      <w:r>
        <w:rPr>
          <w:sz w:val="24"/>
        </w:rPr>
        <w:t>Green</w:t>
      </w:r>
      <w:r>
        <w:rPr>
          <w:spacing w:val="80"/>
          <w:sz w:val="24"/>
        </w:rPr>
        <w:t> </w:t>
      </w:r>
      <w:r>
        <w:rPr>
          <w:sz w:val="24"/>
        </w:rPr>
        <w:t>areas represent higher value for more favourable event (i.e. greater proba- bility of all events occurring except No Points) compared to whole league model.</w:t>
      </w:r>
      <w:r>
        <w:rPr>
          <w:spacing w:val="40"/>
          <w:sz w:val="24"/>
        </w:rPr>
        <w:t> </w:t>
      </w:r>
      <w:r>
        <w:rPr>
          <w:sz w:val="24"/>
        </w:rPr>
        <w:t>4pt Try and 6pt Try refer to unconverted and converted tries re- </w:t>
      </w:r>
      <w:r>
        <w:rPr>
          <w:spacing w:val="-2"/>
          <w:sz w:val="24"/>
        </w:rPr>
        <w:t>spectively</w:t>
      </w:r>
      <w:r>
        <w:rPr>
          <w:sz w:val="24"/>
        </w:rPr>
        <w:tab/>
      </w:r>
      <w:r>
        <w:rPr>
          <w:color w:val="0000FF"/>
          <w:spacing w:val="-4"/>
          <w:sz w:val="24"/>
        </w:rPr>
        <w:t>16</w:t>
      </w:r>
      <w:r>
        <w:rPr>
          <w:color w:val="0000FF"/>
          <w:spacing w:val="-4"/>
          <w:sz w:val="24"/>
        </w:rPr>
        <w:t>5</w:t>
      </w:r>
    </w:p>
    <w:p>
      <w:pPr>
        <w:pStyle w:val="ListParagraph"/>
        <w:numPr>
          <w:ilvl w:val="1"/>
          <w:numId w:val="8"/>
        </w:numPr>
        <w:tabs>
          <w:tab w:pos="1518" w:val="left" w:leader="none"/>
          <w:tab w:pos="1519" w:val="left" w:leader="none"/>
          <w:tab w:pos="8620" w:val="left" w:leader="dot"/>
        </w:tabs>
        <w:spacing w:line="312" w:lineRule="auto" w:before="0" w:after="0"/>
        <w:ind w:left="1518" w:right="524" w:hanging="550"/>
        <w:jc w:val="left"/>
        <w:rPr>
          <w:sz w:val="24"/>
        </w:rPr>
      </w:pPr>
      <w:r>
        <w:rPr>
          <w:sz w:val="24"/>
        </w:rPr>
        <w:t>Catalans</w:t>
      </w:r>
      <w:r>
        <w:rPr>
          <w:spacing w:val="40"/>
          <w:sz w:val="24"/>
        </w:rPr>
        <w:t> </w:t>
      </w:r>
      <w:r>
        <w:rPr>
          <w:sz w:val="24"/>
        </w:rPr>
        <w:t>smooth</w:t>
      </w:r>
      <w:r>
        <w:rPr>
          <w:spacing w:val="40"/>
          <w:sz w:val="24"/>
        </w:rPr>
        <w:t> </w:t>
      </w:r>
      <w:r>
        <w:rPr>
          <w:sz w:val="24"/>
        </w:rPr>
        <w:t>pitch</w:t>
      </w:r>
      <w:r>
        <w:rPr>
          <w:spacing w:val="40"/>
          <w:sz w:val="24"/>
        </w:rPr>
        <w:t> </w:t>
      </w:r>
      <w:r>
        <w:rPr>
          <w:sz w:val="24"/>
        </w:rPr>
        <w:t>surface</w:t>
      </w:r>
      <w:r>
        <w:rPr>
          <w:spacing w:val="40"/>
          <w:sz w:val="24"/>
        </w:rPr>
        <w:t> </w:t>
      </w:r>
      <w:r>
        <w:rPr>
          <w:sz w:val="24"/>
        </w:rPr>
        <w:t>plot</w:t>
      </w:r>
      <w:r>
        <w:rPr>
          <w:spacing w:val="40"/>
          <w:sz w:val="24"/>
        </w:rPr>
        <w:t> </w:t>
      </w:r>
      <w:r>
        <w:rPr>
          <w:sz w:val="24"/>
        </w:rPr>
        <w:t>from</w:t>
      </w:r>
      <w:r>
        <w:rPr>
          <w:spacing w:val="40"/>
          <w:sz w:val="24"/>
        </w:rPr>
        <w:t> </w:t>
      </w:r>
      <w:r>
        <w:rPr>
          <w:sz w:val="24"/>
        </w:rPr>
        <w:t>team</w:t>
      </w:r>
      <w:r>
        <w:rPr>
          <w:spacing w:val="40"/>
          <w:sz w:val="24"/>
        </w:rPr>
        <w:t> </w:t>
      </w:r>
      <w:r>
        <w:rPr>
          <w:sz w:val="24"/>
        </w:rPr>
        <w:t>attacking</w:t>
      </w:r>
      <w:r>
        <w:rPr>
          <w:spacing w:val="40"/>
          <w:sz w:val="24"/>
        </w:rPr>
        <w:t> </w:t>
      </w:r>
      <w:r>
        <w:rPr>
          <w:sz w:val="24"/>
        </w:rPr>
        <w:t>model.</w:t>
      </w:r>
      <w:r>
        <w:rPr>
          <w:spacing w:val="80"/>
          <w:sz w:val="24"/>
        </w:rPr>
        <w:t> </w:t>
      </w:r>
      <w:r>
        <w:rPr>
          <w:sz w:val="24"/>
        </w:rPr>
        <w:t>Green areas represent higher value for more favourable event (i.e. greater proba- bility of all events occurring except No Points) compared to whole league model.</w:t>
      </w:r>
      <w:r>
        <w:rPr>
          <w:spacing w:val="40"/>
          <w:sz w:val="24"/>
        </w:rPr>
        <w:t> </w:t>
      </w:r>
      <w:r>
        <w:rPr>
          <w:sz w:val="24"/>
        </w:rPr>
        <w:t>4pt Try and 6pt Try refer to unconverted and converted tries re- </w:t>
      </w:r>
      <w:r>
        <w:rPr>
          <w:spacing w:val="-2"/>
          <w:sz w:val="24"/>
        </w:rPr>
        <w:t>spectively</w:t>
      </w:r>
      <w:r>
        <w:rPr>
          <w:sz w:val="24"/>
        </w:rPr>
        <w:tab/>
      </w:r>
      <w:r>
        <w:rPr>
          <w:color w:val="0000FF"/>
          <w:spacing w:val="-4"/>
          <w:sz w:val="24"/>
        </w:rPr>
        <w:t>16</w:t>
      </w:r>
      <w:r>
        <w:rPr>
          <w:color w:val="0000FF"/>
          <w:spacing w:val="-4"/>
          <w:sz w:val="24"/>
        </w:rPr>
        <w:t>6</w:t>
      </w:r>
    </w:p>
    <w:p>
      <w:pPr>
        <w:pStyle w:val="ListParagraph"/>
        <w:numPr>
          <w:ilvl w:val="1"/>
          <w:numId w:val="8"/>
        </w:numPr>
        <w:tabs>
          <w:tab w:pos="1519" w:val="left" w:leader="none"/>
        </w:tabs>
        <w:spacing w:line="312" w:lineRule="auto" w:before="0" w:after="0"/>
        <w:ind w:left="1518" w:right="998" w:hanging="550"/>
        <w:jc w:val="both"/>
        <w:rPr>
          <w:sz w:val="24"/>
        </w:rPr>
      </w:pPr>
      <w:r>
        <w:rPr>
          <w:sz w:val="24"/>
        </w:rPr>
        <w:t>Wigan</w:t>
      </w:r>
      <w:r>
        <w:rPr>
          <w:spacing w:val="-11"/>
          <w:sz w:val="24"/>
        </w:rPr>
        <w:t> </w:t>
      </w:r>
      <w:r>
        <w:rPr>
          <w:sz w:val="24"/>
        </w:rPr>
        <w:t>smooth</w:t>
      </w:r>
      <w:r>
        <w:rPr>
          <w:spacing w:val="-12"/>
          <w:sz w:val="24"/>
        </w:rPr>
        <w:t> </w:t>
      </w:r>
      <w:r>
        <w:rPr>
          <w:sz w:val="24"/>
        </w:rPr>
        <w:t>pitch</w:t>
      </w:r>
      <w:r>
        <w:rPr>
          <w:spacing w:val="-11"/>
          <w:sz w:val="24"/>
        </w:rPr>
        <w:t> </w:t>
      </w:r>
      <w:r>
        <w:rPr>
          <w:sz w:val="24"/>
        </w:rPr>
        <w:t>surface</w:t>
      </w:r>
      <w:r>
        <w:rPr>
          <w:spacing w:val="-12"/>
          <w:sz w:val="24"/>
        </w:rPr>
        <w:t> </w:t>
      </w:r>
      <w:r>
        <w:rPr>
          <w:sz w:val="24"/>
        </w:rPr>
        <w:t>plot</w:t>
      </w:r>
      <w:r>
        <w:rPr>
          <w:spacing w:val="-11"/>
          <w:sz w:val="24"/>
        </w:rPr>
        <w:t> </w:t>
      </w:r>
      <w:r>
        <w:rPr>
          <w:sz w:val="24"/>
        </w:rPr>
        <w:t>from</w:t>
      </w:r>
      <w:r>
        <w:rPr>
          <w:spacing w:val="-12"/>
          <w:sz w:val="24"/>
        </w:rPr>
        <w:t> </w:t>
      </w:r>
      <w:r>
        <w:rPr>
          <w:sz w:val="24"/>
        </w:rPr>
        <w:t>team</w:t>
      </w:r>
      <w:r>
        <w:rPr>
          <w:spacing w:val="-11"/>
          <w:sz w:val="24"/>
        </w:rPr>
        <w:t> </w:t>
      </w:r>
      <w:r>
        <w:rPr>
          <w:sz w:val="24"/>
        </w:rPr>
        <w:t>attacking</w:t>
      </w:r>
      <w:r>
        <w:rPr>
          <w:spacing w:val="-11"/>
          <w:sz w:val="24"/>
        </w:rPr>
        <w:t> </w:t>
      </w:r>
      <w:r>
        <w:rPr>
          <w:sz w:val="24"/>
        </w:rPr>
        <w:t>model. Green</w:t>
      </w:r>
      <w:r>
        <w:rPr>
          <w:spacing w:val="-11"/>
          <w:sz w:val="24"/>
        </w:rPr>
        <w:t> </w:t>
      </w:r>
      <w:r>
        <w:rPr>
          <w:sz w:val="24"/>
        </w:rPr>
        <w:t>areas represent higher value for more favourable event (i.e.</w:t>
      </w:r>
      <w:r>
        <w:rPr>
          <w:spacing w:val="40"/>
          <w:sz w:val="24"/>
        </w:rPr>
        <w:t> </w:t>
      </w:r>
      <w:r>
        <w:rPr>
          <w:sz w:val="24"/>
        </w:rPr>
        <w:t>greater </w:t>
      </w:r>
      <w:r>
        <w:rPr>
          <w:sz w:val="24"/>
        </w:rPr>
        <w:t>probabil-</w:t>
      </w:r>
      <w:r>
        <w:rPr>
          <w:sz w:val="24"/>
        </w:rPr>
        <w:t> ity of all events occurring except No Points) compared to whole </w:t>
      </w:r>
      <w:r>
        <w:rPr>
          <w:sz w:val="24"/>
        </w:rPr>
        <w:t>league</w:t>
      </w:r>
      <w:r>
        <w:rPr>
          <w:sz w:val="24"/>
        </w:rPr>
        <w:t> model.</w:t>
      </w:r>
      <w:r>
        <w:rPr>
          <w:spacing w:val="40"/>
          <w:sz w:val="24"/>
        </w:rPr>
        <w:t> </w:t>
      </w:r>
      <w:r>
        <w:rPr>
          <w:sz w:val="24"/>
        </w:rPr>
        <w:t>4pt Try and 6pt Try refer to unconverted and converted tries re-</w:t>
      </w:r>
    </w:p>
    <w:p>
      <w:pPr>
        <w:pStyle w:val="BodyText"/>
        <w:tabs>
          <w:tab w:pos="8620" w:val="left" w:leader="dot"/>
        </w:tabs>
        <w:spacing w:line="275" w:lineRule="exact"/>
        <w:ind w:left="1518"/>
        <w:jc w:val="both"/>
      </w:pPr>
      <w:r>
        <w:rPr>
          <w:spacing w:val="-2"/>
        </w:rPr>
        <w:t>spectively</w:t>
      </w:r>
      <w:r>
        <w:rPr/>
        <w:tab/>
      </w:r>
      <w:r>
        <w:rPr>
          <w:color w:val="0000FF"/>
          <w:spacing w:val="-5"/>
        </w:rPr>
        <w:t>167</w:t>
      </w:r>
    </w:p>
    <w:p>
      <w:pPr>
        <w:pStyle w:val="ListParagraph"/>
        <w:numPr>
          <w:ilvl w:val="1"/>
          <w:numId w:val="8"/>
        </w:numPr>
        <w:tabs>
          <w:tab w:pos="1518" w:val="left" w:leader="none"/>
          <w:tab w:pos="1519" w:val="left" w:leader="none"/>
          <w:tab w:pos="8620" w:val="left" w:leader="dot"/>
        </w:tabs>
        <w:spacing w:line="312" w:lineRule="auto" w:before="81" w:after="0"/>
        <w:ind w:left="1518" w:right="524" w:hanging="550"/>
        <w:jc w:val="left"/>
        <w:rPr>
          <w:sz w:val="24"/>
        </w:rPr>
      </w:pPr>
      <w:r>
        <w:rPr>
          <w:sz w:val="24"/>
        </w:rPr>
        <w:t>Castleford smooth pitch surface plot from team defending model.</w:t>
      </w:r>
      <w:r>
        <w:rPr>
          <w:spacing w:val="40"/>
          <w:sz w:val="24"/>
        </w:rPr>
        <w:t> </w:t>
      </w:r>
      <w:r>
        <w:rPr>
          <w:sz w:val="24"/>
        </w:rPr>
        <w:t>Green areas represent higher value for more favourable event (i.e.</w:t>
      </w:r>
      <w:r>
        <w:rPr>
          <w:spacing w:val="40"/>
          <w:sz w:val="24"/>
        </w:rPr>
        <w:t> </w:t>
      </w:r>
      <w:r>
        <w:rPr>
          <w:sz w:val="24"/>
        </w:rPr>
        <w:t>lower proba- bility of all events occurring except No Points) compared to whole league model.</w:t>
      </w:r>
      <w:r>
        <w:rPr>
          <w:spacing w:val="40"/>
          <w:sz w:val="24"/>
        </w:rPr>
        <w:t> </w:t>
      </w:r>
      <w:r>
        <w:rPr>
          <w:sz w:val="24"/>
        </w:rPr>
        <w:t>4pt Try and 6pt Try refer to unconverted and converted tries re- </w:t>
      </w:r>
      <w:r>
        <w:rPr>
          <w:spacing w:val="-2"/>
          <w:sz w:val="24"/>
        </w:rPr>
        <w:t>spectively</w:t>
      </w:r>
      <w:r>
        <w:rPr>
          <w:sz w:val="24"/>
        </w:rPr>
        <w:tab/>
      </w:r>
      <w:r>
        <w:rPr>
          <w:color w:val="0000FF"/>
          <w:spacing w:val="-4"/>
          <w:sz w:val="24"/>
        </w:rPr>
        <w:t>16</w:t>
      </w:r>
      <w:r>
        <w:rPr>
          <w:color w:val="0000FF"/>
          <w:spacing w:val="-4"/>
          <w:sz w:val="24"/>
        </w:rPr>
        <w:t>8</w:t>
      </w:r>
    </w:p>
    <w:p>
      <w:pPr>
        <w:pStyle w:val="ListParagraph"/>
        <w:numPr>
          <w:ilvl w:val="1"/>
          <w:numId w:val="8"/>
        </w:numPr>
        <w:tabs>
          <w:tab w:pos="1518" w:val="left" w:leader="none"/>
          <w:tab w:pos="1519" w:val="left" w:leader="none"/>
          <w:tab w:pos="8620" w:val="left" w:leader="dot"/>
        </w:tabs>
        <w:spacing w:line="312" w:lineRule="auto" w:before="0" w:after="0"/>
        <w:ind w:left="1518" w:right="524" w:hanging="550"/>
        <w:jc w:val="left"/>
        <w:rPr>
          <w:sz w:val="24"/>
        </w:rPr>
      </w:pPr>
      <w:r>
        <w:rPr>
          <w:sz w:val="24"/>
        </w:rPr>
        <w:t>Catalans</w:t>
      </w:r>
      <w:r>
        <w:rPr>
          <w:spacing w:val="34"/>
          <w:sz w:val="24"/>
        </w:rPr>
        <w:t> </w:t>
      </w:r>
      <w:r>
        <w:rPr>
          <w:sz w:val="24"/>
        </w:rPr>
        <w:t>smooth</w:t>
      </w:r>
      <w:r>
        <w:rPr>
          <w:spacing w:val="34"/>
          <w:sz w:val="24"/>
        </w:rPr>
        <w:t> </w:t>
      </w:r>
      <w:r>
        <w:rPr>
          <w:sz w:val="24"/>
        </w:rPr>
        <w:t>pitch</w:t>
      </w:r>
      <w:r>
        <w:rPr>
          <w:spacing w:val="34"/>
          <w:sz w:val="24"/>
        </w:rPr>
        <w:t> </w:t>
      </w:r>
      <w:r>
        <w:rPr>
          <w:sz w:val="24"/>
        </w:rPr>
        <w:t>surface</w:t>
      </w:r>
      <w:r>
        <w:rPr>
          <w:spacing w:val="34"/>
          <w:sz w:val="24"/>
        </w:rPr>
        <w:t> </w:t>
      </w:r>
      <w:r>
        <w:rPr>
          <w:sz w:val="24"/>
        </w:rPr>
        <w:t>plot</w:t>
      </w:r>
      <w:r>
        <w:rPr>
          <w:spacing w:val="34"/>
          <w:sz w:val="24"/>
        </w:rPr>
        <w:t> </w:t>
      </w:r>
      <w:r>
        <w:rPr>
          <w:sz w:val="24"/>
        </w:rPr>
        <w:t>from</w:t>
      </w:r>
      <w:r>
        <w:rPr>
          <w:spacing w:val="34"/>
          <w:sz w:val="24"/>
        </w:rPr>
        <w:t> </w:t>
      </w:r>
      <w:r>
        <w:rPr>
          <w:sz w:val="24"/>
        </w:rPr>
        <w:t>team</w:t>
      </w:r>
      <w:r>
        <w:rPr>
          <w:spacing w:val="34"/>
          <w:sz w:val="24"/>
        </w:rPr>
        <w:t> </w:t>
      </w:r>
      <w:r>
        <w:rPr>
          <w:sz w:val="24"/>
        </w:rPr>
        <w:t>defending</w:t>
      </w:r>
      <w:r>
        <w:rPr>
          <w:spacing w:val="34"/>
          <w:sz w:val="24"/>
        </w:rPr>
        <w:t> </w:t>
      </w:r>
      <w:r>
        <w:rPr>
          <w:sz w:val="24"/>
        </w:rPr>
        <w:t>model.</w:t>
      </w:r>
      <w:r>
        <w:rPr>
          <w:spacing w:val="80"/>
          <w:sz w:val="24"/>
        </w:rPr>
        <w:t> </w:t>
      </w:r>
      <w:r>
        <w:rPr>
          <w:sz w:val="24"/>
        </w:rPr>
        <w:t>Green areas represent higher value for more favourable event (i.e.</w:t>
      </w:r>
      <w:r>
        <w:rPr>
          <w:spacing w:val="40"/>
          <w:sz w:val="24"/>
        </w:rPr>
        <w:t> </w:t>
      </w:r>
      <w:r>
        <w:rPr>
          <w:sz w:val="24"/>
        </w:rPr>
        <w:t>lower proba- bility of all events occurring except No Points) compared to whole league model.</w:t>
      </w:r>
      <w:r>
        <w:rPr>
          <w:spacing w:val="40"/>
          <w:sz w:val="24"/>
        </w:rPr>
        <w:t> </w:t>
      </w:r>
      <w:r>
        <w:rPr>
          <w:sz w:val="24"/>
        </w:rPr>
        <w:t>4pt Try and 6pt Try refer to unconverted and converted tries re- </w:t>
      </w:r>
      <w:r>
        <w:rPr>
          <w:spacing w:val="-2"/>
          <w:sz w:val="24"/>
        </w:rPr>
        <w:t>spectively</w:t>
      </w:r>
      <w:r>
        <w:rPr>
          <w:sz w:val="24"/>
        </w:rPr>
        <w:tab/>
      </w:r>
      <w:r>
        <w:rPr>
          <w:color w:val="0000FF"/>
          <w:spacing w:val="-4"/>
          <w:sz w:val="24"/>
        </w:rPr>
        <w:t>16</w:t>
      </w:r>
      <w:r>
        <w:rPr>
          <w:color w:val="0000FF"/>
          <w:spacing w:val="-4"/>
          <w:sz w:val="24"/>
        </w:rPr>
        <w:t>9</w:t>
      </w:r>
    </w:p>
    <w:p>
      <w:pPr>
        <w:pStyle w:val="ListParagraph"/>
        <w:numPr>
          <w:ilvl w:val="1"/>
          <w:numId w:val="8"/>
        </w:numPr>
        <w:tabs>
          <w:tab w:pos="1519" w:val="left" w:leader="none"/>
        </w:tabs>
        <w:spacing w:line="312" w:lineRule="auto" w:before="0" w:after="0"/>
        <w:ind w:left="1518" w:right="998" w:hanging="550"/>
        <w:jc w:val="both"/>
        <w:rPr>
          <w:sz w:val="24"/>
        </w:rPr>
      </w:pPr>
      <w:r>
        <w:rPr>
          <w:sz w:val="24"/>
        </w:rPr>
        <w:t>Wigan</w:t>
      </w:r>
      <w:r>
        <w:rPr>
          <w:spacing w:val="-15"/>
          <w:sz w:val="24"/>
        </w:rPr>
        <w:t> </w:t>
      </w:r>
      <w:r>
        <w:rPr>
          <w:sz w:val="24"/>
        </w:rPr>
        <w:t>smooth</w:t>
      </w:r>
      <w:r>
        <w:rPr>
          <w:spacing w:val="-15"/>
          <w:sz w:val="24"/>
        </w:rPr>
        <w:t> </w:t>
      </w:r>
      <w:r>
        <w:rPr>
          <w:sz w:val="24"/>
        </w:rPr>
        <w:t>pitch</w:t>
      </w:r>
      <w:r>
        <w:rPr>
          <w:spacing w:val="-15"/>
          <w:sz w:val="24"/>
        </w:rPr>
        <w:t> </w:t>
      </w:r>
      <w:r>
        <w:rPr>
          <w:sz w:val="24"/>
        </w:rPr>
        <w:t>surface</w:t>
      </w:r>
      <w:r>
        <w:rPr>
          <w:spacing w:val="-15"/>
          <w:sz w:val="24"/>
        </w:rPr>
        <w:t> </w:t>
      </w:r>
      <w:r>
        <w:rPr>
          <w:sz w:val="24"/>
        </w:rPr>
        <w:t>plot</w:t>
      </w:r>
      <w:r>
        <w:rPr>
          <w:spacing w:val="-15"/>
          <w:sz w:val="24"/>
        </w:rPr>
        <w:t> </w:t>
      </w:r>
      <w:r>
        <w:rPr>
          <w:sz w:val="24"/>
        </w:rPr>
        <w:t>from</w:t>
      </w:r>
      <w:r>
        <w:rPr>
          <w:spacing w:val="-15"/>
          <w:sz w:val="24"/>
        </w:rPr>
        <w:t> </w:t>
      </w:r>
      <w:r>
        <w:rPr>
          <w:sz w:val="24"/>
        </w:rPr>
        <w:t>team</w:t>
      </w:r>
      <w:r>
        <w:rPr>
          <w:spacing w:val="-15"/>
          <w:sz w:val="24"/>
        </w:rPr>
        <w:t> </w:t>
      </w:r>
      <w:r>
        <w:rPr>
          <w:sz w:val="24"/>
        </w:rPr>
        <w:t>defending</w:t>
      </w:r>
      <w:r>
        <w:rPr>
          <w:spacing w:val="-15"/>
          <w:sz w:val="24"/>
        </w:rPr>
        <w:t> </w:t>
      </w:r>
      <w:r>
        <w:rPr>
          <w:sz w:val="24"/>
        </w:rPr>
        <w:t>model.</w:t>
      </w:r>
      <w:r>
        <w:rPr>
          <w:spacing w:val="-15"/>
          <w:sz w:val="24"/>
        </w:rPr>
        <w:t> </w:t>
      </w:r>
      <w:r>
        <w:rPr>
          <w:sz w:val="24"/>
        </w:rPr>
        <w:t>Green</w:t>
      </w:r>
      <w:r>
        <w:rPr>
          <w:spacing w:val="-15"/>
          <w:sz w:val="24"/>
        </w:rPr>
        <w:t> </w:t>
      </w:r>
      <w:r>
        <w:rPr>
          <w:sz w:val="24"/>
        </w:rPr>
        <w:t>areas represent</w:t>
      </w:r>
      <w:r>
        <w:rPr>
          <w:spacing w:val="-15"/>
          <w:sz w:val="24"/>
        </w:rPr>
        <w:t> </w:t>
      </w:r>
      <w:r>
        <w:rPr>
          <w:sz w:val="24"/>
        </w:rPr>
        <w:t>higher</w:t>
      </w:r>
      <w:r>
        <w:rPr>
          <w:spacing w:val="-15"/>
          <w:sz w:val="24"/>
        </w:rPr>
        <w:t> </w:t>
      </w:r>
      <w:r>
        <w:rPr>
          <w:sz w:val="24"/>
        </w:rPr>
        <w:t>value</w:t>
      </w:r>
      <w:r>
        <w:rPr>
          <w:spacing w:val="-15"/>
          <w:sz w:val="24"/>
        </w:rPr>
        <w:t> </w:t>
      </w:r>
      <w:r>
        <w:rPr>
          <w:sz w:val="24"/>
        </w:rPr>
        <w:t>for</w:t>
      </w:r>
      <w:r>
        <w:rPr>
          <w:spacing w:val="-15"/>
          <w:sz w:val="24"/>
        </w:rPr>
        <w:t> </w:t>
      </w:r>
      <w:r>
        <w:rPr>
          <w:sz w:val="24"/>
        </w:rPr>
        <w:t>more</w:t>
      </w:r>
      <w:r>
        <w:rPr>
          <w:spacing w:val="-15"/>
          <w:sz w:val="24"/>
        </w:rPr>
        <w:t> </w:t>
      </w:r>
      <w:r>
        <w:rPr>
          <w:sz w:val="24"/>
        </w:rPr>
        <w:t>favourable</w:t>
      </w:r>
      <w:r>
        <w:rPr>
          <w:spacing w:val="-15"/>
          <w:sz w:val="24"/>
        </w:rPr>
        <w:t> </w:t>
      </w:r>
      <w:r>
        <w:rPr>
          <w:sz w:val="24"/>
        </w:rPr>
        <w:t>event</w:t>
      </w:r>
      <w:r>
        <w:rPr>
          <w:spacing w:val="-15"/>
          <w:sz w:val="24"/>
        </w:rPr>
        <w:t> </w:t>
      </w:r>
      <w:r>
        <w:rPr>
          <w:sz w:val="24"/>
        </w:rPr>
        <w:t>(i.e.</w:t>
      </w:r>
      <w:r>
        <w:rPr>
          <w:spacing w:val="-15"/>
          <w:sz w:val="24"/>
        </w:rPr>
        <w:t> </w:t>
      </w:r>
      <w:r>
        <w:rPr>
          <w:sz w:val="24"/>
        </w:rPr>
        <w:t>lower</w:t>
      </w:r>
      <w:r>
        <w:rPr>
          <w:spacing w:val="-15"/>
          <w:sz w:val="24"/>
        </w:rPr>
        <w:t> </w:t>
      </w:r>
      <w:r>
        <w:rPr>
          <w:sz w:val="24"/>
        </w:rPr>
        <w:t>probability</w:t>
      </w:r>
      <w:r>
        <w:rPr>
          <w:spacing w:val="-15"/>
          <w:sz w:val="24"/>
        </w:rPr>
        <w:t> </w:t>
      </w:r>
      <w:r>
        <w:rPr>
          <w:sz w:val="24"/>
        </w:rPr>
        <w:t>of all</w:t>
      </w:r>
      <w:r>
        <w:rPr>
          <w:spacing w:val="-3"/>
          <w:sz w:val="24"/>
        </w:rPr>
        <w:t> </w:t>
      </w:r>
      <w:r>
        <w:rPr>
          <w:sz w:val="24"/>
        </w:rPr>
        <w:t>events</w:t>
      </w:r>
      <w:r>
        <w:rPr>
          <w:spacing w:val="-3"/>
          <w:sz w:val="24"/>
        </w:rPr>
        <w:t> </w:t>
      </w:r>
      <w:r>
        <w:rPr>
          <w:sz w:val="24"/>
        </w:rPr>
        <w:t>occurring</w:t>
      </w:r>
      <w:r>
        <w:rPr>
          <w:spacing w:val="-3"/>
          <w:sz w:val="24"/>
        </w:rPr>
        <w:t> </w:t>
      </w:r>
      <w:r>
        <w:rPr>
          <w:sz w:val="24"/>
        </w:rPr>
        <w:t>except</w:t>
      </w:r>
      <w:r>
        <w:rPr>
          <w:spacing w:val="-3"/>
          <w:sz w:val="24"/>
        </w:rPr>
        <w:t> </w:t>
      </w:r>
      <w:r>
        <w:rPr>
          <w:sz w:val="24"/>
        </w:rPr>
        <w:t>No</w:t>
      </w:r>
      <w:r>
        <w:rPr>
          <w:spacing w:val="-3"/>
          <w:sz w:val="24"/>
        </w:rPr>
        <w:t> </w:t>
      </w:r>
      <w:r>
        <w:rPr>
          <w:sz w:val="24"/>
        </w:rPr>
        <w:t>Points)</w:t>
      </w:r>
      <w:r>
        <w:rPr>
          <w:spacing w:val="-3"/>
          <w:sz w:val="24"/>
        </w:rPr>
        <w:t> </w:t>
      </w:r>
      <w:r>
        <w:rPr>
          <w:sz w:val="24"/>
        </w:rPr>
        <w:t>compared</w:t>
      </w:r>
      <w:r>
        <w:rPr>
          <w:spacing w:val="-3"/>
          <w:sz w:val="24"/>
        </w:rPr>
        <w:t> </w:t>
      </w:r>
      <w:r>
        <w:rPr>
          <w:sz w:val="24"/>
        </w:rPr>
        <w:t>to</w:t>
      </w:r>
      <w:r>
        <w:rPr>
          <w:spacing w:val="-3"/>
          <w:sz w:val="24"/>
        </w:rPr>
        <w:t> </w:t>
      </w:r>
      <w:r>
        <w:rPr>
          <w:sz w:val="24"/>
        </w:rPr>
        <w:t>whole</w:t>
      </w:r>
      <w:r>
        <w:rPr>
          <w:spacing w:val="-3"/>
          <w:sz w:val="24"/>
        </w:rPr>
        <w:t> </w:t>
      </w:r>
      <w:r>
        <w:rPr>
          <w:sz w:val="24"/>
        </w:rPr>
        <w:t>league</w:t>
      </w:r>
      <w:r>
        <w:rPr>
          <w:spacing w:val="-3"/>
          <w:sz w:val="24"/>
        </w:rPr>
        <w:t> </w:t>
      </w:r>
      <w:r>
        <w:rPr>
          <w:sz w:val="24"/>
        </w:rPr>
        <w:t>model.</w:t>
      </w:r>
    </w:p>
    <w:p>
      <w:pPr>
        <w:pStyle w:val="BodyText"/>
        <w:spacing w:line="275" w:lineRule="exact"/>
        <w:ind w:left="1518"/>
        <w:jc w:val="both"/>
      </w:pPr>
      <w:r>
        <w:rPr/>
        <w:t>4pt</w:t>
      </w:r>
      <w:r>
        <w:rPr>
          <w:spacing w:val="-10"/>
        </w:rPr>
        <w:t> </w:t>
      </w:r>
      <w:r>
        <w:rPr/>
        <w:t>Try</w:t>
      </w:r>
      <w:r>
        <w:rPr>
          <w:spacing w:val="-10"/>
        </w:rPr>
        <w:t> </w:t>
      </w:r>
      <w:r>
        <w:rPr/>
        <w:t>and</w:t>
      </w:r>
      <w:r>
        <w:rPr>
          <w:spacing w:val="-9"/>
        </w:rPr>
        <w:t> </w:t>
      </w:r>
      <w:r>
        <w:rPr/>
        <w:t>6pt</w:t>
      </w:r>
      <w:r>
        <w:rPr>
          <w:spacing w:val="-10"/>
        </w:rPr>
        <w:t> </w:t>
      </w:r>
      <w:r>
        <w:rPr/>
        <w:t>Try</w:t>
      </w:r>
      <w:r>
        <w:rPr>
          <w:spacing w:val="-9"/>
        </w:rPr>
        <w:t> </w:t>
      </w:r>
      <w:r>
        <w:rPr/>
        <w:t>refer</w:t>
      </w:r>
      <w:r>
        <w:rPr>
          <w:spacing w:val="-10"/>
        </w:rPr>
        <w:t> </w:t>
      </w:r>
      <w:r>
        <w:rPr/>
        <w:t>to</w:t>
      </w:r>
      <w:r>
        <w:rPr>
          <w:spacing w:val="-9"/>
        </w:rPr>
        <w:t> </w:t>
      </w:r>
      <w:r>
        <w:rPr/>
        <w:t>unconverted</w:t>
      </w:r>
      <w:r>
        <w:rPr>
          <w:spacing w:val="-10"/>
        </w:rPr>
        <w:t> </w:t>
      </w:r>
      <w:r>
        <w:rPr/>
        <w:t>and</w:t>
      </w:r>
      <w:r>
        <w:rPr>
          <w:spacing w:val="-10"/>
        </w:rPr>
        <w:t> </w:t>
      </w:r>
      <w:r>
        <w:rPr/>
        <w:t>converted</w:t>
      </w:r>
      <w:r>
        <w:rPr>
          <w:spacing w:val="-9"/>
        </w:rPr>
        <w:t> </w:t>
      </w:r>
      <w:r>
        <w:rPr/>
        <w:t>tries</w:t>
      </w:r>
      <w:r>
        <w:rPr>
          <w:spacing w:val="-10"/>
        </w:rPr>
        <w:t> </w:t>
      </w:r>
      <w:r>
        <w:rPr/>
        <w:t>respectively</w:t>
      </w:r>
      <w:r>
        <w:rPr>
          <w:spacing w:val="59"/>
          <w:w w:val="150"/>
        </w:rPr>
        <w:t> </w:t>
      </w:r>
      <w:r>
        <w:rPr>
          <w:color w:val="0000FF"/>
          <w:spacing w:val="-5"/>
        </w:rPr>
        <w:t>170</w:t>
      </w:r>
    </w:p>
    <w:p>
      <w:pPr>
        <w:spacing w:after="0" w:line="275" w:lineRule="exact"/>
        <w:jc w:val="both"/>
        <w:sectPr>
          <w:pgSz w:w="11910" w:h="16840"/>
          <w:pgMar w:header="1961" w:footer="1428" w:top="2280" w:bottom="1620" w:left="1680" w:right="720"/>
        </w:sectPr>
      </w:pPr>
    </w:p>
    <w:p>
      <w:pPr>
        <w:pStyle w:val="ListParagraph"/>
        <w:numPr>
          <w:ilvl w:val="1"/>
          <w:numId w:val="9"/>
        </w:numPr>
        <w:tabs>
          <w:tab w:pos="1519" w:val="left" w:leader="none"/>
          <w:tab w:pos="8978" w:val="right" w:leader="dot"/>
        </w:tabs>
        <w:spacing w:line="240" w:lineRule="auto" w:before="572" w:after="0"/>
        <w:ind w:left="1518" w:right="0" w:hanging="550"/>
        <w:jc w:val="left"/>
        <w:rPr>
          <w:sz w:val="24"/>
        </w:rPr>
      </w:pPr>
      <w:r>
        <w:rPr>
          <w:sz w:val="24"/>
        </w:rPr>
        <w:t>Screenshot</w:t>
      </w:r>
      <w:r>
        <w:rPr>
          <w:spacing w:val="-8"/>
          <w:sz w:val="24"/>
        </w:rPr>
        <w:t> </w:t>
      </w:r>
      <w:r>
        <w:rPr>
          <w:sz w:val="24"/>
        </w:rPr>
        <w:t>of</w:t>
      </w:r>
      <w:r>
        <w:rPr>
          <w:spacing w:val="-7"/>
          <w:sz w:val="24"/>
        </w:rPr>
        <w:t> </w:t>
      </w:r>
      <w:r>
        <w:rPr>
          <w:sz w:val="24"/>
        </w:rPr>
        <w:t>ethical</w:t>
      </w:r>
      <w:r>
        <w:rPr>
          <w:spacing w:val="-8"/>
          <w:sz w:val="24"/>
        </w:rPr>
        <w:t> </w:t>
      </w:r>
      <w:r>
        <w:rPr>
          <w:sz w:val="24"/>
        </w:rPr>
        <w:t>approval</w:t>
      </w:r>
      <w:r>
        <w:rPr>
          <w:spacing w:val="-7"/>
          <w:sz w:val="24"/>
        </w:rPr>
        <w:t> </w:t>
      </w:r>
      <w:r>
        <w:rPr>
          <w:sz w:val="24"/>
        </w:rPr>
        <w:t>email</w:t>
      </w:r>
      <w:r>
        <w:rPr>
          <w:spacing w:val="-7"/>
          <w:sz w:val="24"/>
        </w:rPr>
        <w:t> </w:t>
      </w:r>
      <w:r>
        <w:rPr>
          <w:sz w:val="24"/>
        </w:rPr>
        <w:t>for</w:t>
      </w:r>
      <w:r>
        <w:rPr>
          <w:spacing w:val="-8"/>
          <w:sz w:val="24"/>
        </w:rPr>
        <w:t> </w:t>
      </w:r>
      <w:r>
        <w:rPr>
          <w:sz w:val="24"/>
        </w:rPr>
        <w:t>studies</w:t>
      </w:r>
      <w:r>
        <w:rPr>
          <w:spacing w:val="-7"/>
          <w:sz w:val="24"/>
        </w:rPr>
        <w:t> </w:t>
      </w:r>
      <w:r>
        <w:rPr>
          <w:sz w:val="24"/>
        </w:rPr>
        <w:t>in</w:t>
      </w:r>
      <w:r>
        <w:rPr>
          <w:spacing w:val="-8"/>
          <w:sz w:val="24"/>
        </w:rPr>
        <w:t> </w:t>
      </w:r>
      <w:r>
        <w:rPr>
          <w:sz w:val="24"/>
        </w:rPr>
        <w:t>this</w:t>
      </w:r>
      <w:r>
        <w:rPr>
          <w:spacing w:val="-7"/>
          <w:sz w:val="24"/>
        </w:rPr>
        <w:t> </w:t>
      </w:r>
      <w:r>
        <w:rPr>
          <w:spacing w:val="-2"/>
          <w:sz w:val="24"/>
        </w:rPr>
        <w:t>thesis</w:t>
      </w:r>
      <w:r>
        <w:rPr>
          <w:sz w:val="24"/>
        </w:rPr>
        <w:tab/>
      </w:r>
      <w:r>
        <w:rPr>
          <w:color w:val="0000FF"/>
          <w:spacing w:val="-5"/>
          <w:sz w:val="24"/>
        </w:rPr>
        <w:t>199</w:t>
      </w:r>
    </w:p>
    <w:p>
      <w:pPr>
        <w:spacing w:after="0" w:line="240" w:lineRule="auto"/>
        <w:jc w:val="left"/>
        <w:rPr>
          <w:sz w:val="24"/>
        </w:rPr>
        <w:sectPr>
          <w:pgSz w:w="11910" w:h="16840"/>
          <w:pgMar w:header="1961" w:footer="1428" w:top="2280" w:bottom="1620" w:left="1680" w:right="720"/>
        </w:sectPr>
      </w:pPr>
    </w:p>
    <w:p>
      <w:pPr>
        <w:pStyle w:val="BodyText"/>
        <w:rPr>
          <w:sz w:val="60"/>
        </w:rPr>
      </w:pPr>
    </w:p>
    <w:p>
      <w:pPr>
        <w:pStyle w:val="BodyText"/>
        <w:rPr>
          <w:sz w:val="60"/>
        </w:rPr>
      </w:pPr>
    </w:p>
    <w:p>
      <w:pPr>
        <w:pStyle w:val="BodyText"/>
        <w:rPr>
          <w:sz w:val="60"/>
        </w:rPr>
      </w:pPr>
    </w:p>
    <w:p>
      <w:pPr>
        <w:pStyle w:val="Heading1"/>
        <w:spacing w:before="356"/>
      </w:pPr>
      <w:r>
        <w:rPr/>
        <w:t>List</w:t>
      </w:r>
      <w:r>
        <w:rPr>
          <w:spacing w:val="6"/>
        </w:rPr>
        <w:t> </w:t>
      </w:r>
      <w:r>
        <w:rPr/>
        <w:t>of</w:t>
      </w:r>
      <w:r>
        <w:rPr>
          <w:spacing w:val="7"/>
        </w:rPr>
        <w:t> </w:t>
      </w:r>
      <w:r>
        <w:rPr>
          <w:spacing w:val="-2"/>
        </w:rPr>
        <w:t>Tables</w:t>
      </w:r>
    </w:p>
    <w:p>
      <w:pPr>
        <w:pStyle w:val="BodyText"/>
        <w:rPr>
          <w:sz w:val="60"/>
        </w:rPr>
      </w:pPr>
    </w:p>
    <w:p>
      <w:pPr>
        <w:pStyle w:val="BodyText"/>
        <w:rPr>
          <w:sz w:val="60"/>
        </w:rPr>
      </w:pPr>
    </w:p>
    <w:p>
      <w:pPr>
        <w:pStyle w:val="ListParagraph"/>
        <w:numPr>
          <w:ilvl w:val="1"/>
          <w:numId w:val="10"/>
        </w:numPr>
        <w:tabs>
          <w:tab w:pos="1518" w:val="left" w:leader="none"/>
          <w:tab w:pos="1519" w:val="left" w:leader="none"/>
          <w:tab w:pos="8620" w:val="left" w:leader="dot"/>
        </w:tabs>
        <w:spacing w:line="240" w:lineRule="auto" w:before="442" w:after="0"/>
        <w:ind w:left="1518" w:right="0" w:hanging="550"/>
        <w:jc w:val="left"/>
        <w:rPr>
          <w:sz w:val="24"/>
        </w:rPr>
      </w:pPr>
      <w:r>
        <w:rPr>
          <w:sz w:val="24"/>
        </w:rPr>
        <w:t>Possession</w:t>
      </w:r>
      <w:r>
        <w:rPr>
          <w:spacing w:val="-8"/>
          <w:sz w:val="24"/>
        </w:rPr>
        <w:t> </w:t>
      </w:r>
      <w:r>
        <w:rPr>
          <w:sz w:val="24"/>
        </w:rPr>
        <w:t>outcomes</w:t>
      </w:r>
      <w:r>
        <w:rPr>
          <w:spacing w:val="-8"/>
          <w:sz w:val="24"/>
        </w:rPr>
        <w:t> </w:t>
      </w:r>
      <w:r>
        <w:rPr>
          <w:sz w:val="24"/>
        </w:rPr>
        <w:t>in</w:t>
      </w:r>
      <w:r>
        <w:rPr>
          <w:spacing w:val="-8"/>
          <w:sz w:val="24"/>
        </w:rPr>
        <w:t> </w:t>
      </w:r>
      <w:r>
        <w:rPr>
          <w:sz w:val="24"/>
        </w:rPr>
        <w:t>rugby</w:t>
      </w:r>
      <w:r>
        <w:rPr>
          <w:spacing w:val="-8"/>
          <w:sz w:val="24"/>
        </w:rPr>
        <w:t> </w:t>
      </w:r>
      <w:r>
        <w:rPr>
          <w:spacing w:val="-2"/>
          <w:sz w:val="24"/>
        </w:rPr>
        <w:t>league</w:t>
      </w:r>
      <w:r>
        <w:rPr>
          <w:sz w:val="24"/>
        </w:rPr>
        <w:tab/>
      </w:r>
      <w:r>
        <w:rPr>
          <w:color w:val="0000FF"/>
          <w:spacing w:val="-5"/>
          <w:sz w:val="24"/>
        </w:rPr>
        <w:t>37</w:t>
      </w:r>
    </w:p>
    <w:p>
      <w:pPr>
        <w:pStyle w:val="ListParagraph"/>
        <w:numPr>
          <w:ilvl w:val="1"/>
          <w:numId w:val="10"/>
        </w:numPr>
        <w:tabs>
          <w:tab w:pos="1518" w:val="left" w:leader="none"/>
          <w:tab w:pos="1519" w:val="left" w:leader="none"/>
        </w:tabs>
        <w:spacing w:line="312" w:lineRule="auto" w:before="83" w:after="0"/>
        <w:ind w:left="1518" w:right="671" w:hanging="550"/>
        <w:jc w:val="left"/>
        <w:rPr>
          <w:sz w:val="24"/>
        </w:rPr>
      </w:pPr>
      <w:r>
        <w:rPr>
          <w:sz w:val="24"/>
        </w:rPr>
        <w:t>Possession</w:t>
      </w:r>
      <w:r>
        <w:rPr>
          <w:spacing w:val="40"/>
          <w:sz w:val="24"/>
        </w:rPr>
        <w:t> </w:t>
      </w:r>
      <w:r>
        <w:rPr>
          <w:sz w:val="24"/>
        </w:rPr>
        <w:t>terms</w:t>
      </w:r>
      <w:r>
        <w:rPr>
          <w:spacing w:val="40"/>
          <w:sz w:val="24"/>
        </w:rPr>
        <w:t> </w:t>
      </w:r>
      <w:r>
        <w:rPr>
          <w:sz w:val="24"/>
        </w:rPr>
        <w:t>used</w:t>
      </w:r>
      <w:r>
        <w:rPr>
          <w:spacing w:val="40"/>
          <w:sz w:val="24"/>
        </w:rPr>
        <w:t> </w:t>
      </w:r>
      <w:r>
        <w:rPr>
          <w:sz w:val="24"/>
        </w:rPr>
        <w:t>in</w:t>
      </w:r>
      <w:r>
        <w:rPr>
          <w:spacing w:val="40"/>
          <w:sz w:val="24"/>
        </w:rPr>
        <w:t> </w:t>
      </w:r>
      <w:r>
        <w:rPr>
          <w:sz w:val="24"/>
        </w:rPr>
        <w:t>this</w:t>
      </w:r>
      <w:r>
        <w:rPr>
          <w:spacing w:val="40"/>
          <w:sz w:val="24"/>
        </w:rPr>
        <w:t> </w:t>
      </w:r>
      <w:r>
        <w:rPr>
          <w:sz w:val="24"/>
        </w:rPr>
        <w:t>thesis,</w:t>
      </w:r>
      <w:r>
        <w:rPr>
          <w:spacing w:val="40"/>
          <w:sz w:val="24"/>
        </w:rPr>
        <w:t> </w:t>
      </w:r>
      <w:r>
        <w:rPr>
          <w:sz w:val="24"/>
        </w:rPr>
        <w:t>ordered</w:t>
      </w:r>
      <w:r>
        <w:rPr>
          <w:spacing w:val="40"/>
          <w:sz w:val="24"/>
        </w:rPr>
        <w:t> </w:t>
      </w:r>
      <w:r>
        <w:rPr>
          <w:sz w:val="24"/>
        </w:rPr>
        <w:t>from</w:t>
      </w:r>
      <w:r>
        <w:rPr>
          <w:spacing w:val="40"/>
          <w:sz w:val="24"/>
        </w:rPr>
        <w:t> </w:t>
      </w:r>
      <w:r>
        <w:rPr>
          <w:sz w:val="24"/>
        </w:rPr>
        <w:t>lowest</w:t>
      </w:r>
      <w:r>
        <w:rPr>
          <w:spacing w:val="40"/>
          <w:sz w:val="24"/>
        </w:rPr>
        <w:t> </w:t>
      </w:r>
      <w:r>
        <w:rPr>
          <w:sz w:val="24"/>
        </w:rPr>
        <w:t>level</w:t>
      </w:r>
      <w:r>
        <w:rPr>
          <w:spacing w:val="40"/>
          <w:sz w:val="24"/>
        </w:rPr>
        <w:t> </w:t>
      </w:r>
      <w:r>
        <w:rPr>
          <w:sz w:val="24"/>
        </w:rPr>
        <w:t>(i.e.</w:t>
      </w:r>
      <w:r>
        <w:rPr>
          <w:spacing w:val="80"/>
          <w:sz w:val="24"/>
        </w:rPr>
        <w:t> </w:t>
      </w:r>
      <w:r>
        <w:rPr>
          <w:sz w:val="24"/>
        </w:rPr>
        <w:t>a single</w:t>
      </w:r>
      <w:r>
        <w:rPr>
          <w:spacing w:val="-6"/>
          <w:sz w:val="24"/>
        </w:rPr>
        <w:t> </w:t>
      </w:r>
      <w:r>
        <w:rPr>
          <w:sz w:val="24"/>
        </w:rPr>
        <w:t>action)</w:t>
      </w:r>
      <w:r>
        <w:rPr>
          <w:spacing w:val="-6"/>
          <w:sz w:val="24"/>
        </w:rPr>
        <w:t> </w:t>
      </w:r>
      <w:r>
        <w:rPr>
          <w:sz w:val="24"/>
        </w:rPr>
        <w:t>to</w:t>
      </w:r>
      <w:r>
        <w:rPr>
          <w:spacing w:val="-6"/>
          <w:sz w:val="24"/>
        </w:rPr>
        <w:t> </w:t>
      </w:r>
      <w:r>
        <w:rPr>
          <w:sz w:val="24"/>
        </w:rPr>
        <w:t>highest</w:t>
      </w:r>
      <w:r>
        <w:rPr>
          <w:spacing w:val="-6"/>
          <w:sz w:val="24"/>
        </w:rPr>
        <w:t> </w:t>
      </w:r>
      <w:r>
        <w:rPr>
          <w:sz w:val="24"/>
        </w:rPr>
        <w:t>(i.e. all</w:t>
      </w:r>
      <w:r>
        <w:rPr>
          <w:spacing w:val="-6"/>
          <w:sz w:val="24"/>
        </w:rPr>
        <w:t> </w:t>
      </w:r>
      <w:r>
        <w:rPr>
          <w:sz w:val="24"/>
        </w:rPr>
        <w:t>actions</w:t>
      </w:r>
      <w:r>
        <w:rPr>
          <w:spacing w:val="-6"/>
          <w:sz w:val="24"/>
        </w:rPr>
        <w:t> </w:t>
      </w:r>
      <w:r>
        <w:rPr>
          <w:sz w:val="24"/>
        </w:rPr>
        <w:t>within</w:t>
      </w:r>
      <w:r>
        <w:rPr>
          <w:spacing w:val="-6"/>
          <w:sz w:val="24"/>
        </w:rPr>
        <w:t> </w:t>
      </w:r>
      <w:r>
        <w:rPr>
          <w:sz w:val="24"/>
        </w:rPr>
        <w:t>a</w:t>
      </w:r>
      <w:r>
        <w:rPr>
          <w:spacing w:val="-6"/>
          <w:sz w:val="24"/>
        </w:rPr>
        <w:t> </w:t>
      </w:r>
      <w:r>
        <w:rPr>
          <w:sz w:val="24"/>
        </w:rPr>
        <w:t>specified</w:t>
      </w:r>
      <w:r>
        <w:rPr>
          <w:spacing w:val="-6"/>
          <w:sz w:val="24"/>
        </w:rPr>
        <w:t> </w:t>
      </w:r>
      <w:r>
        <w:rPr>
          <w:sz w:val="24"/>
        </w:rPr>
        <w:t>period</w:t>
      </w:r>
      <w:r>
        <w:rPr>
          <w:spacing w:val="-6"/>
          <w:sz w:val="24"/>
        </w:rPr>
        <w:t> </w:t>
      </w:r>
      <w:r>
        <w:rPr>
          <w:sz w:val="24"/>
        </w:rPr>
        <w:t>of</w:t>
      </w:r>
      <w:r>
        <w:rPr>
          <w:spacing w:val="-6"/>
          <w:sz w:val="24"/>
        </w:rPr>
        <w:t> </w:t>
      </w:r>
      <w:r>
        <w:rPr>
          <w:sz w:val="24"/>
        </w:rPr>
        <w:t>time).</w:t>
      </w:r>
      <w:r>
        <w:rPr>
          <w:color w:val="0000FF"/>
          <w:sz w:val="24"/>
        </w:rPr>
        <w:t>38</w:t>
      </w:r>
    </w:p>
    <w:p>
      <w:pPr>
        <w:pStyle w:val="ListParagraph"/>
        <w:numPr>
          <w:ilvl w:val="1"/>
          <w:numId w:val="10"/>
        </w:numPr>
        <w:tabs>
          <w:tab w:pos="1518" w:val="left" w:leader="none"/>
          <w:tab w:pos="1519" w:val="left" w:leader="none"/>
          <w:tab w:pos="8620" w:val="left" w:leader="dot"/>
        </w:tabs>
        <w:spacing w:line="312" w:lineRule="auto" w:before="0" w:after="0"/>
        <w:ind w:left="1518" w:right="644" w:hanging="550"/>
        <w:jc w:val="left"/>
        <w:rPr>
          <w:sz w:val="24"/>
        </w:rPr>
      </w:pPr>
      <w:r>
        <w:rPr>
          <w:sz w:val="24"/>
        </w:rPr>
        <w:t>Rugby league player positions and their general responsibilities. Brackets represent</w:t>
      </w:r>
      <w:r>
        <w:rPr>
          <w:spacing w:val="-6"/>
          <w:sz w:val="24"/>
        </w:rPr>
        <w:t> </w:t>
      </w:r>
      <w:r>
        <w:rPr>
          <w:sz w:val="24"/>
        </w:rPr>
        <w:t>number</w:t>
      </w:r>
      <w:r>
        <w:rPr>
          <w:spacing w:val="-6"/>
          <w:sz w:val="24"/>
        </w:rPr>
        <w:t> </w:t>
      </w:r>
      <w:r>
        <w:rPr>
          <w:sz w:val="24"/>
        </w:rPr>
        <w:t>of</w:t>
      </w:r>
      <w:r>
        <w:rPr>
          <w:spacing w:val="-6"/>
          <w:sz w:val="24"/>
        </w:rPr>
        <w:t> </w:t>
      </w:r>
      <w:r>
        <w:rPr>
          <w:sz w:val="24"/>
        </w:rPr>
        <w:t>players</w:t>
      </w:r>
      <w:r>
        <w:rPr>
          <w:spacing w:val="-6"/>
          <w:sz w:val="24"/>
        </w:rPr>
        <w:t> </w:t>
      </w:r>
      <w:r>
        <w:rPr>
          <w:sz w:val="24"/>
        </w:rPr>
        <w:t>in</w:t>
      </w:r>
      <w:r>
        <w:rPr>
          <w:spacing w:val="-6"/>
          <w:sz w:val="24"/>
        </w:rPr>
        <w:t> </w:t>
      </w:r>
      <w:r>
        <w:rPr>
          <w:sz w:val="24"/>
        </w:rPr>
        <w:t>that</w:t>
      </w:r>
      <w:r>
        <w:rPr>
          <w:spacing w:val="-6"/>
          <w:sz w:val="24"/>
        </w:rPr>
        <w:t> </w:t>
      </w:r>
      <w:r>
        <w:rPr>
          <w:sz w:val="24"/>
        </w:rPr>
        <w:t>position</w:t>
      </w:r>
      <w:r>
        <w:rPr>
          <w:spacing w:val="-5"/>
          <w:sz w:val="24"/>
        </w:rPr>
        <w:t> </w:t>
      </w:r>
      <w:r>
        <w:rPr>
          <w:sz w:val="24"/>
        </w:rPr>
        <w:t>on</w:t>
      </w:r>
      <w:r>
        <w:rPr>
          <w:spacing w:val="-6"/>
          <w:sz w:val="24"/>
        </w:rPr>
        <w:t> </w:t>
      </w:r>
      <w:r>
        <w:rPr>
          <w:sz w:val="24"/>
        </w:rPr>
        <w:t>the</w:t>
      </w:r>
      <w:r>
        <w:rPr>
          <w:spacing w:val="-6"/>
          <w:sz w:val="24"/>
        </w:rPr>
        <w:t> </w:t>
      </w:r>
      <w:r>
        <w:rPr>
          <w:spacing w:val="-2"/>
          <w:sz w:val="24"/>
        </w:rPr>
        <w:t>pitch.</w:t>
      </w:r>
      <w:r>
        <w:rPr>
          <w:sz w:val="24"/>
        </w:rPr>
        <w:tab/>
      </w:r>
      <w:r>
        <w:rPr>
          <w:color w:val="0000FF"/>
          <w:spacing w:val="-5"/>
          <w:sz w:val="24"/>
        </w:rPr>
        <w:t>4</w:t>
      </w:r>
      <w:r>
        <w:rPr>
          <w:color w:val="0000FF"/>
          <w:spacing w:val="-5"/>
          <w:sz w:val="24"/>
        </w:rPr>
        <w:t>0</w:t>
      </w:r>
    </w:p>
    <w:p>
      <w:pPr>
        <w:pStyle w:val="ListParagraph"/>
        <w:numPr>
          <w:ilvl w:val="1"/>
          <w:numId w:val="10"/>
        </w:numPr>
        <w:tabs>
          <w:tab w:pos="1518" w:val="left" w:leader="none"/>
          <w:tab w:pos="1519" w:val="left" w:leader="none"/>
          <w:tab w:pos="8620" w:val="left" w:leader="dot"/>
        </w:tabs>
        <w:spacing w:line="312" w:lineRule="auto" w:before="0" w:after="0"/>
        <w:ind w:left="1518" w:right="644" w:hanging="550"/>
        <w:jc w:val="left"/>
        <w:rPr>
          <w:sz w:val="24"/>
        </w:rPr>
      </w:pPr>
      <w:r>
        <w:rPr>
          <w:sz w:val="24"/>
        </w:rPr>
        <w:t>Summary of studies considering variations of action by action or play by play data analyses across all sports</w:t>
      </w:r>
      <w:r>
        <w:rPr>
          <w:sz w:val="24"/>
        </w:rPr>
        <w:tab/>
      </w:r>
      <w:r>
        <w:rPr>
          <w:color w:val="0000FF"/>
          <w:spacing w:val="-6"/>
          <w:sz w:val="24"/>
        </w:rPr>
        <w:t>4</w:t>
      </w:r>
      <w:r>
        <w:rPr>
          <w:color w:val="0000FF"/>
          <w:spacing w:val="-6"/>
          <w:sz w:val="24"/>
        </w:rPr>
        <w:t>7</w:t>
      </w:r>
    </w:p>
    <w:p>
      <w:pPr>
        <w:pStyle w:val="ListParagraph"/>
        <w:numPr>
          <w:ilvl w:val="1"/>
          <w:numId w:val="11"/>
        </w:numPr>
        <w:tabs>
          <w:tab w:pos="1518" w:val="left" w:leader="none"/>
          <w:tab w:pos="1519" w:val="left" w:leader="none"/>
          <w:tab w:pos="8620" w:val="left" w:leader="dot"/>
        </w:tabs>
        <w:spacing w:line="312" w:lineRule="auto" w:before="198" w:after="0"/>
        <w:ind w:left="1518" w:right="644" w:hanging="550"/>
        <w:jc w:val="left"/>
        <w:rPr>
          <w:sz w:val="24"/>
        </w:rPr>
      </w:pPr>
      <w:r>
        <w:rPr>
          <w:sz w:val="24"/>
        </w:rPr>
        <w:t>Details of the four nodes provided by Opta in each rugby league fixture</w:t>
      </w:r>
      <w:r>
        <w:rPr>
          <w:spacing w:val="80"/>
          <w:w w:val="150"/>
          <w:sz w:val="24"/>
        </w:rPr>
        <w:t> </w:t>
      </w:r>
      <w:r>
        <w:rPr>
          <w:sz w:val="24"/>
        </w:rPr>
        <w:t>xml file</w:t>
      </w:r>
      <w:r>
        <w:rPr>
          <w:sz w:val="24"/>
        </w:rPr>
        <w:tab/>
      </w:r>
      <w:r>
        <w:rPr>
          <w:color w:val="0000FF"/>
          <w:spacing w:val="-6"/>
          <w:sz w:val="24"/>
        </w:rPr>
        <w:t>5</w:t>
      </w:r>
      <w:r>
        <w:rPr>
          <w:color w:val="0000FF"/>
          <w:spacing w:val="-6"/>
          <w:sz w:val="24"/>
        </w:rPr>
        <w:t>6</w:t>
      </w:r>
    </w:p>
    <w:p>
      <w:pPr>
        <w:pStyle w:val="ListParagraph"/>
        <w:numPr>
          <w:ilvl w:val="1"/>
          <w:numId w:val="11"/>
        </w:numPr>
        <w:tabs>
          <w:tab w:pos="1518" w:val="left" w:leader="none"/>
          <w:tab w:pos="1519" w:val="left" w:leader="none"/>
          <w:tab w:pos="8620" w:val="left" w:leader="dot"/>
        </w:tabs>
        <w:spacing w:line="276" w:lineRule="exact" w:before="0" w:after="0"/>
        <w:ind w:left="1518" w:right="0" w:hanging="550"/>
        <w:jc w:val="left"/>
        <w:rPr>
          <w:sz w:val="24"/>
        </w:rPr>
      </w:pPr>
      <w:r>
        <w:rPr>
          <w:sz w:val="24"/>
        </w:rPr>
        <w:t>Important</w:t>
      </w:r>
      <w:r>
        <w:rPr>
          <w:spacing w:val="-9"/>
          <w:sz w:val="24"/>
        </w:rPr>
        <w:t> </w:t>
      </w:r>
      <w:r>
        <w:rPr>
          <w:sz w:val="24"/>
        </w:rPr>
        <w:t>match</w:t>
      </w:r>
      <w:r>
        <w:rPr>
          <w:spacing w:val="-9"/>
          <w:sz w:val="24"/>
        </w:rPr>
        <w:t> </w:t>
      </w:r>
      <w:r>
        <w:rPr>
          <w:sz w:val="24"/>
        </w:rPr>
        <w:t>data</w:t>
      </w:r>
      <w:r>
        <w:rPr>
          <w:spacing w:val="-9"/>
          <w:sz w:val="24"/>
        </w:rPr>
        <w:t> </w:t>
      </w:r>
      <w:r>
        <w:rPr>
          <w:sz w:val="24"/>
        </w:rPr>
        <w:t>variable</w:t>
      </w:r>
      <w:r>
        <w:rPr>
          <w:spacing w:val="-9"/>
          <w:sz w:val="24"/>
        </w:rPr>
        <w:t> </w:t>
      </w:r>
      <w:r>
        <w:rPr>
          <w:sz w:val="24"/>
        </w:rPr>
        <w:t>definitions</w:t>
      </w:r>
      <w:r>
        <w:rPr>
          <w:spacing w:val="-9"/>
          <w:sz w:val="24"/>
        </w:rPr>
        <w:t> </w:t>
      </w:r>
      <w:r>
        <w:rPr>
          <w:sz w:val="24"/>
        </w:rPr>
        <w:t>from</w:t>
      </w:r>
      <w:r>
        <w:rPr>
          <w:spacing w:val="-9"/>
          <w:sz w:val="24"/>
        </w:rPr>
        <w:t> </w:t>
      </w:r>
      <w:r>
        <w:rPr>
          <w:sz w:val="24"/>
        </w:rPr>
        <w:t>the</w:t>
      </w:r>
      <w:r>
        <w:rPr>
          <w:spacing w:val="-8"/>
          <w:sz w:val="24"/>
        </w:rPr>
        <w:t> </w:t>
      </w:r>
      <w:r>
        <w:rPr>
          <w:sz w:val="24"/>
        </w:rPr>
        <w:t>2019</w:t>
      </w:r>
      <w:r>
        <w:rPr>
          <w:spacing w:val="-9"/>
          <w:sz w:val="24"/>
        </w:rPr>
        <w:t> </w:t>
      </w:r>
      <w:r>
        <w:rPr>
          <w:sz w:val="24"/>
        </w:rPr>
        <w:t>Opta</w:t>
      </w:r>
      <w:r>
        <w:rPr>
          <w:spacing w:val="-9"/>
          <w:sz w:val="24"/>
        </w:rPr>
        <w:t> </w:t>
      </w:r>
      <w:r>
        <w:rPr>
          <w:spacing w:val="-2"/>
          <w:sz w:val="24"/>
        </w:rPr>
        <w:t>dataset.</w:t>
      </w:r>
      <w:r>
        <w:rPr>
          <w:sz w:val="24"/>
        </w:rPr>
        <w:tab/>
      </w:r>
      <w:r>
        <w:rPr>
          <w:color w:val="0000FF"/>
          <w:spacing w:val="-5"/>
          <w:sz w:val="24"/>
        </w:rPr>
        <w:t>57</w:t>
      </w:r>
    </w:p>
    <w:p>
      <w:pPr>
        <w:pStyle w:val="ListParagraph"/>
        <w:numPr>
          <w:ilvl w:val="1"/>
          <w:numId w:val="11"/>
        </w:numPr>
        <w:tabs>
          <w:tab w:pos="1518" w:val="left" w:leader="none"/>
          <w:tab w:pos="1519" w:val="left" w:leader="none"/>
          <w:tab w:pos="8620" w:val="left" w:leader="dot"/>
        </w:tabs>
        <w:spacing w:line="240" w:lineRule="auto" w:before="82" w:after="0"/>
        <w:ind w:left="1518" w:right="0" w:hanging="550"/>
        <w:jc w:val="left"/>
        <w:rPr>
          <w:sz w:val="24"/>
        </w:rPr>
      </w:pPr>
      <w:r>
        <w:rPr>
          <w:sz w:val="24"/>
        </w:rPr>
        <w:t>List</w:t>
      </w:r>
      <w:r>
        <w:rPr>
          <w:spacing w:val="-8"/>
          <w:sz w:val="24"/>
        </w:rPr>
        <w:t> </w:t>
      </w:r>
      <w:r>
        <w:rPr>
          <w:sz w:val="24"/>
        </w:rPr>
        <w:t>of</w:t>
      </w:r>
      <w:r>
        <w:rPr>
          <w:spacing w:val="-7"/>
          <w:sz w:val="24"/>
        </w:rPr>
        <w:t> </w:t>
      </w:r>
      <w:r>
        <w:rPr>
          <w:sz w:val="24"/>
        </w:rPr>
        <w:t>events,</w:t>
      </w:r>
      <w:r>
        <w:rPr>
          <w:spacing w:val="-7"/>
          <w:sz w:val="24"/>
        </w:rPr>
        <w:t> </w:t>
      </w:r>
      <w:r>
        <w:rPr>
          <w:sz w:val="24"/>
        </w:rPr>
        <w:t>which</w:t>
      </w:r>
      <w:r>
        <w:rPr>
          <w:spacing w:val="-7"/>
          <w:sz w:val="24"/>
        </w:rPr>
        <w:t> </w:t>
      </w:r>
      <w:r>
        <w:rPr>
          <w:sz w:val="24"/>
        </w:rPr>
        <w:t>could</w:t>
      </w:r>
      <w:r>
        <w:rPr>
          <w:spacing w:val="-7"/>
          <w:sz w:val="24"/>
        </w:rPr>
        <w:t> </w:t>
      </w:r>
      <w:r>
        <w:rPr>
          <w:sz w:val="24"/>
        </w:rPr>
        <w:t>end</w:t>
      </w:r>
      <w:r>
        <w:rPr>
          <w:spacing w:val="-7"/>
          <w:sz w:val="24"/>
        </w:rPr>
        <w:t> </w:t>
      </w:r>
      <w:r>
        <w:rPr>
          <w:sz w:val="24"/>
        </w:rPr>
        <w:t>an</w:t>
      </w:r>
      <w:r>
        <w:rPr>
          <w:spacing w:val="-7"/>
          <w:sz w:val="24"/>
        </w:rPr>
        <w:t> </w:t>
      </w:r>
      <w:r>
        <w:rPr>
          <w:sz w:val="24"/>
        </w:rPr>
        <w:t>attacking</w:t>
      </w:r>
      <w:r>
        <w:rPr>
          <w:spacing w:val="-7"/>
          <w:sz w:val="24"/>
        </w:rPr>
        <w:t> </w:t>
      </w:r>
      <w:r>
        <w:rPr>
          <w:spacing w:val="-2"/>
          <w:sz w:val="24"/>
        </w:rPr>
        <w:t>possession</w:t>
      </w:r>
      <w:r>
        <w:rPr>
          <w:sz w:val="24"/>
        </w:rPr>
        <w:tab/>
      </w:r>
      <w:r>
        <w:rPr>
          <w:color w:val="0000FF"/>
          <w:spacing w:val="-5"/>
          <w:sz w:val="24"/>
        </w:rPr>
        <w:t>61</w:t>
      </w:r>
    </w:p>
    <w:p>
      <w:pPr>
        <w:pStyle w:val="ListParagraph"/>
        <w:numPr>
          <w:ilvl w:val="1"/>
          <w:numId w:val="11"/>
        </w:numPr>
        <w:tabs>
          <w:tab w:pos="1518" w:val="left" w:leader="none"/>
          <w:tab w:pos="1519" w:val="left" w:leader="none"/>
          <w:tab w:pos="8620" w:val="left" w:leader="dot"/>
        </w:tabs>
        <w:spacing w:line="312" w:lineRule="auto" w:before="83" w:after="0"/>
        <w:ind w:left="1518" w:right="644" w:hanging="550"/>
        <w:jc w:val="left"/>
        <w:rPr>
          <w:sz w:val="24"/>
        </w:rPr>
      </w:pPr>
      <w:r>
        <w:rPr>
          <w:sz w:val="24"/>
        </w:rPr>
        <w:t>First two attacking possessions of the preprocessed dataset.</w:t>
      </w:r>
      <w:r>
        <w:rPr>
          <w:spacing w:val="40"/>
          <w:sz w:val="24"/>
        </w:rPr>
        <w:t> </w:t>
      </w:r>
      <w:r>
        <w:rPr>
          <w:sz w:val="24"/>
        </w:rPr>
        <w:t>FXID is the fixture ID; PosNum refers to the time point of the play within the posses- sion sequence.</w:t>
      </w:r>
      <w:r>
        <w:rPr>
          <w:sz w:val="24"/>
        </w:rPr>
        <w:tab/>
      </w:r>
      <w:r>
        <w:rPr>
          <w:color w:val="0000FF"/>
          <w:spacing w:val="-6"/>
          <w:sz w:val="24"/>
        </w:rPr>
        <w:t>6</w:t>
      </w:r>
      <w:r>
        <w:rPr>
          <w:color w:val="0000FF"/>
          <w:spacing w:val="-6"/>
          <w:sz w:val="24"/>
        </w:rPr>
        <w:t>2</w:t>
      </w:r>
    </w:p>
    <w:p>
      <w:pPr>
        <w:pStyle w:val="ListParagraph"/>
        <w:numPr>
          <w:ilvl w:val="1"/>
          <w:numId w:val="11"/>
        </w:numPr>
        <w:tabs>
          <w:tab w:pos="1518" w:val="left" w:leader="none"/>
          <w:tab w:pos="1519" w:val="left" w:leader="none"/>
          <w:tab w:pos="8620" w:val="left" w:leader="dot"/>
        </w:tabs>
        <w:spacing w:line="312" w:lineRule="auto" w:before="0" w:after="0"/>
        <w:ind w:left="1518" w:right="644" w:hanging="550"/>
        <w:jc w:val="left"/>
        <w:rPr>
          <w:sz w:val="24"/>
        </w:rPr>
      </w:pPr>
      <w:r>
        <w:rPr>
          <w:sz w:val="24"/>
        </w:rPr>
        <w:t>Linear mixed model derived average column match EPV for EPV-308 columns. Bracketed values are metres included for column and 95% con- fidence</w:t>
      </w:r>
      <w:r>
        <w:rPr>
          <w:spacing w:val="-12"/>
          <w:sz w:val="24"/>
        </w:rPr>
        <w:t> </w:t>
      </w:r>
      <w:r>
        <w:rPr>
          <w:sz w:val="24"/>
        </w:rPr>
        <w:t>intervals</w:t>
      </w:r>
      <w:r>
        <w:rPr>
          <w:spacing w:val="-11"/>
          <w:sz w:val="24"/>
        </w:rPr>
        <w:t> </w:t>
      </w:r>
      <w:r>
        <w:rPr>
          <w:sz w:val="24"/>
        </w:rPr>
        <w:t>for</w:t>
      </w:r>
      <w:r>
        <w:rPr>
          <w:spacing w:val="-11"/>
          <w:sz w:val="24"/>
        </w:rPr>
        <w:t> </w:t>
      </w:r>
      <w:r>
        <w:rPr>
          <w:sz w:val="24"/>
        </w:rPr>
        <w:t>column</w:t>
      </w:r>
      <w:r>
        <w:rPr>
          <w:spacing w:val="-12"/>
          <w:sz w:val="24"/>
        </w:rPr>
        <w:t> </w:t>
      </w:r>
      <w:r>
        <w:rPr>
          <w:sz w:val="24"/>
        </w:rPr>
        <w:t>match</w:t>
      </w:r>
      <w:r>
        <w:rPr>
          <w:spacing w:val="-11"/>
          <w:sz w:val="24"/>
        </w:rPr>
        <w:t> </w:t>
      </w:r>
      <w:r>
        <w:rPr>
          <w:spacing w:val="-5"/>
          <w:sz w:val="24"/>
        </w:rPr>
        <w:t>EPV</w:t>
      </w:r>
      <w:r>
        <w:rPr>
          <w:sz w:val="24"/>
        </w:rPr>
        <w:tab/>
      </w:r>
      <w:r>
        <w:rPr>
          <w:color w:val="0000FF"/>
          <w:spacing w:val="-5"/>
          <w:sz w:val="24"/>
        </w:rPr>
        <w:t>7</w:t>
      </w:r>
      <w:r>
        <w:rPr>
          <w:color w:val="0000FF"/>
          <w:spacing w:val="-5"/>
          <w:sz w:val="24"/>
        </w:rPr>
        <w:t>3</w:t>
      </w:r>
    </w:p>
    <w:p>
      <w:pPr>
        <w:pStyle w:val="ListParagraph"/>
        <w:numPr>
          <w:ilvl w:val="1"/>
          <w:numId w:val="11"/>
        </w:numPr>
        <w:tabs>
          <w:tab w:pos="1518" w:val="left" w:leader="none"/>
          <w:tab w:pos="1519" w:val="left" w:leader="none"/>
          <w:tab w:pos="8620" w:val="left" w:leader="dot"/>
        </w:tabs>
        <w:spacing w:line="312" w:lineRule="auto" w:before="0" w:after="0"/>
        <w:ind w:left="1518" w:right="644" w:hanging="550"/>
        <w:jc w:val="left"/>
        <w:rPr>
          <w:sz w:val="24"/>
        </w:rPr>
      </w:pPr>
      <w:r>
        <w:rPr>
          <w:sz w:val="24"/>
        </w:rPr>
        <w:t>Linear mixed model derived average row match EPV for EPV-308 rows. Bracketed values are metres included for row and 95% confidence inter- vals for row match EPV</w:t>
      </w:r>
      <w:r>
        <w:rPr>
          <w:sz w:val="24"/>
        </w:rPr>
        <w:tab/>
      </w:r>
      <w:r>
        <w:rPr>
          <w:color w:val="0000FF"/>
          <w:spacing w:val="-6"/>
          <w:sz w:val="24"/>
        </w:rPr>
        <w:t>7</w:t>
      </w:r>
      <w:r>
        <w:rPr>
          <w:color w:val="0000FF"/>
          <w:spacing w:val="-6"/>
          <w:sz w:val="24"/>
        </w:rPr>
        <w:t>3</w:t>
      </w:r>
    </w:p>
    <w:p>
      <w:pPr>
        <w:spacing w:after="0" w:line="312" w:lineRule="auto"/>
        <w:jc w:val="left"/>
        <w:rPr>
          <w:sz w:val="24"/>
        </w:rPr>
        <w:sectPr>
          <w:headerReference w:type="default" r:id="rId12"/>
          <w:footerReference w:type="default" r:id="rId13"/>
          <w:pgSz w:w="11910" w:h="16840"/>
          <w:pgMar w:header="0" w:footer="1428" w:top="1920" w:bottom="1620" w:left="1680" w:right="720"/>
        </w:sectPr>
      </w:pPr>
    </w:p>
    <w:p>
      <w:pPr>
        <w:pStyle w:val="BodyText"/>
        <w:rPr>
          <w:sz w:val="20"/>
        </w:rPr>
      </w:pPr>
    </w:p>
    <w:p>
      <w:pPr>
        <w:pStyle w:val="BodyText"/>
        <w:spacing w:before="3"/>
        <w:rPr>
          <w:sz w:val="21"/>
        </w:rPr>
      </w:pPr>
    </w:p>
    <w:p>
      <w:pPr>
        <w:pStyle w:val="ListParagraph"/>
        <w:numPr>
          <w:ilvl w:val="1"/>
          <w:numId w:val="11"/>
        </w:numPr>
        <w:tabs>
          <w:tab w:pos="1518" w:val="left" w:leader="none"/>
          <w:tab w:pos="1519" w:val="left" w:leader="none"/>
          <w:tab w:pos="8620" w:val="left" w:leader="dot"/>
        </w:tabs>
        <w:spacing w:line="312" w:lineRule="auto" w:before="97" w:after="0"/>
        <w:ind w:left="1518" w:right="644" w:hanging="550"/>
        <w:jc w:val="left"/>
        <w:rPr>
          <w:sz w:val="24"/>
        </w:rPr>
      </w:pPr>
      <w:r>
        <w:rPr>
          <w:sz w:val="24"/>
        </w:rPr>
        <w:t>EPV-308 symmetrically aggregated column match EPVs.</w:t>
      </w:r>
      <w:r>
        <w:rPr>
          <w:spacing w:val="40"/>
          <w:sz w:val="24"/>
        </w:rPr>
        <w:t> </w:t>
      </w:r>
      <w:r>
        <w:rPr>
          <w:sz w:val="24"/>
        </w:rPr>
        <w:t>Bracketed val- ues are metres included for column and 95% confidence intervals for col- umn EPV from linear mixed model.</w:t>
      </w:r>
      <w:r>
        <w:rPr>
          <w:sz w:val="24"/>
        </w:rPr>
        <w:tab/>
      </w:r>
      <w:r>
        <w:rPr>
          <w:color w:val="0000FF"/>
          <w:spacing w:val="-6"/>
          <w:sz w:val="24"/>
        </w:rPr>
        <w:t>7</w:t>
      </w:r>
      <w:r>
        <w:rPr>
          <w:color w:val="0000FF"/>
          <w:spacing w:val="-6"/>
          <w:sz w:val="24"/>
        </w:rPr>
        <w:t>4</w:t>
      </w:r>
    </w:p>
    <w:p>
      <w:pPr>
        <w:pStyle w:val="ListParagraph"/>
        <w:numPr>
          <w:ilvl w:val="1"/>
          <w:numId w:val="11"/>
        </w:numPr>
        <w:tabs>
          <w:tab w:pos="1518" w:val="left" w:leader="none"/>
          <w:tab w:pos="1519" w:val="left" w:leader="none"/>
          <w:tab w:pos="8620" w:val="left" w:leader="dot"/>
        </w:tabs>
        <w:spacing w:line="312" w:lineRule="auto" w:before="0" w:after="0"/>
        <w:ind w:left="1518" w:right="644" w:hanging="550"/>
        <w:jc w:val="left"/>
        <w:rPr>
          <w:sz w:val="24"/>
        </w:rPr>
      </w:pPr>
      <w:r>
        <w:rPr>
          <w:sz w:val="24"/>
        </w:rPr>
        <w:t>EPV-308 sequentially aggregated row match EPVs. Bracketed values are metres included for row and 95% confidence intervals for row EPV from linear mixed model.</w:t>
      </w:r>
      <w:r>
        <w:rPr>
          <w:sz w:val="24"/>
        </w:rPr>
        <w:tab/>
      </w:r>
      <w:r>
        <w:rPr>
          <w:color w:val="0000FF"/>
          <w:spacing w:val="-6"/>
          <w:sz w:val="24"/>
        </w:rPr>
        <w:t>7</w:t>
      </w:r>
      <w:r>
        <w:rPr>
          <w:color w:val="0000FF"/>
          <w:spacing w:val="-6"/>
          <w:sz w:val="24"/>
        </w:rPr>
        <w:t>4</w:t>
      </w:r>
    </w:p>
    <w:p>
      <w:pPr>
        <w:pStyle w:val="ListParagraph"/>
        <w:numPr>
          <w:ilvl w:val="1"/>
          <w:numId w:val="11"/>
        </w:numPr>
        <w:tabs>
          <w:tab w:pos="1519" w:val="left" w:leader="none"/>
        </w:tabs>
        <w:spacing w:line="312" w:lineRule="auto" w:before="0" w:after="0"/>
        <w:ind w:left="1518" w:right="998" w:hanging="550"/>
        <w:jc w:val="both"/>
        <w:rPr>
          <w:sz w:val="24"/>
        </w:rPr>
      </w:pPr>
      <w:r>
        <w:rPr>
          <w:sz w:val="24"/>
        </w:rPr>
        <w:t>Statistical</w:t>
      </w:r>
      <w:r>
        <w:rPr>
          <w:spacing w:val="-1"/>
          <w:sz w:val="24"/>
        </w:rPr>
        <w:t> </w:t>
      </w:r>
      <w:r>
        <w:rPr>
          <w:sz w:val="24"/>
        </w:rPr>
        <w:t>comparison</w:t>
      </w:r>
      <w:r>
        <w:rPr>
          <w:spacing w:val="-1"/>
          <w:sz w:val="24"/>
        </w:rPr>
        <w:t> </w:t>
      </w:r>
      <w:r>
        <w:rPr>
          <w:sz w:val="24"/>
        </w:rPr>
        <w:t>between</w:t>
      </w:r>
      <w:r>
        <w:rPr>
          <w:spacing w:val="-1"/>
          <w:sz w:val="24"/>
        </w:rPr>
        <w:t> </w:t>
      </w:r>
      <w:r>
        <w:rPr>
          <w:sz w:val="24"/>
        </w:rPr>
        <w:t>columns</w:t>
      </w:r>
      <w:r>
        <w:rPr>
          <w:spacing w:val="-1"/>
          <w:sz w:val="24"/>
        </w:rPr>
        <w:t> </w:t>
      </w:r>
      <w:r>
        <w:rPr>
          <w:sz w:val="24"/>
        </w:rPr>
        <w:t>at</w:t>
      </w:r>
      <w:r>
        <w:rPr>
          <w:spacing w:val="-1"/>
          <w:sz w:val="24"/>
        </w:rPr>
        <w:t> </w:t>
      </w:r>
      <w:r>
        <w:rPr>
          <w:sz w:val="24"/>
        </w:rPr>
        <w:t>an</w:t>
      </w:r>
      <w:r>
        <w:rPr>
          <w:spacing w:val="-1"/>
          <w:sz w:val="24"/>
        </w:rPr>
        <w:t> </w:t>
      </w:r>
      <w:r>
        <w:rPr>
          <w:sz w:val="24"/>
        </w:rPr>
        <w:t>SESOI</w:t>
      </w:r>
      <w:r>
        <w:rPr>
          <w:spacing w:val="-1"/>
          <w:sz w:val="24"/>
        </w:rPr>
        <w:t> </w:t>
      </w:r>
      <w:r>
        <w:rPr>
          <w:sz w:val="24"/>
        </w:rPr>
        <w:t>of</w:t>
      </w:r>
      <w:r>
        <w:rPr>
          <w:spacing w:val="-1"/>
          <w:sz w:val="24"/>
        </w:rPr>
        <w:t> </w:t>
      </w:r>
      <w:r>
        <w:rPr>
          <w:sz w:val="24"/>
        </w:rPr>
        <w:t>0.5</w:t>
      </w:r>
      <w:r>
        <w:rPr>
          <w:spacing w:val="-1"/>
          <w:sz w:val="24"/>
        </w:rPr>
        <w:t> </w:t>
      </w:r>
      <w:r>
        <w:rPr>
          <w:sz w:val="24"/>
        </w:rPr>
        <w:t>for</w:t>
      </w:r>
      <w:r>
        <w:rPr>
          <w:spacing w:val="-1"/>
          <w:sz w:val="24"/>
        </w:rPr>
        <w:t> </w:t>
      </w:r>
      <w:r>
        <w:rPr>
          <w:sz w:val="24"/>
        </w:rPr>
        <w:t>EPV-37.</w:t>
      </w:r>
      <w:r>
        <w:rPr>
          <w:sz w:val="24"/>
        </w:rPr>
        <w:t> </w:t>
      </w:r>
      <w:r>
        <w:rPr>
          <w:spacing w:val="-2"/>
          <w:sz w:val="24"/>
        </w:rPr>
        <w:t>Where</w:t>
      </w:r>
      <w:r>
        <w:rPr>
          <w:spacing w:val="-10"/>
          <w:sz w:val="24"/>
        </w:rPr>
        <w:t> </w:t>
      </w:r>
      <w:r>
        <w:rPr>
          <w:spacing w:val="-2"/>
          <w:sz w:val="24"/>
        </w:rPr>
        <w:t>numbers</w:t>
      </w:r>
      <w:r>
        <w:rPr>
          <w:spacing w:val="-10"/>
          <w:sz w:val="24"/>
        </w:rPr>
        <w:t> </w:t>
      </w:r>
      <w:r>
        <w:rPr>
          <w:spacing w:val="-2"/>
          <w:sz w:val="24"/>
        </w:rPr>
        <w:t>are</w:t>
      </w:r>
      <w:r>
        <w:rPr>
          <w:spacing w:val="-10"/>
          <w:sz w:val="24"/>
        </w:rPr>
        <w:t> </w:t>
      </w:r>
      <w:r>
        <w:rPr>
          <w:spacing w:val="-2"/>
          <w:sz w:val="24"/>
        </w:rPr>
        <w:t>separated</w:t>
      </w:r>
      <w:r>
        <w:rPr>
          <w:spacing w:val="-10"/>
          <w:sz w:val="24"/>
        </w:rPr>
        <w:t> </w:t>
      </w:r>
      <w:r>
        <w:rPr>
          <w:spacing w:val="-2"/>
          <w:sz w:val="24"/>
        </w:rPr>
        <w:t>by</w:t>
      </w:r>
      <w:r>
        <w:rPr>
          <w:spacing w:val="-10"/>
          <w:sz w:val="24"/>
        </w:rPr>
        <w:t> </w:t>
      </w:r>
      <w:r>
        <w:rPr>
          <w:spacing w:val="-2"/>
          <w:sz w:val="24"/>
        </w:rPr>
        <w:t>commas,</w:t>
      </w:r>
      <w:r>
        <w:rPr>
          <w:spacing w:val="-7"/>
          <w:sz w:val="24"/>
        </w:rPr>
        <w:t> </w:t>
      </w:r>
      <w:r>
        <w:rPr>
          <w:spacing w:val="-2"/>
          <w:sz w:val="24"/>
        </w:rPr>
        <w:t>they</w:t>
      </w:r>
      <w:r>
        <w:rPr>
          <w:spacing w:val="-10"/>
          <w:sz w:val="24"/>
        </w:rPr>
        <w:t> </w:t>
      </w:r>
      <w:r>
        <w:rPr>
          <w:spacing w:val="-2"/>
          <w:sz w:val="24"/>
        </w:rPr>
        <w:t>have</w:t>
      </w:r>
      <w:r>
        <w:rPr>
          <w:spacing w:val="-10"/>
          <w:sz w:val="24"/>
        </w:rPr>
        <w:t> </w:t>
      </w:r>
      <w:r>
        <w:rPr>
          <w:spacing w:val="-2"/>
          <w:sz w:val="24"/>
        </w:rPr>
        <w:t>been</w:t>
      </w:r>
      <w:r>
        <w:rPr>
          <w:spacing w:val="-10"/>
          <w:sz w:val="24"/>
        </w:rPr>
        <w:t> </w:t>
      </w:r>
      <w:r>
        <w:rPr>
          <w:spacing w:val="-2"/>
          <w:sz w:val="24"/>
        </w:rPr>
        <w:t>averaged</w:t>
      </w:r>
      <w:r>
        <w:rPr>
          <w:spacing w:val="-10"/>
          <w:sz w:val="24"/>
        </w:rPr>
        <w:t> </w:t>
      </w:r>
      <w:r>
        <w:rPr>
          <w:spacing w:val="-2"/>
          <w:sz w:val="24"/>
        </w:rPr>
        <w:t>withi</w:t>
      </w:r>
      <w:r>
        <w:rPr>
          <w:spacing w:val="-2"/>
          <w:sz w:val="24"/>
        </w:rPr>
        <w:t>n</w:t>
      </w:r>
      <w:r>
        <w:rPr>
          <w:spacing w:val="-2"/>
          <w:sz w:val="24"/>
        </w:rPr>
        <w:t> </w:t>
      </w:r>
      <w:r>
        <w:rPr>
          <w:sz w:val="24"/>
        </w:rPr>
        <w:t>the linear mixed model.</w:t>
      </w:r>
      <w:r>
        <w:rPr>
          <w:spacing w:val="40"/>
          <w:sz w:val="24"/>
        </w:rPr>
        <w:t> </w:t>
      </w:r>
      <w:r>
        <w:rPr>
          <w:sz w:val="24"/>
        </w:rPr>
        <w:t>Difference and significance provide the </w:t>
      </w:r>
      <w:r>
        <w:rPr>
          <w:sz w:val="24"/>
        </w:rPr>
        <w:t>mean</w:t>
      </w:r>
      <w:r>
        <w:rPr>
          <w:sz w:val="24"/>
        </w:rPr>
        <w:t> difference</w:t>
      </w:r>
      <w:r>
        <w:rPr>
          <w:spacing w:val="-1"/>
          <w:sz w:val="24"/>
        </w:rPr>
        <w:t> </w:t>
      </w:r>
      <w:r>
        <w:rPr>
          <w:sz w:val="24"/>
        </w:rPr>
        <w:t>(95%</w:t>
      </w:r>
      <w:r>
        <w:rPr>
          <w:spacing w:val="-1"/>
          <w:sz w:val="24"/>
        </w:rPr>
        <w:t> </w:t>
      </w:r>
      <w:r>
        <w:rPr>
          <w:sz w:val="24"/>
        </w:rPr>
        <w:t>confidence</w:t>
      </w:r>
      <w:r>
        <w:rPr>
          <w:spacing w:val="-1"/>
          <w:sz w:val="24"/>
        </w:rPr>
        <w:t> </w:t>
      </w:r>
      <w:r>
        <w:rPr>
          <w:sz w:val="24"/>
        </w:rPr>
        <w:t>intervals)</w:t>
      </w:r>
      <w:r>
        <w:rPr>
          <w:spacing w:val="-1"/>
          <w:sz w:val="24"/>
        </w:rPr>
        <w:t> </w:t>
      </w:r>
      <w:r>
        <w:rPr>
          <w:sz w:val="24"/>
        </w:rPr>
        <w:t>between</w:t>
      </w:r>
      <w:r>
        <w:rPr>
          <w:spacing w:val="-1"/>
          <w:sz w:val="24"/>
        </w:rPr>
        <w:t> </w:t>
      </w:r>
      <w:r>
        <w:rPr>
          <w:sz w:val="24"/>
        </w:rPr>
        <w:t>the</w:t>
      </w:r>
      <w:r>
        <w:rPr>
          <w:spacing w:val="-1"/>
          <w:sz w:val="24"/>
        </w:rPr>
        <w:t> </w:t>
      </w:r>
      <w:r>
        <w:rPr>
          <w:sz w:val="24"/>
        </w:rPr>
        <w:t>columns</w:t>
      </w:r>
      <w:r>
        <w:rPr>
          <w:spacing w:val="-1"/>
          <w:sz w:val="24"/>
        </w:rPr>
        <w:t> </w:t>
      </w:r>
      <w:r>
        <w:rPr>
          <w:sz w:val="24"/>
        </w:rPr>
        <w:t>and</w:t>
      </w:r>
      <w:r>
        <w:rPr>
          <w:spacing w:val="-1"/>
          <w:sz w:val="24"/>
        </w:rPr>
        <w:t> </w:t>
      </w:r>
      <w:r>
        <w:rPr>
          <w:sz w:val="24"/>
        </w:rPr>
        <w:t>whether</w:t>
      </w:r>
      <w:r>
        <w:rPr>
          <w:sz w:val="24"/>
        </w:rPr>
        <w:t> this was significant according to an SESOI of 0.5.</w:t>
      </w:r>
      <w:r>
        <w:rPr>
          <w:spacing w:val="40"/>
          <w:sz w:val="24"/>
        </w:rPr>
        <w:t> </w:t>
      </w:r>
      <w:r>
        <w:rPr>
          <w:sz w:val="24"/>
        </w:rPr>
        <w:t>Combine?</w:t>
      </w:r>
      <w:r>
        <w:rPr>
          <w:spacing w:val="40"/>
          <w:sz w:val="24"/>
        </w:rPr>
        <w:t> </w:t>
      </w:r>
      <w:r>
        <w:rPr>
          <w:sz w:val="24"/>
        </w:rPr>
        <w:t>Indicates whether the column values were averaged before comparing to the </w:t>
      </w:r>
      <w:r>
        <w:rPr>
          <w:sz w:val="24"/>
        </w:rPr>
        <w:t>next</w:t>
      </w:r>
      <w:r>
        <w:rPr>
          <w:sz w:val="24"/>
        </w:rPr>
        <w:t> column.</w:t>
      </w:r>
      <w:r>
        <w:rPr>
          <w:spacing w:val="-14"/>
          <w:sz w:val="24"/>
        </w:rPr>
        <w:t> </w:t>
      </w:r>
      <w:r>
        <w:rPr>
          <w:sz w:val="24"/>
        </w:rPr>
        <w:t>Comparisons</w:t>
      </w:r>
      <w:r>
        <w:rPr>
          <w:spacing w:val="-15"/>
          <w:sz w:val="24"/>
        </w:rPr>
        <w:t> </w:t>
      </w:r>
      <w:r>
        <w:rPr>
          <w:sz w:val="24"/>
        </w:rPr>
        <w:t>began</w:t>
      </w:r>
      <w:r>
        <w:rPr>
          <w:spacing w:val="-15"/>
          <w:sz w:val="24"/>
        </w:rPr>
        <w:t> </w:t>
      </w:r>
      <w:r>
        <w:rPr>
          <w:sz w:val="24"/>
        </w:rPr>
        <w:t>at</w:t>
      </w:r>
      <w:r>
        <w:rPr>
          <w:spacing w:val="-15"/>
          <w:sz w:val="24"/>
        </w:rPr>
        <w:t> </w:t>
      </w:r>
      <w:r>
        <w:rPr>
          <w:sz w:val="24"/>
        </w:rPr>
        <w:t>the</w:t>
      </w:r>
      <w:r>
        <w:rPr>
          <w:spacing w:val="-15"/>
          <w:sz w:val="24"/>
        </w:rPr>
        <w:t> </w:t>
      </w:r>
      <w:r>
        <w:rPr>
          <w:sz w:val="24"/>
        </w:rPr>
        <w:t>outermost</w:t>
      </w:r>
      <w:r>
        <w:rPr>
          <w:spacing w:val="-15"/>
          <w:sz w:val="24"/>
        </w:rPr>
        <w:t> </w:t>
      </w:r>
      <w:r>
        <w:rPr>
          <w:sz w:val="24"/>
        </w:rPr>
        <w:t>columns</w:t>
      </w:r>
      <w:r>
        <w:rPr>
          <w:spacing w:val="-15"/>
          <w:sz w:val="24"/>
        </w:rPr>
        <w:t> </w:t>
      </w:r>
      <w:r>
        <w:rPr>
          <w:sz w:val="24"/>
        </w:rPr>
        <w:t>before</w:t>
      </w:r>
      <w:r>
        <w:rPr>
          <w:spacing w:val="-15"/>
          <w:sz w:val="24"/>
        </w:rPr>
        <w:t> </w:t>
      </w:r>
      <w:r>
        <w:rPr>
          <w:sz w:val="24"/>
        </w:rPr>
        <w:t>progressing</w:t>
      </w:r>
    </w:p>
    <w:p>
      <w:pPr>
        <w:pStyle w:val="BodyText"/>
        <w:tabs>
          <w:tab w:pos="8620" w:val="left" w:leader="dot"/>
        </w:tabs>
        <w:spacing w:line="274" w:lineRule="exact"/>
        <w:ind w:left="1518"/>
        <w:jc w:val="both"/>
      </w:pPr>
      <w:r>
        <w:rPr/>
        <w:t>more</w:t>
      </w:r>
      <w:r>
        <w:rPr>
          <w:spacing w:val="-6"/>
        </w:rPr>
        <w:t> </w:t>
      </w:r>
      <w:r>
        <w:rPr>
          <w:spacing w:val="-2"/>
        </w:rPr>
        <w:t>centrally</w:t>
      </w:r>
      <w:r>
        <w:rPr/>
        <w:tab/>
      </w:r>
      <w:r>
        <w:rPr>
          <w:color w:val="0000FF"/>
          <w:spacing w:val="-5"/>
        </w:rPr>
        <w:t>75</w:t>
      </w:r>
    </w:p>
    <w:p>
      <w:pPr>
        <w:pStyle w:val="ListParagraph"/>
        <w:numPr>
          <w:ilvl w:val="1"/>
          <w:numId w:val="11"/>
        </w:numPr>
        <w:tabs>
          <w:tab w:pos="1519" w:val="left" w:leader="none"/>
        </w:tabs>
        <w:spacing w:line="312" w:lineRule="auto" w:before="81" w:after="0"/>
        <w:ind w:left="1518" w:right="923" w:hanging="550"/>
        <w:jc w:val="left"/>
        <w:rPr>
          <w:sz w:val="24"/>
        </w:rPr>
      </w:pPr>
      <w:r>
        <w:rPr>
          <w:sz w:val="24"/>
        </w:rPr>
        <w:t>Statistical</w:t>
      </w:r>
      <w:r>
        <w:rPr>
          <w:spacing w:val="40"/>
          <w:sz w:val="24"/>
        </w:rPr>
        <w:t> </w:t>
      </w:r>
      <w:r>
        <w:rPr>
          <w:sz w:val="24"/>
        </w:rPr>
        <w:t>comparison</w:t>
      </w:r>
      <w:r>
        <w:rPr>
          <w:spacing w:val="40"/>
          <w:sz w:val="24"/>
        </w:rPr>
        <w:t> </w:t>
      </w:r>
      <w:r>
        <w:rPr>
          <w:sz w:val="24"/>
        </w:rPr>
        <w:t>between</w:t>
      </w:r>
      <w:r>
        <w:rPr>
          <w:spacing w:val="40"/>
          <w:sz w:val="24"/>
        </w:rPr>
        <w:t> </w:t>
      </w:r>
      <w:r>
        <w:rPr>
          <w:sz w:val="24"/>
        </w:rPr>
        <w:t>rows</w:t>
      </w:r>
      <w:r>
        <w:rPr>
          <w:spacing w:val="40"/>
          <w:sz w:val="24"/>
        </w:rPr>
        <w:t> </w:t>
      </w:r>
      <w:r>
        <w:rPr>
          <w:sz w:val="24"/>
        </w:rPr>
        <w:t>at</w:t>
      </w:r>
      <w:r>
        <w:rPr>
          <w:spacing w:val="40"/>
          <w:sz w:val="24"/>
        </w:rPr>
        <w:t> </w:t>
      </w:r>
      <w:r>
        <w:rPr>
          <w:sz w:val="24"/>
        </w:rPr>
        <w:t>an</w:t>
      </w:r>
      <w:r>
        <w:rPr>
          <w:spacing w:val="40"/>
          <w:sz w:val="24"/>
        </w:rPr>
        <w:t> </w:t>
      </w:r>
      <w:r>
        <w:rPr>
          <w:sz w:val="24"/>
        </w:rPr>
        <w:t>SESOI</w:t>
      </w:r>
      <w:r>
        <w:rPr>
          <w:spacing w:val="40"/>
          <w:sz w:val="24"/>
        </w:rPr>
        <w:t> </w:t>
      </w:r>
      <w:r>
        <w:rPr>
          <w:sz w:val="24"/>
        </w:rPr>
        <w:t>of</w:t>
      </w:r>
      <w:r>
        <w:rPr>
          <w:spacing w:val="40"/>
          <w:sz w:val="24"/>
        </w:rPr>
        <w:t> </w:t>
      </w:r>
      <w:r>
        <w:rPr>
          <w:sz w:val="24"/>
        </w:rPr>
        <w:t>0.5</w:t>
      </w:r>
      <w:r>
        <w:rPr>
          <w:spacing w:val="40"/>
          <w:sz w:val="24"/>
        </w:rPr>
        <w:t> </w:t>
      </w:r>
      <w:r>
        <w:rPr>
          <w:sz w:val="24"/>
        </w:rPr>
        <w:t>for</w:t>
      </w:r>
      <w:r>
        <w:rPr>
          <w:spacing w:val="40"/>
          <w:sz w:val="24"/>
        </w:rPr>
        <w:t> </w:t>
      </w:r>
      <w:r>
        <w:rPr>
          <w:sz w:val="24"/>
        </w:rPr>
        <w:t>EPV-37. Where</w:t>
      </w:r>
      <w:r>
        <w:rPr>
          <w:spacing w:val="-14"/>
          <w:sz w:val="24"/>
        </w:rPr>
        <w:t> </w:t>
      </w:r>
      <w:r>
        <w:rPr>
          <w:sz w:val="24"/>
        </w:rPr>
        <w:t>numbers</w:t>
      </w:r>
      <w:r>
        <w:rPr>
          <w:spacing w:val="-14"/>
          <w:sz w:val="24"/>
        </w:rPr>
        <w:t> </w:t>
      </w:r>
      <w:r>
        <w:rPr>
          <w:sz w:val="24"/>
        </w:rPr>
        <w:t>are</w:t>
      </w:r>
      <w:r>
        <w:rPr>
          <w:spacing w:val="-14"/>
          <w:sz w:val="24"/>
        </w:rPr>
        <w:t> </w:t>
      </w:r>
      <w:r>
        <w:rPr>
          <w:sz w:val="24"/>
        </w:rPr>
        <w:t>separated</w:t>
      </w:r>
      <w:r>
        <w:rPr>
          <w:spacing w:val="-14"/>
          <w:sz w:val="24"/>
        </w:rPr>
        <w:t> </w:t>
      </w:r>
      <w:r>
        <w:rPr>
          <w:sz w:val="24"/>
        </w:rPr>
        <w:t>by</w:t>
      </w:r>
      <w:r>
        <w:rPr>
          <w:spacing w:val="-14"/>
          <w:sz w:val="24"/>
        </w:rPr>
        <w:t> </w:t>
      </w:r>
      <w:r>
        <w:rPr>
          <w:sz w:val="24"/>
        </w:rPr>
        <w:t>commas,</w:t>
      </w:r>
      <w:r>
        <w:rPr>
          <w:spacing w:val="-11"/>
          <w:sz w:val="24"/>
        </w:rPr>
        <w:t> </w:t>
      </w:r>
      <w:r>
        <w:rPr>
          <w:sz w:val="24"/>
        </w:rPr>
        <w:t>they</w:t>
      </w:r>
      <w:r>
        <w:rPr>
          <w:spacing w:val="-14"/>
          <w:sz w:val="24"/>
        </w:rPr>
        <w:t> </w:t>
      </w:r>
      <w:r>
        <w:rPr>
          <w:sz w:val="24"/>
        </w:rPr>
        <w:t>have</w:t>
      </w:r>
      <w:r>
        <w:rPr>
          <w:spacing w:val="-14"/>
          <w:sz w:val="24"/>
        </w:rPr>
        <w:t> </w:t>
      </w:r>
      <w:r>
        <w:rPr>
          <w:sz w:val="24"/>
        </w:rPr>
        <w:t>been</w:t>
      </w:r>
      <w:r>
        <w:rPr>
          <w:spacing w:val="-14"/>
          <w:sz w:val="24"/>
        </w:rPr>
        <w:t> </w:t>
      </w:r>
      <w:r>
        <w:rPr>
          <w:sz w:val="24"/>
        </w:rPr>
        <w:t>averaged</w:t>
      </w:r>
      <w:r>
        <w:rPr>
          <w:spacing w:val="-14"/>
          <w:sz w:val="24"/>
        </w:rPr>
        <w:t> </w:t>
      </w:r>
      <w:r>
        <w:rPr>
          <w:sz w:val="24"/>
        </w:rPr>
        <w:t>within the linear mixed model.</w:t>
      </w:r>
      <w:r>
        <w:rPr>
          <w:spacing w:val="80"/>
          <w:sz w:val="24"/>
        </w:rPr>
        <w:t> </w:t>
      </w:r>
      <w:r>
        <w:rPr>
          <w:sz w:val="24"/>
        </w:rPr>
        <w:t>Difference and significance provide the mean difference (95% confidence intervals) between the rows and whether this was</w:t>
      </w:r>
      <w:r>
        <w:rPr>
          <w:spacing w:val="-15"/>
          <w:sz w:val="24"/>
        </w:rPr>
        <w:t> </w:t>
      </w:r>
      <w:r>
        <w:rPr>
          <w:sz w:val="24"/>
        </w:rPr>
        <w:t>significant</w:t>
      </w:r>
      <w:r>
        <w:rPr>
          <w:spacing w:val="-15"/>
          <w:sz w:val="24"/>
        </w:rPr>
        <w:t> </w:t>
      </w:r>
      <w:r>
        <w:rPr>
          <w:sz w:val="24"/>
        </w:rPr>
        <w:t>according</w:t>
      </w:r>
      <w:r>
        <w:rPr>
          <w:spacing w:val="-15"/>
          <w:sz w:val="24"/>
        </w:rPr>
        <w:t> </w:t>
      </w:r>
      <w:r>
        <w:rPr>
          <w:sz w:val="24"/>
        </w:rPr>
        <w:t>to</w:t>
      </w:r>
      <w:r>
        <w:rPr>
          <w:spacing w:val="-15"/>
          <w:sz w:val="24"/>
        </w:rPr>
        <w:t> </w:t>
      </w:r>
      <w:r>
        <w:rPr>
          <w:sz w:val="24"/>
        </w:rPr>
        <w:t>an</w:t>
      </w:r>
      <w:r>
        <w:rPr>
          <w:spacing w:val="-15"/>
          <w:sz w:val="24"/>
        </w:rPr>
        <w:t> </w:t>
      </w:r>
      <w:r>
        <w:rPr>
          <w:sz w:val="24"/>
        </w:rPr>
        <w:t>SESOI</w:t>
      </w:r>
      <w:r>
        <w:rPr>
          <w:spacing w:val="-15"/>
          <w:sz w:val="24"/>
        </w:rPr>
        <w:t> </w:t>
      </w:r>
      <w:r>
        <w:rPr>
          <w:sz w:val="24"/>
        </w:rPr>
        <w:t>of</w:t>
      </w:r>
      <w:r>
        <w:rPr>
          <w:spacing w:val="-15"/>
          <w:sz w:val="24"/>
        </w:rPr>
        <w:t> </w:t>
      </w:r>
      <w:r>
        <w:rPr>
          <w:sz w:val="24"/>
        </w:rPr>
        <w:t>0.5.</w:t>
      </w:r>
      <w:r>
        <w:rPr>
          <w:spacing w:val="-15"/>
          <w:sz w:val="24"/>
        </w:rPr>
        <w:t> </w:t>
      </w:r>
      <w:r>
        <w:rPr>
          <w:sz w:val="24"/>
        </w:rPr>
        <w:t>Combine?</w:t>
      </w:r>
      <w:r>
        <w:rPr>
          <w:spacing w:val="-15"/>
          <w:sz w:val="24"/>
        </w:rPr>
        <w:t> </w:t>
      </w:r>
      <w:r>
        <w:rPr>
          <w:sz w:val="24"/>
        </w:rPr>
        <w:t>Indicates</w:t>
      </w:r>
      <w:r>
        <w:rPr>
          <w:spacing w:val="-15"/>
          <w:sz w:val="24"/>
        </w:rPr>
        <w:t> </w:t>
      </w:r>
      <w:r>
        <w:rPr>
          <w:sz w:val="24"/>
        </w:rPr>
        <w:t>whether</w:t>
      </w:r>
      <w:r>
        <w:rPr>
          <w:sz w:val="24"/>
        </w:rPr>
        <w:t> the</w:t>
      </w:r>
      <w:r>
        <w:rPr>
          <w:spacing w:val="-8"/>
          <w:sz w:val="24"/>
        </w:rPr>
        <w:t> </w:t>
      </w:r>
      <w:r>
        <w:rPr>
          <w:sz w:val="24"/>
        </w:rPr>
        <w:t>row</w:t>
      </w:r>
      <w:r>
        <w:rPr>
          <w:spacing w:val="-8"/>
          <w:sz w:val="24"/>
        </w:rPr>
        <w:t> </w:t>
      </w:r>
      <w:r>
        <w:rPr>
          <w:sz w:val="24"/>
        </w:rPr>
        <w:t>values</w:t>
      </w:r>
      <w:r>
        <w:rPr>
          <w:spacing w:val="-8"/>
          <w:sz w:val="24"/>
        </w:rPr>
        <w:t> </w:t>
      </w:r>
      <w:r>
        <w:rPr>
          <w:sz w:val="24"/>
        </w:rPr>
        <w:t>were</w:t>
      </w:r>
      <w:r>
        <w:rPr>
          <w:spacing w:val="-8"/>
          <w:sz w:val="24"/>
        </w:rPr>
        <w:t> </w:t>
      </w:r>
      <w:r>
        <w:rPr>
          <w:sz w:val="24"/>
        </w:rPr>
        <w:t>averaged</w:t>
      </w:r>
      <w:r>
        <w:rPr>
          <w:spacing w:val="-8"/>
          <w:sz w:val="24"/>
        </w:rPr>
        <w:t> </w:t>
      </w:r>
      <w:r>
        <w:rPr>
          <w:sz w:val="24"/>
        </w:rPr>
        <w:t>before</w:t>
      </w:r>
      <w:r>
        <w:rPr>
          <w:spacing w:val="-8"/>
          <w:sz w:val="24"/>
        </w:rPr>
        <w:t> </w:t>
      </w:r>
      <w:r>
        <w:rPr>
          <w:sz w:val="24"/>
        </w:rPr>
        <w:t>comparing</w:t>
      </w:r>
      <w:r>
        <w:rPr>
          <w:spacing w:val="-8"/>
          <w:sz w:val="24"/>
        </w:rPr>
        <w:t> </w:t>
      </w:r>
      <w:r>
        <w:rPr>
          <w:sz w:val="24"/>
        </w:rPr>
        <w:t>to</w:t>
      </w:r>
      <w:r>
        <w:rPr>
          <w:spacing w:val="-8"/>
          <w:sz w:val="24"/>
        </w:rPr>
        <w:t> </w:t>
      </w:r>
      <w:r>
        <w:rPr>
          <w:sz w:val="24"/>
        </w:rPr>
        <w:t>the</w:t>
      </w:r>
      <w:r>
        <w:rPr>
          <w:spacing w:val="-8"/>
          <w:sz w:val="24"/>
        </w:rPr>
        <w:t> </w:t>
      </w:r>
      <w:r>
        <w:rPr>
          <w:sz w:val="24"/>
        </w:rPr>
        <w:t>next</w:t>
      </w:r>
      <w:r>
        <w:rPr>
          <w:spacing w:val="-8"/>
          <w:sz w:val="24"/>
        </w:rPr>
        <w:t> </w:t>
      </w:r>
      <w:r>
        <w:rPr>
          <w:sz w:val="24"/>
        </w:rPr>
        <w:t>row. Compar- isons began inside the attacking teams try area before progressing up the</w:t>
      </w:r>
    </w:p>
    <w:p>
      <w:pPr>
        <w:pStyle w:val="BodyText"/>
        <w:tabs>
          <w:tab w:pos="8620" w:val="left" w:leader="dot"/>
        </w:tabs>
        <w:spacing w:line="274" w:lineRule="exact"/>
        <w:ind w:left="1518"/>
      </w:pPr>
      <w:r>
        <w:rPr/>
        <w:t>pitch</w:t>
      </w:r>
      <w:r>
        <w:rPr>
          <w:spacing w:val="-6"/>
        </w:rPr>
        <w:t> </w:t>
      </w:r>
      <w:r>
        <w:rPr/>
        <w:t>to</w:t>
      </w:r>
      <w:r>
        <w:rPr>
          <w:spacing w:val="-5"/>
        </w:rPr>
        <w:t> </w:t>
      </w:r>
      <w:r>
        <w:rPr/>
        <w:t>the</w:t>
      </w:r>
      <w:r>
        <w:rPr>
          <w:spacing w:val="-6"/>
        </w:rPr>
        <w:t> </w:t>
      </w:r>
      <w:r>
        <w:rPr/>
        <w:t>opposition</w:t>
      </w:r>
      <w:r>
        <w:rPr>
          <w:spacing w:val="-5"/>
        </w:rPr>
        <w:t> </w:t>
      </w:r>
      <w:r>
        <w:rPr/>
        <w:t>try</w:t>
      </w:r>
      <w:r>
        <w:rPr>
          <w:spacing w:val="-6"/>
        </w:rPr>
        <w:t> </w:t>
      </w:r>
      <w:r>
        <w:rPr>
          <w:spacing w:val="-2"/>
        </w:rPr>
        <w:t>area.</w:t>
      </w:r>
      <w:r>
        <w:rPr/>
        <w:tab/>
      </w:r>
      <w:r>
        <w:rPr>
          <w:color w:val="0000FF"/>
          <w:spacing w:val="-5"/>
        </w:rPr>
        <w:t>75</w:t>
      </w:r>
    </w:p>
    <w:p>
      <w:pPr>
        <w:pStyle w:val="ListParagraph"/>
        <w:numPr>
          <w:ilvl w:val="1"/>
          <w:numId w:val="11"/>
        </w:numPr>
        <w:tabs>
          <w:tab w:pos="1519" w:val="left" w:leader="none"/>
        </w:tabs>
        <w:spacing w:line="312" w:lineRule="auto" w:before="83" w:after="0"/>
        <w:ind w:left="1518" w:right="998" w:hanging="550"/>
        <w:jc w:val="both"/>
        <w:rPr>
          <w:sz w:val="24"/>
        </w:rPr>
      </w:pPr>
      <w:r>
        <w:rPr>
          <w:sz w:val="24"/>
        </w:rPr>
        <w:t>Statistical</w:t>
      </w:r>
      <w:r>
        <w:rPr>
          <w:spacing w:val="-1"/>
          <w:sz w:val="24"/>
        </w:rPr>
        <w:t> </w:t>
      </w:r>
      <w:r>
        <w:rPr>
          <w:sz w:val="24"/>
        </w:rPr>
        <w:t>comparison</w:t>
      </w:r>
      <w:r>
        <w:rPr>
          <w:spacing w:val="-1"/>
          <w:sz w:val="24"/>
        </w:rPr>
        <w:t> </w:t>
      </w:r>
      <w:r>
        <w:rPr>
          <w:sz w:val="24"/>
        </w:rPr>
        <w:t>between</w:t>
      </w:r>
      <w:r>
        <w:rPr>
          <w:spacing w:val="-1"/>
          <w:sz w:val="24"/>
        </w:rPr>
        <w:t> </w:t>
      </w:r>
      <w:r>
        <w:rPr>
          <w:sz w:val="24"/>
        </w:rPr>
        <w:t>columns</w:t>
      </w:r>
      <w:r>
        <w:rPr>
          <w:spacing w:val="-1"/>
          <w:sz w:val="24"/>
        </w:rPr>
        <w:t> </w:t>
      </w:r>
      <w:r>
        <w:rPr>
          <w:sz w:val="24"/>
        </w:rPr>
        <w:t>at</w:t>
      </w:r>
      <w:r>
        <w:rPr>
          <w:spacing w:val="-1"/>
          <w:sz w:val="24"/>
        </w:rPr>
        <w:t> </w:t>
      </w:r>
      <w:r>
        <w:rPr>
          <w:sz w:val="24"/>
        </w:rPr>
        <w:t>an</w:t>
      </w:r>
      <w:r>
        <w:rPr>
          <w:spacing w:val="-1"/>
          <w:sz w:val="24"/>
        </w:rPr>
        <w:t> </w:t>
      </w:r>
      <w:r>
        <w:rPr>
          <w:sz w:val="24"/>
        </w:rPr>
        <w:t>SESOI</w:t>
      </w:r>
      <w:r>
        <w:rPr>
          <w:spacing w:val="-1"/>
          <w:sz w:val="24"/>
        </w:rPr>
        <w:t> </w:t>
      </w:r>
      <w:r>
        <w:rPr>
          <w:sz w:val="24"/>
        </w:rPr>
        <w:t>of</w:t>
      </w:r>
      <w:r>
        <w:rPr>
          <w:spacing w:val="-1"/>
          <w:sz w:val="24"/>
        </w:rPr>
        <w:t> </w:t>
      </w:r>
      <w:r>
        <w:rPr>
          <w:sz w:val="24"/>
        </w:rPr>
        <w:t>1.0</w:t>
      </w:r>
      <w:r>
        <w:rPr>
          <w:spacing w:val="-1"/>
          <w:sz w:val="24"/>
        </w:rPr>
        <w:t> </w:t>
      </w:r>
      <w:r>
        <w:rPr>
          <w:sz w:val="24"/>
        </w:rPr>
        <w:t>for</w:t>
      </w:r>
      <w:r>
        <w:rPr>
          <w:spacing w:val="-1"/>
          <w:sz w:val="24"/>
        </w:rPr>
        <w:t> </w:t>
      </w:r>
      <w:r>
        <w:rPr>
          <w:sz w:val="24"/>
        </w:rPr>
        <w:t>EPV-19.</w:t>
      </w:r>
      <w:r>
        <w:rPr>
          <w:sz w:val="24"/>
        </w:rPr>
        <w:t> </w:t>
      </w:r>
      <w:r>
        <w:rPr>
          <w:spacing w:val="-2"/>
          <w:sz w:val="24"/>
        </w:rPr>
        <w:t>Where</w:t>
      </w:r>
      <w:r>
        <w:rPr>
          <w:spacing w:val="-10"/>
          <w:sz w:val="24"/>
        </w:rPr>
        <w:t> </w:t>
      </w:r>
      <w:r>
        <w:rPr>
          <w:spacing w:val="-2"/>
          <w:sz w:val="24"/>
        </w:rPr>
        <w:t>numbers</w:t>
      </w:r>
      <w:r>
        <w:rPr>
          <w:spacing w:val="-10"/>
          <w:sz w:val="24"/>
        </w:rPr>
        <w:t> </w:t>
      </w:r>
      <w:r>
        <w:rPr>
          <w:spacing w:val="-2"/>
          <w:sz w:val="24"/>
        </w:rPr>
        <w:t>are</w:t>
      </w:r>
      <w:r>
        <w:rPr>
          <w:spacing w:val="-10"/>
          <w:sz w:val="24"/>
        </w:rPr>
        <w:t> </w:t>
      </w:r>
      <w:r>
        <w:rPr>
          <w:spacing w:val="-2"/>
          <w:sz w:val="24"/>
        </w:rPr>
        <w:t>separated</w:t>
      </w:r>
      <w:r>
        <w:rPr>
          <w:spacing w:val="-10"/>
          <w:sz w:val="24"/>
        </w:rPr>
        <w:t> </w:t>
      </w:r>
      <w:r>
        <w:rPr>
          <w:spacing w:val="-2"/>
          <w:sz w:val="24"/>
        </w:rPr>
        <w:t>by</w:t>
      </w:r>
      <w:r>
        <w:rPr>
          <w:spacing w:val="-10"/>
          <w:sz w:val="24"/>
        </w:rPr>
        <w:t> </w:t>
      </w:r>
      <w:r>
        <w:rPr>
          <w:spacing w:val="-2"/>
          <w:sz w:val="24"/>
        </w:rPr>
        <w:t>commas,</w:t>
      </w:r>
      <w:r>
        <w:rPr>
          <w:spacing w:val="-7"/>
          <w:sz w:val="24"/>
        </w:rPr>
        <w:t> </w:t>
      </w:r>
      <w:r>
        <w:rPr>
          <w:spacing w:val="-2"/>
          <w:sz w:val="24"/>
        </w:rPr>
        <w:t>they</w:t>
      </w:r>
      <w:r>
        <w:rPr>
          <w:spacing w:val="-10"/>
          <w:sz w:val="24"/>
        </w:rPr>
        <w:t> </w:t>
      </w:r>
      <w:r>
        <w:rPr>
          <w:spacing w:val="-2"/>
          <w:sz w:val="24"/>
        </w:rPr>
        <w:t>have</w:t>
      </w:r>
      <w:r>
        <w:rPr>
          <w:spacing w:val="-10"/>
          <w:sz w:val="24"/>
        </w:rPr>
        <w:t> </w:t>
      </w:r>
      <w:r>
        <w:rPr>
          <w:spacing w:val="-2"/>
          <w:sz w:val="24"/>
        </w:rPr>
        <w:t>been</w:t>
      </w:r>
      <w:r>
        <w:rPr>
          <w:spacing w:val="-10"/>
          <w:sz w:val="24"/>
        </w:rPr>
        <w:t> </w:t>
      </w:r>
      <w:r>
        <w:rPr>
          <w:spacing w:val="-2"/>
          <w:sz w:val="24"/>
        </w:rPr>
        <w:t>averaged</w:t>
      </w:r>
      <w:r>
        <w:rPr>
          <w:spacing w:val="-10"/>
          <w:sz w:val="24"/>
        </w:rPr>
        <w:t> </w:t>
      </w:r>
      <w:r>
        <w:rPr>
          <w:spacing w:val="-2"/>
          <w:sz w:val="24"/>
        </w:rPr>
        <w:t>withi</w:t>
      </w:r>
      <w:r>
        <w:rPr>
          <w:spacing w:val="-2"/>
          <w:sz w:val="24"/>
        </w:rPr>
        <w:t>n</w:t>
      </w:r>
      <w:r>
        <w:rPr>
          <w:spacing w:val="-2"/>
          <w:sz w:val="24"/>
        </w:rPr>
        <w:t> </w:t>
      </w:r>
      <w:r>
        <w:rPr>
          <w:sz w:val="24"/>
        </w:rPr>
        <w:t>the linear mixed model.</w:t>
      </w:r>
      <w:r>
        <w:rPr>
          <w:spacing w:val="40"/>
          <w:sz w:val="24"/>
        </w:rPr>
        <w:t> </w:t>
      </w:r>
      <w:r>
        <w:rPr>
          <w:sz w:val="24"/>
        </w:rPr>
        <w:t>Difference and significance provide the </w:t>
      </w:r>
      <w:r>
        <w:rPr>
          <w:sz w:val="24"/>
        </w:rPr>
        <w:t>mean</w:t>
      </w:r>
      <w:r>
        <w:rPr>
          <w:sz w:val="24"/>
        </w:rPr>
        <w:t> difference</w:t>
      </w:r>
      <w:r>
        <w:rPr>
          <w:spacing w:val="-1"/>
          <w:sz w:val="24"/>
        </w:rPr>
        <w:t> </w:t>
      </w:r>
      <w:r>
        <w:rPr>
          <w:sz w:val="24"/>
        </w:rPr>
        <w:t>(95%</w:t>
      </w:r>
      <w:r>
        <w:rPr>
          <w:spacing w:val="-1"/>
          <w:sz w:val="24"/>
        </w:rPr>
        <w:t> </w:t>
      </w:r>
      <w:r>
        <w:rPr>
          <w:sz w:val="24"/>
        </w:rPr>
        <w:t>confidence</w:t>
      </w:r>
      <w:r>
        <w:rPr>
          <w:spacing w:val="-1"/>
          <w:sz w:val="24"/>
        </w:rPr>
        <w:t> </w:t>
      </w:r>
      <w:r>
        <w:rPr>
          <w:sz w:val="24"/>
        </w:rPr>
        <w:t>intervals)</w:t>
      </w:r>
      <w:r>
        <w:rPr>
          <w:spacing w:val="-1"/>
          <w:sz w:val="24"/>
        </w:rPr>
        <w:t> </w:t>
      </w:r>
      <w:r>
        <w:rPr>
          <w:sz w:val="24"/>
        </w:rPr>
        <w:t>between</w:t>
      </w:r>
      <w:r>
        <w:rPr>
          <w:spacing w:val="-1"/>
          <w:sz w:val="24"/>
        </w:rPr>
        <w:t> </w:t>
      </w:r>
      <w:r>
        <w:rPr>
          <w:sz w:val="24"/>
        </w:rPr>
        <w:t>the</w:t>
      </w:r>
      <w:r>
        <w:rPr>
          <w:spacing w:val="-1"/>
          <w:sz w:val="24"/>
        </w:rPr>
        <w:t> </w:t>
      </w:r>
      <w:r>
        <w:rPr>
          <w:sz w:val="24"/>
        </w:rPr>
        <w:t>columns</w:t>
      </w:r>
      <w:r>
        <w:rPr>
          <w:spacing w:val="-1"/>
          <w:sz w:val="24"/>
        </w:rPr>
        <w:t> </w:t>
      </w:r>
      <w:r>
        <w:rPr>
          <w:sz w:val="24"/>
        </w:rPr>
        <w:t>and</w:t>
      </w:r>
      <w:r>
        <w:rPr>
          <w:spacing w:val="-1"/>
          <w:sz w:val="24"/>
        </w:rPr>
        <w:t> </w:t>
      </w:r>
      <w:r>
        <w:rPr>
          <w:sz w:val="24"/>
        </w:rPr>
        <w:t>whether</w:t>
      </w:r>
      <w:r>
        <w:rPr>
          <w:sz w:val="24"/>
        </w:rPr>
        <w:t> this was significant according to an SESOI of 1.0.</w:t>
      </w:r>
      <w:r>
        <w:rPr>
          <w:spacing w:val="40"/>
          <w:sz w:val="24"/>
        </w:rPr>
        <w:t> </w:t>
      </w:r>
      <w:r>
        <w:rPr>
          <w:sz w:val="24"/>
        </w:rPr>
        <w:t>Combine?</w:t>
      </w:r>
      <w:r>
        <w:rPr>
          <w:spacing w:val="40"/>
          <w:sz w:val="24"/>
        </w:rPr>
        <w:t> </w:t>
      </w:r>
      <w:r>
        <w:rPr>
          <w:sz w:val="24"/>
        </w:rPr>
        <w:t>Indicates whether the column values were averaged before comparing to the </w:t>
      </w:r>
      <w:r>
        <w:rPr>
          <w:sz w:val="24"/>
        </w:rPr>
        <w:t>next</w:t>
      </w:r>
      <w:r>
        <w:rPr>
          <w:sz w:val="24"/>
        </w:rPr>
        <w:t> column.</w:t>
      </w:r>
      <w:r>
        <w:rPr>
          <w:spacing w:val="-14"/>
          <w:sz w:val="24"/>
        </w:rPr>
        <w:t> </w:t>
      </w:r>
      <w:r>
        <w:rPr>
          <w:sz w:val="24"/>
        </w:rPr>
        <w:t>Comparisons</w:t>
      </w:r>
      <w:r>
        <w:rPr>
          <w:spacing w:val="-15"/>
          <w:sz w:val="24"/>
        </w:rPr>
        <w:t> </w:t>
      </w:r>
      <w:r>
        <w:rPr>
          <w:sz w:val="24"/>
        </w:rPr>
        <w:t>began</w:t>
      </w:r>
      <w:r>
        <w:rPr>
          <w:spacing w:val="-15"/>
          <w:sz w:val="24"/>
        </w:rPr>
        <w:t> </w:t>
      </w:r>
      <w:r>
        <w:rPr>
          <w:sz w:val="24"/>
        </w:rPr>
        <w:t>at</w:t>
      </w:r>
      <w:r>
        <w:rPr>
          <w:spacing w:val="-15"/>
          <w:sz w:val="24"/>
        </w:rPr>
        <w:t> </w:t>
      </w:r>
      <w:r>
        <w:rPr>
          <w:sz w:val="24"/>
        </w:rPr>
        <w:t>the</w:t>
      </w:r>
      <w:r>
        <w:rPr>
          <w:spacing w:val="-15"/>
          <w:sz w:val="24"/>
        </w:rPr>
        <w:t> </w:t>
      </w:r>
      <w:r>
        <w:rPr>
          <w:sz w:val="24"/>
        </w:rPr>
        <w:t>outermost</w:t>
      </w:r>
      <w:r>
        <w:rPr>
          <w:spacing w:val="-15"/>
          <w:sz w:val="24"/>
        </w:rPr>
        <w:t> </w:t>
      </w:r>
      <w:r>
        <w:rPr>
          <w:sz w:val="24"/>
        </w:rPr>
        <w:t>columns</w:t>
      </w:r>
      <w:r>
        <w:rPr>
          <w:spacing w:val="-15"/>
          <w:sz w:val="24"/>
        </w:rPr>
        <w:t> </w:t>
      </w:r>
      <w:r>
        <w:rPr>
          <w:sz w:val="24"/>
        </w:rPr>
        <w:t>before</w:t>
      </w:r>
      <w:r>
        <w:rPr>
          <w:spacing w:val="-15"/>
          <w:sz w:val="24"/>
        </w:rPr>
        <w:t> </w:t>
      </w:r>
      <w:r>
        <w:rPr>
          <w:sz w:val="24"/>
        </w:rPr>
        <w:t>progressing</w:t>
      </w:r>
    </w:p>
    <w:p>
      <w:pPr>
        <w:pStyle w:val="BodyText"/>
        <w:tabs>
          <w:tab w:pos="8620" w:val="left" w:leader="dot"/>
        </w:tabs>
        <w:spacing w:line="274" w:lineRule="exact"/>
        <w:ind w:left="1518"/>
        <w:jc w:val="both"/>
      </w:pPr>
      <w:r>
        <w:rPr/>
        <w:t>more</w:t>
      </w:r>
      <w:r>
        <w:rPr>
          <w:spacing w:val="-6"/>
        </w:rPr>
        <w:t> </w:t>
      </w:r>
      <w:r>
        <w:rPr>
          <w:spacing w:val="-2"/>
        </w:rPr>
        <w:t>centrally</w:t>
      </w:r>
      <w:r>
        <w:rPr/>
        <w:tab/>
      </w:r>
      <w:r>
        <w:rPr>
          <w:color w:val="0000FF"/>
          <w:spacing w:val="-5"/>
        </w:rPr>
        <w:t>76</w:t>
      </w:r>
    </w:p>
    <w:p>
      <w:pPr>
        <w:spacing w:after="0" w:line="274" w:lineRule="exact"/>
        <w:jc w:val="both"/>
        <w:sectPr>
          <w:headerReference w:type="default" r:id="rId14"/>
          <w:footerReference w:type="default" r:id="rId15"/>
          <w:pgSz w:w="11910" w:h="16840"/>
          <w:pgMar w:header="1961" w:footer="1428" w:top="2280" w:bottom="1620" w:left="1680" w:right="720"/>
        </w:sectPr>
      </w:pPr>
    </w:p>
    <w:p>
      <w:pPr>
        <w:pStyle w:val="ListParagraph"/>
        <w:numPr>
          <w:ilvl w:val="1"/>
          <w:numId w:val="11"/>
        </w:numPr>
        <w:tabs>
          <w:tab w:pos="1519" w:val="left" w:leader="none"/>
        </w:tabs>
        <w:spacing w:line="312" w:lineRule="auto" w:before="572" w:after="0"/>
        <w:ind w:left="1518" w:right="923" w:hanging="550"/>
        <w:jc w:val="left"/>
        <w:rPr>
          <w:sz w:val="24"/>
        </w:rPr>
      </w:pPr>
      <w:r>
        <w:rPr>
          <w:sz w:val="24"/>
        </w:rPr>
        <w:t>Statistical</w:t>
      </w:r>
      <w:r>
        <w:rPr>
          <w:spacing w:val="40"/>
          <w:sz w:val="24"/>
        </w:rPr>
        <w:t> </w:t>
      </w:r>
      <w:r>
        <w:rPr>
          <w:sz w:val="24"/>
        </w:rPr>
        <w:t>comparison</w:t>
      </w:r>
      <w:r>
        <w:rPr>
          <w:spacing w:val="40"/>
          <w:sz w:val="24"/>
        </w:rPr>
        <w:t> </w:t>
      </w:r>
      <w:r>
        <w:rPr>
          <w:sz w:val="24"/>
        </w:rPr>
        <w:t>between</w:t>
      </w:r>
      <w:r>
        <w:rPr>
          <w:spacing w:val="40"/>
          <w:sz w:val="24"/>
        </w:rPr>
        <w:t> </w:t>
      </w:r>
      <w:r>
        <w:rPr>
          <w:sz w:val="24"/>
        </w:rPr>
        <w:t>rows</w:t>
      </w:r>
      <w:r>
        <w:rPr>
          <w:spacing w:val="40"/>
          <w:sz w:val="24"/>
        </w:rPr>
        <w:t> </w:t>
      </w:r>
      <w:r>
        <w:rPr>
          <w:sz w:val="24"/>
        </w:rPr>
        <w:t>at</w:t>
      </w:r>
      <w:r>
        <w:rPr>
          <w:spacing w:val="40"/>
          <w:sz w:val="24"/>
        </w:rPr>
        <w:t> </w:t>
      </w:r>
      <w:r>
        <w:rPr>
          <w:sz w:val="24"/>
        </w:rPr>
        <w:t>an</w:t>
      </w:r>
      <w:r>
        <w:rPr>
          <w:spacing w:val="40"/>
          <w:sz w:val="24"/>
        </w:rPr>
        <w:t> </w:t>
      </w:r>
      <w:r>
        <w:rPr>
          <w:sz w:val="24"/>
        </w:rPr>
        <w:t>SESOI</w:t>
      </w:r>
      <w:r>
        <w:rPr>
          <w:spacing w:val="40"/>
          <w:sz w:val="24"/>
        </w:rPr>
        <w:t> </w:t>
      </w:r>
      <w:r>
        <w:rPr>
          <w:sz w:val="24"/>
        </w:rPr>
        <w:t>of</w:t>
      </w:r>
      <w:r>
        <w:rPr>
          <w:spacing w:val="40"/>
          <w:sz w:val="24"/>
        </w:rPr>
        <w:t> </w:t>
      </w:r>
      <w:r>
        <w:rPr>
          <w:sz w:val="24"/>
        </w:rPr>
        <w:t>1.0</w:t>
      </w:r>
      <w:r>
        <w:rPr>
          <w:spacing w:val="40"/>
          <w:sz w:val="24"/>
        </w:rPr>
        <w:t> </w:t>
      </w:r>
      <w:r>
        <w:rPr>
          <w:sz w:val="24"/>
        </w:rPr>
        <w:t>for</w:t>
      </w:r>
      <w:r>
        <w:rPr>
          <w:spacing w:val="40"/>
          <w:sz w:val="24"/>
        </w:rPr>
        <w:t> </w:t>
      </w:r>
      <w:r>
        <w:rPr>
          <w:sz w:val="24"/>
        </w:rPr>
        <w:t>EPV-19. Where</w:t>
      </w:r>
      <w:r>
        <w:rPr>
          <w:spacing w:val="-14"/>
          <w:sz w:val="24"/>
        </w:rPr>
        <w:t> </w:t>
      </w:r>
      <w:r>
        <w:rPr>
          <w:sz w:val="24"/>
        </w:rPr>
        <w:t>numbers</w:t>
      </w:r>
      <w:r>
        <w:rPr>
          <w:spacing w:val="-14"/>
          <w:sz w:val="24"/>
        </w:rPr>
        <w:t> </w:t>
      </w:r>
      <w:r>
        <w:rPr>
          <w:sz w:val="24"/>
        </w:rPr>
        <w:t>are</w:t>
      </w:r>
      <w:r>
        <w:rPr>
          <w:spacing w:val="-14"/>
          <w:sz w:val="24"/>
        </w:rPr>
        <w:t> </w:t>
      </w:r>
      <w:r>
        <w:rPr>
          <w:sz w:val="24"/>
        </w:rPr>
        <w:t>separated</w:t>
      </w:r>
      <w:r>
        <w:rPr>
          <w:spacing w:val="-14"/>
          <w:sz w:val="24"/>
        </w:rPr>
        <w:t> </w:t>
      </w:r>
      <w:r>
        <w:rPr>
          <w:sz w:val="24"/>
        </w:rPr>
        <w:t>by</w:t>
      </w:r>
      <w:r>
        <w:rPr>
          <w:spacing w:val="-14"/>
          <w:sz w:val="24"/>
        </w:rPr>
        <w:t> </w:t>
      </w:r>
      <w:r>
        <w:rPr>
          <w:sz w:val="24"/>
        </w:rPr>
        <w:t>commas,</w:t>
      </w:r>
      <w:r>
        <w:rPr>
          <w:spacing w:val="-11"/>
          <w:sz w:val="24"/>
        </w:rPr>
        <w:t> </w:t>
      </w:r>
      <w:r>
        <w:rPr>
          <w:sz w:val="24"/>
        </w:rPr>
        <w:t>they</w:t>
      </w:r>
      <w:r>
        <w:rPr>
          <w:spacing w:val="-14"/>
          <w:sz w:val="24"/>
        </w:rPr>
        <w:t> </w:t>
      </w:r>
      <w:r>
        <w:rPr>
          <w:sz w:val="24"/>
        </w:rPr>
        <w:t>have</w:t>
      </w:r>
      <w:r>
        <w:rPr>
          <w:spacing w:val="-14"/>
          <w:sz w:val="24"/>
        </w:rPr>
        <w:t> </w:t>
      </w:r>
      <w:r>
        <w:rPr>
          <w:sz w:val="24"/>
        </w:rPr>
        <w:t>been</w:t>
      </w:r>
      <w:r>
        <w:rPr>
          <w:spacing w:val="-14"/>
          <w:sz w:val="24"/>
        </w:rPr>
        <w:t> </w:t>
      </w:r>
      <w:r>
        <w:rPr>
          <w:sz w:val="24"/>
        </w:rPr>
        <w:t>averaged</w:t>
      </w:r>
      <w:r>
        <w:rPr>
          <w:spacing w:val="-14"/>
          <w:sz w:val="24"/>
        </w:rPr>
        <w:t> </w:t>
      </w:r>
      <w:r>
        <w:rPr>
          <w:sz w:val="24"/>
        </w:rPr>
        <w:t>within the linear mixed model.</w:t>
      </w:r>
      <w:r>
        <w:rPr>
          <w:spacing w:val="80"/>
          <w:sz w:val="24"/>
        </w:rPr>
        <w:t> </w:t>
      </w:r>
      <w:r>
        <w:rPr>
          <w:sz w:val="24"/>
        </w:rPr>
        <w:t>Difference and significance provide the mean difference (95% confidence intervals) between the rows and whether this was</w:t>
      </w:r>
      <w:r>
        <w:rPr>
          <w:spacing w:val="-15"/>
          <w:sz w:val="24"/>
        </w:rPr>
        <w:t> </w:t>
      </w:r>
      <w:r>
        <w:rPr>
          <w:sz w:val="24"/>
        </w:rPr>
        <w:t>significant</w:t>
      </w:r>
      <w:r>
        <w:rPr>
          <w:spacing w:val="-15"/>
          <w:sz w:val="24"/>
        </w:rPr>
        <w:t> </w:t>
      </w:r>
      <w:r>
        <w:rPr>
          <w:sz w:val="24"/>
        </w:rPr>
        <w:t>according</w:t>
      </w:r>
      <w:r>
        <w:rPr>
          <w:spacing w:val="-15"/>
          <w:sz w:val="24"/>
        </w:rPr>
        <w:t> </w:t>
      </w:r>
      <w:r>
        <w:rPr>
          <w:sz w:val="24"/>
        </w:rPr>
        <w:t>to</w:t>
      </w:r>
      <w:r>
        <w:rPr>
          <w:spacing w:val="-15"/>
          <w:sz w:val="24"/>
        </w:rPr>
        <w:t> </w:t>
      </w:r>
      <w:r>
        <w:rPr>
          <w:sz w:val="24"/>
        </w:rPr>
        <w:t>an</w:t>
      </w:r>
      <w:r>
        <w:rPr>
          <w:spacing w:val="-15"/>
          <w:sz w:val="24"/>
        </w:rPr>
        <w:t> </w:t>
      </w:r>
      <w:r>
        <w:rPr>
          <w:sz w:val="24"/>
        </w:rPr>
        <w:t>SESOI</w:t>
      </w:r>
      <w:r>
        <w:rPr>
          <w:spacing w:val="-15"/>
          <w:sz w:val="24"/>
        </w:rPr>
        <w:t> </w:t>
      </w:r>
      <w:r>
        <w:rPr>
          <w:sz w:val="24"/>
        </w:rPr>
        <w:t>of</w:t>
      </w:r>
      <w:r>
        <w:rPr>
          <w:spacing w:val="-15"/>
          <w:sz w:val="24"/>
        </w:rPr>
        <w:t> </w:t>
      </w:r>
      <w:r>
        <w:rPr>
          <w:sz w:val="24"/>
        </w:rPr>
        <w:t>1.0.</w:t>
      </w:r>
      <w:r>
        <w:rPr>
          <w:spacing w:val="-15"/>
          <w:sz w:val="24"/>
        </w:rPr>
        <w:t> </w:t>
      </w:r>
      <w:r>
        <w:rPr>
          <w:sz w:val="24"/>
        </w:rPr>
        <w:t>Combine?</w:t>
      </w:r>
      <w:r>
        <w:rPr>
          <w:spacing w:val="-15"/>
          <w:sz w:val="24"/>
        </w:rPr>
        <w:t> </w:t>
      </w:r>
      <w:r>
        <w:rPr>
          <w:sz w:val="24"/>
        </w:rPr>
        <w:t>Indicates</w:t>
      </w:r>
      <w:r>
        <w:rPr>
          <w:spacing w:val="-15"/>
          <w:sz w:val="24"/>
        </w:rPr>
        <w:t> </w:t>
      </w:r>
      <w:r>
        <w:rPr>
          <w:sz w:val="24"/>
        </w:rPr>
        <w:t>whether</w:t>
      </w:r>
      <w:r>
        <w:rPr>
          <w:sz w:val="24"/>
        </w:rPr>
        <w:t> the</w:t>
      </w:r>
      <w:r>
        <w:rPr>
          <w:spacing w:val="-8"/>
          <w:sz w:val="24"/>
        </w:rPr>
        <w:t> </w:t>
      </w:r>
      <w:r>
        <w:rPr>
          <w:sz w:val="24"/>
        </w:rPr>
        <w:t>row</w:t>
      </w:r>
      <w:r>
        <w:rPr>
          <w:spacing w:val="-8"/>
          <w:sz w:val="24"/>
        </w:rPr>
        <w:t> </w:t>
      </w:r>
      <w:r>
        <w:rPr>
          <w:sz w:val="24"/>
        </w:rPr>
        <w:t>values</w:t>
      </w:r>
      <w:r>
        <w:rPr>
          <w:spacing w:val="-8"/>
          <w:sz w:val="24"/>
        </w:rPr>
        <w:t> </w:t>
      </w:r>
      <w:r>
        <w:rPr>
          <w:sz w:val="24"/>
        </w:rPr>
        <w:t>were</w:t>
      </w:r>
      <w:r>
        <w:rPr>
          <w:spacing w:val="-8"/>
          <w:sz w:val="24"/>
        </w:rPr>
        <w:t> </w:t>
      </w:r>
      <w:r>
        <w:rPr>
          <w:sz w:val="24"/>
        </w:rPr>
        <w:t>averaged</w:t>
      </w:r>
      <w:r>
        <w:rPr>
          <w:spacing w:val="-8"/>
          <w:sz w:val="24"/>
        </w:rPr>
        <w:t> </w:t>
      </w:r>
      <w:r>
        <w:rPr>
          <w:sz w:val="24"/>
        </w:rPr>
        <w:t>before</w:t>
      </w:r>
      <w:r>
        <w:rPr>
          <w:spacing w:val="-8"/>
          <w:sz w:val="24"/>
        </w:rPr>
        <w:t> </w:t>
      </w:r>
      <w:r>
        <w:rPr>
          <w:sz w:val="24"/>
        </w:rPr>
        <w:t>comparing</w:t>
      </w:r>
      <w:r>
        <w:rPr>
          <w:spacing w:val="-8"/>
          <w:sz w:val="24"/>
        </w:rPr>
        <w:t> </w:t>
      </w:r>
      <w:r>
        <w:rPr>
          <w:sz w:val="24"/>
        </w:rPr>
        <w:t>to</w:t>
      </w:r>
      <w:r>
        <w:rPr>
          <w:spacing w:val="-8"/>
          <w:sz w:val="24"/>
        </w:rPr>
        <w:t> </w:t>
      </w:r>
      <w:r>
        <w:rPr>
          <w:sz w:val="24"/>
        </w:rPr>
        <w:t>the</w:t>
      </w:r>
      <w:r>
        <w:rPr>
          <w:spacing w:val="-8"/>
          <w:sz w:val="24"/>
        </w:rPr>
        <w:t> </w:t>
      </w:r>
      <w:r>
        <w:rPr>
          <w:sz w:val="24"/>
        </w:rPr>
        <w:t>next</w:t>
      </w:r>
      <w:r>
        <w:rPr>
          <w:spacing w:val="-8"/>
          <w:sz w:val="24"/>
        </w:rPr>
        <w:t> </w:t>
      </w:r>
      <w:r>
        <w:rPr>
          <w:sz w:val="24"/>
        </w:rPr>
        <w:t>row. Compar- isons began inside the attacking teams try area before progressing up the</w:t>
      </w:r>
    </w:p>
    <w:p>
      <w:pPr>
        <w:pStyle w:val="BodyText"/>
        <w:tabs>
          <w:tab w:pos="8620" w:val="left" w:leader="dot"/>
        </w:tabs>
        <w:spacing w:line="274" w:lineRule="exact"/>
        <w:ind w:left="1518"/>
      </w:pPr>
      <w:r>
        <w:rPr/>
        <w:t>pitch</w:t>
      </w:r>
      <w:r>
        <w:rPr>
          <w:spacing w:val="-6"/>
        </w:rPr>
        <w:t> </w:t>
      </w:r>
      <w:r>
        <w:rPr/>
        <w:t>to</w:t>
      </w:r>
      <w:r>
        <w:rPr>
          <w:spacing w:val="-5"/>
        </w:rPr>
        <w:t> </w:t>
      </w:r>
      <w:r>
        <w:rPr/>
        <w:t>the</w:t>
      </w:r>
      <w:r>
        <w:rPr>
          <w:spacing w:val="-6"/>
        </w:rPr>
        <w:t> </w:t>
      </w:r>
      <w:r>
        <w:rPr/>
        <w:t>opposition</w:t>
      </w:r>
      <w:r>
        <w:rPr>
          <w:spacing w:val="-5"/>
        </w:rPr>
        <w:t> </w:t>
      </w:r>
      <w:r>
        <w:rPr/>
        <w:t>try</w:t>
      </w:r>
      <w:r>
        <w:rPr>
          <w:spacing w:val="-6"/>
        </w:rPr>
        <w:t> </w:t>
      </w:r>
      <w:r>
        <w:rPr>
          <w:spacing w:val="-2"/>
        </w:rPr>
        <w:t>area.</w:t>
      </w:r>
      <w:r>
        <w:rPr/>
        <w:tab/>
      </w:r>
      <w:r>
        <w:rPr>
          <w:color w:val="0000FF"/>
          <w:spacing w:val="-5"/>
        </w:rPr>
        <w:t>76</w:t>
      </w:r>
    </w:p>
    <w:p>
      <w:pPr>
        <w:pStyle w:val="ListParagraph"/>
        <w:numPr>
          <w:ilvl w:val="1"/>
          <w:numId w:val="11"/>
        </w:numPr>
        <w:tabs>
          <w:tab w:pos="1519" w:val="left" w:leader="none"/>
        </w:tabs>
        <w:spacing w:line="312" w:lineRule="auto" w:before="82" w:after="0"/>
        <w:ind w:left="1518" w:right="998" w:hanging="550"/>
        <w:jc w:val="both"/>
        <w:rPr>
          <w:sz w:val="24"/>
        </w:rPr>
      </w:pPr>
      <w:r>
        <w:rPr>
          <w:sz w:val="24"/>
        </w:rPr>
        <w:t>Statistical</w:t>
      </w:r>
      <w:r>
        <w:rPr>
          <w:spacing w:val="-1"/>
          <w:sz w:val="24"/>
        </w:rPr>
        <w:t> </w:t>
      </w:r>
      <w:r>
        <w:rPr>
          <w:sz w:val="24"/>
        </w:rPr>
        <w:t>comparison</w:t>
      </w:r>
      <w:r>
        <w:rPr>
          <w:spacing w:val="-1"/>
          <w:sz w:val="24"/>
        </w:rPr>
        <w:t> </w:t>
      </w:r>
      <w:r>
        <w:rPr>
          <w:sz w:val="24"/>
        </w:rPr>
        <w:t>between</w:t>
      </w:r>
      <w:r>
        <w:rPr>
          <w:spacing w:val="-1"/>
          <w:sz w:val="24"/>
        </w:rPr>
        <w:t> </w:t>
      </w:r>
      <w:r>
        <w:rPr>
          <w:sz w:val="24"/>
        </w:rPr>
        <w:t>columns</w:t>
      </w:r>
      <w:r>
        <w:rPr>
          <w:spacing w:val="-1"/>
          <w:sz w:val="24"/>
        </w:rPr>
        <w:t> </w:t>
      </w:r>
      <w:r>
        <w:rPr>
          <w:sz w:val="24"/>
        </w:rPr>
        <w:t>at</w:t>
      </w:r>
      <w:r>
        <w:rPr>
          <w:spacing w:val="-1"/>
          <w:sz w:val="24"/>
        </w:rPr>
        <w:t> </w:t>
      </w:r>
      <w:r>
        <w:rPr>
          <w:sz w:val="24"/>
        </w:rPr>
        <w:t>an</w:t>
      </w:r>
      <w:r>
        <w:rPr>
          <w:spacing w:val="-1"/>
          <w:sz w:val="24"/>
        </w:rPr>
        <w:t> </w:t>
      </w:r>
      <w:r>
        <w:rPr>
          <w:sz w:val="24"/>
        </w:rPr>
        <w:t>SESOI</w:t>
      </w:r>
      <w:r>
        <w:rPr>
          <w:spacing w:val="-1"/>
          <w:sz w:val="24"/>
        </w:rPr>
        <w:t> </w:t>
      </w:r>
      <w:r>
        <w:rPr>
          <w:sz w:val="24"/>
        </w:rPr>
        <w:t>of</w:t>
      </w:r>
      <w:r>
        <w:rPr>
          <w:spacing w:val="-1"/>
          <w:sz w:val="24"/>
        </w:rPr>
        <w:t> </w:t>
      </w:r>
      <w:r>
        <w:rPr>
          <w:sz w:val="24"/>
        </w:rPr>
        <w:t>1.5</w:t>
      </w:r>
      <w:r>
        <w:rPr>
          <w:spacing w:val="-1"/>
          <w:sz w:val="24"/>
        </w:rPr>
        <w:t> </w:t>
      </w:r>
      <w:r>
        <w:rPr>
          <w:sz w:val="24"/>
        </w:rPr>
        <w:t>for</w:t>
      </w:r>
      <w:r>
        <w:rPr>
          <w:spacing w:val="-1"/>
          <w:sz w:val="24"/>
        </w:rPr>
        <w:t> </w:t>
      </w:r>
      <w:r>
        <w:rPr>
          <w:sz w:val="24"/>
        </w:rPr>
        <w:t>EPV-13.</w:t>
      </w:r>
      <w:r>
        <w:rPr>
          <w:sz w:val="24"/>
        </w:rPr>
        <w:t> </w:t>
      </w:r>
      <w:r>
        <w:rPr>
          <w:spacing w:val="-2"/>
          <w:sz w:val="24"/>
        </w:rPr>
        <w:t>Where</w:t>
      </w:r>
      <w:r>
        <w:rPr>
          <w:spacing w:val="-10"/>
          <w:sz w:val="24"/>
        </w:rPr>
        <w:t> </w:t>
      </w:r>
      <w:r>
        <w:rPr>
          <w:spacing w:val="-2"/>
          <w:sz w:val="24"/>
        </w:rPr>
        <w:t>numbers</w:t>
      </w:r>
      <w:r>
        <w:rPr>
          <w:spacing w:val="-10"/>
          <w:sz w:val="24"/>
        </w:rPr>
        <w:t> </w:t>
      </w:r>
      <w:r>
        <w:rPr>
          <w:spacing w:val="-2"/>
          <w:sz w:val="24"/>
        </w:rPr>
        <w:t>are</w:t>
      </w:r>
      <w:r>
        <w:rPr>
          <w:spacing w:val="-10"/>
          <w:sz w:val="24"/>
        </w:rPr>
        <w:t> </w:t>
      </w:r>
      <w:r>
        <w:rPr>
          <w:spacing w:val="-2"/>
          <w:sz w:val="24"/>
        </w:rPr>
        <w:t>separated</w:t>
      </w:r>
      <w:r>
        <w:rPr>
          <w:spacing w:val="-10"/>
          <w:sz w:val="24"/>
        </w:rPr>
        <w:t> </w:t>
      </w:r>
      <w:r>
        <w:rPr>
          <w:spacing w:val="-2"/>
          <w:sz w:val="24"/>
        </w:rPr>
        <w:t>by</w:t>
      </w:r>
      <w:r>
        <w:rPr>
          <w:spacing w:val="-10"/>
          <w:sz w:val="24"/>
        </w:rPr>
        <w:t> </w:t>
      </w:r>
      <w:r>
        <w:rPr>
          <w:spacing w:val="-2"/>
          <w:sz w:val="24"/>
        </w:rPr>
        <w:t>commas,</w:t>
      </w:r>
      <w:r>
        <w:rPr>
          <w:spacing w:val="-7"/>
          <w:sz w:val="24"/>
        </w:rPr>
        <w:t> </w:t>
      </w:r>
      <w:r>
        <w:rPr>
          <w:spacing w:val="-2"/>
          <w:sz w:val="24"/>
        </w:rPr>
        <w:t>they</w:t>
      </w:r>
      <w:r>
        <w:rPr>
          <w:spacing w:val="-10"/>
          <w:sz w:val="24"/>
        </w:rPr>
        <w:t> </w:t>
      </w:r>
      <w:r>
        <w:rPr>
          <w:spacing w:val="-2"/>
          <w:sz w:val="24"/>
        </w:rPr>
        <w:t>have</w:t>
      </w:r>
      <w:r>
        <w:rPr>
          <w:spacing w:val="-10"/>
          <w:sz w:val="24"/>
        </w:rPr>
        <w:t> </w:t>
      </w:r>
      <w:r>
        <w:rPr>
          <w:spacing w:val="-2"/>
          <w:sz w:val="24"/>
        </w:rPr>
        <w:t>been</w:t>
      </w:r>
      <w:r>
        <w:rPr>
          <w:spacing w:val="-10"/>
          <w:sz w:val="24"/>
        </w:rPr>
        <w:t> </w:t>
      </w:r>
      <w:r>
        <w:rPr>
          <w:spacing w:val="-2"/>
          <w:sz w:val="24"/>
        </w:rPr>
        <w:t>averaged</w:t>
      </w:r>
      <w:r>
        <w:rPr>
          <w:spacing w:val="-10"/>
          <w:sz w:val="24"/>
        </w:rPr>
        <w:t> </w:t>
      </w:r>
      <w:r>
        <w:rPr>
          <w:spacing w:val="-2"/>
          <w:sz w:val="24"/>
        </w:rPr>
        <w:t>withi</w:t>
      </w:r>
      <w:r>
        <w:rPr>
          <w:spacing w:val="-2"/>
          <w:sz w:val="24"/>
        </w:rPr>
        <w:t>n</w:t>
      </w:r>
      <w:r>
        <w:rPr>
          <w:spacing w:val="-2"/>
          <w:sz w:val="24"/>
        </w:rPr>
        <w:t> </w:t>
      </w:r>
      <w:r>
        <w:rPr>
          <w:sz w:val="24"/>
        </w:rPr>
        <w:t>the linear mixed model.</w:t>
      </w:r>
      <w:r>
        <w:rPr>
          <w:spacing w:val="40"/>
          <w:sz w:val="24"/>
        </w:rPr>
        <w:t> </w:t>
      </w:r>
      <w:r>
        <w:rPr>
          <w:sz w:val="24"/>
        </w:rPr>
        <w:t>Difference and significance provide the </w:t>
      </w:r>
      <w:r>
        <w:rPr>
          <w:sz w:val="24"/>
        </w:rPr>
        <w:t>mean</w:t>
      </w:r>
      <w:r>
        <w:rPr>
          <w:sz w:val="24"/>
        </w:rPr>
        <w:t> difference</w:t>
      </w:r>
      <w:r>
        <w:rPr>
          <w:spacing w:val="-1"/>
          <w:sz w:val="24"/>
        </w:rPr>
        <w:t> </w:t>
      </w:r>
      <w:r>
        <w:rPr>
          <w:sz w:val="24"/>
        </w:rPr>
        <w:t>(95%</w:t>
      </w:r>
      <w:r>
        <w:rPr>
          <w:spacing w:val="-1"/>
          <w:sz w:val="24"/>
        </w:rPr>
        <w:t> </w:t>
      </w:r>
      <w:r>
        <w:rPr>
          <w:sz w:val="24"/>
        </w:rPr>
        <w:t>confidence</w:t>
      </w:r>
      <w:r>
        <w:rPr>
          <w:spacing w:val="-1"/>
          <w:sz w:val="24"/>
        </w:rPr>
        <w:t> </w:t>
      </w:r>
      <w:r>
        <w:rPr>
          <w:sz w:val="24"/>
        </w:rPr>
        <w:t>intervals)</w:t>
      </w:r>
      <w:r>
        <w:rPr>
          <w:spacing w:val="-1"/>
          <w:sz w:val="24"/>
        </w:rPr>
        <w:t> </w:t>
      </w:r>
      <w:r>
        <w:rPr>
          <w:sz w:val="24"/>
        </w:rPr>
        <w:t>between</w:t>
      </w:r>
      <w:r>
        <w:rPr>
          <w:spacing w:val="-1"/>
          <w:sz w:val="24"/>
        </w:rPr>
        <w:t> </w:t>
      </w:r>
      <w:r>
        <w:rPr>
          <w:sz w:val="24"/>
        </w:rPr>
        <w:t>the</w:t>
      </w:r>
      <w:r>
        <w:rPr>
          <w:spacing w:val="-1"/>
          <w:sz w:val="24"/>
        </w:rPr>
        <w:t> </w:t>
      </w:r>
      <w:r>
        <w:rPr>
          <w:sz w:val="24"/>
        </w:rPr>
        <w:t>columns</w:t>
      </w:r>
      <w:r>
        <w:rPr>
          <w:spacing w:val="-1"/>
          <w:sz w:val="24"/>
        </w:rPr>
        <w:t> </w:t>
      </w:r>
      <w:r>
        <w:rPr>
          <w:sz w:val="24"/>
        </w:rPr>
        <w:t>and</w:t>
      </w:r>
      <w:r>
        <w:rPr>
          <w:spacing w:val="-1"/>
          <w:sz w:val="24"/>
        </w:rPr>
        <w:t> </w:t>
      </w:r>
      <w:r>
        <w:rPr>
          <w:sz w:val="24"/>
        </w:rPr>
        <w:t>whether</w:t>
      </w:r>
      <w:r>
        <w:rPr>
          <w:sz w:val="24"/>
        </w:rPr>
        <w:t> this was significant according to an SESOI of 1.5.</w:t>
      </w:r>
      <w:r>
        <w:rPr>
          <w:spacing w:val="40"/>
          <w:sz w:val="24"/>
        </w:rPr>
        <w:t> </w:t>
      </w:r>
      <w:r>
        <w:rPr>
          <w:sz w:val="24"/>
        </w:rPr>
        <w:t>Combine?</w:t>
      </w:r>
      <w:r>
        <w:rPr>
          <w:spacing w:val="40"/>
          <w:sz w:val="24"/>
        </w:rPr>
        <w:t> </w:t>
      </w:r>
      <w:r>
        <w:rPr>
          <w:sz w:val="24"/>
        </w:rPr>
        <w:t>Indicates whether the column values were averaged before comparing to the </w:t>
      </w:r>
      <w:r>
        <w:rPr>
          <w:sz w:val="24"/>
        </w:rPr>
        <w:t>next</w:t>
      </w:r>
      <w:r>
        <w:rPr>
          <w:sz w:val="24"/>
        </w:rPr>
        <w:t> column.</w:t>
      </w:r>
      <w:r>
        <w:rPr>
          <w:spacing w:val="-14"/>
          <w:sz w:val="24"/>
        </w:rPr>
        <w:t> </w:t>
      </w:r>
      <w:r>
        <w:rPr>
          <w:sz w:val="24"/>
        </w:rPr>
        <w:t>Comparisons</w:t>
      </w:r>
      <w:r>
        <w:rPr>
          <w:spacing w:val="-15"/>
          <w:sz w:val="24"/>
        </w:rPr>
        <w:t> </w:t>
      </w:r>
      <w:r>
        <w:rPr>
          <w:sz w:val="24"/>
        </w:rPr>
        <w:t>began</w:t>
      </w:r>
      <w:r>
        <w:rPr>
          <w:spacing w:val="-15"/>
          <w:sz w:val="24"/>
        </w:rPr>
        <w:t> </w:t>
      </w:r>
      <w:r>
        <w:rPr>
          <w:sz w:val="24"/>
        </w:rPr>
        <w:t>at</w:t>
      </w:r>
      <w:r>
        <w:rPr>
          <w:spacing w:val="-15"/>
          <w:sz w:val="24"/>
        </w:rPr>
        <w:t> </w:t>
      </w:r>
      <w:r>
        <w:rPr>
          <w:sz w:val="24"/>
        </w:rPr>
        <w:t>the</w:t>
      </w:r>
      <w:r>
        <w:rPr>
          <w:spacing w:val="-15"/>
          <w:sz w:val="24"/>
        </w:rPr>
        <w:t> </w:t>
      </w:r>
      <w:r>
        <w:rPr>
          <w:sz w:val="24"/>
        </w:rPr>
        <w:t>outermost</w:t>
      </w:r>
      <w:r>
        <w:rPr>
          <w:spacing w:val="-15"/>
          <w:sz w:val="24"/>
        </w:rPr>
        <w:t> </w:t>
      </w:r>
      <w:r>
        <w:rPr>
          <w:sz w:val="24"/>
        </w:rPr>
        <w:t>columns</w:t>
      </w:r>
      <w:r>
        <w:rPr>
          <w:spacing w:val="-15"/>
          <w:sz w:val="24"/>
        </w:rPr>
        <w:t> </w:t>
      </w:r>
      <w:r>
        <w:rPr>
          <w:sz w:val="24"/>
        </w:rPr>
        <w:t>before</w:t>
      </w:r>
      <w:r>
        <w:rPr>
          <w:spacing w:val="-15"/>
          <w:sz w:val="24"/>
        </w:rPr>
        <w:t> </w:t>
      </w:r>
      <w:r>
        <w:rPr>
          <w:sz w:val="24"/>
        </w:rPr>
        <w:t>progressing</w:t>
      </w:r>
    </w:p>
    <w:p>
      <w:pPr>
        <w:pStyle w:val="BodyText"/>
        <w:tabs>
          <w:tab w:pos="8620" w:val="left" w:leader="dot"/>
        </w:tabs>
        <w:spacing w:line="274" w:lineRule="exact"/>
        <w:ind w:left="1518"/>
        <w:jc w:val="both"/>
      </w:pPr>
      <w:r>
        <w:rPr/>
        <w:t>more</w:t>
      </w:r>
      <w:r>
        <w:rPr>
          <w:spacing w:val="-6"/>
        </w:rPr>
        <w:t> </w:t>
      </w:r>
      <w:r>
        <w:rPr>
          <w:spacing w:val="-2"/>
        </w:rPr>
        <w:t>centrally</w:t>
      </w:r>
      <w:r>
        <w:rPr/>
        <w:tab/>
      </w:r>
      <w:r>
        <w:rPr>
          <w:color w:val="0000FF"/>
          <w:spacing w:val="-5"/>
        </w:rPr>
        <w:t>77</w:t>
      </w:r>
    </w:p>
    <w:p>
      <w:pPr>
        <w:pStyle w:val="ListParagraph"/>
        <w:numPr>
          <w:ilvl w:val="1"/>
          <w:numId w:val="11"/>
        </w:numPr>
        <w:tabs>
          <w:tab w:pos="1519" w:val="left" w:leader="none"/>
        </w:tabs>
        <w:spacing w:line="312" w:lineRule="auto" w:before="83" w:after="0"/>
        <w:ind w:left="1518" w:right="923" w:hanging="550"/>
        <w:jc w:val="left"/>
        <w:rPr>
          <w:sz w:val="24"/>
        </w:rPr>
      </w:pPr>
      <w:r>
        <w:rPr>
          <w:sz w:val="24"/>
        </w:rPr>
        <w:t>Statistical</w:t>
      </w:r>
      <w:r>
        <w:rPr>
          <w:spacing w:val="40"/>
          <w:sz w:val="24"/>
        </w:rPr>
        <w:t> </w:t>
      </w:r>
      <w:r>
        <w:rPr>
          <w:sz w:val="24"/>
        </w:rPr>
        <w:t>comparison</w:t>
      </w:r>
      <w:r>
        <w:rPr>
          <w:spacing w:val="40"/>
          <w:sz w:val="24"/>
        </w:rPr>
        <w:t> </w:t>
      </w:r>
      <w:r>
        <w:rPr>
          <w:sz w:val="24"/>
        </w:rPr>
        <w:t>between</w:t>
      </w:r>
      <w:r>
        <w:rPr>
          <w:spacing w:val="40"/>
          <w:sz w:val="24"/>
        </w:rPr>
        <w:t> </w:t>
      </w:r>
      <w:r>
        <w:rPr>
          <w:sz w:val="24"/>
        </w:rPr>
        <w:t>rows</w:t>
      </w:r>
      <w:r>
        <w:rPr>
          <w:spacing w:val="40"/>
          <w:sz w:val="24"/>
        </w:rPr>
        <w:t> </w:t>
      </w:r>
      <w:r>
        <w:rPr>
          <w:sz w:val="24"/>
        </w:rPr>
        <w:t>at</w:t>
      </w:r>
      <w:r>
        <w:rPr>
          <w:spacing w:val="40"/>
          <w:sz w:val="24"/>
        </w:rPr>
        <w:t> </w:t>
      </w:r>
      <w:r>
        <w:rPr>
          <w:sz w:val="24"/>
        </w:rPr>
        <w:t>an</w:t>
      </w:r>
      <w:r>
        <w:rPr>
          <w:spacing w:val="40"/>
          <w:sz w:val="24"/>
        </w:rPr>
        <w:t> </w:t>
      </w:r>
      <w:r>
        <w:rPr>
          <w:sz w:val="24"/>
        </w:rPr>
        <w:t>SESOI</w:t>
      </w:r>
      <w:r>
        <w:rPr>
          <w:spacing w:val="40"/>
          <w:sz w:val="24"/>
        </w:rPr>
        <w:t> </w:t>
      </w:r>
      <w:r>
        <w:rPr>
          <w:sz w:val="24"/>
        </w:rPr>
        <w:t>of</w:t>
      </w:r>
      <w:r>
        <w:rPr>
          <w:spacing w:val="40"/>
          <w:sz w:val="24"/>
        </w:rPr>
        <w:t> </w:t>
      </w:r>
      <w:r>
        <w:rPr>
          <w:sz w:val="24"/>
        </w:rPr>
        <w:t>1.5</w:t>
      </w:r>
      <w:r>
        <w:rPr>
          <w:spacing w:val="40"/>
          <w:sz w:val="24"/>
        </w:rPr>
        <w:t> </w:t>
      </w:r>
      <w:r>
        <w:rPr>
          <w:sz w:val="24"/>
        </w:rPr>
        <w:t>for</w:t>
      </w:r>
      <w:r>
        <w:rPr>
          <w:spacing w:val="40"/>
          <w:sz w:val="24"/>
        </w:rPr>
        <w:t> </w:t>
      </w:r>
      <w:r>
        <w:rPr>
          <w:sz w:val="24"/>
        </w:rPr>
        <w:t>EPV-13. Where</w:t>
      </w:r>
      <w:r>
        <w:rPr>
          <w:spacing w:val="-14"/>
          <w:sz w:val="24"/>
        </w:rPr>
        <w:t> </w:t>
      </w:r>
      <w:r>
        <w:rPr>
          <w:sz w:val="24"/>
        </w:rPr>
        <w:t>numbers</w:t>
      </w:r>
      <w:r>
        <w:rPr>
          <w:spacing w:val="-14"/>
          <w:sz w:val="24"/>
        </w:rPr>
        <w:t> </w:t>
      </w:r>
      <w:r>
        <w:rPr>
          <w:sz w:val="24"/>
        </w:rPr>
        <w:t>are</w:t>
      </w:r>
      <w:r>
        <w:rPr>
          <w:spacing w:val="-14"/>
          <w:sz w:val="24"/>
        </w:rPr>
        <w:t> </w:t>
      </w:r>
      <w:r>
        <w:rPr>
          <w:sz w:val="24"/>
        </w:rPr>
        <w:t>separated</w:t>
      </w:r>
      <w:r>
        <w:rPr>
          <w:spacing w:val="-14"/>
          <w:sz w:val="24"/>
        </w:rPr>
        <w:t> </w:t>
      </w:r>
      <w:r>
        <w:rPr>
          <w:sz w:val="24"/>
        </w:rPr>
        <w:t>by</w:t>
      </w:r>
      <w:r>
        <w:rPr>
          <w:spacing w:val="-14"/>
          <w:sz w:val="24"/>
        </w:rPr>
        <w:t> </w:t>
      </w:r>
      <w:r>
        <w:rPr>
          <w:sz w:val="24"/>
        </w:rPr>
        <w:t>commas,</w:t>
      </w:r>
      <w:r>
        <w:rPr>
          <w:spacing w:val="-11"/>
          <w:sz w:val="24"/>
        </w:rPr>
        <w:t> </w:t>
      </w:r>
      <w:r>
        <w:rPr>
          <w:sz w:val="24"/>
        </w:rPr>
        <w:t>they</w:t>
      </w:r>
      <w:r>
        <w:rPr>
          <w:spacing w:val="-14"/>
          <w:sz w:val="24"/>
        </w:rPr>
        <w:t> </w:t>
      </w:r>
      <w:r>
        <w:rPr>
          <w:sz w:val="24"/>
        </w:rPr>
        <w:t>have</w:t>
      </w:r>
      <w:r>
        <w:rPr>
          <w:spacing w:val="-14"/>
          <w:sz w:val="24"/>
        </w:rPr>
        <w:t> </w:t>
      </w:r>
      <w:r>
        <w:rPr>
          <w:sz w:val="24"/>
        </w:rPr>
        <w:t>been</w:t>
      </w:r>
      <w:r>
        <w:rPr>
          <w:spacing w:val="-14"/>
          <w:sz w:val="24"/>
        </w:rPr>
        <w:t> </w:t>
      </w:r>
      <w:r>
        <w:rPr>
          <w:sz w:val="24"/>
        </w:rPr>
        <w:t>averaged</w:t>
      </w:r>
      <w:r>
        <w:rPr>
          <w:spacing w:val="-14"/>
          <w:sz w:val="24"/>
        </w:rPr>
        <w:t> </w:t>
      </w:r>
      <w:r>
        <w:rPr>
          <w:sz w:val="24"/>
        </w:rPr>
        <w:t>within the linear mixed model.</w:t>
      </w:r>
      <w:r>
        <w:rPr>
          <w:spacing w:val="80"/>
          <w:sz w:val="24"/>
        </w:rPr>
        <w:t> </w:t>
      </w:r>
      <w:r>
        <w:rPr>
          <w:sz w:val="24"/>
        </w:rPr>
        <w:t>Difference and significance provide the mean difference (95% confidence intervals) between the rows and whether this was</w:t>
      </w:r>
      <w:r>
        <w:rPr>
          <w:spacing w:val="-15"/>
          <w:sz w:val="24"/>
        </w:rPr>
        <w:t> </w:t>
      </w:r>
      <w:r>
        <w:rPr>
          <w:sz w:val="24"/>
        </w:rPr>
        <w:t>significant</w:t>
      </w:r>
      <w:r>
        <w:rPr>
          <w:spacing w:val="-15"/>
          <w:sz w:val="24"/>
        </w:rPr>
        <w:t> </w:t>
      </w:r>
      <w:r>
        <w:rPr>
          <w:sz w:val="24"/>
        </w:rPr>
        <w:t>according</w:t>
      </w:r>
      <w:r>
        <w:rPr>
          <w:spacing w:val="-15"/>
          <w:sz w:val="24"/>
        </w:rPr>
        <w:t> </w:t>
      </w:r>
      <w:r>
        <w:rPr>
          <w:sz w:val="24"/>
        </w:rPr>
        <w:t>to</w:t>
      </w:r>
      <w:r>
        <w:rPr>
          <w:spacing w:val="-15"/>
          <w:sz w:val="24"/>
        </w:rPr>
        <w:t> </w:t>
      </w:r>
      <w:r>
        <w:rPr>
          <w:sz w:val="24"/>
        </w:rPr>
        <w:t>an</w:t>
      </w:r>
      <w:r>
        <w:rPr>
          <w:spacing w:val="-15"/>
          <w:sz w:val="24"/>
        </w:rPr>
        <w:t> </w:t>
      </w:r>
      <w:r>
        <w:rPr>
          <w:sz w:val="24"/>
        </w:rPr>
        <w:t>SESOI</w:t>
      </w:r>
      <w:r>
        <w:rPr>
          <w:spacing w:val="-15"/>
          <w:sz w:val="24"/>
        </w:rPr>
        <w:t> </w:t>
      </w:r>
      <w:r>
        <w:rPr>
          <w:sz w:val="24"/>
        </w:rPr>
        <w:t>of</w:t>
      </w:r>
      <w:r>
        <w:rPr>
          <w:spacing w:val="-15"/>
          <w:sz w:val="24"/>
        </w:rPr>
        <w:t> </w:t>
      </w:r>
      <w:r>
        <w:rPr>
          <w:sz w:val="24"/>
        </w:rPr>
        <w:t>1.5.</w:t>
      </w:r>
      <w:r>
        <w:rPr>
          <w:spacing w:val="-15"/>
          <w:sz w:val="24"/>
        </w:rPr>
        <w:t> </w:t>
      </w:r>
      <w:r>
        <w:rPr>
          <w:sz w:val="24"/>
        </w:rPr>
        <w:t>Combine?</w:t>
      </w:r>
      <w:r>
        <w:rPr>
          <w:spacing w:val="-15"/>
          <w:sz w:val="24"/>
        </w:rPr>
        <w:t> </w:t>
      </w:r>
      <w:r>
        <w:rPr>
          <w:sz w:val="24"/>
        </w:rPr>
        <w:t>Indicates</w:t>
      </w:r>
      <w:r>
        <w:rPr>
          <w:spacing w:val="-15"/>
          <w:sz w:val="24"/>
        </w:rPr>
        <w:t> </w:t>
      </w:r>
      <w:r>
        <w:rPr>
          <w:sz w:val="24"/>
        </w:rPr>
        <w:t>whether</w:t>
      </w:r>
      <w:r>
        <w:rPr>
          <w:sz w:val="24"/>
        </w:rPr>
        <w:t> the</w:t>
      </w:r>
      <w:r>
        <w:rPr>
          <w:spacing w:val="-8"/>
          <w:sz w:val="24"/>
        </w:rPr>
        <w:t> </w:t>
      </w:r>
      <w:r>
        <w:rPr>
          <w:sz w:val="24"/>
        </w:rPr>
        <w:t>row</w:t>
      </w:r>
      <w:r>
        <w:rPr>
          <w:spacing w:val="-8"/>
          <w:sz w:val="24"/>
        </w:rPr>
        <w:t> </w:t>
      </w:r>
      <w:r>
        <w:rPr>
          <w:sz w:val="24"/>
        </w:rPr>
        <w:t>values</w:t>
      </w:r>
      <w:r>
        <w:rPr>
          <w:spacing w:val="-8"/>
          <w:sz w:val="24"/>
        </w:rPr>
        <w:t> </w:t>
      </w:r>
      <w:r>
        <w:rPr>
          <w:sz w:val="24"/>
        </w:rPr>
        <w:t>were</w:t>
      </w:r>
      <w:r>
        <w:rPr>
          <w:spacing w:val="-8"/>
          <w:sz w:val="24"/>
        </w:rPr>
        <w:t> </w:t>
      </w:r>
      <w:r>
        <w:rPr>
          <w:sz w:val="24"/>
        </w:rPr>
        <w:t>averaged</w:t>
      </w:r>
      <w:r>
        <w:rPr>
          <w:spacing w:val="-8"/>
          <w:sz w:val="24"/>
        </w:rPr>
        <w:t> </w:t>
      </w:r>
      <w:r>
        <w:rPr>
          <w:sz w:val="24"/>
        </w:rPr>
        <w:t>before</w:t>
      </w:r>
      <w:r>
        <w:rPr>
          <w:spacing w:val="-8"/>
          <w:sz w:val="24"/>
        </w:rPr>
        <w:t> </w:t>
      </w:r>
      <w:r>
        <w:rPr>
          <w:sz w:val="24"/>
        </w:rPr>
        <w:t>comparing</w:t>
      </w:r>
      <w:r>
        <w:rPr>
          <w:spacing w:val="-8"/>
          <w:sz w:val="24"/>
        </w:rPr>
        <w:t> </w:t>
      </w:r>
      <w:r>
        <w:rPr>
          <w:sz w:val="24"/>
        </w:rPr>
        <w:t>to</w:t>
      </w:r>
      <w:r>
        <w:rPr>
          <w:spacing w:val="-8"/>
          <w:sz w:val="24"/>
        </w:rPr>
        <w:t> </w:t>
      </w:r>
      <w:r>
        <w:rPr>
          <w:sz w:val="24"/>
        </w:rPr>
        <w:t>the</w:t>
      </w:r>
      <w:r>
        <w:rPr>
          <w:spacing w:val="-8"/>
          <w:sz w:val="24"/>
        </w:rPr>
        <w:t> </w:t>
      </w:r>
      <w:r>
        <w:rPr>
          <w:sz w:val="24"/>
        </w:rPr>
        <w:t>next</w:t>
      </w:r>
      <w:r>
        <w:rPr>
          <w:spacing w:val="-8"/>
          <w:sz w:val="24"/>
        </w:rPr>
        <w:t> </w:t>
      </w:r>
      <w:r>
        <w:rPr>
          <w:sz w:val="24"/>
        </w:rPr>
        <w:t>row. Compar- isons began inside the attacking teams try area before progressing up the</w:t>
      </w:r>
    </w:p>
    <w:p>
      <w:pPr>
        <w:pStyle w:val="BodyText"/>
        <w:tabs>
          <w:tab w:pos="8620" w:val="left" w:leader="dot"/>
        </w:tabs>
        <w:spacing w:line="274" w:lineRule="exact"/>
        <w:ind w:left="1518"/>
      </w:pPr>
      <w:r>
        <w:rPr/>
        <w:t>pitch</w:t>
      </w:r>
      <w:r>
        <w:rPr>
          <w:spacing w:val="-6"/>
        </w:rPr>
        <w:t> </w:t>
      </w:r>
      <w:r>
        <w:rPr/>
        <w:t>to</w:t>
      </w:r>
      <w:r>
        <w:rPr>
          <w:spacing w:val="-5"/>
        </w:rPr>
        <w:t> </w:t>
      </w:r>
      <w:r>
        <w:rPr/>
        <w:t>the</w:t>
      </w:r>
      <w:r>
        <w:rPr>
          <w:spacing w:val="-6"/>
        </w:rPr>
        <w:t> </w:t>
      </w:r>
      <w:r>
        <w:rPr/>
        <w:t>opposition</w:t>
      </w:r>
      <w:r>
        <w:rPr>
          <w:spacing w:val="-5"/>
        </w:rPr>
        <w:t> </w:t>
      </w:r>
      <w:r>
        <w:rPr/>
        <w:t>try</w:t>
      </w:r>
      <w:r>
        <w:rPr>
          <w:spacing w:val="-6"/>
        </w:rPr>
        <w:t> </w:t>
      </w:r>
      <w:r>
        <w:rPr>
          <w:spacing w:val="-2"/>
        </w:rPr>
        <w:t>area.</w:t>
      </w:r>
      <w:r>
        <w:rPr/>
        <w:tab/>
      </w:r>
      <w:r>
        <w:rPr>
          <w:color w:val="0000FF"/>
          <w:spacing w:val="-5"/>
        </w:rPr>
        <w:t>77</w:t>
      </w:r>
    </w:p>
    <w:p>
      <w:pPr>
        <w:pStyle w:val="ListParagraph"/>
        <w:numPr>
          <w:ilvl w:val="1"/>
          <w:numId w:val="11"/>
        </w:numPr>
        <w:tabs>
          <w:tab w:pos="1519" w:val="left" w:leader="none"/>
        </w:tabs>
        <w:spacing w:line="312" w:lineRule="auto" w:before="82" w:after="0"/>
        <w:ind w:left="1518" w:right="998" w:hanging="550"/>
        <w:jc w:val="both"/>
        <w:rPr>
          <w:sz w:val="24"/>
        </w:rPr>
      </w:pPr>
      <w:r>
        <w:rPr>
          <w:sz w:val="24"/>
        </w:rPr>
        <w:t>Statistical comparison between columns at an SESOI of 2.0 for </w:t>
      </w:r>
      <w:r>
        <w:rPr>
          <w:sz w:val="24"/>
        </w:rPr>
        <w:t>EPV-9.</w:t>
      </w:r>
      <w:r>
        <w:rPr>
          <w:sz w:val="24"/>
        </w:rPr>
        <w:t> </w:t>
      </w:r>
      <w:r>
        <w:rPr>
          <w:spacing w:val="-2"/>
          <w:sz w:val="24"/>
        </w:rPr>
        <w:t>Where</w:t>
      </w:r>
      <w:r>
        <w:rPr>
          <w:spacing w:val="-10"/>
          <w:sz w:val="24"/>
        </w:rPr>
        <w:t> </w:t>
      </w:r>
      <w:r>
        <w:rPr>
          <w:spacing w:val="-2"/>
          <w:sz w:val="24"/>
        </w:rPr>
        <w:t>numbers</w:t>
      </w:r>
      <w:r>
        <w:rPr>
          <w:spacing w:val="-10"/>
          <w:sz w:val="24"/>
        </w:rPr>
        <w:t> </w:t>
      </w:r>
      <w:r>
        <w:rPr>
          <w:spacing w:val="-2"/>
          <w:sz w:val="24"/>
        </w:rPr>
        <w:t>are</w:t>
      </w:r>
      <w:r>
        <w:rPr>
          <w:spacing w:val="-10"/>
          <w:sz w:val="24"/>
        </w:rPr>
        <w:t> </w:t>
      </w:r>
      <w:r>
        <w:rPr>
          <w:spacing w:val="-2"/>
          <w:sz w:val="24"/>
        </w:rPr>
        <w:t>separated</w:t>
      </w:r>
      <w:r>
        <w:rPr>
          <w:spacing w:val="-10"/>
          <w:sz w:val="24"/>
        </w:rPr>
        <w:t> </w:t>
      </w:r>
      <w:r>
        <w:rPr>
          <w:spacing w:val="-2"/>
          <w:sz w:val="24"/>
        </w:rPr>
        <w:t>by</w:t>
      </w:r>
      <w:r>
        <w:rPr>
          <w:spacing w:val="-10"/>
          <w:sz w:val="24"/>
        </w:rPr>
        <w:t> </w:t>
      </w:r>
      <w:r>
        <w:rPr>
          <w:spacing w:val="-2"/>
          <w:sz w:val="24"/>
        </w:rPr>
        <w:t>commas,</w:t>
      </w:r>
      <w:r>
        <w:rPr>
          <w:spacing w:val="-7"/>
          <w:sz w:val="24"/>
        </w:rPr>
        <w:t> </w:t>
      </w:r>
      <w:r>
        <w:rPr>
          <w:spacing w:val="-2"/>
          <w:sz w:val="24"/>
        </w:rPr>
        <w:t>they</w:t>
      </w:r>
      <w:r>
        <w:rPr>
          <w:spacing w:val="-10"/>
          <w:sz w:val="24"/>
        </w:rPr>
        <w:t> </w:t>
      </w:r>
      <w:r>
        <w:rPr>
          <w:spacing w:val="-2"/>
          <w:sz w:val="24"/>
        </w:rPr>
        <w:t>have</w:t>
      </w:r>
      <w:r>
        <w:rPr>
          <w:spacing w:val="-10"/>
          <w:sz w:val="24"/>
        </w:rPr>
        <w:t> </w:t>
      </w:r>
      <w:r>
        <w:rPr>
          <w:spacing w:val="-2"/>
          <w:sz w:val="24"/>
        </w:rPr>
        <w:t>been</w:t>
      </w:r>
      <w:r>
        <w:rPr>
          <w:spacing w:val="-10"/>
          <w:sz w:val="24"/>
        </w:rPr>
        <w:t> </w:t>
      </w:r>
      <w:r>
        <w:rPr>
          <w:spacing w:val="-2"/>
          <w:sz w:val="24"/>
        </w:rPr>
        <w:t>averaged</w:t>
      </w:r>
      <w:r>
        <w:rPr>
          <w:spacing w:val="-10"/>
          <w:sz w:val="24"/>
        </w:rPr>
        <w:t> </w:t>
      </w:r>
      <w:r>
        <w:rPr>
          <w:spacing w:val="-2"/>
          <w:sz w:val="24"/>
        </w:rPr>
        <w:t>withi</w:t>
      </w:r>
      <w:r>
        <w:rPr>
          <w:spacing w:val="-2"/>
          <w:sz w:val="24"/>
        </w:rPr>
        <w:t>n</w:t>
      </w:r>
      <w:r>
        <w:rPr>
          <w:spacing w:val="-2"/>
          <w:sz w:val="24"/>
        </w:rPr>
        <w:t> </w:t>
      </w:r>
      <w:r>
        <w:rPr>
          <w:sz w:val="24"/>
        </w:rPr>
        <w:t>the linear mixed model.</w:t>
      </w:r>
      <w:r>
        <w:rPr>
          <w:spacing w:val="40"/>
          <w:sz w:val="24"/>
        </w:rPr>
        <w:t> </w:t>
      </w:r>
      <w:r>
        <w:rPr>
          <w:sz w:val="24"/>
        </w:rPr>
        <w:t>Difference and significance provide the </w:t>
      </w:r>
      <w:r>
        <w:rPr>
          <w:sz w:val="24"/>
        </w:rPr>
        <w:t>mean</w:t>
      </w:r>
      <w:r>
        <w:rPr>
          <w:sz w:val="24"/>
        </w:rPr>
        <w:t> difference</w:t>
      </w:r>
      <w:r>
        <w:rPr>
          <w:spacing w:val="-1"/>
          <w:sz w:val="24"/>
        </w:rPr>
        <w:t> </w:t>
      </w:r>
      <w:r>
        <w:rPr>
          <w:sz w:val="24"/>
        </w:rPr>
        <w:t>(95%</w:t>
      </w:r>
      <w:r>
        <w:rPr>
          <w:spacing w:val="-1"/>
          <w:sz w:val="24"/>
        </w:rPr>
        <w:t> </w:t>
      </w:r>
      <w:r>
        <w:rPr>
          <w:sz w:val="24"/>
        </w:rPr>
        <w:t>confidence</w:t>
      </w:r>
      <w:r>
        <w:rPr>
          <w:spacing w:val="-1"/>
          <w:sz w:val="24"/>
        </w:rPr>
        <w:t> </w:t>
      </w:r>
      <w:r>
        <w:rPr>
          <w:sz w:val="24"/>
        </w:rPr>
        <w:t>intervals)</w:t>
      </w:r>
      <w:r>
        <w:rPr>
          <w:spacing w:val="-1"/>
          <w:sz w:val="24"/>
        </w:rPr>
        <w:t> </w:t>
      </w:r>
      <w:r>
        <w:rPr>
          <w:sz w:val="24"/>
        </w:rPr>
        <w:t>between</w:t>
      </w:r>
      <w:r>
        <w:rPr>
          <w:spacing w:val="-1"/>
          <w:sz w:val="24"/>
        </w:rPr>
        <w:t> </w:t>
      </w:r>
      <w:r>
        <w:rPr>
          <w:sz w:val="24"/>
        </w:rPr>
        <w:t>the</w:t>
      </w:r>
      <w:r>
        <w:rPr>
          <w:spacing w:val="-1"/>
          <w:sz w:val="24"/>
        </w:rPr>
        <w:t> </w:t>
      </w:r>
      <w:r>
        <w:rPr>
          <w:sz w:val="24"/>
        </w:rPr>
        <w:t>columns</w:t>
      </w:r>
      <w:r>
        <w:rPr>
          <w:spacing w:val="-1"/>
          <w:sz w:val="24"/>
        </w:rPr>
        <w:t> </w:t>
      </w:r>
      <w:r>
        <w:rPr>
          <w:sz w:val="24"/>
        </w:rPr>
        <w:t>and</w:t>
      </w:r>
      <w:r>
        <w:rPr>
          <w:spacing w:val="-1"/>
          <w:sz w:val="24"/>
        </w:rPr>
        <w:t> </w:t>
      </w:r>
      <w:r>
        <w:rPr>
          <w:sz w:val="24"/>
        </w:rPr>
        <w:t>whether</w:t>
      </w:r>
      <w:r>
        <w:rPr>
          <w:sz w:val="24"/>
        </w:rPr>
        <w:t> this was significant according to an SESOI of 2.0.</w:t>
      </w:r>
      <w:r>
        <w:rPr>
          <w:spacing w:val="40"/>
          <w:sz w:val="24"/>
        </w:rPr>
        <w:t> </w:t>
      </w:r>
      <w:r>
        <w:rPr>
          <w:sz w:val="24"/>
        </w:rPr>
        <w:t>Combine?</w:t>
      </w:r>
      <w:r>
        <w:rPr>
          <w:spacing w:val="40"/>
          <w:sz w:val="24"/>
        </w:rPr>
        <w:t> </w:t>
      </w:r>
      <w:r>
        <w:rPr>
          <w:sz w:val="24"/>
        </w:rPr>
        <w:t>Indicates whether the column values were averaged before comparing to the </w:t>
      </w:r>
      <w:r>
        <w:rPr>
          <w:sz w:val="24"/>
        </w:rPr>
        <w:t>next</w:t>
      </w:r>
      <w:r>
        <w:rPr>
          <w:sz w:val="24"/>
        </w:rPr>
        <w:t> column.</w:t>
      </w:r>
      <w:r>
        <w:rPr>
          <w:spacing w:val="-14"/>
          <w:sz w:val="24"/>
        </w:rPr>
        <w:t> </w:t>
      </w:r>
      <w:r>
        <w:rPr>
          <w:sz w:val="24"/>
        </w:rPr>
        <w:t>Comparisons</w:t>
      </w:r>
      <w:r>
        <w:rPr>
          <w:spacing w:val="-15"/>
          <w:sz w:val="24"/>
        </w:rPr>
        <w:t> </w:t>
      </w:r>
      <w:r>
        <w:rPr>
          <w:sz w:val="24"/>
        </w:rPr>
        <w:t>began</w:t>
      </w:r>
      <w:r>
        <w:rPr>
          <w:spacing w:val="-15"/>
          <w:sz w:val="24"/>
        </w:rPr>
        <w:t> </w:t>
      </w:r>
      <w:r>
        <w:rPr>
          <w:sz w:val="24"/>
        </w:rPr>
        <w:t>at</w:t>
      </w:r>
      <w:r>
        <w:rPr>
          <w:spacing w:val="-15"/>
          <w:sz w:val="24"/>
        </w:rPr>
        <w:t> </w:t>
      </w:r>
      <w:r>
        <w:rPr>
          <w:sz w:val="24"/>
        </w:rPr>
        <w:t>the</w:t>
      </w:r>
      <w:r>
        <w:rPr>
          <w:spacing w:val="-15"/>
          <w:sz w:val="24"/>
        </w:rPr>
        <w:t> </w:t>
      </w:r>
      <w:r>
        <w:rPr>
          <w:sz w:val="24"/>
        </w:rPr>
        <w:t>outermost</w:t>
      </w:r>
      <w:r>
        <w:rPr>
          <w:spacing w:val="-15"/>
          <w:sz w:val="24"/>
        </w:rPr>
        <w:t> </w:t>
      </w:r>
      <w:r>
        <w:rPr>
          <w:sz w:val="24"/>
        </w:rPr>
        <w:t>columns</w:t>
      </w:r>
      <w:r>
        <w:rPr>
          <w:spacing w:val="-15"/>
          <w:sz w:val="24"/>
        </w:rPr>
        <w:t> </w:t>
      </w:r>
      <w:r>
        <w:rPr>
          <w:sz w:val="24"/>
        </w:rPr>
        <w:t>before</w:t>
      </w:r>
      <w:r>
        <w:rPr>
          <w:spacing w:val="-15"/>
          <w:sz w:val="24"/>
        </w:rPr>
        <w:t> </w:t>
      </w:r>
      <w:r>
        <w:rPr>
          <w:sz w:val="24"/>
        </w:rPr>
        <w:t>progressing</w:t>
      </w:r>
    </w:p>
    <w:p>
      <w:pPr>
        <w:pStyle w:val="BodyText"/>
        <w:tabs>
          <w:tab w:pos="8620" w:val="left" w:leader="dot"/>
        </w:tabs>
        <w:spacing w:line="274" w:lineRule="exact"/>
        <w:ind w:left="1518"/>
        <w:jc w:val="both"/>
      </w:pPr>
      <w:r>
        <w:rPr/>
        <w:t>more</w:t>
      </w:r>
      <w:r>
        <w:rPr>
          <w:spacing w:val="-6"/>
        </w:rPr>
        <w:t> </w:t>
      </w:r>
      <w:r>
        <w:rPr>
          <w:spacing w:val="-2"/>
        </w:rPr>
        <w:t>centrally</w:t>
      </w:r>
      <w:r>
        <w:rPr/>
        <w:tab/>
      </w:r>
      <w:r>
        <w:rPr>
          <w:color w:val="0000FF"/>
          <w:spacing w:val="-5"/>
        </w:rPr>
        <w:t>78</w:t>
      </w:r>
    </w:p>
    <w:p>
      <w:pPr>
        <w:spacing w:after="0" w:line="274" w:lineRule="exact"/>
        <w:jc w:val="both"/>
        <w:sectPr>
          <w:pgSz w:w="11910" w:h="16840"/>
          <w:pgMar w:header="1961" w:footer="1428" w:top="2280" w:bottom="1620" w:left="1680" w:right="720"/>
        </w:sectPr>
      </w:pPr>
    </w:p>
    <w:p>
      <w:pPr>
        <w:pStyle w:val="ListParagraph"/>
        <w:numPr>
          <w:ilvl w:val="1"/>
          <w:numId w:val="11"/>
        </w:numPr>
        <w:tabs>
          <w:tab w:pos="1519" w:val="left" w:leader="none"/>
        </w:tabs>
        <w:spacing w:line="312" w:lineRule="auto" w:before="572" w:after="0"/>
        <w:ind w:left="1518" w:right="983" w:hanging="550"/>
        <w:jc w:val="both"/>
        <w:rPr>
          <w:sz w:val="24"/>
        </w:rPr>
      </w:pPr>
      <w:r>
        <w:rPr>
          <w:spacing w:val="-2"/>
          <w:sz w:val="24"/>
        </w:rPr>
        <w:t>Statistical</w:t>
      </w:r>
      <w:r>
        <w:rPr>
          <w:spacing w:val="-12"/>
          <w:sz w:val="24"/>
        </w:rPr>
        <w:t> </w:t>
      </w:r>
      <w:r>
        <w:rPr>
          <w:spacing w:val="-2"/>
          <w:sz w:val="24"/>
        </w:rPr>
        <w:t>comparison</w:t>
      </w:r>
      <w:r>
        <w:rPr>
          <w:spacing w:val="-12"/>
          <w:sz w:val="24"/>
        </w:rPr>
        <w:t> </w:t>
      </w:r>
      <w:r>
        <w:rPr>
          <w:spacing w:val="-2"/>
          <w:sz w:val="24"/>
        </w:rPr>
        <w:t>between</w:t>
      </w:r>
      <w:r>
        <w:rPr>
          <w:spacing w:val="-12"/>
          <w:sz w:val="24"/>
        </w:rPr>
        <w:t> </w:t>
      </w:r>
      <w:r>
        <w:rPr>
          <w:spacing w:val="-2"/>
          <w:sz w:val="24"/>
        </w:rPr>
        <w:t>rows</w:t>
      </w:r>
      <w:r>
        <w:rPr>
          <w:spacing w:val="-12"/>
          <w:sz w:val="24"/>
        </w:rPr>
        <w:t> </w:t>
      </w:r>
      <w:r>
        <w:rPr>
          <w:spacing w:val="-2"/>
          <w:sz w:val="24"/>
        </w:rPr>
        <w:t>at</w:t>
      </w:r>
      <w:r>
        <w:rPr>
          <w:spacing w:val="-12"/>
          <w:sz w:val="24"/>
        </w:rPr>
        <w:t> </w:t>
      </w:r>
      <w:r>
        <w:rPr>
          <w:spacing w:val="-2"/>
          <w:sz w:val="24"/>
        </w:rPr>
        <w:t>an</w:t>
      </w:r>
      <w:r>
        <w:rPr>
          <w:spacing w:val="-12"/>
          <w:sz w:val="24"/>
        </w:rPr>
        <w:t> </w:t>
      </w:r>
      <w:r>
        <w:rPr>
          <w:spacing w:val="-2"/>
          <w:sz w:val="24"/>
        </w:rPr>
        <w:t>SESOI</w:t>
      </w:r>
      <w:r>
        <w:rPr>
          <w:spacing w:val="-12"/>
          <w:sz w:val="24"/>
        </w:rPr>
        <w:t> </w:t>
      </w:r>
      <w:r>
        <w:rPr>
          <w:spacing w:val="-2"/>
          <w:sz w:val="24"/>
        </w:rPr>
        <w:t>of</w:t>
      </w:r>
      <w:r>
        <w:rPr>
          <w:spacing w:val="-12"/>
          <w:sz w:val="24"/>
        </w:rPr>
        <w:t> </w:t>
      </w:r>
      <w:r>
        <w:rPr>
          <w:spacing w:val="-2"/>
          <w:sz w:val="24"/>
        </w:rPr>
        <w:t>2.0</w:t>
      </w:r>
      <w:r>
        <w:rPr>
          <w:spacing w:val="-12"/>
          <w:sz w:val="24"/>
        </w:rPr>
        <w:t> </w:t>
      </w:r>
      <w:r>
        <w:rPr>
          <w:spacing w:val="-2"/>
          <w:sz w:val="24"/>
        </w:rPr>
        <w:t>for</w:t>
      </w:r>
      <w:r>
        <w:rPr>
          <w:spacing w:val="-12"/>
          <w:sz w:val="24"/>
        </w:rPr>
        <w:t> </w:t>
      </w:r>
      <w:r>
        <w:rPr>
          <w:spacing w:val="-2"/>
          <w:sz w:val="24"/>
        </w:rPr>
        <w:t>EPV-9.</w:t>
      </w:r>
      <w:r>
        <w:rPr>
          <w:spacing w:val="9"/>
          <w:sz w:val="24"/>
        </w:rPr>
        <w:t> </w:t>
      </w:r>
      <w:r>
        <w:rPr>
          <w:spacing w:val="-2"/>
          <w:sz w:val="24"/>
        </w:rPr>
        <w:t>Wher</w:t>
      </w:r>
      <w:r>
        <w:rPr>
          <w:spacing w:val="-2"/>
          <w:sz w:val="24"/>
        </w:rPr>
        <w:t>e</w:t>
      </w:r>
      <w:r>
        <w:rPr>
          <w:spacing w:val="-2"/>
          <w:sz w:val="24"/>
        </w:rPr>
        <w:t> </w:t>
      </w:r>
      <w:r>
        <w:rPr>
          <w:sz w:val="24"/>
        </w:rPr>
        <w:t>numbers are separated by commas, they have been averaged within the linear</w:t>
      </w:r>
      <w:r>
        <w:rPr>
          <w:spacing w:val="-9"/>
          <w:sz w:val="24"/>
        </w:rPr>
        <w:t> </w:t>
      </w:r>
      <w:r>
        <w:rPr>
          <w:sz w:val="24"/>
        </w:rPr>
        <w:t>mixed</w:t>
      </w:r>
      <w:r>
        <w:rPr>
          <w:spacing w:val="-9"/>
          <w:sz w:val="24"/>
        </w:rPr>
        <w:t> </w:t>
      </w:r>
      <w:r>
        <w:rPr>
          <w:sz w:val="24"/>
        </w:rPr>
        <w:t>model. Difference</w:t>
      </w:r>
      <w:r>
        <w:rPr>
          <w:spacing w:val="-9"/>
          <w:sz w:val="24"/>
        </w:rPr>
        <w:t> </w:t>
      </w:r>
      <w:r>
        <w:rPr>
          <w:sz w:val="24"/>
        </w:rPr>
        <w:t>and</w:t>
      </w:r>
      <w:r>
        <w:rPr>
          <w:spacing w:val="-9"/>
          <w:sz w:val="24"/>
        </w:rPr>
        <w:t> </w:t>
      </w:r>
      <w:r>
        <w:rPr>
          <w:sz w:val="24"/>
        </w:rPr>
        <w:t>significance</w:t>
      </w:r>
      <w:r>
        <w:rPr>
          <w:spacing w:val="-9"/>
          <w:sz w:val="24"/>
        </w:rPr>
        <w:t> </w:t>
      </w:r>
      <w:r>
        <w:rPr>
          <w:sz w:val="24"/>
        </w:rPr>
        <w:t>provide</w:t>
      </w:r>
      <w:r>
        <w:rPr>
          <w:spacing w:val="-9"/>
          <w:sz w:val="24"/>
        </w:rPr>
        <w:t> </w:t>
      </w:r>
      <w:r>
        <w:rPr>
          <w:sz w:val="24"/>
        </w:rPr>
        <w:t>the</w:t>
      </w:r>
      <w:r>
        <w:rPr>
          <w:spacing w:val="-9"/>
          <w:sz w:val="24"/>
        </w:rPr>
        <w:t> </w:t>
      </w:r>
      <w:r>
        <w:rPr>
          <w:sz w:val="24"/>
        </w:rPr>
        <w:t>mean</w:t>
      </w:r>
      <w:r>
        <w:rPr>
          <w:spacing w:val="-9"/>
          <w:sz w:val="24"/>
        </w:rPr>
        <w:t> </w:t>
      </w:r>
      <w:r>
        <w:rPr>
          <w:sz w:val="24"/>
        </w:rPr>
        <w:t>differ- ence (95% confidence intervals) between the rows and whether this was significant according to an SESOI of 2.0.</w:t>
      </w:r>
      <w:r>
        <w:rPr>
          <w:spacing w:val="40"/>
          <w:sz w:val="24"/>
        </w:rPr>
        <w:t> </w:t>
      </w:r>
      <w:r>
        <w:rPr>
          <w:sz w:val="24"/>
        </w:rPr>
        <w:t>Combine?</w:t>
      </w:r>
      <w:r>
        <w:rPr>
          <w:spacing w:val="40"/>
          <w:sz w:val="24"/>
        </w:rPr>
        <w:t> </w:t>
      </w:r>
      <w:r>
        <w:rPr>
          <w:sz w:val="24"/>
        </w:rPr>
        <w:t>Indicates whether the</w:t>
      </w:r>
      <w:r>
        <w:rPr>
          <w:spacing w:val="-13"/>
          <w:sz w:val="24"/>
        </w:rPr>
        <w:t> </w:t>
      </w:r>
      <w:r>
        <w:rPr>
          <w:sz w:val="24"/>
        </w:rPr>
        <w:t>row</w:t>
      </w:r>
      <w:r>
        <w:rPr>
          <w:spacing w:val="-13"/>
          <w:sz w:val="24"/>
        </w:rPr>
        <w:t> </w:t>
      </w:r>
      <w:r>
        <w:rPr>
          <w:sz w:val="24"/>
        </w:rPr>
        <w:t>values</w:t>
      </w:r>
      <w:r>
        <w:rPr>
          <w:spacing w:val="-13"/>
          <w:sz w:val="24"/>
        </w:rPr>
        <w:t> </w:t>
      </w:r>
      <w:r>
        <w:rPr>
          <w:sz w:val="24"/>
        </w:rPr>
        <w:t>were</w:t>
      </w:r>
      <w:r>
        <w:rPr>
          <w:spacing w:val="-13"/>
          <w:sz w:val="24"/>
        </w:rPr>
        <w:t> </w:t>
      </w:r>
      <w:r>
        <w:rPr>
          <w:sz w:val="24"/>
        </w:rPr>
        <w:t>averaged</w:t>
      </w:r>
      <w:r>
        <w:rPr>
          <w:spacing w:val="-13"/>
          <w:sz w:val="24"/>
        </w:rPr>
        <w:t> </w:t>
      </w:r>
      <w:r>
        <w:rPr>
          <w:sz w:val="24"/>
        </w:rPr>
        <w:t>before</w:t>
      </w:r>
      <w:r>
        <w:rPr>
          <w:spacing w:val="-13"/>
          <w:sz w:val="24"/>
        </w:rPr>
        <w:t> </w:t>
      </w:r>
      <w:r>
        <w:rPr>
          <w:sz w:val="24"/>
        </w:rPr>
        <w:t>comparing</w:t>
      </w:r>
      <w:r>
        <w:rPr>
          <w:spacing w:val="-13"/>
          <w:sz w:val="24"/>
        </w:rPr>
        <w:t> </w:t>
      </w:r>
      <w:r>
        <w:rPr>
          <w:sz w:val="24"/>
        </w:rPr>
        <w:t>to</w:t>
      </w:r>
      <w:r>
        <w:rPr>
          <w:spacing w:val="-13"/>
          <w:sz w:val="24"/>
        </w:rPr>
        <w:t> </w:t>
      </w:r>
      <w:r>
        <w:rPr>
          <w:sz w:val="24"/>
        </w:rPr>
        <w:t>the</w:t>
      </w:r>
      <w:r>
        <w:rPr>
          <w:spacing w:val="-13"/>
          <w:sz w:val="24"/>
        </w:rPr>
        <w:t> </w:t>
      </w:r>
      <w:r>
        <w:rPr>
          <w:sz w:val="24"/>
        </w:rPr>
        <w:t>next</w:t>
      </w:r>
      <w:r>
        <w:rPr>
          <w:spacing w:val="-13"/>
          <w:sz w:val="24"/>
        </w:rPr>
        <w:t> </w:t>
      </w:r>
      <w:r>
        <w:rPr>
          <w:sz w:val="24"/>
        </w:rPr>
        <w:t>row. Compar- isons began inside the attacking teams try area before progressing up the</w:t>
      </w:r>
    </w:p>
    <w:p>
      <w:pPr>
        <w:pStyle w:val="BodyText"/>
        <w:tabs>
          <w:tab w:pos="8620" w:val="left" w:leader="dot"/>
        </w:tabs>
        <w:spacing w:line="274" w:lineRule="exact"/>
        <w:ind w:left="1518"/>
        <w:jc w:val="both"/>
      </w:pPr>
      <w:r>
        <w:rPr/>
        <w:t>pitch</w:t>
      </w:r>
      <w:r>
        <w:rPr>
          <w:spacing w:val="-6"/>
        </w:rPr>
        <w:t> </w:t>
      </w:r>
      <w:r>
        <w:rPr/>
        <w:t>to</w:t>
      </w:r>
      <w:r>
        <w:rPr>
          <w:spacing w:val="-5"/>
        </w:rPr>
        <w:t> </w:t>
      </w:r>
      <w:r>
        <w:rPr/>
        <w:t>the</w:t>
      </w:r>
      <w:r>
        <w:rPr>
          <w:spacing w:val="-6"/>
        </w:rPr>
        <w:t> </w:t>
      </w:r>
      <w:r>
        <w:rPr/>
        <w:t>opposition</w:t>
      </w:r>
      <w:r>
        <w:rPr>
          <w:spacing w:val="-5"/>
        </w:rPr>
        <w:t> </w:t>
      </w:r>
      <w:r>
        <w:rPr/>
        <w:t>try</w:t>
      </w:r>
      <w:r>
        <w:rPr>
          <w:spacing w:val="-6"/>
        </w:rPr>
        <w:t> </w:t>
      </w:r>
      <w:r>
        <w:rPr>
          <w:spacing w:val="-2"/>
        </w:rPr>
        <w:t>area.</w:t>
      </w:r>
      <w:r>
        <w:rPr/>
        <w:tab/>
      </w:r>
      <w:r>
        <w:rPr>
          <w:color w:val="0000FF"/>
          <w:spacing w:val="-5"/>
        </w:rPr>
        <w:t>78</w:t>
      </w:r>
    </w:p>
    <w:p>
      <w:pPr>
        <w:pStyle w:val="ListParagraph"/>
        <w:numPr>
          <w:ilvl w:val="1"/>
          <w:numId w:val="11"/>
        </w:numPr>
        <w:tabs>
          <w:tab w:pos="1519" w:val="left" w:leader="none"/>
        </w:tabs>
        <w:spacing w:line="312" w:lineRule="auto" w:before="82" w:after="0"/>
        <w:ind w:left="1518" w:right="998" w:hanging="550"/>
        <w:jc w:val="both"/>
        <w:rPr>
          <w:sz w:val="24"/>
        </w:rPr>
      </w:pPr>
      <w:r>
        <w:rPr>
          <w:spacing w:val="-2"/>
          <w:sz w:val="24"/>
        </w:rPr>
        <w:t>Percentage</w:t>
      </w:r>
      <w:r>
        <w:rPr>
          <w:spacing w:val="-6"/>
          <w:sz w:val="24"/>
        </w:rPr>
        <w:t> </w:t>
      </w:r>
      <w:r>
        <w:rPr>
          <w:spacing w:val="-2"/>
          <w:sz w:val="24"/>
        </w:rPr>
        <w:t>of</w:t>
      </w:r>
      <w:r>
        <w:rPr>
          <w:spacing w:val="-6"/>
          <w:sz w:val="24"/>
        </w:rPr>
        <w:t> </w:t>
      </w:r>
      <w:r>
        <w:rPr>
          <w:spacing w:val="-2"/>
          <w:sz w:val="24"/>
        </w:rPr>
        <w:t>non-infinity</w:t>
      </w:r>
      <w:r>
        <w:rPr>
          <w:spacing w:val="-6"/>
          <w:sz w:val="24"/>
        </w:rPr>
        <w:t> </w:t>
      </w:r>
      <w:r>
        <w:rPr>
          <w:spacing w:val="-2"/>
          <w:sz w:val="24"/>
        </w:rPr>
        <w:t>zones</w:t>
      </w:r>
      <w:r>
        <w:rPr>
          <w:spacing w:val="-6"/>
          <w:sz w:val="24"/>
        </w:rPr>
        <w:t> </w:t>
      </w:r>
      <w:r>
        <w:rPr>
          <w:spacing w:val="-2"/>
          <w:sz w:val="24"/>
        </w:rPr>
        <w:t>for</w:t>
      </w:r>
      <w:r>
        <w:rPr>
          <w:spacing w:val="-6"/>
          <w:sz w:val="24"/>
        </w:rPr>
        <w:t> </w:t>
      </w:r>
      <w:r>
        <w:rPr>
          <w:spacing w:val="-2"/>
          <w:sz w:val="24"/>
        </w:rPr>
        <w:t>each</w:t>
      </w:r>
      <w:r>
        <w:rPr>
          <w:spacing w:val="-6"/>
          <w:sz w:val="24"/>
        </w:rPr>
        <w:t> </w:t>
      </w:r>
      <w:r>
        <w:rPr>
          <w:spacing w:val="-2"/>
          <w:sz w:val="24"/>
        </w:rPr>
        <w:t>model,</w:t>
      </w:r>
      <w:r>
        <w:rPr>
          <w:spacing w:val="-4"/>
          <w:sz w:val="24"/>
        </w:rPr>
        <w:t> </w:t>
      </w:r>
      <w:r>
        <w:rPr>
          <w:spacing w:val="-2"/>
          <w:sz w:val="24"/>
        </w:rPr>
        <w:t>providing</w:t>
      </w:r>
      <w:r>
        <w:rPr>
          <w:spacing w:val="-6"/>
          <w:sz w:val="24"/>
        </w:rPr>
        <w:t> </w:t>
      </w:r>
      <w:r>
        <w:rPr>
          <w:spacing w:val="-2"/>
          <w:sz w:val="24"/>
        </w:rPr>
        <w:t>the</w:t>
      </w:r>
      <w:r>
        <w:rPr>
          <w:spacing w:val="-6"/>
          <w:sz w:val="24"/>
        </w:rPr>
        <w:t> </w:t>
      </w:r>
      <w:r>
        <w:rPr>
          <w:spacing w:val="-2"/>
          <w:sz w:val="24"/>
        </w:rPr>
        <w:t>percentag</w:t>
      </w:r>
      <w:r>
        <w:rPr>
          <w:spacing w:val="-2"/>
          <w:sz w:val="24"/>
        </w:rPr>
        <w:t>e</w:t>
      </w:r>
      <w:r>
        <w:rPr>
          <w:spacing w:val="-2"/>
          <w:sz w:val="24"/>
        </w:rPr>
        <w:t> </w:t>
      </w:r>
      <w:r>
        <w:rPr>
          <w:sz w:val="24"/>
        </w:rPr>
        <w:t>of</w:t>
      </w:r>
      <w:r>
        <w:rPr>
          <w:spacing w:val="-5"/>
          <w:sz w:val="24"/>
        </w:rPr>
        <w:t> </w:t>
      </w:r>
      <w:r>
        <w:rPr>
          <w:sz w:val="24"/>
        </w:rPr>
        <w:t>matches</w:t>
      </w:r>
      <w:r>
        <w:rPr>
          <w:spacing w:val="-5"/>
          <w:sz w:val="24"/>
        </w:rPr>
        <w:t> </w:t>
      </w:r>
      <w:r>
        <w:rPr>
          <w:sz w:val="24"/>
        </w:rPr>
        <w:t>where</w:t>
      </w:r>
      <w:r>
        <w:rPr>
          <w:spacing w:val="-5"/>
          <w:sz w:val="24"/>
        </w:rPr>
        <w:t> </w:t>
      </w:r>
      <w:r>
        <w:rPr>
          <w:sz w:val="24"/>
        </w:rPr>
        <w:t>the</w:t>
      </w:r>
      <w:r>
        <w:rPr>
          <w:spacing w:val="-5"/>
          <w:sz w:val="24"/>
        </w:rPr>
        <w:t> </w:t>
      </w:r>
      <w:r>
        <w:rPr>
          <w:sz w:val="24"/>
        </w:rPr>
        <w:t>complete</w:t>
      </w:r>
      <w:r>
        <w:rPr>
          <w:spacing w:val="-5"/>
          <w:sz w:val="24"/>
        </w:rPr>
        <w:t> </w:t>
      </w:r>
      <w:r>
        <w:rPr>
          <w:sz w:val="24"/>
        </w:rPr>
        <w:t>set</w:t>
      </w:r>
      <w:r>
        <w:rPr>
          <w:spacing w:val="-5"/>
          <w:sz w:val="24"/>
        </w:rPr>
        <w:t> </w:t>
      </w:r>
      <w:r>
        <w:rPr>
          <w:sz w:val="24"/>
        </w:rPr>
        <w:t>of</w:t>
      </w:r>
      <w:r>
        <w:rPr>
          <w:spacing w:val="-5"/>
          <w:sz w:val="24"/>
        </w:rPr>
        <w:t> </w:t>
      </w:r>
      <w:r>
        <w:rPr>
          <w:sz w:val="24"/>
        </w:rPr>
        <w:t>the</w:t>
      </w:r>
      <w:r>
        <w:rPr>
          <w:spacing w:val="-5"/>
          <w:sz w:val="24"/>
        </w:rPr>
        <w:t> </w:t>
      </w:r>
      <w:r>
        <w:rPr>
          <w:sz w:val="24"/>
        </w:rPr>
        <w:t>subsequent</w:t>
      </w:r>
      <w:r>
        <w:rPr>
          <w:spacing w:val="-5"/>
          <w:sz w:val="24"/>
        </w:rPr>
        <w:t> </w:t>
      </w:r>
      <w:r>
        <w:rPr>
          <w:sz w:val="24"/>
        </w:rPr>
        <w:t>match’s</w:t>
      </w:r>
      <w:r>
        <w:rPr>
          <w:spacing w:val="-5"/>
          <w:sz w:val="24"/>
        </w:rPr>
        <w:t> </w:t>
      </w:r>
      <w:r>
        <w:rPr>
          <w:sz w:val="24"/>
        </w:rPr>
        <w:t>zones</w:t>
      </w:r>
      <w:r>
        <w:rPr>
          <w:spacing w:val="-5"/>
          <w:sz w:val="24"/>
        </w:rPr>
        <w:t> </w:t>
      </w:r>
      <w:r>
        <w:rPr>
          <w:sz w:val="24"/>
        </w:rPr>
        <w:t>were visited in the previous n matches.</w:t>
      </w:r>
      <w:r>
        <w:rPr>
          <w:spacing w:val="40"/>
          <w:sz w:val="24"/>
        </w:rPr>
        <w:t> </w:t>
      </w:r>
      <w:r>
        <w:rPr>
          <w:sz w:val="24"/>
        </w:rPr>
        <w:t>Values are mean (standard </w:t>
      </w:r>
      <w:r>
        <w:rPr>
          <w:sz w:val="24"/>
        </w:rPr>
        <w:t>deviation)</w:t>
      </w:r>
    </w:p>
    <w:p>
      <w:pPr>
        <w:pStyle w:val="BodyText"/>
        <w:tabs>
          <w:tab w:pos="8620" w:val="left" w:leader="dot"/>
        </w:tabs>
        <w:spacing w:line="275" w:lineRule="exact"/>
        <w:ind w:left="1518"/>
        <w:jc w:val="both"/>
      </w:pPr>
      <w:r>
        <w:rPr/>
        <w:t>percentage</w:t>
      </w:r>
      <w:r>
        <w:rPr>
          <w:spacing w:val="-8"/>
        </w:rPr>
        <w:t> </w:t>
      </w:r>
      <w:r>
        <w:rPr/>
        <w:t>across</w:t>
      </w:r>
      <w:r>
        <w:rPr>
          <w:spacing w:val="-7"/>
        </w:rPr>
        <w:t> </w:t>
      </w:r>
      <w:r>
        <w:rPr/>
        <w:t>all</w:t>
      </w:r>
      <w:r>
        <w:rPr>
          <w:spacing w:val="-7"/>
        </w:rPr>
        <w:t> </w:t>
      </w:r>
      <w:r>
        <w:rPr>
          <w:spacing w:val="-2"/>
        </w:rPr>
        <w:t>clubs.</w:t>
      </w:r>
      <w:r>
        <w:rPr/>
        <w:tab/>
      </w:r>
      <w:r>
        <w:rPr>
          <w:color w:val="0000FF"/>
          <w:spacing w:val="-5"/>
        </w:rPr>
        <w:t>80</w:t>
      </w:r>
    </w:p>
    <w:p>
      <w:pPr>
        <w:pStyle w:val="ListParagraph"/>
        <w:numPr>
          <w:ilvl w:val="1"/>
          <w:numId w:val="12"/>
        </w:numPr>
        <w:tabs>
          <w:tab w:pos="1519" w:val="left" w:leader="none"/>
          <w:tab w:pos="8620" w:val="left" w:leader="dot"/>
        </w:tabs>
        <w:spacing w:line="240" w:lineRule="auto" w:before="282" w:after="0"/>
        <w:ind w:left="1518" w:right="0" w:hanging="550"/>
        <w:jc w:val="both"/>
        <w:rPr>
          <w:sz w:val="24"/>
        </w:rPr>
      </w:pPr>
      <w:r>
        <w:rPr>
          <w:sz w:val="24"/>
        </w:rPr>
        <w:t>Definitions</w:t>
      </w:r>
      <w:r>
        <w:rPr>
          <w:spacing w:val="-8"/>
          <w:sz w:val="24"/>
        </w:rPr>
        <w:t> </w:t>
      </w:r>
      <w:r>
        <w:rPr>
          <w:sz w:val="24"/>
        </w:rPr>
        <w:t>of</w:t>
      </w:r>
      <w:r>
        <w:rPr>
          <w:spacing w:val="-8"/>
          <w:sz w:val="24"/>
        </w:rPr>
        <w:t> </w:t>
      </w:r>
      <w:r>
        <w:rPr>
          <w:sz w:val="24"/>
        </w:rPr>
        <w:t>grouped</w:t>
      </w:r>
      <w:r>
        <w:rPr>
          <w:spacing w:val="-8"/>
          <w:sz w:val="24"/>
        </w:rPr>
        <w:t> </w:t>
      </w:r>
      <w:r>
        <w:rPr>
          <w:sz w:val="24"/>
        </w:rPr>
        <w:t>actions</w:t>
      </w:r>
      <w:r>
        <w:rPr>
          <w:spacing w:val="-8"/>
          <w:sz w:val="24"/>
        </w:rPr>
        <w:t> </w:t>
      </w:r>
      <w:r>
        <w:rPr>
          <w:sz w:val="24"/>
        </w:rPr>
        <w:t>used</w:t>
      </w:r>
      <w:r>
        <w:rPr>
          <w:spacing w:val="-8"/>
          <w:sz w:val="24"/>
        </w:rPr>
        <w:t> </w:t>
      </w:r>
      <w:r>
        <w:rPr>
          <w:sz w:val="24"/>
        </w:rPr>
        <w:t>in</w:t>
      </w:r>
      <w:r>
        <w:rPr>
          <w:spacing w:val="-8"/>
          <w:sz w:val="24"/>
        </w:rPr>
        <w:t> </w:t>
      </w:r>
      <w:r>
        <w:rPr>
          <w:sz w:val="24"/>
        </w:rPr>
        <w:t>this</w:t>
      </w:r>
      <w:r>
        <w:rPr>
          <w:spacing w:val="-7"/>
          <w:sz w:val="24"/>
        </w:rPr>
        <w:t> </w:t>
      </w:r>
      <w:r>
        <w:rPr>
          <w:spacing w:val="-2"/>
          <w:sz w:val="24"/>
        </w:rPr>
        <w:t>study</w:t>
      </w:r>
      <w:r>
        <w:rPr>
          <w:sz w:val="24"/>
        </w:rPr>
        <w:tab/>
      </w:r>
      <w:r>
        <w:rPr>
          <w:color w:val="0000FF"/>
          <w:spacing w:val="-5"/>
          <w:sz w:val="24"/>
        </w:rPr>
        <w:t>91</w:t>
      </w:r>
    </w:p>
    <w:p>
      <w:pPr>
        <w:pStyle w:val="ListParagraph"/>
        <w:numPr>
          <w:ilvl w:val="1"/>
          <w:numId w:val="12"/>
        </w:numPr>
        <w:tabs>
          <w:tab w:pos="1519" w:val="left" w:leader="none"/>
          <w:tab w:pos="8620" w:val="left" w:leader="dot"/>
        </w:tabs>
        <w:spacing w:line="312" w:lineRule="auto" w:before="83" w:after="0"/>
        <w:ind w:left="1518" w:right="644" w:hanging="550"/>
        <w:jc w:val="both"/>
        <w:rPr>
          <w:sz w:val="24"/>
        </w:rPr>
      </w:pPr>
      <w:r>
        <w:rPr>
          <w:sz w:val="24"/>
        </w:rPr>
        <w:t>Example episode sequence.</w:t>
      </w:r>
      <w:r>
        <w:rPr>
          <w:spacing w:val="40"/>
          <w:sz w:val="24"/>
        </w:rPr>
        <w:t> </w:t>
      </w:r>
      <w:r>
        <w:rPr>
          <w:sz w:val="24"/>
        </w:rPr>
        <w:t>FxID refers to fixture identification number, PLID</w:t>
      </w:r>
      <w:r>
        <w:rPr>
          <w:spacing w:val="-10"/>
          <w:sz w:val="24"/>
        </w:rPr>
        <w:t> </w:t>
      </w:r>
      <w:r>
        <w:rPr>
          <w:sz w:val="24"/>
        </w:rPr>
        <w:t>refers</w:t>
      </w:r>
      <w:r>
        <w:rPr>
          <w:spacing w:val="-10"/>
          <w:sz w:val="24"/>
        </w:rPr>
        <w:t> </w:t>
      </w:r>
      <w:r>
        <w:rPr>
          <w:sz w:val="24"/>
        </w:rPr>
        <w:t>to</w:t>
      </w:r>
      <w:r>
        <w:rPr>
          <w:spacing w:val="-10"/>
          <w:sz w:val="24"/>
        </w:rPr>
        <w:t> </w:t>
      </w:r>
      <w:r>
        <w:rPr>
          <w:sz w:val="24"/>
        </w:rPr>
        <w:t>player</w:t>
      </w:r>
      <w:r>
        <w:rPr>
          <w:spacing w:val="-10"/>
          <w:sz w:val="24"/>
        </w:rPr>
        <w:t> </w:t>
      </w:r>
      <w:r>
        <w:rPr>
          <w:sz w:val="24"/>
        </w:rPr>
        <w:t>identification</w:t>
      </w:r>
      <w:r>
        <w:rPr>
          <w:spacing w:val="-10"/>
          <w:sz w:val="24"/>
        </w:rPr>
        <w:t> </w:t>
      </w:r>
      <w:r>
        <w:rPr>
          <w:spacing w:val="-2"/>
          <w:sz w:val="24"/>
        </w:rPr>
        <w:t>number</w:t>
      </w:r>
      <w:r>
        <w:rPr>
          <w:sz w:val="24"/>
        </w:rPr>
        <w:tab/>
      </w:r>
      <w:r>
        <w:rPr>
          <w:color w:val="0000FF"/>
          <w:spacing w:val="-5"/>
          <w:sz w:val="24"/>
        </w:rPr>
        <w:t>9</w:t>
      </w:r>
      <w:r>
        <w:rPr>
          <w:color w:val="0000FF"/>
          <w:spacing w:val="-5"/>
          <w:sz w:val="24"/>
        </w:rPr>
        <w:t>3</w:t>
      </w:r>
    </w:p>
    <w:p>
      <w:pPr>
        <w:pStyle w:val="ListParagraph"/>
        <w:numPr>
          <w:ilvl w:val="1"/>
          <w:numId w:val="12"/>
        </w:numPr>
        <w:tabs>
          <w:tab w:pos="1519" w:val="left" w:leader="none"/>
        </w:tabs>
        <w:spacing w:line="312" w:lineRule="auto" w:before="0" w:after="0"/>
        <w:ind w:left="1518" w:right="998" w:hanging="550"/>
        <w:jc w:val="both"/>
        <w:rPr>
          <w:sz w:val="24"/>
        </w:rPr>
      </w:pPr>
      <w:r>
        <w:rPr>
          <w:spacing w:val="-2"/>
          <w:sz w:val="24"/>
        </w:rPr>
        <w:t>Top</w:t>
      </w:r>
      <w:r>
        <w:rPr>
          <w:spacing w:val="-9"/>
          <w:sz w:val="24"/>
        </w:rPr>
        <w:t> </w:t>
      </w:r>
      <w:r>
        <w:rPr>
          <w:spacing w:val="-2"/>
          <w:sz w:val="24"/>
        </w:rPr>
        <w:t>20</w:t>
      </w:r>
      <w:r>
        <w:rPr>
          <w:spacing w:val="-9"/>
          <w:sz w:val="24"/>
        </w:rPr>
        <w:t> </w:t>
      </w:r>
      <w:r>
        <w:rPr>
          <w:spacing w:val="-2"/>
          <w:sz w:val="24"/>
        </w:rPr>
        <w:t>normalised</w:t>
      </w:r>
      <w:r>
        <w:rPr>
          <w:spacing w:val="-9"/>
          <w:sz w:val="24"/>
        </w:rPr>
        <w:t> </w:t>
      </w:r>
      <w:r>
        <w:rPr>
          <w:spacing w:val="-2"/>
          <w:sz w:val="24"/>
        </w:rPr>
        <w:t>player</w:t>
      </w:r>
      <w:r>
        <w:rPr>
          <w:spacing w:val="-9"/>
          <w:sz w:val="24"/>
        </w:rPr>
        <w:t> </w:t>
      </w:r>
      <w:r>
        <w:rPr>
          <w:spacing w:val="-2"/>
          <w:sz w:val="24"/>
        </w:rPr>
        <w:t>action</w:t>
      </w:r>
      <w:r>
        <w:rPr>
          <w:spacing w:val="-9"/>
          <w:sz w:val="24"/>
        </w:rPr>
        <w:t> </w:t>
      </w:r>
      <w:r>
        <w:rPr>
          <w:spacing w:val="-2"/>
          <w:sz w:val="24"/>
        </w:rPr>
        <w:t>impact</w:t>
      </w:r>
      <w:r>
        <w:rPr>
          <w:spacing w:val="-9"/>
          <w:sz w:val="24"/>
        </w:rPr>
        <w:t> </w:t>
      </w:r>
      <w:r>
        <w:rPr>
          <w:spacing w:val="-2"/>
          <w:sz w:val="24"/>
        </w:rPr>
        <w:t>ratings</w:t>
      </w:r>
      <w:r>
        <w:rPr>
          <w:spacing w:val="-9"/>
          <w:sz w:val="24"/>
        </w:rPr>
        <w:t> </w:t>
      </w:r>
      <w:r>
        <w:rPr>
          <w:spacing w:val="-2"/>
          <w:sz w:val="24"/>
        </w:rPr>
        <w:t>for</w:t>
      </w:r>
      <w:r>
        <w:rPr>
          <w:spacing w:val="-9"/>
          <w:sz w:val="24"/>
        </w:rPr>
        <w:t> </w:t>
      </w:r>
      <w:r>
        <w:rPr>
          <w:spacing w:val="-2"/>
          <w:sz w:val="24"/>
        </w:rPr>
        <w:t>the</w:t>
      </w:r>
      <w:r>
        <w:rPr>
          <w:spacing w:val="-9"/>
          <w:sz w:val="24"/>
        </w:rPr>
        <w:t> </w:t>
      </w:r>
      <w:r>
        <w:rPr>
          <w:spacing w:val="-2"/>
          <w:sz w:val="24"/>
        </w:rPr>
        <w:t>2020</w:t>
      </w:r>
      <w:r>
        <w:rPr>
          <w:spacing w:val="-9"/>
          <w:sz w:val="24"/>
        </w:rPr>
        <w:t> </w:t>
      </w:r>
      <w:r>
        <w:rPr>
          <w:spacing w:val="-2"/>
          <w:sz w:val="24"/>
        </w:rPr>
        <w:t>Super</w:t>
      </w:r>
      <w:r>
        <w:rPr>
          <w:spacing w:val="-9"/>
          <w:sz w:val="24"/>
        </w:rPr>
        <w:t> </w:t>
      </w:r>
      <w:r>
        <w:rPr>
          <w:spacing w:val="-2"/>
          <w:sz w:val="24"/>
        </w:rPr>
        <w:t>League </w:t>
      </w:r>
      <w:r>
        <w:rPr>
          <w:sz w:val="24"/>
        </w:rPr>
        <w:t>season, including goal kicks.</w:t>
      </w:r>
      <w:r>
        <w:rPr>
          <w:spacing w:val="40"/>
          <w:sz w:val="24"/>
        </w:rPr>
        <w:t> </w:t>
      </w:r>
      <w:r>
        <w:rPr>
          <w:sz w:val="24"/>
        </w:rPr>
        <w:t>Tries, Try Assists, Metres and Goals </w:t>
      </w:r>
      <w:r>
        <w:rPr>
          <w:sz w:val="24"/>
        </w:rPr>
        <w:t>are</w:t>
      </w:r>
      <w:r>
        <w:rPr>
          <w:sz w:val="24"/>
        </w:rPr>
        <w:t> provided as references of statistics currently provided for player perfor- mances. To</w:t>
      </w:r>
      <w:r>
        <w:rPr>
          <w:spacing w:val="-6"/>
          <w:sz w:val="24"/>
        </w:rPr>
        <w:t> </w:t>
      </w:r>
      <w:r>
        <w:rPr>
          <w:sz w:val="24"/>
        </w:rPr>
        <w:t>protect</w:t>
      </w:r>
      <w:r>
        <w:rPr>
          <w:spacing w:val="-7"/>
          <w:sz w:val="24"/>
        </w:rPr>
        <w:t> </w:t>
      </w:r>
      <w:r>
        <w:rPr>
          <w:sz w:val="24"/>
        </w:rPr>
        <w:t>anonymity,</w:t>
      </w:r>
      <w:r>
        <w:rPr>
          <w:spacing w:val="-6"/>
          <w:sz w:val="24"/>
        </w:rPr>
        <w:t> </w:t>
      </w:r>
      <w:r>
        <w:rPr>
          <w:sz w:val="24"/>
        </w:rPr>
        <w:t>reference</w:t>
      </w:r>
      <w:r>
        <w:rPr>
          <w:spacing w:val="-7"/>
          <w:sz w:val="24"/>
        </w:rPr>
        <w:t> </w:t>
      </w:r>
      <w:r>
        <w:rPr>
          <w:sz w:val="24"/>
        </w:rPr>
        <w:t>statistics</w:t>
      </w:r>
      <w:r>
        <w:rPr>
          <w:spacing w:val="-6"/>
          <w:sz w:val="24"/>
        </w:rPr>
        <w:t> </w:t>
      </w:r>
      <w:r>
        <w:rPr>
          <w:sz w:val="24"/>
        </w:rPr>
        <w:t>are</w:t>
      </w:r>
      <w:r>
        <w:rPr>
          <w:spacing w:val="-6"/>
          <w:sz w:val="24"/>
        </w:rPr>
        <w:t> </w:t>
      </w:r>
      <w:r>
        <w:rPr>
          <w:sz w:val="24"/>
        </w:rPr>
        <w:t>provided</w:t>
      </w:r>
      <w:r>
        <w:rPr>
          <w:spacing w:val="-7"/>
          <w:sz w:val="24"/>
        </w:rPr>
        <w:t> </w:t>
      </w:r>
      <w:r>
        <w:rPr>
          <w:sz w:val="24"/>
        </w:rPr>
        <w:t>based</w:t>
      </w:r>
      <w:r>
        <w:rPr>
          <w:spacing w:val="-6"/>
          <w:sz w:val="24"/>
        </w:rPr>
        <w:t> </w:t>
      </w:r>
      <w:r>
        <w:rPr>
          <w:sz w:val="24"/>
        </w:rPr>
        <w:t>on the whole season as:</w:t>
      </w:r>
      <w:r>
        <w:rPr>
          <w:spacing w:val="40"/>
          <w:sz w:val="24"/>
        </w:rPr>
        <w:t> </w:t>
      </w:r>
      <w:r>
        <w:rPr>
          <w:sz w:val="24"/>
        </w:rPr>
        <w:t>T-5 (top 5); T-10 (top 10), T-20 (top 20) and </w:t>
      </w:r>
      <w:r>
        <w:rPr>
          <w:sz w:val="24"/>
        </w:rPr>
        <w:t>20+</w:t>
      </w:r>
      <w:r>
        <w:rPr>
          <w:sz w:val="24"/>
        </w:rPr>
        <w:t> (outside</w:t>
      </w:r>
      <w:r>
        <w:rPr>
          <w:spacing w:val="-6"/>
          <w:sz w:val="24"/>
        </w:rPr>
        <w:t> </w:t>
      </w:r>
      <w:r>
        <w:rPr>
          <w:sz w:val="24"/>
        </w:rPr>
        <w:t>top</w:t>
      </w:r>
      <w:r>
        <w:rPr>
          <w:spacing w:val="-6"/>
          <w:sz w:val="24"/>
        </w:rPr>
        <w:t> </w:t>
      </w:r>
      <w:r>
        <w:rPr>
          <w:sz w:val="24"/>
        </w:rPr>
        <w:t>20). Players</w:t>
      </w:r>
      <w:r>
        <w:rPr>
          <w:spacing w:val="-6"/>
          <w:sz w:val="24"/>
        </w:rPr>
        <w:t> </w:t>
      </w:r>
      <w:r>
        <w:rPr>
          <w:sz w:val="24"/>
        </w:rPr>
        <w:t>completed</w:t>
      </w:r>
      <w:r>
        <w:rPr>
          <w:spacing w:val="-6"/>
          <w:sz w:val="24"/>
        </w:rPr>
        <w:t> </w:t>
      </w:r>
      <w:r>
        <w:rPr>
          <w:sz w:val="24"/>
        </w:rPr>
        <w:t>a</w:t>
      </w:r>
      <w:r>
        <w:rPr>
          <w:spacing w:val="-6"/>
          <w:sz w:val="24"/>
        </w:rPr>
        <w:t> </w:t>
      </w:r>
      <w:r>
        <w:rPr>
          <w:sz w:val="24"/>
        </w:rPr>
        <w:t>minimum</w:t>
      </w:r>
      <w:r>
        <w:rPr>
          <w:spacing w:val="-6"/>
          <w:sz w:val="24"/>
        </w:rPr>
        <w:t> </w:t>
      </w:r>
      <w:r>
        <w:rPr>
          <w:sz w:val="24"/>
        </w:rPr>
        <w:t>of</w:t>
      </w:r>
      <w:r>
        <w:rPr>
          <w:spacing w:val="-6"/>
          <w:sz w:val="24"/>
        </w:rPr>
        <w:t> </w:t>
      </w:r>
      <w:r>
        <w:rPr>
          <w:sz w:val="24"/>
        </w:rPr>
        <w:t>150</w:t>
      </w:r>
      <w:r>
        <w:rPr>
          <w:spacing w:val="-6"/>
          <w:sz w:val="24"/>
        </w:rPr>
        <w:t> </w:t>
      </w:r>
      <w:r>
        <w:rPr>
          <w:sz w:val="24"/>
        </w:rPr>
        <w:t>actions</w:t>
      </w:r>
      <w:r>
        <w:rPr>
          <w:spacing w:val="-6"/>
          <w:sz w:val="24"/>
        </w:rPr>
        <w:t> </w:t>
      </w:r>
      <w:r>
        <w:rPr>
          <w:sz w:val="24"/>
        </w:rPr>
        <w:t>across</w:t>
      </w:r>
      <w:r>
        <w:rPr>
          <w:spacing w:val="-6"/>
          <w:sz w:val="24"/>
        </w:rPr>
        <w:t> </w:t>
      </w:r>
      <w:r>
        <w:rPr>
          <w:sz w:val="24"/>
        </w:rPr>
        <w:t>the season.</w:t>
      </w:r>
      <w:r>
        <w:rPr>
          <w:spacing w:val="25"/>
          <w:sz w:val="24"/>
        </w:rPr>
        <w:t> </w:t>
      </w:r>
      <w:r>
        <w:rPr>
          <w:sz w:val="24"/>
        </w:rPr>
        <w:t>Player ID brackets provide position in the table when goal </w:t>
      </w:r>
      <w:r>
        <w:rPr>
          <w:sz w:val="24"/>
        </w:rPr>
        <w:t>kicks</w:t>
      </w:r>
    </w:p>
    <w:p>
      <w:pPr>
        <w:pStyle w:val="BodyText"/>
        <w:tabs>
          <w:tab w:pos="8620" w:val="left" w:leader="dot"/>
        </w:tabs>
        <w:spacing w:line="274" w:lineRule="exact"/>
        <w:ind w:left="1518"/>
        <w:jc w:val="both"/>
      </w:pPr>
      <w:r>
        <w:rPr/>
        <w:t>are</w:t>
      </w:r>
      <w:r>
        <w:rPr>
          <w:spacing w:val="-6"/>
        </w:rPr>
        <w:t> </w:t>
      </w:r>
      <w:r>
        <w:rPr/>
        <w:t>not</w:t>
      </w:r>
      <w:r>
        <w:rPr>
          <w:spacing w:val="-5"/>
        </w:rPr>
        <w:t> </w:t>
      </w:r>
      <w:r>
        <w:rPr/>
        <w:t>included</w:t>
      </w:r>
      <w:r>
        <w:rPr>
          <w:spacing w:val="-6"/>
        </w:rPr>
        <w:t> </w:t>
      </w:r>
      <w:r>
        <w:rPr/>
        <w:t>in</w:t>
      </w:r>
      <w:r>
        <w:rPr>
          <w:spacing w:val="-5"/>
        </w:rPr>
        <w:t> </w:t>
      </w:r>
      <w:r>
        <w:rPr/>
        <w:t>the</w:t>
      </w:r>
      <w:r>
        <w:rPr>
          <w:spacing w:val="-6"/>
        </w:rPr>
        <w:t> </w:t>
      </w:r>
      <w:r>
        <w:rPr/>
        <w:t>action</w:t>
      </w:r>
      <w:r>
        <w:rPr>
          <w:spacing w:val="-5"/>
        </w:rPr>
        <w:t> </w:t>
      </w:r>
      <w:r>
        <w:rPr/>
        <w:t>impact</w:t>
      </w:r>
      <w:r>
        <w:rPr>
          <w:spacing w:val="-6"/>
        </w:rPr>
        <w:t> </w:t>
      </w:r>
      <w:r>
        <w:rPr>
          <w:spacing w:val="-2"/>
        </w:rPr>
        <w:t>rating.</w:t>
      </w:r>
      <w:r>
        <w:rPr/>
        <w:tab/>
      </w:r>
      <w:r>
        <w:rPr>
          <w:color w:val="0000FF"/>
          <w:spacing w:val="-5"/>
        </w:rPr>
        <w:t>101</w:t>
      </w:r>
    </w:p>
    <w:p>
      <w:pPr>
        <w:pStyle w:val="BodyText"/>
        <w:spacing w:line="312" w:lineRule="auto" w:before="82"/>
        <w:ind w:left="1518" w:right="998" w:hanging="550"/>
        <w:jc w:val="both"/>
      </w:pPr>
      <w:r>
        <w:rPr/>
        <w:t>4.5</w:t>
      </w:r>
      <w:r>
        <w:rPr>
          <w:spacing w:val="40"/>
        </w:rPr>
        <w:t>  </w:t>
      </w:r>
      <w:r>
        <w:rPr/>
        <w:t>Top</w:t>
      </w:r>
      <w:r>
        <w:rPr>
          <w:spacing w:val="-15"/>
        </w:rPr>
        <w:t> </w:t>
      </w:r>
      <w:r>
        <w:rPr/>
        <w:t>20</w:t>
      </w:r>
      <w:r>
        <w:rPr>
          <w:spacing w:val="-15"/>
        </w:rPr>
        <w:t> </w:t>
      </w:r>
      <w:r>
        <w:rPr/>
        <w:t>normalised</w:t>
      </w:r>
      <w:r>
        <w:rPr>
          <w:spacing w:val="-15"/>
        </w:rPr>
        <w:t> </w:t>
      </w:r>
      <w:r>
        <w:rPr/>
        <w:t>player</w:t>
      </w:r>
      <w:r>
        <w:rPr>
          <w:spacing w:val="-15"/>
        </w:rPr>
        <w:t> </w:t>
      </w:r>
      <w:r>
        <w:rPr/>
        <w:t>action</w:t>
      </w:r>
      <w:r>
        <w:rPr>
          <w:spacing w:val="-15"/>
        </w:rPr>
        <w:t> </w:t>
      </w:r>
      <w:r>
        <w:rPr/>
        <w:t>impact</w:t>
      </w:r>
      <w:r>
        <w:rPr>
          <w:spacing w:val="-15"/>
        </w:rPr>
        <w:t> </w:t>
      </w:r>
      <w:r>
        <w:rPr/>
        <w:t>ratings</w:t>
      </w:r>
      <w:r>
        <w:rPr>
          <w:spacing w:val="-15"/>
        </w:rPr>
        <w:t> </w:t>
      </w:r>
      <w:r>
        <w:rPr/>
        <w:t>for</w:t>
      </w:r>
      <w:r>
        <w:rPr>
          <w:spacing w:val="-15"/>
        </w:rPr>
        <w:t> </w:t>
      </w:r>
      <w:r>
        <w:rPr/>
        <w:t>the</w:t>
      </w:r>
      <w:r>
        <w:rPr>
          <w:spacing w:val="-15"/>
        </w:rPr>
        <w:t> </w:t>
      </w:r>
      <w:r>
        <w:rPr/>
        <w:t>2020</w:t>
      </w:r>
      <w:r>
        <w:rPr>
          <w:spacing w:val="-15"/>
        </w:rPr>
        <w:t> </w:t>
      </w:r>
      <w:r>
        <w:rPr/>
        <w:t>Super</w:t>
      </w:r>
      <w:r>
        <w:rPr>
          <w:spacing w:val="-15"/>
        </w:rPr>
        <w:t> </w:t>
      </w:r>
      <w:r>
        <w:rPr/>
        <w:t>League season,</w:t>
      </w:r>
      <w:r>
        <w:rPr>
          <w:spacing w:val="-11"/>
        </w:rPr>
        <w:t> </w:t>
      </w:r>
      <w:r>
        <w:rPr/>
        <w:t>not</w:t>
      </w:r>
      <w:r>
        <w:rPr>
          <w:spacing w:val="-12"/>
        </w:rPr>
        <w:t> </w:t>
      </w:r>
      <w:r>
        <w:rPr/>
        <w:t>including</w:t>
      </w:r>
      <w:r>
        <w:rPr>
          <w:spacing w:val="-12"/>
        </w:rPr>
        <w:t> </w:t>
      </w:r>
      <w:r>
        <w:rPr/>
        <w:t>goal</w:t>
      </w:r>
      <w:r>
        <w:rPr>
          <w:spacing w:val="-12"/>
        </w:rPr>
        <w:t> </w:t>
      </w:r>
      <w:r>
        <w:rPr/>
        <w:t>kicks. Tries,</w:t>
      </w:r>
      <w:r>
        <w:rPr>
          <w:spacing w:val="-12"/>
        </w:rPr>
        <w:t> </w:t>
      </w:r>
      <w:r>
        <w:rPr/>
        <w:t>Try</w:t>
      </w:r>
      <w:r>
        <w:rPr>
          <w:spacing w:val="-12"/>
        </w:rPr>
        <w:t> </w:t>
      </w:r>
      <w:r>
        <w:rPr/>
        <w:t>Assists,</w:t>
      </w:r>
      <w:r>
        <w:rPr>
          <w:spacing w:val="-11"/>
        </w:rPr>
        <w:t> </w:t>
      </w:r>
      <w:r>
        <w:rPr/>
        <w:t>Metres</w:t>
      </w:r>
      <w:r>
        <w:rPr>
          <w:spacing w:val="-12"/>
        </w:rPr>
        <w:t> </w:t>
      </w:r>
      <w:r>
        <w:rPr/>
        <w:t>and</w:t>
      </w:r>
      <w:r>
        <w:rPr>
          <w:spacing w:val="-12"/>
        </w:rPr>
        <w:t> </w:t>
      </w:r>
      <w:r>
        <w:rPr/>
        <w:t>Goals</w:t>
      </w:r>
      <w:r>
        <w:rPr>
          <w:spacing w:val="-12"/>
        </w:rPr>
        <w:t> </w:t>
      </w:r>
      <w:r>
        <w:rPr/>
        <w:t>are</w:t>
      </w:r>
      <w:r>
        <w:rPr/>
        <w:t> provided as references of statistics currently provided for player perfor- mances. To</w:t>
      </w:r>
      <w:r>
        <w:rPr>
          <w:spacing w:val="-6"/>
        </w:rPr>
        <w:t> </w:t>
      </w:r>
      <w:r>
        <w:rPr/>
        <w:t>protect</w:t>
      </w:r>
      <w:r>
        <w:rPr>
          <w:spacing w:val="-7"/>
        </w:rPr>
        <w:t> </w:t>
      </w:r>
      <w:r>
        <w:rPr/>
        <w:t>anonymity,</w:t>
      </w:r>
      <w:r>
        <w:rPr>
          <w:spacing w:val="-6"/>
        </w:rPr>
        <w:t> </w:t>
      </w:r>
      <w:r>
        <w:rPr/>
        <w:t>reference</w:t>
      </w:r>
      <w:r>
        <w:rPr>
          <w:spacing w:val="-7"/>
        </w:rPr>
        <w:t> </w:t>
      </w:r>
      <w:r>
        <w:rPr/>
        <w:t>statistics</w:t>
      </w:r>
      <w:r>
        <w:rPr>
          <w:spacing w:val="-6"/>
        </w:rPr>
        <w:t> </w:t>
      </w:r>
      <w:r>
        <w:rPr/>
        <w:t>are</w:t>
      </w:r>
      <w:r>
        <w:rPr>
          <w:spacing w:val="-6"/>
        </w:rPr>
        <w:t> </w:t>
      </w:r>
      <w:r>
        <w:rPr/>
        <w:t>provided</w:t>
      </w:r>
      <w:r>
        <w:rPr>
          <w:spacing w:val="-7"/>
        </w:rPr>
        <w:t> </w:t>
      </w:r>
      <w:r>
        <w:rPr/>
        <w:t>based</w:t>
      </w:r>
      <w:r>
        <w:rPr>
          <w:spacing w:val="-6"/>
        </w:rPr>
        <w:t> </w:t>
      </w:r>
      <w:r>
        <w:rPr/>
        <w:t>on the whole season as:</w:t>
      </w:r>
      <w:r>
        <w:rPr>
          <w:spacing w:val="40"/>
        </w:rPr>
        <w:t> </w:t>
      </w:r>
      <w:r>
        <w:rPr/>
        <w:t>T-5 (top 5); T-10 (top 10), T-20 (top 20) and </w:t>
      </w:r>
      <w:r>
        <w:rPr/>
        <w:t>20+</w:t>
      </w:r>
      <w:r>
        <w:rPr/>
        <w:t> (outside</w:t>
      </w:r>
      <w:r>
        <w:rPr>
          <w:spacing w:val="-6"/>
        </w:rPr>
        <w:t> </w:t>
      </w:r>
      <w:r>
        <w:rPr/>
        <w:t>top</w:t>
      </w:r>
      <w:r>
        <w:rPr>
          <w:spacing w:val="-6"/>
        </w:rPr>
        <w:t> </w:t>
      </w:r>
      <w:r>
        <w:rPr/>
        <w:t>20). Players</w:t>
      </w:r>
      <w:r>
        <w:rPr>
          <w:spacing w:val="-6"/>
        </w:rPr>
        <w:t> </w:t>
      </w:r>
      <w:r>
        <w:rPr/>
        <w:t>completed</w:t>
      </w:r>
      <w:r>
        <w:rPr>
          <w:spacing w:val="-6"/>
        </w:rPr>
        <w:t> </w:t>
      </w:r>
      <w:r>
        <w:rPr/>
        <w:t>a</w:t>
      </w:r>
      <w:r>
        <w:rPr>
          <w:spacing w:val="-6"/>
        </w:rPr>
        <w:t> </w:t>
      </w:r>
      <w:r>
        <w:rPr/>
        <w:t>minimum</w:t>
      </w:r>
      <w:r>
        <w:rPr>
          <w:spacing w:val="-6"/>
        </w:rPr>
        <w:t> </w:t>
      </w:r>
      <w:r>
        <w:rPr/>
        <w:t>of</w:t>
      </w:r>
      <w:r>
        <w:rPr>
          <w:spacing w:val="-6"/>
        </w:rPr>
        <w:t> </w:t>
      </w:r>
      <w:r>
        <w:rPr/>
        <w:t>150</w:t>
      </w:r>
      <w:r>
        <w:rPr>
          <w:spacing w:val="-6"/>
        </w:rPr>
        <w:t> </w:t>
      </w:r>
      <w:r>
        <w:rPr/>
        <w:t>actions</w:t>
      </w:r>
      <w:r>
        <w:rPr>
          <w:spacing w:val="-6"/>
        </w:rPr>
        <w:t> </w:t>
      </w:r>
      <w:r>
        <w:rPr/>
        <w:t>across</w:t>
      </w:r>
      <w:r>
        <w:rPr>
          <w:spacing w:val="-6"/>
        </w:rPr>
        <w:t> </w:t>
      </w:r>
      <w:r>
        <w:rPr/>
        <w:t>the season.</w:t>
      </w:r>
      <w:r>
        <w:rPr>
          <w:spacing w:val="65"/>
        </w:rPr>
        <w:t> </w:t>
      </w:r>
      <w:r>
        <w:rPr/>
        <w:t>Player</w:t>
      </w:r>
      <w:r>
        <w:rPr>
          <w:spacing w:val="13"/>
        </w:rPr>
        <w:t> </w:t>
      </w:r>
      <w:r>
        <w:rPr/>
        <w:t>names</w:t>
      </w:r>
      <w:r>
        <w:rPr>
          <w:spacing w:val="14"/>
        </w:rPr>
        <w:t> </w:t>
      </w:r>
      <w:r>
        <w:rPr/>
        <w:t>are</w:t>
      </w:r>
      <w:r>
        <w:rPr>
          <w:spacing w:val="14"/>
        </w:rPr>
        <w:t> </w:t>
      </w:r>
      <w:r>
        <w:rPr/>
        <w:t>anonymised,</w:t>
      </w:r>
      <w:r>
        <w:rPr>
          <w:spacing w:val="18"/>
        </w:rPr>
        <w:t> </w:t>
      </w:r>
      <w:r>
        <w:rPr/>
        <w:t>brackets</w:t>
      </w:r>
      <w:r>
        <w:rPr>
          <w:spacing w:val="13"/>
        </w:rPr>
        <w:t> </w:t>
      </w:r>
      <w:r>
        <w:rPr/>
        <w:t>provide</w:t>
      </w:r>
      <w:r>
        <w:rPr>
          <w:spacing w:val="14"/>
        </w:rPr>
        <w:t> </w:t>
      </w:r>
      <w:r>
        <w:rPr/>
        <w:t>position</w:t>
      </w:r>
      <w:r>
        <w:rPr>
          <w:spacing w:val="14"/>
        </w:rPr>
        <w:t> </w:t>
      </w:r>
      <w:r>
        <w:rPr/>
        <w:t>in</w:t>
      </w:r>
      <w:r>
        <w:rPr>
          <w:spacing w:val="13"/>
        </w:rPr>
        <w:t> </w:t>
      </w:r>
      <w:r>
        <w:rPr>
          <w:spacing w:val="-5"/>
        </w:rPr>
        <w:t>th</w:t>
      </w:r>
      <w:r>
        <w:rPr>
          <w:spacing w:val="-5"/>
        </w:rPr>
        <w:t>e</w:t>
      </w:r>
    </w:p>
    <w:p>
      <w:pPr>
        <w:pStyle w:val="BodyText"/>
        <w:tabs>
          <w:tab w:pos="8620" w:val="left" w:leader="dot"/>
        </w:tabs>
        <w:spacing w:line="274" w:lineRule="exact"/>
        <w:ind w:left="1518"/>
        <w:jc w:val="both"/>
      </w:pPr>
      <w:r>
        <w:rPr/>
        <w:t>table</w:t>
      </w:r>
      <w:r>
        <w:rPr>
          <w:spacing w:val="-6"/>
        </w:rPr>
        <w:t> </w:t>
      </w:r>
      <w:r>
        <w:rPr/>
        <w:t>when</w:t>
      </w:r>
      <w:r>
        <w:rPr>
          <w:spacing w:val="-6"/>
        </w:rPr>
        <w:t> </w:t>
      </w:r>
      <w:r>
        <w:rPr/>
        <w:t>goal</w:t>
      </w:r>
      <w:r>
        <w:rPr>
          <w:spacing w:val="-6"/>
        </w:rPr>
        <w:t> </w:t>
      </w:r>
      <w:r>
        <w:rPr/>
        <w:t>kicks</w:t>
      </w:r>
      <w:r>
        <w:rPr>
          <w:spacing w:val="-5"/>
        </w:rPr>
        <w:t> </w:t>
      </w:r>
      <w:r>
        <w:rPr/>
        <w:t>are</w:t>
      </w:r>
      <w:r>
        <w:rPr>
          <w:spacing w:val="-6"/>
        </w:rPr>
        <w:t> </w:t>
      </w:r>
      <w:r>
        <w:rPr/>
        <w:t>included</w:t>
      </w:r>
      <w:r>
        <w:rPr>
          <w:spacing w:val="-6"/>
        </w:rPr>
        <w:t> </w:t>
      </w:r>
      <w:r>
        <w:rPr/>
        <w:t>in</w:t>
      </w:r>
      <w:r>
        <w:rPr>
          <w:spacing w:val="-6"/>
        </w:rPr>
        <w:t> </w:t>
      </w:r>
      <w:r>
        <w:rPr/>
        <w:t>the</w:t>
      </w:r>
      <w:r>
        <w:rPr>
          <w:spacing w:val="-5"/>
        </w:rPr>
        <w:t> </w:t>
      </w:r>
      <w:r>
        <w:rPr/>
        <w:t>action</w:t>
      </w:r>
      <w:r>
        <w:rPr>
          <w:spacing w:val="-6"/>
        </w:rPr>
        <w:t> </w:t>
      </w:r>
      <w:r>
        <w:rPr/>
        <w:t>impact</w:t>
      </w:r>
      <w:r>
        <w:rPr>
          <w:spacing w:val="-6"/>
        </w:rPr>
        <w:t> </w:t>
      </w:r>
      <w:r>
        <w:rPr>
          <w:spacing w:val="-2"/>
        </w:rPr>
        <w:t>rating</w:t>
      </w:r>
      <w:r>
        <w:rPr/>
        <w:tab/>
      </w:r>
      <w:r>
        <w:rPr>
          <w:color w:val="0000FF"/>
          <w:spacing w:val="-5"/>
        </w:rPr>
        <w:t>103</w:t>
      </w:r>
    </w:p>
    <w:p>
      <w:pPr>
        <w:spacing w:after="0" w:line="274" w:lineRule="exact"/>
        <w:jc w:val="both"/>
        <w:sectPr>
          <w:pgSz w:w="11910" w:h="16840"/>
          <w:pgMar w:header="1961" w:footer="1428" w:top="2280" w:bottom="1620" w:left="1680" w:right="720"/>
        </w:sectPr>
      </w:pPr>
    </w:p>
    <w:p>
      <w:pPr>
        <w:pStyle w:val="BodyText"/>
        <w:tabs>
          <w:tab w:pos="1518" w:val="left" w:leader="none"/>
          <w:tab w:pos="8620" w:val="left" w:leader="dot"/>
        </w:tabs>
        <w:spacing w:line="312" w:lineRule="auto" w:before="572"/>
        <w:ind w:left="1518" w:right="524" w:hanging="550"/>
      </w:pPr>
      <w:r>
        <w:rPr>
          <w:spacing w:val="-4"/>
        </w:rPr>
        <w:t>4.7</w:t>
      </w:r>
      <w:r>
        <w:rPr/>
        <w:tab/>
        <w:t>Contextual action impact ratings for players nominated for Man of Steel award. Player names are anonymised.</w:t>
      </w:r>
      <w:r>
        <w:rPr/>
        <w:tab/>
      </w:r>
      <w:r>
        <w:rPr>
          <w:color w:val="0000FF"/>
          <w:spacing w:val="-4"/>
        </w:rPr>
        <w:t>10</w:t>
      </w:r>
      <w:r>
        <w:rPr>
          <w:color w:val="0000FF"/>
          <w:spacing w:val="-4"/>
        </w:rPr>
        <w:t>4</w:t>
      </w:r>
    </w:p>
    <w:p>
      <w:pPr>
        <w:pStyle w:val="ListParagraph"/>
        <w:numPr>
          <w:ilvl w:val="1"/>
          <w:numId w:val="13"/>
        </w:numPr>
        <w:tabs>
          <w:tab w:pos="1518" w:val="left" w:leader="none"/>
          <w:tab w:pos="1519" w:val="left" w:leader="none"/>
          <w:tab w:pos="8560" w:val="left" w:leader="none"/>
        </w:tabs>
        <w:spacing w:line="240" w:lineRule="auto" w:before="199" w:after="0"/>
        <w:ind w:left="1518" w:right="0" w:hanging="550"/>
        <w:jc w:val="left"/>
        <w:rPr>
          <w:sz w:val="24"/>
        </w:rPr>
      </w:pPr>
      <w:r>
        <w:rPr>
          <w:sz w:val="24"/>
        </w:rPr>
        <w:t>Passing</w:t>
      </w:r>
      <w:r>
        <w:rPr>
          <w:spacing w:val="-9"/>
          <w:sz w:val="24"/>
        </w:rPr>
        <w:t> </w:t>
      </w:r>
      <w:r>
        <w:rPr>
          <w:sz w:val="24"/>
        </w:rPr>
        <w:t>example</w:t>
      </w:r>
      <w:r>
        <w:rPr>
          <w:spacing w:val="-8"/>
          <w:sz w:val="24"/>
        </w:rPr>
        <w:t> </w:t>
      </w:r>
      <w:r>
        <w:rPr>
          <w:sz w:val="24"/>
        </w:rPr>
        <w:t>to</w:t>
      </w:r>
      <w:r>
        <w:rPr>
          <w:spacing w:val="-9"/>
          <w:sz w:val="24"/>
        </w:rPr>
        <w:t> </w:t>
      </w:r>
      <w:r>
        <w:rPr>
          <w:sz w:val="24"/>
        </w:rPr>
        <w:t>show</w:t>
      </w:r>
      <w:r>
        <w:rPr>
          <w:spacing w:val="-8"/>
          <w:sz w:val="24"/>
        </w:rPr>
        <w:t> </w:t>
      </w:r>
      <w:r>
        <w:rPr>
          <w:sz w:val="24"/>
        </w:rPr>
        <w:t>the</w:t>
      </w:r>
      <w:r>
        <w:rPr>
          <w:spacing w:val="-9"/>
          <w:sz w:val="24"/>
        </w:rPr>
        <w:t> </w:t>
      </w:r>
      <w:r>
        <w:rPr>
          <w:sz w:val="24"/>
        </w:rPr>
        <w:t>action</w:t>
      </w:r>
      <w:r>
        <w:rPr>
          <w:spacing w:val="-8"/>
          <w:sz w:val="24"/>
        </w:rPr>
        <w:t> </w:t>
      </w:r>
      <w:r>
        <w:rPr>
          <w:sz w:val="24"/>
        </w:rPr>
        <w:t>definitions</w:t>
      </w:r>
      <w:r>
        <w:rPr>
          <w:spacing w:val="-8"/>
          <w:sz w:val="24"/>
        </w:rPr>
        <w:t> </w:t>
      </w:r>
      <w:r>
        <w:rPr>
          <w:sz w:val="24"/>
        </w:rPr>
        <w:t>utilised</w:t>
      </w:r>
      <w:r>
        <w:rPr>
          <w:spacing w:val="-9"/>
          <w:sz w:val="24"/>
        </w:rPr>
        <w:t> </w:t>
      </w:r>
      <w:r>
        <w:rPr>
          <w:sz w:val="24"/>
        </w:rPr>
        <w:t>by</w:t>
      </w:r>
      <w:r>
        <w:rPr>
          <w:spacing w:val="-8"/>
          <w:sz w:val="24"/>
        </w:rPr>
        <w:t> </w:t>
      </w:r>
      <w:r>
        <w:rPr>
          <w:sz w:val="24"/>
        </w:rPr>
        <w:t>Opta</w:t>
      </w:r>
      <w:r>
        <w:rPr>
          <w:spacing w:val="-9"/>
          <w:sz w:val="24"/>
        </w:rPr>
        <w:t> </w:t>
      </w:r>
      <w:r>
        <w:rPr>
          <w:sz w:val="24"/>
        </w:rPr>
        <w:t>in</w:t>
      </w:r>
      <w:r>
        <w:rPr>
          <w:spacing w:val="-8"/>
          <w:sz w:val="24"/>
        </w:rPr>
        <w:t> </w:t>
      </w:r>
      <w:r>
        <w:rPr>
          <w:spacing w:val="-4"/>
          <w:sz w:val="24"/>
        </w:rPr>
        <w:t>2021</w:t>
      </w:r>
      <w:r>
        <w:rPr>
          <w:sz w:val="24"/>
        </w:rPr>
        <w:tab/>
      </w:r>
      <w:r>
        <w:rPr>
          <w:spacing w:val="-4"/>
          <w:sz w:val="24"/>
        </w:rPr>
        <w:t>.</w:t>
      </w:r>
      <w:r>
        <w:rPr>
          <w:color w:val="0000FF"/>
          <w:spacing w:val="-4"/>
          <w:sz w:val="24"/>
        </w:rPr>
        <w:t>111</w:t>
      </w:r>
    </w:p>
    <w:p>
      <w:pPr>
        <w:pStyle w:val="ListParagraph"/>
        <w:numPr>
          <w:ilvl w:val="1"/>
          <w:numId w:val="13"/>
        </w:numPr>
        <w:tabs>
          <w:tab w:pos="1518" w:val="left" w:leader="none"/>
          <w:tab w:pos="1519" w:val="left" w:leader="none"/>
          <w:tab w:pos="8560" w:val="left" w:leader="none"/>
        </w:tabs>
        <w:spacing w:line="240" w:lineRule="auto" w:before="82" w:after="0"/>
        <w:ind w:left="1518" w:right="0" w:hanging="550"/>
        <w:jc w:val="left"/>
        <w:rPr>
          <w:sz w:val="24"/>
        </w:rPr>
      </w:pPr>
      <w:r>
        <w:rPr>
          <w:sz w:val="24"/>
        </w:rPr>
        <w:t>Preprocessing</w:t>
      </w:r>
      <w:r>
        <w:rPr>
          <w:spacing w:val="-8"/>
          <w:sz w:val="24"/>
        </w:rPr>
        <w:t> </w:t>
      </w:r>
      <w:r>
        <w:rPr>
          <w:sz w:val="24"/>
        </w:rPr>
        <w:t>categories</w:t>
      </w:r>
      <w:r>
        <w:rPr>
          <w:spacing w:val="-8"/>
          <w:sz w:val="24"/>
        </w:rPr>
        <w:t> </w:t>
      </w:r>
      <w:r>
        <w:rPr>
          <w:sz w:val="24"/>
        </w:rPr>
        <w:t>and</w:t>
      </w:r>
      <w:r>
        <w:rPr>
          <w:spacing w:val="-8"/>
          <w:sz w:val="24"/>
        </w:rPr>
        <w:t> </w:t>
      </w:r>
      <w:r>
        <w:rPr>
          <w:sz w:val="24"/>
        </w:rPr>
        <w:t>actions</w:t>
      </w:r>
      <w:r>
        <w:rPr>
          <w:spacing w:val="-8"/>
          <w:sz w:val="24"/>
        </w:rPr>
        <w:t> </w:t>
      </w:r>
      <w:r>
        <w:rPr>
          <w:sz w:val="24"/>
        </w:rPr>
        <w:t>included</w:t>
      </w:r>
      <w:r>
        <w:rPr>
          <w:spacing w:val="-8"/>
          <w:sz w:val="24"/>
        </w:rPr>
        <w:t> </w:t>
      </w:r>
      <w:r>
        <w:rPr>
          <w:sz w:val="24"/>
        </w:rPr>
        <w:t>within</w:t>
      </w:r>
      <w:r>
        <w:rPr>
          <w:spacing w:val="-8"/>
          <w:sz w:val="24"/>
        </w:rPr>
        <w:t> </w:t>
      </w:r>
      <w:r>
        <w:rPr>
          <w:sz w:val="24"/>
        </w:rPr>
        <w:t>them</w:t>
      </w:r>
      <w:r>
        <w:rPr>
          <w:spacing w:val="-8"/>
          <w:sz w:val="24"/>
        </w:rPr>
        <w:t> </w:t>
      </w:r>
      <w:r>
        <w:rPr>
          <w:sz w:val="24"/>
        </w:rPr>
        <w:t>in</w:t>
      </w:r>
      <w:r>
        <w:rPr>
          <w:spacing w:val="-8"/>
          <w:sz w:val="24"/>
        </w:rPr>
        <w:t> </w:t>
      </w:r>
      <w:r>
        <w:rPr>
          <w:sz w:val="24"/>
        </w:rPr>
        <w:t>this</w:t>
      </w:r>
      <w:r>
        <w:rPr>
          <w:spacing w:val="-7"/>
          <w:sz w:val="24"/>
        </w:rPr>
        <w:t> </w:t>
      </w:r>
      <w:r>
        <w:rPr>
          <w:spacing w:val="-2"/>
          <w:sz w:val="24"/>
        </w:rPr>
        <w:t>study</w:t>
      </w:r>
      <w:r>
        <w:rPr>
          <w:sz w:val="24"/>
        </w:rPr>
        <w:tab/>
      </w:r>
      <w:r>
        <w:rPr>
          <w:spacing w:val="-4"/>
          <w:sz w:val="24"/>
        </w:rPr>
        <w:t>.</w:t>
      </w:r>
      <w:r>
        <w:rPr>
          <w:color w:val="0000FF"/>
          <w:spacing w:val="-4"/>
          <w:sz w:val="24"/>
        </w:rPr>
        <w:t>113</w:t>
      </w:r>
    </w:p>
    <w:p>
      <w:pPr>
        <w:pStyle w:val="ListParagraph"/>
        <w:numPr>
          <w:ilvl w:val="1"/>
          <w:numId w:val="13"/>
        </w:numPr>
        <w:tabs>
          <w:tab w:pos="1518" w:val="left" w:leader="none"/>
          <w:tab w:pos="1519" w:val="left" w:leader="none"/>
          <w:tab w:pos="8620" w:val="left" w:leader="dot"/>
        </w:tabs>
        <w:spacing w:line="240" w:lineRule="auto" w:before="83" w:after="0"/>
        <w:ind w:left="1518" w:right="0" w:hanging="550"/>
        <w:jc w:val="left"/>
        <w:rPr>
          <w:sz w:val="24"/>
        </w:rPr>
      </w:pPr>
      <w:r>
        <w:rPr>
          <w:sz w:val="24"/>
        </w:rPr>
        <w:t>Sample</w:t>
      </w:r>
      <w:r>
        <w:rPr>
          <w:spacing w:val="-8"/>
          <w:sz w:val="24"/>
        </w:rPr>
        <w:t> </w:t>
      </w:r>
      <w:r>
        <w:rPr>
          <w:sz w:val="24"/>
        </w:rPr>
        <w:t>possession</w:t>
      </w:r>
      <w:r>
        <w:rPr>
          <w:spacing w:val="-8"/>
          <w:sz w:val="24"/>
        </w:rPr>
        <w:t> </w:t>
      </w:r>
      <w:r>
        <w:rPr>
          <w:sz w:val="24"/>
        </w:rPr>
        <w:t>within</w:t>
      </w:r>
      <w:r>
        <w:rPr>
          <w:spacing w:val="-7"/>
          <w:sz w:val="24"/>
        </w:rPr>
        <w:t> </w:t>
      </w:r>
      <w:r>
        <w:rPr>
          <w:sz w:val="24"/>
        </w:rPr>
        <w:t>the</w:t>
      </w:r>
      <w:r>
        <w:rPr>
          <w:spacing w:val="-8"/>
          <w:sz w:val="24"/>
        </w:rPr>
        <w:t> </w:t>
      </w:r>
      <w:r>
        <w:rPr>
          <w:spacing w:val="-2"/>
          <w:sz w:val="24"/>
        </w:rPr>
        <w:t>dataset</w:t>
      </w:r>
      <w:r>
        <w:rPr>
          <w:sz w:val="24"/>
        </w:rPr>
        <w:tab/>
      </w:r>
      <w:r>
        <w:rPr>
          <w:color w:val="0000FF"/>
          <w:spacing w:val="-5"/>
          <w:sz w:val="24"/>
        </w:rPr>
        <w:t>116</w:t>
      </w:r>
    </w:p>
    <w:p>
      <w:pPr>
        <w:pStyle w:val="ListParagraph"/>
        <w:numPr>
          <w:ilvl w:val="1"/>
          <w:numId w:val="13"/>
        </w:numPr>
        <w:tabs>
          <w:tab w:pos="1518" w:val="left" w:leader="none"/>
          <w:tab w:pos="1519" w:val="left" w:leader="none"/>
          <w:tab w:pos="8620" w:val="left" w:leader="dot"/>
        </w:tabs>
        <w:spacing w:line="312" w:lineRule="auto" w:before="82" w:after="0"/>
        <w:ind w:left="1518" w:right="524" w:hanging="550"/>
        <w:jc w:val="left"/>
        <w:rPr>
          <w:sz w:val="24"/>
        </w:rPr>
      </w:pPr>
      <w:r>
        <w:rPr>
          <w:sz w:val="24"/>
        </w:rPr>
        <w:t>Descriptive data for action counts in the data subsets. IQR is interquartile range;</w:t>
      </w:r>
      <w:r>
        <w:rPr>
          <w:spacing w:val="40"/>
          <w:sz w:val="24"/>
        </w:rPr>
        <w:t> </w:t>
      </w:r>
      <w:r>
        <w:rPr>
          <w:sz w:val="24"/>
        </w:rPr>
        <w:t>Min/Max refers to minimum/maximum number of observations </w:t>
      </w:r>
      <w:r>
        <w:rPr>
          <w:spacing w:val="-2"/>
          <w:sz w:val="24"/>
        </w:rPr>
        <w:t>observed.</w:t>
      </w:r>
      <w:r>
        <w:rPr>
          <w:sz w:val="24"/>
        </w:rPr>
        <w:tab/>
      </w:r>
      <w:r>
        <w:rPr>
          <w:color w:val="0000FF"/>
          <w:spacing w:val="-4"/>
          <w:sz w:val="24"/>
        </w:rPr>
        <w:t>11</w:t>
      </w:r>
      <w:r>
        <w:rPr>
          <w:color w:val="0000FF"/>
          <w:spacing w:val="-4"/>
          <w:sz w:val="24"/>
        </w:rPr>
        <w:t>6</w:t>
      </w:r>
    </w:p>
    <w:p>
      <w:pPr>
        <w:pStyle w:val="ListParagraph"/>
        <w:numPr>
          <w:ilvl w:val="1"/>
          <w:numId w:val="13"/>
        </w:numPr>
        <w:tabs>
          <w:tab w:pos="1518" w:val="left" w:leader="none"/>
          <w:tab w:pos="1519" w:val="left" w:leader="none"/>
          <w:tab w:pos="8620" w:val="left" w:leader="dot"/>
        </w:tabs>
        <w:spacing w:line="275" w:lineRule="exact" w:before="0" w:after="0"/>
        <w:ind w:left="1518" w:right="0" w:hanging="550"/>
        <w:jc w:val="left"/>
        <w:rPr>
          <w:sz w:val="24"/>
        </w:rPr>
      </w:pPr>
      <w:r>
        <w:rPr>
          <w:sz w:val="24"/>
        </w:rPr>
        <w:t>Weighted</w:t>
      </w:r>
      <w:r>
        <w:rPr>
          <w:spacing w:val="-15"/>
          <w:sz w:val="24"/>
        </w:rPr>
        <w:t> </w:t>
      </w:r>
      <w:r>
        <w:rPr>
          <w:sz w:val="24"/>
        </w:rPr>
        <w:t>Wasserstein</w:t>
      </w:r>
      <w:r>
        <w:rPr>
          <w:spacing w:val="-14"/>
          <w:sz w:val="24"/>
        </w:rPr>
        <w:t> </w:t>
      </w:r>
      <w:r>
        <w:rPr>
          <w:sz w:val="24"/>
        </w:rPr>
        <w:t>distance</w:t>
      </w:r>
      <w:r>
        <w:rPr>
          <w:spacing w:val="-14"/>
          <w:sz w:val="24"/>
        </w:rPr>
        <w:t> </w:t>
      </w:r>
      <w:r>
        <w:rPr>
          <w:sz w:val="24"/>
        </w:rPr>
        <w:t>metrics</w:t>
      </w:r>
      <w:r>
        <w:rPr>
          <w:spacing w:val="-14"/>
          <w:sz w:val="24"/>
        </w:rPr>
        <w:t> </w:t>
      </w:r>
      <w:r>
        <w:rPr>
          <w:sz w:val="24"/>
        </w:rPr>
        <w:t>considered</w:t>
      </w:r>
      <w:r>
        <w:rPr>
          <w:spacing w:val="-14"/>
          <w:sz w:val="24"/>
        </w:rPr>
        <w:t> </w:t>
      </w:r>
      <w:r>
        <w:rPr>
          <w:sz w:val="24"/>
        </w:rPr>
        <w:t>in</w:t>
      </w:r>
      <w:r>
        <w:rPr>
          <w:spacing w:val="-14"/>
          <w:sz w:val="24"/>
        </w:rPr>
        <w:t> </w:t>
      </w:r>
      <w:r>
        <w:rPr>
          <w:sz w:val="24"/>
        </w:rPr>
        <w:t>this</w:t>
      </w:r>
      <w:r>
        <w:rPr>
          <w:spacing w:val="-14"/>
          <w:sz w:val="24"/>
        </w:rPr>
        <w:t> </w:t>
      </w:r>
      <w:r>
        <w:rPr>
          <w:spacing w:val="-2"/>
          <w:sz w:val="24"/>
        </w:rPr>
        <w:t>study</w:t>
      </w:r>
      <w:r>
        <w:rPr>
          <w:sz w:val="24"/>
        </w:rPr>
        <w:tab/>
      </w:r>
      <w:r>
        <w:rPr>
          <w:color w:val="0000FF"/>
          <w:spacing w:val="-5"/>
          <w:sz w:val="24"/>
        </w:rPr>
        <w:t>124</w:t>
      </w:r>
    </w:p>
    <w:p>
      <w:pPr>
        <w:pStyle w:val="ListParagraph"/>
        <w:numPr>
          <w:ilvl w:val="1"/>
          <w:numId w:val="13"/>
        </w:numPr>
        <w:tabs>
          <w:tab w:pos="1519" w:val="left" w:leader="none"/>
        </w:tabs>
        <w:spacing w:line="292" w:lineRule="auto" w:before="79" w:after="0"/>
        <w:ind w:left="1518" w:right="998" w:hanging="550"/>
        <w:jc w:val="both"/>
        <w:rPr>
          <w:sz w:val="24"/>
        </w:rPr>
      </w:pPr>
      <w:r>
        <w:rPr>
          <w:sz w:val="24"/>
        </w:rPr>
        <w:t>Wasserstein distances for </w:t>
      </w:r>
      <w:r>
        <w:rPr>
          <w:rFonts w:ascii="Cambria" w:hAnsi="Cambria"/>
          <w:sz w:val="24"/>
        </w:rPr>
        <w:t>W</w:t>
      </w:r>
      <w:r>
        <w:rPr>
          <w:rFonts w:ascii="Georgia" w:hAnsi="Georgia"/>
          <w:sz w:val="24"/>
          <w:vertAlign w:val="subscript"/>
        </w:rPr>
        <w:t>1</w:t>
      </w:r>
      <w:r>
        <w:rPr>
          <w:sz w:val="24"/>
          <w:vertAlign w:val="baseline"/>
        </w:rPr>
        <w:t>, </w:t>
      </w:r>
      <w:r>
        <w:rPr>
          <w:rFonts w:ascii="Cambria" w:hAnsi="Cambria"/>
          <w:sz w:val="24"/>
          <w:vertAlign w:val="baseline"/>
        </w:rPr>
        <w:t>W</w:t>
      </w:r>
      <w:r>
        <w:rPr>
          <w:rFonts w:ascii="Georgia" w:hAnsi="Georgia"/>
          <w:sz w:val="24"/>
          <w:vertAlign w:val="subscript"/>
        </w:rPr>
        <w:t>2</w:t>
      </w:r>
      <w:r>
        <w:rPr>
          <w:rFonts w:ascii="Georgia" w:hAnsi="Georgia"/>
          <w:sz w:val="24"/>
          <w:vertAlign w:val="baseline"/>
        </w:rPr>
        <w:t> </w:t>
      </w:r>
      <w:r>
        <w:rPr>
          <w:sz w:val="24"/>
          <w:vertAlign w:val="baseline"/>
        </w:rPr>
        <w:t>and </w:t>
      </w:r>
      <w:r>
        <w:rPr>
          <w:rFonts w:ascii="Cambria" w:hAnsi="Cambria"/>
          <w:sz w:val="24"/>
          <w:vertAlign w:val="baseline"/>
        </w:rPr>
        <w:t>W</w:t>
      </w:r>
      <w:r>
        <w:rPr>
          <w:rFonts w:ascii="Georgia" w:hAnsi="Georgia"/>
          <w:sz w:val="24"/>
          <w:vertAlign w:val="subscript"/>
        </w:rPr>
        <w:t>3</w:t>
      </w:r>
      <w:r>
        <w:rPr>
          <w:rFonts w:ascii="Georgia" w:hAnsi="Georgia"/>
          <w:sz w:val="24"/>
          <w:vertAlign w:val="baseline"/>
        </w:rPr>
        <w:t> </w:t>
      </w:r>
      <w:r>
        <w:rPr>
          <w:sz w:val="24"/>
          <w:vertAlign w:val="baseline"/>
        </w:rPr>
        <w:t>at the between team level. Distances represent differences between the team’s overall KDE and </w:t>
      </w:r>
      <w:r>
        <w:rPr>
          <w:sz w:val="24"/>
          <w:vertAlign w:val="baseline"/>
        </w:rPr>
        <w:t>the</w:t>
      </w:r>
      <w:r>
        <w:rPr>
          <w:sz w:val="24"/>
          <w:vertAlign w:val="baseline"/>
        </w:rPr>
        <w:t> whole league KDE. Final column (</w:t>
      </w:r>
      <w:r>
        <w:rPr>
          <w:rFonts w:ascii="Cambria" w:hAnsi="Cambria"/>
          <w:sz w:val="24"/>
          <w:vertAlign w:val="baseline"/>
        </w:rPr>
        <w:t>W</w:t>
      </w:r>
      <w:r>
        <w:rPr>
          <w:rFonts w:ascii="Georgia" w:hAnsi="Georgia"/>
          <w:sz w:val="24"/>
          <w:vertAlign w:val="subscript"/>
        </w:rPr>
        <w:t>1</w:t>
      </w:r>
      <w:r>
        <w:rPr>
          <w:rFonts w:ascii="Georgia" w:hAnsi="Georgia"/>
          <w:sz w:val="24"/>
          <w:vertAlign w:val="baseline"/>
        </w:rPr>
        <w:t> </w:t>
      </w:r>
      <w:r>
        <w:rPr>
          <w:rFonts w:ascii="Lucida Sans Unicode" w:hAnsi="Lucida Sans Unicode"/>
          <w:sz w:val="24"/>
          <w:vertAlign w:val="baseline"/>
        </w:rPr>
        <w:t>−</w:t>
      </w:r>
      <w:r>
        <w:rPr>
          <w:rFonts w:ascii="Lucida Sans Unicode" w:hAnsi="Lucida Sans Unicode"/>
          <w:spacing w:val="-13"/>
          <w:sz w:val="24"/>
          <w:vertAlign w:val="baseline"/>
        </w:rPr>
        <w:t> </w:t>
      </w:r>
      <w:r>
        <w:rPr>
          <w:rFonts w:ascii="Cambria" w:hAnsi="Cambria"/>
          <w:sz w:val="24"/>
          <w:vertAlign w:val="baseline"/>
        </w:rPr>
        <w:t>W</w:t>
      </w:r>
      <w:r>
        <w:rPr>
          <w:rFonts w:ascii="Georgia" w:hAnsi="Georgia"/>
          <w:sz w:val="24"/>
          <w:vertAlign w:val="subscript"/>
        </w:rPr>
        <w:t>3</w:t>
      </w:r>
      <w:r>
        <w:rPr>
          <w:sz w:val="24"/>
          <w:vertAlign w:val="baseline"/>
        </w:rPr>
        <w:t>) is the difference between</w:t>
      </w:r>
    </w:p>
    <w:p>
      <w:pPr>
        <w:pStyle w:val="BodyText"/>
        <w:tabs>
          <w:tab w:pos="8620" w:val="left" w:leader="dot"/>
        </w:tabs>
        <w:spacing w:line="227" w:lineRule="exact"/>
        <w:ind w:left="1518"/>
        <w:jc w:val="both"/>
      </w:pPr>
      <w:r>
        <w:rPr/>
        <w:t>the</w:t>
      </w:r>
      <w:r>
        <w:rPr>
          <w:spacing w:val="-2"/>
        </w:rPr>
        <w:t> </w:t>
      </w:r>
      <w:r>
        <w:rPr>
          <w:rFonts w:ascii="Cambria"/>
        </w:rPr>
        <w:t>W</w:t>
      </w:r>
      <w:r>
        <w:rPr>
          <w:rFonts w:ascii="Georgia"/>
          <w:vertAlign w:val="subscript"/>
        </w:rPr>
        <w:t>1</w:t>
      </w:r>
      <w:r>
        <w:rPr>
          <w:rFonts w:ascii="Georgia"/>
          <w:spacing w:val="11"/>
          <w:vertAlign w:val="baseline"/>
        </w:rPr>
        <w:t> </w:t>
      </w:r>
      <w:r>
        <w:rPr>
          <w:vertAlign w:val="baseline"/>
        </w:rPr>
        <w:t>and</w:t>
      </w:r>
      <w:r>
        <w:rPr>
          <w:spacing w:val="-1"/>
          <w:vertAlign w:val="baseline"/>
        </w:rPr>
        <w:t> </w:t>
      </w:r>
      <w:r>
        <w:rPr>
          <w:rFonts w:ascii="Cambria"/>
          <w:vertAlign w:val="baseline"/>
        </w:rPr>
        <w:t>W</w:t>
      </w:r>
      <w:r>
        <w:rPr>
          <w:rFonts w:ascii="Georgia"/>
          <w:vertAlign w:val="subscript"/>
        </w:rPr>
        <w:t>3</w:t>
      </w:r>
      <w:r>
        <w:rPr>
          <w:rFonts w:ascii="Georgia"/>
          <w:spacing w:val="11"/>
          <w:vertAlign w:val="baseline"/>
        </w:rPr>
        <w:t> </w:t>
      </w:r>
      <w:r>
        <w:rPr>
          <w:spacing w:val="-2"/>
          <w:vertAlign w:val="baseline"/>
        </w:rPr>
        <w:t>distances</w:t>
      </w:r>
      <w:r>
        <w:rPr>
          <w:vertAlign w:val="baseline"/>
        </w:rPr>
        <w:tab/>
      </w:r>
      <w:r>
        <w:rPr>
          <w:color w:val="0000FF"/>
          <w:spacing w:val="-5"/>
          <w:vertAlign w:val="baseline"/>
        </w:rPr>
        <w:t>129</w:t>
      </w:r>
    </w:p>
    <w:p>
      <w:pPr>
        <w:pStyle w:val="ListParagraph"/>
        <w:numPr>
          <w:ilvl w:val="1"/>
          <w:numId w:val="14"/>
        </w:numPr>
        <w:tabs>
          <w:tab w:pos="1519" w:val="left" w:leader="none"/>
          <w:tab w:pos="8620" w:val="left" w:leader="dot"/>
        </w:tabs>
        <w:spacing w:line="312" w:lineRule="auto" w:before="280" w:after="0"/>
        <w:ind w:left="1518" w:right="524" w:hanging="550"/>
        <w:jc w:val="both"/>
        <w:rPr>
          <w:sz w:val="24"/>
        </w:rPr>
      </w:pPr>
      <w:r>
        <w:rPr>
          <w:sz w:val="24"/>
        </w:rPr>
        <w:t>Descriptive</w:t>
      </w:r>
      <w:r>
        <w:rPr>
          <w:spacing w:val="40"/>
          <w:sz w:val="24"/>
        </w:rPr>
        <w:t> </w:t>
      </w:r>
      <w:r>
        <w:rPr>
          <w:sz w:val="24"/>
        </w:rPr>
        <w:t>data</w:t>
      </w:r>
      <w:r>
        <w:rPr>
          <w:spacing w:val="40"/>
          <w:sz w:val="24"/>
        </w:rPr>
        <w:t> </w:t>
      </w:r>
      <w:r>
        <w:rPr>
          <w:sz w:val="24"/>
        </w:rPr>
        <w:t>for</w:t>
      </w:r>
      <w:r>
        <w:rPr>
          <w:spacing w:val="40"/>
          <w:sz w:val="24"/>
        </w:rPr>
        <w:t> </w:t>
      </w:r>
      <w:r>
        <w:rPr>
          <w:sz w:val="24"/>
        </w:rPr>
        <w:t>data</w:t>
      </w:r>
      <w:r>
        <w:rPr>
          <w:spacing w:val="40"/>
          <w:sz w:val="24"/>
        </w:rPr>
        <w:t> </w:t>
      </w:r>
      <w:r>
        <w:rPr>
          <w:sz w:val="24"/>
        </w:rPr>
        <w:t>subsets.</w:t>
      </w:r>
      <w:r>
        <w:rPr>
          <w:spacing w:val="80"/>
          <w:sz w:val="24"/>
        </w:rPr>
        <w:t> </w:t>
      </w:r>
      <w:r>
        <w:rPr>
          <w:sz w:val="24"/>
        </w:rPr>
        <w:t>IQR</w:t>
      </w:r>
      <w:r>
        <w:rPr>
          <w:spacing w:val="40"/>
          <w:sz w:val="24"/>
        </w:rPr>
        <w:t> </w:t>
      </w:r>
      <w:r>
        <w:rPr>
          <w:sz w:val="24"/>
        </w:rPr>
        <w:t>is</w:t>
      </w:r>
      <w:r>
        <w:rPr>
          <w:spacing w:val="40"/>
          <w:sz w:val="24"/>
        </w:rPr>
        <w:t> </w:t>
      </w:r>
      <w:r>
        <w:rPr>
          <w:sz w:val="24"/>
        </w:rPr>
        <w:t>interquartile</w:t>
      </w:r>
      <w:r>
        <w:rPr>
          <w:spacing w:val="40"/>
          <w:sz w:val="24"/>
        </w:rPr>
        <w:t> </w:t>
      </w:r>
      <w:r>
        <w:rPr>
          <w:sz w:val="24"/>
        </w:rPr>
        <w:t>range;</w:t>
      </w:r>
      <w:r>
        <w:rPr>
          <w:spacing w:val="40"/>
          <w:sz w:val="24"/>
        </w:rPr>
        <w:t> </w:t>
      </w:r>
      <w:r>
        <w:rPr>
          <w:sz w:val="24"/>
        </w:rPr>
        <w:t>Min/Max refers to minimum and maximum number of observations.</w:t>
      </w:r>
      <w:r>
        <w:rPr>
          <w:sz w:val="24"/>
        </w:rPr>
        <w:tab/>
      </w:r>
      <w:r>
        <w:rPr>
          <w:color w:val="0000FF"/>
          <w:spacing w:val="-4"/>
          <w:sz w:val="24"/>
        </w:rPr>
        <w:t>14</w:t>
      </w:r>
      <w:r>
        <w:rPr>
          <w:color w:val="0000FF"/>
          <w:spacing w:val="-4"/>
          <w:sz w:val="24"/>
        </w:rPr>
        <w:t>9</w:t>
      </w:r>
    </w:p>
    <w:p>
      <w:pPr>
        <w:pStyle w:val="ListParagraph"/>
        <w:numPr>
          <w:ilvl w:val="1"/>
          <w:numId w:val="14"/>
        </w:numPr>
        <w:tabs>
          <w:tab w:pos="1519" w:val="left" w:leader="none"/>
        </w:tabs>
        <w:spacing w:line="309" w:lineRule="auto" w:before="0" w:after="0"/>
        <w:ind w:left="1518" w:right="998" w:hanging="550"/>
        <w:jc w:val="both"/>
        <w:rPr>
          <w:sz w:val="24"/>
        </w:rPr>
      </w:pPr>
      <w:r>
        <w:rPr>
          <w:sz w:val="24"/>
        </w:rPr>
        <w:t>Sample possession within the dataset.</w:t>
      </w:r>
      <w:r>
        <w:rPr>
          <w:spacing w:val="40"/>
          <w:sz w:val="24"/>
        </w:rPr>
        <w:t> </w:t>
      </w:r>
      <w:r>
        <w:rPr>
          <w:sz w:val="24"/>
        </w:rPr>
        <w:t>Data includes the teams </w:t>
      </w:r>
      <w:r>
        <w:rPr>
          <w:sz w:val="24"/>
        </w:rPr>
        <w:t>involved</w:t>
      </w:r>
      <w:r>
        <w:rPr>
          <w:sz w:val="24"/>
        </w:rPr>
        <w:t> in the possession, the player ID, the </w:t>
      </w:r>
      <w:r>
        <w:rPr>
          <w:rFonts w:ascii="Cambria"/>
          <w:sz w:val="24"/>
        </w:rPr>
        <w:t>x,</w:t>
      </w:r>
      <w:r>
        <w:rPr>
          <w:rFonts w:ascii="Cambria"/>
          <w:spacing w:val="-14"/>
          <w:sz w:val="24"/>
        </w:rPr>
        <w:t> </w:t>
      </w:r>
      <w:r>
        <w:rPr>
          <w:rFonts w:ascii="Cambria"/>
          <w:sz w:val="24"/>
        </w:rPr>
        <w:t>y </w:t>
      </w:r>
      <w:r>
        <w:rPr>
          <w:sz w:val="24"/>
        </w:rPr>
        <w:t>coordinates of the action, the possession</w:t>
      </w:r>
      <w:r>
        <w:rPr>
          <w:spacing w:val="25"/>
          <w:sz w:val="24"/>
        </w:rPr>
        <w:t> </w:t>
      </w:r>
      <w:r>
        <w:rPr>
          <w:sz w:val="24"/>
        </w:rPr>
        <w:t>number</w:t>
      </w:r>
      <w:r>
        <w:rPr>
          <w:spacing w:val="25"/>
          <w:sz w:val="24"/>
        </w:rPr>
        <w:t> </w:t>
      </w:r>
      <w:r>
        <w:rPr>
          <w:sz w:val="24"/>
        </w:rPr>
        <w:t>(PosNum)</w:t>
      </w:r>
      <w:r>
        <w:rPr>
          <w:spacing w:val="25"/>
          <w:sz w:val="24"/>
        </w:rPr>
        <w:t> </w:t>
      </w:r>
      <w:r>
        <w:rPr>
          <w:sz w:val="24"/>
        </w:rPr>
        <w:t>and</w:t>
      </w:r>
      <w:r>
        <w:rPr>
          <w:spacing w:val="25"/>
          <w:sz w:val="24"/>
        </w:rPr>
        <w:t> </w:t>
      </w:r>
      <w:r>
        <w:rPr>
          <w:sz w:val="24"/>
        </w:rPr>
        <w:t>the</w:t>
      </w:r>
      <w:r>
        <w:rPr>
          <w:spacing w:val="25"/>
          <w:sz w:val="24"/>
        </w:rPr>
        <w:t> </w:t>
      </w:r>
      <w:r>
        <w:rPr>
          <w:sz w:val="24"/>
        </w:rPr>
        <w:t>possession</w:t>
      </w:r>
      <w:r>
        <w:rPr>
          <w:spacing w:val="25"/>
          <w:sz w:val="24"/>
        </w:rPr>
        <w:t> </w:t>
      </w:r>
      <w:r>
        <w:rPr>
          <w:sz w:val="24"/>
        </w:rPr>
        <w:t>outcome</w:t>
      </w:r>
      <w:r>
        <w:rPr>
          <w:spacing w:val="25"/>
          <w:sz w:val="24"/>
        </w:rPr>
        <w:t> </w:t>
      </w:r>
      <w:r>
        <w:rPr>
          <w:sz w:val="24"/>
        </w:rPr>
        <w:t>(PosCat;</w:t>
      </w:r>
      <w:r>
        <w:rPr>
          <w:spacing w:val="40"/>
          <w:sz w:val="24"/>
        </w:rPr>
        <w:t> </w:t>
      </w:r>
      <w:r>
        <w:rPr>
          <w:sz w:val="24"/>
        </w:rPr>
        <w:t>in</w:t>
      </w:r>
    </w:p>
    <w:p>
      <w:pPr>
        <w:pStyle w:val="BodyText"/>
        <w:tabs>
          <w:tab w:pos="8620" w:val="left" w:leader="dot"/>
        </w:tabs>
        <w:ind w:left="1518"/>
        <w:jc w:val="both"/>
      </w:pPr>
      <w:r>
        <w:rPr/>
        <w:t>this</w:t>
      </w:r>
      <w:r>
        <w:rPr>
          <w:spacing w:val="-4"/>
        </w:rPr>
        <w:t> </w:t>
      </w:r>
      <w:r>
        <w:rPr/>
        <w:t>case</w:t>
      </w:r>
      <w:r>
        <w:rPr>
          <w:spacing w:val="-4"/>
        </w:rPr>
        <w:t> </w:t>
      </w:r>
      <w:r>
        <w:rPr/>
        <w:t>no</w:t>
      </w:r>
      <w:r>
        <w:rPr>
          <w:spacing w:val="-4"/>
        </w:rPr>
        <w:t> </w:t>
      </w:r>
      <w:r>
        <w:rPr/>
        <w:t>try</w:t>
      </w:r>
      <w:r>
        <w:rPr>
          <w:spacing w:val="-4"/>
        </w:rPr>
        <w:t> </w:t>
      </w:r>
      <w:r>
        <w:rPr/>
        <w:t>for</w:t>
      </w:r>
      <w:r>
        <w:rPr>
          <w:spacing w:val="-4"/>
        </w:rPr>
        <w:t> </w:t>
      </w:r>
      <w:r>
        <w:rPr/>
        <w:t>all</w:t>
      </w:r>
      <w:r>
        <w:rPr>
          <w:spacing w:val="-4"/>
        </w:rPr>
        <w:t> </w:t>
      </w:r>
      <w:r>
        <w:rPr>
          <w:spacing w:val="-2"/>
        </w:rPr>
        <w:t>rows).</w:t>
      </w:r>
      <w:r>
        <w:rPr/>
        <w:tab/>
      </w:r>
      <w:r>
        <w:rPr>
          <w:color w:val="0000FF"/>
          <w:spacing w:val="-5"/>
        </w:rPr>
        <w:t>149</w:t>
      </w:r>
    </w:p>
    <w:p>
      <w:pPr>
        <w:pStyle w:val="ListParagraph"/>
        <w:numPr>
          <w:ilvl w:val="1"/>
          <w:numId w:val="14"/>
        </w:numPr>
        <w:tabs>
          <w:tab w:pos="1519" w:val="left" w:leader="none"/>
        </w:tabs>
        <w:spacing w:line="304" w:lineRule="auto" w:before="79" w:after="0"/>
        <w:ind w:left="1518" w:right="998" w:hanging="550"/>
        <w:jc w:val="both"/>
        <w:rPr>
          <w:sz w:val="24"/>
        </w:rPr>
      </w:pPr>
      <w:r>
        <w:rPr>
          <w:sz w:val="24"/>
        </w:rPr>
        <w:t>Prior </w:t>
      </w:r>
      <w:r>
        <w:rPr>
          <w:rFonts w:ascii="Cambria" w:hAnsi="Cambria"/>
          <w:sz w:val="24"/>
        </w:rPr>
        <w:t>α </w:t>
      </w:r>
      <w:r>
        <w:rPr>
          <w:sz w:val="24"/>
        </w:rPr>
        <w:t>values for whole league Bayesian model.</w:t>
      </w:r>
      <w:r>
        <w:rPr>
          <w:spacing w:val="29"/>
          <w:sz w:val="24"/>
        </w:rPr>
        <w:t> </w:t>
      </w:r>
      <w:r>
        <w:rPr>
          <w:sz w:val="24"/>
        </w:rPr>
        <w:t>Centre coordinates are provided, alongside </w:t>
      </w:r>
      <w:r>
        <w:rPr>
          <w:rFonts w:ascii="Cambria" w:hAnsi="Cambria"/>
          <w:sz w:val="24"/>
        </w:rPr>
        <w:t>α </w:t>
      </w:r>
      <w:r>
        <w:rPr>
          <w:sz w:val="24"/>
        </w:rPr>
        <w:t>values for each possession outcome.</w:t>
      </w:r>
      <w:r>
        <w:rPr>
          <w:spacing w:val="39"/>
          <w:sz w:val="24"/>
        </w:rPr>
        <w:t> </w:t>
      </w:r>
      <w:r>
        <w:rPr>
          <w:sz w:val="24"/>
        </w:rPr>
        <w:t>C.Try </w:t>
      </w:r>
      <w:r>
        <w:rPr>
          <w:sz w:val="24"/>
        </w:rPr>
        <w:t>refers</w:t>
      </w:r>
    </w:p>
    <w:p>
      <w:pPr>
        <w:pStyle w:val="BodyText"/>
        <w:spacing w:before="6"/>
        <w:ind w:left="1518"/>
        <w:jc w:val="both"/>
      </w:pPr>
      <w:r>
        <w:rPr/>
        <w:t>to</w:t>
      </w:r>
      <w:r>
        <w:rPr>
          <w:spacing w:val="-8"/>
        </w:rPr>
        <w:t> </w:t>
      </w:r>
      <w:r>
        <w:rPr/>
        <w:t>converted</w:t>
      </w:r>
      <w:r>
        <w:rPr>
          <w:spacing w:val="-8"/>
        </w:rPr>
        <w:t> </w:t>
      </w:r>
      <w:r>
        <w:rPr/>
        <w:t>try</w:t>
      </w:r>
      <w:r>
        <w:rPr>
          <w:spacing w:val="-8"/>
        </w:rPr>
        <w:t> </w:t>
      </w:r>
      <w:r>
        <w:rPr/>
        <w:t>(6</w:t>
      </w:r>
      <w:r>
        <w:rPr>
          <w:spacing w:val="-8"/>
        </w:rPr>
        <w:t> </w:t>
      </w:r>
      <w:r>
        <w:rPr/>
        <w:t>points)</w:t>
      </w:r>
      <w:r>
        <w:rPr>
          <w:spacing w:val="-8"/>
        </w:rPr>
        <w:t> </w:t>
      </w:r>
      <w:r>
        <w:rPr/>
        <w:t>and</w:t>
      </w:r>
      <w:r>
        <w:rPr>
          <w:spacing w:val="-8"/>
        </w:rPr>
        <w:t> </w:t>
      </w:r>
      <w:r>
        <w:rPr/>
        <w:t>U.Try</w:t>
      </w:r>
      <w:r>
        <w:rPr>
          <w:spacing w:val="-8"/>
        </w:rPr>
        <w:t> </w:t>
      </w:r>
      <w:r>
        <w:rPr/>
        <w:t>refers</w:t>
      </w:r>
      <w:r>
        <w:rPr>
          <w:spacing w:val="-8"/>
        </w:rPr>
        <w:t> </w:t>
      </w:r>
      <w:r>
        <w:rPr/>
        <w:t>to</w:t>
      </w:r>
      <w:r>
        <w:rPr>
          <w:spacing w:val="-8"/>
        </w:rPr>
        <w:t> </w:t>
      </w:r>
      <w:r>
        <w:rPr/>
        <w:t>unconverted</w:t>
      </w:r>
      <w:r>
        <w:rPr>
          <w:spacing w:val="-8"/>
        </w:rPr>
        <w:t> </w:t>
      </w:r>
      <w:r>
        <w:rPr/>
        <w:t>try</w:t>
      </w:r>
      <w:r>
        <w:rPr>
          <w:spacing w:val="-8"/>
        </w:rPr>
        <w:t> </w:t>
      </w:r>
      <w:r>
        <w:rPr/>
        <w:t>(4</w:t>
      </w:r>
      <w:r>
        <w:rPr>
          <w:spacing w:val="-8"/>
        </w:rPr>
        <w:t> </w:t>
      </w:r>
      <w:r>
        <w:rPr/>
        <w:t>points).</w:t>
      </w:r>
      <w:r>
        <w:rPr>
          <w:spacing w:val="59"/>
        </w:rPr>
        <w:t> </w:t>
      </w:r>
      <w:r>
        <w:rPr>
          <w:color w:val="0000FF"/>
          <w:spacing w:val="-5"/>
        </w:rPr>
        <w:t>156</w:t>
      </w:r>
    </w:p>
    <w:p>
      <w:pPr>
        <w:pStyle w:val="ListParagraph"/>
        <w:numPr>
          <w:ilvl w:val="1"/>
          <w:numId w:val="14"/>
        </w:numPr>
        <w:tabs>
          <w:tab w:pos="1518" w:val="left" w:leader="none"/>
          <w:tab w:pos="1519" w:val="left" w:leader="none"/>
          <w:tab w:pos="8620" w:val="left" w:leader="dot"/>
        </w:tabs>
        <w:spacing w:line="309" w:lineRule="auto" w:before="79" w:after="0"/>
        <w:ind w:left="1518" w:right="524" w:hanging="550"/>
        <w:jc w:val="left"/>
        <w:rPr>
          <w:sz w:val="24"/>
        </w:rPr>
      </w:pPr>
      <w:r>
        <w:rPr>
          <w:rFonts w:ascii="Cambria" w:hAnsi="Cambria"/>
          <w:sz w:val="24"/>
        </w:rPr>
        <w:t>α</w:t>
      </w:r>
      <w:r>
        <w:rPr>
          <w:rFonts w:ascii="Cambria" w:hAnsi="Cambria"/>
          <w:spacing w:val="40"/>
          <w:sz w:val="24"/>
        </w:rPr>
        <w:t> </w:t>
      </w:r>
      <w:r>
        <w:rPr>
          <w:sz w:val="24"/>
        </w:rPr>
        <w:t>prior distribution values for team attacking and defending models.</w:t>
      </w:r>
      <w:r>
        <w:rPr>
          <w:spacing w:val="40"/>
          <w:sz w:val="24"/>
        </w:rPr>
        <w:t> </w:t>
      </w:r>
      <w:r>
        <w:rPr>
          <w:rFonts w:ascii="Cambria" w:hAnsi="Cambria"/>
          <w:sz w:val="24"/>
        </w:rPr>
        <w:t>α</w:t>
      </w:r>
      <w:r>
        <w:rPr>
          <w:rFonts w:ascii="Cambria" w:hAnsi="Cambria"/>
          <w:spacing w:val="40"/>
          <w:sz w:val="24"/>
        </w:rPr>
        <w:t> </w:t>
      </w:r>
      <w:r>
        <w:rPr>
          <w:sz w:val="24"/>
        </w:rPr>
        <w:t>values calculated via maximum likelihood estimation from posterior dis- tribution of the whole league model.</w:t>
      </w:r>
      <w:r>
        <w:rPr>
          <w:spacing w:val="80"/>
          <w:sz w:val="24"/>
        </w:rPr>
        <w:t> </w:t>
      </w:r>
      <w:r>
        <w:rPr>
          <w:sz w:val="24"/>
        </w:rPr>
        <w:t>Centre coordinates are provided, alongside</w:t>
      </w:r>
      <w:r>
        <w:rPr>
          <w:spacing w:val="40"/>
          <w:sz w:val="24"/>
        </w:rPr>
        <w:t> </w:t>
      </w:r>
      <w:r>
        <w:rPr>
          <w:rFonts w:ascii="Cambria" w:hAnsi="Cambria"/>
          <w:sz w:val="24"/>
        </w:rPr>
        <w:t>α</w:t>
      </w:r>
      <w:r>
        <w:rPr>
          <w:rFonts w:ascii="Cambria" w:hAnsi="Cambria"/>
          <w:spacing w:val="40"/>
          <w:sz w:val="24"/>
        </w:rPr>
        <w:t> </w:t>
      </w:r>
      <w:r>
        <w:rPr>
          <w:sz w:val="24"/>
        </w:rPr>
        <w:t>values</w:t>
      </w:r>
      <w:r>
        <w:rPr>
          <w:spacing w:val="40"/>
          <w:sz w:val="24"/>
        </w:rPr>
        <w:t> </w:t>
      </w:r>
      <w:r>
        <w:rPr>
          <w:sz w:val="24"/>
        </w:rPr>
        <w:t>for</w:t>
      </w:r>
      <w:r>
        <w:rPr>
          <w:spacing w:val="40"/>
          <w:sz w:val="24"/>
        </w:rPr>
        <w:t> </w:t>
      </w:r>
      <w:r>
        <w:rPr>
          <w:sz w:val="24"/>
        </w:rPr>
        <w:t>each</w:t>
      </w:r>
      <w:r>
        <w:rPr>
          <w:spacing w:val="40"/>
          <w:sz w:val="24"/>
        </w:rPr>
        <w:t> </w:t>
      </w:r>
      <w:r>
        <w:rPr>
          <w:sz w:val="24"/>
        </w:rPr>
        <w:t>possession</w:t>
      </w:r>
      <w:r>
        <w:rPr>
          <w:spacing w:val="40"/>
          <w:sz w:val="24"/>
        </w:rPr>
        <w:t> </w:t>
      </w:r>
      <w:r>
        <w:rPr>
          <w:sz w:val="24"/>
        </w:rPr>
        <w:t>outcome.</w:t>
      </w:r>
      <w:r>
        <w:rPr>
          <w:spacing w:val="80"/>
          <w:sz w:val="24"/>
        </w:rPr>
        <w:t> </w:t>
      </w:r>
      <w:r>
        <w:rPr>
          <w:sz w:val="24"/>
        </w:rPr>
        <w:t>C.Try</w:t>
      </w:r>
      <w:r>
        <w:rPr>
          <w:spacing w:val="40"/>
          <w:sz w:val="24"/>
        </w:rPr>
        <w:t> </w:t>
      </w:r>
      <w:r>
        <w:rPr>
          <w:sz w:val="24"/>
        </w:rPr>
        <w:t>refers</w:t>
      </w:r>
      <w:r>
        <w:rPr>
          <w:spacing w:val="40"/>
          <w:sz w:val="24"/>
        </w:rPr>
        <w:t> </w:t>
      </w:r>
      <w:r>
        <w:rPr>
          <w:sz w:val="24"/>
        </w:rPr>
        <w:t>to</w:t>
      </w:r>
      <w:r>
        <w:rPr>
          <w:spacing w:val="40"/>
          <w:sz w:val="24"/>
        </w:rPr>
        <w:t> </w:t>
      </w:r>
      <w:r>
        <w:rPr>
          <w:sz w:val="24"/>
        </w:rPr>
        <w:t>con- verted</w:t>
      </w:r>
      <w:r>
        <w:rPr>
          <w:spacing w:val="-4"/>
          <w:sz w:val="24"/>
        </w:rPr>
        <w:t> </w:t>
      </w:r>
      <w:r>
        <w:rPr>
          <w:sz w:val="24"/>
        </w:rPr>
        <w:t>try</w:t>
      </w:r>
      <w:r>
        <w:rPr>
          <w:spacing w:val="-4"/>
          <w:sz w:val="24"/>
        </w:rPr>
        <w:t> </w:t>
      </w:r>
      <w:r>
        <w:rPr>
          <w:sz w:val="24"/>
        </w:rPr>
        <w:t>(6</w:t>
      </w:r>
      <w:r>
        <w:rPr>
          <w:spacing w:val="-4"/>
          <w:sz w:val="24"/>
        </w:rPr>
        <w:t> </w:t>
      </w:r>
      <w:r>
        <w:rPr>
          <w:sz w:val="24"/>
        </w:rPr>
        <w:t>points)</w:t>
      </w:r>
      <w:r>
        <w:rPr>
          <w:spacing w:val="-5"/>
          <w:sz w:val="24"/>
        </w:rPr>
        <w:t> </w:t>
      </w:r>
      <w:r>
        <w:rPr>
          <w:sz w:val="24"/>
        </w:rPr>
        <w:t>and</w:t>
      </w:r>
      <w:r>
        <w:rPr>
          <w:spacing w:val="-4"/>
          <w:sz w:val="24"/>
        </w:rPr>
        <w:t> </w:t>
      </w:r>
      <w:r>
        <w:rPr>
          <w:sz w:val="24"/>
        </w:rPr>
        <w:t>U.Try</w:t>
      </w:r>
      <w:r>
        <w:rPr>
          <w:spacing w:val="-4"/>
          <w:sz w:val="24"/>
        </w:rPr>
        <w:t> </w:t>
      </w:r>
      <w:r>
        <w:rPr>
          <w:sz w:val="24"/>
        </w:rPr>
        <w:t>refers</w:t>
      </w:r>
      <w:r>
        <w:rPr>
          <w:spacing w:val="-4"/>
          <w:sz w:val="24"/>
        </w:rPr>
        <w:t> </w:t>
      </w:r>
      <w:r>
        <w:rPr>
          <w:sz w:val="24"/>
        </w:rPr>
        <w:t>to</w:t>
      </w:r>
      <w:r>
        <w:rPr>
          <w:spacing w:val="-4"/>
          <w:sz w:val="24"/>
        </w:rPr>
        <w:t> </w:t>
      </w:r>
      <w:r>
        <w:rPr>
          <w:sz w:val="24"/>
        </w:rPr>
        <w:t>unconverted</w:t>
      </w:r>
      <w:r>
        <w:rPr>
          <w:spacing w:val="-4"/>
          <w:sz w:val="24"/>
        </w:rPr>
        <w:t> </w:t>
      </w:r>
      <w:r>
        <w:rPr>
          <w:sz w:val="24"/>
        </w:rPr>
        <w:t>try</w:t>
      </w:r>
      <w:r>
        <w:rPr>
          <w:spacing w:val="-4"/>
          <w:sz w:val="24"/>
        </w:rPr>
        <w:t> </w:t>
      </w:r>
      <w:r>
        <w:rPr>
          <w:sz w:val="24"/>
        </w:rPr>
        <w:t>(4</w:t>
      </w:r>
      <w:r>
        <w:rPr>
          <w:spacing w:val="-5"/>
          <w:sz w:val="24"/>
        </w:rPr>
        <w:t> </w:t>
      </w:r>
      <w:r>
        <w:rPr>
          <w:sz w:val="24"/>
        </w:rPr>
        <w:t>points).</w:t>
      </w:r>
      <w:r>
        <w:rPr>
          <w:spacing w:val="20"/>
          <w:sz w:val="24"/>
        </w:rPr>
        <w:t> </w:t>
      </w:r>
      <w:r>
        <w:rPr>
          <w:sz w:val="24"/>
        </w:rPr>
        <w:t>Values rounded</w:t>
      </w:r>
      <w:r>
        <w:rPr>
          <w:spacing w:val="-6"/>
          <w:sz w:val="24"/>
        </w:rPr>
        <w:t> </w:t>
      </w:r>
      <w:r>
        <w:rPr>
          <w:sz w:val="24"/>
        </w:rPr>
        <w:t>to</w:t>
      </w:r>
      <w:r>
        <w:rPr>
          <w:spacing w:val="-6"/>
          <w:sz w:val="24"/>
        </w:rPr>
        <w:t> </w:t>
      </w:r>
      <w:r>
        <w:rPr>
          <w:sz w:val="24"/>
        </w:rPr>
        <w:t>2</w:t>
      </w:r>
      <w:r>
        <w:rPr>
          <w:spacing w:val="-5"/>
          <w:sz w:val="24"/>
        </w:rPr>
        <w:t> </w:t>
      </w:r>
      <w:r>
        <w:rPr>
          <w:sz w:val="24"/>
        </w:rPr>
        <w:t>decimal</w:t>
      </w:r>
      <w:r>
        <w:rPr>
          <w:spacing w:val="-6"/>
          <w:sz w:val="24"/>
        </w:rPr>
        <w:t> </w:t>
      </w:r>
      <w:r>
        <w:rPr>
          <w:sz w:val="24"/>
        </w:rPr>
        <w:t>places</w:t>
      </w:r>
      <w:r>
        <w:rPr>
          <w:spacing w:val="-5"/>
          <w:sz w:val="24"/>
        </w:rPr>
        <w:t> </w:t>
      </w:r>
      <w:r>
        <w:rPr>
          <w:sz w:val="24"/>
        </w:rPr>
        <w:t>for</w:t>
      </w:r>
      <w:r>
        <w:rPr>
          <w:spacing w:val="-6"/>
          <w:sz w:val="24"/>
        </w:rPr>
        <w:t> </w:t>
      </w:r>
      <w:r>
        <w:rPr>
          <w:spacing w:val="-2"/>
          <w:sz w:val="24"/>
        </w:rPr>
        <w:t>brevity</w:t>
      </w:r>
      <w:r>
        <w:rPr>
          <w:sz w:val="24"/>
        </w:rPr>
        <w:tab/>
      </w:r>
      <w:r>
        <w:rPr>
          <w:color w:val="0000FF"/>
          <w:spacing w:val="-5"/>
          <w:sz w:val="24"/>
        </w:rPr>
        <w:t>15</w:t>
      </w:r>
      <w:r>
        <w:rPr>
          <w:color w:val="0000FF"/>
          <w:spacing w:val="-5"/>
          <w:sz w:val="24"/>
        </w:rPr>
        <w:t>7</w:t>
      </w:r>
    </w:p>
    <w:p>
      <w:pPr>
        <w:pStyle w:val="ListParagraph"/>
        <w:numPr>
          <w:ilvl w:val="1"/>
          <w:numId w:val="14"/>
        </w:numPr>
        <w:tabs>
          <w:tab w:pos="1519" w:val="left" w:leader="none"/>
        </w:tabs>
        <w:spacing w:line="309" w:lineRule="auto" w:before="5" w:after="0"/>
        <w:ind w:left="1518" w:right="998" w:hanging="550"/>
        <w:jc w:val="both"/>
        <w:rPr>
          <w:sz w:val="24"/>
        </w:rPr>
      </w:pPr>
      <w:r>
        <w:rPr>
          <w:sz w:val="24"/>
        </w:rPr>
        <w:t>Abbreviated example of weights used in this study.</w:t>
      </w:r>
      <w:r>
        <w:rPr>
          <w:spacing w:val="40"/>
          <w:sz w:val="24"/>
        </w:rPr>
        <w:t> </w:t>
      </w:r>
      <w:r>
        <w:rPr>
          <w:sz w:val="24"/>
        </w:rPr>
        <w:t>Only first 8 centres are shown, column titles represent centre coordinates.</w:t>
      </w:r>
      <w:r>
        <w:rPr>
          <w:spacing w:val="40"/>
          <w:sz w:val="24"/>
        </w:rPr>
        <w:t> </w:t>
      </w:r>
      <w:r>
        <w:rPr>
          <w:sz w:val="24"/>
        </w:rPr>
        <w:t>All other </w:t>
      </w:r>
      <w:r>
        <w:rPr>
          <w:sz w:val="24"/>
        </w:rPr>
        <w:t>centres</w:t>
      </w:r>
      <w:r>
        <w:rPr>
          <w:sz w:val="24"/>
        </w:rPr>
        <w:t> (</w:t>
      </w:r>
      <w:r>
        <w:rPr>
          <w:rFonts w:ascii="Cambria"/>
          <w:sz w:val="24"/>
        </w:rPr>
        <w:t>n</w:t>
      </w:r>
      <w:r>
        <w:rPr>
          <w:rFonts w:ascii="Cambria"/>
          <w:spacing w:val="55"/>
          <w:sz w:val="24"/>
        </w:rPr>
        <w:t> </w:t>
      </w:r>
      <w:r>
        <w:rPr>
          <w:rFonts w:ascii="Garamond"/>
          <w:sz w:val="24"/>
        </w:rPr>
        <w:t>=</w:t>
      </w:r>
      <w:r>
        <w:rPr>
          <w:rFonts w:ascii="Garamond"/>
          <w:spacing w:val="40"/>
          <w:sz w:val="24"/>
        </w:rPr>
        <w:t> </w:t>
      </w:r>
      <w:r>
        <w:rPr>
          <w:rFonts w:ascii="Garamond"/>
          <w:sz w:val="24"/>
        </w:rPr>
        <w:t>25</w:t>
      </w:r>
      <w:r>
        <w:rPr>
          <w:sz w:val="24"/>
        </w:rPr>
        <w:t>)</w:t>
      </w:r>
      <w:r>
        <w:rPr>
          <w:spacing w:val="23"/>
          <w:sz w:val="24"/>
        </w:rPr>
        <w:t> </w:t>
      </w:r>
      <w:r>
        <w:rPr>
          <w:sz w:val="24"/>
        </w:rPr>
        <w:t>are</w:t>
      </w:r>
      <w:r>
        <w:rPr>
          <w:spacing w:val="22"/>
          <w:sz w:val="24"/>
        </w:rPr>
        <w:t> </w:t>
      </w:r>
      <w:r>
        <w:rPr>
          <w:sz w:val="24"/>
        </w:rPr>
        <w:t>assigned</w:t>
      </w:r>
      <w:r>
        <w:rPr>
          <w:spacing w:val="23"/>
          <w:sz w:val="24"/>
        </w:rPr>
        <w:t> </w:t>
      </w:r>
      <w:r>
        <w:rPr>
          <w:sz w:val="24"/>
        </w:rPr>
        <w:t>weights</w:t>
      </w:r>
      <w:r>
        <w:rPr>
          <w:spacing w:val="22"/>
          <w:sz w:val="24"/>
        </w:rPr>
        <w:t> </w:t>
      </w:r>
      <w:r>
        <w:rPr>
          <w:sz w:val="24"/>
        </w:rPr>
        <w:t>of</w:t>
      </w:r>
      <w:r>
        <w:rPr>
          <w:spacing w:val="22"/>
          <w:sz w:val="24"/>
        </w:rPr>
        <w:t> </w:t>
      </w:r>
      <w:r>
        <w:rPr>
          <w:rFonts w:ascii="Garamond"/>
          <w:sz w:val="24"/>
        </w:rPr>
        <w:t>0</w:t>
      </w:r>
      <w:r>
        <w:rPr>
          <w:rFonts w:ascii="Garamond"/>
          <w:spacing w:val="23"/>
          <w:sz w:val="24"/>
        </w:rPr>
        <w:t> </w:t>
      </w:r>
      <w:r>
        <w:rPr>
          <w:sz w:val="24"/>
        </w:rPr>
        <w:t>based</w:t>
      </w:r>
      <w:r>
        <w:rPr>
          <w:spacing w:val="23"/>
          <w:sz w:val="24"/>
        </w:rPr>
        <w:t> </w:t>
      </w:r>
      <w:r>
        <w:rPr>
          <w:sz w:val="24"/>
        </w:rPr>
        <w:t>on</w:t>
      </w:r>
      <w:r>
        <w:rPr>
          <w:spacing w:val="22"/>
          <w:sz w:val="24"/>
        </w:rPr>
        <w:t> </w:t>
      </w:r>
      <w:r>
        <w:rPr>
          <w:sz w:val="24"/>
        </w:rPr>
        <w:t>the</w:t>
      </w:r>
      <w:r>
        <w:rPr>
          <w:spacing w:val="22"/>
          <w:sz w:val="24"/>
        </w:rPr>
        <w:t> </w:t>
      </w:r>
      <w:r>
        <w:rPr>
          <w:rFonts w:ascii="Cambria"/>
          <w:sz w:val="24"/>
        </w:rPr>
        <w:t>x,</w:t>
      </w:r>
      <w:r>
        <w:rPr>
          <w:rFonts w:ascii="Cambria"/>
          <w:spacing w:val="-13"/>
          <w:sz w:val="24"/>
        </w:rPr>
        <w:t> </w:t>
      </w:r>
      <w:r>
        <w:rPr>
          <w:rFonts w:ascii="Cambria"/>
          <w:sz w:val="24"/>
        </w:rPr>
        <w:t>y</w:t>
      </w:r>
      <w:r>
        <w:rPr>
          <w:rFonts w:ascii="Cambria"/>
          <w:spacing w:val="37"/>
          <w:sz w:val="24"/>
        </w:rPr>
        <w:t> </w:t>
      </w:r>
      <w:r>
        <w:rPr>
          <w:sz w:val="24"/>
        </w:rPr>
        <w:t>location</w:t>
      </w:r>
      <w:r>
        <w:rPr>
          <w:spacing w:val="22"/>
          <w:sz w:val="24"/>
        </w:rPr>
        <w:t> </w:t>
      </w:r>
      <w:r>
        <w:rPr>
          <w:sz w:val="24"/>
        </w:rPr>
        <w:t>of</w:t>
      </w:r>
      <w:r>
        <w:rPr>
          <w:spacing w:val="23"/>
          <w:sz w:val="24"/>
        </w:rPr>
        <w:t> </w:t>
      </w:r>
      <w:r>
        <w:rPr>
          <w:sz w:val="24"/>
        </w:rPr>
        <w:t>these</w:t>
      </w:r>
    </w:p>
    <w:p>
      <w:pPr>
        <w:pStyle w:val="BodyText"/>
        <w:tabs>
          <w:tab w:pos="8620" w:val="left" w:leader="dot"/>
        </w:tabs>
        <w:spacing w:line="267" w:lineRule="exact"/>
        <w:ind w:left="1518"/>
        <w:jc w:val="both"/>
      </w:pPr>
      <w:r>
        <w:rPr/>
        <w:t>example</w:t>
      </w:r>
      <w:r>
        <w:rPr>
          <w:spacing w:val="-14"/>
        </w:rPr>
        <w:t> </w:t>
      </w:r>
      <w:r>
        <w:rPr>
          <w:spacing w:val="-2"/>
        </w:rPr>
        <w:t>actions.</w:t>
      </w:r>
      <w:r>
        <w:rPr/>
        <w:tab/>
      </w:r>
      <w:r>
        <w:rPr>
          <w:color w:val="0000FF"/>
          <w:spacing w:val="-5"/>
        </w:rPr>
        <w:t>161</w:t>
      </w:r>
    </w:p>
    <w:p>
      <w:pPr>
        <w:spacing w:after="0" w:line="267" w:lineRule="exact"/>
        <w:jc w:val="both"/>
        <w:sectPr>
          <w:pgSz w:w="11910" w:h="16840"/>
          <w:pgMar w:header="1961" w:footer="1428" w:top="2280" w:bottom="1620" w:left="1680" w:right="720"/>
        </w:sectPr>
      </w:pPr>
    </w:p>
    <w:p>
      <w:pPr>
        <w:pStyle w:val="ListParagraph"/>
        <w:numPr>
          <w:ilvl w:val="1"/>
          <w:numId w:val="14"/>
        </w:numPr>
        <w:tabs>
          <w:tab w:pos="1519" w:val="left" w:leader="none"/>
        </w:tabs>
        <w:spacing w:line="312" w:lineRule="auto" w:before="572" w:after="0"/>
        <w:ind w:left="1518" w:right="996" w:hanging="550"/>
        <w:jc w:val="both"/>
        <w:rPr>
          <w:sz w:val="24"/>
        </w:rPr>
      </w:pPr>
      <w:r>
        <w:rPr>
          <w:spacing w:val="-2"/>
          <w:sz w:val="24"/>
        </w:rPr>
        <w:t>Expected</w:t>
      </w:r>
      <w:r>
        <w:rPr>
          <w:spacing w:val="-8"/>
          <w:sz w:val="24"/>
        </w:rPr>
        <w:t> </w:t>
      </w:r>
      <w:r>
        <w:rPr>
          <w:spacing w:val="-2"/>
          <w:sz w:val="24"/>
        </w:rPr>
        <w:t>points</w:t>
      </w:r>
      <w:r>
        <w:rPr>
          <w:spacing w:val="-8"/>
          <w:sz w:val="24"/>
        </w:rPr>
        <w:t> </w:t>
      </w:r>
      <w:r>
        <w:rPr>
          <w:spacing w:val="-2"/>
          <w:sz w:val="24"/>
        </w:rPr>
        <w:t>scored</w:t>
      </w:r>
      <w:r>
        <w:rPr>
          <w:spacing w:val="-8"/>
          <w:sz w:val="24"/>
        </w:rPr>
        <w:t> </w:t>
      </w:r>
      <w:r>
        <w:rPr>
          <w:spacing w:val="-2"/>
          <w:sz w:val="24"/>
        </w:rPr>
        <w:t>across</w:t>
      </w:r>
      <w:r>
        <w:rPr>
          <w:spacing w:val="-8"/>
          <w:sz w:val="24"/>
        </w:rPr>
        <w:t> </w:t>
      </w:r>
      <w:r>
        <w:rPr>
          <w:spacing w:val="-2"/>
          <w:sz w:val="24"/>
        </w:rPr>
        <w:t>the</w:t>
      </w:r>
      <w:r>
        <w:rPr>
          <w:spacing w:val="-8"/>
          <w:sz w:val="24"/>
        </w:rPr>
        <w:t> </w:t>
      </w:r>
      <w:r>
        <w:rPr>
          <w:spacing w:val="-2"/>
          <w:sz w:val="24"/>
        </w:rPr>
        <w:t>season</w:t>
      </w:r>
      <w:r>
        <w:rPr>
          <w:spacing w:val="-8"/>
          <w:sz w:val="24"/>
        </w:rPr>
        <w:t> </w:t>
      </w:r>
      <w:r>
        <w:rPr>
          <w:spacing w:val="-2"/>
          <w:sz w:val="24"/>
        </w:rPr>
        <w:t>compared</w:t>
      </w:r>
      <w:r>
        <w:rPr>
          <w:spacing w:val="-8"/>
          <w:sz w:val="24"/>
        </w:rPr>
        <w:t> </w:t>
      </w:r>
      <w:r>
        <w:rPr>
          <w:spacing w:val="-2"/>
          <w:sz w:val="24"/>
        </w:rPr>
        <w:t>to</w:t>
      </w:r>
      <w:r>
        <w:rPr>
          <w:spacing w:val="-8"/>
          <w:sz w:val="24"/>
        </w:rPr>
        <w:t> </w:t>
      </w:r>
      <w:r>
        <w:rPr>
          <w:spacing w:val="-2"/>
          <w:sz w:val="24"/>
        </w:rPr>
        <w:t>actual</w:t>
      </w:r>
      <w:r>
        <w:rPr>
          <w:spacing w:val="-8"/>
          <w:sz w:val="24"/>
        </w:rPr>
        <w:t> </w:t>
      </w:r>
      <w:r>
        <w:rPr>
          <w:spacing w:val="-2"/>
          <w:sz w:val="24"/>
        </w:rPr>
        <w:t>points</w:t>
      </w:r>
      <w:r>
        <w:rPr>
          <w:spacing w:val="-8"/>
          <w:sz w:val="24"/>
        </w:rPr>
        <w:t> </w:t>
      </w:r>
      <w:r>
        <w:rPr>
          <w:spacing w:val="-2"/>
          <w:sz w:val="24"/>
        </w:rPr>
        <w:t>score</w:t>
      </w:r>
      <w:r>
        <w:rPr>
          <w:spacing w:val="-2"/>
          <w:sz w:val="24"/>
        </w:rPr>
        <w:t>d</w:t>
      </w:r>
      <w:r>
        <w:rPr>
          <w:spacing w:val="-2"/>
          <w:sz w:val="24"/>
        </w:rPr>
        <w:t> </w:t>
      </w:r>
      <w:r>
        <w:rPr>
          <w:sz w:val="24"/>
        </w:rPr>
        <w:t>at</w:t>
      </w:r>
      <w:r>
        <w:rPr>
          <w:spacing w:val="-12"/>
          <w:sz w:val="24"/>
        </w:rPr>
        <w:t> </w:t>
      </w:r>
      <w:r>
        <w:rPr>
          <w:sz w:val="24"/>
        </w:rPr>
        <w:t>the</w:t>
      </w:r>
      <w:r>
        <w:rPr>
          <w:spacing w:val="-12"/>
          <w:sz w:val="24"/>
        </w:rPr>
        <w:t> </w:t>
      </w:r>
      <w:r>
        <w:rPr>
          <w:sz w:val="24"/>
        </w:rPr>
        <w:t>team</w:t>
      </w:r>
      <w:r>
        <w:rPr>
          <w:spacing w:val="-12"/>
          <w:sz w:val="24"/>
        </w:rPr>
        <w:t> </w:t>
      </w:r>
      <w:r>
        <w:rPr>
          <w:sz w:val="24"/>
        </w:rPr>
        <w:t>overall</w:t>
      </w:r>
      <w:r>
        <w:rPr>
          <w:spacing w:val="-12"/>
          <w:sz w:val="24"/>
        </w:rPr>
        <w:t> </w:t>
      </w:r>
      <w:r>
        <w:rPr>
          <w:sz w:val="24"/>
        </w:rPr>
        <w:t>level. Exp</w:t>
      </w:r>
      <w:r>
        <w:rPr>
          <w:spacing w:val="-12"/>
          <w:sz w:val="24"/>
        </w:rPr>
        <w:t> </w:t>
      </w:r>
      <w:r>
        <w:rPr>
          <w:sz w:val="24"/>
        </w:rPr>
        <w:t>Att</w:t>
      </w:r>
      <w:r>
        <w:rPr>
          <w:spacing w:val="-12"/>
          <w:sz w:val="24"/>
        </w:rPr>
        <w:t> </w:t>
      </w:r>
      <w:r>
        <w:rPr>
          <w:sz w:val="24"/>
        </w:rPr>
        <w:t>refers</w:t>
      </w:r>
      <w:r>
        <w:rPr>
          <w:spacing w:val="-12"/>
          <w:sz w:val="24"/>
        </w:rPr>
        <w:t> </w:t>
      </w:r>
      <w:r>
        <w:rPr>
          <w:sz w:val="24"/>
        </w:rPr>
        <w:t>to</w:t>
      </w:r>
      <w:r>
        <w:rPr>
          <w:spacing w:val="-12"/>
          <w:sz w:val="24"/>
        </w:rPr>
        <w:t> </w:t>
      </w:r>
      <w:r>
        <w:rPr>
          <w:sz w:val="24"/>
        </w:rPr>
        <w:t>expected</w:t>
      </w:r>
      <w:r>
        <w:rPr>
          <w:spacing w:val="-12"/>
          <w:sz w:val="24"/>
        </w:rPr>
        <w:t> </w:t>
      </w:r>
      <w:r>
        <w:rPr>
          <w:sz w:val="24"/>
        </w:rPr>
        <w:t>points</w:t>
      </w:r>
      <w:r>
        <w:rPr>
          <w:spacing w:val="-12"/>
          <w:sz w:val="24"/>
        </w:rPr>
        <w:t> </w:t>
      </w:r>
      <w:r>
        <w:rPr>
          <w:sz w:val="24"/>
        </w:rPr>
        <w:t>scored</w:t>
      </w:r>
      <w:r>
        <w:rPr>
          <w:spacing w:val="-12"/>
          <w:sz w:val="24"/>
        </w:rPr>
        <w:t> </w:t>
      </w:r>
      <w:r>
        <w:rPr>
          <w:sz w:val="24"/>
        </w:rPr>
        <w:t>as</w:t>
      </w:r>
      <w:r>
        <w:rPr>
          <w:spacing w:val="-12"/>
          <w:sz w:val="24"/>
        </w:rPr>
        <w:t> </w:t>
      </w:r>
      <w:r>
        <w:rPr>
          <w:sz w:val="24"/>
        </w:rPr>
        <w:t>com- puted using the attacking team EPV; Exp Def refers to expected points scored</w:t>
      </w:r>
      <w:r>
        <w:rPr>
          <w:spacing w:val="-6"/>
          <w:sz w:val="24"/>
        </w:rPr>
        <w:t> </w:t>
      </w:r>
      <w:r>
        <w:rPr>
          <w:sz w:val="24"/>
        </w:rPr>
        <w:t>as</w:t>
      </w:r>
      <w:r>
        <w:rPr>
          <w:spacing w:val="-6"/>
          <w:sz w:val="24"/>
        </w:rPr>
        <w:t> </w:t>
      </w:r>
      <w:r>
        <w:rPr>
          <w:sz w:val="24"/>
        </w:rPr>
        <w:t>computed</w:t>
      </w:r>
      <w:r>
        <w:rPr>
          <w:spacing w:val="-6"/>
          <w:sz w:val="24"/>
        </w:rPr>
        <w:t> </w:t>
      </w:r>
      <w:r>
        <w:rPr>
          <w:sz w:val="24"/>
        </w:rPr>
        <w:t>using</w:t>
      </w:r>
      <w:r>
        <w:rPr>
          <w:spacing w:val="-6"/>
          <w:sz w:val="24"/>
        </w:rPr>
        <w:t> </w:t>
      </w:r>
      <w:r>
        <w:rPr>
          <w:sz w:val="24"/>
        </w:rPr>
        <w:t>the</w:t>
      </w:r>
      <w:r>
        <w:rPr>
          <w:spacing w:val="-6"/>
          <w:sz w:val="24"/>
        </w:rPr>
        <w:t> </w:t>
      </w:r>
      <w:r>
        <w:rPr>
          <w:sz w:val="24"/>
        </w:rPr>
        <w:t>defending</w:t>
      </w:r>
      <w:r>
        <w:rPr>
          <w:spacing w:val="-6"/>
          <w:sz w:val="24"/>
        </w:rPr>
        <w:t> </w:t>
      </w:r>
      <w:r>
        <w:rPr>
          <w:sz w:val="24"/>
        </w:rPr>
        <w:t>team</w:t>
      </w:r>
      <w:r>
        <w:rPr>
          <w:spacing w:val="-6"/>
          <w:sz w:val="24"/>
        </w:rPr>
        <w:t> </w:t>
      </w:r>
      <w:r>
        <w:rPr>
          <w:sz w:val="24"/>
        </w:rPr>
        <w:t>EPV;</w:t>
      </w:r>
      <w:r>
        <w:rPr>
          <w:spacing w:val="-6"/>
          <w:sz w:val="24"/>
        </w:rPr>
        <w:t> </w:t>
      </w:r>
      <w:r>
        <w:rPr>
          <w:sz w:val="24"/>
        </w:rPr>
        <w:t>Diff</w:t>
      </w:r>
      <w:r>
        <w:rPr>
          <w:spacing w:val="-6"/>
          <w:sz w:val="24"/>
        </w:rPr>
        <w:t> </w:t>
      </w:r>
      <w:r>
        <w:rPr>
          <w:sz w:val="24"/>
        </w:rPr>
        <w:t>refers</w:t>
      </w:r>
      <w:r>
        <w:rPr>
          <w:spacing w:val="-6"/>
          <w:sz w:val="24"/>
        </w:rPr>
        <w:t> </w:t>
      </w:r>
      <w:r>
        <w:rPr>
          <w:sz w:val="24"/>
        </w:rPr>
        <w:t>to</w:t>
      </w:r>
      <w:r>
        <w:rPr>
          <w:spacing w:val="-6"/>
          <w:sz w:val="24"/>
        </w:rPr>
        <w:t> </w:t>
      </w:r>
      <w:r>
        <w:rPr>
          <w:sz w:val="24"/>
        </w:rPr>
        <w:t>the</w:t>
      </w:r>
      <w:r>
        <w:rPr>
          <w:spacing w:val="-6"/>
          <w:sz w:val="24"/>
        </w:rPr>
        <w:t> </w:t>
      </w:r>
      <w:r>
        <w:rPr>
          <w:sz w:val="24"/>
        </w:rPr>
        <w:t>dif- ference between points scored and the expected points scored </w:t>
      </w:r>
      <w:r>
        <w:rPr>
          <w:sz w:val="24"/>
        </w:rPr>
        <w:t>(positiv</w:t>
      </w:r>
      <w:r>
        <w:rPr>
          <w:sz w:val="24"/>
        </w:rPr>
        <w:t>e</w:t>
      </w:r>
      <w:r>
        <w:rPr>
          <w:sz w:val="24"/>
        </w:rPr>
        <w:t> means more points were scored than expected).</w:t>
      </w:r>
      <w:r>
        <w:rPr>
          <w:spacing w:val="40"/>
          <w:sz w:val="24"/>
        </w:rPr>
        <w:t> </w:t>
      </w:r>
      <w:r>
        <w:rPr>
          <w:sz w:val="24"/>
        </w:rPr>
        <w:t>Teams are provided </w:t>
      </w:r>
      <w:r>
        <w:rPr>
          <w:sz w:val="24"/>
        </w:rPr>
        <w:t>in</w:t>
      </w:r>
    </w:p>
    <w:p>
      <w:pPr>
        <w:pStyle w:val="BodyText"/>
        <w:tabs>
          <w:tab w:pos="8620" w:val="left" w:leader="dot"/>
        </w:tabs>
        <w:spacing w:line="275" w:lineRule="exact"/>
        <w:ind w:left="1518"/>
        <w:jc w:val="both"/>
      </w:pPr>
      <w:r>
        <w:rPr/>
        <w:t>league</w:t>
      </w:r>
      <w:r>
        <w:rPr>
          <w:spacing w:val="-8"/>
        </w:rPr>
        <w:t> </w:t>
      </w:r>
      <w:r>
        <w:rPr/>
        <w:t>position</w:t>
      </w:r>
      <w:r>
        <w:rPr>
          <w:spacing w:val="-8"/>
        </w:rPr>
        <w:t> </w:t>
      </w:r>
      <w:r>
        <w:rPr>
          <w:spacing w:val="-2"/>
        </w:rPr>
        <w:t>order</w:t>
      </w:r>
      <w:r>
        <w:rPr/>
        <w:tab/>
      </w:r>
      <w:r>
        <w:rPr>
          <w:color w:val="0000FF"/>
          <w:spacing w:val="-5"/>
        </w:rPr>
        <w:t>172</w:t>
      </w:r>
    </w:p>
    <w:p>
      <w:pPr>
        <w:pStyle w:val="ListParagraph"/>
        <w:numPr>
          <w:ilvl w:val="1"/>
          <w:numId w:val="14"/>
        </w:numPr>
        <w:tabs>
          <w:tab w:pos="1519" w:val="left" w:leader="none"/>
        </w:tabs>
        <w:spacing w:line="312" w:lineRule="auto" w:before="82" w:after="0"/>
        <w:ind w:left="1518" w:right="998" w:hanging="550"/>
        <w:jc w:val="both"/>
        <w:rPr>
          <w:sz w:val="24"/>
        </w:rPr>
      </w:pPr>
      <w:r>
        <w:rPr>
          <w:sz w:val="24"/>
        </w:rPr>
        <w:t>Top</w:t>
      </w:r>
      <w:r>
        <w:rPr>
          <w:spacing w:val="-15"/>
          <w:sz w:val="24"/>
        </w:rPr>
        <w:t> </w:t>
      </w:r>
      <w:r>
        <w:rPr>
          <w:sz w:val="24"/>
        </w:rPr>
        <w:t>20</w:t>
      </w:r>
      <w:r>
        <w:rPr>
          <w:spacing w:val="-15"/>
          <w:sz w:val="24"/>
        </w:rPr>
        <w:t> </w:t>
      </w:r>
      <w:r>
        <w:rPr>
          <w:sz w:val="24"/>
        </w:rPr>
        <w:t>player</w:t>
      </w:r>
      <w:r>
        <w:rPr>
          <w:spacing w:val="-15"/>
          <w:sz w:val="24"/>
        </w:rPr>
        <w:t> </w:t>
      </w:r>
      <w:r>
        <w:rPr>
          <w:sz w:val="24"/>
        </w:rPr>
        <w:t>ratings</w:t>
      </w:r>
      <w:r>
        <w:rPr>
          <w:spacing w:val="-15"/>
          <w:sz w:val="24"/>
        </w:rPr>
        <w:t> </w:t>
      </w:r>
      <w:r>
        <w:rPr>
          <w:sz w:val="24"/>
        </w:rPr>
        <w:t>as</w:t>
      </w:r>
      <w:r>
        <w:rPr>
          <w:spacing w:val="-15"/>
          <w:sz w:val="24"/>
        </w:rPr>
        <w:t> </w:t>
      </w:r>
      <w:r>
        <w:rPr>
          <w:sz w:val="24"/>
        </w:rPr>
        <w:t>assessed</w:t>
      </w:r>
      <w:r>
        <w:rPr>
          <w:spacing w:val="-15"/>
          <w:sz w:val="24"/>
        </w:rPr>
        <w:t> </w:t>
      </w:r>
      <w:r>
        <w:rPr>
          <w:sz w:val="24"/>
        </w:rPr>
        <w:t>by</w:t>
      </w:r>
      <w:r>
        <w:rPr>
          <w:spacing w:val="-15"/>
          <w:sz w:val="24"/>
        </w:rPr>
        <w:t> </w:t>
      </w:r>
      <w:r>
        <w:rPr>
          <w:sz w:val="24"/>
        </w:rPr>
        <w:t>the</w:t>
      </w:r>
      <w:r>
        <w:rPr>
          <w:spacing w:val="-15"/>
          <w:sz w:val="24"/>
        </w:rPr>
        <w:t> </w:t>
      </w:r>
      <w:r>
        <w:rPr>
          <w:sz w:val="24"/>
        </w:rPr>
        <w:t>AE</w:t>
      </w:r>
      <w:r>
        <w:rPr>
          <w:spacing w:val="-15"/>
          <w:sz w:val="24"/>
        </w:rPr>
        <w:t> </w:t>
      </w:r>
      <w:r>
        <w:rPr>
          <w:sz w:val="24"/>
        </w:rPr>
        <w:t>ratings</w:t>
      </w:r>
      <w:r>
        <w:rPr>
          <w:spacing w:val="-15"/>
          <w:sz w:val="24"/>
        </w:rPr>
        <w:t> </w:t>
      </w:r>
      <w:r>
        <w:rPr>
          <w:sz w:val="24"/>
        </w:rPr>
        <w:t>(Equation</w:t>
      </w:r>
      <w:hyperlink w:history="true" w:anchor="_bookmark196">
        <w:r>
          <w:rPr>
            <w:color w:val="0000FF"/>
            <w:sz w:val="24"/>
          </w:rPr>
          <w:t>6.12</w:t>
        </w:r>
      </w:hyperlink>
      <w:r>
        <w:rPr>
          <w:sz w:val="24"/>
        </w:rPr>
        <w:t>).</w:t>
      </w:r>
      <w:r>
        <w:rPr>
          <w:spacing w:val="-15"/>
          <w:sz w:val="24"/>
        </w:rPr>
        <w:t> </w:t>
      </w:r>
      <w:r>
        <w:rPr>
          <w:sz w:val="24"/>
        </w:rPr>
        <w:t>Tries, Try</w:t>
      </w:r>
      <w:r>
        <w:rPr>
          <w:spacing w:val="-11"/>
          <w:sz w:val="24"/>
        </w:rPr>
        <w:t> </w:t>
      </w:r>
      <w:r>
        <w:rPr>
          <w:sz w:val="24"/>
        </w:rPr>
        <w:t>Assists,</w:t>
      </w:r>
      <w:r>
        <w:rPr>
          <w:spacing w:val="-10"/>
          <w:sz w:val="24"/>
        </w:rPr>
        <w:t> </w:t>
      </w:r>
      <w:r>
        <w:rPr>
          <w:sz w:val="24"/>
        </w:rPr>
        <w:t>Metres</w:t>
      </w:r>
      <w:r>
        <w:rPr>
          <w:spacing w:val="-11"/>
          <w:sz w:val="24"/>
        </w:rPr>
        <w:t> </w:t>
      </w:r>
      <w:r>
        <w:rPr>
          <w:sz w:val="24"/>
        </w:rPr>
        <w:t>and</w:t>
      </w:r>
      <w:r>
        <w:rPr>
          <w:spacing w:val="-11"/>
          <w:sz w:val="24"/>
        </w:rPr>
        <w:t> </w:t>
      </w:r>
      <w:r>
        <w:rPr>
          <w:sz w:val="24"/>
        </w:rPr>
        <w:t>Goals</w:t>
      </w:r>
      <w:r>
        <w:rPr>
          <w:spacing w:val="-11"/>
          <w:sz w:val="24"/>
        </w:rPr>
        <w:t> </w:t>
      </w:r>
      <w:r>
        <w:rPr>
          <w:sz w:val="24"/>
        </w:rPr>
        <w:t>are</w:t>
      </w:r>
      <w:r>
        <w:rPr>
          <w:spacing w:val="-11"/>
          <w:sz w:val="24"/>
        </w:rPr>
        <w:t> </w:t>
      </w:r>
      <w:r>
        <w:rPr>
          <w:sz w:val="24"/>
        </w:rPr>
        <w:t>provided</w:t>
      </w:r>
      <w:r>
        <w:rPr>
          <w:spacing w:val="-11"/>
          <w:sz w:val="24"/>
        </w:rPr>
        <w:t> </w:t>
      </w:r>
      <w:r>
        <w:rPr>
          <w:sz w:val="24"/>
        </w:rPr>
        <w:t>as</w:t>
      </w:r>
      <w:r>
        <w:rPr>
          <w:spacing w:val="-11"/>
          <w:sz w:val="24"/>
        </w:rPr>
        <w:t> </w:t>
      </w:r>
      <w:r>
        <w:rPr>
          <w:sz w:val="24"/>
        </w:rPr>
        <w:t>references</w:t>
      </w:r>
      <w:r>
        <w:rPr>
          <w:spacing w:val="-11"/>
          <w:sz w:val="24"/>
        </w:rPr>
        <w:t> </w:t>
      </w:r>
      <w:r>
        <w:rPr>
          <w:sz w:val="24"/>
        </w:rPr>
        <w:t>of</w:t>
      </w:r>
      <w:r>
        <w:rPr>
          <w:spacing w:val="-11"/>
          <w:sz w:val="24"/>
        </w:rPr>
        <w:t> </w:t>
      </w:r>
      <w:r>
        <w:rPr>
          <w:sz w:val="24"/>
        </w:rPr>
        <w:t>statistics</w:t>
      </w:r>
      <w:r>
        <w:rPr>
          <w:spacing w:val="-11"/>
          <w:sz w:val="24"/>
        </w:rPr>
        <w:t> </w:t>
      </w:r>
      <w:r>
        <w:rPr>
          <w:sz w:val="24"/>
        </w:rPr>
        <w:t>cur</w:t>
      </w:r>
      <w:r>
        <w:rPr>
          <w:sz w:val="24"/>
        </w:rPr>
        <w:t>-</w:t>
      </w:r>
      <w:r>
        <w:rPr>
          <w:sz w:val="24"/>
        </w:rPr>
        <w:t> rently</w:t>
      </w:r>
      <w:r>
        <w:rPr>
          <w:spacing w:val="-14"/>
          <w:sz w:val="24"/>
        </w:rPr>
        <w:t> </w:t>
      </w:r>
      <w:r>
        <w:rPr>
          <w:sz w:val="24"/>
        </w:rPr>
        <w:t>provided</w:t>
      </w:r>
      <w:r>
        <w:rPr>
          <w:spacing w:val="-14"/>
          <w:sz w:val="24"/>
        </w:rPr>
        <w:t> </w:t>
      </w:r>
      <w:r>
        <w:rPr>
          <w:sz w:val="24"/>
        </w:rPr>
        <w:t>for</w:t>
      </w:r>
      <w:r>
        <w:rPr>
          <w:spacing w:val="-14"/>
          <w:sz w:val="24"/>
        </w:rPr>
        <w:t> </w:t>
      </w:r>
      <w:r>
        <w:rPr>
          <w:sz w:val="24"/>
        </w:rPr>
        <w:t>player</w:t>
      </w:r>
      <w:r>
        <w:rPr>
          <w:spacing w:val="-14"/>
          <w:sz w:val="24"/>
        </w:rPr>
        <w:t> </w:t>
      </w:r>
      <w:r>
        <w:rPr>
          <w:sz w:val="24"/>
        </w:rPr>
        <w:t>performances.</w:t>
      </w:r>
      <w:r>
        <w:rPr>
          <w:spacing w:val="-2"/>
          <w:sz w:val="24"/>
        </w:rPr>
        <w:t> </w:t>
      </w:r>
      <w:r>
        <w:rPr>
          <w:sz w:val="24"/>
        </w:rPr>
        <w:t>To</w:t>
      </w:r>
      <w:r>
        <w:rPr>
          <w:spacing w:val="-14"/>
          <w:sz w:val="24"/>
        </w:rPr>
        <w:t> </w:t>
      </w:r>
      <w:r>
        <w:rPr>
          <w:sz w:val="24"/>
        </w:rPr>
        <w:t>protect</w:t>
      </w:r>
      <w:r>
        <w:rPr>
          <w:spacing w:val="-14"/>
          <w:sz w:val="24"/>
        </w:rPr>
        <w:t> </w:t>
      </w:r>
      <w:r>
        <w:rPr>
          <w:sz w:val="24"/>
        </w:rPr>
        <w:t>anonymity,</w:t>
      </w:r>
      <w:r>
        <w:rPr>
          <w:spacing w:val="-14"/>
          <w:sz w:val="24"/>
        </w:rPr>
        <w:t> </w:t>
      </w:r>
      <w:r>
        <w:rPr>
          <w:sz w:val="24"/>
        </w:rPr>
        <w:t>reference</w:t>
      </w:r>
      <w:r>
        <w:rPr>
          <w:sz w:val="24"/>
        </w:rPr>
        <w:t> statistics</w:t>
      </w:r>
      <w:r>
        <w:rPr>
          <w:spacing w:val="14"/>
          <w:sz w:val="24"/>
        </w:rPr>
        <w:t> </w:t>
      </w:r>
      <w:r>
        <w:rPr>
          <w:sz w:val="24"/>
        </w:rPr>
        <w:t>are</w:t>
      </w:r>
      <w:r>
        <w:rPr>
          <w:spacing w:val="14"/>
          <w:sz w:val="24"/>
        </w:rPr>
        <w:t> </w:t>
      </w:r>
      <w:r>
        <w:rPr>
          <w:sz w:val="24"/>
        </w:rPr>
        <w:t>provided</w:t>
      </w:r>
      <w:r>
        <w:rPr>
          <w:spacing w:val="14"/>
          <w:sz w:val="24"/>
        </w:rPr>
        <w:t> </w:t>
      </w:r>
      <w:r>
        <w:rPr>
          <w:sz w:val="24"/>
        </w:rPr>
        <w:t>based</w:t>
      </w:r>
      <w:r>
        <w:rPr>
          <w:spacing w:val="14"/>
          <w:sz w:val="24"/>
        </w:rPr>
        <w:t> </w:t>
      </w:r>
      <w:r>
        <w:rPr>
          <w:sz w:val="24"/>
        </w:rPr>
        <w:t>on</w:t>
      </w:r>
      <w:r>
        <w:rPr>
          <w:spacing w:val="14"/>
          <w:sz w:val="24"/>
        </w:rPr>
        <w:t> </w:t>
      </w:r>
      <w:r>
        <w:rPr>
          <w:sz w:val="24"/>
        </w:rPr>
        <w:t>the</w:t>
      </w:r>
      <w:r>
        <w:rPr>
          <w:spacing w:val="14"/>
          <w:sz w:val="24"/>
        </w:rPr>
        <w:t> </w:t>
      </w:r>
      <w:r>
        <w:rPr>
          <w:sz w:val="24"/>
        </w:rPr>
        <w:t>whole</w:t>
      </w:r>
      <w:r>
        <w:rPr>
          <w:spacing w:val="14"/>
          <w:sz w:val="24"/>
        </w:rPr>
        <w:t> </w:t>
      </w:r>
      <w:r>
        <w:rPr>
          <w:sz w:val="24"/>
        </w:rPr>
        <w:t>season</w:t>
      </w:r>
      <w:r>
        <w:rPr>
          <w:spacing w:val="14"/>
          <w:sz w:val="24"/>
        </w:rPr>
        <w:t> </w:t>
      </w:r>
      <w:r>
        <w:rPr>
          <w:sz w:val="24"/>
        </w:rPr>
        <w:t>as:</w:t>
      </w:r>
      <w:r>
        <w:rPr>
          <w:spacing w:val="40"/>
          <w:sz w:val="24"/>
        </w:rPr>
        <w:t> </w:t>
      </w:r>
      <w:r>
        <w:rPr>
          <w:sz w:val="24"/>
        </w:rPr>
        <w:t>T-5</w:t>
      </w:r>
      <w:r>
        <w:rPr>
          <w:spacing w:val="14"/>
          <w:sz w:val="24"/>
        </w:rPr>
        <w:t> </w:t>
      </w:r>
      <w:r>
        <w:rPr>
          <w:sz w:val="24"/>
        </w:rPr>
        <w:t>(top</w:t>
      </w:r>
      <w:r>
        <w:rPr>
          <w:spacing w:val="14"/>
          <w:sz w:val="24"/>
        </w:rPr>
        <w:t> </w:t>
      </w:r>
      <w:r>
        <w:rPr>
          <w:sz w:val="24"/>
        </w:rPr>
        <w:t>5);</w:t>
      </w:r>
      <w:r>
        <w:rPr>
          <w:spacing w:val="25"/>
          <w:sz w:val="24"/>
        </w:rPr>
        <w:t> </w:t>
      </w:r>
      <w:r>
        <w:rPr>
          <w:sz w:val="24"/>
        </w:rPr>
        <w:t>T-10</w:t>
      </w:r>
    </w:p>
    <w:p>
      <w:pPr>
        <w:pStyle w:val="BodyText"/>
        <w:tabs>
          <w:tab w:pos="8620" w:val="left" w:leader="dot"/>
        </w:tabs>
        <w:spacing w:line="275" w:lineRule="exact"/>
        <w:ind w:left="1518"/>
        <w:jc w:val="both"/>
      </w:pPr>
      <w:r>
        <w:rPr/>
        <w:t>(top</w:t>
      </w:r>
      <w:r>
        <w:rPr>
          <w:spacing w:val="-8"/>
        </w:rPr>
        <w:t> </w:t>
      </w:r>
      <w:r>
        <w:rPr/>
        <w:t>10),</w:t>
      </w:r>
      <w:r>
        <w:rPr>
          <w:spacing w:val="-8"/>
        </w:rPr>
        <w:t> </w:t>
      </w:r>
      <w:r>
        <w:rPr/>
        <w:t>T-20</w:t>
      </w:r>
      <w:r>
        <w:rPr>
          <w:spacing w:val="-7"/>
        </w:rPr>
        <w:t> </w:t>
      </w:r>
      <w:r>
        <w:rPr/>
        <w:t>(top</w:t>
      </w:r>
      <w:r>
        <w:rPr>
          <w:spacing w:val="-8"/>
        </w:rPr>
        <w:t> </w:t>
      </w:r>
      <w:r>
        <w:rPr/>
        <w:t>20)</w:t>
      </w:r>
      <w:r>
        <w:rPr>
          <w:spacing w:val="-7"/>
        </w:rPr>
        <w:t> </w:t>
      </w:r>
      <w:r>
        <w:rPr/>
        <w:t>and</w:t>
      </w:r>
      <w:r>
        <w:rPr>
          <w:spacing w:val="-8"/>
        </w:rPr>
        <w:t> </w:t>
      </w:r>
      <w:r>
        <w:rPr/>
        <w:t>20+</w:t>
      </w:r>
      <w:r>
        <w:rPr>
          <w:spacing w:val="-8"/>
        </w:rPr>
        <w:t> </w:t>
      </w:r>
      <w:r>
        <w:rPr/>
        <w:t>(outside</w:t>
      </w:r>
      <w:r>
        <w:rPr>
          <w:spacing w:val="-7"/>
        </w:rPr>
        <w:t> </w:t>
      </w:r>
      <w:r>
        <w:rPr/>
        <w:t>top</w:t>
      </w:r>
      <w:r>
        <w:rPr>
          <w:spacing w:val="-8"/>
        </w:rPr>
        <w:t> </w:t>
      </w:r>
      <w:r>
        <w:rPr>
          <w:spacing w:val="-4"/>
        </w:rPr>
        <w:t>20).</w:t>
      </w:r>
      <w:r>
        <w:rPr/>
        <w:tab/>
      </w:r>
      <w:r>
        <w:rPr>
          <w:color w:val="0000FF"/>
          <w:spacing w:val="-5"/>
        </w:rPr>
        <w:t>173</w:t>
      </w:r>
    </w:p>
    <w:p>
      <w:pPr>
        <w:pStyle w:val="ListParagraph"/>
        <w:numPr>
          <w:ilvl w:val="0"/>
          <w:numId w:val="15"/>
        </w:numPr>
        <w:tabs>
          <w:tab w:pos="1518" w:val="left" w:leader="none"/>
          <w:tab w:pos="1519" w:val="left" w:leader="none"/>
          <w:tab w:pos="8620" w:val="left" w:leader="dot"/>
        </w:tabs>
        <w:spacing w:line="240" w:lineRule="auto" w:before="282" w:after="0"/>
        <w:ind w:left="1518" w:right="0" w:hanging="550"/>
        <w:jc w:val="left"/>
        <w:rPr>
          <w:sz w:val="24"/>
        </w:rPr>
      </w:pPr>
      <w:r>
        <w:rPr>
          <w:sz w:val="24"/>
        </w:rPr>
        <w:t>Opta</w:t>
      </w:r>
      <w:r>
        <w:rPr>
          <w:spacing w:val="-8"/>
          <w:sz w:val="24"/>
        </w:rPr>
        <w:t> </w:t>
      </w:r>
      <w:r>
        <w:rPr>
          <w:sz w:val="24"/>
        </w:rPr>
        <w:t>actions</w:t>
      </w:r>
      <w:r>
        <w:rPr>
          <w:spacing w:val="-8"/>
          <w:sz w:val="24"/>
        </w:rPr>
        <w:t> </w:t>
      </w:r>
      <w:r>
        <w:rPr>
          <w:sz w:val="24"/>
        </w:rPr>
        <w:t>and</w:t>
      </w:r>
      <w:r>
        <w:rPr>
          <w:spacing w:val="-7"/>
          <w:sz w:val="24"/>
        </w:rPr>
        <w:t> </w:t>
      </w:r>
      <w:r>
        <w:rPr>
          <w:sz w:val="24"/>
        </w:rPr>
        <w:t>definitions</w:t>
      </w:r>
      <w:r>
        <w:rPr>
          <w:spacing w:val="-8"/>
          <w:sz w:val="24"/>
        </w:rPr>
        <w:t> </w:t>
      </w:r>
      <w:r>
        <w:rPr>
          <w:sz w:val="24"/>
        </w:rPr>
        <w:t>for</w:t>
      </w:r>
      <w:r>
        <w:rPr>
          <w:spacing w:val="-7"/>
          <w:sz w:val="24"/>
        </w:rPr>
        <w:t> </w:t>
      </w:r>
      <w:r>
        <w:rPr>
          <w:sz w:val="24"/>
        </w:rPr>
        <w:t>the</w:t>
      </w:r>
      <w:r>
        <w:rPr>
          <w:spacing w:val="-8"/>
          <w:sz w:val="24"/>
        </w:rPr>
        <w:t> </w:t>
      </w:r>
      <w:r>
        <w:rPr>
          <w:sz w:val="24"/>
        </w:rPr>
        <w:t>2019</w:t>
      </w:r>
      <w:r>
        <w:rPr>
          <w:spacing w:val="-7"/>
          <w:sz w:val="24"/>
        </w:rPr>
        <w:t> </w:t>
      </w:r>
      <w:r>
        <w:rPr>
          <w:sz w:val="24"/>
        </w:rPr>
        <w:t>Super</w:t>
      </w:r>
      <w:r>
        <w:rPr>
          <w:spacing w:val="-8"/>
          <w:sz w:val="24"/>
        </w:rPr>
        <w:t> </w:t>
      </w:r>
      <w:r>
        <w:rPr>
          <w:sz w:val="24"/>
        </w:rPr>
        <w:t>League</w:t>
      </w:r>
      <w:r>
        <w:rPr>
          <w:spacing w:val="-7"/>
          <w:sz w:val="24"/>
        </w:rPr>
        <w:t> </w:t>
      </w:r>
      <w:r>
        <w:rPr>
          <w:spacing w:val="-2"/>
          <w:sz w:val="24"/>
        </w:rPr>
        <w:t>season</w:t>
      </w:r>
      <w:r>
        <w:rPr>
          <w:sz w:val="24"/>
        </w:rPr>
        <w:tab/>
      </w:r>
      <w:r>
        <w:rPr>
          <w:color w:val="0000FF"/>
          <w:spacing w:val="-5"/>
          <w:sz w:val="24"/>
        </w:rPr>
        <w:t>201</w:t>
      </w:r>
    </w:p>
    <w:p>
      <w:pPr>
        <w:pStyle w:val="ListParagraph"/>
        <w:numPr>
          <w:ilvl w:val="0"/>
          <w:numId w:val="15"/>
        </w:numPr>
        <w:tabs>
          <w:tab w:pos="1518" w:val="left" w:leader="none"/>
          <w:tab w:pos="1519" w:val="left" w:leader="none"/>
        </w:tabs>
        <w:spacing w:line="240" w:lineRule="auto" w:before="83" w:after="0"/>
        <w:ind w:left="1518" w:right="0" w:hanging="550"/>
        <w:jc w:val="left"/>
        <w:rPr>
          <w:sz w:val="24"/>
        </w:rPr>
      </w:pPr>
      <w:r>
        <w:rPr>
          <w:spacing w:val="-2"/>
          <w:sz w:val="24"/>
        </w:rPr>
        <w:t>Additional</w:t>
      </w:r>
      <w:r>
        <w:rPr>
          <w:spacing w:val="-11"/>
          <w:sz w:val="24"/>
        </w:rPr>
        <w:t> </w:t>
      </w:r>
      <w:r>
        <w:rPr>
          <w:spacing w:val="-2"/>
          <w:sz w:val="24"/>
        </w:rPr>
        <w:t>Opta</w:t>
      </w:r>
      <w:r>
        <w:rPr>
          <w:spacing w:val="-11"/>
          <w:sz w:val="24"/>
        </w:rPr>
        <w:t> </w:t>
      </w:r>
      <w:r>
        <w:rPr>
          <w:spacing w:val="-2"/>
          <w:sz w:val="24"/>
        </w:rPr>
        <w:t>actions</w:t>
      </w:r>
      <w:r>
        <w:rPr>
          <w:spacing w:val="-11"/>
          <w:sz w:val="24"/>
        </w:rPr>
        <w:t> </w:t>
      </w:r>
      <w:r>
        <w:rPr>
          <w:spacing w:val="-2"/>
          <w:sz w:val="24"/>
        </w:rPr>
        <w:t>and</w:t>
      </w:r>
      <w:r>
        <w:rPr>
          <w:spacing w:val="-10"/>
          <w:sz w:val="24"/>
        </w:rPr>
        <w:t> </w:t>
      </w:r>
      <w:r>
        <w:rPr>
          <w:spacing w:val="-2"/>
          <w:sz w:val="24"/>
        </w:rPr>
        <w:t>definitions</w:t>
      </w:r>
      <w:r>
        <w:rPr>
          <w:spacing w:val="-11"/>
          <w:sz w:val="24"/>
        </w:rPr>
        <w:t> </w:t>
      </w:r>
      <w:r>
        <w:rPr>
          <w:spacing w:val="-2"/>
          <w:sz w:val="24"/>
        </w:rPr>
        <w:t>for</w:t>
      </w:r>
      <w:r>
        <w:rPr>
          <w:spacing w:val="-11"/>
          <w:sz w:val="24"/>
        </w:rPr>
        <w:t> </w:t>
      </w:r>
      <w:r>
        <w:rPr>
          <w:spacing w:val="-2"/>
          <w:sz w:val="24"/>
        </w:rPr>
        <w:t>the</w:t>
      </w:r>
      <w:r>
        <w:rPr>
          <w:spacing w:val="-10"/>
          <w:sz w:val="24"/>
        </w:rPr>
        <w:t> </w:t>
      </w:r>
      <w:r>
        <w:rPr>
          <w:spacing w:val="-2"/>
          <w:sz w:val="24"/>
        </w:rPr>
        <w:t>2020</w:t>
      </w:r>
      <w:r>
        <w:rPr>
          <w:spacing w:val="-11"/>
          <w:sz w:val="24"/>
        </w:rPr>
        <w:t> </w:t>
      </w:r>
      <w:r>
        <w:rPr>
          <w:spacing w:val="-2"/>
          <w:sz w:val="24"/>
        </w:rPr>
        <w:t>Super</w:t>
      </w:r>
      <w:r>
        <w:rPr>
          <w:spacing w:val="-11"/>
          <w:sz w:val="24"/>
        </w:rPr>
        <w:t> </w:t>
      </w:r>
      <w:r>
        <w:rPr>
          <w:spacing w:val="-2"/>
          <w:sz w:val="24"/>
        </w:rPr>
        <w:t>League</w:t>
      </w:r>
      <w:r>
        <w:rPr>
          <w:spacing w:val="-10"/>
          <w:sz w:val="24"/>
        </w:rPr>
        <w:t> </w:t>
      </w:r>
      <w:r>
        <w:rPr>
          <w:spacing w:val="-2"/>
          <w:sz w:val="24"/>
        </w:rPr>
        <w:t>season.</w:t>
      </w:r>
    </w:p>
    <w:p>
      <w:pPr>
        <w:pStyle w:val="BodyText"/>
        <w:tabs>
          <w:tab w:pos="8620" w:val="left" w:leader="dot"/>
        </w:tabs>
        <w:spacing w:line="312" w:lineRule="auto" w:before="82"/>
        <w:ind w:left="1518" w:right="524"/>
      </w:pPr>
      <w:r>
        <w:rPr/>
        <w:t>All actions described in 2019 table were coded in 2020, as well as these additional actions.</w:t>
      </w:r>
      <w:r>
        <w:rPr/>
        <w:tab/>
      </w:r>
      <w:r>
        <w:rPr>
          <w:color w:val="0000FF"/>
          <w:spacing w:val="-4"/>
        </w:rPr>
        <w:t>213</w:t>
      </w:r>
    </w:p>
    <w:p>
      <w:pPr>
        <w:spacing w:after="0" w:line="312" w:lineRule="auto"/>
        <w:sectPr>
          <w:pgSz w:w="11910" w:h="16840"/>
          <w:pgMar w:header="1961" w:footer="1428" w:top="2280" w:bottom="1620" w:left="1680" w:right="720"/>
        </w:sectPr>
      </w:pPr>
    </w:p>
    <w:p>
      <w:pPr>
        <w:pStyle w:val="BodyText"/>
        <w:spacing w:before="3"/>
        <w:rPr>
          <w:sz w:val="162"/>
        </w:rPr>
      </w:pPr>
    </w:p>
    <w:p>
      <w:pPr>
        <w:tabs>
          <w:tab w:pos="9388" w:val="left" w:leader="none"/>
        </w:tabs>
        <w:spacing w:before="0"/>
        <w:ind w:left="610" w:right="0" w:firstLine="0"/>
        <w:jc w:val="left"/>
        <w:rPr>
          <w:sz w:val="119"/>
        </w:rPr>
      </w:pPr>
      <w:r>
        <w:rPr/>
        <w:pict>
          <v:group style="position:absolute;margin-left:114.519997pt;margin-top:15.778819pt;width:55.5pt;height:28.5pt;mso-position-horizontal-relative:page;mso-position-vertical-relative:paragraph;z-index:-21815808" id="docshapegroup12" coordorigin="2290,316" coordsize="1110,570">
            <v:line style="position:absolute" from="2300,885" to="2300,335" stroked="true" strokeweight=".996pt" strokecolor="#000000">
              <v:stroke dashstyle="solid"/>
            </v:line>
            <v:line style="position:absolute" from="2290,326" to="3400,326" stroked="true" strokeweight=".996pt" strokecolor="#000000">
              <v:stroke dashstyle="solid"/>
            </v:line>
            <w10:wrap type="none"/>
          </v:group>
        </w:pict>
      </w:r>
      <w:r>
        <w:rPr/>
        <w:pict>
          <v:group style="position:absolute;margin-left:202.770004pt;margin-top:15.778819pt;width:336.95pt;height:39.8pt;mso-position-horizontal-relative:page;mso-position-vertical-relative:paragraph;z-index:-21815296" id="docshapegroup13" coordorigin="4055,316" coordsize="6739,796">
            <v:line style="position:absolute" from="10784,1111" to="10784,335" stroked="true" strokeweight=".996pt" strokecolor="#000000">
              <v:stroke dashstyle="solid"/>
            </v:line>
            <v:line style="position:absolute" from="4055,326" to="10794,326" stroked="true" strokeweight=".996pt" strokecolor="#000000">
              <v:stroke dashstyle="solid"/>
            </v:line>
            <w10:wrap type="none"/>
          </v:group>
        </w:pict>
      </w:r>
      <w:bookmarkStart w:name="1 Introduction" w:id="2"/>
      <w:bookmarkEnd w:id="2"/>
      <w:r>
        <w:rPr/>
      </w:r>
      <w:bookmarkStart w:name="_bookmark1" w:id="3"/>
      <w:bookmarkEnd w:id="3"/>
      <w:r>
        <w:rPr/>
      </w:r>
      <w:r>
        <w:rPr>
          <w:rFonts w:ascii="Arial"/>
          <w:sz w:val="28"/>
        </w:rPr>
        <w:t>Chapter</w:t>
      </w:r>
      <w:r>
        <w:rPr>
          <w:rFonts w:ascii="Arial"/>
          <w:spacing w:val="66"/>
          <w:sz w:val="28"/>
        </w:rPr>
        <w:t> </w:t>
      </w:r>
      <w:r>
        <w:rPr>
          <w:spacing w:val="9"/>
          <w:sz w:val="119"/>
        </w:rPr>
        <w:t>1</w:t>
      </w:r>
      <w:r>
        <w:rPr>
          <w:sz w:val="119"/>
          <w:u w:val="single"/>
        </w:rPr>
        <w:tab/>
      </w:r>
    </w:p>
    <w:p>
      <w:pPr>
        <w:pStyle w:val="Heading1"/>
        <w:spacing w:before="426"/>
      </w:pPr>
      <w:r>
        <w:rPr>
          <w:spacing w:val="-2"/>
        </w:rPr>
        <w:t>Introduction</w:t>
      </w:r>
    </w:p>
    <w:p>
      <w:pPr>
        <w:pStyle w:val="BodyText"/>
        <w:spacing w:before="9"/>
        <w:rPr>
          <w:sz w:val="79"/>
        </w:rPr>
      </w:pPr>
    </w:p>
    <w:p>
      <w:pPr>
        <w:pStyle w:val="Heading2"/>
        <w:numPr>
          <w:ilvl w:val="1"/>
          <w:numId w:val="16"/>
        </w:numPr>
        <w:tabs>
          <w:tab w:pos="1385" w:val="left" w:leader="none"/>
          <w:tab w:pos="1386" w:val="left" w:leader="none"/>
        </w:tabs>
        <w:spacing w:line="240" w:lineRule="auto" w:before="0" w:after="0"/>
        <w:ind w:left="1385" w:right="0" w:hanging="776"/>
        <w:jc w:val="left"/>
      </w:pPr>
      <w:bookmarkStart w:name="_TOC_250066" w:id="4"/>
      <w:bookmarkStart w:name="1.1 Background" w:id="5"/>
      <w:r>
        <w:rPr>
          <w:b w:val="0"/>
        </w:rPr>
      </w:r>
      <w:bookmarkStart w:name="_bookmark2" w:id="6"/>
      <w:bookmarkEnd w:id="6"/>
      <w:r>
        <w:rPr>
          <w:spacing w:val="-2"/>
        </w:rPr>
        <w:t>Backg</w:t>
      </w:r>
      <w:bookmarkEnd w:id="4"/>
      <w:r>
        <w:rPr>
          <w:spacing w:val="-2"/>
        </w:rPr>
        <w:t>round</w:t>
      </w:r>
    </w:p>
    <w:p>
      <w:pPr>
        <w:pStyle w:val="BodyText"/>
        <w:spacing w:line="312" w:lineRule="auto" w:before="308"/>
        <w:ind w:left="610" w:right="389"/>
        <w:jc w:val="both"/>
      </w:pPr>
      <w:r>
        <w:rPr/>
        <w:t>In the past two decades there has been an exponential increase in the amount of </w:t>
      </w:r>
      <w:r>
        <w:rPr/>
        <w:t>player data generated by sports teams.</w:t>
      </w:r>
      <w:r>
        <w:rPr>
          <w:spacing w:val="40"/>
        </w:rPr>
        <w:t> </w:t>
      </w:r>
      <w:r>
        <w:rPr/>
        <w:t>This increased data availability has been driven by the widespread use of wearable technology (e.g.</w:t>
      </w:r>
      <w:r>
        <w:rPr>
          <w:spacing w:val="36"/>
        </w:rPr>
        <w:t> </w:t>
      </w:r>
      <w:r>
        <w:rPr/>
        <w:t>global positioning system (GPS) units and heart rate monitors) and the introduction of event level match play data annotation and computer vision technologies.</w:t>
      </w:r>
      <w:r>
        <w:rPr>
          <w:spacing w:val="31"/>
        </w:rPr>
        <w:t> </w:t>
      </w:r>
      <w:r>
        <w:rPr/>
        <w:t>GPS units allow practitioners to understand the distances players</w:t>
      </w:r>
      <w:r>
        <w:rPr>
          <w:spacing w:val="-10"/>
        </w:rPr>
        <w:t> </w:t>
      </w:r>
      <w:r>
        <w:rPr/>
        <w:t>run</w:t>
      </w:r>
      <w:r>
        <w:rPr>
          <w:spacing w:val="-10"/>
        </w:rPr>
        <w:t> </w:t>
      </w:r>
      <w:r>
        <w:rPr/>
        <w:t>in</w:t>
      </w:r>
      <w:r>
        <w:rPr>
          <w:spacing w:val="-10"/>
        </w:rPr>
        <w:t> </w:t>
      </w:r>
      <w:r>
        <w:rPr/>
        <w:t>a</w:t>
      </w:r>
      <w:r>
        <w:rPr>
          <w:spacing w:val="-10"/>
        </w:rPr>
        <w:t> </w:t>
      </w:r>
      <w:r>
        <w:rPr/>
        <w:t>match</w:t>
      </w:r>
      <w:r>
        <w:rPr>
          <w:spacing w:val="-10"/>
        </w:rPr>
        <w:t> </w:t>
      </w:r>
      <w:r>
        <w:rPr/>
        <w:t>and</w:t>
      </w:r>
      <w:r>
        <w:rPr>
          <w:spacing w:val="-10"/>
        </w:rPr>
        <w:t> </w:t>
      </w:r>
      <w:r>
        <w:rPr/>
        <w:t>the</w:t>
      </w:r>
      <w:r>
        <w:rPr>
          <w:spacing w:val="-10"/>
        </w:rPr>
        <w:t> </w:t>
      </w:r>
      <w:r>
        <w:rPr/>
        <w:t>accelerations</w:t>
      </w:r>
      <w:r>
        <w:rPr>
          <w:spacing w:val="-10"/>
        </w:rPr>
        <w:t> </w:t>
      </w:r>
      <w:r>
        <w:rPr/>
        <w:t>and</w:t>
      </w:r>
      <w:r>
        <w:rPr>
          <w:spacing w:val="-10"/>
        </w:rPr>
        <w:t> </w:t>
      </w:r>
      <w:r>
        <w:rPr/>
        <w:t>decelerations</w:t>
      </w:r>
      <w:r>
        <w:rPr>
          <w:spacing w:val="-10"/>
        </w:rPr>
        <w:t> </w:t>
      </w:r>
      <w:r>
        <w:rPr/>
        <w:t>that</w:t>
      </w:r>
      <w:r>
        <w:rPr>
          <w:spacing w:val="-10"/>
        </w:rPr>
        <w:t> </w:t>
      </w:r>
      <w:r>
        <w:rPr/>
        <w:t>they</w:t>
      </w:r>
      <w:r>
        <w:rPr>
          <w:spacing w:val="-10"/>
        </w:rPr>
        <w:t> </w:t>
      </w:r>
      <w:r>
        <w:rPr/>
        <w:t>experience. Heart rate monitors allow the heart rate of players to be monitored alongside locomotor infor- mation</w:t>
      </w:r>
      <w:r>
        <w:rPr>
          <w:spacing w:val="-4"/>
        </w:rPr>
        <w:t> </w:t>
      </w:r>
      <w:r>
        <w:rPr/>
        <w:t>to</w:t>
      </w:r>
      <w:r>
        <w:rPr>
          <w:spacing w:val="-4"/>
        </w:rPr>
        <w:t> </w:t>
      </w:r>
      <w:r>
        <w:rPr/>
        <w:t>understand</w:t>
      </w:r>
      <w:r>
        <w:rPr>
          <w:spacing w:val="-4"/>
        </w:rPr>
        <w:t> </w:t>
      </w:r>
      <w:r>
        <w:rPr/>
        <w:t>how</w:t>
      </w:r>
      <w:r>
        <w:rPr>
          <w:spacing w:val="-4"/>
        </w:rPr>
        <w:t> </w:t>
      </w:r>
      <w:r>
        <w:rPr/>
        <w:t>hard</w:t>
      </w:r>
      <w:r>
        <w:rPr>
          <w:spacing w:val="-4"/>
        </w:rPr>
        <w:t> </w:t>
      </w:r>
      <w:r>
        <w:rPr/>
        <w:t>a</w:t>
      </w:r>
      <w:r>
        <w:rPr>
          <w:spacing w:val="-4"/>
        </w:rPr>
        <w:t> </w:t>
      </w:r>
      <w:r>
        <w:rPr/>
        <w:t>player</w:t>
      </w:r>
      <w:r>
        <w:rPr>
          <w:spacing w:val="-4"/>
        </w:rPr>
        <w:t> </w:t>
      </w:r>
      <w:r>
        <w:rPr/>
        <w:t>is</w:t>
      </w:r>
      <w:r>
        <w:rPr>
          <w:spacing w:val="-4"/>
        </w:rPr>
        <w:t> </w:t>
      </w:r>
      <w:r>
        <w:rPr/>
        <w:t>working</w:t>
      </w:r>
      <w:r>
        <w:rPr>
          <w:spacing w:val="-4"/>
        </w:rPr>
        <w:t> </w:t>
      </w:r>
      <w:r>
        <w:rPr/>
        <w:t>physically.</w:t>
      </w:r>
      <w:r>
        <w:rPr>
          <w:spacing w:val="18"/>
        </w:rPr>
        <w:t> </w:t>
      </w:r>
      <w:r>
        <w:rPr/>
        <w:t>Event</w:t>
      </w:r>
      <w:r>
        <w:rPr>
          <w:spacing w:val="-4"/>
        </w:rPr>
        <w:t> </w:t>
      </w:r>
      <w:r>
        <w:rPr/>
        <w:t>level</w:t>
      </w:r>
      <w:r>
        <w:rPr>
          <w:spacing w:val="-4"/>
        </w:rPr>
        <w:t> </w:t>
      </w:r>
      <w:r>
        <w:rPr/>
        <w:t>data</w:t>
      </w:r>
      <w:r>
        <w:rPr>
          <w:spacing w:val="-4"/>
        </w:rPr>
        <w:t> </w:t>
      </w:r>
      <w:r>
        <w:rPr/>
        <w:t>provides information surrounding the events or actions that occur within match play (e.g.</w:t>
      </w:r>
      <w:r>
        <w:rPr>
          <w:spacing w:val="32"/>
        </w:rPr>
        <w:t> </w:t>
      </w:r>
      <w:r>
        <w:rPr/>
        <w:t>passes, runs</w:t>
      </w:r>
      <w:r>
        <w:rPr>
          <w:spacing w:val="-5"/>
        </w:rPr>
        <w:t> </w:t>
      </w:r>
      <w:r>
        <w:rPr/>
        <w:t>and</w:t>
      </w:r>
      <w:r>
        <w:rPr>
          <w:spacing w:val="-5"/>
        </w:rPr>
        <w:t> </w:t>
      </w:r>
      <w:r>
        <w:rPr/>
        <w:t>kicks). In</w:t>
      </w:r>
      <w:r>
        <w:rPr>
          <w:spacing w:val="-5"/>
        </w:rPr>
        <w:t> </w:t>
      </w:r>
      <w:r>
        <w:rPr/>
        <w:t>most</w:t>
      </w:r>
      <w:r>
        <w:rPr>
          <w:spacing w:val="-5"/>
        </w:rPr>
        <w:t> </w:t>
      </w:r>
      <w:r>
        <w:rPr/>
        <w:t>sports,</w:t>
      </w:r>
      <w:r>
        <w:rPr>
          <w:spacing w:val="-5"/>
        </w:rPr>
        <w:t> </w:t>
      </w:r>
      <w:r>
        <w:rPr/>
        <w:t>including</w:t>
      </w:r>
      <w:r>
        <w:rPr>
          <w:spacing w:val="-5"/>
        </w:rPr>
        <w:t> </w:t>
      </w:r>
      <w:r>
        <w:rPr/>
        <w:t>rugby</w:t>
      </w:r>
      <w:r>
        <w:rPr>
          <w:spacing w:val="-5"/>
        </w:rPr>
        <w:t> </w:t>
      </w:r>
      <w:r>
        <w:rPr/>
        <w:t>league,</w:t>
      </w:r>
      <w:r>
        <w:rPr>
          <w:spacing w:val="-5"/>
        </w:rPr>
        <w:t> </w:t>
      </w:r>
      <w:r>
        <w:rPr/>
        <w:t>it</w:t>
      </w:r>
      <w:r>
        <w:rPr>
          <w:spacing w:val="-5"/>
        </w:rPr>
        <w:t> </w:t>
      </w:r>
      <w:r>
        <w:rPr/>
        <w:t>is</w:t>
      </w:r>
      <w:r>
        <w:rPr>
          <w:spacing w:val="-5"/>
        </w:rPr>
        <w:t> </w:t>
      </w:r>
      <w:r>
        <w:rPr/>
        <w:t>collected</w:t>
      </w:r>
      <w:r>
        <w:rPr>
          <w:spacing w:val="-5"/>
        </w:rPr>
        <w:t> </w:t>
      </w:r>
      <w:r>
        <w:rPr/>
        <w:t>via</w:t>
      </w:r>
      <w:r>
        <w:rPr>
          <w:spacing w:val="-5"/>
        </w:rPr>
        <w:t> </w:t>
      </w:r>
      <w:r>
        <w:rPr/>
        <w:t>human</w:t>
      </w:r>
      <w:r>
        <w:rPr>
          <w:spacing w:val="-5"/>
        </w:rPr>
        <w:t> </w:t>
      </w:r>
      <w:r>
        <w:rPr/>
        <w:t>annota- tion.</w:t>
      </w:r>
      <w:r>
        <w:rPr>
          <w:spacing w:val="26"/>
        </w:rPr>
        <w:t> </w:t>
      </w:r>
      <w:r>
        <w:rPr/>
        <w:t>Human</w:t>
      </w:r>
      <w:r>
        <w:rPr>
          <w:spacing w:val="-1"/>
        </w:rPr>
        <w:t> </w:t>
      </w:r>
      <w:r>
        <w:rPr/>
        <w:t>annotation</w:t>
      </w:r>
      <w:r>
        <w:rPr>
          <w:spacing w:val="-1"/>
        </w:rPr>
        <w:t> </w:t>
      </w:r>
      <w:r>
        <w:rPr/>
        <w:t>involves</w:t>
      </w:r>
      <w:r>
        <w:rPr>
          <w:spacing w:val="-1"/>
        </w:rPr>
        <w:t> </w:t>
      </w:r>
      <w:r>
        <w:rPr/>
        <w:t>an</w:t>
      </w:r>
      <w:r>
        <w:rPr>
          <w:spacing w:val="-1"/>
        </w:rPr>
        <w:t> </w:t>
      </w:r>
      <w:r>
        <w:rPr/>
        <w:t>individual</w:t>
      </w:r>
      <w:r>
        <w:rPr>
          <w:spacing w:val="-1"/>
        </w:rPr>
        <w:t> </w:t>
      </w:r>
      <w:r>
        <w:rPr/>
        <w:t>watching</w:t>
      </w:r>
      <w:r>
        <w:rPr>
          <w:spacing w:val="-1"/>
        </w:rPr>
        <w:t> </w:t>
      </w:r>
      <w:r>
        <w:rPr/>
        <w:t>matches</w:t>
      </w:r>
      <w:r>
        <w:rPr>
          <w:spacing w:val="-1"/>
        </w:rPr>
        <w:t> </w:t>
      </w:r>
      <w:r>
        <w:rPr/>
        <w:t>and</w:t>
      </w:r>
      <w:r>
        <w:rPr>
          <w:spacing w:val="-1"/>
        </w:rPr>
        <w:t> </w:t>
      </w:r>
      <w:r>
        <w:rPr/>
        <w:t>coding</w:t>
      </w:r>
      <w:r>
        <w:rPr>
          <w:spacing w:val="-1"/>
        </w:rPr>
        <w:t> </w:t>
      </w:r>
      <w:r>
        <w:rPr/>
        <w:t>each</w:t>
      </w:r>
      <w:r>
        <w:rPr>
          <w:spacing w:val="-1"/>
        </w:rPr>
        <w:t> </w:t>
      </w:r>
      <w:r>
        <w:rPr/>
        <w:t>event that</w:t>
      </w:r>
      <w:r>
        <w:rPr>
          <w:spacing w:val="-13"/>
        </w:rPr>
        <w:t> </w:t>
      </w:r>
      <w:r>
        <w:rPr/>
        <w:t>occurs</w:t>
      </w:r>
      <w:r>
        <w:rPr>
          <w:spacing w:val="-13"/>
        </w:rPr>
        <w:t> </w:t>
      </w:r>
      <w:r>
        <w:rPr/>
        <w:t>in</w:t>
      </w:r>
      <w:r>
        <w:rPr>
          <w:spacing w:val="-13"/>
        </w:rPr>
        <w:t> </w:t>
      </w:r>
      <w:r>
        <w:rPr/>
        <w:t>the</w:t>
      </w:r>
      <w:r>
        <w:rPr>
          <w:spacing w:val="-13"/>
        </w:rPr>
        <w:t> </w:t>
      </w:r>
      <w:r>
        <w:rPr/>
        <w:t>match. It</w:t>
      </w:r>
      <w:r>
        <w:rPr>
          <w:spacing w:val="-13"/>
        </w:rPr>
        <w:t> </w:t>
      </w:r>
      <w:r>
        <w:rPr/>
        <w:t>can</w:t>
      </w:r>
      <w:r>
        <w:rPr>
          <w:spacing w:val="-13"/>
        </w:rPr>
        <w:t> </w:t>
      </w:r>
      <w:r>
        <w:rPr/>
        <w:t>happen</w:t>
      </w:r>
      <w:r>
        <w:rPr>
          <w:spacing w:val="-13"/>
        </w:rPr>
        <w:t> </w:t>
      </w:r>
      <w:r>
        <w:rPr/>
        <w:t>either</w:t>
      </w:r>
      <w:r>
        <w:rPr>
          <w:spacing w:val="-13"/>
        </w:rPr>
        <w:t> </w:t>
      </w:r>
      <w:r>
        <w:rPr/>
        <w:t>live</w:t>
      </w:r>
      <w:r>
        <w:rPr>
          <w:spacing w:val="-13"/>
        </w:rPr>
        <w:t> </w:t>
      </w:r>
      <w:r>
        <w:rPr/>
        <w:t>or</w:t>
      </w:r>
      <w:r>
        <w:rPr>
          <w:spacing w:val="-13"/>
        </w:rPr>
        <w:t> </w:t>
      </w:r>
      <w:r>
        <w:rPr/>
        <w:t>retrospectively. Recently,</w:t>
      </w:r>
      <w:r>
        <w:rPr>
          <w:spacing w:val="-12"/>
        </w:rPr>
        <w:t> </w:t>
      </w:r>
      <w:r>
        <w:rPr/>
        <w:t>event</w:t>
      </w:r>
      <w:r>
        <w:rPr>
          <w:spacing w:val="-13"/>
        </w:rPr>
        <w:t> </w:t>
      </w:r>
      <w:r>
        <w:rPr/>
        <w:t>level information</w:t>
      </w:r>
      <w:r>
        <w:rPr>
          <w:spacing w:val="-15"/>
        </w:rPr>
        <w:t> </w:t>
      </w:r>
      <w:r>
        <w:rPr/>
        <w:t>has</w:t>
      </w:r>
      <w:r>
        <w:rPr>
          <w:spacing w:val="-15"/>
        </w:rPr>
        <w:t> </w:t>
      </w:r>
      <w:r>
        <w:rPr/>
        <w:t>been</w:t>
      </w:r>
      <w:r>
        <w:rPr>
          <w:spacing w:val="-15"/>
        </w:rPr>
        <w:t> </w:t>
      </w:r>
      <w:r>
        <w:rPr/>
        <w:t>extended</w:t>
      </w:r>
      <w:r>
        <w:rPr>
          <w:spacing w:val="-15"/>
        </w:rPr>
        <w:t> </w:t>
      </w:r>
      <w:r>
        <w:rPr/>
        <w:t>and</w:t>
      </w:r>
      <w:r>
        <w:rPr>
          <w:spacing w:val="-15"/>
        </w:rPr>
        <w:t> </w:t>
      </w:r>
      <w:r>
        <w:rPr/>
        <w:t>improved</w:t>
      </w:r>
      <w:r>
        <w:rPr>
          <w:spacing w:val="-15"/>
        </w:rPr>
        <w:t> </w:t>
      </w:r>
      <w:r>
        <w:rPr/>
        <w:t>in</w:t>
      </w:r>
      <w:r>
        <w:rPr>
          <w:spacing w:val="-15"/>
        </w:rPr>
        <w:t> </w:t>
      </w:r>
      <w:r>
        <w:rPr/>
        <w:t>some</w:t>
      </w:r>
      <w:r>
        <w:rPr>
          <w:spacing w:val="-15"/>
        </w:rPr>
        <w:t> </w:t>
      </w:r>
      <w:r>
        <w:rPr/>
        <w:t>sports,</w:t>
      </w:r>
      <w:r>
        <w:rPr>
          <w:spacing w:val="-15"/>
        </w:rPr>
        <w:t> </w:t>
      </w:r>
      <w:r>
        <w:rPr/>
        <w:t>most</w:t>
      </w:r>
      <w:r>
        <w:rPr>
          <w:spacing w:val="-15"/>
        </w:rPr>
        <w:t> </w:t>
      </w:r>
      <w:r>
        <w:rPr/>
        <w:t>notably</w:t>
      </w:r>
      <w:r>
        <w:rPr>
          <w:spacing w:val="-15"/>
        </w:rPr>
        <w:t> </w:t>
      </w:r>
      <w:r>
        <w:rPr/>
        <w:t>football,</w:t>
      </w:r>
      <w:r>
        <w:rPr>
          <w:spacing w:val="-15"/>
        </w:rPr>
        <w:t> </w:t>
      </w:r>
      <w:r>
        <w:rPr/>
        <w:t>by</w:t>
      </w:r>
      <w:r>
        <w:rPr>
          <w:spacing w:val="-15"/>
        </w:rPr>
        <w:t> </w:t>
      </w:r>
      <w:r>
        <w:rPr/>
        <w:t>the use</w:t>
      </w:r>
      <w:r>
        <w:rPr>
          <w:spacing w:val="-13"/>
        </w:rPr>
        <w:t> </w:t>
      </w:r>
      <w:r>
        <w:rPr/>
        <w:t>of</w:t>
      </w:r>
      <w:r>
        <w:rPr>
          <w:spacing w:val="-13"/>
        </w:rPr>
        <w:t> </w:t>
      </w:r>
      <w:r>
        <w:rPr/>
        <w:t>computer</w:t>
      </w:r>
      <w:r>
        <w:rPr>
          <w:spacing w:val="-13"/>
        </w:rPr>
        <w:t> </w:t>
      </w:r>
      <w:r>
        <w:rPr/>
        <w:t>vision</w:t>
      </w:r>
      <w:r>
        <w:rPr>
          <w:spacing w:val="-13"/>
        </w:rPr>
        <w:t> </w:t>
      </w:r>
      <w:r>
        <w:rPr/>
        <w:t>technologies,</w:t>
      </w:r>
      <w:r>
        <w:rPr>
          <w:spacing w:val="-12"/>
        </w:rPr>
        <w:t> </w:t>
      </w:r>
      <w:r>
        <w:rPr/>
        <w:t>which</w:t>
      </w:r>
      <w:r>
        <w:rPr>
          <w:spacing w:val="-13"/>
        </w:rPr>
        <w:t> </w:t>
      </w:r>
      <w:r>
        <w:rPr/>
        <w:t>allow</w:t>
      </w:r>
      <w:r>
        <w:rPr>
          <w:spacing w:val="-13"/>
        </w:rPr>
        <w:t> </w:t>
      </w:r>
      <w:r>
        <w:rPr/>
        <w:t>more</w:t>
      </w:r>
      <w:r>
        <w:rPr>
          <w:spacing w:val="-13"/>
        </w:rPr>
        <w:t> </w:t>
      </w:r>
      <w:r>
        <w:rPr/>
        <w:t>data</w:t>
      </w:r>
      <w:r>
        <w:rPr>
          <w:spacing w:val="-13"/>
        </w:rPr>
        <w:t> </w:t>
      </w:r>
      <w:r>
        <w:rPr/>
        <w:t>to</w:t>
      </w:r>
      <w:r>
        <w:rPr>
          <w:spacing w:val="-13"/>
        </w:rPr>
        <w:t> </w:t>
      </w:r>
      <w:r>
        <w:rPr/>
        <w:t>be</w:t>
      </w:r>
      <w:r>
        <w:rPr>
          <w:spacing w:val="-13"/>
        </w:rPr>
        <w:t> </w:t>
      </w:r>
      <w:r>
        <w:rPr/>
        <w:t>provided</w:t>
      </w:r>
      <w:r>
        <w:rPr>
          <w:spacing w:val="-13"/>
        </w:rPr>
        <w:t> </w:t>
      </w:r>
      <w:r>
        <w:rPr/>
        <w:t>for</w:t>
      </w:r>
      <w:r>
        <w:rPr>
          <w:spacing w:val="-13"/>
        </w:rPr>
        <w:t> </w:t>
      </w:r>
      <w:r>
        <w:rPr/>
        <w:t>each</w:t>
      </w:r>
      <w:r>
        <w:rPr>
          <w:spacing w:val="-13"/>
        </w:rPr>
        <w:t> </w:t>
      </w:r>
      <w:r>
        <w:rPr/>
        <w:t>event (e.g.</w:t>
      </w:r>
      <w:r>
        <w:rPr>
          <w:spacing w:val="40"/>
        </w:rPr>
        <w:t> </w:t>
      </w:r>
      <w:r>
        <w:rPr/>
        <w:t>the location of other players in the same video frame, rather than just the player performing the action (</w:t>
      </w:r>
      <w:hyperlink w:history="true" w:anchor="_bookmark299">
        <w:r>
          <w:rPr>
            <w:color w:val="FF0000"/>
          </w:rPr>
          <w:t>StatsBomb</w:t>
        </w:r>
      </w:hyperlink>
      <w:r>
        <w:rPr/>
        <w:t>,</w:t>
      </w:r>
      <w:hyperlink w:history="true" w:anchor="_bookmark299">
        <w:r>
          <w:rPr>
            <w:color w:val="FF0000"/>
          </w:rPr>
          <w:t>2022</w:t>
        </w:r>
      </w:hyperlink>
      <w:r>
        <w:rPr/>
        <w:t>)).</w:t>
      </w:r>
    </w:p>
    <w:p>
      <w:pPr>
        <w:pStyle w:val="BodyText"/>
        <w:spacing w:line="312" w:lineRule="auto"/>
        <w:ind w:left="610" w:right="389" w:firstLine="351"/>
        <w:jc w:val="both"/>
      </w:pPr>
      <w:r>
        <w:rPr/>
        <w:t>With the influx of wearable technology data across all team sports, the number </w:t>
      </w:r>
      <w:r>
        <w:rPr/>
        <w:t>of published</w:t>
      </w:r>
      <w:r>
        <w:rPr>
          <w:spacing w:val="-2"/>
        </w:rPr>
        <w:t> </w:t>
      </w:r>
      <w:r>
        <w:rPr/>
        <w:t>sports</w:t>
      </w:r>
      <w:r>
        <w:rPr>
          <w:spacing w:val="-2"/>
        </w:rPr>
        <w:t> </w:t>
      </w:r>
      <w:r>
        <w:rPr/>
        <w:t>science</w:t>
      </w:r>
      <w:r>
        <w:rPr>
          <w:spacing w:val="-2"/>
        </w:rPr>
        <w:t> </w:t>
      </w:r>
      <w:r>
        <w:rPr/>
        <w:t>research</w:t>
      </w:r>
      <w:r>
        <w:rPr>
          <w:spacing w:val="-2"/>
        </w:rPr>
        <w:t> </w:t>
      </w:r>
      <w:r>
        <w:rPr/>
        <w:t>studies</w:t>
      </w:r>
      <w:r>
        <w:rPr>
          <w:spacing w:val="-2"/>
        </w:rPr>
        <w:t> </w:t>
      </w:r>
      <w:r>
        <w:rPr/>
        <w:t>has</w:t>
      </w:r>
      <w:r>
        <w:rPr>
          <w:spacing w:val="-2"/>
        </w:rPr>
        <w:t> </w:t>
      </w:r>
      <w:r>
        <w:rPr/>
        <w:t>exploded</w:t>
      </w:r>
      <w:r>
        <w:rPr>
          <w:spacing w:val="-2"/>
        </w:rPr>
        <w:t> </w:t>
      </w:r>
      <w:r>
        <w:rPr/>
        <w:t>in</w:t>
      </w:r>
      <w:r>
        <w:rPr>
          <w:spacing w:val="-2"/>
        </w:rPr>
        <w:t> </w:t>
      </w:r>
      <w:r>
        <w:rPr/>
        <w:t>recent</w:t>
      </w:r>
      <w:r>
        <w:rPr>
          <w:spacing w:val="-2"/>
        </w:rPr>
        <w:t> </w:t>
      </w:r>
      <w:r>
        <w:rPr/>
        <w:t>years. Research</w:t>
      </w:r>
      <w:r>
        <w:rPr>
          <w:spacing w:val="-2"/>
        </w:rPr>
        <w:t> </w:t>
      </w:r>
      <w:r>
        <w:rPr/>
        <w:t>provid- ing</w:t>
      </w:r>
      <w:r>
        <w:rPr>
          <w:spacing w:val="-2"/>
        </w:rPr>
        <w:t> </w:t>
      </w:r>
      <w:r>
        <w:rPr/>
        <w:t>physiological</w:t>
      </w:r>
      <w:r>
        <w:rPr>
          <w:spacing w:val="-1"/>
        </w:rPr>
        <w:t> </w:t>
      </w:r>
      <w:r>
        <w:rPr/>
        <w:t>insights</w:t>
      </w:r>
      <w:r>
        <w:rPr>
          <w:spacing w:val="-1"/>
        </w:rPr>
        <w:t> </w:t>
      </w:r>
      <w:r>
        <w:rPr/>
        <w:t>is</w:t>
      </w:r>
      <w:r>
        <w:rPr>
          <w:spacing w:val="-1"/>
        </w:rPr>
        <w:t> </w:t>
      </w:r>
      <w:r>
        <w:rPr/>
        <w:t>therefore</w:t>
      </w:r>
      <w:r>
        <w:rPr>
          <w:spacing w:val="-1"/>
        </w:rPr>
        <w:t> </w:t>
      </w:r>
      <w:r>
        <w:rPr/>
        <w:t>available</w:t>
      </w:r>
      <w:r>
        <w:rPr>
          <w:spacing w:val="-1"/>
        </w:rPr>
        <w:t> </w:t>
      </w:r>
      <w:r>
        <w:rPr/>
        <w:t>across</w:t>
      </w:r>
      <w:r>
        <w:rPr>
          <w:spacing w:val="-1"/>
        </w:rPr>
        <w:t> </w:t>
      </w:r>
      <w:r>
        <w:rPr/>
        <w:t>multiple</w:t>
      </w:r>
      <w:r>
        <w:rPr>
          <w:spacing w:val="-1"/>
        </w:rPr>
        <w:t> </w:t>
      </w:r>
      <w:r>
        <w:rPr/>
        <w:t>sports</w:t>
      </w:r>
      <w:r>
        <w:rPr>
          <w:spacing w:val="-1"/>
        </w:rPr>
        <w:t> </w:t>
      </w:r>
      <w:r>
        <w:rPr/>
        <w:t>(</w:t>
      </w:r>
      <w:hyperlink w:history="true" w:anchor="_bookmark311">
        <w:r>
          <w:rPr>
            <w:color w:val="FF0000"/>
          </w:rPr>
          <w:t>Whitehead</w:t>
        </w:r>
        <w:r>
          <w:rPr>
            <w:color w:val="FF0000"/>
            <w:spacing w:val="-1"/>
          </w:rPr>
          <w:t> </w:t>
        </w:r>
        <w:r>
          <w:rPr>
            <w:color w:val="FF0000"/>
          </w:rPr>
          <w:t>et</w:t>
        </w:r>
        <w:r>
          <w:rPr>
            <w:color w:val="FF0000"/>
            <w:spacing w:val="-2"/>
          </w:rPr>
          <w:t> </w:t>
        </w:r>
        <w:r>
          <w:rPr>
            <w:color w:val="FF0000"/>
            <w:spacing w:val="-4"/>
          </w:rPr>
          <w:t>al.</w:t>
        </w:r>
      </w:hyperlink>
      <w:r>
        <w:rPr>
          <w:spacing w:val="-4"/>
        </w:rPr>
        <w:t>,</w:t>
      </w:r>
    </w:p>
    <w:p>
      <w:pPr>
        <w:spacing w:after="0" w:line="312" w:lineRule="auto"/>
        <w:jc w:val="both"/>
        <w:sectPr>
          <w:headerReference w:type="default" r:id="rId16"/>
          <w:footerReference w:type="default" r:id="rId17"/>
          <w:pgSz w:w="11910" w:h="16840"/>
          <w:pgMar w:header="0" w:footer="1428" w:top="1920" w:bottom="1620" w:left="1680" w:right="720"/>
          <w:pgNumType w:start="1"/>
        </w:sectPr>
      </w:pPr>
    </w:p>
    <w:p>
      <w:pPr>
        <w:pStyle w:val="BodyText"/>
        <w:rPr>
          <w:sz w:val="20"/>
        </w:rPr>
      </w:pPr>
    </w:p>
    <w:p>
      <w:pPr>
        <w:pStyle w:val="BodyText"/>
        <w:spacing w:before="3"/>
        <w:rPr>
          <w:sz w:val="21"/>
        </w:rPr>
      </w:pPr>
    </w:p>
    <w:p>
      <w:pPr>
        <w:pStyle w:val="BodyText"/>
        <w:spacing w:line="312" w:lineRule="auto" w:before="97"/>
        <w:ind w:left="610" w:right="389"/>
      </w:pPr>
      <w:hyperlink w:history="true" w:anchor="_bookmark311">
        <w:r>
          <w:rPr>
            <w:color w:val="FF0000"/>
          </w:rPr>
          <w:t>2018</w:t>
        </w:r>
      </w:hyperlink>
      <w:r>
        <w:rPr/>
        <w:t>) or specific to individual sports such as football (</w:t>
      </w:r>
      <w:hyperlink w:history="true" w:anchor="_bookmark311">
        <w:r>
          <w:rPr>
            <w:color w:val="FF0000"/>
          </w:rPr>
          <w:t>Whitehead et al.</w:t>
        </w:r>
      </w:hyperlink>
      <w:r>
        <w:rPr/>
        <w:t>,</w:t>
      </w:r>
      <w:hyperlink w:history="true" w:anchor="_bookmark311">
        <w:r>
          <w:rPr>
            <w:color w:val="FF0000"/>
          </w:rPr>
          <w:t>2018</w:t>
        </w:r>
      </w:hyperlink>
      <w:r>
        <w:rPr/>
        <w:t>), hockey (</w:t>
      </w:r>
      <w:hyperlink w:history="true" w:anchor="_bookmark247">
        <w:r>
          <w:rPr>
            <w:color w:val="FF0000"/>
          </w:rPr>
          <w:t>Gabbett</w:t>
        </w:r>
      </w:hyperlink>
      <w:r>
        <w:rPr/>
        <w:t>,</w:t>
      </w:r>
      <w:hyperlink w:history="true" w:anchor="_bookmark247">
        <w:r>
          <w:rPr>
            <w:color w:val="FF0000"/>
          </w:rPr>
          <w:t>2010</w:t>
        </w:r>
        <w:r>
          <w:rPr/>
          <w:t>)</w:t>
        </w:r>
      </w:hyperlink>
      <w:r>
        <w:rPr/>
        <w:t> or rugby (</w:t>
      </w:r>
      <w:hyperlink w:history="true" w:anchor="_bookmark238">
        <w:r>
          <w:rPr>
            <w:color w:val="FF0000"/>
          </w:rPr>
          <w:t>Dalton-Barron et al.</w:t>
        </w:r>
        <w:r>
          <w:rPr/>
          <w:t>,</w:t>
        </w:r>
      </w:hyperlink>
      <w:hyperlink w:history="true" w:anchor="_bookmark238">
        <w:r>
          <w:rPr>
            <w:color w:val="FF0000"/>
          </w:rPr>
          <w:t>2020</w:t>
        </w:r>
        <w:r>
          <w:rPr/>
          <w:t>).</w:t>
        </w:r>
      </w:hyperlink>
      <w:r>
        <w:rPr/>
        <w:t> Unlike wearable technology data, which is widely available across all sports, the use of event level data to provide tactical insights is less common.</w:t>
      </w:r>
      <w:r>
        <w:rPr>
          <w:spacing w:val="40"/>
        </w:rPr>
        <w:t> </w:t>
      </w:r>
      <w:r>
        <w:rPr/>
        <w:t>Within the scope of this PhD, tactical insights refer to under- standing</w:t>
      </w:r>
      <w:r>
        <w:rPr>
          <w:spacing w:val="27"/>
        </w:rPr>
        <w:t> </w:t>
      </w:r>
      <w:r>
        <w:rPr/>
        <w:t>team</w:t>
      </w:r>
      <w:r>
        <w:rPr>
          <w:spacing w:val="27"/>
        </w:rPr>
        <w:t> </w:t>
      </w:r>
      <w:r>
        <w:rPr/>
        <w:t>and</w:t>
      </w:r>
      <w:r>
        <w:rPr>
          <w:spacing w:val="27"/>
        </w:rPr>
        <w:t> </w:t>
      </w:r>
      <w:r>
        <w:rPr/>
        <w:t>player</w:t>
      </w:r>
      <w:r>
        <w:rPr>
          <w:spacing w:val="27"/>
        </w:rPr>
        <w:t> </w:t>
      </w:r>
      <w:r>
        <w:rPr/>
        <w:t>performances</w:t>
      </w:r>
      <w:r>
        <w:rPr>
          <w:spacing w:val="27"/>
        </w:rPr>
        <w:t> </w:t>
      </w:r>
      <w:r>
        <w:rPr/>
        <w:t>through</w:t>
      </w:r>
      <w:r>
        <w:rPr>
          <w:spacing w:val="27"/>
        </w:rPr>
        <w:t> </w:t>
      </w:r>
      <w:r>
        <w:rPr/>
        <w:t>the</w:t>
      </w:r>
      <w:r>
        <w:rPr>
          <w:spacing w:val="27"/>
        </w:rPr>
        <w:t> </w:t>
      </w:r>
      <w:r>
        <w:rPr/>
        <w:t>use</w:t>
      </w:r>
      <w:r>
        <w:rPr>
          <w:spacing w:val="27"/>
        </w:rPr>
        <w:t> </w:t>
      </w:r>
      <w:r>
        <w:rPr/>
        <w:t>of</w:t>
      </w:r>
      <w:r>
        <w:rPr>
          <w:spacing w:val="27"/>
        </w:rPr>
        <w:t> </w:t>
      </w:r>
      <w:r>
        <w:rPr/>
        <w:t>match</w:t>
      </w:r>
      <w:r>
        <w:rPr>
          <w:spacing w:val="27"/>
        </w:rPr>
        <w:t> </w:t>
      </w:r>
      <w:r>
        <w:rPr/>
        <w:t>event</w:t>
      </w:r>
      <w:r>
        <w:rPr>
          <w:spacing w:val="27"/>
        </w:rPr>
        <w:t> </w:t>
      </w:r>
      <w:r>
        <w:rPr/>
        <w:t>data</w:t>
      </w:r>
      <w:r>
        <w:rPr>
          <w:spacing w:val="27"/>
        </w:rPr>
        <w:t> </w:t>
      </w:r>
      <w:r>
        <w:rPr/>
        <w:t>(i.e.</w:t>
      </w:r>
      <w:r>
        <w:rPr>
          <w:spacing w:val="80"/>
        </w:rPr>
        <w:t> </w:t>
      </w:r>
      <w:r>
        <w:rPr/>
        <w:t>the actions</w:t>
      </w:r>
      <w:r>
        <w:rPr>
          <w:spacing w:val="-4"/>
        </w:rPr>
        <w:t> </w:t>
      </w:r>
      <w:r>
        <w:rPr/>
        <w:t>players</w:t>
      </w:r>
      <w:r>
        <w:rPr>
          <w:spacing w:val="-4"/>
        </w:rPr>
        <w:t> </w:t>
      </w:r>
      <w:r>
        <w:rPr/>
        <w:t>or</w:t>
      </w:r>
      <w:r>
        <w:rPr>
          <w:spacing w:val="-4"/>
        </w:rPr>
        <w:t> </w:t>
      </w:r>
      <w:r>
        <w:rPr/>
        <w:t>teams</w:t>
      </w:r>
      <w:r>
        <w:rPr>
          <w:spacing w:val="-4"/>
        </w:rPr>
        <w:t> </w:t>
      </w:r>
      <w:r>
        <w:rPr/>
        <w:t>perform</w:t>
      </w:r>
      <w:r>
        <w:rPr>
          <w:spacing w:val="-4"/>
        </w:rPr>
        <w:t> </w:t>
      </w:r>
      <w:r>
        <w:rPr/>
        <w:t>on</w:t>
      </w:r>
      <w:r>
        <w:rPr>
          <w:spacing w:val="-4"/>
        </w:rPr>
        <w:t> </w:t>
      </w:r>
      <w:r>
        <w:rPr/>
        <w:t>the</w:t>
      </w:r>
      <w:r>
        <w:rPr>
          <w:spacing w:val="-4"/>
        </w:rPr>
        <w:t> </w:t>
      </w:r>
      <w:r>
        <w:rPr/>
        <w:t>pitch). Advanced</w:t>
      </w:r>
      <w:r>
        <w:rPr>
          <w:spacing w:val="-4"/>
        </w:rPr>
        <w:t> </w:t>
      </w:r>
      <w:r>
        <w:rPr/>
        <w:t>tactical</w:t>
      </w:r>
      <w:r>
        <w:rPr>
          <w:spacing w:val="-4"/>
        </w:rPr>
        <w:t> </w:t>
      </w:r>
      <w:r>
        <w:rPr/>
        <w:t>analyses</w:t>
      </w:r>
      <w:r>
        <w:rPr>
          <w:spacing w:val="-4"/>
        </w:rPr>
        <w:t> </w:t>
      </w:r>
      <w:r>
        <w:rPr/>
        <w:t>are</w:t>
      </w:r>
      <w:r>
        <w:rPr>
          <w:spacing w:val="-4"/>
        </w:rPr>
        <w:t> </w:t>
      </w:r>
      <w:r>
        <w:rPr/>
        <w:t>becoming increasingly common in those sports which are early adopters of computer vision tech- nologies</w:t>
      </w:r>
      <w:r>
        <w:rPr>
          <w:spacing w:val="-12"/>
        </w:rPr>
        <w:t> </w:t>
      </w:r>
      <w:r>
        <w:rPr/>
        <w:t>as</w:t>
      </w:r>
      <w:r>
        <w:rPr>
          <w:spacing w:val="-12"/>
        </w:rPr>
        <w:t> </w:t>
      </w:r>
      <w:r>
        <w:rPr/>
        <w:t>a</w:t>
      </w:r>
      <w:r>
        <w:rPr>
          <w:spacing w:val="-12"/>
        </w:rPr>
        <w:t> </w:t>
      </w:r>
      <w:r>
        <w:rPr/>
        <w:t>method</w:t>
      </w:r>
      <w:r>
        <w:rPr>
          <w:spacing w:val="-12"/>
        </w:rPr>
        <w:t> </w:t>
      </w:r>
      <w:r>
        <w:rPr/>
        <w:t>of</w:t>
      </w:r>
      <w:r>
        <w:rPr>
          <w:spacing w:val="-12"/>
        </w:rPr>
        <w:t> </w:t>
      </w:r>
      <w:r>
        <w:rPr/>
        <w:t>event</w:t>
      </w:r>
      <w:r>
        <w:rPr>
          <w:spacing w:val="-12"/>
        </w:rPr>
        <w:t> </w:t>
      </w:r>
      <w:r>
        <w:rPr/>
        <w:t>level</w:t>
      </w:r>
      <w:r>
        <w:rPr>
          <w:spacing w:val="-12"/>
        </w:rPr>
        <w:t> </w:t>
      </w:r>
      <w:r>
        <w:rPr/>
        <w:t>data</w:t>
      </w:r>
      <w:r>
        <w:rPr>
          <w:spacing w:val="-12"/>
        </w:rPr>
        <w:t> </w:t>
      </w:r>
      <w:r>
        <w:rPr/>
        <w:t>annotation</w:t>
      </w:r>
      <w:r>
        <w:rPr>
          <w:spacing w:val="-12"/>
        </w:rPr>
        <w:t> </w:t>
      </w:r>
      <w:r>
        <w:rPr/>
        <w:t>(e.g.</w:t>
      </w:r>
      <w:r>
        <w:rPr>
          <w:spacing w:val="3"/>
        </w:rPr>
        <w:t> </w:t>
      </w:r>
      <w:r>
        <w:rPr/>
        <w:t>football</w:t>
      </w:r>
      <w:r>
        <w:rPr>
          <w:spacing w:val="-12"/>
        </w:rPr>
        <w:t> </w:t>
      </w:r>
      <w:r>
        <w:rPr/>
        <w:t>and</w:t>
      </w:r>
      <w:r>
        <w:rPr>
          <w:spacing w:val="-12"/>
        </w:rPr>
        <w:t> </w:t>
      </w:r>
      <w:r>
        <w:rPr/>
        <w:t>basketball</w:t>
      </w:r>
      <w:r>
        <w:rPr>
          <w:spacing w:val="-12"/>
        </w:rPr>
        <w:t> </w:t>
      </w:r>
      <w:r>
        <w:rPr>
          <w:spacing w:val="-2"/>
        </w:rPr>
        <w:t>(</w:t>
      </w:r>
      <w:hyperlink w:history="true" w:anchor="_bookmark231">
        <w:r>
          <w:rPr>
            <w:color w:val="FF0000"/>
            <w:spacing w:val="-2"/>
          </w:rPr>
          <w:t>Cervone</w:t>
        </w:r>
      </w:hyperlink>
    </w:p>
    <w:p>
      <w:pPr>
        <w:pStyle w:val="BodyText"/>
        <w:tabs>
          <w:tab w:pos="4322" w:val="left" w:leader="none"/>
        </w:tabs>
        <w:spacing w:line="275" w:lineRule="exact"/>
        <w:ind w:left="610"/>
      </w:pPr>
      <w:hyperlink w:history="true" w:anchor="_bookmark231">
        <w:r>
          <w:rPr>
            <w:color w:val="FF0000"/>
          </w:rPr>
          <w:t>et</w:t>
        </w:r>
        <w:r>
          <w:rPr>
            <w:color w:val="FF0000"/>
            <w:spacing w:val="-2"/>
          </w:rPr>
          <w:t> </w:t>
        </w:r>
        <w:r>
          <w:rPr>
            <w:color w:val="FF0000"/>
          </w:rPr>
          <w:t>al.</w:t>
        </w:r>
      </w:hyperlink>
      <w:r>
        <w:rPr/>
        <w:t>,</w:t>
      </w:r>
      <w:hyperlink w:history="true" w:anchor="_bookmark231">
        <w:r>
          <w:rPr>
            <w:color w:val="FF0000"/>
          </w:rPr>
          <w:t>2016</w:t>
        </w:r>
        <w:r>
          <w:rPr/>
          <w:t>;</w:t>
        </w:r>
      </w:hyperlink>
      <w:hyperlink w:history="true" w:anchor="_bookmark239">
        <w:r>
          <w:rPr>
            <w:color w:val="FF0000"/>
          </w:rPr>
          <w:t>Decroos</w:t>
        </w:r>
        <w:r>
          <w:rPr>
            <w:color w:val="FF0000"/>
            <w:spacing w:val="-2"/>
          </w:rPr>
          <w:t> </w:t>
        </w:r>
        <w:r>
          <w:rPr>
            <w:color w:val="FF0000"/>
          </w:rPr>
          <w:t>et</w:t>
        </w:r>
        <w:r>
          <w:rPr>
            <w:color w:val="FF0000"/>
            <w:spacing w:val="-1"/>
          </w:rPr>
          <w:t> </w:t>
        </w:r>
        <w:r>
          <w:rPr>
            <w:color w:val="FF0000"/>
            <w:spacing w:val="-2"/>
          </w:rPr>
          <w:t>al.</w:t>
        </w:r>
        <w:r>
          <w:rPr>
            <w:spacing w:val="-2"/>
          </w:rPr>
          <w:t>,</w:t>
        </w:r>
      </w:hyperlink>
      <w:r>
        <w:rPr>
          <w:color w:val="FF0000"/>
          <w:spacing w:val="-2"/>
        </w:rPr>
        <w:t>2019</w:t>
      </w:r>
      <w:hyperlink w:history="true" w:anchor="_bookmark239">
        <w:r>
          <w:rPr>
            <w:spacing w:val="-2"/>
          </w:rPr>
          <w:t>;</w:t>
        </w:r>
      </w:hyperlink>
      <w:r>
        <w:rPr>
          <w:color w:val="FF0000"/>
          <w:spacing w:val="-2"/>
        </w:rPr>
        <w:t>Fern</w:t>
      </w:r>
      <w:r>
        <w:rPr>
          <w:color w:val="FF0000"/>
        </w:rPr>
        <w:tab/>
      </w:r>
      <w:hyperlink w:history="true" w:anchor="_bookmark243">
        <w:r>
          <w:rPr>
            <w:color w:val="FF0000"/>
            <w:spacing w:val="-80"/>
          </w:rPr>
          <w:t>a</w:t>
        </w:r>
        <w:r>
          <w:rPr>
            <w:color w:val="FF0000"/>
            <w:spacing w:val="26"/>
          </w:rPr>
          <w:t>´</w:t>
        </w:r>
        <w:r>
          <w:rPr>
            <w:color w:val="FF0000"/>
            <w:spacing w:val="13"/>
          </w:rPr>
          <w:t>ndez</w:t>
        </w:r>
        <w:r>
          <w:rPr>
            <w:color w:val="FF0000"/>
            <w:spacing w:val="-13"/>
          </w:rPr>
          <w:t> </w:t>
        </w:r>
        <w:r>
          <w:rPr>
            <w:color w:val="FF0000"/>
          </w:rPr>
          <w:t>et</w:t>
        </w:r>
        <w:r>
          <w:rPr>
            <w:color w:val="FF0000"/>
            <w:spacing w:val="-14"/>
          </w:rPr>
          <w:t> </w:t>
        </w:r>
        <w:r>
          <w:rPr>
            <w:color w:val="FF0000"/>
          </w:rPr>
          <w:t>al.</w:t>
        </w:r>
      </w:hyperlink>
      <w:r>
        <w:rPr/>
        <w:t>,</w:t>
      </w:r>
      <w:hyperlink w:history="true" w:anchor="_bookmark243">
        <w:r>
          <w:rPr>
            <w:color w:val="FF0000"/>
          </w:rPr>
          <w:t>2021</w:t>
        </w:r>
        <w:r>
          <w:rPr/>
          <w:t>;</w:t>
        </w:r>
      </w:hyperlink>
      <w:r>
        <w:rPr>
          <w:color w:val="FF0000"/>
        </w:rPr>
        <w:t>Liu</w:t>
      </w:r>
      <w:r>
        <w:rPr>
          <w:color w:val="FF0000"/>
          <w:spacing w:val="-14"/>
        </w:rPr>
        <w:t> </w:t>
      </w:r>
      <w:hyperlink w:history="true" w:anchor="_bookmark269">
        <w:r>
          <w:rPr>
            <w:color w:val="FF0000"/>
          </w:rPr>
          <w:t>et</w:t>
        </w:r>
        <w:r>
          <w:rPr>
            <w:color w:val="FF0000"/>
            <w:spacing w:val="-13"/>
          </w:rPr>
          <w:t> </w:t>
        </w:r>
        <w:r>
          <w:rPr>
            <w:color w:val="FF0000"/>
          </w:rPr>
          <w:t>al.</w:t>
        </w:r>
        <w:r>
          <w:rPr/>
          <w:t>,</w:t>
        </w:r>
      </w:hyperlink>
      <w:r>
        <w:rPr>
          <w:color w:val="FF0000"/>
        </w:rPr>
        <w:t>2020</w:t>
      </w:r>
      <w:hyperlink w:history="true" w:anchor="_bookmark269">
        <w:r>
          <w:rPr/>
          <w:t>)).</w:t>
        </w:r>
      </w:hyperlink>
      <w:r>
        <w:rPr>
          <w:spacing w:val="5"/>
        </w:rPr>
        <w:t> </w:t>
      </w:r>
      <w:r>
        <w:rPr/>
        <w:t>Through</w:t>
      </w:r>
      <w:r>
        <w:rPr>
          <w:spacing w:val="-13"/>
        </w:rPr>
        <w:t> </w:t>
      </w:r>
      <w:r>
        <w:rPr>
          <w:spacing w:val="-5"/>
        </w:rPr>
        <w:t>the</w:t>
      </w:r>
    </w:p>
    <w:p>
      <w:pPr>
        <w:pStyle w:val="BodyText"/>
        <w:spacing w:line="312" w:lineRule="auto" w:before="82"/>
        <w:ind w:left="610" w:right="389"/>
      </w:pPr>
      <w:r>
        <w:rPr/>
        <w:t>use</w:t>
      </w:r>
      <w:r>
        <w:rPr>
          <w:spacing w:val="-6"/>
        </w:rPr>
        <w:t> </w:t>
      </w:r>
      <w:r>
        <w:rPr/>
        <w:t>of</w:t>
      </w:r>
      <w:r>
        <w:rPr>
          <w:spacing w:val="-6"/>
        </w:rPr>
        <w:t> </w:t>
      </w:r>
      <w:r>
        <w:rPr/>
        <w:t>computer</w:t>
      </w:r>
      <w:r>
        <w:rPr>
          <w:spacing w:val="-6"/>
        </w:rPr>
        <w:t> </w:t>
      </w:r>
      <w:r>
        <w:rPr/>
        <w:t>vision</w:t>
      </w:r>
      <w:r>
        <w:rPr>
          <w:spacing w:val="-6"/>
        </w:rPr>
        <w:t> </w:t>
      </w:r>
      <w:r>
        <w:rPr/>
        <w:t>technologies,</w:t>
      </w:r>
      <w:r>
        <w:rPr>
          <w:spacing w:val="-6"/>
        </w:rPr>
        <w:t> </w:t>
      </w:r>
      <w:r>
        <w:rPr/>
        <w:t>these</w:t>
      </w:r>
      <w:r>
        <w:rPr>
          <w:spacing w:val="-6"/>
        </w:rPr>
        <w:t> </w:t>
      </w:r>
      <w:r>
        <w:rPr/>
        <w:t>sports</w:t>
      </w:r>
      <w:r>
        <w:rPr>
          <w:spacing w:val="-6"/>
        </w:rPr>
        <w:t> </w:t>
      </w:r>
      <w:r>
        <w:rPr/>
        <w:t>can</w:t>
      </w:r>
      <w:r>
        <w:rPr>
          <w:spacing w:val="-6"/>
        </w:rPr>
        <w:t> </w:t>
      </w:r>
      <w:r>
        <w:rPr/>
        <w:t>produce</w:t>
      </w:r>
      <w:r>
        <w:rPr>
          <w:spacing w:val="-6"/>
        </w:rPr>
        <w:t> </w:t>
      </w:r>
      <w:r>
        <w:rPr/>
        <w:t>the</w:t>
      </w:r>
      <w:r>
        <w:rPr>
          <w:spacing w:val="-6"/>
        </w:rPr>
        <w:t> </w:t>
      </w:r>
      <w:r>
        <w:rPr/>
        <w:t>large</w:t>
      </w:r>
      <w:r>
        <w:rPr>
          <w:spacing w:val="-6"/>
        </w:rPr>
        <w:t> </w:t>
      </w:r>
      <w:r>
        <w:rPr/>
        <w:t>quantities</w:t>
      </w:r>
      <w:r>
        <w:rPr>
          <w:spacing w:val="-6"/>
        </w:rPr>
        <w:t> </w:t>
      </w:r>
      <w:r>
        <w:rPr/>
        <w:t>of</w:t>
      </w:r>
      <w:r>
        <w:rPr>
          <w:spacing w:val="-6"/>
        </w:rPr>
        <w:t> </w:t>
      </w:r>
      <w:r>
        <w:rPr/>
        <w:t>data necessary for advanced methods such as deep learning </w:t>
      </w:r>
      <w:r>
        <w:rPr>
          <w:spacing w:val="7"/>
        </w:rPr>
        <w:t>(</w:t>
      </w:r>
      <w:hyperlink w:history="true" w:anchor="_bookmark243">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1"/>
          </w:rPr>
          <w:t> </w:t>
        </w:r>
        <w:r>
          <w:rPr>
            <w:color w:val="FF0000"/>
          </w:rPr>
          <w:t>et al.</w:t>
        </w:r>
      </w:hyperlink>
      <w:r>
        <w:rPr/>
        <w:t>,</w:t>
      </w:r>
      <w:hyperlink w:history="true" w:anchor="_bookmark243">
        <w:r>
          <w:rPr>
            <w:color w:val="FF0000"/>
          </w:rPr>
          <w:t>2021</w:t>
        </w:r>
        <w:r>
          <w:rPr/>
          <w:t>)</w:t>
        </w:r>
      </w:hyperlink>
      <w:r>
        <w:rPr/>
        <w:t> or deep reinforcement learning (</w:t>
      </w:r>
      <w:hyperlink w:history="true" w:anchor="_bookmark269">
        <w:r>
          <w:rPr>
            <w:color w:val="FF0000"/>
          </w:rPr>
          <w:t>Liu et al.</w:t>
        </w:r>
      </w:hyperlink>
      <w:r>
        <w:rPr/>
        <w:t>,</w:t>
      </w:r>
      <w:hyperlink w:history="true" w:anchor="_bookmark269">
        <w:r>
          <w:rPr>
            <w:color w:val="FF0000"/>
          </w:rPr>
          <w:t>2020</w:t>
        </w:r>
        <w:r>
          <w:rPr/>
          <w:t>)</w:t>
        </w:r>
      </w:hyperlink>
      <w:r>
        <w:rPr/>
        <w:t> to be conducted.</w:t>
      </w:r>
      <w:r>
        <w:rPr>
          <w:spacing w:val="40"/>
        </w:rPr>
        <w:t> </w:t>
      </w:r>
      <w:r>
        <w:rPr/>
        <w:t>They have been able to pro- duce significant insights, which in some sports have resulted in drastic tactical changes (e.g.</w:t>
      </w:r>
      <w:r>
        <w:rPr>
          <w:spacing w:val="22"/>
        </w:rPr>
        <w:t> </w:t>
      </w:r>
      <w:r>
        <w:rPr/>
        <w:t>basketball, where</w:t>
      </w:r>
      <w:r>
        <w:rPr>
          <w:spacing w:val="-1"/>
        </w:rPr>
        <w:t> </w:t>
      </w:r>
      <w:r>
        <w:rPr/>
        <w:t>there</w:t>
      </w:r>
      <w:r>
        <w:rPr>
          <w:spacing w:val="-1"/>
        </w:rPr>
        <w:t> </w:t>
      </w:r>
      <w:r>
        <w:rPr/>
        <w:t>has</w:t>
      </w:r>
      <w:r>
        <w:rPr>
          <w:spacing w:val="-1"/>
        </w:rPr>
        <w:t> </w:t>
      </w:r>
      <w:r>
        <w:rPr/>
        <w:t>been</w:t>
      </w:r>
      <w:r>
        <w:rPr>
          <w:spacing w:val="-1"/>
        </w:rPr>
        <w:t> </w:t>
      </w:r>
      <w:r>
        <w:rPr/>
        <w:t>a</w:t>
      </w:r>
      <w:r>
        <w:rPr>
          <w:spacing w:val="-1"/>
        </w:rPr>
        <w:t> </w:t>
      </w:r>
      <w:r>
        <w:rPr/>
        <w:t>large</w:t>
      </w:r>
      <w:r>
        <w:rPr>
          <w:spacing w:val="-1"/>
        </w:rPr>
        <w:t> </w:t>
      </w:r>
      <w:r>
        <w:rPr/>
        <w:t>increase</w:t>
      </w:r>
      <w:r>
        <w:rPr>
          <w:spacing w:val="-1"/>
        </w:rPr>
        <w:t> </w:t>
      </w:r>
      <w:r>
        <w:rPr/>
        <w:t>in 3-point</w:t>
      </w:r>
      <w:r>
        <w:rPr>
          <w:spacing w:val="-1"/>
        </w:rPr>
        <w:t> </w:t>
      </w:r>
      <w:r>
        <w:rPr/>
        <w:t>shooting</w:t>
      </w:r>
      <w:r>
        <w:rPr>
          <w:spacing w:val="-1"/>
        </w:rPr>
        <w:t> </w:t>
      </w:r>
      <w:r>
        <w:rPr/>
        <w:t>since</w:t>
      </w:r>
      <w:r>
        <w:rPr>
          <w:spacing w:val="-1"/>
        </w:rPr>
        <w:t> </w:t>
      </w:r>
      <w:r>
        <w:rPr/>
        <w:t>research showed</w:t>
      </w:r>
      <w:r>
        <w:rPr>
          <w:spacing w:val="-5"/>
        </w:rPr>
        <w:t> </w:t>
      </w:r>
      <w:r>
        <w:rPr/>
        <w:t>that</w:t>
      </w:r>
      <w:r>
        <w:rPr>
          <w:spacing w:val="-5"/>
        </w:rPr>
        <w:t> </w:t>
      </w:r>
      <w:r>
        <w:rPr/>
        <w:t>it</w:t>
      </w:r>
      <w:r>
        <w:rPr>
          <w:spacing w:val="-4"/>
        </w:rPr>
        <w:t> </w:t>
      </w:r>
      <w:r>
        <w:rPr/>
        <w:t>was</w:t>
      </w:r>
      <w:r>
        <w:rPr>
          <w:spacing w:val="-5"/>
        </w:rPr>
        <w:t> </w:t>
      </w:r>
      <w:r>
        <w:rPr/>
        <w:t>a</w:t>
      </w:r>
      <w:r>
        <w:rPr>
          <w:spacing w:val="-5"/>
        </w:rPr>
        <w:t> </w:t>
      </w:r>
      <w:r>
        <w:rPr/>
        <w:t>more</w:t>
      </w:r>
      <w:r>
        <w:rPr>
          <w:spacing w:val="-5"/>
        </w:rPr>
        <w:t> </w:t>
      </w:r>
      <w:r>
        <w:rPr/>
        <w:t>efficient</w:t>
      </w:r>
      <w:r>
        <w:rPr>
          <w:spacing w:val="-5"/>
        </w:rPr>
        <w:t> </w:t>
      </w:r>
      <w:r>
        <w:rPr/>
        <w:t>method</w:t>
      </w:r>
      <w:r>
        <w:rPr>
          <w:spacing w:val="-4"/>
        </w:rPr>
        <w:t> </w:t>
      </w:r>
      <w:r>
        <w:rPr/>
        <w:t>of</w:t>
      </w:r>
      <w:r>
        <w:rPr>
          <w:spacing w:val="-5"/>
        </w:rPr>
        <w:t> </w:t>
      </w:r>
      <w:r>
        <w:rPr/>
        <w:t>scoring</w:t>
      </w:r>
      <w:r>
        <w:rPr>
          <w:spacing w:val="-5"/>
        </w:rPr>
        <w:t> </w:t>
      </w:r>
      <w:r>
        <w:rPr/>
        <w:t>than</w:t>
      </w:r>
      <w:r>
        <w:rPr>
          <w:spacing w:val="-5"/>
        </w:rPr>
        <w:t> </w:t>
      </w:r>
      <w:r>
        <w:rPr/>
        <w:t>attempting</w:t>
      </w:r>
      <w:r>
        <w:rPr>
          <w:spacing w:val="-5"/>
        </w:rPr>
        <w:t> </w:t>
      </w:r>
      <w:r>
        <w:rPr/>
        <w:t>2-point</w:t>
      </w:r>
      <w:r>
        <w:rPr>
          <w:spacing w:val="-4"/>
        </w:rPr>
        <w:t> </w:t>
      </w:r>
      <w:r>
        <w:rPr/>
        <w:t>shots</w:t>
      </w:r>
      <w:r>
        <w:rPr>
          <w:spacing w:val="-5"/>
        </w:rPr>
        <w:t> </w:t>
      </w:r>
      <w:r>
        <w:rPr/>
        <w:t>(</w:t>
      </w:r>
      <w:hyperlink w:history="true" w:anchor="_bookmark235">
        <w:r>
          <w:rPr>
            <w:color w:val="FF0000"/>
          </w:rPr>
          <w:t>Co-</w:t>
        </w:r>
      </w:hyperlink>
      <w:r>
        <w:rPr>
          <w:color w:val="FF0000"/>
        </w:rPr>
        <w:t> </w:t>
      </w:r>
      <w:hyperlink w:history="true" w:anchor="_bookmark235">
        <w:r>
          <w:rPr>
            <w:color w:val="FF0000"/>
          </w:rPr>
          <w:t>hen</w:t>
        </w:r>
      </w:hyperlink>
      <w:r>
        <w:rPr/>
        <w:t>,</w:t>
      </w:r>
      <w:hyperlink w:history="true" w:anchor="_bookmark235">
        <w:r>
          <w:rPr>
            <w:color w:val="FF0000"/>
          </w:rPr>
          <w:t>2016</w:t>
        </w:r>
      </w:hyperlink>
      <w:r>
        <w:rPr/>
        <w:t>)).</w:t>
      </w:r>
      <w:r>
        <w:rPr>
          <w:spacing w:val="34"/>
        </w:rPr>
        <w:t> </w:t>
      </w:r>
      <w:r>
        <w:rPr/>
        <w:t>In other sports, with low data availability, the analysis of match event level data is still uncommon.</w:t>
      </w:r>
    </w:p>
    <w:p>
      <w:pPr>
        <w:pStyle w:val="BodyText"/>
        <w:spacing w:line="312" w:lineRule="auto"/>
        <w:ind w:left="610" w:right="389" w:firstLine="351"/>
        <w:jc w:val="both"/>
      </w:pPr>
      <w:r>
        <w:rPr/>
        <w:t>Rugby</w:t>
      </w:r>
      <w:r>
        <w:rPr>
          <w:spacing w:val="-7"/>
        </w:rPr>
        <w:t> </w:t>
      </w:r>
      <w:r>
        <w:rPr/>
        <w:t>league</w:t>
      </w:r>
      <w:r>
        <w:rPr>
          <w:spacing w:val="-7"/>
        </w:rPr>
        <w:t> </w:t>
      </w:r>
      <w:r>
        <w:rPr/>
        <w:t>is</w:t>
      </w:r>
      <w:r>
        <w:rPr>
          <w:spacing w:val="-7"/>
        </w:rPr>
        <w:t> </w:t>
      </w:r>
      <w:r>
        <w:rPr/>
        <w:t>an</w:t>
      </w:r>
      <w:r>
        <w:rPr>
          <w:spacing w:val="-7"/>
        </w:rPr>
        <w:t> </w:t>
      </w:r>
      <w:r>
        <w:rPr/>
        <w:t>example</w:t>
      </w:r>
      <w:r>
        <w:rPr>
          <w:spacing w:val="-7"/>
        </w:rPr>
        <w:t> </w:t>
      </w:r>
      <w:r>
        <w:rPr/>
        <w:t>of</w:t>
      </w:r>
      <w:r>
        <w:rPr>
          <w:spacing w:val="-7"/>
        </w:rPr>
        <w:t> </w:t>
      </w:r>
      <w:r>
        <w:rPr/>
        <w:t>a</w:t>
      </w:r>
      <w:r>
        <w:rPr>
          <w:spacing w:val="-7"/>
        </w:rPr>
        <w:t> </w:t>
      </w:r>
      <w:r>
        <w:rPr/>
        <w:t>sport</w:t>
      </w:r>
      <w:r>
        <w:rPr>
          <w:spacing w:val="-7"/>
        </w:rPr>
        <w:t> </w:t>
      </w:r>
      <w:r>
        <w:rPr/>
        <w:t>with</w:t>
      </w:r>
      <w:r>
        <w:rPr>
          <w:spacing w:val="-7"/>
        </w:rPr>
        <w:t> </w:t>
      </w:r>
      <w:r>
        <w:rPr/>
        <w:t>low</w:t>
      </w:r>
      <w:r>
        <w:rPr>
          <w:spacing w:val="-7"/>
        </w:rPr>
        <w:t> </w:t>
      </w:r>
      <w:r>
        <w:rPr/>
        <w:t>match</w:t>
      </w:r>
      <w:r>
        <w:rPr>
          <w:spacing w:val="-7"/>
        </w:rPr>
        <w:t> </w:t>
      </w:r>
      <w:r>
        <w:rPr/>
        <w:t>event</w:t>
      </w:r>
      <w:r>
        <w:rPr>
          <w:spacing w:val="-7"/>
        </w:rPr>
        <w:t> </w:t>
      </w:r>
      <w:r>
        <w:rPr/>
        <w:t>level</w:t>
      </w:r>
      <w:r>
        <w:rPr>
          <w:spacing w:val="-7"/>
        </w:rPr>
        <w:t> </w:t>
      </w:r>
      <w:r>
        <w:rPr/>
        <w:t>data</w:t>
      </w:r>
      <w:r>
        <w:rPr>
          <w:spacing w:val="-7"/>
        </w:rPr>
        <w:t> </w:t>
      </w:r>
      <w:r>
        <w:rPr/>
        <w:t>availability. </w:t>
      </w:r>
      <w:r>
        <w:rPr/>
        <w:t>It is</w:t>
      </w:r>
      <w:r>
        <w:rPr>
          <w:spacing w:val="-11"/>
        </w:rPr>
        <w:t> </w:t>
      </w:r>
      <w:r>
        <w:rPr/>
        <w:t>a</w:t>
      </w:r>
      <w:r>
        <w:rPr>
          <w:spacing w:val="-11"/>
        </w:rPr>
        <w:t> </w:t>
      </w:r>
      <w:r>
        <w:rPr/>
        <w:t>field</w:t>
      </w:r>
      <w:r>
        <w:rPr>
          <w:spacing w:val="-11"/>
        </w:rPr>
        <w:t> </w:t>
      </w:r>
      <w:r>
        <w:rPr/>
        <w:t>based</w:t>
      </w:r>
      <w:r>
        <w:rPr>
          <w:spacing w:val="-11"/>
        </w:rPr>
        <w:t> </w:t>
      </w:r>
      <w:r>
        <w:rPr/>
        <w:t>collision</w:t>
      </w:r>
      <w:r>
        <w:rPr>
          <w:spacing w:val="-11"/>
        </w:rPr>
        <w:t> </w:t>
      </w:r>
      <w:r>
        <w:rPr/>
        <w:t>sport,</w:t>
      </w:r>
      <w:r>
        <w:rPr>
          <w:spacing w:val="-10"/>
        </w:rPr>
        <w:t> </w:t>
      </w:r>
      <w:r>
        <w:rPr/>
        <w:t>where</w:t>
      </w:r>
      <w:r>
        <w:rPr>
          <w:spacing w:val="-11"/>
        </w:rPr>
        <w:t> </w:t>
      </w:r>
      <w:r>
        <w:rPr/>
        <w:t>two</w:t>
      </w:r>
      <w:r>
        <w:rPr>
          <w:spacing w:val="-11"/>
        </w:rPr>
        <w:t> </w:t>
      </w:r>
      <w:r>
        <w:rPr/>
        <w:t>teams</w:t>
      </w:r>
      <w:r>
        <w:rPr>
          <w:spacing w:val="-11"/>
        </w:rPr>
        <w:t> </w:t>
      </w:r>
      <w:r>
        <w:rPr/>
        <w:t>of</w:t>
      </w:r>
      <w:r>
        <w:rPr>
          <w:spacing w:val="-11"/>
        </w:rPr>
        <w:t> </w:t>
      </w:r>
      <w:r>
        <w:rPr/>
        <w:t>13</w:t>
      </w:r>
      <w:r>
        <w:rPr>
          <w:spacing w:val="-11"/>
        </w:rPr>
        <w:t> </w:t>
      </w:r>
      <w:r>
        <w:rPr/>
        <w:t>players</w:t>
      </w:r>
      <w:r>
        <w:rPr>
          <w:spacing w:val="-11"/>
        </w:rPr>
        <w:t> </w:t>
      </w:r>
      <w:r>
        <w:rPr/>
        <w:t>attempt</w:t>
      </w:r>
      <w:r>
        <w:rPr>
          <w:spacing w:val="-11"/>
        </w:rPr>
        <w:t> </w:t>
      </w:r>
      <w:r>
        <w:rPr/>
        <w:t>to</w:t>
      </w:r>
      <w:r>
        <w:rPr>
          <w:spacing w:val="-11"/>
        </w:rPr>
        <w:t> </w:t>
      </w:r>
      <w:r>
        <w:rPr/>
        <w:t>score</w:t>
      </w:r>
      <w:r>
        <w:rPr>
          <w:spacing w:val="-11"/>
        </w:rPr>
        <w:t> </w:t>
      </w:r>
      <w:r>
        <w:rPr/>
        <w:t>points</w:t>
      </w:r>
      <w:r>
        <w:rPr>
          <w:spacing w:val="-11"/>
        </w:rPr>
        <w:t> </w:t>
      </w:r>
      <w:r>
        <w:rPr/>
        <w:t>over two 40 minute halves.</w:t>
      </w:r>
      <w:r>
        <w:rPr>
          <w:spacing w:val="30"/>
        </w:rPr>
        <w:t> </w:t>
      </w:r>
      <w:r>
        <w:rPr/>
        <w:t>Within each half, the teams attempt to progress as far as possible towards the opposition try line within their allotted set of six tackles.</w:t>
      </w:r>
      <w:r>
        <w:rPr>
          <w:spacing w:val="40"/>
        </w:rPr>
        <w:t> </w:t>
      </w:r>
      <w:r>
        <w:rPr/>
        <w:t>The sequence of actions leading to a tackle is called a ’play’, and the sequence of six plays is termed a ’set’.</w:t>
      </w:r>
      <w:r>
        <w:rPr>
          <w:spacing w:val="23"/>
        </w:rPr>
        <w:t> </w:t>
      </w:r>
      <w:r>
        <w:rPr/>
        <w:t>At the end of each set, a team either scores points, receives an additional set of six plays due to a foul/error by the opposition, or loses possession due to a failed scoring attempt,</w:t>
      </w:r>
      <w:r>
        <w:rPr>
          <w:spacing w:val="-2"/>
        </w:rPr>
        <w:t> </w:t>
      </w:r>
      <w:r>
        <w:rPr/>
        <w:t>a</w:t>
      </w:r>
      <w:r>
        <w:rPr>
          <w:spacing w:val="-3"/>
        </w:rPr>
        <w:t> </w:t>
      </w:r>
      <w:r>
        <w:rPr/>
        <w:t>kick</w:t>
      </w:r>
      <w:r>
        <w:rPr>
          <w:spacing w:val="-3"/>
        </w:rPr>
        <w:t> </w:t>
      </w:r>
      <w:r>
        <w:rPr/>
        <w:t>which</w:t>
      </w:r>
      <w:r>
        <w:rPr>
          <w:spacing w:val="-3"/>
        </w:rPr>
        <w:t> </w:t>
      </w:r>
      <w:r>
        <w:rPr/>
        <w:t>is</w:t>
      </w:r>
      <w:r>
        <w:rPr>
          <w:spacing w:val="-3"/>
        </w:rPr>
        <w:t> </w:t>
      </w:r>
      <w:r>
        <w:rPr/>
        <w:t>caught</w:t>
      </w:r>
      <w:r>
        <w:rPr>
          <w:spacing w:val="-3"/>
        </w:rPr>
        <w:t> </w:t>
      </w:r>
      <w:r>
        <w:rPr/>
        <w:t>by</w:t>
      </w:r>
      <w:r>
        <w:rPr>
          <w:spacing w:val="-3"/>
        </w:rPr>
        <w:t> </w:t>
      </w:r>
      <w:r>
        <w:rPr/>
        <w:t>the</w:t>
      </w:r>
      <w:r>
        <w:rPr>
          <w:spacing w:val="-3"/>
        </w:rPr>
        <w:t> </w:t>
      </w:r>
      <w:r>
        <w:rPr/>
        <w:t>opposition,</w:t>
      </w:r>
      <w:r>
        <w:rPr>
          <w:spacing w:val="-2"/>
        </w:rPr>
        <w:t> </w:t>
      </w:r>
      <w:r>
        <w:rPr/>
        <w:t>or</w:t>
      </w:r>
      <w:r>
        <w:rPr>
          <w:spacing w:val="-3"/>
        </w:rPr>
        <w:t> </w:t>
      </w:r>
      <w:r>
        <w:rPr/>
        <w:t>a</w:t>
      </w:r>
      <w:r>
        <w:rPr>
          <w:spacing w:val="-3"/>
        </w:rPr>
        <w:t> </w:t>
      </w:r>
      <w:r>
        <w:rPr/>
        <w:t>handover,</w:t>
      </w:r>
      <w:r>
        <w:rPr>
          <w:spacing w:val="-2"/>
        </w:rPr>
        <w:t> </w:t>
      </w:r>
      <w:r>
        <w:rPr/>
        <w:t>where</w:t>
      </w:r>
      <w:r>
        <w:rPr>
          <w:spacing w:val="-3"/>
        </w:rPr>
        <w:t> </w:t>
      </w:r>
      <w:r>
        <w:rPr/>
        <w:t>the</w:t>
      </w:r>
      <w:r>
        <w:rPr>
          <w:spacing w:val="-3"/>
        </w:rPr>
        <w:t> </w:t>
      </w:r>
      <w:r>
        <w:rPr/>
        <w:t>opposition</w:t>
      </w:r>
      <w:r>
        <w:rPr>
          <w:spacing w:val="-3"/>
        </w:rPr>
        <w:t> </w:t>
      </w:r>
      <w:r>
        <w:rPr/>
        <w:t>is given the ball to start their set of plays at the position of the sixth tackle.</w:t>
      </w:r>
      <w:r>
        <w:rPr>
          <w:spacing w:val="39"/>
        </w:rPr>
        <w:t> </w:t>
      </w:r>
      <w:r>
        <w:rPr/>
        <w:t>As such, each set</w:t>
      </w:r>
      <w:r>
        <w:rPr>
          <w:spacing w:val="-2"/>
        </w:rPr>
        <w:t> </w:t>
      </w:r>
      <w:r>
        <w:rPr/>
        <w:t>may</w:t>
      </w:r>
      <w:r>
        <w:rPr>
          <w:spacing w:val="-2"/>
        </w:rPr>
        <w:t> </w:t>
      </w:r>
      <w:r>
        <w:rPr/>
        <w:t>have</w:t>
      </w:r>
      <w:r>
        <w:rPr>
          <w:spacing w:val="-2"/>
        </w:rPr>
        <w:t> </w:t>
      </w:r>
      <w:r>
        <w:rPr/>
        <w:t>as</w:t>
      </w:r>
      <w:r>
        <w:rPr>
          <w:spacing w:val="-2"/>
        </w:rPr>
        <w:t> </w:t>
      </w:r>
      <w:r>
        <w:rPr/>
        <w:t>many</w:t>
      </w:r>
      <w:r>
        <w:rPr>
          <w:spacing w:val="-2"/>
        </w:rPr>
        <w:t> </w:t>
      </w:r>
      <w:r>
        <w:rPr/>
        <w:t>as</w:t>
      </w:r>
      <w:r>
        <w:rPr>
          <w:spacing w:val="-2"/>
        </w:rPr>
        <w:t> </w:t>
      </w:r>
      <w:r>
        <w:rPr/>
        <w:t>six</w:t>
      </w:r>
      <w:r>
        <w:rPr>
          <w:spacing w:val="-2"/>
        </w:rPr>
        <w:t> </w:t>
      </w:r>
      <w:r>
        <w:rPr/>
        <w:t>tackles,</w:t>
      </w:r>
      <w:r>
        <w:rPr>
          <w:spacing w:val="-1"/>
        </w:rPr>
        <w:t> </w:t>
      </w:r>
      <w:r>
        <w:rPr/>
        <w:t>but</w:t>
      </w:r>
      <w:r>
        <w:rPr>
          <w:spacing w:val="-2"/>
        </w:rPr>
        <w:t> </w:t>
      </w:r>
      <w:r>
        <w:rPr/>
        <w:t>if</w:t>
      </w:r>
      <w:r>
        <w:rPr>
          <w:spacing w:val="-2"/>
        </w:rPr>
        <w:t> </w:t>
      </w:r>
      <w:r>
        <w:rPr/>
        <w:t>one</w:t>
      </w:r>
      <w:r>
        <w:rPr>
          <w:spacing w:val="-2"/>
        </w:rPr>
        <w:t> </w:t>
      </w:r>
      <w:r>
        <w:rPr/>
        <w:t>of</w:t>
      </w:r>
      <w:r>
        <w:rPr>
          <w:spacing w:val="-2"/>
        </w:rPr>
        <w:t> </w:t>
      </w:r>
      <w:r>
        <w:rPr/>
        <w:t>the</w:t>
      </w:r>
      <w:r>
        <w:rPr>
          <w:spacing w:val="-2"/>
        </w:rPr>
        <w:t> </w:t>
      </w:r>
      <w:r>
        <w:rPr/>
        <w:t>set-ending</w:t>
      </w:r>
      <w:r>
        <w:rPr>
          <w:spacing w:val="-2"/>
        </w:rPr>
        <w:t> </w:t>
      </w:r>
      <w:r>
        <w:rPr/>
        <w:t>actions</w:t>
      </w:r>
      <w:r>
        <w:rPr>
          <w:spacing w:val="-2"/>
        </w:rPr>
        <w:t> </w:t>
      </w:r>
      <w:r>
        <w:rPr/>
        <w:t>described</w:t>
      </w:r>
      <w:r>
        <w:rPr>
          <w:spacing w:val="-2"/>
        </w:rPr>
        <w:t> </w:t>
      </w:r>
      <w:r>
        <w:rPr/>
        <w:t>above occurs,</w:t>
      </w:r>
      <w:r>
        <w:rPr>
          <w:spacing w:val="-11"/>
        </w:rPr>
        <w:t> </w:t>
      </w:r>
      <w:r>
        <w:rPr/>
        <w:t>the</w:t>
      </w:r>
      <w:r>
        <w:rPr>
          <w:spacing w:val="-13"/>
        </w:rPr>
        <w:t> </w:t>
      </w:r>
      <w:r>
        <w:rPr/>
        <w:t>set</w:t>
      </w:r>
      <w:r>
        <w:rPr>
          <w:spacing w:val="-13"/>
        </w:rPr>
        <w:t> </w:t>
      </w:r>
      <w:r>
        <w:rPr/>
        <w:t>may</w:t>
      </w:r>
      <w:r>
        <w:rPr>
          <w:spacing w:val="-13"/>
        </w:rPr>
        <w:t> </w:t>
      </w:r>
      <w:r>
        <w:rPr/>
        <w:t>be</w:t>
      </w:r>
      <w:r>
        <w:rPr>
          <w:spacing w:val="-13"/>
        </w:rPr>
        <w:t> </w:t>
      </w:r>
      <w:r>
        <w:rPr/>
        <w:t>finish</w:t>
      </w:r>
      <w:r>
        <w:rPr>
          <w:spacing w:val="-12"/>
        </w:rPr>
        <w:t> </w:t>
      </w:r>
      <w:r>
        <w:rPr/>
        <w:t>before</w:t>
      </w:r>
      <w:r>
        <w:rPr>
          <w:spacing w:val="-13"/>
        </w:rPr>
        <w:t> </w:t>
      </w:r>
      <w:r>
        <w:rPr/>
        <w:t>the</w:t>
      </w:r>
      <w:r>
        <w:rPr>
          <w:spacing w:val="-13"/>
        </w:rPr>
        <w:t> </w:t>
      </w:r>
      <w:r>
        <w:rPr/>
        <w:t>sixth</w:t>
      </w:r>
      <w:r>
        <w:rPr>
          <w:spacing w:val="-13"/>
        </w:rPr>
        <w:t> </w:t>
      </w:r>
      <w:r>
        <w:rPr/>
        <w:t>play</w:t>
      </w:r>
      <w:r>
        <w:rPr>
          <w:spacing w:val="-13"/>
        </w:rPr>
        <w:t> </w:t>
      </w:r>
      <w:r>
        <w:rPr/>
        <w:t>is</w:t>
      </w:r>
      <w:r>
        <w:rPr>
          <w:spacing w:val="-13"/>
        </w:rPr>
        <w:t> </w:t>
      </w:r>
      <w:r>
        <w:rPr/>
        <w:t>completed. If</w:t>
      </w:r>
      <w:r>
        <w:rPr>
          <w:spacing w:val="-13"/>
        </w:rPr>
        <w:t> </w:t>
      </w:r>
      <w:r>
        <w:rPr/>
        <w:t>the</w:t>
      </w:r>
      <w:r>
        <w:rPr>
          <w:spacing w:val="-13"/>
        </w:rPr>
        <w:t> </w:t>
      </w:r>
      <w:r>
        <w:rPr/>
        <w:t>opposition</w:t>
      </w:r>
      <w:r>
        <w:rPr>
          <w:spacing w:val="-13"/>
        </w:rPr>
        <w:t> </w:t>
      </w:r>
      <w:r>
        <w:rPr/>
        <w:t>commits fouls or makes errors, an attacking team may complete multiple sets within a possession before the opposition begins their next set of plays.</w:t>
      </w:r>
      <w:r>
        <w:rPr>
          <w:spacing w:val="40"/>
        </w:rPr>
        <w:t> </w:t>
      </w:r>
      <w:r>
        <w:rPr/>
        <w:t>There are four methods of scoring points: an unconverted try, where the ball is grounded beyond the opposition try line (4 points); a converted try, where the ball is grounded beyond the opposition try line and a subsequent</w:t>
      </w:r>
      <w:r>
        <w:rPr>
          <w:spacing w:val="2"/>
        </w:rPr>
        <w:t> </w:t>
      </w:r>
      <w:r>
        <w:rPr/>
        <w:t>conversion</w:t>
      </w:r>
      <w:r>
        <w:rPr>
          <w:spacing w:val="2"/>
        </w:rPr>
        <w:t> </w:t>
      </w:r>
      <w:r>
        <w:rPr/>
        <w:t>kick</w:t>
      </w:r>
      <w:r>
        <w:rPr>
          <w:spacing w:val="2"/>
        </w:rPr>
        <w:t> </w:t>
      </w:r>
      <w:r>
        <w:rPr/>
        <w:t>is</w:t>
      </w:r>
      <w:r>
        <w:rPr>
          <w:spacing w:val="2"/>
        </w:rPr>
        <w:t> </w:t>
      </w:r>
      <w:r>
        <w:rPr/>
        <w:t>scored</w:t>
      </w:r>
      <w:r>
        <w:rPr>
          <w:spacing w:val="2"/>
        </w:rPr>
        <w:t> </w:t>
      </w:r>
      <w:r>
        <w:rPr/>
        <w:t>(6</w:t>
      </w:r>
      <w:r>
        <w:rPr>
          <w:spacing w:val="2"/>
        </w:rPr>
        <w:t> </w:t>
      </w:r>
      <w:r>
        <w:rPr/>
        <w:t>points);</w:t>
      </w:r>
      <w:r>
        <w:rPr>
          <w:spacing w:val="7"/>
        </w:rPr>
        <w:t> </w:t>
      </w:r>
      <w:r>
        <w:rPr/>
        <w:t>a</w:t>
      </w:r>
      <w:r>
        <w:rPr>
          <w:spacing w:val="2"/>
        </w:rPr>
        <w:t> </w:t>
      </w:r>
      <w:r>
        <w:rPr/>
        <w:t>penalty</w:t>
      </w:r>
      <w:r>
        <w:rPr>
          <w:spacing w:val="2"/>
        </w:rPr>
        <w:t> </w:t>
      </w:r>
      <w:r>
        <w:rPr/>
        <w:t>goal,</w:t>
      </w:r>
      <w:r>
        <w:rPr>
          <w:spacing w:val="5"/>
        </w:rPr>
        <w:t> </w:t>
      </w:r>
      <w:r>
        <w:rPr/>
        <w:t>where</w:t>
      </w:r>
      <w:r>
        <w:rPr>
          <w:spacing w:val="2"/>
        </w:rPr>
        <w:t> </w:t>
      </w:r>
      <w:r>
        <w:rPr/>
        <w:t>the</w:t>
      </w:r>
      <w:r>
        <w:rPr>
          <w:spacing w:val="2"/>
        </w:rPr>
        <w:t> </w:t>
      </w:r>
      <w:r>
        <w:rPr/>
        <w:t>ball</w:t>
      </w:r>
      <w:r>
        <w:rPr>
          <w:spacing w:val="2"/>
        </w:rPr>
        <w:t> </w:t>
      </w:r>
      <w:r>
        <w:rPr/>
        <w:t>is</w:t>
      </w:r>
      <w:r>
        <w:rPr>
          <w:spacing w:val="2"/>
        </w:rPr>
        <w:t> </w:t>
      </w:r>
      <w:r>
        <w:rPr>
          <w:spacing w:val="-2"/>
        </w:rPr>
        <w:t>kicked</w:t>
      </w:r>
    </w:p>
    <w:p>
      <w:pPr>
        <w:spacing w:after="0" w:line="312" w:lineRule="auto"/>
        <w:jc w:val="both"/>
        <w:sectPr>
          <w:headerReference w:type="default" r:id="rId18"/>
          <w:footerReference w:type="default" r:id="rId19"/>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between</w:t>
      </w:r>
      <w:r>
        <w:rPr>
          <w:spacing w:val="-2"/>
        </w:rPr>
        <w:t> </w:t>
      </w:r>
      <w:r>
        <w:rPr/>
        <w:t>the</w:t>
      </w:r>
      <w:r>
        <w:rPr>
          <w:spacing w:val="-2"/>
        </w:rPr>
        <w:t> </w:t>
      </w:r>
      <w:r>
        <w:rPr/>
        <w:t>opposition</w:t>
      </w:r>
      <w:r>
        <w:rPr>
          <w:spacing w:val="-2"/>
        </w:rPr>
        <w:t> </w:t>
      </w:r>
      <w:r>
        <w:rPr/>
        <w:t>posts</w:t>
      </w:r>
      <w:r>
        <w:rPr>
          <w:spacing w:val="-2"/>
        </w:rPr>
        <w:t> </w:t>
      </w:r>
      <w:r>
        <w:rPr/>
        <w:t>from</w:t>
      </w:r>
      <w:r>
        <w:rPr>
          <w:spacing w:val="-2"/>
        </w:rPr>
        <w:t> </w:t>
      </w:r>
      <w:r>
        <w:rPr/>
        <w:t>the</w:t>
      </w:r>
      <w:r>
        <w:rPr>
          <w:spacing w:val="-2"/>
        </w:rPr>
        <w:t> </w:t>
      </w:r>
      <w:r>
        <w:rPr/>
        <w:t>floor</w:t>
      </w:r>
      <w:r>
        <w:rPr>
          <w:spacing w:val="-2"/>
        </w:rPr>
        <w:t> </w:t>
      </w:r>
      <w:r>
        <w:rPr/>
        <w:t>(2</w:t>
      </w:r>
      <w:r>
        <w:rPr>
          <w:spacing w:val="-2"/>
        </w:rPr>
        <w:t> </w:t>
      </w:r>
      <w:r>
        <w:rPr/>
        <w:t>points); and</w:t>
      </w:r>
      <w:r>
        <w:rPr>
          <w:spacing w:val="-2"/>
        </w:rPr>
        <w:t> </w:t>
      </w:r>
      <w:r>
        <w:rPr/>
        <w:t>a</w:t>
      </w:r>
      <w:r>
        <w:rPr>
          <w:spacing w:val="-2"/>
        </w:rPr>
        <w:t> </w:t>
      </w:r>
      <w:r>
        <w:rPr/>
        <w:t>drop</w:t>
      </w:r>
      <w:r>
        <w:rPr>
          <w:spacing w:val="-2"/>
        </w:rPr>
        <w:t> </w:t>
      </w:r>
      <w:r>
        <w:rPr/>
        <w:t>goal,</w:t>
      </w:r>
      <w:r>
        <w:rPr>
          <w:spacing w:val="-1"/>
        </w:rPr>
        <w:t> </w:t>
      </w:r>
      <w:r>
        <w:rPr/>
        <w:t>where</w:t>
      </w:r>
      <w:r>
        <w:rPr>
          <w:spacing w:val="-2"/>
        </w:rPr>
        <w:t> </w:t>
      </w:r>
      <w:r>
        <w:rPr/>
        <w:t>the</w:t>
      </w:r>
      <w:r>
        <w:rPr>
          <w:spacing w:val="-2"/>
        </w:rPr>
        <w:t> </w:t>
      </w:r>
      <w:r>
        <w:rPr/>
        <w:t>ball</w:t>
      </w:r>
      <w:r>
        <w:rPr>
          <w:spacing w:val="-2"/>
        </w:rPr>
        <w:t> </w:t>
      </w:r>
      <w:r>
        <w:rPr/>
        <w:t>is kicked between the posts from a player’s hands (1 point).</w:t>
      </w:r>
      <w:r>
        <w:rPr>
          <w:spacing w:val="40"/>
        </w:rPr>
        <w:t> </w:t>
      </w:r>
      <w:r>
        <w:rPr/>
        <w:t>At the end of the match, </w:t>
      </w:r>
      <w:r>
        <w:rPr/>
        <w:t>the team</w:t>
      </w:r>
      <w:r>
        <w:rPr>
          <w:spacing w:val="-13"/>
        </w:rPr>
        <w:t> </w:t>
      </w:r>
      <w:r>
        <w:rPr/>
        <w:t>which</w:t>
      </w:r>
      <w:r>
        <w:rPr>
          <w:spacing w:val="-13"/>
        </w:rPr>
        <w:t> </w:t>
      </w:r>
      <w:r>
        <w:rPr/>
        <w:t>scores</w:t>
      </w:r>
      <w:r>
        <w:rPr>
          <w:spacing w:val="-12"/>
        </w:rPr>
        <w:t> </w:t>
      </w:r>
      <w:r>
        <w:rPr/>
        <w:t>the</w:t>
      </w:r>
      <w:r>
        <w:rPr>
          <w:spacing w:val="-13"/>
        </w:rPr>
        <w:t> </w:t>
      </w:r>
      <w:r>
        <w:rPr/>
        <w:t>most</w:t>
      </w:r>
      <w:r>
        <w:rPr>
          <w:spacing w:val="-13"/>
        </w:rPr>
        <w:t> </w:t>
      </w:r>
      <w:r>
        <w:rPr/>
        <w:t>points</w:t>
      </w:r>
      <w:r>
        <w:rPr>
          <w:spacing w:val="-13"/>
        </w:rPr>
        <w:t> </w:t>
      </w:r>
      <w:r>
        <w:rPr/>
        <w:t>is</w:t>
      </w:r>
      <w:r>
        <w:rPr>
          <w:spacing w:val="-13"/>
        </w:rPr>
        <w:t> </w:t>
      </w:r>
      <w:r>
        <w:rPr/>
        <w:t>declared</w:t>
      </w:r>
      <w:r>
        <w:rPr>
          <w:spacing w:val="-12"/>
        </w:rPr>
        <w:t> </w:t>
      </w:r>
      <w:r>
        <w:rPr/>
        <w:t>the</w:t>
      </w:r>
      <w:r>
        <w:rPr>
          <w:spacing w:val="-13"/>
        </w:rPr>
        <w:t> </w:t>
      </w:r>
      <w:r>
        <w:rPr/>
        <w:t>winner. Since</w:t>
      </w:r>
      <w:r>
        <w:rPr>
          <w:spacing w:val="-13"/>
        </w:rPr>
        <w:t> </w:t>
      </w:r>
      <w:r>
        <w:rPr/>
        <w:t>2019,</w:t>
      </w:r>
      <w:r>
        <w:rPr>
          <w:spacing w:val="-11"/>
        </w:rPr>
        <w:t> </w:t>
      </w:r>
      <w:r>
        <w:rPr/>
        <w:t>if</w:t>
      </w:r>
      <w:r>
        <w:rPr>
          <w:spacing w:val="-12"/>
        </w:rPr>
        <w:t> </w:t>
      </w:r>
      <w:r>
        <w:rPr/>
        <w:t>the</w:t>
      </w:r>
      <w:r>
        <w:rPr>
          <w:spacing w:val="-13"/>
        </w:rPr>
        <w:t> </w:t>
      </w:r>
      <w:r>
        <w:rPr/>
        <w:t>teams’</w:t>
      </w:r>
      <w:r>
        <w:rPr>
          <w:spacing w:val="-13"/>
        </w:rPr>
        <w:t> </w:t>
      </w:r>
      <w:r>
        <w:rPr/>
        <w:t>points are</w:t>
      </w:r>
      <w:r>
        <w:rPr>
          <w:spacing w:val="-12"/>
        </w:rPr>
        <w:t> </w:t>
      </w:r>
      <w:r>
        <w:rPr/>
        <w:t>level</w:t>
      </w:r>
      <w:r>
        <w:rPr>
          <w:spacing w:val="-12"/>
        </w:rPr>
        <w:t> </w:t>
      </w:r>
      <w:r>
        <w:rPr/>
        <w:t>at</w:t>
      </w:r>
      <w:r>
        <w:rPr>
          <w:spacing w:val="-11"/>
        </w:rPr>
        <w:t> </w:t>
      </w:r>
      <w:r>
        <w:rPr/>
        <w:t>the</w:t>
      </w:r>
      <w:r>
        <w:rPr>
          <w:spacing w:val="-12"/>
        </w:rPr>
        <w:t> </w:t>
      </w:r>
      <w:r>
        <w:rPr/>
        <w:t>end</w:t>
      </w:r>
      <w:r>
        <w:rPr>
          <w:spacing w:val="-12"/>
        </w:rPr>
        <w:t> </w:t>
      </w:r>
      <w:r>
        <w:rPr/>
        <w:t>of</w:t>
      </w:r>
      <w:r>
        <w:rPr>
          <w:spacing w:val="-12"/>
        </w:rPr>
        <w:t> </w:t>
      </w:r>
      <w:r>
        <w:rPr/>
        <w:t>the</w:t>
      </w:r>
      <w:r>
        <w:rPr>
          <w:spacing w:val="-11"/>
        </w:rPr>
        <w:t> </w:t>
      </w:r>
      <w:r>
        <w:rPr/>
        <w:t>match,</w:t>
      </w:r>
      <w:r>
        <w:rPr>
          <w:spacing w:val="-10"/>
        </w:rPr>
        <w:t> </w:t>
      </w:r>
      <w:r>
        <w:rPr/>
        <w:t>an</w:t>
      </w:r>
      <w:r>
        <w:rPr>
          <w:spacing w:val="-12"/>
        </w:rPr>
        <w:t> </w:t>
      </w:r>
      <w:r>
        <w:rPr/>
        <w:t>additional</w:t>
      </w:r>
      <w:r>
        <w:rPr>
          <w:spacing w:val="-12"/>
        </w:rPr>
        <w:t> </w:t>
      </w:r>
      <w:r>
        <w:rPr/>
        <w:t>10</w:t>
      </w:r>
      <w:r>
        <w:rPr>
          <w:spacing w:val="-12"/>
        </w:rPr>
        <w:t> </w:t>
      </w:r>
      <w:r>
        <w:rPr/>
        <w:t>minutes</w:t>
      </w:r>
      <w:r>
        <w:rPr>
          <w:spacing w:val="-12"/>
        </w:rPr>
        <w:t> </w:t>
      </w:r>
      <w:r>
        <w:rPr/>
        <w:t>of</w:t>
      </w:r>
      <w:r>
        <w:rPr>
          <w:spacing w:val="-11"/>
        </w:rPr>
        <w:t> </w:t>
      </w:r>
      <w:r>
        <w:rPr/>
        <w:t>extra</w:t>
      </w:r>
      <w:r>
        <w:rPr>
          <w:spacing w:val="-12"/>
        </w:rPr>
        <w:t> </w:t>
      </w:r>
      <w:r>
        <w:rPr/>
        <w:t>time</w:t>
      </w:r>
      <w:r>
        <w:rPr>
          <w:spacing w:val="-12"/>
        </w:rPr>
        <w:t> </w:t>
      </w:r>
      <w:r>
        <w:rPr/>
        <w:t>(5</w:t>
      </w:r>
      <w:r>
        <w:rPr>
          <w:spacing w:val="-12"/>
        </w:rPr>
        <w:t> </w:t>
      </w:r>
      <w:r>
        <w:rPr/>
        <w:t>minutes</w:t>
      </w:r>
      <w:r>
        <w:rPr>
          <w:spacing w:val="-11"/>
        </w:rPr>
        <w:t> </w:t>
      </w:r>
      <w:r>
        <w:rPr/>
        <w:t>in</w:t>
      </w:r>
      <w:r>
        <w:rPr>
          <w:spacing w:val="-12"/>
        </w:rPr>
        <w:t> </w:t>
      </w:r>
      <w:r>
        <w:rPr/>
        <w:t>each half) have been played on a ’golden point’ basis, whereby the first team to score a point of any kind is declared the winner.</w:t>
      </w:r>
    </w:p>
    <w:p>
      <w:pPr>
        <w:pStyle w:val="BodyText"/>
        <w:spacing w:before="7"/>
        <w:rPr>
          <w:sz w:val="40"/>
        </w:rPr>
      </w:pPr>
    </w:p>
    <w:p>
      <w:pPr>
        <w:pStyle w:val="Heading2"/>
        <w:numPr>
          <w:ilvl w:val="1"/>
          <w:numId w:val="16"/>
        </w:numPr>
        <w:tabs>
          <w:tab w:pos="1385" w:val="left" w:leader="none"/>
          <w:tab w:pos="1386" w:val="left" w:leader="none"/>
        </w:tabs>
        <w:spacing w:line="240" w:lineRule="auto" w:before="1" w:after="0"/>
        <w:ind w:left="1385" w:right="0" w:hanging="776"/>
        <w:jc w:val="left"/>
      </w:pPr>
      <w:bookmarkStart w:name="_TOC_250065" w:id="7"/>
      <w:bookmarkStart w:name="1.2 Motivation" w:id="8"/>
      <w:r>
        <w:rPr>
          <w:b w:val="0"/>
        </w:rPr>
      </w:r>
      <w:bookmarkStart w:name="_bookmark3" w:id="9"/>
      <w:bookmarkEnd w:id="9"/>
      <w:r>
        <w:rPr>
          <w:spacing w:val="-2"/>
        </w:rPr>
        <w:t>Mot</w:t>
      </w:r>
      <w:bookmarkEnd w:id="7"/>
      <w:r>
        <w:rPr>
          <w:spacing w:val="-2"/>
        </w:rPr>
        <w:t>ivation</w:t>
      </w:r>
    </w:p>
    <w:p>
      <w:pPr>
        <w:pStyle w:val="BodyText"/>
        <w:spacing w:line="312" w:lineRule="auto" w:before="308"/>
        <w:ind w:left="610" w:right="389"/>
      </w:pPr>
      <w:r>
        <w:rPr/>
        <w:t>Rugby</w:t>
      </w:r>
      <w:r>
        <w:rPr>
          <w:spacing w:val="-15"/>
        </w:rPr>
        <w:t> </w:t>
      </w:r>
      <w:r>
        <w:rPr/>
        <w:t>league</w:t>
      </w:r>
      <w:r>
        <w:rPr>
          <w:spacing w:val="-15"/>
        </w:rPr>
        <w:t> </w:t>
      </w:r>
      <w:r>
        <w:rPr/>
        <w:t>has</w:t>
      </w:r>
      <w:r>
        <w:rPr>
          <w:spacing w:val="-15"/>
        </w:rPr>
        <w:t> </w:t>
      </w:r>
      <w:r>
        <w:rPr/>
        <w:t>a</w:t>
      </w:r>
      <w:r>
        <w:rPr>
          <w:spacing w:val="-15"/>
        </w:rPr>
        <w:t> </w:t>
      </w:r>
      <w:r>
        <w:rPr/>
        <w:t>rich</w:t>
      </w:r>
      <w:r>
        <w:rPr>
          <w:spacing w:val="-15"/>
        </w:rPr>
        <w:t> </w:t>
      </w:r>
      <w:r>
        <w:rPr/>
        <w:t>history</w:t>
      </w:r>
      <w:r>
        <w:rPr>
          <w:spacing w:val="-15"/>
        </w:rPr>
        <w:t> </w:t>
      </w:r>
      <w:r>
        <w:rPr/>
        <w:t>of</w:t>
      </w:r>
      <w:r>
        <w:rPr>
          <w:spacing w:val="-15"/>
        </w:rPr>
        <w:t> </w:t>
      </w:r>
      <w:r>
        <w:rPr/>
        <w:t>using</w:t>
      </w:r>
      <w:r>
        <w:rPr>
          <w:spacing w:val="-15"/>
        </w:rPr>
        <w:t> </w:t>
      </w:r>
      <w:r>
        <w:rPr/>
        <w:t>wearable</w:t>
      </w:r>
      <w:r>
        <w:rPr>
          <w:spacing w:val="-15"/>
        </w:rPr>
        <w:t> </w:t>
      </w:r>
      <w:r>
        <w:rPr/>
        <w:t>technology</w:t>
      </w:r>
      <w:r>
        <w:rPr>
          <w:spacing w:val="-15"/>
        </w:rPr>
        <w:t> </w:t>
      </w:r>
      <w:r>
        <w:rPr/>
        <w:t>to</w:t>
      </w:r>
      <w:r>
        <w:rPr>
          <w:spacing w:val="-15"/>
        </w:rPr>
        <w:t> </w:t>
      </w:r>
      <w:r>
        <w:rPr/>
        <w:t>monitor</w:t>
      </w:r>
      <w:r>
        <w:rPr>
          <w:spacing w:val="-15"/>
        </w:rPr>
        <w:t> </w:t>
      </w:r>
      <w:r>
        <w:rPr/>
        <w:t>and</w:t>
      </w:r>
      <w:r>
        <w:rPr>
          <w:spacing w:val="-15"/>
        </w:rPr>
        <w:t> </w:t>
      </w:r>
      <w:r>
        <w:rPr/>
        <w:t>improve</w:t>
      </w:r>
      <w:r>
        <w:rPr>
          <w:spacing w:val="-15"/>
        </w:rPr>
        <w:t> </w:t>
      </w:r>
      <w:r>
        <w:rPr/>
        <w:t>ath- lete performance (</w:t>
      </w:r>
      <w:hyperlink w:history="true" w:anchor="_bookmark238">
        <w:r>
          <w:rPr>
            <w:color w:val="FF0000"/>
          </w:rPr>
          <w:t>Dalton-Barron et al.</w:t>
        </w:r>
      </w:hyperlink>
      <w:r>
        <w:rPr/>
        <w:t>,</w:t>
      </w:r>
      <w:hyperlink w:history="true" w:anchor="_bookmark238">
        <w:r>
          <w:rPr>
            <w:color w:val="FF0000"/>
          </w:rPr>
          <w:t>2020</w:t>
        </w:r>
        <w:r>
          <w:rPr/>
          <w:t>;</w:t>
        </w:r>
      </w:hyperlink>
      <w:hyperlink w:history="true" w:anchor="_bookmark248">
        <w:r>
          <w:rPr>
            <w:color w:val="FF0000"/>
          </w:rPr>
          <w:t>Glassbrook et al.</w:t>
        </w:r>
        <w:r>
          <w:rPr/>
          <w:t>,</w:t>
        </w:r>
      </w:hyperlink>
      <w:r>
        <w:rPr>
          <w:color w:val="FF0000"/>
        </w:rPr>
        <w:t>2019</w:t>
      </w:r>
      <w:hyperlink w:history="true" w:anchor="_bookmark248">
        <w:r>
          <w:rPr/>
          <w:t>)</w:t>
        </w:r>
      </w:hyperlink>
      <w:r>
        <w:rPr/>
        <w:t> and has recently embraced the introduction of instrumented mouth guards as a method of understanding concussion incidence (</w:t>
      </w:r>
      <w:hyperlink w:history="true" w:anchor="_bookmark302">
        <w:r>
          <w:rPr>
            <w:color w:val="FF0000"/>
          </w:rPr>
          <w:t>Tierney et al.</w:t>
        </w:r>
      </w:hyperlink>
      <w:r>
        <w:rPr/>
        <w:t>,</w:t>
      </w:r>
      <w:hyperlink w:history="true" w:anchor="_bookmark302">
        <w:r>
          <w:rPr>
            <w:color w:val="FF0000"/>
          </w:rPr>
          <w:t>2021</w:t>
        </w:r>
        <w:r>
          <w:rPr/>
          <w:t>;</w:t>
        </w:r>
      </w:hyperlink>
      <w:r>
        <w:rPr>
          <w:color w:val="FF0000"/>
        </w:rPr>
        <w:t>T</w:t>
      </w:r>
      <w:hyperlink w:history="true" w:anchor="_bookmark303">
        <w:r>
          <w:rPr>
            <w:color w:val="FF0000"/>
          </w:rPr>
          <w:t>ooby et al.</w:t>
        </w:r>
        <w:r>
          <w:rPr/>
          <w:t>,</w:t>
        </w:r>
      </w:hyperlink>
      <w:r>
        <w:rPr>
          <w:color w:val="FF0000"/>
        </w:rPr>
        <w:t>2022</w:t>
      </w:r>
      <w:hyperlink w:history="true" w:anchor="_bookmark303">
        <w:r>
          <w:rPr/>
          <w:t>).</w:t>
        </w:r>
      </w:hyperlink>
      <w:r>
        <w:rPr>
          <w:spacing w:val="40"/>
        </w:rPr>
        <w:t> </w:t>
      </w:r>
      <w:r>
        <w:rPr/>
        <w:t>However, much less re- search</w:t>
      </w:r>
      <w:r>
        <w:rPr>
          <w:spacing w:val="-2"/>
        </w:rPr>
        <w:t> </w:t>
      </w:r>
      <w:r>
        <w:rPr/>
        <w:t>has</w:t>
      </w:r>
      <w:r>
        <w:rPr>
          <w:spacing w:val="-2"/>
        </w:rPr>
        <w:t> </w:t>
      </w:r>
      <w:r>
        <w:rPr/>
        <w:t>taken</w:t>
      </w:r>
      <w:r>
        <w:rPr>
          <w:spacing w:val="-2"/>
        </w:rPr>
        <w:t> </w:t>
      </w:r>
      <w:r>
        <w:rPr/>
        <w:t>place</w:t>
      </w:r>
      <w:r>
        <w:rPr>
          <w:spacing w:val="-2"/>
        </w:rPr>
        <w:t> </w:t>
      </w:r>
      <w:r>
        <w:rPr/>
        <w:t>regarding</w:t>
      </w:r>
      <w:r>
        <w:rPr>
          <w:spacing w:val="-2"/>
        </w:rPr>
        <w:t> </w:t>
      </w:r>
      <w:r>
        <w:rPr/>
        <w:t>the</w:t>
      </w:r>
      <w:r>
        <w:rPr>
          <w:spacing w:val="-2"/>
        </w:rPr>
        <w:t> </w:t>
      </w:r>
      <w:r>
        <w:rPr/>
        <w:t>tactical</w:t>
      </w:r>
      <w:r>
        <w:rPr>
          <w:spacing w:val="-2"/>
        </w:rPr>
        <w:t> </w:t>
      </w:r>
      <w:r>
        <w:rPr/>
        <w:t>demands</w:t>
      </w:r>
      <w:r>
        <w:rPr>
          <w:spacing w:val="-2"/>
        </w:rPr>
        <w:t> </w:t>
      </w:r>
      <w:r>
        <w:rPr/>
        <w:t>of</w:t>
      </w:r>
      <w:r>
        <w:rPr>
          <w:spacing w:val="-2"/>
        </w:rPr>
        <w:t> </w:t>
      </w:r>
      <w:r>
        <w:rPr/>
        <w:t>the</w:t>
      </w:r>
      <w:r>
        <w:rPr>
          <w:spacing w:val="-2"/>
        </w:rPr>
        <w:t> </w:t>
      </w:r>
      <w:r>
        <w:rPr/>
        <w:t>game</w:t>
      </w:r>
      <w:r>
        <w:rPr>
          <w:spacing w:val="-2"/>
        </w:rPr>
        <w:t> </w:t>
      </w:r>
      <w:r>
        <w:rPr/>
        <w:t>(</w:t>
      </w:r>
      <w:hyperlink w:history="true" w:anchor="_bookmark263">
        <w:r>
          <w:rPr>
            <w:color w:val="FF0000"/>
          </w:rPr>
          <w:t>Kempton</w:t>
        </w:r>
        <w:r>
          <w:rPr>
            <w:color w:val="FF0000"/>
            <w:spacing w:val="-2"/>
          </w:rPr>
          <w:t> </w:t>
        </w:r>
        <w:r>
          <w:rPr>
            <w:color w:val="FF0000"/>
          </w:rPr>
          <w:t>et</w:t>
        </w:r>
        <w:r>
          <w:rPr>
            <w:color w:val="FF0000"/>
            <w:spacing w:val="-2"/>
          </w:rPr>
          <w:t> </w:t>
        </w:r>
        <w:r>
          <w:rPr>
            <w:color w:val="FF0000"/>
          </w:rPr>
          <w:t>al.</w:t>
        </w:r>
      </w:hyperlink>
      <w:r>
        <w:rPr/>
        <w:t>,</w:t>
      </w:r>
      <w:hyperlink w:history="true" w:anchor="_bookmark263">
        <w:r>
          <w:rPr>
            <w:color w:val="FF0000"/>
          </w:rPr>
          <w:t>2016</w:t>
        </w:r>
        <w:r>
          <w:rPr/>
          <w:t>;</w:t>
        </w:r>
      </w:hyperlink>
      <w:r>
        <w:rPr/>
        <w:t> </w:t>
      </w:r>
      <w:hyperlink w:history="true" w:anchor="_bookmark281">
        <w:r>
          <w:rPr>
            <w:color w:val="FF0000"/>
          </w:rPr>
          <w:t>Parmar et al.</w:t>
        </w:r>
      </w:hyperlink>
      <w:r>
        <w:rPr/>
        <w:t>,</w:t>
      </w:r>
      <w:hyperlink w:history="true" w:anchor="_bookmark281">
        <w:r>
          <w:rPr>
            <w:color w:val="FF0000"/>
          </w:rPr>
          <w:t>2018</w:t>
        </w:r>
        <w:r>
          <w:rPr/>
          <w:t>;</w:t>
        </w:r>
      </w:hyperlink>
      <w:r>
        <w:rPr>
          <w:color w:val="FF0000"/>
        </w:rPr>
        <w:t>W</w:t>
      </w:r>
      <w:hyperlink w:history="true" w:anchor="_bookmark312">
        <w:r>
          <w:rPr>
            <w:color w:val="FF0000"/>
          </w:rPr>
          <w:t>oods et al.</w:t>
        </w:r>
        <w:r>
          <w:rPr/>
          <w:t>,</w:t>
        </w:r>
      </w:hyperlink>
      <w:r>
        <w:rPr>
          <w:color w:val="FF0000"/>
        </w:rPr>
        <w:t>2017</w:t>
      </w:r>
      <w:hyperlink w:history="true" w:anchor="_bookmark312">
        <w:r>
          <w:rPr/>
          <w:t>).</w:t>
        </w:r>
      </w:hyperlink>
      <w:r>
        <w:rPr/>
        <w:t> There are several reasons for this. First, there is reduced</w:t>
      </w:r>
      <w:r>
        <w:rPr>
          <w:spacing w:val="-4"/>
        </w:rPr>
        <w:t> </w:t>
      </w:r>
      <w:r>
        <w:rPr/>
        <w:t>data</w:t>
      </w:r>
      <w:r>
        <w:rPr>
          <w:spacing w:val="-4"/>
        </w:rPr>
        <w:t> </w:t>
      </w:r>
      <w:r>
        <w:rPr/>
        <w:t>availability</w:t>
      </w:r>
      <w:r>
        <w:rPr>
          <w:spacing w:val="-4"/>
        </w:rPr>
        <w:t> </w:t>
      </w:r>
      <w:r>
        <w:rPr/>
        <w:t>compared</w:t>
      </w:r>
      <w:r>
        <w:rPr>
          <w:spacing w:val="-4"/>
        </w:rPr>
        <w:t> </w:t>
      </w:r>
      <w:r>
        <w:rPr/>
        <w:t>to</w:t>
      </w:r>
      <w:r>
        <w:rPr>
          <w:spacing w:val="-4"/>
        </w:rPr>
        <w:t> </w:t>
      </w:r>
      <w:r>
        <w:rPr/>
        <w:t>other</w:t>
      </w:r>
      <w:r>
        <w:rPr>
          <w:spacing w:val="-4"/>
        </w:rPr>
        <w:t> </w:t>
      </w:r>
      <w:r>
        <w:rPr/>
        <w:t>sports,</w:t>
      </w:r>
      <w:r>
        <w:rPr>
          <w:spacing w:val="-3"/>
        </w:rPr>
        <w:t> </w:t>
      </w:r>
      <w:r>
        <w:rPr/>
        <w:t>such</w:t>
      </w:r>
      <w:r>
        <w:rPr>
          <w:spacing w:val="-4"/>
        </w:rPr>
        <w:t> </w:t>
      </w:r>
      <w:r>
        <w:rPr/>
        <w:t>as</w:t>
      </w:r>
      <w:r>
        <w:rPr>
          <w:spacing w:val="-4"/>
        </w:rPr>
        <w:t> </w:t>
      </w:r>
      <w:r>
        <w:rPr/>
        <w:t>basketball</w:t>
      </w:r>
      <w:r>
        <w:rPr>
          <w:spacing w:val="-4"/>
        </w:rPr>
        <w:t> </w:t>
      </w:r>
      <w:r>
        <w:rPr/>
        <w:t>or</w:t>
      </w:r>
      <w:r>
        <w:rPr>
          <w:spacing w:val="-4"/>
        </w:rPr>
        <w:t> </w:t>
      </w:r>
      <w:r>
        <w:rPr/>
        <w:t>football. Action by action data annotation has only recently been introduced in rugby league, with com- puter vision technologies which can handle the regular occlusion of the ball/players not yet developed for the sport.</w:t>
      </w:r>
      <w:r>
        <w:rPr>
          <w:spacing w:val="40"/>
        </w:rPr>
        <w:t> </w:t>
      </w:r>
      <w:r>
        <w:rPr/>
        <w:t>Further to this, the GPS units used by the teams regularly</w:t>
      </w:r>
      <w:r>
        <w:rPr>
          <w:spacing w:val="80"/>
        </w:rPr>
        <w:t> </w:t>
      </w:r>
      <w:r>
        <w:rPr/>
        <w:t>have</w:t>
      </w:r>
      <w:r>
        <w:rPr>
          <w:spacing w:val="24"/>
        </w:rPr>
        <w:t> </w:t>
      </w:r>
      <w:r>
        <w:rPr/>
        <w:t>signal</w:t>
      </w:r>
      <w:r>
        <w:rPr>
          <w:spacing w:val="24"/>
        </w:rPr>
        <w:t> </w:t>
      </w:r>
      <w:r>
        <w:rPr/>
        <w:t>issues</w:t>
      </w:r>
      <w:r>
        <w:rPr>
          <w:spacing w:val="24"/>
        </w:rPr>
        <w:t> </w:t>
      </w:r>
      <w:r>
        <w:rPr/>
        <w:t>in</w:t>
      </w:r>
      <w:r>
        <w:rPr>
          <w:spacing w:val="24"/>
        </w:rPr>
        <w:t> </w:t>
      </w:r>
      <w:r>
        <w:rPr/>
        <w:t>enclosed</w:t>
      </w:r>
      <w:r>
        <w:rPr>
          <w:spacing w:val="24"/>
        </w:rPr>
        <w:t> </w:t>
      </w:r>
      <w:r>
        <w:rPr/>
        <w:t>places</w:t>
      </w:r>
      <w:r>
        <w:rPr>
          <w:spacing w:val="24"/>
        </w:rPr>
        <w:t> </w:t>
      </w:r>
      <w:r>
        <w:rPr/>
        <w:t>such</w:t>
      </w:r>
      <w:r>
        <w:rPr>
          <w:spacing w:val="24"/>
        </w:rPr>
        <w:t> </w:t>
      </w:r>
      <w:r>
        <w:rPr/>
        <w:t>as</w:t>
      </w:r>
      <w:r>
        <w:rPr>
          <w:spacing w:val="24"/>
        </w:rPr>
        <w:t> </w:t>
      </w:r>
      <w:r>
        <w:rPr/>
        <w:t>the</w:t>
      </w:r>
      <w:r>
        <w:rPr>
          <w:spacing w:val="24"/>
        </w:rPr>
        <w:t> </w:t>
      </w:r>
      <w:r>
        <w:rPr/>
        <w:t>stadiums</w:t>
      </w:r>
      <w:r>
        <w:rPr>
          <w:spacing w:val="24"/>
        </w:rPr>
        <w:t> </w:t>
      </w:r>
      <w:r>
        <w:rPr/>
        <w:t>where</w:t>
      </w:r>
      <w:r>
        <w:rPr>
          <w:spacing w:val="24"/>
        </w:rPr>
        <w:t> </w:t>
      </w:r>
      <w:r>
        <w:rPr/>
        <w:t>matches</w:t>
      </w:r>
      <w:r>
        <w:rPr>
          <w:spacing w:val="24"/>
        </w:rPr>
        <w:t> </w:t>
      </w:r>
      <w:r>
        <w:rPr/>
        <w:t>are</w:t>
      </w:r>
      <w:r>
        <w:rPr>
          <w:spacing w:val="24"/>
        </w:rPr>
        <w:t> </w:t>
      </w:r>
      <w:r>
        <w:rPr/>
        <w:t>played, which can result in lost data.</w:t>
      </w:r>
      <w:r>
        <w:rPr>
          <w:spacing w:val="40"/>
        </w:rPr>
        <w:t> </w:t>
      </w:r>
      <w:r>
        <w:rPr/>
        <w:t>They also aren’t accurate enough (</w:t>
      </w:r>
      <w:hyperlink w:history="true" w:anchor="_bookmark296">
        <w:r>
          <w:rPr>
            <w:color w:val="FF0000"/>
          </w:rPr>
          <w:t>Song et al.</w:t>
        </w:r>
      </w:hyperlink>
      <w:r>
        <w:rPr/>
        <w:t>,</w:t>
      </w:r>
      <w:hyperlink w:history="true" w:anchor="_bookmark296">
        <w:r>
          <w:rPr>
            <w:color w:val="FF0000"/>
          </w:rPr>
          <w:t>2022</w:t>
        </w:r>
        <w:r>
          <w:rPr/>
          <w:t>)</w:t>
        </w:r>
      </w:hyperlink>
      <w:r>
        <w:rPr/>
        <w:t> to be used for the same type of tracking and match event data analysis previously employed</w:t>
      </w:r>
      <w:r>
        <w:rPr>
          <w:spacing w:val="40"/>
        </w:rPr>
        <w:t> </w:t>
      </w:r>
      <w:r>
        <w:rPr/>
        <w:t>in football </w:t>
      </w:r>
      <w:r>
        <w:rPr>
          <w:spacing w:val="7"/>
        </w:rPr>
        <w:t>(</w:t>
      </w:r>
      <w:hyperlink w:history="true" w:anchor="_bookmark243">
        <w:r>
          <w:rPr>
            <w:color w:val="FF0000"/>
            <w:spacing w:val="7"/>
          </w:rPr>
          <w:t>Fern</w:t>
        </w:r>
        <w:r>
          <w:rPr>
            <w:color w:val="FF0000"/>
            <w:spacing w:val="-86"/>
          </w:rPr>
          <w:t>a</w:t>
        </w:r>
        <w:r>
          <w:rPr>
            <w:color w:val="FF0000"/>
            <w:spacing w:val="20"/>
          </w:rPr>
          <w:t>´</w:t>
        </w:r>
        <w:r>
          <w:rPr>
            <w:color w:val="FF0000"/>
            <w:spacing w:val="7"/>
          </w:rPr>
          <w:t>ndez</w:t>
        </w:r>
        <w:r>
          <w:rPr>
            <w:color w:val="FF0000"/>
            <w:spacing w:val="-1"/>
          </w:rPr>
          <w:t> </w:t>
        </w:r>
        <w:r>
          <w:rPr>
            <w:color w:val="FF0000"/>
          </w:rPr>
          <w:t>et al.</w:t>
        </w:r>
      </w:hyperlink>
      <w:r>
        <w:rPr/>
        <w:t>,</w:t>
      </w:r>
      <w:hyperlink w:history="true" w:anchor="_bookmark243">
        <w:r>
          <w:rPr>
            <w:color w:val="FF0000"/>
          </w:rPr>
          <w:t>2021</w:t>
        </w:r>
        <w:r>
          <w:rPr/>
          <w:t>)</w:t>
        </w:r>
      </w:hyperlink>
      <w:r>
        <w:rPr/>
        <w:t> or basketball (</w:t>
      </w:r>
      <w:hyperlink w:history="true" w:anchor="_bookmark231">
        <w:r>
          <w:rPr>
            <w:color w:val="FF0000"/>
          </w:rPr>
          <w:t>Cervone et al.</w:t>
        </w:r>
        <w:r>
          <w:rPr/>
          <w:t>,</w:t>
        </w:r>
      </w:hyperlink>
      <w:hyperlink w:history="true" w:anchor="_bookmark231">
        <w:r>
          <w:rPr>
            <w:color w:val="FF0000"/>
          </w:rPr>
          <w:t>2016</w:t>
        </w:r>
        <w:r>
          <w:rPr/>
          <w:t>).</w:t>
        </w:r>
      </w:hyperlink>
      <w:r>
        <w:rPr>
          <w:spacing w:val="37"/>
        </w:rPr>
        <w:t> </w:t>
      </w:r>
      <w:r>
        <w:rPr/>
        <w:t>Previous analy- sis using event level only data has been conducted in football (</w:t>
      </w:r>
      <w:hyperlink w:history="true" w:anchor="_bookmark239">
        <w:r>
          <w:rPr>
            <w:color w:val="FF0000"/>
          </w:rPr>
          <w:t>Decroos et al.</w:t>
        </w:r>
      </w:hyperlink>
      <w:r>
        <w:rPr/>
        <w:t>,</w:t>
      </w:r>
      <w:hyperlink w:history="true" w:anchor="_bookmark239">
        <w:r>
          <w:rPr>
            <w:color w:val="FF0000"/>
          </w:rPr>
          <w:t>2019</w:t>
        </w:r>
        <w:r>
          <w:rPr/>
          <w:t>)</w:t>
        </w:r>
      </w:hyperlink>
      <w:r>
        <w:rPr/>
        <w:t> but the</w:t>
      </w:r>
      <w:r>
        <w:rPr>
          <w:spacing w:val="21"/>
        </w:rPr>
        <w:t> </w:t>
      </w:r>
      <w:r>
        <w:rPr/>
        <w:t>authors</w:t>
      </w:r>
      <w:r>
        <w:rPr>
          <w:spacing w:val="21"/>
        </w:rPr>
        <w:t> </w:t>
      </w:r>
      <w:r>
        <w:rPr/>
        <w:t>used</w:t>
      </w:r>
      <w:r>
        <w:rPr>
          <w:spacing w:val="21"/>
        </w:rPr>
        <w:t> </w:t>
      </w:r>
      <w:r>
        <w:rPr/>
        <w:t>separate</w:t>
      </w:r>
      <w:r>
        <w:rPr>
          <w:spacing w:val="21"/>
        </w:rPr>
        <w:t> </w:t>
      </w:r>
      <w:r>
        <w:rPr/>
        <w:t>models</w:t>
      </w:r>
      <w:r>
        <w:rPr>
          <w:spacing w:val="21"/>
        </w:rPr>
        <w:t> </w:t>
      </w:r>
      <w:r>
        <w:rPr/>
        <w:t>to</w:t>
      </w:r>
      <w:r>
        <w:rPr>
          <w:spacing w:val="21"/>
        </w:rPr>
        <w:t> </w:t>
      </w:r>
      <w:r>
        <w:rPr/>
        <w:t>evaluate</w:t>
      </w:r>
      <w:r>
        <w:rPr>
          <w:spacing w:val="21"/>
        </w:rPr>
        <w:t> </w:t>
      </w:r>
      <w:r>
        <w:rPr/>
        <w:t>the</w:t>
      </w:r>
      <w:r>
        <w:rPr>
          <w:spacing w:val="21"/>
        </w:rPr>
        <w:t> </w:t>
      </w:r>
      <w:r>
        <w:rPr/>
        <w:t>probability</w:t>
      </w:r>
      <w:r>
        <w:rPr>
          <w:spacing w:val="21"/>
        </w:rPr>
        <w:t> </w:t>
      </w:r>
      <w:r>
        <w:rPr/>
        <w:t>of</w:t>
      </w:r>
      <w:r>
        <w:rPr>
          <w:spacing w:val="21"/>
        </w:rPr>
        <w:t> </w:t>
      </w:r>
      <w:r>
        <w:rPr/>
        <w:t>a</w:t>
      </w:r>
      <w:r>
        <w:rPr>
          <w:spacing w:val="21"/>
        </w:rPr>
        <w:t> </w:t>
      </w:r>
      <w:r>
        <w:rPr/>
        <w:t>goal</w:t>
      </w:r>
      <w:r>
        <w:rPr>
          <w:spacing w:val="21"/>
        </w:rPr>
        <w:t> </w:t>
      </w:r>
      <w:r>
        <w:rPr/>
        <w:t>being</w:t>
      </w:r>
      <w:r>
        <w:rPr>
          <w:spacing w:val="21"/>
        </w:rPr>
        <w:t> </w:t>
      </w:r>
      <w:r>
        <w:rPr/>
        <w:t>scored</w:t>
      </w:r>
      <w:r>
        <w:rPr>
          <w:spacing w:val="21"/>
        </w:rPr>
        <w:t> </w:t>
      </w:r>
      <w:r>
        <w:rPr/>
        <w:t>or conceded.</w:t>
      </w:r>
      <w:r>
        <w:rPr>
          <w:spacing w:val="40"/>
        </w:rPr>
        <w:t> </w:t>
      </w:r>
      <w:r>
        <w:rPr/>
        <w:t>Rugby league has five possible possession outcomes, so adapting this model to the sport would result in an excessive requirement of eight separate models (one for each outcome scored and one for each outcome conceded).</w:t>
      </w:r>
      <w:r>
        <w:rPr>
          <w:spacing w:val="31"/>
        </w:rPr>
        <w:t> </w:t>
      </w:r>
      <w:r>
        <w:rPr/>
        <w:t>A further modelling consid- eration is the episodic nature of rugby league, which is ideally suited to the Markovian approach</w:t>
      </w:r>
      <w:r>
        <w:rPr>
          <w:spacing w:val="-9"/>
        </w:rPr>
        <w:t> </w:t>
      </w:r>
      <w:r>
        <w:rPr/>
        <w:t>used</w:t>
      </w:r>
      <w:r>
        <w:rPr>
          <w:spacing w:val="-9"/>
        </w:rPr>
        <w:t> </w:t>
      </w:r>
      <w:r>
        <w:rPr/>
        <w:t>by</w:t>
      </w:r>
      <w:hyperlink w:history="true" w:anchor="_bookmark263">
        <w:r>
          <w:rPr>
            <w:color w:val="FF0000"/>
          </w:rPr>
          <w:t>Kempton</w:t>
        </w:r>
        <w:r>
          <w:rPr>
            <w:color w:val="FF0000"/>
            <w:spacing w:val="-9"/>
          </w:rPr>
          <w:t> </w:t>
        </w:r>
        <w:r>
          <w:rPr>
            <w:color w:val="FF0000"/>
          </w:rPr>
          <w:t>et</w:t>
        </w:r>
        <w:r>
          <w:rPr>
            <w:color w:val="FF0000"/>
            <w:spacing w:val="-9"/>
          </w:rPr>
          <w:t> </w:t>
        </w:r>
        <w:r>
          <w:rPr>
            <w:color w:val="FF0000"/>
          </w:rPr>
          <w:t>al.</w:t>
        </w:r>
        <w:r>
          <w:rPr/>
          <w:t>(</w:t>
        </w:r>
      </w:hyperlink>
      <w:hyperlink w:history="true" w:anchor="_bookmark263">
        <w:r>
          <w:rPr>
            <w:color w:val="FF0000"/>
          </w:rPr>
          <w:t>2016</w:t>
        </w:r>
        <w:r>
          <w:rPr/>
          <w:t>).</w:t>
        </w:r>
      </w:hyperlink>
      <w:r>
        <w:rPr>
          <w:spacing w:val="15"/>
        </w:rPr>
        <w:t> </w:t>
      </w:r>
      <w:r>
        <w:rPr/>
        <w:t>Their</w:t>
      </w:r>
      <w:r>
        <w:rPr>
          <w:spacing w:val="-9"/>
        </w:rPr>
        <w:t> </w:t>
      </w:r>
      <w:r>
        <w:rPr/>
        <w:t>approach</w:t>
      </w:r>
      <w:r>
        <w:rPr>
          <w:spacing w:val="-9"/>
        </w:rPr>
        <w:t> </w:t>
      </w:r>
      <w:r>
        <w:rPr/>
        <w:t>combines</w:t>
      </w:r>
      <w:r>
        <w:rPr>
          <w:spacing w:val="-8"/>
        </w:rPr>
        <w:t> </w:t>
      </w:r>
      <w:r>
        <w:rPr/>
        <w:t>all</w:t>
      </w:r>
      <w:r>
        <w:rPr>
          <w:spacing w:val="-9"/>
        </w:rPr>
        <w:t> </w:t>
      </w:r>
      <w:r>
        <w:rPr/>
        <w:t>possible</w:t>
      </w:r>
      <w:r>
        <w:rPr>
          <w:spacing w:val="-9"/>
        </w:rPr>
        <w:t> </w:t>
      </w:r>
      <w:r>
        <w:rPr/>
        <w:t>possession outcomes</w:t>
      </w:r>
      <w:r>
        <w:rPr>
          <w:spacing w:val="-8"/>
        </w:rPr>
        <w:t> </w:t>
      </w:r>
      <w:r>
        <w:rPr/>
        <w:t>into</w:t>
      </w:r>
      <w:r>
        <w:rPr>
          <w:spacing w:val="-8"/>
        </w:rPr>
        <w:t> </w:t>
      </w:r>
      <w:r>
        <w:rPr/>
        <w:t>a</w:t>
      </w:r>
      <w:r>
        <w:rPr>
          <w:spacing w:val="-8"/>
        </w:rPr>
        <w:t> </w:t>
      </w:r>
      <w:r>
        <w:rPr/>
        <w:t>single</w:t>
      </w:r>
      <w:r>
        <w:rPr>
          <w:spacing w:val="-8"/>
        </w:rPr>
        <w:t> </w:t>
      </w:r>
      <w:r>
        <w:rPr/>
        <w:t>value,</w:t>
      </w:r>
      <w:r>
        <w:rPr>
          <w:spacing w:val="-8"/>
        </w:rPr>
        <w:t> </w:t>
      </w:r>
      <w:r>
        <w:rPr/>
        <w:t>but</w:t>
      </w:r>
      <w:r>
        <w:rPr>
          <w:spacing w:val="-8"/>
        </w:rPr>
        <w:t> </w:t>
      </w:r>
      <w:r>
        <w:rPr/>
        <w:t>this</w:t>
      </w:r>
      <w:r>
        <w:rPr>
          <w:spacing w:val="-8"/>
        </w:rPr>
        <w:t> </w:t>
      </w:r>
      <w:r>
        <w:rPr/>
        <w:t>limits</w:t>
      </w:r>
      <w:r>
        <w:rPr>
          <w:spacing w:val="-8"/>
        </w:rPr>
        <w:t> </w:t>
      </w:r>
      <w:r>
        <w:rPr/>
        <w:t>the</w:t>
      </w:r>
      <w:r>
        <w:rPr>
          <w:spacing w:val="-8"/>
        </w:rPr>
        <w:t> </w:t>
      </w:r>
      <w:r>
        <w:rPr/>
        <w:t>flexibility</w:t>
      </w:r>
      <w:r>
        <w:rPr>
          <w:spacing w:val="-8"/>
        </w:rPr>
        <w:t> </w:t>
      </w:r>
      <w:r>
        <w:rPr/>
        <w:t>of</w:t>
      </w:r>
      <w:r>
        <w:rPr>
          <w:spacing w:val="-8"/>
        </w:rPr>
        <w:t> </w:t>
      </w:r>
      <w:r>
        <w:rPr/>
        <w:t>the</w:t>
      </w:r>
      <w:r>
        <w:rPr>
          <w:spacing w:val="-8"/>
        </w:rPr>
        <w:t> </w:t>
      </w:r>
      <w:r>
        <w:rPr/>
        <w:t>model</w:t>
      </w:r>
      <w:r>
        <w:rPr>
          <w:spacing w:val="-8"/>
        </w:rPr>
        <w:t> </w:t>
      </w:r>
      <w:r>
        <w:rPr/>
        <w:t>as</w:t>
      </w:r>
      <w:r>
        <w:rPr>
          <w:spacing w:val="-8"/>
        </w:rPr>
        <w:t> </w:t>
      </w:r>
      <w:r>
        <w:rPr/>
        <w:t>information</w:t>
      </w:r>
      <w:r>
        <w:rPr>
          <w:spacing w:val="-8"/>
        </w:rPr>
        <w:t> </w:t>
      </w:r>
      <w:r>
        <w:rPr/>
        <w:t>re- garding</w:t>
      </w:r>
      <w:r>
        <w:rPr>
          <w:spacing w:val="-15"/>
        </w:rPr>
        <w:t> </w:t>
      </w:r>
      <w:r>
        <w:rPr/>
        <w:t>each</w:t>
      </w:r>
      <w:r>
        <w:rPr>
          <w:spacing w:val="-15"/>
        </w:rPr>
        <w:t> </w:t>
      </w:r>
      <w:r>
        <w:rPr/>
        <w:t>individual</w:t>
      </w:r>
      <w:r>
        <w:rPr>
          <w:spacing w:val="-15"/>
        </w:rPr>
        <w:t> </w:t>
      </w:r>
      <w:r>
        <w:rPr/>
        <w:t>possession</w:t>
      </w:r>
      <w:r>
        <w:rPr>
          <w:spacing w:val="-15"/>
        </w:rPr>
        <w:t> </w:t>
      </w:r>
      <w:r>
        <w:rPr/>
        <w:t>outcome</w:t>
      </w:r>
      <w:r>
        <w:rPr>
          <w:spacing w:val="-15"/>
        </w:rPr>
        <w:t> </w:t>
      </w:r>
      <w:r>
        <w:rPr/>
        <w:t>is</w:t>
      </w:r>
      <w:r>
        <w:rPr>
          <w:spacing w:val="-15"/>
        </w:rPr>
        <w:t> </w:t>
      </w:r>
      <w:r>
        <w:rPr/>
        <w:t>lost.</w:t>
      </w:r>
      <w:r>
        <w:rPr>
          <w:spacing w:val="-15"/>
        </w:rPr>
        <w:t> </w:t>
      </w:r>
      <w:r>
        <w:rPr/>
        <w:t>It</w:t>
      </w:r>
      <w:r>
        <w:rPr>
          <w:spacing w:val="-15"/>
        </w:rPr>
        <w:t> </w:t>
      </w:r>
      <w:r>
        <w:rPr/>
        <w:t>is</w:t>
      </w:r>
      <w:r>
        <w:rPr>
          <w:spacing w:val="-15"/>
        </w:rPr>
        <w:t> </w:t>
      </w:r>
      <w:r>
        <w:rPr/>
        <w:t>further</w:t>
      </w:r>
      <w:r>
        <w:rPr>
          <w:spacing w:val="-15"/>
        </w:rPr>
        <w:t> </w:t>
      </w:r>
      <w:r>
        <w:rPr/>
        <w:t>limited</w:t>
      </w:r>
      <w:r>
        <w:rPr>
          <w:spacing w:val="-15"/>
        </w:rPr>
        <w:t> </w:t>
      </w:r>
      <w:r>
        <w:rPr/>
        <w:t>by</w:t>
      </w:r>
      <w:r>
        <w:rPr>
          <w:spacing w:val="-15"/>
        </w:rPr>
        <w:t> </w:t>
      </w:r>
      <w:r>
        <w:rPr/>
        <w:t>the</w:t>
      </w:r>
      <w:r>
        <w:rPr>
          <w:spacing w:val="-15"/>
        </w:rPr>
        <w:t> </w:t>
      </w:r>
      <w:r>
        <w:rPr/>
        <w:t>requirement to</w:t>
      </w:r>
      <w:r>
        <w:rPr>
          <w:spacing w:val="3"/>
        </w:rPr>
        <w:t> </w:t>
      </w:r>
      <w:r>
        <w:rPr/>
        <w:t>identify</w:t>
      </w:r>
      <w:r>
        <w:rPr>
          <w:spacing w:val="3"/>
        </w:rPr>
        <w:t> </w:t>
      </w:r>
      <w:r>
        <w:rPr/>
        <w:t>areas</w:t>
      </w:r>
      <w:r>
        <w:rPr>
          <w:spacing w:val="3"/>
        </w:rPr>
        <w:t> </w:t>
      </w:r>
      <w:r>
        <w:rPr/>
        <w:t>on</w:t>
      </w:r>
      <w:r>
        <w:rPr>
          <w:spacing w:val="3"/>
        </w:rPr>
        <w:t> </w:t>
      </w:r>
      <w:r>
        <w:rPr/>
        <w:t>the</w:t>
      </w:r>
      <w:r>
        <w:rPr>
          <w:spacing w:val="3"/>
        </w:rPr>
        <w:t> </w:t>
      </w:r>
      <w:r>
        <w:rPr/>
        <w:t>pitch</w:t>
      </w:r>
      <w:r>
        <w:rPr>
          <w:spacing w:val="3"/>
        </w:rPr>
        <w:t> </w:t>
      </w:r>
      <w:r>
        <w:rPr/>
        <w:t>through</w:t>
      </w:r>
      <w:r>
        <w:rPr>
          <w:spacing w:val="3"/>
        </w:rPr>
        <w:t> </w:t>
      </w:r>
      <w:r>
        <w:rPr/>
        <w:t>which</w:t>
      </w:r>
      <w:r>
        <w:rPr>
          <w:spacing w:val="3"/>
        </w:rPr>
        <w:t> </w:t>
      </w:r>
      <w:r>
        <w:rPr/>
        <w:t>data</w:t>
      </w:r>
      <w:r>
        <w:rPr>
          <w:spacing w:val="3"/>
        </w:rPr>
        <w:t> </w:t>
      </w:r>
      <w:r>
        <w:rPr/>
        <w:t>is</w:t>
      </w:r>
      <w:r>
        <w:rPr>
          <w:spacing w:val="3"/>
        </w:rPr>
        <w:t> </w:t>
      </w:r>
      <w:r>
        <w:rPr/>
        <w:t>aggregated.</w:t>
      </w:r>
      <w:r>
        <w:rPr>
          <w:spacing w:val="32"/>
        </w:rPr>
        <w:t> </w:t>
      </w:r>
      <w:r>
        <w:rPr/>
        <w:t>In</w:t>
      </w:r>
      <w:r>
        <w:rPr>
          <w:spacing w:val="3"/>
        </w:rPr>
        <w:t> </w:t>
      </w:r>
      <w:r>
        <w:rPr/>
        <w:t>rugby</w:t>
      </w:r>
      <w:r>
        <w:rPr>
          <w:spacing w:val="3"/>
        </w:rPr>
        <w:t> </w:t>
      </w:r>
      <w:r>
        <w:rPr/>
        <w:t>league,</w:t>
      </w:r>
      <w:r>
        <w:rPr>
          <w:spacing w:val="5"/>
        </w:rPr>
        <w:t> </w:t>
      </w:r>
      <w:r>
        <w:rPr/>
        <w:t>a</w:t>
      </w:r>
      <w:r>
        <w:rPr>
          <w:spacing w:val="4"/>
        </w:rPr>
        <w:t> </w:t>
      </w:r>
      <w:r>
        <w:rPr>
          <w:spacing w:val="-2"/>
        </w:rPr>
        <w:t>sport</w:t>
      </w:r>
    </w:p>
    <w:p>
      <w:pPr>
        <w:spacing w:after="0" w:line="312" w:lineRule="auto"/>
        <w:sectPr>
          <w:headerReference w:type="default" r:id="rId20"/>
          <w:footerReference w:type="default" r:id="rId21"/>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with a standard 100m x 70m pitch, where points can be scored across the pitch width, </w:t>
      </w:r>
      <w:r>
        <w:rPr/>
        <w:t>it is</w:t>
      </w:r>
      <w:r>
        <w:rPr>
          <w:spacing w:val="-11"/>
        </w:rPr>
        <w:t> </w:t>
      </w:r>
      <w:r>
        <w:rPr/>
        <w:t>extremely</w:t>
      </w:r>
      <w:r>
        <w:rPr>
          <w:spacing w:val="-11"/>
        </w:rPr>
        <w:t> </w:t>
      </w:r>
      <w:r>
        <w:rPr/>
        <w:t>difficult</w:t>
      </w:r>
      <w:r>
        <w:rPr>
          <w:spacing w:val="-11"/>
        </w:rPr>
        <w:t> </w:t>
      </w:r>
      <w:r>
        <w:rPr/>
        <w:t>to</w:t>
      </w:r>
      <w:r>
        <w:rPr>
          <w:spacing w:val="-11"/>
        </w:rPr>
        <w:t> </w:t>
      </w:r>
      <w:r>
        <w:rPr/>
        <w:t>accurately</w:t>
      </w:r>
      <w:r>
        <w:rPr>
          <w:spacing w:val="-11"/>
        </w:rPr>
        <w:t> </w:t>
      </w:r>
      <w:r>
        <w:rPr/>
        <w:t>identify</w:t>
      </w:r>
      <w:r>
        <w:rPr>
          <w:spacing w:val="-11"/>
        </w:rPr>
        <w:t> </w:t>
      </w:r>
      <w:r>
        <w:rPr/>
        <w:t>these</w:t>
      </w:r>
      <w:r>
        <w:rPr>
          <w:spacing w:val="-11"/>
        </w:rPr>
        <w:t> </w:t>
      </w:r>
      <w:r>
        <w:rPr/>
        <w:t>areas. This</w:t>
      </w:r>
      <w:r>
        <w:rPr>
          <w:spacing w:val="-11"/>
        </w:rPr>
        <w:t> </w:t>
      </w:r>
      <w:r>
        <w:rPr/>
        <w:t>requirement</w:t>
      </w:r>
      <w:r>
        <w:rPr>
          <w:spacing w:val="-11"/>
        </w:rPr>
        <w:t> </w:t>
      </w:r>
      <w:r>
        <w:rPr/>
        <w:t>is</w:t>
      </w:r>
      <w:r>
        <w:rPr>
          <w:spacing w:val="-11"/>
        </w:rPr>
        <w:t> </w:t>
      </w:r>
      <w:r>
        <w:rPr/>
        <w:t>much</w:t>
      </w:r>
      <w:r>
        <w:rPr>
          <w:spacing w:val="-11"/>
        </w:rPr>
        <w:t> </w:t>
      </w:r>
      <w:r>
        <w:rPr/>
        <w:t>simpler in</w:t>
      </w:r>
      <w:r>
        <w:rPr>
          <w:spacing w:val="-13"/>
        </w:rPr>
        <w:t> </w:t>
      </w:r>
      <w:r>
        <w:rPr/>
        <w:t>basketball,</w:t>
      </w:r>
      <w:r>
        <w:rPr>
          <w:spacing w:val="-12"/>
        </w:rPr>
        <w:t> </w:t>
      </w:r>
      <w:r>
        <w:rPr/>
        <w:t>where</w:t>
      </w:r>
      <w:r>
        <w:rPr>
          <w:spacing w:val="-13"/>
        </w:rPr>
        <w:t> </w:t>
      </w:r>
      <w:r>
        <w:rPr/>
        <w:t>it</w:t>
      </w:r>
      <w:r>
        <w:rPr>
          <w:spacing w:val="-13"/>
        </w:rPr>
        <w:t> </w:t>
      </w:r>
      <w:r>
        <w:rPr/>
        <w:t>has</w:t>
      </w:r>
      <w:r>
        <w:rPr>
          <w:spacing w:val="-13"/>
        </w:rPr>
        <w:t> </w:t>
      </w:r>
      <w:r>
        <w:rPr/>
        <w:t>previously</w:t>
      </w:r>
      <w:r>
        <w:rPr>
          <w:spacing w:val="-13"/>
        </w:rPr>
        <w:t> </w:t>
      </w:r>
      <w:r>
        <w:rPr/>
        <w:t>been</w:t>
      </w:r>
      <w:r>
        <w:rPr>
          <w:spacing w:val="-13"/>
        </w:rPr>
        <w:t> </w:t>
      </w:r>
      <w:r>
        <w:rPr/>
        <w:t>employed</w:t>
      </w:r>
      <w:r>
        <w:rPr>
          <w:spacing w:val="-13"/>
        </w:rPr>
        <w:t> </w:t>
      </w:r>
      <w:r>
        <w:rPr/>
        <w:t>and</w:t>
      </w:r>
      <w:r>
        <w:rPr>
          <w:spacing w:val="-13"/>
        </w:rPr>
        <w:t> </w:t>
      </w:r>
      <w:r>
        <w:rPr/>
        <w:t>there</w:t>
      </w:r>
      <w:r>
        <w:rPr>
          <w:spacing w:val="-13"/>
        </w:rPr>
        <w:t> </w:t>
      </w:r>
      <w:r>
        <w:rPr/>
        <w:t>are</w:t>
      </w:r>
      <w:r>
        <w:rPr>
          <w:spacing w:val="-13"/>
        </w:rPr>
        <w:t> </w:t>
      </w:r>
      <w:r>
        <w:rPr/>
        <w:t>specific</w:t>
      </w:r>
      <w:r>
        <w:rPr>
          <w:spacing w:val="-13"/>
        </w:rPr>
        <w:t> </w:t>
      </w:r>
      <w:r>
        <w:rPr/>
        <w:t>shooting</w:t>
      </w:r>
      <w:r>
        <w:rPr>
          <w:spacing w:val="-13"/>
        </w:rPr>
        <w:t> </w:t>
      </w:r>
      <w:r>
        <w:rPr/>
        <w:t>areas which can be used (</w:t>
      </w:r>
      <w:hyperlink w:history="true" w:anchor="_bookmark231">
        <w:r>
          <w:rPr>
            <w:color w:val="FF0000"/>
          </w:rPr>
          <w:t>Cervone et al.</w:t>
        </w:r>
      </w:hyperlink>
      <w:r>
        <w:rPr/>
        <w:t>,</w:t>
      </w:r>
      <w:hyperlink w:history="true" w:anchor="_bookmark231">
        <w:r>
          <w:rPr>
            <w:color w:val="FF0000"/>
          </w:rPr>
          <w:t>2016</w:t>
        </w:r>
      </w:hyperlink>
      <w:r>
        <w:rPr/>
        <w:t>).</w:t>
      </w:r>
      <w:r>
        <w:rPr>
          <w:spacing w:val="40"/>
        </w:rPr>
        <w:t> </w:t>
      </w:r>
      <w:r>
        <w:rPr/>
        <w:t>Regardless of these concerns, a smooth pitch surface would be more desirable than a zone based approach.</w:t>
      </w:r>
      <w:r>
        <w:rPr>
          <w:spacing w:val="27"/>
        </w:rPr>
        <w:t> </w:t>
      </w:r>
      <w:r>
        <w:rPr/>
        <w:t>Unfortunately, the limited data</w:t>
      </w:r>
      <w:r>
        <w:rPr>
          <w:spacing w:val="-11"/>
        </w:rPr>
        <w:t> </w:t>
      </w:r>
      <w:r>
        <w:rPr/>
        <w:t>availability</w:t>
      </w:r>
      <w:r>
        <w:rPr>
          <w:spacing w:val="-11"/>
        </w:rPr>
        <w:t> </w:t>
      </w:r>
      <w:r>
        <w:rPr/>
        <w:t>in</w:t>
      </w:r>
      <w:r>
        <w:rPr>
          <w:spacing w:val="-11"/>
        </w:rPr>
        <w:t> </w:t>
      </w:r>
      <w:r>
        <w:rPr/>
        <w:t>rugby</w:t>
      </w:r>
      <w:r>
        <w:rPr>
          <w:spacing w:val="-11"/>
        </w:rPr>
        <w:t> </w:t>
      </w:r>
      <w:r>
        <w:rPr/>
        <w:t>league</w:t>
      </w:r>
      <w:r>
        <w:rPr>
          <w:spacing w:val="-11"/>
        </w:rPr>
        <w:t> </w:t>
      </w:r>
      <w:r>
        <w:rPr/>
        <w:t>(typically</w:t>
      </w:r>
      <w:r>
        <w:rPr>
          <w:spacing w:val="-11"/>
        </w:rPr>
        <w:t> </w:t>
      </w:r>
      <w:r>
        <w:rPr/>
        <w:t>180</w:t>
      </w:r>
      <w:r>
        <w:rPr>
          <w:spacing w:val="-11"/>
        </w:rPr>
        <w:t> </w:t>
      </w:r>
      <w:r>
        <w:rPr/>
        <w:t>matches</w:t>
      </w:r>
      <w:r>
        <w:rPr>
          <w:spacing w:val="-11"/>
        </w:rPr>
        <w:t> </w:t>
      </w:r>
      <w:r>
        <w:rPr/>
        <w:t>per</w:t>
      </w:r>
      <w:r>
        <w:rPr>
          <w:spacing w:val="-11"/>
        </w:rPr>
        <w:t> </w:t>
      </w:r>
      <w:r>
        <w:rPr/>
        <w:t>season</w:t>
      </w:r>
      <w:r>
        <w:rPr>
          <w:spacing w:val="-11"/>
        </w:rPr>
        <w:t> </w:t>
      </w:r>
      <w:r>
        <w:rPr/>
        <w:t>and</w:t>
      </w:r>
      <w:r>
        <w:rPr>
          <w:spacing w:val="-11"/>
        </w:rPr>
        <w:t> </w:t>
      </w:r>
      <w:r>
        <w:rPr/>
        <w:t>one</w:t>
      </w:r>
      <w:r>
        <w:rPr>
          <w:spacing w:val="-11"/>
        </w:rPr>
        <w:t> </w:t>
      </w:r>
      <w:r>
        <w:rPr/>
        <w:t>league</w:t>
      </w:r>
      <w:r>
        <w:rPr>
          <w:spacing w:val="-11"/>
        </w:rPr>
        <w:t> </w:t>
      </w:r>
      <w:r>
        <w:rPr/>
        <w:t>of</w:t>
      </w:r>
      <w:r>
        <w:rPr>
          <w:spacing w:val="-11"/>
        </w:rPr>
        <w:t> </w:t>
      </w:r>
      <w:r>
        <w:rPr/>
        <w:t>data available vs over 300 matches available per season per league across multiple European Leagues</w:t>
      </w:r>
      <w:r>
        <w:rPr>
          <w:spacing w:val="-12"/>
        </w:rPr>
        <w:t> </w:t>
      </w:r>
      <w:r>
        <w:rPr/>
        <w:t>in</w:t>
      </w:r>
      <w:r>
        <w:rPr>
          <w:spacing w:val="-12"/>
        </w:rPr>
        <w:t> </w:t>
      </w:r>
      <w:r>
        <w:rPr/>
        <w:t>football)</w:t>
      </w:r>
      <w:r>
        <w:rPr>
          <w:spacing w:val="-12"/>
        </w:rPr>
        <w:t> </w:t>
      </w:r>
      <w:r>
        <w:rPr/>
        <w:t>has</w:t>
      </w:r>
      <w:r>
        <w:rPr>
          <w:spacing w:val="-12"/>
        </w:rPr>
        <w:t> </w:t>
      </w:r>
      <w:r>
        <w:rPr/>
        <w:t>ensured</w:t>
      </w:r>
      <w:r>
        <w:rPr>
          <w:spacing w:val="-12"/>
        </w:rPr>
        <w:t> </w:t>
      </w:r>
      <w:r>
        <w:rPr/>
        <w:t>that</w:t>
      </w:r>
      <w:r>
        <w:rPr>
          <w:spacing w:val="-12"/>
        </w:rPr>
        <w:t> </w:t>
      </w:r>
      <w:r>
        <w:rPr/>
        <w:t>the</w:t>
      </w:r>
      <w:r>
        <w:rPr>
          <w:spacing w:val="-12"/>
        </w:rPr>
        <w:t> </w:t>
      </w:r>
      <w:r>
        <w:rPr/>
        <w:t>machine</w:t>
      </w:r>
      <w:r>
        <w:rPr>
          <w:spacing w:val="-12"/>
        </w:rPr>
        <w:t> </w:t>
      </w:r>
      <w:r>
        <w:rPr/>
        <w:t>learning</w:t>
      </w:r>
      <w:r>
        <w:rPr>
          <w:spacing w:val="-12"/>
        </w:rPr>
        <w:t> </w:t>
      </w:r>
      <w:r>
        <w:rPr/>
        <w:t>(</w:t>
      </w:r>
      <w:hyperlink w:history="true" w:anchor="_bookmark239">
        <w:r>
          <w:rPr>
            <w:color w:val="FF0000"/>
          </w:rPr>
          <w:t>Decroos</w:t>
        </w:r>
        <w:r>
          <w:rPr>
            <w:color w:val="FF0000"/>
            <w:spacing w:val="-12"/>
          </w:rPr>
          <w:t> </w:t>
        </w:r>
        <w:r>
          <w:rPr>
            <w:color w:val="FF0000"/>
          </w:rPr>
          <w:t>et</w:t>
        </w:r>
        <w:r>
          <w:rPr>
            <w:color w:val="FF0000"/>
            <w:spacing w:val="-12"/>
          </w:rPr>
          <w:t> </w:t>
        </w:r>
        <w:r>
          <w:rPr>
            <w:color w:val="FF0000"/>
          </w:rPr>
          <w:t>al.</w:t>
        </w:r>
      </w:hyperlink>
      <w:r>
        <w:rPr/>
        <w:t>,</w:t>
      </w:r>
      <w:hyperlink w:history="true" w:anchor="_bookmark239">
        <w:r>
          <w:rPr>
            <w:color w:val="FF0000"/>
          </w:rPr>
          <w:t>2019</w:t>
        </w:r>
        <w:r>
          <w:rPr/>
          <w:t>)</w:t>
        </w:r>
      </w:hyperlink>
      <w:r>
        <w:rPr>
          <w:spacing w:val="-12"/>
        </w:rPr>
        <w:t> </w:t>
      </w:r>
      <w:r>
        <w:rPr/>
        <w:t>and</w:t>
      </w:r>
      <w:r>
        <w:rPr>
          <w:spacing w:val="-12"/>
        </w:rPr>
        <w:t> </w:t>
      </w:r>
      <w:r>
        <w:rPr/>
        <w:t>deep learning </w:t>
      </w:r>
      <w:r>
        <w:rPr>
          <w:spacing w:val="7"/>
        </w:rPr>
        <w:t>(</w:t>
      </w:r>
      <w:hyperlink w:history="true" w:anchor="_bookmark243">
        <w:r>
          <w:rPr>
            <w:color w:val="FF0000"/>
            <w:spacing w:val="7"/>
          </w:rPr>
          <w:t>Fern</w:t>
        </w:r>
        <w:r>
          <w:rPr>
            <w:color w:val="FF0000"/>
            <w:spacing w:val="-86"/>
          </w:rPr>
          <w:t>a</w:t>
        </w:r>
        <w:r>
          <w:rPr>
            <w:color w:val="FF0000"/>
            <w:spacing w:val="20"/>
          </w:rPr>
          <w:t>´</w:t>
        </w:r>
        <w:r>
          <w:rPr>
            <w:color w:val="FF0000"/>
            <w:spacing w:val="7"/>
          </w:rPr>
          <w:t>ndez</w:t>
        </w:r>
        <w:r>
          <w:rPr>
            <w:color w:val="FF0000"/>
            <w:spacing w:val="-1"/>
          </w:rPr>
          <w:t> </w:t>
        </w:r>
        <w:r>
          <w:rPr>
            <w:color w:val="FF0000"/>
          </w:rPr>
          <w:t>et al.</w:t>
        </w:r>
      </w:hyperlink>
      <w:r>
        <w:rPr/>
        <w:t>,</w:t>
      </w:r>
      <w:hyperlink w:history="true" w:anchor="_bookmark243">
        <w:r>
          <w:rPr>
            <w:color w:val="FF0000"/>
          </w:rPr>
          <w:t>2021</w:t>
        </w:r>
        <w:r>
          <w:rPr/>
          <w:t>;</w:t>
        </w:r>
      </w:hyperlink>
      <w:r>
        <w:rPr>
          <w:color w:val="FF0000"/>
        </w:rPr>
        <w:t>Liu </w:t>
      </w:r>
      <w:hyperlink w:history="true" w:anchor="_bookmark269">
        <w:r>
          <w:rPr>
            <w:color w:val="FF0000"/>
          </w:rPr>
          <w:t>et al.</w:t>
        </w:r>
        <w:r>
          <w:rPr/>
          <w:t>,</w:t>
        </w:r>
      </w:hyperlink>
      <w:r>
        <w:rPr>
          <w:color w:val="FF0000"/>
        </w:rPr>
        <w:t>2020</w:t>
      </w:r>
      <w:hyperlink w:history="true" w:anchor="_bookmark269">
        <w:r>
          <w:rPr/>
          <w:t>)</w:t>
        </w:r>
      </w:hyperlink>
      <w:r>
        <w:rPr/>
        <w:t> methodologies currently used to obtain smooth</w:t>
      </w:r>
      <w:r>
        <w:rPr>
          <w:spacing w:val="-12"/>
        </w:rPr>
        <w:t> </w:t>
      </w:r>
      <w:r>
        <w:rPr/>
        <w:t>pitch</w:t>
      </w:r>
      <w:r>
        <w:rPr>
          <w:spacing w:val="-12"/>
        </w:rPr>
        <w:t> </w:t>
      </w:r>
      <w:r>
        <w:rPr/>
        <w:t>surfaces</w:t>
      </w:r>
      <w:r>
        <w:rPr>
          <w:spacing w:val="-12"/>
        </w:rPr>
        <w:t> </w:t>
      </w:r>
      <w:r>
        <w:rPr/>
        <w:t>in</w:t>
      </w:r>
      <w:r>
        <w:rPr>
          <w:spacing w:val="-12"/>
        </w:rPr>
        <w:t> </w:t>
      </w:r>
      <w:r>
        <w:rPr/>
        <w:t>other</w:t>
      </w:r>
      <w:r>
        <w:rPr>
          <w:spacing w:val="-12"/>
        </w:rPr>
        <w:t> </w:t>
      </w:r>
      <w:r>
        <w:rPr/>
        <w:t>sports</w:t>
      </w:r>
      <w:r>
        <w:rPr>
          <w:spacing w:val="-12"/>
        </w:rPr>
        <w:t> </w:t>
      </w:r>
      <w:r>
        <w:rPr/>
        <w:t>cannot</w:t>
      </w:r>
      <w:r>
        <w:rPr>
          <w:spacing w:val="-12"/>
        </w:rPr>
        <w:t> </w:t>
      </w:r>
      <w:r>
        <w:rPr/>
        <w:t>yet</w:t>
      </w:r>
      <w:r>
        <w:rPr>
          <w:spacing w:val="-12"/>
        </w:rPr>
        <w:t> </w:t>
      </w:r>
      <w:r>
        <w:rPr/>
        <w:t>be</w:t>
      </w:r>
      <w:r>
        <w:rPr>
          <w:spacing w:val="-12"/>
        </w:rPr>
        <w:t> </w:t>
      </w:r>
      <w:r>
        <w:rPr/>
        <w:t>adapted</w:t>
      </w:r>
      <w:r>
        <w:rPr>
          <w:spacing w:val="-12"/>
        </w:rPr>
        <w:t> </w:t>
      </w:r>
      <w:r>
        <w:rPr/>
        <w:t>to</w:t>
      </w:r>
      <w:r>
        <w:rPr>
          <w:spacing w:val="-12"/>
        </w:rPr>
        <w:t> </w:t>
      </w:r>
      <w:r>
        <w:rPr/>
        <w:t>rugby</w:t>
      </w:r>
      <w:r>
        <w:rPr>
          <w:spacing w:val="-12"/>
        </w:rPr>
        <w:t> </w:t>
      </w:r>
      <w:r>
        <w:rPr/>
        <w:t>league.</w:t>
      </w:r>
      <w:r>
        <w:rPr>
          <w:spacing w:val="6"/>
        </w:rPr>
        <w:t> </w:t>
      </w:r>
      <w:r>
        <w:rPr/>
        <w:t>As</w:t>
      </w:r>
      <w:r>
        <w:rPr>
          <w:spacing w:val="-12"/>
        </w:rPr>
        <w:t> </w:t>
      </w:r>
      <w:r>
        <w:rPr/>
        <w:t>a</w:t>
      </w:r>
      <w:r>
        <w:rPr>
          <w:spacing w:val="-12"/>
        </w:rPr>
        <w:t> </w:t>
      </w:r>
      <w:r>
        <w:rPr/>
        <w:t>result</w:t>
      </w:r>
      <w:r>
        <w:rPr>
          <w:spacing w:val="-12"/>
        </w:rPr>
        <w:t> </w:t>
      </w:r>
      <w:r>
        <w:rPr/>
        <w:t>of these differences, there is a need to develop a framework through which the tactical ele- ments</w:t>
      </w:r>
      <w:r>
        <w:rPr>
          <w:spacing w:val="-7"/>
        </w:rPr>
        <w:t> </w:t>
      </w:r>
      <w:r>
        <w:rPr/>
        <w:t>of</w:t>
      </w:r>
      <w:r>
        <w:rPr>
          <w:spacing w:val="-7"/>
        </w:rPr>
        <w:t> </w:t>
      </w:r>
      <w:r>
        <w:rPr/>
        <w:t>rugby</w:t>
      </w:r>
      <w:r>
        <w:rPr>
          <w:spacing w:val="-7"/>
        </w:rPr>
        <w:t> </w:t>
      </w:r>
      <w:r>
        <w:rPr/>
        <w:t>league</w:t>
      </w:r>
      <w:r>
        <w:rPr>
          <w:spacing w:val="-7"/>
        </w:rPr>
        <w:t> </w:t>
      </w:r>
      <w:r>
        <w:rPr/>
        <w:t>can</w:t>
      </w:r>
      <w:r>
        <w:rPr>
          <w:spacing w:val="-7"/>
        </w:rPr>
        <w:t> </w:t>
      </w:r>
      <w:r>
        <w:rPr/>
        <w:t>be</w:t>
      </w:r>
      <w:r>
        <w:rPr>
          <w:spacing w:val="-7"/>
        </w:rPr>
        <w:t> </w:t>
      </w:r>
      <w:r>
        <w:rPr/>
        <w:t>analysed</w:t>
      </w:r>
      <w:r>
        <w:rPr>
          <w:spacing w:val="-7"/>
        </w:rPr>
        <w:t> </w:t>
      </w:r>
      <w:r>
        <w:rPr/>
        <w:t>within</w:t>
      </w:r>
      <w:r>
        <w:rPr>
          <w:spacing w:val="-7"/>
        </w:rPr>
        <w:t> </w:t>
      </w:r>
      <w:r>
        <w:rPr/>
        <w:t>the</w:t>
      </w:r>
      <w:r>
        <w:rPr>
          <w:spacing w:val="-7"/>
        </w:rPr>
        <w:t> </w:t>
      </w:r>
      <w:r>
        <w:rPr/>
        <w:t>constraints</w:t>
      </w:r>
      <w:r>
        <w:rPr>
          <w:spacing w:val="-7"/>
        </w:rPr>
        <w:t> </w:t>
      </w:r>
      <w:r>
        <w:rPr/>
        <w:t>of</w:t>
      </w:r>
      <w:r>
        <w:rPr>
          <w:spacing w:val="-7"/>
        </w:rPr>
        <w:t> </w:t>
      </w:r>
      <w:r>
        <w:rPr/>
        <w:t>low</w:t>
      </w:r>
      <w:r>
        <w:rPr>
          <w:spacing w:val="-7"/>
        </w:rPr>
        <w:t> </w:t>
      </w:r>
      <w:r>
        <w:rPr/>
        <w:t>data</w:t>
      </w:r>
      <w:r>
        <w:rPr>
          <w:spacing w:val="-7"/>
        </w:rPr>
        <w:t> </w:t>
      </w:r>
      <w:r>
        <w:rPr/>
        <w:t>availability</w:t>
      </w:r>
      <w:r>
        <w:rPr>
          <w:spacing w:val="-7"/>
        </w:rPr>
        <w:t> </w:t>
      </w:r>
      <w:r>
        <w:rPr/>
        <w:t>(i.e. using only the event level data available) and accounting for the multiple point scoring possession outcomes present within the sport.</w:t>
      </w:r>
    </w:p>
    <w:p>
      <w:pPr>
        <w:pStyle w:val="BodyText"/>
        <w:spacing w:line="312" w:lineRule="auto"/>
        <w:ind w:left="610" w:right="389" w:firstLine="351"/>
        <w:jc w:val="both"/>
      </w:pPr>
      <w:r>
        <w:rPr>
          <w:spacing w:val="-2"/>
        </w:rPr>
        <w:t>Across</w:t>
      </w:r>
      <w:r>
        <w:rPr>
          <w:spacing w:val="-7"/>
        </w:rPr>
        <w:t> </w:t>
      </w:r>
      <w:r>
        <w:rPr>
          <w:spacing w:val="-2"/>
        </w:rPr>
        <w:t>all</w:t>
      </w:r>
      <w:r>
        <w:rPr>
          <w:spacing w:val="-8"/>
        </w:rPr>
        <w:t> </w:t>
      </w:r>
      <w:r>
        <w:rPr>
          <w:spacing w:val="-2"/>
        </w:rPr>
        <w:t>sports,</w:t>
      </w:r>
      <w:r>
        <w:rPr>
          <w:spacing w:val="-5"/>
        </w:rPr>
        <w:t> </w:t>
      </w:r>
      <w:r>
        <w:rPr>
          <w:spacing w:val="-2"/>
        </w:rPr>
        <w:t>the</w:t>
      </w:r>
      <w:r>
        <w:rPr>
          <w:spacing w:val="-7"/>
        </w:rPr>
        <w:t> </w:t>
      </w:r>
      <w:r>
        <w:rPr>
          <w:spacing w:val="-2"/>
        </w:rPr>
        <w:t>two</w:t>
      </w:r>
      <w:r>
        <w:rPr>
          <w:spacing w:val="-8"/>
        </w:rPr>
        <w:t> </w:t>
      </w:r>
      <w:r>
        <w:rPr>
          <w:spacing w:val="-2"/>
        </w:rPr>
        <w:t>key</w:t>
      </w:r>
      <w:r>
        <w:rPr>
          <w:spacing w:val="-7"/>
        </w:rPr>
        <w:t> </w:t>
      </w:r>
      <w:r>
        <w:rPr>
          <w:spacing w:val="-2"/>
        </w:rPr>
        <w:t>tactical</w:t>
      </w:r>
      <w:r>
        <w:rPr>
          <w:spacing w:val="-7"/>
        </w:rPr>
        <w:t> </w:t>
      </w:r>
      <w:r>
        <w:rPr>
          <w:spacing w:val="-2"/>
        </w:rPr>
        <w:t>elements</w:t>
      </w:r>
      <w:r>
        <w:rPr>
          <w:spacing w:val="-8"/>
        </w:rPr>
        <w:t> </w:t>
      </w:r>
      <w:r>
        <w:rPr>
          <w:spacing w:val="-2"/>
        </w:rPr>
        <w:t>through</w:t>
      </w:r>
      <w:r>
        <w:rPr>
          <w:spacing w:val="-7"/>
        </w:rPr>
        <w:t> </w:t>
      </w:r>
      <w:r>
        <w:rPr>
          <w:spacing w:val="-2"/>
        </w:rPr>
        <w:t>which</w:t>
      </w:r>
      <w:r>
        <w:rPr>
          <w:spacing w:val="-7"/>
        </w:rPr>
        <w:t> </w:t>
      </w:r>
      <w:r>
        <w:rPr>
          <w:spacing w:val="-2"/>
        </w:rPr>
        <w:t>insights</w:t>
      </w:r>
      <w:r>
        <w:rPr>
          <w:spacing w:val="-7"/>
        </w:rPr>
        <w:t> </w:t>
      </w:r>
      <w:r>
        <w:rPr>
          <w:spacing w:val="-2"/>
        </w:rPr>
        <w:t>can</w:t>
      </w:r>
      <w:r>
        <w:rPr>
          <w:spacing w:val="-8"/>
        </w:rPr>
        <w:t> </w:t>
      </w:r>
      <w:r>
        <w:rPr>
          <w:spacing w:val="-2"/>
        </w:rPr>
        <w:t>be</w:t>
      </w:r>
      <w:r>
        <w:rPr>
          <w:spacing w:val="-7"/>
        </w:rPr>
        <w:t> </w:t>
      </w:r>
      <w:r>
        <w:rPr>
          <w:spacing w:val="-2"/>
        </w:rPr>
        <w:t>provided </w:t>
      </w:r>
      <w:r>
        <w:rPr/>
        <w:t>are </w:t>
      </w:r>
      <w:r>
        <w:rPr>
          <w:i/>
        </w:rPr>
        <w:t>team performances </w:t>
      </w:r>
      <w:r>
        <w:rPr/>
        <w:t>and </w:t>
      </w:r>
      <w:r>
        <w:rPr>
          <w:i/>
        </w:rPr>
        <w:t>player performances</w:t>
      </w:r>
      <w:r>
        <w:rPr/>
        <w:t>.</w:t>
      </w:r>
      <w:r>
        <w:rPr>
          <w:spacing w:val="40"/>
        </w:rPr>
        <w:t> </w:t>
      </w:r>
      <w:r>
        <w:rPr/>
        <w:t>Evaluating opposition team perfor- mances can allow strategies for future matches to be produced, maximising the chances of beating the opposition.</w:t>
      </w:r>
      <w:r>
        <w:rPr>
          <w:spacing w:val="40"/>
        </w:rPr>
        <w:t> </w:t>
      </w:r>
      <w:r>
        <w:rPr/>
        <w:t>Understanding player performances objectively can help to identify</w:t>
      </w:r>
      <w:r>
        <w:rPr>
          <w:spacing w:val="-2"/>
        </w:rPr>
        <w:t> </w:t>
      </w:r>
      <w:r>
        <w:rPr/>
        <w:t>players</w:t>
      </w:r>
      <w:r>
        <w:rPr>
          <w:spacing w:val="-2"/>
        </w:rPr>
        <w:t> </w:t>
      </w:r>
      <w:r>
        <w:rPr/>
        <w:t>who</w:t>
      </w:r>
      <w:r>
        <w:rPr>
          <w:spacing w:val="-2"/>
        </w:rPr>
        <w:t> </w:t>
      </w:r>
      <w:r>
        <w:rPr/>
        <w:t>provide</w:t>
      </w:r>
      <w:r>
        <w:rPr>
          <w:spacing w:val="-2"/>
        </w:rPr>
        <w:t> </w:t>
      </w:r>
      <w:r>
        <w:rPr/>
        <w:t>better</w:t>
      </w:r>
      <w:r>
        <w:rPr>
          <w:spacing w:val="-2"/>
        </w:rPr>
        <w:t> </w:t>
      </w:r>
      <w:r>
        <w:rPr/>
        <w:t>or</w:t>
      </w:r>
      <w:r>
        <w:rPr>
          <w:spacing w:val="-2"/>
        </w:rPr>
        <w:t> </w:t>
      </w:r>
      <w:r>
        <w:rPr/>
        <w:t>worse</w:t>
      </w:r>
      <w:r>
        <w:rPr>
          <w:spacing w:val="-2"/>
        </w:rPr>
        <w:t> </w:t>
      </w:r>
      <w:r>
        <w:rPr/>
        <w:t>value</w:t>
      </w:r>
      <w:r>
        <w:rPr>
          <w:spacing w:val="-2"/>
        </w:rPr>
        <w:t> </w:t>
      </w:r>
      <w:r>
        <w:rPr/>
        <w:t>for</w:t>
      </w:r>
      <w:r>
        <w:rPr>
          <w:spacing w:val="-2"/>
        </w:rPr>
        <w:t> </w:t>
      </w:r>
      <w:r>
        <w:rPr/>
        <w:t>the</w:t>
      </w:r>
      <w:r>
        <w:rPr>
          <w:spacing w:val="-2"/>
        </w:rPr>
        <w:t> </w:t>
      </w:r>
      <w:r>
        <w:rPr/>
        <w:t>salary</w:t>
      </w:r>
      <w:r>
        <w:rPr>
          <w:spacing w:val="-2"/>
        </w:rPr>
        <w:t> </w:t>
      </w:r>
      <w:r>
        <w:rPr/>
        <w:t>they</w:t>
      </w:r>
      <w:r>
        <w:rPr>
          <w:spacing w:val="-2"/>
        </w:rPr>
        <w:t> </w:t>
      </w:r>
      <w:r>
        <w:rPr/>
        <w:t>are</w:t>
      </w:r>
      <w:r>
        <w:rPr>
          <w:spacing w:val="-2"/>
        </w:rPr>
        <w:t> </w:t>
      </w:r>
      <w:r>
        <w:rPr/>
        <w:t>paid. Both</w:t>
      </w:r>
      <w:r>
        <w:rPr>
          <w:spacing w:val="-2"/>
        </w:rPr>
        <w:t> </w:t>
      </w:r>
      <w:r>
        <w:rPr/>
        <w:t>ele- ments</w:t>
      </w:r>
      <w:r>
        <w:rPr>
          <w:spacing w:val="-14"/>
        </w:rPr>
        <w:t> </w:t>
      </w:r>
      <w:r>
        <w:rPr/>
        <w:t>are</w:t>
      </w:r>
      <w:r>
        <w:rPr>
          <w:spacing w:val="-14"/>
        </w:rPr>
        <w:t> </w:t>
      </w:r>
      <w:r>
        <w:rPr/>
        <w:t>important</w:t>
      </w:r>
      <w:r>
        <w:rPr>
          <w:spacing w:val="-14"/>
        </w:rPr>
        <w:t> </w:t>
      </w:r>
      <w:r>
        <w:rPr/>
        <w:t>in</w:t>
      </w:r>
      <w:r>
        <w:rPr>
          <w:spacing w:val="-14"/>
        </w:rPr>
        <w:t> </w:t>
      </w:r>
      <w:r>
        <w:rPr/>
        <w:t>all</w:t>
      </w:r>
      <w:r>
        <w:rPr>
          <w:spacing w:val="-14"/>
        </w:rPr>
        <w:t> </w:t>
      </w:r>
      <w:r>
        <w:rPr/>
        <w:t>sports,</w:t>
      </w:r>
      <w:r>
        <w:rPr>
          <w:spacing w:val="-12"/>
        </w:rPr>
        <w:t> </w:t>
      </w:r>
      <w:r>
        <w:rPr/>
        <w:t>but</w:t>
      </w:r>
      <w:r>
        <w:rPr>
          <w:spacing w:val="-14"/>
        </w:rPr>
        <w:t> </w:t>
      </w:r>
      <w:r>
        <w:rPr/>
        <w:t>in</w:t>
      </w:r>
      <w:r>
        <w:rPr>
          <w:spacing w:val="-14"/>
        </w:rPr>
        <w:t> </w:t>
      </w:r>
      <w:r>
        <w:rPr/>
        <w:t>rugby</w:t>
      </w:r>
      <w:r>
        <w:rPr>
          <w:spacing w:val="-14"/>
        </w:rPr>
        <w:t> </w:t>
      </w:r>
      <w:r>
        <w:rPr/>
        <w:t>league</w:t>
      </w:r>
      <w:r>
        <w:rPr>
          <w:spacing w:val="-14"/>
        </w:rPr>
        <w:t> </w:t>
      </w:r>
      <w:r>
        <w:rPr/>
        <w:t>they</w:t>
      </w:r>
      <w:r>
        <w:rPr>
          <w:spacing w:val="-14"/>
        </w:rPr>
        <w:t> </w:t>
      </w:r>
      <w:r>
        <w:rPr/>
        <w:t>are</w:t>
      </w:r>
      <w:r>
        <w:rPr>
          <w:spacing w:val="-14"/>
        </w:rPr>
        <w:t> </w:t>
      </w:r>
      <w:r>
        <w:rPr/>
        <w:t>perhaps</w:t>
      </w:r>
      <w:r>
        <w:rPr>
          <w:spacing w:val="-14"/>
        </w:rPr>
        <w:t> </w:t>
      </w:r>
      <w:r>
        <w:rPr/>
        <w:t>more</w:t>
      </w:r>
      <w:r>
        <w:rPr>
          <w:spacing w:val="-14"/>
        </w:rPr>
        <w:t> </w:t>
      </w:r>
      <w:r>
        <w:rPr/>
        <w:t>important</w:t>
      </w:r>
      <w:r>
        <w:rPr>
          <w:spacing w:val="-14"/>
        </w:rPr>
        <w:t> </w:t>
      </w:r>
      <w:r>
        <w:rPr/>
        <w:t>due to</w:t>
      </w:r>
      <w:r>
        <w:rPr>
          <w:spacing w:val="-7"/>
        </w:rPr>
        <w:t> </w:t>
      </w:r>
      <w:r>
        <w:rPr/>
        <w:t>the</w:t>
      </w:r>
      <w:r>
        <w:rPr>
          <w:spacing w:val="-7"/>
        </w:rPr>
        <w:t> </w:t>
      </w:r>
      <w:r>
        <w:rPr/>
        <w:t>salary</w:t>
      </w:r>
      <w:r>
        <w:rPr>
          <w:spacing w:val="-6"/>
        </w:rPr>
        <w:t> </w:t>
      </w:r>
      <w:r>
        <w:rPr/>
        <w:t>cap</w:t>
      </w:r>
      <w:r>
        <w:rPr>
          <w:spacing w:val="-7"/>
        </w:rPr>
        <w:t> </w:t>
      </w:r>
      <w:r>
        <w:rPr/>
        <w:t>employed</w:t>
      </w:r>
      <w:r>
        <w:rPr>
          <w:spacing w:val="-7"/>
        </w:rPr>
        <w:t> </w:t>
      </w:r>
      <w:r>
        <w:rPr/>
        <w:t>which</w:t>
      </w:r>
      <w:r>
        <w:rPr>
          <w:spacing w:val="-7"/>
        </w:rPr>
        <w:t> </w:t>
      </w:r>
      <w:r>
        <w:rPr/>
        <w:t>means</w:t>
      </w:r>
      <w:r>
        <w:rPr>
          <w:spacing w:val="-7"/>
        </w:rPr>
        <w:t> </w:t>
      </w:r>
      <w:r>
        <w:rPr/>
        <w:t>that</w:t>
      </w:r>
      <w:r>
        <w:rPr>
          <w:spacing w:val="-6"/>
        </w:rPr>
        <w:t> </w:t>
      </w:r>
      <w:r>
        <w:rPr/>
        <w:t>teams</w:t>
      </w:r>
      <w:r>
        <w:rPr>
          <w:spacing w:val="-6"/>
        </w:rPr>
        <w:t> </w:t>
      </w:r>
      <w:r>
        <w:rPr/>
        <w:t>can</w:t>
      </w:r>
      <w:r>
        <w:rPr>
          <w:spacing w:val="-7"/>
        </w:rPr>
        <w:t> </w:t>
      </w:r>
      <w:r>
        <w:rPr/>
        <w:t>only</w:t>
      </w:r>
      <w:r>
        <w:rPr>
          <w:spacing w:val="-7"/>
        </w:rPr>
        <w:t> </w:t>
      </w:r>
      <w:r>
        <w:rPr/>
        <w:t>spend</w:t>
      </w:r>
      <w:r>
        <w:rPr>
          <w:spacing w:val="-7"/>
        </w:rPr>
        <w:t> </w:t>
      </w:r>
      <w:r>
        <w:rPr/>
        <w:t>a</w:t>
      </w:r>
      <w:r>
        <w:rPr>
          <w:spacing w:val="-6"/>
        </w:rPr>
        <w:t> </w:t>
      </w:r>
      <w:r>
        <w:rPr/>
        <w:t>specified</w:t>
      </w:r>
      <w:r>
        <w:rPr>
          <w:spacing w:val="-6"/>
        </w:rPr>
        <w:t> </w:t>
      </w:r>
      <w:r>
        <w:rPr/>
        <w:t>amount</w:t>
      </w:r>
      <w:r>
        <w:rPr>
          <w:spacing w:val="-7"/>
        </w:rPr>
        <w:t> </w:t>
      </w:r>
      <w:r>
        <w:rPr/>
        <w:t>of money on all players within their squad.</w:t>
      </w:r>
      <w:r>
        <w:rPr>
          <w:spacing w:val="40"/>
        </w:rPr>
        <w:t> </w:t>
      </w:r>
      <w:r>
        <w:rPr/>
        <w:t>This salary cap has the dual effect of reducing the differences in player quality between teams compared to other sports (e.g.</w:t>
      </w:r>
      <w:r>
        <w:rPr>
          <w:spacing w:val="40"/>
        </w:rPr>
        <w:t> </w:t>
      </w:r>
      <w:r>
        <w:rPr/>
        <w:t>football, where the richer clubs can offer better players significantly higher salaries) and increas- ing the importance of tactical strategies with regard to the match outcome as two evenly matched teams are more likely to be separated by their ability to work as a unit than by individual moments of brilliance.</w:t>
      </w:r>
    </w:p>
    <w:p>
      <w:pPr>
        <w:pStyle w:val="BodyText"/>
        <w:spacing w:line="273" w:lineRule="exact"/>
        <w:ind w:left="961"/>
        <w:jc w:val="both"/>
      </w:pPr>
      <w:r>
        <w:rPr/>
        <w:t>With</w:t>
      </w:r>
      <w:r>
        <w:rPr>
          <w:spacing w:val="-11"/>
        </w:rPr>
        <w:t> </w:t>
      </w:r>
      <w:r>
        <w:rPr/>
        <w:t>high</w:t>
      </w:r>
      <w:r>
        <w:rPr>
          <w:spacing w:val="-11"/>
        </w:rPr>
        <w:t> </w:t>
      </w:r>
      <w:r>
        <w:rPr/>
        <w:t>quality</w:t>
      </w:r>
      <w:r>
        <w:rPr>
          <w:spacing w:val="-11"/>
        </w:rPr>
        <w:t> </w:t>
      </w:r>
      <w:r>
        <w:rPr/>
        <w:t>player</w:t>
      </w:r>
      <w:r>
        <w:rPr>
          <w:spacing w:val="-11"/>
        </w:rPr>
        <w:t> </w:t>
      </w:r>
      <w:r>
        <w:rPr/>
        <w:t>tracking</w:t>
      </w:r>
      <w:r>
        <w:rPr>
          <w:spacing w:val="-12"/>
        </w:rPr>
        <w:t> </w:t>
      </w:r>
      <w:r>
        <w:rPr/>
        <w:t>and</w:t>
      </w:r>
      <w:r>
        <w:rPr>
          <w:spacing w:val="-11"/>
        </w:rPr>
        <w:t> </w:t>
      </w:r>
      <w:r>
        <w:rPr/>
        <w:t>event</w:t>
      </w:r>
      <w:r>
        <w:rPr>
          <w:spacing w:val="-11"/>
        </w:rPr>
        <w:t> </w:t>
      </w:r>
      <w:r>
        <w:rPr/>
        <w:t>level</w:t>
      </w:r>
      <w:r>
        <w:rPr>
          <w:spacing w:val="-10"/>
        </w:rPr>
        <w:t> </w:t>
      </w:r>
      <w:r>
        <w:rPr/>
        <w:t>data</w:t>
      </w:r>
      <w:r>
        <w:rPr>
          <w:spacing w:val="-11"/>
        </w:rPr>
        <w:t> </w:t>
      </w:r>
      <w:r>
        <w:rPr/>
        <w:t>available</w:t>
      </w:r>
      <w:r>
        <w:rPr>
          <w:spacing w:val="-11"/>
        </w:rPr>
        <w:t> </w:t>
      </w:r>
      <w:r>
        <w:rPr/>
        <w:t>in</w:t>
      </w:r>
      <w:r>
        <w:rPr>
          <w:spacing w:val="-11"/>
        </w:rPr>
        <w:t> </w:t>
      </w:r>
      <w:r>
        <w:rPr/>
        <w:t>football,</w:t>
      </w:r>
      <w:r>
        <w:rPr>
          <w:spacing w:val="-11"/>
        </w:rPr>
        <w:t> </w:t>
      </w:r>
      <w:r>
        <w:rPr>
          <w:spacing w:val="-2"/>
        </w:rPr>
        <w:t>basketball</w:t>
      </w:r>
    </w:p>
    <w:p>
      <w:pPr>
        <w:pStyle w:val="BodyText"/>
        <w:spacing w:before="80"/>
        <w:ind w:left="610"/>
      </w:pPr>
      <w:r>
        <w:rPr/>
        <w:t>and</w:t>
      </w:r>
      <w:r>
        <w:rPr>
          <w:spacing w:val="-4"/>
        </w:rPr>
        <w:t> </w:t>
      </w:r>
      <w:r>
        <w:rPr/>
        <w:t>ice</w:t>
      </w:r>
      <w:r>
        <w:rPr>
          <w:spacing w:val="-4"/>
        </w:rPr>
        <w:t> </w:t>
      </w:r>
      <w:r>
        <w:rPr/>
        <w:t>hockey,</w:t>
      </w:r>
      <w:r>
        <w:rPr>
          <w:spacing w:val="-2"/>
        </w:rPr>
        <w:t> </w:t>
      </w:r>
      <w:r>
        <w:rPr/>
        <w:t>the</w:t>
      </w:r>
      <w:r>
        <w:rPr>
          <w:spacing w:val="-3"/>
        </w:rPr>
        <w:t> </w:t>
      </w:r>
      <w:r>
        <w:rPr/>
        <w:t>use</w:t>
      </w:r>
      <w:r>
        <w:rPr>
          <w:spacing w:val="-4"/>
        </w:rPr>
        <w:t> </w:t>
      </w:r>
      <w:r>
        <w:rPr/>
        <w:t>of</w:t>
      </w:r>
      <w:r>
        <w:rPr>
          <w:spacing w:val="-3"/>
        </w:rPr>
        <w:t> </w:t>
      </w:r>
      <w:r>
        <w:rPr/>
        <w:t>modern</w:t>
      </w:r>
      <w:r>
        <w:rPr>
          <w:spacing w:val="-4"/>
        </w:rPr>
        <w:t> </w:t>
      </w:r>
      <w:r>
        <w:rPr/>
        <w:t>deep</w:t>
      </w:r>
      <w:r>
        <w:rPr>
          <w:spacing w:val="-4"/>
        </w:rPr>
        <w:t> </w:t>
      </w:r>
      <w:r>
        <w:rPr/>
        <w:t>learning</w:t>
      </w:r>
      <w:r>
        <w:rPr>
          <w:spacing w:val="-3"/>
        </w:rPr>
        <w:t> </w:t>
      </w:r>
      <w:r>
        <w:rPr/>
        <w:t>(</w:t>
      </w:r>
      <w:hyperlink w:history="true" w:anchor="_bookmark239">
        <w:r>
          <w:rPr>
            <w:color w:val="FF0000"/>
          </w:rPr>
          <w:t>Decroos</w:t>
        </w:r>
        <w:r>
          <w:rPr>
            <w:color w:val="FF0000"/>
            <w:spacing w:val="-4"/>
          </w:rPr>
          <w:t> </w:t>
        </w:r>
        <w:r>
          <w:rPr>
            <w:color w:val="FF0000"/>
          </w:rPr>
          <w:t>et</w:t>
        </w:r>
        <w:r>
          <w:rPr>
            <w:color w:val="FF0000"/>
            <w:spacing w:val="-3"/>
          </w:rPr>
          <w:t> </w:t>
        </w:r>
        <w:r>
          <w:rPr>
            <w:color w:val="FF0000"/>
          </w:rPr>
          <w:t>al.</w:t>
        </w:r>
      </w:hyperlink>
      <w:r>
        <w:rPr/>
        <w:t>,</w:t>
      </w:r>
      <w:hyperlink w:history="true" w:anchor="_bookmark239">
        <w:r>
          <w:rPr>
            <w:color w:val="FF0000"/>
          </w:rPr>
          <w:t>2019</w:t>
        </w:r>
        <w:r>
          <w:rPr/>
          <w:t>;</w:t>
        </w:r>
      </w:hyperlink>
      <w:r>
        <w:rPr>
          <w:color w:val="FF0000"/>
        </w:rPr>
        <w:t>Fern</w:t>
      </w:r>
      <w:r>
        <w:rPr>
          <w:color w:val="FF0000"/>
          <w:spacing w:val="53"/>
        </w:rPr>
        <w:t> </w:t>
      </w:r>
      <w:hyperlink w:history="true" w:anchor="_bookmark243">
        <w:r>
          <w:rPr>
            <w:color w:val="FF0000"/>
            <w:spacing w:val="-80"/>
          </w:rPr>
          <w:t>a</w:t>
        </w:r>
        <w:r>
          <w:rPr>
            <w:color w:val="FF0000"/>
            <w:spacing w:val="26"/>
          </w:rPr>
          <w:t>´</w:t>
        </w:r>
        <w:r>
          <w:rPr>
            <w:color w:val="FF0000"/>
            <w:spacing w:val="13"/>
          </w:rPr>
          <w:t>ndez</w:t>
        </w:r>
        <w:r>
          <w:rPr>
            <w:color w:val="FF0000"/>
            <w:spacing w:val="-3"/>
          </w:rPr>
          <w:t> </w:t>
        </w:r>
        <w:r>
          <w:rPr>
            <w:color w:val="FF0000"/>
          </w:rPr>
          <w:t>et</w:t>
        </w:r>
        <w:r>
          <w:rPr>
            <w:color w:val="FF0000"/>
            <w:spacing w:val="-5"/>
          </w:rPr>
          <w:t> </w:t>
        </w:r>
        <w:r>
          <w:rPr>
            <w:color w:val="FF0000"/>
            <w:spacing w:val="-4"/>
          </w:rPr>
          <w:t>al.</w:t>
        </w:r>
      </w:hyperlink>
      <w:r>
        <w:rPr>
          <w:spacing w:val="-4"/>
        </w:rPr>
        <w:t>,</w:t>
      </w:r>
    </w:p>
    <w:p>
      <w:pPr>
        <w:pStyle w:val="BodyText"/>
        <w:spacing w:line="312" w:lineRule="auto" w:before="82"/>
        <w:ind w:left="610" w:right="389"/>
      </w:pPr>
      <w:hyperlink w:history="true" w:anchor="_bookmark243">
        <w:r>
          <w:rPr>
            <w:color w:val="FF0000"/>
          </w:rPr>
          <w:t>2021</w:t>
        </w:r>
      </w:hyperlink>
      <w:r>
        <w:rPr/>
        <w:t>), deep reinforcement learning (</w:t>
      </w:r>
      <w:hyperlink w:history="true" w:anchor="_bookmark270">
        <w:r>
          <w:rPr>
            <w:color w:val="FF0000"/>
          </w:rPr>
          <w:t>Liu and Schulte</w:t>
        </w:r>
      </w:hyperlink>
      <w:r>
        <w:rPr/>
        <w:t>,</w:t>
      </w:r>
      <w:hyperlink w:history="true" w:anchor="_bookmark270">
        <w:r>
          <w:rPr>
            <w:color w:val="FF0000"/>
          </w:rPr>
          <w:t>2018</w:t>
        </w:r>
        <w:r>
          <w:rPr/>
          <w:t>;</w:t>
        </w:r>
      </w:hyperlink>
      <w:hyperlink w:history="true" w:anchor="_bookmark287">
        <w:r>
          <w:rPr>
            <w:color w:val="FF0000"/>
          </w:rPr>
          <w:t>Routley and Schulte</w:t>
        </w:r>
        <w:r>
          <w:rPr/>
          <w:t>,</w:t>
        </w:r>
      </w:hyperlink>
      <w:r>
        <w:rPr>
          <w:color w:val="FF0000"/>
        </w:rPr>
        <w:t>2015</w:t>
      </w:r>
      <w:hyperlink w:history="true" w:anchor="_bookmark287">
        <w:r>
          <w:rPr/>
          <w:t>)</w:t>
        </w:r>
      </w:hyperlink>
      <w:r>
        <w:rPr/>
        <w:t> and</w:t>
      </w:r>
      <w:r>
        <w:rPr>
          <w:spacing w:val="-15"/>
        </w:rPr>
        <w:t> </w:t>
      </w:r>
      <w:r>
        <w:rPr/>
        <w:t>probabilistic</w:t>
      </w:r>
      <w:r>
        <w:rPr>
          <w:spacing w:val="-15"/>
        </w:rPr>
        <w:t> </w:t>
      </w:r>
      <w:r>
        <w:rPr/>
        <w:t>(</w:t>
      </w:r>
      <w:hyperlink w:history="true" w:anchor="_bookmark231">
        <w:r>
          <w:rPr>
            <w:color w:val="FF0000"/>
          </w:rPr>
          <w:t>Cervone</w:t>
        </w:r>
        <w:r>
          <w:rPr>
            <w:color w:val="FF0000"/>
            <w:spacing w:val="-15"/>
          </w:rPr>
          <w:t> </w:t>
        </w:r>
        <w:r>
          <w:rPr>
            <w:color w:val="FF0000"/>
          </w:rPr>
          <w:t>et</w:t>
        </w:r>
        <w:r>
          <w:rPr>
            <w:color w:val="FF0000"/>
            <w:spacing w:val="-15"/>
          </w:rPr>
          <w:t> </w:t>
        </w:r>
        <w:r>
          <w:rPr>
            <w:color w:val="FF0000"/>
          </w:rPr>
          <w:t>al.</w:t>
        </w:r>
      </w:hyperlink>
      <w:r>
        <w:rPr/>
        <w:t>,</w:t>
      </w:r>
      <w:hyperlink w:history="true" w:anchor="_bookmark231">
        <w:r>
          <w:rPr>
            <w:color w:val="FF0000"/>
          </w:rPr>
          <w:t>2016</w:t>
        </w:r>
        <w:r>
          <w:rPr/>
          <w:t>)</w:t>
        </w:r>
      </w:hyperlink>
      <w:r>
        <w:rPr>
          <w:spacing w:val="-15"/>
        </w:rPr>
        <w:t> </w:t>
      </w:r>
      <w:r>
        <w:rPr/>
        <w:t>methods</w:t>
      </w:r>
      <w:r>
        <w:rPr>
          <w:spacing w:val="-15"/>
        </w:rPr>
        <w:t> </w:t>
      </w:r>
      <w:r>
        <w:rPr/>
        <w:t>to</w:t>
      </w:r>
      <w:r>
        <w:rPr>
          <w:spacing w:val="-15"/>
        </w:rPr>
        <w:t> </w:t>
      </w:r>
      <w:r>
        <w:rPr/>
        <w:t>evaluate</w:t>
      </w:r>
      <w:r>
        <w:rPr>
          <w:spacing w:val="-15"/>
        </w:rPr>
        <w:t> </w:t>
      </w:r>
      <w:r>
        <w:rPr/>
        <w:t>player</w:t>
      </w:r>
      <w:r>
        <w:rPr>
          <w:spacing w:val="-15"/>
        </w:rPr>
        <w:t> </w:t>
      </w:r>
      <w:r>
        <w:rPr/>
        <w:t>and</w:t>
      </w:r>
      <w:r>
        <w:rPr>
          <w:spacing w:val="-15"/>
        </w:rPr>
        <w:t> </w:t>
      </w:r>
      <w:r>
        <w:rPr/>
        <w:t>team</w:t>
      </w:r>
      <w:r>
        <w:rPr>
          <w:spacing w:val="-15"/>
        </w:rPr>
        <w:t> </w:t>
      </w:r>
      <w:r>
        <w:rPr/>
        <w:t>performances has</w:t>
      </w:r>
      <w:r>
        <w:rPr>
          <w:spacing w:val="-12"/>
        </w:rPr>
        <w:t> </w:t>
      </w:r>
      <w:r>
        <w:rPr/>
        <w:t>become</w:t>
      </w:r>
      <w:r>
        <w:rPr>
          <w:spacing w:val="-12"/>
        </w:rPr>
        <w:t> </w:t>
      </w:r>
      <w:r>
        <w:rPr/>
        <w:t>more</w:t>
      </w:r>
      <w:r>
        <w:rPr>
          <w:spacing w:val="-12"/>
        </w:rPr>
        <w:t> </w:t>
      </w:r>
      <w:r>
        <w:rPr/>
        <w:t>prominent. These</w:t>
      </w:r>
      <w:r>
        <w:rPr>
          <w:spacing w:val="-12"/>
        </w:rPr>
        <w:t> </w:t>
      </w:r>
      <w:r>
        <w:rPr/>
        <w:t>models</w:t>
      </w:r>
      <w:r>
        <w:rPr>
          <w:spacing w:val="-12"/>
        </w:rPr>
        <w:t> </w:t>
      </w:r>
      <w:r>
        <w:rPr/>
        <w:t>are</w:t>
      </w:r>
      <w:r>
        <w:rPr>
          <w:spacing w:val="-12"/>
        </w:rPr>
        <w:t> </w:t>
      </w:r>
      <w:r>
        <w:rPr/>
        <w:t>able</w:t>
      </w:r>
      <w:r>
        <w:rPr>
          <w:spacing w:val="-12"/>
        </w:rPr>
        <w:t> </w:t>
      </w:r>
      <w:r>
        <w:rPr/>
        <w:t>to</w:t>
      </w:r>
      <w:r>
        <w:rPr>
          <w:spacing w:val="-12"/>
        </w:rPr>
        <w:t> </w:t>
      </w:r>
      <w:r>
        <w:rPr/>
        <w:t>provide</w:t>
      </w:r>
      <w:r>
        <w:rPr>
          <w:spacing w:val="-12"/>
        </w:rPr>
        <w:t> </w:t>
      </w:r>
      <w:r>
        <w:rPr/>
        <w:t>excellent</w:t>
      </w:r>
      <w:r>
        <w:rPr>
          <w:spacing w:val="-12"/>
        </w:rPr>
        <w:t> </w:t>
      </w:r>
      <w:r>
        <w:rPr/>
        <w:t>analyses</w:t>
      </w:r>
      <w:r>
        <w:rPr>
          <w:spacing w:val="-12"/>
        </w:rPr>
        <w:t> </w:t>
      </w:r>
      <w:r>
        <w:rPr/>
        <w:t>of</w:t>
      </w:r>
      <w:r>
        <w:rPr>
          <w:spacing w:val="-12"/>
        </w:rPr>
        <w:t> </w:t>
      </w:r>
      <w:r>
        <w:rPr/>
        <w:t>team and</w:t>
      </w:r>
      <w:r>
        <w:rPr>
          <w:spacing w:val="-11"/>
        </w:rPr>
        <w:t> </w:t>
      </w:r>
      <w:r>
        <w:rPr/>
        <w:t>player</w:t>
      </w:r>
      <w:r>
        <w:rPr>
          <w:spacing w:val="-11"/>
        </w:rPr>
        <w:t> </w:t>
      </w:r>
      <w:r>
        <w:rPr/>
        <w:t>performances,</w:t>
      </w:r>
      <w:r>
        <w:rPr>
          <w:spacing w:val="-10"/>
        </w:rPr>
        <w:t> </w:t>
      </w:r>
      <w:r>
        <w:rPr/>
        <w:t>allowing</w:t>
      </w:r>
      <w:r>
        <w:rPr>
          <w:spacing w:val="-11"/>
        </w:rPr>
        <w:t> </w:t>
      </w:r>
      <w:r>
        <w:rPr/>
        <w:t>coaches</w:t>
      </w:r>
      <w:r>
        <w:rPr>
          <w:spacing w:val="-10"/>
        </w:rPr>
        <w:t> </w:t>
      </w:r>
      <w:r>
        <w:rPr/>
        <w:t>to</w:t>
      </w:r>
      <w:r>
        <w:rPr>
          <w:spacing w:val="-11"/>
        </w:rPr>
        <w:t> </w:t>
      </w:r>
      <w:r>
        <w:rPr/>
        <w:t>identify</w:t>
      </w:r>
      <w:r>
        <w:rPr>
          <w:spacing w:val="-11"/>
        </w:rPr>
        <w:t> </w:t>
      </w:r>
      <w:r>
        <w:rPr/>
        <w:t>strategies</w:t>
      </w:r>
      <w:r>
        <w:rPr>
          <w:spacing w:val="-10"/>
        </w:rPr>
        <w:t> </w:t>
      </w:r>
      <w:r>
        <w:rPr/>
        <w:t>to</w:t>
      </w:r>
      <w:r>
        <w:rPr>
          <w:spacing w:val="-11"/>
        </w:rPr>
        <w:t> </w:t>
      </w:r>
      <w:r>
        <w:rPr/>
        <w:t>beat</w:t>
      </w:r>
      <w:r>
        <w:rPr>
          <w:spacing w:val="-10"/>
        </w:rPr>
        <w:t> </w:t>
      </w:r>
      <w:r>
        <w:rPr/>
        <w:t>opposition</w:t>
      </w:r>
      <w:r>
        <w:rPr>
          <w:spacing w:val="-11"/>
        </w:rPr>
        <w:t> </w:t>
      </w:r>
      <w:r>
        <w:rPr>
          <w:spacing w:val="-2"/>
        </w:rPr>
        <w:t>teams</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and evaluate undervalued players, who may be good transfer targets.</w:t>
      </w:r>
      <w:r>
        <w:rPr>
          <w:spacing w:val="34"/>
        </w:rPr>
        <w:t> </w:t>
      </w:r>
      <w:r>
        <w:rPr/>
        <w:t>Unfortunately, the research in these sports is much more limited with respect to its applicability to rugby</w:t>
      </w:r>
      <w:r>
        <w:rPr>
          <w:spacing w:val="80"/>
        </w:rPr>
        <w:t> </w:t>
      </w:r>
      <w:r>
        <w:rPr/>
        <w:t>league</w:t>
      </w:r>
      <w:r>
        <w:rPr>
          <w:spacing w:val="-11"/>
        </w:rPr>
        <w:t> </w:t>
      </w:r>
      <w:r>
        <w:rPr/>
        <w:t>due</w:t>
      </w:r>
      <w:r>
        <w:rPr>
          <w:spacing w:val="-11"/>
        </w:rPr>
        <w:t> </w:t>
      </w:r>
      <w:r>
        <w:rPr/>
        <w:t>to</w:t>
      </w:r>
      <w:r>
        <w:rPr>
          <w:spacing w:val="-11"/>
        </w:rPr>
        <w:t> </w:t>
      </w:r>
      <w:r>
        <w:rPr/>
        <w:t>the</w:t>
      </w:r>
      <w:r>
        <w:rPr>
          <w:spacing w:val="-11"/>
        </w:rPr>
        <w:t> </w:t>
      </w:r>
      <w:r>
        <w:rPr/>
        <w:t>sport’s</w:t>
      </w:r>
      <w:r>
        <w:rPr>
          <w:spacing w:val="-11"/>
        </w:rPr>
        <w:t> </w:t>
      </w:r>
      <w:r>
        <w:rPr/>
        <w:t>lower</w:t>
      </w:r>
      <w:r>
        <w:rPr>
          <w:spacing w:val="-11"/>
        </w:rPr>
        <w:t> </w:t>
      </w:r>
      <w:r>
        <w:rPr/>
        <w:t>quantity</w:t>
      </w:r>
      <w:r>
        <w:rPr>
          <w:spacing w:val="-11"/>
        </w:rPr>
        <w:t> </w:t>
      </w:r>
      <w:r>
        <w:rPr/>
        <w:t>and</w:t>
      </w:r>
      <w:r>
        <w:rPr>
          <w:spacing w:val="-11"/>
        </w:rPr>
        <w:t> </w:t>
      </w:r>
      <w:r>
        <w:rPr/>
        <w:t>quality</w:t>
      </w:r>
      <w:r>
        <w:rPr>
          <w:spacing w:val="-11"/>
        </w:rPr>
        <w:t> </w:t>
      </w:r>
      <w:r>
        <w:rPr/>
        <w:t>of</w:t>
      </w:r>
      <w:r>
        <w:rPr>
          <w:spacing w:val="-11"/>
        </w:rPr>
        <w:t> </w:t>
      </w:r>
      <w:r>
        <w:rPr/>
        <w:t>available</w:t>
      </w:r>
      <w:r>
        <w:rPr>
          <w:spacing w:val="-11"/>
        </w:rPr>
        <w:t> </w:t>
      </w:r>
      <w:r>
        <w:rPr/>
        <w:t>data</w:t>
      </w:r>
      <w:r>
        <w:rPr>
          <w:spacing w:val="-11"/>
        </w:rPr>
        <w:t> </w:t>
      </w:r>
      <w:r>
        <w:rPr/>
        <w:t>and</w:t>
      </w:r>
      <w:r>
        <w:rPr>
          <w:spacing w:val="-11"/>
        </w:rPr>
        <w:t> </w:t>
      </w:r>
      <w:r>
        <w:rPr/>
        <w:t>its</w:t>
      </w:r>
      <w:r>
        <w:rPr>
          <w:spacing w:val="-11"/>
        </w:rPr>
        <w:t> </w:t>
      </w:r>
      <w:r>
        <w:rPr/>
        <w:t>more</w:t>
      </w:r>
      <w:r>
        <w:rPr>
          <w:spacing w:val="-11"/>
        </w:rPr>
        <w:t> </w:t>
      </w:r>
      <w:r>
        <w:rPr/>
        <w:t>compli- cated</w:t>
      </w:r>
      <w:r>
        <w:rPr>
          <w:spacing w:val="-4"/>
        </w:rPr>
        <w:t> </w:t>
      </w:r>
      <w:r>
        <w:rPr/>
        <w:t>point</w:t>
      </w:r>
      <w:r>
        <w:rPr>
          <w:spacing w:val="-5"/>
        </w:rPr>
        <w:t> </w:t>
      </w:r>
      <w:r>
        <w:rPr/>
        <w:t>scoring</w:t>
      </w:r>
      <w:r>
        <w:rPr>
          <w:spacing w:val="-4"/>
        </w:rPr>
        <w:t> </w:t>
      </w:r>
      <w:r>
        <w:rPr/>
        <w:t>system. Indeed,</w:t>
      </w:r>
      <w:r>
        <w:rPr>
          <w:spacing w:val="-4"/>
        </w:rPr>
        <w:t> </w:t>
      </w:r>
      <w:r>
        <w:rPr/>
        <w:t>action</w:t>
      </w:r>
      <w:r>
        <w:rPr>
          <w:spacing w:val="-4"/>
        </w:rPr>
        <w:t> </w:t>
      </w:r>
      <w:r>
        <w:rPr/>
        <w:t>by</w:t>
      </w:r>
      <w:r>
        <w:rPr>
          <w:spacing w:val="-5"/>
        </w:rPr>
        <w:t> </w:t>
      </w:r>
      <w:r>
        <w:rPr/>
        <w:t>action</w:t>
      </w:r>
      <w:r>
        <w:rPr>
          <w:spacing w:val="-4"/>
        </w:rPr>
        <w:t> </w:t>
      </w:r>
      <w:r>
        <w:rPr/>
        <w:t>data</w:t>
      </w:r>
      <w:r>
        <w:rPr>
          <w:spacing w:val="-4"/>
        </w:rPr>
        <w:t> </w:t>
      </w:r>
      <w:r>
        <w:rPr/>
        <w:t>only</w:t>
      </w:r>
      <w:r>
        <w:rPr>
          <w:spacing w:val="-5"/>
        </w:rPr>
        <w:t> </w:t>
      </w:r>
      <w:r>
        <w:rPr/>
        <w:t>became</w:t>
      </w:r>
      <w:r>
        <w:rPr>
          <w:spacing w:val="-4"/>
        </w:rPr>
        <w:t> </w:t>
      </w:r>
      <w:r>
        <w:rPr/>
        <w:t>available</w:t>
      </w:r>
      <w:r>
        <w:rPr>
          <w:spacing w:val="-5"/>
        </w:rPr>
        <w:t> </w:t>
      </w:r>
      <w:r>
        <w:rPr/>
        <w:t>in</w:t>
      </w:r>
      <w:r>
        <w:rPr>
          <w:spacing w:val="-4"/>
        </w:rPr>
        <w:t> </w:t>
      </w:r>
      <w:r>
        <w:rPr/>
        <w:t>rugby league</w:t>
      </w:r>
      <w:r>
        <w:rPr>
          <w:spacing w:val="-9"/>
        </w:rPr>
        <w:t> </w:t>
      </w:r>
      <w:r>
        <w:rPr/>
        <w:t>in</w:t>
      </w:r>
      <w:r>
        <w:rPr>
          <w:spacing w:val="-9"/>
        </w:rPr>
        <w:t> </w:t>
      </w:r>
      <w:r>
        <w:rPr/>
        <w:t>2020,</w:t>
      </w:r>
      <w:r>
        <w:rPr>
          <w:spacing w:val="-8"/>
        </w:rPr>
        <w:t> </w:t>
      </w:r>
      <w:r>
        <w:rPr/>
        <w:t>so</w:t>
      </w:r>
      <w:r>
        <w:rPr>
          <w:spacing w:val="-9"/>
        </w:rPr>
        <w:t> </w:t>
      </w:r>
      <w:r>
        <w:rPr/>
        <w:t>the</w:t>
      </w:r>
      <w:r>
        <w:rPr>
          <w:spacing w:val="-9"/>
        </w:rPr>
        <w:t> </w:t>
      </w:r>
      <w:r>
        <w:rPr/>
        <w:t>only</w:t>
      </w:r>
      <w:r>
        <w:rPr>
          <w:spacing w:val="-9"/>
        </w:rPr>
        <w:t> </w:t>
      </w:r>
      <w:r>
        <w:rPr/>
        <w:t>studies</w:t>
      </w:r>
      <w:r>
        <w:rPr>
          <w:spacing w:val="-9"/>
        </w:rPr>
        <w:t> </w:t>
      </w:r>
      <w:r>
        <w:rPr/>
        <w:t>considering</w:t>
      </w:r>
      <w:r>
        <w:rPr>
          <w:spacing w:val="-9"/>
        </w:rPr>
        <w:t> </w:t>
      </w:r>
      <w:r>
        <w:rPr/>
        <w:t>any</w:t>
      </w:r>
      <w:r>
        <w:rPr>
          <w:spacing w:val="-9"/>
        </w:rPr>
        <w:t> </w:t>
      </w:r>
      <w:r>
        <w:rPr/>
        <w:t>kind</w:t>
      </w:r>
      <w:r>
        <w:rPr>
          <w:spacing w:val="-9"/>
        </w:rPr>
        <w:t> </w:t>
      </w:r>
      <w:r>
        <w:rPr/>
        <w:t>of</w:t>
      </w:r>
      <w:r>
        <w:rPr>
          <w:spacing w:val="-9"/>
        </w:rPr>
        <w:t> </w:t>
      </w:r>
      <w:r>
        <w:rPr/>
        <w:t>spatial</w:t>
      </w:r>
      <w:r>
        <w:rPr>
          <w:spacing w:val="-9"/>
        </w:rPr>
        <w:t> </w:t>
      </w:r>
      <w:r>
        <w:rPr/>
        <w:t>data</w:t>
      </w:r>
      <w:r>
        <w:rPr>
          <w:spacing w:val="-9"/>
        </w:rPr>
        <w:t> </w:t>
      </w:r>
      <w:r>
        <w:rPr/>
        <w:t>at</w:t>
      </w:r>
      <w:r>
        <w:rPr>
          <w:spacing w:val="-9"/>
        </w:rPr>
        <w:t> </w:t>
      </w:r>
      <w:r>
        <w:rPr/>
        <w:t>the</w:t>
      </w:r>
      <w:r>
        <w:rPr>
          <w:spacing w:val="-9"/>
        </w:rPr>
        <w:t> </w:t>
      </w:r>
      <w:r>
        <w:rPr/>
        <w:t>onset</w:t>
      </w:r>
      <w:r>
        <w:rPr>
          <w:spacing w:val="-9"/>
        </w:rPr>
        <w:t> </w:t>
      </w:r>
      <w:r>
        <w:rPr/>
        <w:t>of</w:t>
      </w:r>
      <w:r>
        <w:rPr>
          <w:spacing w:val="-9"/>
        </w:rPr>
        <w:t> </w:t>
      </w:r>
      <w:r>
        <w:rPr/>
        <w:t>this thesis</w:t>
      </w:r>
      <w:r>
        <w:rPr>
          <w:spacing w:val="-9"/>
        </w:rPr>
        <w:t> </w:t>
      </w:r>
      <w:r>
        <w:rPr/>
        <w:t>have</w:t>
      </w:r>
      <w:r>
        <w:rPr>
          <w:spacing w:val="-9"/>
        </w:rPr>
        <w:t> </w:t>
      </w:r>
      <w:r>
        <w:rPr/>
        <w:t>been</w:t>
      </w:r>
      <w:r>
        <w:rPr>
          <w:spacing w:val="-9"/>
        </w:rPr>
        <w:t> </w:t>
      </w:r>
      <w:r>
        <w:rPr/>
        <w:t>conducted</w:t>
      </w:r>
      <w:r>
        <w:rPr>
          <w:spacing w:val="-9"/>
        </w:rPr>
        <w:t> </w:t>
      </w:r>
      <w:r>
        <w:rPr/>
        <w:t>using</w:t>
      </w:r>
      <w:r>
        <w:rPr>
          <w:spacing w:val="-9"/>
        </w:rPr>
        <w:t> </w:t>
      </w:r>
      <w:r>
        <w:rPr/>
        <w:t>play</w:t>
      </w:r>
      <w:r>
        <w:rPr>
          <w:spacing w:val="-9"/>
        </w:rPr>
        <w:t> </w:t>
      </w:r>
      <w:r>
        <w:rPr/>
        <w:t>by</w:t>
      </w:r>
      <w:r>
        <w:rPr>
          <w:spacing w:val="-9"/>
        </w:rPr>
        <w:t> </w:t>
      </w:r>
      <w:r>
        <w:rPr/>
        <w:t>play</w:t>
      </w:r>
      <w:r>
        <w:rPr>
          <w:spacing w:val="-9"/>
        </w:rPr>
        <w:t> </w:t>
      </w:r>
      <w:r>
        <w:rPr/>
        <w:t>data</w:t>
      </w:r>
      <w:r>
        <w:rPr>
          <w:spacing w:val="-9"/>
        </w:rPr>
        <w:t> </w:t>
      </w:r>
      <w:r>
        <w:rPr/>
        <w:t>(</w:t>
      </w:r>
      <w:hyperlink w:history="true" w:anchor="_bookmark254">
        <w:r>
          <w:rPr>
            <w:color w:val="FF0000"/>
          </w:rPr>
          <w:t>Holbrook</w:t>
        </w:r>
        <w:r>
          <w:rPr>
            <w:color w:val="FF0000"/>
            <w:spacing w:val="-9"/>
          </w:rPr>
          <w:t> </w:t>
        </w:r>
        <w:r>
          <w:rPr>
            <w:color w:val="FF0000"/>
          </w:rPr>
          <w:t>et</w:t>
        </w:r>
        <w:r>
          <w:rPr>
            <w:color w:val="FF0000"/>
            <w:spacing w:val="-9"/>
          </w:rPr>
          <w:t> </w:t>
        </w:r>
        <w:r>
          <w:rPr>
            <w:color w:val="FF0000"/>
          </w:rPr>
          <w:t>al.</w:t>
        </w:r>
      </w:hyperlink>
      <w:r>
        <w:rPr/>
        <w:t>,</w:t>
      </w:r>
      <w:hyperlink w:history="true" w:anchor="_bookmark254">
        <w:r>
          <w:rPr>
            <w:color w:val="FF0000"/>
          </w:rPr>
          <w:t>2019</w:t>
        </w:r>
        <w:r>
          <w:rPr/>
          <w:t>;</w:t>
        </w:r>
      </w:hyperlink>
      <w:r>
        <w:rPr>
          <w:color w:val="FF0000"/>
        </w:rPr>
        <w:t>K</w:t>
      </w:r>
      <w:hyperlink w:history="true" w:anchor="_bookmark263">
        <w:r>
          <w:rPr>
            <w:color w:val="FF0000"/>
          </w:rPr>
          <w:t>empton</w:t>
        </w:r>
        <w:r>
          <w:rPr>
            <w:color w:val="FF0000"/>
            <w:spacing w:val="-9"/>
          </w:rPr>
          <w:t> </w:t>
        </w:r>
        <w:r>
          <w:rPr>
            <w:color w:val="FF0000"/>
          </w:rPr>
          <w:t>et</w:t>
        </w:r>
        <w:r>
          <w:rPr>
            <w:color w:val="FF0000"/>
            <w:spacing w:val="-9"/>
          </w:rPr>
          <w:t> </w:t>
        </w:r>
        <w:r>
          <w:rPr>
            <w:color w:val="FF0000"/>
          </w:rPr>
          <w:t>al.</w:t>
        </w:r>
        <w:r>
          <w:rPr/>
          <w:t>,</w:t>
        </w:r>
      </w:hyperlink>
      <w:r>
        <w:rPr/>
        <w:t> </w:t>
      </w:r>
      <w:hyperlink w:history="true" w:anchor="_bookmark263">
        <w:r>
          <w:rPr>
            <w:color w:val="FF0000"/>
          </w:rPr>
          <w:t>2016</w:t>
        </w:r>
      </w:hyperlink>
      <w:r>
        <w:rPr/>
        <w:t>).</w:t>
      </w:r>
      <w:r>
        <w:rPr>
          <w:color w:val="FF0000"/>
        </w:rPr>
        <w:t>K</w:t>
      </w:r>
      <w:hyperlink w:history="true" w:anchor="_bookmark263">
        <w:r>
          <w:rPr>
            <w:color w:val="FF0000"/>
          </w:rPr>
          <w:t>empton et al.</w:t>
        </w:r>
        <w:r>
          <w:rPr/>
          <w:t>(</w:t>
        </w:r>
      </w:hyperlink>
      <w:hyperlink w:history="true" w:anchor="_bookmark263">
        <w:r>
          <w:rPr>
            <w:color w:val="FF0000"/>
          </w:rPr>
          <w:t>2016</w:t>
        </w:r>
        <w:r>
          <w:rPr/>
          <w:t>)</w:t>
        </w:r>
      </w:hyperlink>
      <w:r>
        <w:rPr/>
        <w:t> used dynamic programming to estimate the value of differ- ent</w:t>
      </w:r>
      <w:r>
        <w:rPr>
          <w:spacing w:val="-4"/>
        </w:rPr>
        <w:t> </w:t>
      </w:r>
      <w:r>
        <w:rPr/>
        <w:t>locations</w:t>
      </w:r>
      <w:r>
        <w:rPr>
          <w:spacing w:val="-4"/>
        </w:rPr>
        <w:t> </w:t>
      </w:r>
      <w:r>
        <w:rPr/>
        <w:t>on</w:t>
      </w:r>
      <w:r>
        <w:rPr>
          <w:spacing w:val="-4"/>
        </w:rPr>
        <w:t> </w:t>
      </w:r>
      <w:r>
        <w:rPr/>
        <w:t>the</w:t>
      </w:r>
      <w:r>
        <w:rPr>
          <w:spacing w:val="-4"/>
        </w:rPr>
        <w:t> </w:t>
      </w:r>
      <w:r>
        <w:rPr/>
        <w:t>pitch</w:t>
      </w:r>
      <w:r>
        <w:rPr>
          <w:spacing w:val="-4"/>
        </w:rPr>
        <w:t> </w:t>
      </w:r>
      <w:r>
        <w:rPr/>
        <w:t>dependent</w:t>
      </w:r>
      <w:r>
        <w:rPr>
          <w:spacing w:val="-4"/>
        </w:rPr>
        <w:t> </w:t>
      </w:r>
      <w:r>
        <w:rPr/>
        <w:t>on</w:t>
      </w:r>
      <w:r>
        <w:rPr>
          <w:spacing w:val="-4"/>
        </w:rPr>
        <w:t> </w:t>
      </w:r>
      <w:r>
        <w:rPr/>
        <w:t>the</w:t>
      </w:r>
      <w:r>
        <w:rPr>
          <w:spacing w:val="-4"/>
        </w:rPr>
        <w:t> </w:t>
      </w:r>
      <w:r>
        <w:rPr/>
        <w:t>next</w:t>
      </w:r>
      <w:r>
        <w:rPr>
          <w:spacing w:val="-4"/>
        </w:rPr>
        <w:t> </w:t>
      </w:r>
      <w:r>
        <w:rPr/>
        <w:t>scoring</w:t>
      </w:r>
      <w:r>
        <w:rPr>
          <w:spacing w:val="-4"/>
        </w:rPr>
        <w:t> </w:t>
      </w:r>
      <w:r>
        <w:rPr/>
        <w:t>action. Their</w:t>
      </w:r>
      <w:r>
        <w:rPr>
          <w:spacing w:val="-4"/>
        </w:rPr>
        <w:t> </w:t>
      </w:r>
      <w:r>
        <w:rPr/>
        <w:t>work</w:t>
      </w:r>
      <w:r>
        <w:rPr>
          <w:spacing w:val="-4"/>
        </w:rPr>
        <w:t> </w:t>
      </w:r>
      <w:r>
        <w:rPr/>
        <w:t>combined</w:t>
      </w:r>
      <w:r>
        <w:rPr>
          <w:spacing w:val="-4"/>
        </w:rPr>
        <w:t> </w:t>
      </w:r>
      <w:r>
        <w:rPr/>
        <w:t>all possession outcomes into a single value and utilised a zonal approach, the limitations of which are discussed above.</w:t>
      </w:r>
      <w:hyperlink w:history="true" w:anchor="_bookmark254">
        <w:r>
          <w:rPr>
            <w:color w:val="FF0000"/>
          </w:rPr>
          <w:t>Holbrook et al.</w:t>
        </w:r>
        <w:r>
          <w:rPr/>
          <w:t>(</w:t>
        </w:r>
      </w:hyperlink>
      <w:hyperlink w:history="true" w:anchor="_bookmark254">
        <w:r>
          <w:rPr>
            <w:color w:val="FF0000"/>
          </w:rPr>
          <w:t>2019</w:t>
        </w:r>
        <w:r>
          <w:rPr/>
          <w:t>)</w:t>
        </w:r>
      </w:hyperlink>
      <w:r>
        <w:rPr/>
        <w:t> used a deep learning approach to con- currently predict six outcomes, including: expected metres gained by the play; expected try scored within the play/set; and predicted match outcome.</w:t>
      </w:r>
      <w:r>
        <w:rPr>
          <w:spacing w:val="26"/>
        </w:rPr>
        <w:t> </w:t>
      </w:r>
      <w:r>
        <w:rPr/>
        <w:t>They were able to produce a</w:t>
      </w:r>
      <w:r>
        <w:rPr>
          <w:spacing w:val="-3"/>
        </w:rPr>
        <w:t> </w:t>
      </w:r>
      <w:r>
        <w:rPr/>
        <w:t>smooth</w:t>
      </w:r>
      <w:r>
        <w:rPr>
          <w:spacing w:val="-3"/>
        </w:rPr>
        <w:t> </w:t>
      </w:r>
      <w:r>
        <w:rPr/>
        <w:t>pitch</w:t>
      </w:r>
      <w:r>
        <w:rPr>
          <w:spacing w:val="-3"/>
        </w:rPr>
        <w:t> </w:t>
      </w:r>
      <w:r>
        <w:rPr/>
        <w:t>surface,</w:t>
      </w:r>
      <w:r>
        <w:rPr>
          <w:spacing w:val="-2"/>
        </w:rPr>
        <w:t> </w:t>
      </w:r>
      <w:r>
        <w:rPr/>
        <w:t>but</w:t>
      </w:r>
      <w:r>
        <w:rPr>
          <w:spacing w:val="-3"/>
        </w:rPr>
        <w:t> </w:t>
      </w:r>
      <w:r>
        <w:rPr/>
        <w:t>required</w:t>
      </w:r>
      <w:r>
        <w:rPr>
          <w:spacing w:val="-3"/>
        </w:rPr>
        <w:t> </w:t>
      </w:r>
      <w:r>
        <w:rPr/>
        <w:t>more</w:t>
      </w:r>
      <w:r>
        <w:rPr>
          <w:spacing w:val="-3"/>
        </w:rPr>
        <w:t> </w:t>
      </w:r>
      <w:r>
        <w:rPr/>
        <w:t>than</w:t>
      </w:r>
      <w:r>
        <w:rPr>
          <w:spacing w:val="-3"/>
        </w:rPr>
        <w:t> </w:t>
      </w:r>
      <w:r>
        <w:rPr/>
        <w:t>250,000</w:t>
      </w:r>
      <w:r>
        <w:rPr>
          <w:spacing w:val="-3"/>
        </w:rPr>
        <w:t> </w:t>
      </w:r>
      <w:r>
        <w:rPr/>
        <w:t>play</w:t>
      </w:r>
      <w:r>
        <w:rPr>
          <w:spacing w:val="-3"/>
        </w:rPr>
        <w:t> </w:t>
      </w:r>
      <w:r>
        <w:rPr/>
        <w:t>by</w:t>
      </w:r>
      <w:r>
        <w:rPr>
          <w:spacing w:val="-3"/>
        </w:rPr>
        <w:t> </w:t>
      </w:r>
      <w:r>
        <w:rPr/>
        <w:t>play</w:t>
      </w:r>
      <w:r>
        <w:rPr>
          <w:spacing w:val="-3"/>
        </w:rPr>
        <w:t> </w:t>
      </w:r>
      <w:r>
        <w:rPr/>
        <w:t>observations</w:t>
      </w:r>
      <w:r>
        <w:rPr>
          <w:spacing w:val="-3"/>
        </w:rPr>
        <w:t> </w:t>
      </w:r>
      <w:r>
        <w:rPr/>
        <w:t>across three</w:t>
      </w:r>
      <w:r>
        <w:rPr>
          <w:spacing w:val="25"/>
        </w:rPr>
        <w:t> </w:t>
      </w:r>
      <w:r>
        <w:rPr/>
        <w:t>seasons</w:t>
      </w:r>
      <w:r>
        <w:rPr>
          <w:spacing w:val="25"/>
        </w:rPr>
        <w:t> </w:t>
      </w:r>
      <w:r>
        <w:rPr/>
        <w:t>of</w:t>
      </w:r>
      <w:r>
        <w:rPr>
          <w:spacing w:val="25"/>
        </w:rPr>
        <w:t> </w:t>
      </w:r>
      <w:r>
        <w:rPr/>
        <w:t>National</w:t>
      </w:r>
      <w:r>
        <w:rPr>
          <w:spacing w:val="25"/>
        </w:rPr>
        <w:t> </w:t>
      </w:r>
      <w:r>
        <w:rPr/>
        <w:t>Rugby</w:t>
      </w:r>
      <w:r>
        <w:rPr>
          <w:spacing w:val="25"/>
        </w:rPr>
        <w:t> </w:t>
      </w:r>
      <w:r>
        <w:rPr/>
        <w:t>League</w:t>
      </w:r>
      <w:r>
        <w:rPr>
          <w:spacing w:val="25"/>
        </w:rPr>
        <w:t> </w:t>
      </w:r>
      <w:r>
        <w:rPr/>
        <w:t>to</w:t>
      </w:r>
      <w:r>
        <w:rPr>
          <w:spacing w:val="25"/>
        </w:rPr>
        <w:t> </w:t>
      </w:r>
      <w:r>
        <w:rPr/>
        <w:t>do</w:t>
      </w:r>
      <w:r>
        <w:rPr>
          <w:spacing w:val="25"/>
        </w:rPr>
        <w:t> </w:t>
      </w:r>
      <w:r>
        <w:rPr/>
        <w:t>so</w:t>
      </w:r>
      <w:r>
        <w:rPr>
          <w:spacing w:val="25"/>
        </w:rPr>
        <w:t> </w:t>
      </w:r>
      <w:r>
        <w:rPr/>
        <w:t>using</w:t>
      </w:r>
      <w:r>
        <w:rPr>
          <w:spacing w:val="25"/>
        </w:rPr>
        <w:t> </w:t>
      </w:r>
      <w:r>
        <w:rPr/>
        <w:t>their</w:t>
      </w:r>
      <w:r>
        <w:rPr>
          <w:spacing w:val="25"/>
        </w:rPr>
        <w:t> </w:t>
      </w:r>
      <w:r>
        <w:rPr/>
        <w:t>deep</w:t>
      </w:r>
      <w:r>
        <w:rPr>
          <w:spacing w:val="25"/>
        </w:rPr>
        <w:t> </w:t>
      </w:r>
      <w:r>
        <w:rPr/>
        <w:t>learning</w:t>
      </w:r>
      <w:r>
        <w:rPr>
          <w:spacing w:val="25"/>
        </w:rPr>
        <w:t> </w:t>
      </w:r>
      <w:r>
        <w:rPr/>
        <w:t>approach. This</w:t>
      </w:r>
      <w:r>
        <w:rPr>
          <w:spacing w:val="-4"/>
        </w:rPr>
        <w:t> </w:t>
      </w:r>
      <w:r>
        <w:rPr/>
        <w:t>size</w:t>
      </w:r>
      <w:r>
        <w:rPr>
          <w:spacing w:val="-4"/>
        </w:rPr>
        <w:t> </w:t>
      </w:r>
      <w:r>
        <w:rPr/>
        <w:t>of</w:t>
      </w:r>
      <w:r>
        <w:rPr>
          <w:spacing w:val="-4"/>
        </w:rPr>
        <w:t> </w:t>
      </w:r>
      <w:r>
        <w:rPr/>
        <w:t>dataset</w:t>
      </w:r>
      <w:r>
        <w:rPr>
          <w:spacing w:val="-4"/>
        </w:rPr>
        <w:t> </w:t>
      </w:r>
      <w:r>
        <w:rPr/>
        <w:t>is</w:t>
      </w:r>
      <w:r>
        <w:rPr>
          <w:spacing w:val="-4"/>
        </w:rPr>
        <w:t> </w:t>
      </w:r>
      <w:r>
        <w:rPr/>
        <w:t>not</w:t>
      </w:r>
      <w:r>
        <w:rPr>
          <w:spacing w:val="-4"/>
        </w:rPr>
        <w:t> </w:t>
      </w:r>
      <w:r>
        <w:rPr/>
        <w:t>available</w:t>
      </w:r>
      <w:r>
        <w:rPr>
          <w:spacing w:val="-4"/>
        </w:rPr>
        <w:t> </w:t>
      </w:r>
      <w:r>
        <w:rPr/>
        <w:t>in</w:t>
      </w:r>
      <w:r>
        <w:rPr>
          <w:spacing w:val="-4"/>
        </w:rPr>
        <w:t> </w:t>
      </w:r>
      <w:r>
        <w:rPr/>
        <w:t>the</w:t>
      </w:r>
      <w:r>
        <w:rPr>
          <w:spacing w:val="-4"/>
        </w:rPr>
        <w:t> </w:t>
      </w:r>
      <w:r>
        <w:rPr/>
        <w:t>Super</w:t>
      </w:r>
      <w:r>
        <w:rPr>
          <w:spacing w:val="-4"/>
        </w:rPr>
        <w:t> </w:t>
      </w:r>
      <w:r>
        <w:rPr/>
        <w:t>League,</w:t>
      </w:r>
      <w:r>
        <w:rPr>
          <w:spacing w:val="-4"/>
        </w:rPr>
        <w:t> </w:t>
      </w:r>
      <w:r>
        <w:rPr/>
        <w:t>which</w:t>
      </w:r>
      <w:r>
        <w:rPr>
          <w:spacing w:val="-4"/>
        </w:rPr>
        <w:t> </w:t>
      </w:r>
      <w:r>
        <w:rPr/>
        <w:t>is</w:t>
      </w:r>
      <w:r>
        <w:rPr>
          <w:spacing w:val="-4"/>
        </w:rPr>
        <w:t> </w:t>
      </w:r>
      <w:r>
        <w:rPr/>
        <w:t>the</w:t>
      </w:r>
      <w:r>
        <w:rPr>
          <w:spacing w:val="-4"/>
        </w:rPr>
        <w:t> </w:t>
      </w:r>
      <w:r>
        <w:rPr/>
        <w:t>focus</w:t>
      </w:r>
      <w:r>
        <w:rPr>
          <w:spacing w:val="-4"/>
        </w:rPr>
        <w:t> </w:t>
      </w:r>
      <w:r>
        <w:rPr/>
        <w:t>of</w:t>
      </w:r>
      <w:r>
        <w:rPr>
          <w:spacing w:val="-4"/>
        </w:rPr>
        <w:t> </w:t>
      </w:r>
      <w:r>
        <w:rPr/>
        <w:t>this</w:t>
      </w:r>
      <w:r>
        <w:rPr>
          <w:spacing w:val="-4"/>
        </w:rPr>
        <w:t> </w:t>
      </w:r>
      <w:r>
        <w:rPr/>
        <w:t>thesis. Furthermore, the application of both studies to team or player performance analysis is</w:t>
      </w:r>
      <w:r>
        <w:rPr>
          <w:spacing w:val="40"/>
        </w:rPr>
        <w:t> </w:t>
      </w:r>
      <w:r>
        <w:rPr/>
        <w:t>limited</w:t>
      </w:r>
      <w:r>
        <w:rPr>
          <w:spacing w:val="-1"/>
        </w:rPr>
        <w:t> </w:t>
      </w:r>
      <w:r>
        <w:rPr/>
        <w:t>by</w:t>
      </w:r>
      <w:r>
        <w:rPr>
          <w:spacing w:val="-1"/>
        </w:rPr>
        <w:t> </w:t>
      </w:r>
      <w:r>
        <w:rPr/>
        <w:t>their</w:t>
      </w:r>
      <w:r>
        <w:rPr>
          <w:spacing w:val="-1"/>
        </w:rPr>
        <w:t> </w:t>
      </w:r>
      <w:r>
        <w:rPr/>
        <w:t>use</w:t>
      </w:r>
      <w:r>
        <w:rPr>
          <w:spacing w:val="-1"/>
        </w:rPr>
        <w:t> </w:t>
      </w:r>
      <w:r>
        <w:rPr/>
        <w:t>of</w:t>
      </w:r>
      <w:r>
        <w:rPr>
          <w:spacing w:val="-1"/>
        </w:rPr>
        <w:t> </w:t>
      </w:r>
      <w:r>
        <w:rPr/>
        <w:t>play-by-play</w:t>
      </w:r>
      <w:r>
        <w:rPr>
          <w:spacing w:val="-1"/>
        </w:rPr>
        <w:t> </w:t>
      </w:r>
      <w:r>
        <w:rPr/>
        <w:t>data, rather</w:t>
      </w:r>
      <w:r>
        <w:rPr>
          <w:spacing w:val="-1"/>
        </w:rPr>
        <w:t> </w:t>
      </w:r>
      <w:r>
        <w:rPr/>
        <w:t>than</w:t>
      </w:r>
      <w:r>
        <w:rPr>
          <w:spacing w:val="-1"/>
        </w:rPr>
        <w:t> </w:t>
      </w:r>
      <w:r>
        <w:rPr/>
        <w:t>action</w:t>
      </w:r>
      <w:r>
        <w:rPr>
          <w:spacing w:val="-1"/>
        </w:rPr>
        <w:t> </w:t>
      </w:r>
      <w:r>
        <w:rPr/>
        <w:t>by</w:t>
      </w:r>
      <w:r>
        <w:rPr>
          <w:spacing w:val="-1"/>
        </w:rPr>
        <w:t> </w:t>
      </w:r>
      <w:r>
        <w:rPr/>
        <w:t>action</w:t>
      </w:r>
      <w:r>
        <w:rPr>
          <w:spacing w:val="-1"/>
        </w:rPr>
        <w:t> </w:t>
      </w:r>
      <w:r>
        <w:rPr/>
        <w:t>data, which</w:t>
      </w:r>
      <w:r>
        <w:rPr>
          <w:spacing w:val="-1"/>
        </w:rPr>
        <w:t> </w:t>
      </w:r>
      <w:r>
        <w:rPr/>
        <w:t>wasn’t available at the time they were published.</w:t>
      </w:r>
      <w:r>
        <w:rPr>
          <w:spacing w:val="40"/>
        </w:rPr>
        <w:t> </w:t>
      </w:r>
      <w:r>
        <w:rPr/>
        <w:t>There is therefore a gap in the rugby league literature whereby a methodology, which can evaluate player and team performances on an</w:t>
      </w:r>
      <w:r>
        <w:rPr>
          <w:spacing w:val="-1"/>
        </w:rPr>
        <w:t> </w:t>
      </w:r>
      <w:r>
        <w:rPr/>
        <w:t>action</w:t>
      </w:r>
      <w:r>
        <w:rPr>
          <w:spacing w:val="-1"/>
        </w:rPr>
        <w:t> </w:t>
      </w:r>
      <w:r>
        <w:rPr/>
        <w:t>by</w:t>
      </w:r>
      <w:r>
        <w:rPr>
          <w:spacing w:val="-1"/>
        </w:rPr>
        <w:t> </w:t>
      </w:r>
      <w:r>
        <w:rPr/>
        <w:t>action</w:t>
      </w:r>
      <w:r>
        <w:rPr>
          <w:spacing w:val="-1"/>
        </w:rPr>
        <w:t> </w:t>
      </w:r>
      <w:r>
        <w:rPr/>
        <w:t>level, providing</w:t>
      </w:r>
      <w:r>
        <w:rPr>
          <w:spacing w:val="-1"/>
        </w:rPr>
        <w:t> </w:t>
      </w:r>
      <w:r>
        <w:rPr/>
        <w:t>a</w:t>
      </w:r>
      <w:r>
        <w:rPr>
          <w:spacing w:val="-1"/>
        </w:rPr>
        <w:t> </w:t>
      </w:r>
      <w:r>
        <w:rPr/>
        <w:t>smooth</w:t>
      </w:r>
      <w:r>
        <w:rPr>
          <w:spacing w:val="-1"/>
        </w:rPr>
        <w:t> </w:t>
      </w:r>
      <w:r>
        <w:rPr/>
        <w:t>pitch</w:t>
      </w:r>
      <w:r>
        <w:rPr>
          <w:spacing w:val="-1"/>
        </w:rPr>
        <w:t> </w:t>
      </w:r>
      <w:r>
        <w:rPr/>
        <w:t>surface</w:t>
      </w:r>
      <w:r>
        <w:rPr>
          <w:spacing w:val="-1"/>
        </w:rPr>
        <w:t> </w:t>
      </w:r>
      <w:r>
        <w:rPr/>
        <w:t>and</w:t>
      </w:r>
      <w:r>
        <w:rPr>
          <w:spacing w:val="-1"/>
        </w:rPr>
        <w:t> </w:t>
      </w:r>
      <w:r>
        <w:rPr/>
        <w:t>estimating</w:t>
      </w:r>
      <w:r>
        <w:rPr>
          <w:spacing w:val="-1"/>
        </w:rPr>
        <w:t> </w:t>
      </w:r>
      <w:r>
        <w:rPr/>
        <w:t>the</w:t>
      </w:r>
      <w:r>
        <w:rPr>
          <w:spacing w:val="-1"/>
        </w:rPr>
        <w:t> </w:t>
      </w:r>
      <w:r>
        <w:rPr/>
        <w:t>individual probabilities of possession outcomes is required.</w:t>
      </w:r>
    </w:p>
    <w:p>
      <w:pPr>
        <w:pStyle w:val="BodyText"/>
        <w:spacing w:line="312" w:lineRule="auto"/>
        <w:ind w:left="610" w:right="389" w:firstLine="351"/>
        <w:jc w:val="both"/>
      </w:pPr>
      <w:r>
        <w:rPr/>
        <w:t>This research will address the gap in the literature by providing new methodologies to</w:t>
      </w:r>
      <w:r>
        <w:rPr>
          <w:spacing w:val="-2"/>
        </w:rPr>
        <w:t> </w:t>
      </w:r>
      <w:r>
        <w:rPr/>
        <w:t>evaluate</w:t>
      </w:r>
      <w:r>
        <w:rPr>
          <w:spacing w:val="-2"/>
        </w:rPr>
        <w:t> </w:t>
      </w:r>
      <w:r>
        <w:rPr/>
        <w:t>player</w:t>
      </w:r>
      <w:r>
        <w:rPr>
          <w:spacing w:val="-2"/>
        </w:rPr>
        <w:t> </w:t>
      </w:r>
      <w:r>
        <w:rPr/>
        <w:t>and</w:t>
      </w:r>
      <w:r>
        <w:rPr>
          <w:spacing w:val="-3"/>
        </w:rPr>
        <w:t> </w:t>
      </w:r>
      <w:r>
        <w:rPr/>
        <w:t>team</w:t>
      </w:r>
      <w:r>
        <w:rPr>
          <w:spacing w:val="-2"/>
        </w:rPr>
        <w:t> </w:t>
      </w:r>
      <w:r>
        <w:rPr/>
        <w:t>performances</w:t>
      </w:r>
      <w:r>
        <w:rPr>
          <w:spacing w:val="-2"/>
        </w:rPr>
        <w:t> </w:t>
      </w:r>
      <w:r>
        <w:rPr/>
        <w:t>using</w:t>
      </w:r>
      <w:r>
        <w:rPr>
          <w:spacing w:val="-2"/>
        </w:rPr>
        <w:t> </w:t>
      </w:r>
      <w:r>
        <w:rPr/>
        <w:t>action</w:t>
      </w:r>
      <w:r>
        <w:rPr>
          <w:spacing w:val="-2"/>
        </w:rPr>
        <w:t> </w:t>
      </w:r>
      <w:r>
        <w:rPr/>
        <w:t>by</w:t>
      </w:r>
      <w:r>
        <w:rPr>
          <w:spacing w:val="-2"/>
        </w:rPr>
        <w:t> </w:t>
      </w:r>
      <w:r>
        <w:rPr/>
        <w:t>action</w:t>
      </w:r>
      <w:r>
        <w:rPr>
          <w:spacing w:val="-2"/>
        </w:rPr>
        <w:t> </w:t>
      </w:r>
      <w:r>
        <w:rPr/>
        <w:t>data</w:t>
      </w:r>
      <w:r>
        <w:rPr>
          <w:spacing w:val="-3"/>
        </w:rPr>
        <w:t> </w:t>
      </w:r>
      <w:r>
        <w:rPr/>
        <w:t>in</w:t>
      </w:r>
      <w:r>
        <w:rPr>
          <w:spacing w:val="-2"/>
        </w:rPr>
        <w:t> </w:t>
      </w:r>
      <w:r>
        <w:rPr/>
        <w:t>rugby</w:t>
      </w:r>
      <w:r>
        <w:rPr>
          <w:spacing w:val="-2"/>
        </w:rPr>
        <w:t> </w:t>
      </w:r>
      <w:r>
        <w:rPr/>
        <w:t>league</w:t>
      </w:r>
      <w:r>
        <w:rPr>
          <w:spacing w:val="-2"/>
        </w:rPr>
        <w:t> </w:t>
      </w:r>
      <w:r>
        <w:rPr/>
        <w:t>-</w:t>
      </w:r>
      <w:r>
        <w:rPr>
          <w:spacing w:val="-2"/>
        </w:rPr>
        <w:t> </w:t>
      </w:r>
      <w:r>
        <w:rPr/>
        <w:t>a sport</w:t>
      </w:r>
      <w:r>
        <w:rPr>
          <w:spacing w:val="-5"/>
        </w:rPr>
        <w:t> </w:t>
      </w:r>
      <w:r>
        <w:rPr/>
        <w:t>with</w:t>
      </w:r>
      <w:r>
        <w:rPr>
          <w:spacing w:val="-5"/>
        </w:rPr>
        <w:t> </w:t>
      </w:r>
      <w:r>
        <w:rPr/>
        <w:t>low</w:t>
      </w:r>
      <w:r>
        <w:rPr>
          <w:spacing w:val="-5"/>
        </w:rPr>
        <w:t> </w:t>
      </w:r>
      <w:r>
        <w:rPr/>
        <w:t>data</w:t>
      </w:r>
      <w:r>
        <w:rPr>
          <w:spacing w:val="-5"/>
        </w:rPr>
        <w:t> </w:t>
      </w:r>
      <w:r>
        <w:rPr/>
        <w:t>availability. The</w:t>
      </w:r>
      <w:r>
        <w:rPr>
          <w:spacing w:val="-5"/>
        </w:rPr>
        <w:t> </w:t>
      </w:r>
      <w:r>
        <w:rPr/>
        <w:t>project</w:t>
      </w:r>
      <w:r>
        <w:rPr>
          <w:spacing w:val="-5"/>
        </w:rPr>
        <w:t> </w:t>
      </w:r>
      <w:r>
        <w:rPr/>
        <w:t>is</w:t>
      </w:r>
      <w:r>
        <w:rPr>
          <w:spacing w:val="-5"/>
        </w:rPr>
        <w:t> </w:t>
      </w:r>
      <w:r>
        <w:rPr/>
        <w:t>part</w:t>
      </w:r>
      <w:r>
        <w:rPr>
          <w:spacing w:val="-5"/>
        </w:rPr>
        <w:t> </w:t>
      </w:r>
      <w:r>
        <w:rPr/>
        <w:t>of</w:t>
      </w:r>
      <w:r>
        <w:rPr>
          <w:spacing w:val="-5"/>
        </w:rPr>
        <w:t> </w:t>
      </w:r>
      <w:r>
        <w:rPr/>
        <w:t>a</w:t>
      </w:r>
      <w:r>
        <w:rPr>
          <w:spacing w:val="-5"/>
        </w:rPr>
        <w:t> </w:t>
      </w:r>
      <w:r>
        <w:rPr/>
        <w:t>collaboration</w:t>
      </w:r>
      <w:r>
        <w:rPr>
          <w:spacing w:val="-5"/>
        </w:rPr>
        <w:t> </w:t>
      </w:r>
      <w:r>
        <w:rPr/>
        <w:t>between</w:t>
      </w:r>
      <w:r>
        <w:rPr>
          <w:spacing w:val="-5"/>
        </w:rPr>
        <w:t> </w:t>
      </w:r>
      <w:r>
        <w:rPr/>
        <w:t>the</w:t>
      </w:r>
      <w:r>
        <w:rPr>
          <w:spacing w:val="-5"/>
        </w:rPr>
        <w:t> </w:t>
      </w:r>
      <w:r>
        <w:rPr/>
        <w:t>Rugby Football</w:t>
      </w:r>
      <w:r>
        <w:rPr>
          <w:spacing w:val="-15"/>
        </w:rPr>
        <w:t> </w:t>
      </w:r>
      <w:r>
        <w:rPr/>
        <w:t>League,</w:t>
      </w:r>
      <w:r>
        <w:rPr>
          <w:spacing w:val="-15"/>
        </w:rPr>
        <w:t> </w:t>
      </w:r>
      <w:r>
        <w:rPr/>
        <w:t>Carnegie</w:t>
      </w:r>
      <w:r>
        <w:rPr>
          <w:spacing w:val="-15"/>
        </w:rPr>
        <w:t> </w:t>
      </w:r>
      <w:r>
        <w:rPr/>
        <w:t>School</w:t>
      </w:r>
      <w:r>
        <w:rPr>
          <w:spacing w:val="-15"/>
        </w:rPr>
        <w:t> </w:t>
      </w:r>
      <w:r>
        <w:rPr/>
        <w:t>of</w:t>
      </w:r>
      <w:r>
        <w:rPr>
          <w:spacing w:val="-15"/>
        </w:rPr>
        <w:t> </w:t>
      </w:r>
      <w:r>
        <w:rPr/>
        <w:t>Sport</w:t>
      </w:r>
      <w:r>
        <w:rPr>
          <w:spacing w:val="-15"/>
        </w:rPr>
        <w:t> </w:t>
      </w:r>
      <w:r>
        <w:rPr/>
        <w:t>and</w:t>
      </w:r>
      <w:r>
        <w:rPr>
          <w:spacing w:val="-15"/>
        </w:rPr>
        <w:t> </w:t>
      </w:r>
      <w:r>
        <w:rPr/>
        <w:t>School</w:t>
      </w:r>
      <w:r>
        <w:rPr>
          <w:spacing w:val="-15"/>
        </w:rPr>
        <w:t> </w:t>
      </w:r>
      <w:r>
        <w:rPr/>
        <w:t>of</w:t>
      </w:r>
      <w:r>
        <w:rPr>
          <w:spacing w:val="-15"/>
        </w:rPr>
        <w:t> </w:t>
      </w:r>
      <w:r>
        <w:rPr/>
        <w:t>Built</w:t>
      </w:r>
      <w:r>
        <w:rPr>
          <w:spacing w:val="-15"/>
        </w:rPr>
        <w:t> </w:t>
      </w:r>
      <w:r>
        <w:rPr/>
        <w:t>Environment,</w:t>
      </w:r>
      <w:r>
        <w:rPr>
          <w:spacing w:val="-15"/>
        </w:rPr>
        <w:t> </w:t>
      </w:r>
      <w:r>
        <w:rPr/>
        <w:t>Engineering and Computing at Leeds Becket University.</w:t>
      </w:r>
      <w:r>
        <w:rPr>
          <w:spacing w:val="40"/>
        </w:rPr>
        <w:t> </w:t>
      </w:r>
      <w:r>
        <w:rPr/>
        <w:t>The overarching aim was to provide new insights into rugby league through the use of advanced data analytics methods.</w:t>
      </w:r>
    </w:p>
    <w:p>
      <w:pPr>
        <w:pStyle w:val="BodyText"/>
        <w:spacing w:before="3"/>
        <w:rPr>
          <w:sz w:val="40"/>
        </w:rPr>
      </w:pPr>
    </w:p>
    <w:p>
      <w:pPr>
        <w:pStyle w:val="Heading2"/>
        <w:numPr>
          <w:ilvl w:val="1"/>
          <w:numId w:val="16"/>
        </w:numPr>
        <w:tabs>
          <w:tab w:pos="1385" w:val="left" w:leader="none"/>
          <w:tab w:pos="1386" w:val="left" w:leader="none"/>
        </w:tabs>
        <w:spacing w:line="240" w:lineRule="auto" w:before="0" w:after="0"/>
        <w:ind w:left="1385" w:right="0" w:hanging="776"/>
        <w:jc w:val="left"/>
      </w:pPr>
      <w:bookmarkStart w:name="_TOC_250064" w:id="10"/>
      <w:bookmarkStart w:name="1.3 Goals and Objectives" w:id="11"/>
      <w:r>
        <w:rPr>
          <w:b w:val="0"/>
        </w:rPr>
      </w:r>
      <w:bookmarkStart w:name="_bookmark4" w:id="12"/>
      <w:bookmarkEnd w:id="12"/>
      <w:r>
        <w:rPr/>
        <w:t>Goals</w:t>
      </w:r>
      <w:r>
        <w:rPr>
          <w:spacing w:val="7"/>
        </w:rPr>
        <w:t> </w:t>
      </w:r>
      <w:r>
        <w:rPr/>
        <w:t>and</w:t>
      </w:r>
      <w:r>
        <w:rPr>
          <w:spacing w:val="8"/>
        </w:rPr>
        <w:t> </w:t>
      </w:r>
      <w:bookmarkEnd w:id="10"/>
      <w:r>
        <w:rPr>
          <w:spacing w:val="-2"/>
        </w:rPr>
        <w:t>Objectives</w:t>
      </w:r>
    </w:p>
    <w:p>
      <w:pPr>
        <w:pStyle w:val="BodyText"/>
        <w:spacing w:line="312" w:lineRule="auto" w:before="308"/>
        <w:ind w:left="610" w:right="389"/>
        <w:jc w:val="both"/>
      </w:pPr>
      <w:r>
        <w:rPr/>
        <w:t>This</w:t>
      </w:r>
      <w:r>
        <w:rPr>
          <w:spacing w:val="-8"/>
        </w:rPr>
        <w:t> </w:t>
      </w:r>
      <w:r>
        <w:rPr/>
        <w:t>PhD</w:t>
      </w:r>
      <w:r>
        <w:rPr>
          <w:spacing w:val="-9"/>
        </w:rPr>
        <w:t> </w:t>
      </w:r>
      <w:r>
        <w:rPr/>
        <w:t>project</w:t>
      </w:r>
      <w:r>
        <w:rPr>
          <w:spacing w:val="-8"/>
        </w:rPr>
        <w:t> </w:t>
      </w:r>
      <w:r>
        <w:rPr/>
        <w:t>aims</w:t>
      </w:r>
      <w:r>
        <w:rPr>
          <w:spacing w:val="-8"/>
        </w:rPr>
        <w:t> </w:t>
      </w:r>
      <w:r>
        <w:rPr/>
        <w:t>to</w:t>
      </w:r>
      <w:r>
        <w:rPr>
          <w:spacing w:val="-9"/>
        </w:rPr>
        <w:t> </w:t>
      </w:r>
      <w:r>
        <w:rPr/>
        <w:t>develop</w:t>
      </w:r>
      <w:r>
        <w:rPr>
          <w:spacing w:val="-8"/>
        </w:rPr>
        <w:t> </w:t>
      </w:r>
      <w:r>
        <w:rPr/>
        <w:t>new</w:t>
      </w:r>
      <w:r>
        <w:rPr>
          <w:spacing w:val="-8"/>
        </w:rPr>
        <w:t> </w:t>
      </w:r>
      <w:r>
        <w:rPr/>
        <w:t>methodologies</w:t>
      </w:r>
      <w:r>
        <w:rPr>
          <w:spacing w:val="-9"/>
        </w:rPr>
        <w:t> </w:t>
      </w:r>
      <w:r>
        <w:rPr/>
        <w:t>to</w:t>
      </w:r>
      <w:r>
        <w:rPr>
          <w:spacing w:val="-8"/>
        </w:rPr>
        <w:t> </w:t>
      </w:r>
      <w:r>
        <w:rPr/>
        <w:t>evaluate</w:t>
      </w:r>
      <w:r>
        <w:rPr>
          <w:spacing w:val="-8"/>
        </w:rPr>
        <w:t> </w:t>
      </w:r>
      <w:r>
        <w:rPr/>
        <w:t>player</w:t>
      </w:r>
      <w:r>
        <w:rPr>
          <w:spacing w:val="-9"/>
        </w:rPr>
        <w:t> </w:t>
      </w:r>
      <w:r>
        <w:rPr/>
        <w:t>and</w:t>
      </w:r>
      <w:r>
        <w:rPr>
          <w:spacing w:val="-8"/>
        </w:rPr>
        <w:t> </w:t>
      </w:r>
      <w:r>
        <w:rPr/>
        <w:t>team</w:t>
      </w:r>
      <w:r>
        <w:rPr>
          <w:spacing w:val="-8"/>
        </w:rPr>
        <w:t> </w:t>
      </w:r>
      <w:r>
        <w:rPr/>
        <w:t>perfor- mances</w:t>
      </w:r>
      <w:r>
        <w:rPr>
          <w:spacing w:val="-6"/>
        </w:rPr>
        <w:t> </w:t>
      </w:r>
      <w:r>
        <w:rPr/>
        <w:t>in</w:t>
      </w:r>
      <w:r>
        <w:rPr>
          <w:spacing w:val="-6"/>
        </w:rPr>
        <w:t> </w:t>
      </w:r>
      <w:r>
        <w:rPr/>
        <w:t>rugby</w:t>
      </w:r>
      <w:r>
        <w:rPr>
          <w:spacing w:val="-6"/>
        </w:rPr>
        <w:t> </w:t>
      </w:r>
      <w:r>
        <w:rPr/>
        <w:t>league</w:t>
      </w:r>
      <w:r>
        <w:rPr>
          <w:spacing w:val="-6"/>
        </w:rPr>
        <w:t> </w:t>
      </w:r>
      <w:r>
        <w:rPr/>
        <w:t>using</w:t>
      </w:r>
      <w:r>
        <w:rPr>
          <w:spacing w:val="-6"/>
        </w:rPr>
        <w:t> </w:t>
      </w:r>
      <w:r>
        <w:rPr/>
        <w:t>match</w:t>
      </w:r>
      <w:r>
        <w:rPr>
          <w:spacing w:val="-6"/>
        </w:rPr>
        <w:t> </w:t>
      </w:r>
      <w:r>
        <w:rPr/>
        <w:t>event</w:t>
      </w:r>
      <w:r>
        <w:rPr>
          <w:spacing w:val="-6"/>
        </w:rPr>
        <w:t> </w:t>
      </w:r>
      <w:r>
        <w:rPr/>
        <w:t>level</w:t>
      </w:r>
      <w:r>
        <w:rPr>
          <w:spacing w:val="-6"/>
        </w:rPr>
        <w:t> </w:t>
      </w:r>
      <w:r>
        <w:rPr/>
        <w:t>data. To</w:t>
      </w:r>
      <w:r>
        <w:rPr>
          <w:spacing w:val="-6"/>
        </w:rPr>
        <w:t> </w:t>
      </w:r>
      <w:r>
        <w:rPr/>
        <w:t>achieve</w:t>
      </w:r>
      <w:r>
        <w:rPr>
          <w:spacing w:val="-6"/>
        </w:rPr>
        <w:t> </w:t>
      </w:r>
      <w:r>
        <w:rPr/>
        <w:t>this</w:t>
      </w:r>
      <w:r>
        <w:rPr>
          <w:spacing w:val="-6"/>
        </w:rPr>
        <w:t> </w:t>
      </w:r>
      <w:r>
        <w:rPr/>
        <w:t>goal,</w:t>
      </w:r>
      <w:r>
        <w:rPr>
          <w:spacing w:val="-5"/>
        </w:rPr>
        <w:t> </w:t>
      </w:r>
      <w:r>
        <w:rPr/>
        <w:t>the</w:t>
      </w:r>
      <w:r>
        <w:rPr>
          <w:spacing w:val="-6"/>
        </w:rPr>
        <w:t> </w:t>
      </w:r>
      <w:r>
        <w:rPr/>
        <w:t>following objectives will be met.</w:t>
      </w:r>
    </w:p>
    <w:p>
      <w:pPr>
        <w:spacing w:after="0" w:line="312" w:lineRule="auto"/>
        <w:jc w:val="both"/>
        <w:sectPr>
          <w:headerReference w:type="default" r:id="rId22"/>
          <w:footerReference w:type="default" r:id="rId23"/>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1195" w:right="496" w:hanging="410"/>
      </w:pPr>
      <w:r>
        <w:rPr/>
        <w:t>O1Investigate existing methodologies of evaluating player and team performance </w:t>
      </w:r>
      <w:r>
        <w:rPr/>
        <w:t>in team sports, focusing on their application to rugby league</w:t>
      </w:r>
    </w:p>
    <w:p>
      <w:pPr>
        <w:pStyle w:val="BodyText"/>
        <w:spacing w:line="312" w:lineRule="auto" w:before="199"/>
        <w:ind w:left="1195" w:hanging="410"/>
      </w:pPr>
      <w:r>
        <w:rPr/>
        <w:t>O2Apply and adapt existing methodologies and metrics evaluating player and </w:t>
      </w:r>
      <w:r>
        <w:rPr/>
        <w:t>team performances in team sports to rugby league</w:t>
      </w:r>
    </w:p>
    <w:p>
      <w:pPr>
        <w:pStyle w:val="BodyText"/>
        <w:spacing w:line="312" w:lineRule="auto" w:before="199"/>
        <w:ind w:left="1195" w:hanging="410"/>
      </w:pPr>
      <w:r>
        <w:rPr/>
        <w:t>O3Validate adapted versions of existing methodologies and metrics for usability </w:t>
      </w:r>
      <w:r>
        <w:rPr/>
        <w:t>and reliability in rugby league</w:t>
      </w:r>
    </w:p>
    <w:p>
      <w:pPr>
        <w:pStyle w:val="BodyText"/>
        <w:spacing w:line="312" w:lineRule="auto" w:before="199"/>
        <w:ind w:left="1195" w:right="496" w:hanging="410"/>
      </w:pPr>
      <w:r>
        <w:rPr>
          <w:spacing w:val="-2"/>
        </w:rPr>
        <w:t>O4Develop</w:t>
      </w:r>
      <w:r>
        <w:rPr>
          <w:spacing w:val="-9"/>
        </w:rPr>
        <w:t> </w:t>
      </w:r>
      <w:r>
        <w:rPr>
          <w:spacing w:val="-2"/>
        </w:rPr>
        <w:t>novel</w:t>
      </w:r>
      <w:r>
        <w:rPr>
          <w:spacing w:val="-9"/>
        </w:rPr>
        <w:t> </w:t>
      </w:r>
      <w:r>
        <w:rPr>
          <w:spacing w:val="-2"/>
        </w:rPr>
        <w:t>methodologies</w:t>
      </w:r>
      <w:r>
        <w:rPr>
          <w:spacing w:val="-9"/>
        </w:rPr>
        <w:t> </w:t>
      </w:r>
      <w:r>
        <w:rPr>
          <w:spacing w:val="-2"/>
        </w:rPr>
        <w:t>and</w:t>
      </w:r>
      <w:r>
        <w:rPr>
          <w:spacing w:val="-9"/>
        </w:rPr>
        <w:t> </w:t>
      </w:r>
      <w:r>
        <w:rPr>
          <w:spacing w:val="-2"/>
        </w:rPr>
        <w:t>metrics</w:t>
      </w:r>
      <w:r>
        <w:rPr>
          <w:spacing w:val="-9"/>
        </w:rPr>
        <w:t> </w:t>
      </w:r>
      <w:r>
        <w:rPr>
          <w:spacing w:val="-2"/>
        </w:rPr>
        <w:t>to</w:t>
      </w:r>
      <w:r>
        <w:rPr>
          <w:spacing w:val="-9"/>
        </w:rPr>
        <w:t> </w:t>
      </w:r>
      <w:r>
        <w:rPr>
          <w:spacing w:val="-2"/>
        </w:rPr>
        <w:t>evaluate</w:t>
      </w:r>
      <w:r>
        <w:rPr>
          <w:spacing w:val="-9"/>
        </w:rPr>
        <w:t> </w:t>
      </w:r>
      <w:r>
        <w:rPr>
          <w:spacing w:val="-2"/>
        </w:rPr>
        <w:t>player</w:t>
      </w:r>
      <w:r>
        <w:rPr>
          <w:spacing w:val="-9"/>
        </w:rPr>
        <w:t> </w:t>
      </w:r>
      <w:r>
        <w:rPr>
          <w:spacing w:val="-2"/>
        </w:rPr>
        <w:t>and</w:t>
      </w:r>
      <w:r>
        <w:rPr>
          <w:spacing w:val="-9"/>
        </w:rPr>
        <w:t> </w:t>
      </w:r>
      <w:r>
        <w:rPr>
          <w:spacing w:val="-2"/>
        </w:rPr>
        <w:t>team</w:t>
      </w:r>
      <w:r>
        <w:rPr>
          <w:spacing w:val="-9"/>
        </w:rPr>
        <w:t> </w:t>
      </w:r>
      <w:r>
        <w:rPr>
          <w:spacing w:val="-2"/>
        </w:rPr>
        <w:t>performances </w:t>
      </w:r>
      <w:r>
        <w:rPr/>
        <w:t>in rugby league</w:t>
      </w:r>
    </w:p>
    <w:p>
      <w:pPr>
        <w:pStyle w:val="BodyText"/>
        <w:spacing w:line="312" w:lineRule="auto" w:before="198"/>
        <w:ind w:left="1195" w:right="496" w:hanging="410"/>
      </w:pPr>
      <w:r>
        <w:rPr/>
        <w:t>O5Validate proposed methodologies and metrics for usability and reliability with </w:t>
      </w:r>
      <w:r>
        <w:rPr/>
        <w:t>re- spect to evaluating player and team performances in rugby league</w:t>
      </w:r>
    </w:p>
    <w:p>
      <w:pPr>
        <w:pStyle w:val="BodyText"/>
        <w:spacing w:line="312" w:lineRule="auto" w:before="199"/>
        <w:ind w:left="610" w:right="389" w:firstLine="351"/>
        <w:jc w:val="both"/>
      </w:pPr>
      <w:r>
        <w:rPr/>
        <w:t>The</w:t>
      </w:r>
      <w:r>
        <w:rPr>
          <w:spacing w:val="-15"/>
        </w:rPr>
        <w:t> </w:t>
      </w:r>
      <w:r>
        <w:rPr/>
        <w:t>data</w:t>
      </w:r>
      <w:r>
        <w:rPr>
          <w:spacing w:val="-15"/>
        </w:rPr>
        <w:t> </w:t>
      </w:r>
      <w:r>
        <w:rPr/>
        <w:t>for</w:t>
      </w:r>
      <w:r>
        <w:rPr>
          <w:spacing w:val="-15"/>
        </w:rPr>
        <w:t> </w:t>
      </w:r>
      <w:r>
        <w:rPr/>
        <w:t>the</w:t>
      </w:r>
      <w:r>
        <w:rPr>
          <w:spacing w:val="-15"/>
        </w:rPr>
        <w:t> </w:t>
      </w:r>
      <w:r>
        <w:rPr/>
        <w:t>project</w:t>
      </w:r>
      <w:r>
        <w:rPr>
          <w:spacing w:val="-15"/>
        </w:rPr>
        <w:t> </w:t>
      </w:r>
      <w:r>
        <w:rPr/>
        <w:t>was</w:t>
      </w:r>
      <w:r>
        <w:rPr>
          <w:spacing w:val="-15"/>
        </w:rPr>
        <w:t> </w:t>
      </w:r>
      <w:r>
        <w:rPr/>
        <w:t>provided</w:t>
      </w:r>
      <w:r>
        <w:rPr>
          <w:spacing w:val="-15"/>
        </w:rPr>
        <w:t> </w:t>
      </w:r>
      <w:r>
        <w:rPr/>
        <w:t>by</w:t>
      </w:r>
      <w:r>
        <w:rPr>
          <w:spacing w:val="-15"/>
        </w:rPr>
        <w:t> </w:t>
      </w:r>
      <w:r>
        <w:rPr/>
        <w:t>the</w:t>
      </w:r>
      <w:r>
        <w:rPr>
          <w:spacing w:val="-15"/>
        </w:rPr>
        <w:t> </w:t>
      </w:r>
      <w:r>
        <w:rPr/>
        <w:t>Rugby</w:t>
      </w:r>
      <w:r>
        <w:rPr>
          <w:spacing w:val="-15"/>
        </w:rPr>
        <w:t> </w:t>
      </w:r>
      <w:r>
        <w:rPr/>
        <w:t>Football</w:t>
      </w:r>
      <w:r>
        <w:rPr>
          <w:spacing w:val="-15"/>
        </w:rPr>
        <w:t> </w:t>
      </w:r>
      <w:r>
        <w:rPr/>
        <w:t>League</w:t>
      </w:r>
      <w:r>
        <w:rPr>
          <w:spacing w:val="-15"/>
        </w:rPr>
        <w:t> </w:t>
      </w:r>
      <w:r>
        <w:rPr/>
        <w:t>and</w:t>
      </w:r>
      <w:r>
        <w:rPr>
          <w:spacing w:val="-15"/>
        </w:rPr>
        <w:t> </w:t>
      </w:r>
      <w:r>
        <w:rPr/>
        <w:t>is</w:t>
      </w:r>
      <w:r>
        <w:rPr>
          <w:spacing w:val="-15"/>
        </w:rPr>
        <w:t> </w:t>
      </w:r>
      <w:r>
        <w:rPr/>
        <w:t>proprietary data owned by Opta/Stats Perform.</w:t>
      </w:r>
      <w:r>
        <w:rPr>
          <w:spacing w:val="40"/>
        </w:rPr>
        <w:t> </w:t>
      </w:r>
      <w:r>
        <w:rPr/>
        <w:t>Throughout the duration of the PhD, </w:t>
      </w:r>
      <w:r>
        <w:rPr/>
        <w:t>StatsPerform purchased Opta and progressively improved their data collection processes allowing for more advanced studies to take place as shown within the goals of the project.</w:t>
      </w:r>
      <w:r>
        <w:rPr>
          <w:spacing w:val="40"/>
        </w:rPr>
        <w:t> </w:t>
      </w:r>
      <w:r>
        <w:rPr/>
        <w:t>Unfortu- nately,</w:t>
      </w:r>
      <w:r>
        <w:rPr>
          <w:spacing w:val="-14"/>
        </w:rPr>
        <w:t> </w:t>
      </w:r>
      <w:r>
        <w:rPr/>
        <w:t>as</w:t>
      </w:r>
      <w:r>
        <w:rPr>
          <w:spacing w:val="-15"/>
        </w:rPr>
        <w:t> </w:t>
      </w:r>
      <w:r>
        <w:rPr/>
        <w:t>data</w:t>
      </w:r>
      <w:r>
        <w:rPr>
          <w:spacing w:val="-15"/>
        </w:rPr>
        <w:t> </w:t>
      </w:r>
      <w:r>
        <w:rPr/>
        <w:t>collection</w:t>
      </w:r>
      <w:r>
        <w:rPr>
          <w:spacing w:val="-15"/>
        </w:rPr>
        <w:t> </w:t>
      </w:r>
      <w:r>
        <w:rPr/>
        <w:t>processes</w:t>
      </w:r>
      <w:r>
        <w:rPr>
          <w:spacing w:val="-15"/>
        </w:rPr>
        <w:t> </w:t>
      </w:r>
      <w:r>
        <w:rPr/>
        <w:t>were</w:t>
      </w:r>
      <w:r>
        <w:rPr>
          <w:spacing w:val="-15"/>
        </w:rPr>
        <w:t> </w:t>
      </w:r>
      <w:r>
        <w:rPr/>
        <w:t>improving,</w:t>
      </w:r>
      <w:r>
        <w:rPr>
          <w:spacing w:val="-14"/>
        </w:rPr>
        <w:t> </w:t>
      </w:r>
      <w:r>
        <w:rPr/>
        <w:t>action</w:t>
      </w:r>
      <w:r>
        <w:rPr>
          <w:spacing w:val="-15"/>
        </w:rPr>
        <w:t> </w:t>
      </w:r>
      <w:r>
        <w:rPr/>
        <w:t>definitions</w:t>
      </w:r>
      <w:r>
        <w:rPr>
          <w:spacing w:val="-15"/>
        </w:rPr>
        <w:t> </w:t>
      </w:r>
      <w:r>
        <w:rPr/>
        <w:t>were</w:t>
      </w:r>
      <w:r>
        <w:rPr>
          <w:spacing w:val="-15"/>
        </w:rPr>
        <w:t> </w:t>
      </w:r>
      <w:r>
        <w:rPr/>
        <w:t>also</w:t>
      </w:r>
      <w:r>
        <w:rPr>
          <w:spacing w:val="-15"/>
        </w:rPr>
        <w:t> </w:t>
      </w:r>
      <w:r>
        <w:rPr/>
        <w:t>changed, ensuring that for each study, only one season of data could be used.</w:t>
      </w:r>
      <w:r>
        <w:rPr>
          <w:spacing w:val="40"/>
        </w:rPr>
        <w:t> </w:t>
      </w:r>
      <w:r>
        <w:rPr/>
        <w:t>Ethical approval was obtained prior to any analyses being conducted (Appendix</w:t>
      </w:r>
      <w:r>
        <w:rPr>
          <w:color w:val="0000FF"/>
        </w:rPr>
        <w:t>A</w:t>
      </w:r>
      <w:r>
        <w:rPr/>
        <w:t>). The ethical approval allowed teams to be named, but not players.</w:t>
      </w:r>
      <w:r>
        <w:rPr>
          <w:spacing w:val="39"/>
        </w:rPr>
        <w:t> </w:t>
      </w:r>
      <w:r>
        <w:rPr/>
        <w:t>As such, all player names are pseudonyms within this thesis.</w:t>
      </w:r>
    </w:p>
    <w:p>
      <w:pPr>
        <w:pStyle w:val="BodyText"/>
        <w:spacing w:before="7"/>
        <w:rPr>
          <w:sz w:val="40"/>
        </w:rPr>
      </w:pPr>
    </w:p>
    <w:p>
      <w:pPr>
        <w:pStyle w:val="Heading2"/>
        <w:numPr>
          <w:ilvl w:val="1"/>
          <w:numId w:val="16"/>
        </w:numPr>
        <w:tabs>
          <w:tab w:pos="1385" w:val="left" w:leader="none"/>
          <w:tab w:pos="1386" w:val="left" w:leader="none"/>
        </w:tabs>
        <w:spacing w:line="240" w:lineRule="auto" w:before="0" w:after="0"/>
        <w:ind w:left="1385" w:right="0" w:hanging="776"/>
        <w:jc w:val="left"/>
      </w:pPr>
      <w:bookmarkStart w:name="_TOC_250063" w:id="13"/>
      <w:bookmarkStart w:name="1.4 Thesis Scope" w:id="14"/>
      <w:r>
        <w:rPr>
          <w:b w:val="0"/>
        </w:rPr>
      </w:r>
      <w:bookmarkStart w:name="_bookmark5" w:id="15"/>
      <w:bookmarkEnd w:id="15"/>
      <w:r>
        <w:rPr/>
        <w:t>Thesis</w:t>
      </w:r>
      <w:r>
        <w:rPr>
          <w:spacing w:val="10"/>
        </w:rPr>
        <w:t> </w:t>
      </w:r>
      <w:bookmarkEnd w:id="13"/>
      <w:r>
        <w:rPr>
          <w:spacing w:val="-2"/>
        </w:rPr>
        <w:t>Scope</w:t>
      </w:r>
    </w:p>
    <w:p>
      <w:pPr>
        <w:pStyle w:val="BodyText"/>
        <w:spacing w:line="312" w:lineRule="auto" w:before="308"/>
        <w:ind w:left="610" w:right="389"/>
        <w:jc w:val="both"/>
      </w:pPr>
      <w:r>
        <w:rPr/>
        <w:t>In order to achieve the objectives for this thesis, the current literature will be applied, adapted and extended within rugby league before a novel approach to the estimation of EPV is considered.</w:t>
      </w:r>
      <w:r>
        <w:rPr>
          <w:spacing w:val="27"/>
        </w:rPr>
        <w:t> </w:t>
      </w:r>
      <w:r>
        <w:rPr/>
        <w:t>In doing so, two types of pitch surfaces will be produced: zonal </w:t>
      </w:r>
      <w:r>
        <w:rPr/>
        <w:t>and </w:t>
      </w:r>
      <w:r>
        <w:rPr>
          <w:spacing w:val="-2"/>
        </w:rPr>
        <w:t>smooth.</w:t>
      </w:r>
    </w:p>
    <w:p>
      <w:pPr>
        <w:pStyle w:val="BodyText"/>
        <w:spacing w:line="312" w:lineRule="auto"/>
        <w:ind w:left="610" w:right="389" w:firstLine="351"/>
        <w:jc w:val="both"/>
      </w:pPr>
      <w:r>
        <w:rPr/>
        <w:t>Zonal</w:t>
      </w:r>
      <w:r>
        <w:rPr>
          <w:spacing w:val="-5"/>
        </w:rPr>
        <w:t> </w:t>
      </w:r>
      <w:r>
        <w:rPr/>
        <w:t>pitch</w:t>
      </w:r>
      <w:r>
        <w:rPr>
          <w:spacing w:val="-5"/>
        </w:rPr>
        <w:t> </w:t>
      </w:r>
      <w:r>
        <w:rPr/>
        <w:t>surfaces</w:t>
      </w:r>
      <w:r>
        <w:rPr>
          <w:spacing w:val="-5"/>
        </w:rPr>
        <w:t> </w:t>
      </w:r>
      <w:r>
        <w:rPr/>
        <w:t>will</w:t>
      </w:r>
      <w:r>
        <w:rPr>
          <w:spacing w:val="-5"/>
        </w:rPr>
        <w:t> </w:t>
      </w:r>
      <w:r>
        <w:rPr/>
        <w:t>be</w:t>
      </w:r>
      <w:r>
        <w:rPr>
          <w:spacing w:val="-5"/>
        </w:rPr>
        <w:t> </w:t>
      </w:r>
      <w:r>
        <w:rPr/>
        <w:t>produced</w:t>
      </w:r>
      <w:r>
        <w:rPr>
          <w:spacing w:val="-5"/>
        </w:rPr>
        <w:t> </w:t>
      </w:r>
      <w:r>
        <w:rPr/>
        <w:t>by</w:t>
      </w:r>
      <w:r>
        <w:rPr>
          <w:spacing w:val="-5"/>
        </w:rPr>
        <w:t> </w:t>
      </w:r>
      <w:r>
        <w:rPr/>
        <w:t>applying,</w:t>
      </w:r>
      <w:r>
        <w:rPr>
          <w:spacing w:val="-4"/>
        </w:rPr>
        <w:t> </w:t>
      </w:r>
      <w:r>
        <w:rPr/>
        <w:t>adapting</w:t>
      </w:r>
      <w:r>
        <w:rPr>
          <w:spacing w:val="-5"/>
        </w:rPr>
        <w:t> </w:t>
      </w:r>
      <w:r>
        <w:rPr/>
        <w:t>and</w:t>
      </w:r>
      <w:r>
        <w:rPr>
          <w:spacing w:val="-5"/>
        </w:rPr>
        <w:t> </w:t>
      </w:r>
      <w:r>
        <w:rPr/>
        <w:t>extending</w:t>
      </w:r>
      <w:r>
        <w:rPr>
          <w:spacing w:val="-5"/>
        </w:rPr>
        <w:t> </w:t>
      </w:r>
      <w:r>
        <w:rPr/>
        <w:t>work</w:t>
      </w:r>
      <w:r>
        <w:rPr>
          <w:spacing w:val="-5"/>
        </w:rPr>
        <w:t> </w:t>
      </w:r>
      <w:r>
        <w:rPr/>
        <w:t>pre- viously</w:t>
      </w:r>
      <w:r>
        <w:rPr>
          <w:spacing w:val="-6"/>
        </w:rPr>
        <w:t> </w:t>
      </w:r>
      <w:r>
        <w:rPr/>
        <w:t>published</w:t>
      </w:r>
      <w:r>
        <w:rPr>
          <w:spacing w:val="-6"/>
        </w:rPr>
        <w:t> </w:t>
      </w:r>
      <w:r>
        <w:rPr/>
        <w:t>in</w:t>
      </w:r>
      <w:r>
        <w:rPr>
          <w:spacing w:val="-6"/>
        </w:rPr>
        <w:t> </w:t>
      </w:r>
      <w:r>
        <w:rPr/>
        <w:t>rugby</w:t>
      </w:r>
      <w:r>
        <w:rPr>
          <w:spacing w:val="-6"/>
        </w:rPr>
        <w:t> </w:t>
      </w:r>
      <w:r>
        <w:rPr/>
        <w:t>league</w:t>
      </w:r>
      <w:r>
        <w:rPr>
          <w:spacing w:val="-6"/>
        </w:rPr>
        <w:t> </w:t>
      </w:r>
      <w:r>
        <w:rPr/>
        <w:t>(</w:t>
      </w:r>
      <w:hyperlink w:history="true" w:anchor="_bookmark263">
        <w:r>
          <w:rPr>
            <w:color w:val="FF0000"/>
          </w:rPr>
          <w:t>Kempton</w:t>
        </w:r>
        <w:r>
          <w:rPr>
            <w:color w:val="FF0000"/>
            <w:spacing w:val="-6"/>
          </w:rPr>
          <w:t> </w:t>
        </w:r>
        <w:r>
          <w:rPr>
            <w:color w:val="FF0000"/>
          </w:rPr>
          <w:t>et</w:t>
        </w:r>
        <w:r>
          <w:rPr>
            <w:color w:val="FF0000"/>
            <w:spacing w:val="-6"/>
          </w:rPr>
          <w:t> </w:t>
        </w:r>
        <w:r>
          <w:rPr>
            <w:color w:val="FF0000"/>
          </w:rPr>
          <w:t>al.</w:t>
        </w:r>
      </w:hyperlink>
      <w:r>
        <w:rPr/>
        <w:t>,</w:t>
      </w:r>
      <w:hyperlink w:history="true" w:anchor="_bookmark263">
        <w:r>
          <w:rPr>
            <w:color w:val="FF0000"/>
          </w:rPr>
          <w:t>2016</w:t>
        </w:r>
      </w:hyperlink>
      <w:r>
        <w:rPr/>
        <w:t>). Markov</w:t>
      </w:r>
      <w:r>
        <w:rPr>
          <w:spacing w:val="-6"/>
        </w:rPr>
        <w:t> </w:t>
      </w:r>
      <w:r>
        <w:rPr/>
        <w:t>models</w:t>
      </w:r>
      <w:r>
        <w:rPr>
          <w:spacing w:val="-6"/>
        </w:rPr>
        <w:t> </w:t>
      </w:r>
      <w:r>
        <w:rPr/>
        <w:t>will</w:t>
      </w:r>
      <w:r>
        <w:rPr>
          <w:spacing w:val="-6"/>
        </w:rPr>
        <w:t> </w:t>
      </w:r>
      <w:r>
        <w:rPr/>
        <w:t>be</w:t>
      </w:r>
      <w:r>
        <w:rPr>
          <w:spacing w:val="-6"/>
        </w:rPr>
        <w:t> </w:t>
      </w:r>
      <w:r>
        <w:rPr/>
        <w:t>used</w:t>
      </w:r>
      <w:r>
        <w:rPr>
          <w:spacing w:val="-6"/>
        </w:rPr>
        <w:t> </w:t>
      </w:r>
      <w:r>
        <w:rPr/>
        <w:t>to establish the value of zones on the pitch.</w:t>
      </w:r>
      <w:r>
        <w:rPr>
          <w:spacing w:val="29"/>
        </w:rPr>
        <w:t> </w:t>
      </w:r>
      <w:r>
        <w:rPr/>
        <w:t>The Kullback-Leibler Divergence will be used to</w:t>
      </w:r>
      <w:r>
        <w:rPr>
          <w:spacing w:val="23"/>
        </w:rPr>
        <w:t> </w:t>
      </w:r>
      <w:r>
        <w:rPr/>
        <w:t>empirically</w:t>
      </w:r>
      <w:r>
        <w:rPr>
          <w:spacing w:val="24"/>
        </w:rPr>
        <w:t> </w:t>
      </w:r>
      <w:r>
        <w:rPr/>
        <w:t>evaluate</w:t>
      </w:r>
      <w:r>
        <w:rPr>
          <w:spacing w:val="24"/>
        </w:rPr>
        <w:t> </w:t>
      </w:r>
      <w:r>
        <w:rPr/>
        <w:t>the</w:t>
      </w:r>
      <w:r>
        <w:rPr>
          <w:spacing w:val="24"/>
        </w:rPr>
        <w:t> </w:t>
      </w:r>
      <w:r>
        <w:rPr/>
        <w:t>most</w:t>
      </w:r>
      <w:r>
        <w:rPr>
          <w:spacing w:val="24"/>
        </w:rPr>
        <w:t> </w:t>
      </w:r>
      <w:r>
        <w:rPr/>
        <w:t>appropriate</w:t>
      </w:r>
      <w:r>
        <w:rPr>
          <w:spacing w:val="23"/>
        </w:rPr>
        <w:t> </w:t>
      </w:r>
      <w:r>
        <w:rPr/>
        <w:t>zone</w:t>
      </w:r>
      <w:r>
        <w:rPr>
          <w:spacing w:val="24"/>
        </w:rPr>
        <w:t> </w:t>
      </w:r>
      <w:r>
        <w:rPr/>
        <w:t>sizes</w:t>
      </w:r>
      <w:r>
        <w:rPr>
          <w:spacing w:val="24"/>
        </w:rPr>
        <w:t> </w:t>
      </w:r>
      <w:r>
        <w:rPr/>
        <w:t>for</w:t>
      </w:r>
      <w:r>
        <w:rPr>
          <w:spacing w:val="24"/>
        </w:rPr>
        <w:t> </w:t>
      </w:r>
      <w:r>
        <w:rPr/>
        <w:t>use</w:t>
      </w:r>
      <w:r>
        <w:rPr>
          <w:spacing w:val="24"/>
        </w:rPr>
        <w:t> </w:t>
      </w:r>
      <w:r>
        <w:rPr/>
        <w:t>in</w:t>
      </w:r>
      <w:r>
        <w:rPr>
          <w:spacing w:val="24"/>
        </w:rPr>
        <w:t> </w:t>
      </w:r>
      <w:r>
        <w:rPr/>
        <w:t>rugby</w:t>
      </w:r>
      <w:r>
        <w:rPr>
          <w:spacing w:val="23"/>
        </w:rPr>
        <w:t> </w:t>
      </w:r>
      <w:r>
        <w:rPr/>
        <w:t>league</w:t>
      </w:r>
      <w:r>
        <w:rPr>
          <w:spacing w:val="24"/>
        </w:rPr>
        <w:t> </w:t>
      </w:r>
      <w:r>
        <w:rPr>
          <w:spacing w:val="-2"/>
        </w:rPr>
        <w:t>based</w:t>
      </w:r>
    </w:p>
    <w:p>
      <w:pPr>
        <w:spacing w:after="0" w:line="312" w:lineRule="auto"/>
        <w:jc w:val="both"/>
        <w:sectPr>
          <w:headerReference w:type="default" r:id="rId24"/>
          <w:footerReference w:type="default" r:id="rId25"/>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on</w:t>
      </w:r>
      <w:r>
        <w:rPr>
          <w:spacing w:val="-4"/>
        </w:rPr>
        <w:t> </w:t>
      </w:r>
      <w:r>
        <w:rPr/>
        <w:t>their</w:t>
      </w:r>
      <w:r>
        <w:rPr>
          <w:spacing w:val="-4"/>
        </w:rPr>
        <w:t> </w:t>
      </w:r>
      <w:r>
        <w:rPr/>
        <w:t>ability</w:t>
      </w:r>
      <w:r>
        <w:rPr>
          <w:spacing w:val="-4"/>
        </w:rPr>
        <w:t> </w:t>
      </w:r>
      <w:r>
        <w:rPr/>
        <w:t>to</w:t>
      </w:r>
      <w:r>
        <w:rPr>
          <w:spacing w:val="-4"/>
        </w:rPr>
        <w:t> </w:t>
      </w:r>
      <w:r>
        <w:rPr/>
        <w:t>reproduce</w:t>
      </w:r>
      <w:r>
        <w:rPr>
          <w:spacing w:val="-4"/>
        </w:rPr>
        <w:t> </w:t>
      </w:r>
      <w:r>
        <w:rPr/>
        <w:t>future</w:t>
      </w:r>
      <w:r>
        <w:rPr>
          <w:spacing w:val="-4"/>
        </w:rPr>
        <w:t> </w:t>
      </w:r>
      <w:r>
        <w:rPr/>
        <w:t>attacking</w:t>
      </w:r>
      <w:r>
        <w:rPr>
          <w:spacing w:val="-4"/>
        </w:rPr>
        <w:t> </w:t>
      </w:r>
      <w:r>
        <w:rPr/>
        <w:t>performances.</w:t>
      </w:r>
      <w:r>
        <w:rPr>
          <w:spacing w:val="17"/>
        </w:rPr>
        <w:t> </w:t>
      </w:r>
      <w:r>
        <w:rPr/>
        <w:t>Empirically</w:t>
      </w:r>
      <w:r>
        <w:rPr>
          <w:spacing w:val="-4"/>
        </w:rPr>
        <w:t> </w:t>
      </w:r>
      <w:r>
        <w:rPr/>
        <w:t>evaluating</w:t>
      </w:r>
      <w:r>
        <w:rPr>
          <w:spacing w:val="-4"/>
        </w:rPr>
        <w:t> </w:t>
      </w:r>
      <w:r>
        <w:rPr/>
        <w:t>these zone sizes will extend previous literature (</w:t>
      </w:r>
      <w:hyperlink w:history="true" w:anchor="_bookmark263">
        <w:r>
          <w:rPr>
            <w:color w:val="FF0000"/>
          </w:rPr>
          <w:t>Kempton et al.</w:t>
        </w:r>
      </w:hyperlink>
      <w:r>
        <w:rPr/>
        <w:t>,</w:t>
      </w:r>
      <w:hyperlink w:history="true" w:anchor="_bookmark263">
        <w:r>
          <w:rPr>
            <w:color w:val="FF0000"/>
          </w:rPr>
          <w:t>2016</w:t>
        </w:r>
        <w:r>
          <w:rPr/>
          <w:t>;</w:t>
        </w:r>
      </w:hyperlink>
      <w:hyperlink w:history="true" w:anchor="_bookmark294">
        <w:r>
          <w:rPr>
            <w:color w:val="FF0000"/>
          </w:rPr>
          <w:t>Singh</w:t>
        </w:r>
        <w:r>
          <w:rPr/>
          <w:t>,</w:t>
        </w:r>
      </w:hyperlink>
      <w:r>
        <w:rPr>
          <w:color w:val="FF0000"/>
        </w:rPr>
        <w:t>n.d.</w:t>
      </w:r>
      <w:hyperlink w:history="true" w:anchor="_bookmark294">
        <w:r>
          <w:rPr/>
          <w:t>),</w:t>
        </w:r>
      </w:hyperlink>
      <w:r>
        <w:rPr/>
        <w:t> which has arbitrarily</w:t>
      </w:r>
      <w:r>
        <w:rPr>
          <w:spacing w:val="27"/>
        </w:rPr>
        <w:t> </w:t>
      </w:r>
      <w:r>
        <w:rPr/>
        <w:t>chosen</w:t>
      </w:r>
      <w:r>
        <w:rPr>
          <w:spacing w:val="27"/>
        </w:rPr>
        <w:t> </w:t>
      </w:r>
      <w:r>
        <w:rPr/>
        <w:t>its</w:t>
      </w:r>
      <w:r>
        <w:rPr>
          <w:spacing w:val="27"/>
        </w:rPr>
        <w:t> </w:t>
      </w:r>
      <w:r>
        <w:rPr/>
        <w:t>zone</w:t>
      </w:r>
      <w:r>
        <w:rPr>
          <w:spacing w:val="27"/>
        </w:rPr>
        <w:t> </w:t>
      </w:r>
      <w:r>
        <w:rPr/>
        <w:t>sizes.</w:t>
      </w:r>
      <w:r>
        <w:rPr>
          <w:spacing w:val="80"/>
        </w:rPr>
        <w:t> </w:t>
      </w:r>
      <w:r>
        <w:rPr/>
        <w:t>Initially,</w:t>
      </w:r>
      <w:r>
        <w:rPr>
          <w:spacing w:val="36"/>
        </w:rPr>
        <w:t> </w:t>
      </w:r>
      <w:r>
        <w:rPr/>
        <w:t>Markov</w:t>
      </w:r>
      <w:r>
        <w:rPr>
          <w:spacing w:val="27"/>
        </w:rPr>
        <w:t> </w:t>
      </w:r>
      <w:r>
        <w:rPr/>
        <w:t>Reward</w:t>
      </w:r>
      <w:r>
        <w:rPr>
          <w:spacing w:val="27"/>
        </w:rPr>
        <w:t> </w:t>
      </w:r>
      <w:r>
        <w:rPr/>
        <w:t>Processes</w:t>
      </w:r>
      <w:r>
        <w:rPr>
          <w:spacing w:val="27"/>
        </w:rPr>
        <w:t> </w:t>
      </w:r>
      <w:r>
        <w:rPr/>
        <w:t>will</w:t>
      </w:r>
      <w:r>
        <w:rPr>
          <w:spacing w:val="27"/>
        </w:rPr>
        <w:t> </w:t>
      </w:r>
      <w:r>
        <w:rPr/>
        <w:t>be</w:t>
      </w:r>
      <w:r>
        <w:rPr>
          <w:spacing w:val="27"/>
        </w:rPr>
        <w:t> </w:t>
      </w:r>
      <w:r>
        <w:rPr/>
        <w:t>used</w:t>
      </w:r>
      <w:r>
        <w:rPr>
          <w:spacing w:val="27"/>
        </w:rPr>
        <w:t> </w:t>
      </w:r>
      <w:r>
        <w:rPr/>
        <w:t>as their effectiveness has previously been shown in rugby league (</w:t>
      </w:r>
      <w:hyperlink w:history="true" w:anchor="_bookmark263">
        <w:r>
          <w:rPr>
            <w:color w:val="FF0000"/>
          </w:rPr>
          <w:t>Kempton et al.</w:t>
        </w:r>
      </w:hyperlink>
      <w:r>
        <w:rPr/>
        <w:t>,</w:t>
      </w:r>
      <w:hyperlink w:history="true" w:anchor="_bookmark263">
        <w:r>
          <w:rPr>
            <w:color w:val="FF0000"/>
          </w:rPr>
          <w:t>2016</w:t>
        </w:r>
        <w:r>
          <w:rPr/>
          <w:t>)</w:t>
        </w:r>
      </w:hyperlink>
      <w:r>
        <w:rPr>
          <w:spacing w:val="80"/>
        </w:rPr>
        <w:t> </w:t>
      </w:r>
      <w:r>
        <w:rPr/>
        <w:t>before</w:t>
      </w:r>
      <w:r>
        <w:rPr>
          <w:spacing w:val="34"/>
        </w:rPr>
        <w:t> </w:t>
      </w:r>
      <w:r>
        <w:rPr/>
        <w:t>concepts</w:t>
      </w:r>
      <w:r>
        <w:rPr>
          <w:spacing w:val="34"/>
        </w:rPr>
        <w:t> </w:t>
      </w:r>
      <w:r>
        <w:rPr/>
        <w:t>are</w:t>
      </w:r>
      <w:r>
        <w:rPr>
          <w:spacing w:val="34"/>
        </w:rPr>
        <w:t> </w:t>
      </w:r>
      <w:r>
        <w:rPr/>
        <w:t>adapted</w:t>
      </w:r>
      <w:r>
        <w:rPr>
          <w:spacing w:val="34"/>
        </w:rPr>
        <w:t> </w:t>
      </w:r>
      <w:r>
        <w:rPr/>
        <w:t>from</w:t>
      </w:r>
      <w:r>
        <w:rPr>
          <w:spacing w:val="34"/>
        </w:rPr>
        <w:t> </w:t>
      </w:r>
      <w:r>
        <w:rPr/>
        <w:t>football</w:t>
      </w:r>
      <w:r>
        <w:rPr>
          <w:spacing w:val="34"/>
        </w:rPr>
        <w:t> </w:t>
      </w:r>
      <w:r>
        <w:rPr/>
        <w:t>(</w:t>
      </w:r>
      <w:hyperlink w:history="true" w:anchor="_bookmark294">
        <w:r>
          <w:rPr>
            <w:color w:val="FF0000"/>
          </w:rPr>
          <w:t>Singh</w:t>
        </w:r>
      </w:hyperlink>
      <w:r>
        <w:rPr/>
        <w:t>,</w:t>
      </w:r>
      <w:hyperlink w:history="true" w:anchor="_bookmark294">
        <w:r>
          <w:rPr>
            <w:color w:val="FF0000"/>
          </w:rPr>
          <w:t>n.d.</w:t>
        </w:r>
        <w:r>
          <w:rPr/>
          <w:t>)</w:t>
        </w:r>
      </w:hyperlink>
      <w:r>
        <w:rPr>
          <w:spacing w:val="80"/>
        </w:rPr>
        <w:t> </w:t>
      </w:r>
      <w:r>
        <w:rPr/>
        <w:t>and</w:t>
      </w:r>
      <w:r>
        <w:rPr>
          <w:spacing w:val="34"/>
        </w:rPr>
        <w:t> </w:t>
      </w:r>
      <w:r>
        <w:rPr/>
        <w:t>ice</w:t>
      </w:r>
      <w:r>
        <w:rPr>
          <w:spacing w:val="34"/>
        </w:rPr>
        <w:t> </w:t>
      </w:r>
      <w:r>
        <w:rPr/>
        <w:t>hockey</w:t>
      </w:r>
      <w:r>
        <w:rPr>
          <w:spacing w:val="34"/>
        </w:rPr>
        <w:t> </w:t>
      </w:r>
      <w:r>
        <w:rPr/>
        <w:t>(</w:t>
      </w:r>
      <w:hyperlink w:history="true" w:anchor="_bookmark287">
        <w:r>
          <w:rPr>
            <w:color w:val="FF0000"/>
          </w:rPr>
          <w:t>Routley</w:t>
        </w:r>
        <w:r>
          <w:rPr>
            <w:color w:val="FF0000"/>
            <w:spacing w:val="34"/>
          </w:rPr>
          <w:t> </w:t>
        </w:r>
        <w:r>
          <w:rPr>
            <w:color w:val="FF0000"/>
          </w:rPr>
          <w:t>and</w:t>
        </w:r>
      </w:hyperlink>
      <w:r>
        <w:rPr>
          <w:color w:val="FF0000"/>
        </w:rPr>
        <w:t> </w:t>
      </w:r>
      <w:hyperlink w:history="true" w:anchor="_bookmark287">
        <w:r>
          <w:rPr>
            <w:color w:val="FF0000"/>
          </w:rPr>
          <w:t>Schulte</w:t>
        </w:r>
      </w:hyperlink>
      <w:r>
        <w:rPr/>
        <w:t>,</w:t>
      </w:r>
      <w:hyperlink w:history="true" w:anchor="_bookmark287">
        <w:r>
          <w:rPr>
            <w:color w:val="FF0000"/>
          </w:rPr>
          <w:t>2015</w:t>
        </w:r>
        <w:r>
          <w:rPr/>
          <w:t>)</w:t>
        </w:r>
      </w:hyperlink>
      <w:r>
        <w:rPr/>
        <w:t> to produce a Markov Decision Process model which incorporates context nodes.</w:t>
      </w:r>
      <w:r>
        <w:rPr>
          <w:spacing w:val="40"/>
        </w:rPr>
        <w:t> </w:t>
      </w:r>
      <w:r>
        <w:rPr/>
        <w:t>Novel z-score analysis of team performances will be shown, with action impact ratings</w:t>
      </w:r>
      <w:r>
        <w:rPr>
          <w:spacing w:val="-3"/>
        </w:rPr>
        <w:t> </w:t>
      </w:r>
      <w:r>
        <w:rPr/>
        <w:t>adapted</w:t>
      </w:r>
      <w:r>
        <w:rPr>
          <w:spacing w:val="-3"/>
        </w:rPr>
        <w:t> </w:t>
      </w:r>
      <w:r>
        <w:rPr/>
        <w:t>from</w:t>
      </w:r>
      <w:r>
        <w:rPr>
          <w:spacing w:val="-3"/>
        </w:rPr>
        <w:t> </w:t>
      </w:r>
      <w:r>
        <w:rPr/>
        <w:t>ice</w:t>
      </w:r>
      <w:r>
        <w:rPr>
          <w:spacing w:val="-3"/>
        </w:rPr>
        <w:t> </w:t>
      </w:r>
      <w:r>
        <w:rPr/>
        <w:t>hockey</w:t>
      </w:r>
      <w:r>
        <w:rPr>
          <w:spacing w:val="-3"/>
        </w:rPr>
        <w:t> </w:t>
      </w:r>
      <w:r>
        <w:rPr/>
        <w:t>(</w:t>
      </w:r>
      <w:hyperlink w:history="true" w:anchor="_bookmark287">
        <w:r>
          <w:rPr>
            <w:color w:val="FF0000"/>
          </w:rPr>
          <w:t>Routley</w:t>
        </w:r>
        <w:r>
          <w:rPr>
            <w:color w:val="FF0000"/>
            <w:spacing w:val="-3"/>
          </w:rPr>
          <w:t> </w:t>
        </w:r>
        <w:r>
          <w:rPr>
            <w:color w:val="FF0000"/>
          </w:rPr>
          <w:t>and</w:t>
        </w:r>
        <w:r>
          <w:rPr>
            <w:color w:val="FF0000"/>
            <w:spacing w:val="-3"/>
          </w:rPr>
          <w:t> </w:t>
        </w:r>
        <w:r>
          <w:rPr>
            <w:color w:val="FF0000"/>
          </w:rPr>
          <w:t>Schulte</w:t>
        </w:r>
      </w:hyperlink>
      <w:r>
        <w:rPr/>
        <w:t>,</w:t>
      </w:r>
      <w:hyperlink w:history="true" w:anchor="_bookmark287">
        <w:r>
          <w:rPr>
            <w:color w:val="FF0000"/>
          </w:rPr>
          <w:t>2015</w:t>
        </w:r>
        <w:r>
          <w:rPr/>
          <w:t>)</w:t>
        </w:r>
      </w:hyperlink>
      <w:r>
        <w:rPr>
          <w:spacing w:val="-3"/>
        </w:rPr>
        <w:t> </w:t>
      </w:r>
      <w:r>
        <w:rPr/>
        <w:t>used</w:t>
      </w:r>
      <w:r>
        <w:rPr>
          <w:spacing w:val="-3"/>
        </w:rPr>
        <w:t> </w:t>
      </w:r>
      <w:r>
        <w:rPr/>
        <w:t>to</w:t>
      </w:r>
      <w:r>
        <w:rPr>
          <w:spacing w:val="-3"/>
        </w:rPr>
        <w:t> </w:t>
      </w:r>
      <w:r>
        <w:rPr/>
        <w:t>evaluate</w:t>
      </w:r>
      <w:r>
        <w:rPr>
          <w:spacing w:val="-3"/>
        </w:rPr>
        <w:t> </w:t>
      </w:r>
      <w:r>
        <w:rPr/>
        <w:t>player</w:t>
      </w:r>
      <w:r>
        <w:rPr>
          <w:spacing w:val="-3"/>
        </w:rPr>
        <w:t> </w:t>
      </w:r>
      <w:r>
        <w:rPr/>
        <w:t>per- </w:t>
      </w:r>
      <w:r>
        <w:rPr>
          <w:spacing w:val="-2"/>
        </w:rPr>
        <w:t>formances.</w:t>
      </w:r>
    </w:p>
    <w:p>
      <w:pPr>
        <w:pStyle w:val="BodyText"/>
        <w:spacing w:line="312" w:lineRule="auto"/>
        <w:ind w:left="610" w:right="392" w:firstLine="351"/>
      </w:pPr>
      <w:r>
        <w:rPr/>
        <w:t>Smooth pitch surfaces will be produced to provide an understanding of the spatial</w:t>
      </w:r>
      <w:r>
        <w:rPr>
          <w:spacing w:val="80"/>
        </w:rPr>
        <w:t> </w:t>
      </w:r>
      <w:r>
        <w:rPr/>
        <w:t>trends</w:t>
      </w:r>
      <w:r>
        <w:rPr>
          <w:spacing w:val="-15"/>
        </w:rPr>
        <w:t> </w:t>
      </w:r>
      <w:r>
        <w:rPr/>
        <w:t>of</w:t>
      </w:r>
      <w:r>
        <w:rPr>
          <w:spacing w:val="-14"/>
        </w:rPr>
        <w:t> </w:t>
      </w:r>
      <w:r>
        <w:rPr/>
        <w:t>attacking</w:t>
      </w:r>
      <w:r>
        <w:rPr>
          <w:spacing w:val="-15"/>
        </w:rPr>
        <w:t> </w:t>
      </w:r>
      <w:r>
        <w:rPr/>
        <w:t>performances</w:t>
      </w:r>
      <w:r>
        <w:rPr>
          <w:spacing w:val="-14"/>
        </w:rPr>
        <w:t> </w:t>
      </w:r>
      <w:r>
        <w:rPr/>
        <w:t>and</w:t>
      </w:r>
      <w:r>
        <w:rPr>
          <w:spacing w:val="-15"/>
        </w:rPr>
        <w:t> </w:t>
      </w:r>
      <w:r>
        <w:rPr/>
        <w:t>to</w:t>
      </w:r>
      <w:r>
        <w:rPr>
          <w:spacing w:val="-14"/>
        </w:rPr>
        <w:t> </w:t>
      </w:r>
      <w:r>
        <w:rPr/>
        <w:t>produce</w:t>
      </w:r>
      <w:r>
        <w:rPr>
          <w:spacing w:val="-15"/>
        </w:rPr>
        <w:t> </w:t>
      </w:r>
      <w:r>
        <w:rPr/>
        <w:t>a</w:t>
      </w:r>
      <w:r>
        <w:rPr>
          <w:spacing w:val="-14"/>
        </w:rPr>
        <w:t> </w:t>
      </w:r>
      <w:r>
        <w:rPr/>
        <w:t>novel</w:t>
      </w:r>
      <w:r>
        <w:rPr>
          <w:spacing w:val="-15"/>
        </w:rPr>
        <w:t> </w:t>
      </w:r>
      <w:r>
        <w:rPr/>
        <w:t>EPV</w:t>
      </w:r>
      <w:r>
        <w:rPr>
          <w:spacing w:val="-15"/>
        </w:rPr>
        <w:t> </w:t>
      </w:r>
      <w:r>
        <w:rPr/>
        <w:t>model.</w:t>
      </w:r>
      <w:r>
        <w:rPr>
          <w:spacing w:val="3"/>
        </w:rPr>
        <w:t> </w:t>
      </w:r>
      <w:r>
        <w:rPr/>
        <w:t>First,</w:t>
      </w:r>
      <w:r>
        <w:rPr>
          <w:spacing w:val="-13"/>
        </w:rPr>
        <w:t> </w:t>
      </w:r>
      <w:r>
        <w:rPr/>
        <w:t>previous</w:t>
      </w:r>
      <w:r>
        <w:rPr>
          <w:spacing w:val="-14"/>
        </w:rPr>
        <w:t> </w:t>
      </w:r>
      <w:r>
        <w:rPr/>
        <w:t>work in American football (</w:t>
      </w:r>
      <w:hyperlink w:history="true" w:anchor="_bookmark271">
        <w:r>
          <w:rPr>
            <w:color w:val="FF0000"/>
          </w:rPr>
          <w:t>Mallepalle et al.</w:t>
        </w:r>
      </w:hyperlink>
      <w:r>
        <w:rPr/>
        <w:t>,</w:t>
      </w:r>
      <w:hyperlink w:history="true" w:anchor="_bookmark271">
        <w:r>
          <w:rPr>
            <w:color w:val="FF0000"/>
          </w:rPr>
          <w:t>2020</w:t>
        </w:r>
        <w:r>
          <w:rPr/>
          <w:t>)</w:t>
        </w:r>
      </w:hyperlink>
      <w:r>
        <w:rPr/>
        <w:t> will be adapted, applied and extended in rugby</w:t>
      </w:r>
      <w:r>
        <w:rPr>
          <w:spacing w:val="-8"/>
        </w:rPr>
        <w:t> </w:t>
      </w:r>
      <w:r>
        <w:rPr/>
        <w:t>league</w:t>
      </w:r>
      <w:r>
        <w:rPr>
          <w:spacing w:val="-8"/>
        </w:rPr>
        <w:t> </w:t>
      </w:r>
      <w:r>
        <w:rPr/>
        <w:t>to</w:t>
      </w:r>
      <w:r>
        <w:rPr>
          <w:spacing w:val="-8"/>
        </w:rPr>
        <w:t> </w:t>
      </w:r>
      <w:r>
        <w:rPr/>
        <w:t>provide</w:t>
      </w:r>
      <w:r>
        <w:rPr>
          <w:spacing w:val="-8"/>
        </w:rPr>
        <w:t> </w:t>
      </w:r>
      <w:r>
        <w:rPr/>
        <w:t>an</w:t>
      </w:r>
      <w:r>
        <w:rPr>
          <w:spacing w:val="-8"/>
        </w:rPr>
        <w:t> </w:t>
      </w:r>
      <w:r>
        <w:rPr/>
        <w:t>understanding</w:t>
      </w:r>
      <w:r>
        <w:rPr>
          <w:spacing w:val="-8"/>
        </w:rPr>
        <w:t> </w:t>
      </w:r>
      <w:r>
        <w:rPr/>
        <w:t>of</w:t>
      </w:r>
      <w:r>
        <w:rPr>
          <w:spacing w:val="-8"/>
        </w:rPr>
        <w:t> </w:t>
      </w:r>
      <w:r>
        <w:rPr/>
        <w:t>the</w:t>
      </w:r>
      <w:r>
        <w:rPr>
          <w:spacing w:val="-8"/>
        </w:rPr>
        <w:t> </w:t>
      </w:r>
      <w:r>
        <w:rPr/>
        <w:t>spatial</w:t>
      </w:r>
      <w:r>
        <w:rPr>
          <w:spacing w:val="-8"/>
        </w:rPr>
        <w:t> </w:t>
      </w:r>
      <w:r>
        <w:rPr/>
        <w:t>trends</w:t>
      </w:r>
      <w:r>
        <w:rPr>
          <w:spacing w:val="-8"/>
        </w:rPr>
        <w:t> </w:t>
      </w:r>
      <w:r>
        <w:rPr/>
        <w:t>of</w:t>
      </w:r>
      <w:r>
        <w:rPr>
          <w:spacing w:val="-8"/>
        </w:rPr>
        <w:t> </w:t>
      </w:r>
      <w:r>
        <w:rPr/>
        <w:t>attacking</w:t>
      </w:r>
      <w:r>
        <w:rPr>
          <w:spacing w:val="-8"/>
        </w:rPr>
        <w:t> </w:t>
      </w:r>
      <w:r>
        <w:rPr/>
        <w:t>performances. Kernel Density Estimation will be used to evaluate the probability that a team will per- form an attacking action in any location on the pitch.</w:t>
      </w:r>
      <w:r>
        <w:rPr>
          <w:spacing w:val="35"/>
        </w:rPr>
        <w:t> </w:t>
      </w:r>
      <w:r>
        <w:rPr/>
        <w:t>These models will be produced at the</w:t>
      </w:r>
      <w:r>
        <w:rPr>
          <w:spacing w:val="-10"/>
        </w:rPr>
        <w:t> </w:t>
      </w:r>
      <w:r>
        <w:rPr/>
        <w:t>whole</w:t>
      </w:r>
      <w:r>
        <w:rPr>
          <w:spacing w:val="-10"/>
        </w:rPr>
        <w:t> </w:t>
      </w:r>
      <w:r>
        <w:rPr/>
        <w:t>league,</w:t>
      </w:r>
      <w:r>
        <w:rPr>
          <w:spacing w:val="-10"/>
        </w:rPr>
        <w:t> </w:t>
      </w:r>
      <w:r>
        <w:rPr/>
        <w:t>between</w:t>
      </w:r>
      <w:r>
        <w:rPr>
          <w:spacing w:val="-10"/>
        </w:rPr>
        <w:t> </w:t>
      </w:r>
      <w:r>
        <w:rPr/>
        <w:t>team</w:t>
      </w:r>
      <w:r>
        <w:rPr>
          <w:spacing w:val="-10"/>
        </w:rPr>
        <w:t> </w:t>
      </w:r>
      <w:r>
        <w:rPr/>
        <w:t>and</w:t>
      </w:r>
      <w:r>
        <w:rPr>
          <w:spacing w:val="-10"/>
        </w:rPr>
        <w:t> </w:t>
      </w:r>
      <w:r>
        <w:rPr/>
        <w:t>within</w:t>
      </w:r>
      <w:r>
        <w:rPr>
          <w:spacing w:val="-10"/>
        </w:rPr>
        <w:t> </w:t>
      </w:r>
      <w:r>
        <w:rPr/>
        <w:t>team</w:t>
      </w:r>
      <w:r>
        <w:rPr>
          <w:spacing w:val="-10"/>
        </w:rPr>
        <w:t> </w:t>
      </w:r>
      <w:r>
        <w:rPr/>
        <w:t>levels. The</w:t>
      </w:r>
      <w:r>
        <w:rPr>
          <w:spacing w:val="-10"/>
        </w:rPr>
        <w:t> </w:t>
      </w:r>
      <w:r>
        <w:rPr/>
        <w:t>Wasserstein</w:t>
      </w:r>
      <w:r>
        <w:rPr>
          <w:spacing w:val="-10"/>
        </w:rPr>
        <w:t> </w:t>
      </w:r>
      <w:r>
        <w:rPr/>
        <w:t>distance</w:t>
      </w:r>
      <w:r>
        <w:rPr>
          <w:spacing w:val="-10"/>
        </w:rPr>
        <w:t> </w:t>
      </w:r>
      <w:r>
        <w:rPr/>
        <w:t>will</w:t>
      </w:r>
      <w:r>
        <w:rPr>
          <w:spacing w:val="-10"/>
        </w:rPr>
        <w:t> </w:t>
      </w:r>
      <w:r>
        <w:rPr/>
        <w:t>be used to quantify differences between and within teams.</w:t>
      </w:r>
      <w:r>
        <w:rPr>
          <w:spacing w:val="38"/>
        </w:rPr>
        <w:t> </w:t>
      </w:r>
      <w:r>
        <w:rPr/>
        <w:t>Novel metrics will be </w:t>
      </w:r>
      <w:r>
        <w:rPr/>
        <w:t>produced by manipulating the cost function (normalised axis Wasserstein distance) and transport matrix (directional Wasserstein distance) properties of the Wasserstein distance.</w:t>
      </w:r>
      <w:r>
        <w:rPr>
          <w:spacing w:val="38"/>
        </w:rPr>
        <w:t> </w:t>
      </w:r>
      <w:r>
        <w:rPr/>
        <w:t>Subse- quently,</w:t>
      </w:r>
      <w:r>
        <w:rPr>
          <w:spacing w:val="-2"/>
        </w:rPr>
        <w:t> </w:t>
      </w:r>
      <w:r>
        <w:rPr/>
        <w:t>a</w:t>
      </w:r>
      <w:r>
        <w:rPr>
          <w:spacing w:val="-3"/>
        </w:rPr>
        <w:t> </w:t>
      </w:r>
      <w:r>
        <w:rPr/>
        <w:t>novel</w:t>
      </w:r>
      <w:r>
        <w:rPr>
          <w:spacing w:val="-3"/>
        </w:rPr>
        <w:t> </w:t>
      </w:r>
      <w:r>
        <w:rPr/>
        <w:t>Bayesian</w:t>
      </w:r>
      <w:r>
        <w:rPr>
          <w:spacing w:val="-3"/>
        </w:rPr>
        <w:t> </w:t>
      </w:r>
      <w:r>
        <w:rPr/>
        <w:t>approach</w:t>
      </w:r>
      <w:r>
        <w:rPr>
          <w:spacing w:val="-3"/>
        </w:rPr>
        <w:t> </w:t>
      </w:r>
      <w:r>
        <w:rPr/>
        <w:t>to</w:t>
      </w:r>
      <w:r>
        <w:rPr>
          <w:spacing w:val="-3"/>
        </w:rPr>
        <w:t> </w:t>
      </w:r>
      <w:r>
        <w:rPr/>
        <w:t>the</w:t>
      </w:r>
      <w:r>
        <w:rPr>
          <w:spacing w:val="-3"/>
        </w:rPr>
        <w:t> </w:t>
      </w:r>
      <w:r>
        <w:rPr/>
        <w:t>estimation</w:t>
      </w:r>
      <w:r>
        <w:rPr>
          <w:spacing w:val="-3"/>
        </w:rPr>
        <w:t> </w:t>
      </w:r>
      <w:r>
        <w:rPr/>
        <w:t>of</w:t>
      </w:r>
      <w:r>
        <w:rPr>
          <w:spacing w:val="-3"/>
        </w:rPr>
        <w:t> </w:t>
      </w:r>
      <w:r>
        <w:rPr/>
        <w:t>EPV</w:t>
      </w:r>
      <w:r>
        <w:rPr>
          <w:spacing w:val="-3"/>
        </w:rPr>
        <w:t> </w:t>
      </w:r>
      <w:r>
        <w:rPr/>
        <w:t>will</w:t>
      </w:r>
      <w:r>
        <w:rPr>
          <w:spacing w:val="-3"/>
        </w:rPr>
        <w:t> </w:t>
      </w:r>
      <w:r>
        <w:rPr/>
        <w:t>be</w:t>
      </w:r>
      <w:r>
        <w:rPr>
          <w:spacing w:val="-3"/>
        </w:rPr>
        <w:t> </w:t>
      </w:r>
      <w:r>
        <w:rPr/>
        <w:t>shown. A</w:t>
      </w:r>
      <w:r>
        <w:rPr>
          <w:spacing w:val="-3"/>
        </w:rPr>
        <w:t> </w:t>
      </w:r>
      <w:r>
        <w:rPr/>
        <w:t>Bayesian Mixture Model with custom weights for each centre calculated using linear and bilin-</w:t>
      </w:r>
      <w:r>
        <w:rPr>
          <w:spacing w:val="80"/>
        </w:rPr>
        <w:t> </w:t>
      </w:r>
      <w:r>
        <w:rPr/>
        <w:t>ear</w:t>
      </w:r>
      <w:r>
        <w:rPr>
          <w:spacing w:val="-11"/>
        </w:rPr>
        <w:t> </w:t>
      </w:r>
      <w:r>
        <w:rPr/>
        <w:t>techniques</w:t>
      </w:r>
      <w:r>
        <w:rPr>
          <w:spacing w:val="-11"/>
        </w:rPr>
        <w:t> </w:t>
      </w:r>
      <w:r>
        <w:rPr/>
        <w:t>will</w:t>
      </w:r>
      <w:r>
        <w:rPr>
          <w:spacing w:val="-11"/>
        </w:rPr>
        <w:t> </w:t>
      </w:r>
      <w:r>
        <w:rPr/>
        <w:t>be</w:t>
      </w:r>
      <w:r>
        <w:rPr>
          <w:spacing w:val="-11"/>
        </w:rPr>
        <w:t> </w:t>
      </w:r>
      <w:r>
        <w:rPr/>
        <w:t>used</w:t>
      </w:r>
      <w:r>
        <w:rPr>
          <w:spacing w:val="-11"/>
        </w:rPr>
        <w:t> </w:t>
      </w:r>
      <w:r>
        <w:rPr/>
        <w:t>to</w:t>
      </w:r>
      <w:r>
        <w:rPr>
          <w:spacing w:val="-11"/>
        </w:rPr>
        <w:t> </w:t>
      </w:r>
      <w:r>
        <w:rPr/>
        <w:t>estimate</w:t>
      </w:r>
      <w:r>
        <w:rPr>
          <w:spacing w:val="-11"/>
        </w:rPr>
        <w:t> </w:t>
      </w:r>
      <w:r>
        <w:rPr/>
        <w:t>the</w:t>
      </w:r>
      <w:r>
        <w:rPr>
          <w:spacing w:val="-11"/>
        </w:rPr>
        <w:t> </w:t>
      </w:r>
      <w:r>
        <w:rPr/>
        <w:t>probability</w:t>
      </w:r>
      <w:r>
        <w:rPr>
          <w:spacing w:val="-11"/>
        </w:rPr>
        <w:t> </w:t>
      </w:r>
      <w:r>
        <w:rPr/>
        <w:t>of</w:t>
      </w:r>
      <w:r>
        <w:rPr>
          <w:spacing w:val="-11"/>
        </w:rPr>
        <w:t> </w:t>
      </w:r>
      <w:r>
        <w:rPr/>
        <w:t>individual</w:t>
      </w:r>
      <w:r>
        <w:rPr>
          <w:spacing w:val="-11"/>
        </w:rPr>
        <w:t> </w:t>
      </w:r>
      <w:r>
        <w:rPr/>
        <w:t>possession</w:t>
      </w:r>
      <w:r>
        <w:rPr>
          <w:spacing w:val="-11"/>
        </w:rPr>
        <w:t> </w:t>
      </w:r>
      <w:r>
        <w:rPr/>
        <w:t>outcomes. </w:t>
      </w:r>
      <w:r>
        <w:rPr>
          <w:spacing w:val="-2"/>
        </w:rPr>
        <w:t>These</w:t>
      </w:r>
      <w:r>
        <w:rPr>
          <w:spacing w:val="-8"/>
        </w:rPr>
        <w:t> </w:t>
      </w:r>
      <w:r>
        <w:rPr>
          <w:spacing w:val="-2"/>
        </w:rPr>
        <w:t>possession</w:t>
      </w:r>
      <w:r>
        <w:rPr>
          <w:spacing w:val="-8"/>
        </w:rPr>
        <w:t> </w:t>
      </w:r>
      <w:r>
        <w:rPr>
          <w:spacing w:val="-2"/>
        </w:rPr>
        <w:t>outcomes</w:t>
      </w:r>
      <w:r>
        <w:rPr>
          <w:spacing w:val="-8"/>
        </w:rPr>
        <w:t> </w:t>
      </w:r>
      <w:r>
        <w:rPr>
          <w:spacing w:val="-2"/>
        </w:rPr>
        <w:t>will</w:t>
      </w:r>
      <w:r>
        <w:rPr>
          <w:spacing w:val="-8"/>
        </w:rPr>
        <w:t> </w:t>
      </w:r>
      <w:r>
        <w:rPr>
          <w:spacing w:val="-2"/>
        </w:rPr>
        <w:t>be</w:t>
      </w:r>
      <w:r>
        <w:rPr>
          <w:spacing w:val="-8"/>
        </w:rPr>
        <w:t> </w:t>
      </w:r>
      <w:r>
        <w:rPr>
          <w:spacing w:val="-2"/>
        </w:rPr>
        <w:t>evaluated</w:t>
      </w:r>
      <w:r>
        <w:rPr>
          <w:spacing w:val="-8"/>
        </w:rPr>
        <w:t> </w:t>
      </w:r>
      <w:r>
        <w:rPr>
          <w:spacing w:val="-2"/>
        </w:rPr>
        <w:t>individually</w:t>
      </w:r>
      <w:r>
        <w:rPr>
          <w:spacing w:val="-8"/>
        </w:rPr>
        <w:t> </w:t>
      </w:r>
      <w:r>
        <w:rPr>
          <w:spacing w:val="-2"/>
        </w:rPr>
        <w:t>and</w:t>
      </w:r>
      <w:r>
        <w:rPr>
          <w:spacing w:val="-8"/>
        </w:rPr>
        <w:t> </w:t>
      </w:r>
      <w:r>
        <w:rPr>
          <w:spacing w:val="-2"/>
        </w:rPr>
        <w:t>an</w:t>
      </w:r>
      <w:r>
        <w:rPr>
          <w:spacing w:val="-8"/>
        </w:rPr>
        <w:t> </w:t>
      </w:r>
      <w:r>
        <w:rPr>
          <w:spacing w:val="-2"/>
        </w:rPr>
        <w:t>EPV</w:t>
      </w:r>
      <w:r>
        <w:rPr>
          <w:spacing w:val="-8"/>
        </w:rPr>
        <w:t> </w:t>
      </w:r>
      <w:r>
        <w:rPr>
          <w:spacing w:val="-2"/>
        </w:rPr>
        <w:t>measure</w:t>
      </w:r>
      <w:r>
        <w:rPr>
          <w:spacing w:val="-8"/>
        </w:rPr>
        <w:t> </w:t>
      </w:r>
      <w:r>
        <w:rPr>
          <w:spacing w:val="-2"/>
        </w:rPr>
        <w:t>will</w:t>
      </w:r>
      <w:r>
        <w:rPr>
          <w:spacing w:val="-8"/>
        </w:rPr>
        <w:t> </w:t>
      </w:r>
      <w:r>
        <w:rPr>
          <w:spacing w:val="-2"/>
        </w:rPr>
        <w:t>be</w:t>
      </w:r>
      <w:r>
        <w:rPr>
          <w:spacing w:val="-8"/>
        </w:rPr>
        <w:t> </w:t>
      </w:r>
      <w:r>
        <w:rPr>
          <w:spacing w:val="-2"/>
        </w:rPr>
        <w:t>de- </w:t>
      </w:r>
      <w:r>
        <w:rPr/>
        <w:t>rived</w:t>
      </w:r>
      <w:r>
        <w:rPr>
          <w:spacing w:val="-9"/>
        </w:rPr>
        <w:t> </w:t>
      </w:r>
      <w:r>
        <w:rPr/>
        <w:t>using</w:t>
      </w:r>
      <w:r>
        <w:rPr>
          <w:spacing w:val="-9"/>
        </w:rPr>
        <w:t> </w:t>
      </w:r>
      <w:r>
        <w:rPr/>
        <w:t>their</w:t>
      </w:r>
      <w:r>
        <w:rPr>
          <w:spacing w:val="-9"/>
        </w:rPr>
        <w:t> </w:t>
      </w:r>
      <w:r>
        <w:rPr/>
        <w:t>real</w:t>
      </w:r>
      <w:r>
        <w:rPr>
          <w:spacing w:val="-9"/>
        </w:rPr>
        <w:t> </w:t>
      </w:r>
      <w:r>
        <w:rPr/>
        <w:t>points</w:t>
      </w:r>
      <w:r>
        <w:rPr>
          <w:spacing w:val="-9"/>
        </w:rPr>
        <w:t> </w:t>
      </w:r>
      <w:r>
        <w:rPr/>
        <w:t>scoring</w:t>
      </w:r>
      <w:r>
        <w:rPr>
          <w:spacing w:val="-9"/>
        </w:rPr>
        <w:t> </w:t>
      </w:r>
      <w:r>
        <w:rPr/>
        <w:t>values. Models</w:t>
      </w:r>
      <w:r>
        <w:rPr>
          <w:spacing w:val="-9"/>
        </w:rPr>
        <w:t> </w:t>
      </w:r>
      <w:r>
        <w:rPr/>
        <w:t>will</w:t>
      </w:r>
      <w:r>
        <w:rPr>
          <w:spacing w:val="-9"/>
        </w:rPr>
        <w:t> </w:t>
      </w:r>
      <w:r>
        <w:rPr/>
        <w:t>be</w:t>
      </w:r>
      <w:r>
        <w:rPr>
          <w:spacing w:val="-9"/>
        </w:rPr>
        <w:t> </w:t>
      </w:r>
      <w:r>
        <w:rPr/>
        <w:t>produced</w:t>
      </w:r>
      <w:r>
        <w:rPr>
          <w:spacing w:val="-9"/>
        </w:rPr>
        <w:t> </w:t>
      </w:r>
      <w:r>
        <w:rPr/>
        <w:t>at</w:t>
      </w:r>
      <w:r>
        <w:rPr>
          <w:spacing w:val="-9"/>
        </w:rPr>
        <w:t> </w:t>
      </w:r>
      <w:r>
        <w:rPr/>
        <w:t>the</w:t>
      </w:r>
      <w:r>
        <w:rPr>
          <w:spacing w:val="-9"/>
        </w:rPr>
        <w:t> </w:t>
      </w:r>
      <w:r>
        <w:rPr/>
        <w:t>whole</w:t>
      </w:r>
      <w:r>
        <w:rPr>
          <w:spacing w:val="-9"/>
        </w:rPr>
        <w:t> </w:t>
      </w:r>
      <w:r>
        <w:rPr/>
        <w:t>league, </w:t>
      </w:r>
      <w:r>
        <w:rPr>
          <w:spacing w:val="-2"/>
        </w:rPr>
        <w:t>team</w:t>
      </w:r>
      <w:r>
        <w:rPr>
          <w:spacing w:val="-8"/>
        </w:rPr>
        <w:t> </w:t>
      </w:r>
      <w:r>
        <w:rPr>
          <w:spacing w:val="-2"/>
        </w:rPr>
        <w:t>attacking</w:t>
      </w:r>
      <w:r>
        <w:rPr>
          <w:spacing w:val="-8"/>
        </w:rPr>
        <w:t> </w:t>
      </w:r>
      <w:r>
        <w:rPr>
          <w:spacing w:val="-2"/>
        </w:rPr>
        <w:t>and</w:t>
      </w:r>
      <w:r>
        <w:rPr>
          <w:spacing w:val="-8"/>
        </w:rPr>
        <w:t> </w:t>
      </w:r>
      <w:r>
        <w:rPr>
          <w:spacing w:val="-2"/>
        </w:rPr>
        <w:t>team</w:t>
      </w:r>
      <w:r>
        <w:rPr>
          <w:spacing w:val="-8"/>
        </w:rPr>
        <w:t> </w:t>
      </w:r>
      <w:r>
        <w:rPr>
          <w:spacing w:val="-2"/>
        </w:rPr>
        <w:t>defending</w:t>
      </w:r>
      <w:r>
        <w:rPr>
          <w:spacing w:val="-8"/>
        </w:rPr>
        <w:t> </w:t>
      </w:r>
      <w:r>
        <w:rPr>
          <w:spacing w:val="-2"/>
        </w:rPr>
        <w:t>levels.</w:t>
      </w:r>
      <w:r>
        <w:rPr>
          <w:spacing w:val="18"/>
        </w:rPr>
        <w:t> </w:t>
      </w:r>
      <w:r>
        <w:rPr>
          <w:spacing w:val="-2"/>
        </w:rPr>
        <w:t>Novel</w:t>
      </w:r>
      <w:r>
        <w:rPr>
          <w:spacing w:val="-8"/>
        </w:rPr>
        <w:t> </w:t>
      </w:r>
      <w:r>
        <w:rPr>
          <w:spacing w:val="-2"/>
        </w:rPr>
        <w:t>metrics</w:t>
      </w:r>
      <w:r>
        <w:rPr>
          <w:spacing w:val="-8"/>
        </w:rPr>
        <w:t> </w:t>
      </w:r>
      <w:r>
        <w:rPr>
          <w:spacing w:val="-2"/>
        </w:rPr>
        <w:t>evaluating</w:t>
      </w:r>
      <w:r>
        <w:rPr>
          <w:spacing w:val="-8"/>
        </w:rPr>
        <w:t> </w:t>
      </w:r>
      <w:r>
        <w:rPr>
          <w:spacing w:val="-2"/>
        </w:rPr>
        <w:t>team</w:t>
      </w:r>
      <w:r>
        <w:rPr>
          <w:spacing w:val="-8"/>
        </w:rPr>
        <w:t> </w:t>
      </w:r>
      <w:r>
        <w:rPr>
          <w:spacing w:val="-2"/>
        </w:rPr>
        <w:t>(expected</w:t>
      </w:r>
      <w:r>
        <w:rPr>
          <w:spacing w:val="-8"/>
        </w:rPr>
        <w:t> </w:t>
      </w:r>
      <w:r>
        <w:rPr>
          <w:spacing w:val="-2"/>
        </w:rPr>
        <w:t>points </w:t>
      </w:r>
      <w:r>
        <w:rPr/>
        <w:t>scored) and player (actual vs expected ratings) performances will be proposed.</w:t>
      </w:r>
    </w:p>
    <w:p>
      <w:pPr>
        <w:pStyle w:val="BodyText"/>
        <w:spacing w:before="3"/>
        <w:rPr>
          <w:sz w:val="40"/>
        </w:rPr>
      </w:pPr>
    </w:p>
    <w:p>
      <w:pPr>
        <w:pStyle w:val="Heading2"/>
        <w:numPr>
          <w:ilvl w:val="1"/>
          <w:numId w:val="16"/>
        </w:numPr>
        <w:tabs>
          <w:tab w:pos="1385" w:val="left" w:leader="none"/>
          <w:tab w:pos="1386" w:val="left" w:leader="none"/>
        </w:tabs>
        <w:spacing w:line="240" w:lineRule="auto" w:before="0" w:after="0"/>
        <w:ind w:left="1385" w:right="0" w:hanging="776"/>
        <w:jc w:val="left"/>
      </w:pPr>
      <w:bookmarkStart w:name="_TOC_250062" w:id="16"/>
      <w:bookmarkStart w:name="1.5 Thesis Structure" w:id="17"/>
      <w:r>
        <w:rPr>
          <w:b w:val="0"/>
        </w:rPr>
      </w:r>
      <w:bookmarkStart w:name="_bookmark6" w:id="18"/>
      <w:bookmarkEnd w:id="18"/>
      <w:r>
        <w:rPr/>
        <w:t>Thesis</w:t>
      </w:r>
      <w:r>
        <w:rPr>
          <w:spacing w:val="10"/>
        </w:rPr>
        <w:t> </w:t>
      </w:r>
      <w:bookmarkEnd w:id="16"/>
      <w:r>
        <w:rPr>
          <w:spacing w:val="-2"/>
        </w:rPr>
        <w:t>Structure</w:t>
      </w:r>
    </w:p>
    <w:p>
      <w:pPr>
        <w:pStyle w:val="BodyText"/>
        <w:spacing w:line="312" w:lineRule="auto" w:before="309"/>
        <w:ind w:left="610" w:right="389"/>
      </w:pPr>
      <w:r>
        <w:rPr/>
        <w:t>Figure</w:t>
      </w:r>
      <w:hyperlink w:history="true" w:anchor="_bookmark7">
        <w:r>
          <w:rPr>
            <w:color w:val="0000FF"/>
          </w:rPr>
          <w:t>1.1</w:t>
        </w:r>
      </w:hyperlink>
      <w:r>
        <w:rPr/>
        <w:t>is a schematic outlining a timeline for the project, the objectives and how each study</w:t>
      </w:r>
      <w:r>
        <w:rPr>
          <w:spacing w:val="-6"/>
        </w:rPr>
        <w:t> </w:t>
      </w:r>
      <w:r>
        <w:rPr/>
        <w:t>fits</w:t>
      </w:r>
      <w:r>
        <w:rPr>
          <w:spacing w:val="-6"/>
        </w:rPr>
        <w:t> </w:t>
      </w:r>
      <w:r>
        <w:rPr/>
        <w:t>within</w:t>
      </w:r>
      <w:r>
        <w:rPr>
          <w:spacing w:val="-6"/>
        </w:rPr>
        <w:t> </w:t>
      </w:r>
      <w:r>
        <w:rPr/>
        <w:t>the</w:t>
      </w:r>
      <w:r>
        <w:rPr>
          <w:spacing w:val="-6"/>
        </w:rPr>
        <w:t> </w:t>
      </w:r>
      <w:r>
        <w:rPr/>
        <w:t>literature. It</w:t>
      </w:r>
      <w:r>
        <w:rPr>
          <w:spacing w:val="-6"/>
        </w:rPr>
        <w:t> </w:t>
      </w:r>
      <w:r>
        <w:rPr/>
        <w:t>shows</w:t>
      </w:r>
      <w:r>
        <w:rPr>
          <w:spacing w:val="-6"/>
        </w:rPr>
        <w:t> </w:t>
      </w:r>
      <w:r>
        <w:rPr/>
        <w:t>the</w:t>
      </w:r>
      <w:r>
        <w:rPr>
          <w:spacing w:val="-6"/>
        </w:rPr>
        <w:t> </w:t>
      </w:r>
      <w:r>
        <w:rPr/>
        <w:t>links</w:t>
      </w:r>
      <w:r>
        <w:rPr>
          <w:spacing w:val="-6"/>
        </w:rPr>
        <w:t> </w:t>
      </w:r>
      <w:r>
        <w:rPr/>
        <w:t>between</w:t>
      </w:r>
      <w:r>
        <w:rPr>
          <w:spacing w:val="-6"/>
        </w:rPr>
        <w:t> </w:t>
      </w:r>
      <w:r>
        <w:rPr/>
        <w:t>the</w:t>
      </w:r>
      <w:r>
        <w:rPr>
          <w:spacing w:val="-6"/>
        </w:rPr>
        <w:t> </w:t>
      </w:r>
      <w:r>
        <w:rPr/>
        <w:t>literature</w:t>
      </w:r>
      <w:r>
        <w:rPr>
          <w:spacing w:val="-6"/>
        </w:rPr>
        <w:t> </w:t>
      </w:r>
      <w:r>
        <w:rPr/>
        <w:t>and</w:t>
      </w:r>
      <w:r>
        <w:rPr>
          <w:spacing w:val="-6"/>
        </w:rPr>
        <w:t> </w:t>
      </w:r>
      <w:r>
        <w:rPr/>
        <w:t>specific</w:t>
      </w:r>
      <w:r>
        <w:rPr>
          <w:spacing w:val="-6"/>
        </w:rPr>
        <w:t> </w:t>
      </w:r>
      <w:r>
        <w:rPr/>
        <w:t>stud- ies, and the applicability of different studies to rugby league using a traffic light system (red:</w:t>
      </w:r>
      <w:r>
        <w:rPr>
          <w:spacing w:val="38"/>
        </w:rPr>
        <w:t> </w:t>
      </w:r>
      <w:r>
        <w:rPr/>
        <w:t>not</w:t>
      </w:r>
      <w:r>
        <w:rPr>
          <w:spacing w:val="10"/>
        </w:rPr>
        <w:t> </w:t>
      </w:r>
      <w:r>
        <w:rPr/>
        <w:t>applicable;</w:t>
      </w:r>
      <w:r>
        <w:rPr>
          <w:spacing w:val="17"/>
        </w:rPr>
        <w:t> </w:t>
      </w:r>
      <w:r>
        <w:rPr/>
        <w:t>amber:</w:t>
      </w:r>
      <w:r>
        <w:rPr>
          <w:spacing w:val="39"/>
        </w:rPr>
        <w:t> </w:t>
      </w:r>
      <w:r>
        <w:rPr/>
        <w:t>elements</w:t>
      </w:r>
      <w:r>
        <w:rPr>
          <w:spacing w:val="10"/>
        </w:rPr>
        <w:t> </w:t>
      </w:r>
      <w:r>
        <w:rPr/>
        <w:t>applicable;</w:t>
      </w:r>
      <w:r>
        <w:rPr>
          <w:spacing w:val="17"/>
        </w:rPr>
        <w:t> </w:t>
      </w:r>
      <w:r>
        <w:rPr/>
        <w:t>green:</w:t>
      </w:r>
      <w:r>
        <w:rPr>
          <w:spacing w:val="39"/>
        </w:rPr>
        <w:t> </w:t>
      </w:r>
      <w:r>
        <w:rPr/>
        <w:t>fully</w:t>
      </w:r>
      <w:r>
        <w:rPr>
          <w:spacing w:val="10"/>
        </w:rPr>
        <w:t> </w:t>
      </w:r>
      <w:r>
        <w:rPr/>
        <w:t>applicable).</w:t>
      </w:r>
      <w:r>
        <w:rPr>
          <w:spacing w:val="53"/>
        </w:rPr>
        <w:t> </w:t>
      </w:r>
      <w:r>
        <w:rPr/>
        <w:t>Details</w:t>
      </w:r>
      <w:r>
        <w:rPr>
          <w:spacing w:val="10"/>
        </w:rPr>
        <w:t> </w:t>
      </w:r>
      <w:r>
        <w:rPr>
          <w:spacing w:val="-4"/>
        </w:rPr>
        <w:t>sur-</w:t>
      </w:r>
    </w:p>
    <w:p>
      <w:pPr>
        <w:spacing w:after="0" w:line="312" w:lineRule="auto"/>
        <w:sectPr>
          <w:headerReference w:type="default" r:id="rId26"/>
          <w:footerReference w:type="default" r:id="rId27"/>
          <w:pgSz w:w="11910" w:h="16840"/>
          <w:pgMar w:header="1961" w:footer="1428" w:top="2280" w:bottom="1620" w:left="1680" w:right="720"/>
        </w:sectPr>
      </w:pPr>
    </w:p>
    <w:p>
      <w:pPr>
        <w:pStyle w:val="BodyText"/>
        <w:rPr>
          <w:sz w:val="20"/>
        </w:rPr>
      </w:pPr>
    </w:p>
    <w:p>
      <w:pPr>
        <w:pStyle w:val="BodyText"/>
        <w:rPr>
          <w:sz w:val="20"/>
        </w:rPr>
      </w:pPr>
    </w:p>
    <w:p>
      <w:pPr>
        <w:pStyle w:val="BodyText"/>
        <w:spacing w:before="1"/>
        <w:rPr>
          <w:sz w:val="15"/>
        </w:rPr>
      </w:pPr>
    </w:p>
    <w:p>
      <w:pPr>
        <w:pStyle w:val="BodyText"/>
        <w:ind w:left="1035"/>
        <w:rPr>
          <w:sz w:val="20"/>
        </w:rPr>
      </w:pPr>
      <w:r>
        <w:rPr>
          <w:sz w:val="20"/>
        </w:rPr>
        <w:drawing>
          <wp:inline distT="0" distB="0" distL="0" distR="0">
            <wp:extent cx="4855125" cy="2633472"/>
            <wp:effectExtent l="0" t="0" r="0" b="0"/>
            <wp:docPr id="1" name="image1.jpeg"/>
            <wp:cNvGraphicFramePr>
              <a:graphicFrameLocks noChangeAspect="1"/>
            </wp:cNvGraphicFramePr>
            <a:graphic>
              <a:graphicData uri="http://schemas.openxmlformats.org/drawingml/2006/picture">
                <pic:pic>
                  <pic:nvPicPr>
                    <pic:cNvPr id="2" name="image1.jpeg"/>
                    <pic:cNvPicPr/>
                  </pic:nvPicPr>
                  <pic:blipFill>
                    <a:blip r:embed="rId28" cstate="print"/>
                    <a:stretch>
                      <a:fillRect/>
                    </a:stretch>
                  </pic:blipFill>
                  <pic:spPr>
                    <a:xfrm>
                      <a:off x="0" y="0"/>
                      <a:ext cx="4855125" cy="2633472"/>
                    </a:xfrm>
                    <a:prstGeom prst="rect">
                      <a:avLst/>
                    </a:prstGeom>
                  </pic:spPr>
                </pic:pic>
              </a:graphicData>
            </a:graphic>
          </wp:inline>
        </w:drawing>
      </w:r>
      <w:r>
        <w:rPr>
          <w:sz w:val="20"/>
        </w:rPr>
      </w:r>
    </w:p>
    <w:p>
      <w:pPr>
        <w:pStyle w:val="BodyText"/>
        <w:spacing w:before="2"/>
        <w:rPr>
          <w:sz w:val="13"/>
        </w:rPr>
      </w:pPr>
    </w:p>
    <w:p>
      <w:pPr>
        <w:pStyle w:val="BodyText"/>
        <w:spacing w:line="252" w:lineRule="auto" w:before="106"/>
        <w:ind w:left="610" w:right="389"/>
        <w:jc w:val="both"/>
      </w:pPr>
      <w:bookmarkStart w:name="_bookmark7" w:id="19"/>
      <w:bookmarkEnd w:id="19"/>
      <w:r>
        <w:rPr/>
      </w:r>
      <w:r>
        <w:rPr>
          <w:b/>
        </w:rPr>
        <w:t>Figure</w:t>
      </w:r>
      <w:r>
        <w:rPr>
          <w:b/>
          <w:spacing w:val="-5"/>
        </w:rPr>
        <w:t> </w:t>
      </w:r>
      <w:r>
        <w:rPr>
          <w:b/>
        </w:rPr>
        <w:t>1.1: </w:t>
      </w:r>
      <w:r>
        <w:rPr/>
        <w:t>Overview</w:t>
      </w:r>
      <w:r>
        <w:rPr>
          <w:spacing w:val="-5"/>
        </w:rPr>
        <w:t> </w:t>
      </w:r>
      <w:r>
        <w:rPr/>
        <w:t>of</w:t>
      </w:r>
      <w:r>
        <w:rPr>
          <w:spacing w:val="-5"/>
        </w:rPr>
        <w:t> </w:t>
      </w:r>
      <w:r>
        <w:rPr/>
        <w:t>thesis</w:t>
      </w:r>
      <w:r>
        <w:rPr>
          <w:spacing w:val="-5"/>
        </w:rPr>
        <w:t> </w:t>
      </w:r>
      <w:r>
        <w:rPr/>
        <w:t>outlining</w:t>
      </w:r>
      <w:r>
        <w:rPr>
          <w:spacing w:val="-5"/>
        </w:rPr>
        <w:t> </w:t>
      </w:r>
      <w:r>
        <w:rPr/>
        <w:t>most</w:t>
      </w:r>
      <w:r>
        <w:rPr>
          <w:spacing w:val="-5"/>
        </w:rPr>
        <w:t> </w:t>
      </w:r>
      <w:r>
        <w:rPr/>
        <w:t>important</w:t>
      </w:r>
      <w:r>
        <w:rPr>
          <w:spacing w:val="-5"/>
        </w:rPr>
        <w:t> </w:t>
      </w:r>
      <w:r>
        <w:rPr/>
        <w:t>literature,</w:t>
      </w:r>
      <w:r>
        <w:rPr>
          <w:spacing w:val="-4"/>
        </w:rPr>
        <w:t> </w:t>
      </w:r>
      <w:r>
        <w:rPr/>
        <w:t>timeline</w:t>
      </w:r>
      <w:r>
        <w:rPr>
          <w:spacing w:val="-5"/>
        </w:rPr>
        <w:t> </w:t>
      </w:r>
      <w:r>
        <w:rPr/>
        <w:t>and</w:t>
      </w:r>
      <w:r>
        <w:rPr>
          <w:spacing w:val="-5"/>
        </w:rPr>
        <w:t> </w:t>
      </w:r>
      <w:r>
        <w:rPr/>
        <w:t>how</w:t>
      </w:r>
      <w:r>
        <w:rPr>
          <w:spacing w:val="-5"/>
        </w:rPr>
        <w:t> </w:t>
      </w:r>
      <w:r>
        <w:rPr/>
        <w:t>the work links to the literature.</w:t>
      </w:r>
      <w:r>
        <w:rPr>
          <w:spacing w:val="34"/>
        </w:rPr>
        <w:t> </w:t>
      </w:r>
      <w:r>
        <w:rPr/>
        <w:t>Note: Objective 1 was completed by Chapter</w:t>
      </w:r>
      <w:r>
        <w:rPr>
          <w:color w:val="0000FF"/>
        </w:rPr>
        <w:t>2</w:t>
      </w:r>
      <w:hyperlink w:history="true" w:anchor="_bookmark8">
        <w:r>
          <w:rPr/>
          <w:t>,</w:t>
        </w:r>
      </w:hyperlink>
      <w:r>
        <w:rPr/>
        <w:t> but was not included in the schematic as it is not a specific study.</w:t>
      </w:r>
    </w:p>
    <w:p>
      <w:pPr>
        <w:pStyle w:val="BodyText"/>
        <w:rPr>
          <w:sz w:val="28"/>
        </w:rPr>
      </w:pPr>
    </w:p>
    <w:p>
      <w:pPr>
        <w:pStyle w:val="BodyText"/>
        <w:spacing w:before="2"/>
        <w:rPr>
          <w:sz w:val="32"/>
        </w:rPr>
      </w:pPr>
    </w:p>
    <w:p>
      <w:pPr>
        <w:pStyle w:val="BodyText"/>
        <w:spacing w:line="312" w:lineRule="auto"/>
        <w:ind w:left="610" w:right="389"/>
      </w:pPr>
      <w:r>
        <w:rPr/>
        <w:t>rounding publications, presentations, the methods used and objectives achieved are </w:t>
      </w:r>
      <w:r>
        <w:rPr/>
        <w:t>also provided.</w:t>
      </w:r>
      <w:r>
        <w:rPr>
          <w:spacing w:val="29"/>
        </w:rPr>
        <w:t> </w:t>
      </w:r>
      <w:r>
        <w:rPr/>
        <w:t>To achieve the objectives described in Section</w:t>
      </w:r>
      <w:hyperlink w:history="true" w:anchor="_bookmark4">
        <w:r>
          <w:rPr>
            <w:color w:val="0000FF"/>
          </w:rPr>
          <w:t>1.3</w:t>
        </w:r>
        <w:r>
          <w:rPr/>
          <w:t>,</w:t>
        </w:r>
      </w:hyperlink>
      <w:r>
        <w:rPr/>
        <w:t> this PhD thesis is arranged into</w:t>
      </w:r>
      <w:r>
        <w:rPr>
          <w:spacing w:val="-3"/>
        </w:rPr>
        <w:t> </w:t>
      </w:r>
      <w:r>
        <w:rPr/>
        <w:t>seven</w:t>
      </w:r>
      <w:r>
        <w:rPr>
          <w:spacing w:val="-3"/>
        </w:rPr>
        <w:t> </w:t>
      </w:r>
      <w:r>
        <w:rPr/>
        <w:t>chapters</w:t>
      </w:r>
      <w:r>
        <w:rPr>
          <w:spacing w:val="-3"/>
        </w:rPr>
        <w:t> </w:t>
      </w:r>
      <w:r>
        <w:rPr/>
        <w:t>and</w:t>
      </w:r>
      <w:r>
        <w:rPr>
          <w:spacing w:val="-3"/>
        </w:rPr>
        <w:t> </w:t>
      </w:r>
      <w:r>
        <w:rPr/>
        <w:t>four</w:t>
      </w:r>
      <w:r>
        <w:rPr>
          <w:spacing w:val="-4"/>
        </w:rPr>
        <w:t> </w:t>
      </w:r>
      <w:r>
        <w:rPr/>
        <w:t>appendices. Chapter</w:t>
      </w:r>
      <w:r>
        <w:rPr>
          <w:color w:val="0000FF"/>
        </w:rPr>
        <w:t>2</w:t>
      </w:r>
      <w:r>
        <w:rPr/>
        <w:t>(the</w:t>
      </w:r>
      <w:r>
        <w:rPr>
          <w:spacing w:val="-3"/>
        </w:rPr>
        <w:t> </w:t>
      </w:r>
      <w:r>
        <w:rPr/>
        <w:t>literature</w:t>
      </w:r>
      <w:r>
        <w:rPr>
          <w:spacing w:val="-3"/>
        </w:rPr>
        <w:t> </w:t>
      </w:r>
      <w:r>
        <w:rPr/>
        <w:t>review)</w:t>
      </w:r>
      <w:r>
        <w:rPr>
          <w:spacing w:val="-3"/>
        </w:rPr>
        <w:t> </w:t>
      </w:r>
      <w:r>
        <w:rPr/>
        <w:t>meets</w:t>
      </w:r>
      <w:r>
        <w:rPr>
          <w:spacing w:val="-3"/>
        </w:rPr>
        <w:t> </w:t>
      </w:r>
      <w:r>
        <w:rPr/>
        <w:t>objective 1 by investigating existing methodologies in team sports; Chapters</w:t>
      </w:r>
      <w:r>
        <w:rPr>
          <w:color w:val="0000FF"/>
        </w:rPr>
        <w:t>3</w:t>
      </w:r>
      <w:r>
        <w:rPr/>
        <w:t>and</w:t>
      </w:r>
      <w:r>
        <w:rPr>
          <w:color w:val="0000FF"/>
        </w:rPr>
        <w:t>4</w:t>
      </w:r>
      <w:hyperlink w:history="true" w:anchor="_bookmark92">
        <w:r>
          <w:rPr/>
          <w:t>meet</w:t>
        </w:r>
      </w:hyperlink>
      <w:r>
        <w:rPr/>
        <w:t> objec-</w:t>
      </w:r>
      <w:r>
        <w:rPr>
          <w:spacing w:val="40"/>
        </w:rPr>
        <w:t> </w:t>
      </w:r>
      <w:r>
        <w:rPr/>
        <w:t>tive 2 by applying, adapting and extending existing methodologies and metrics to rugby league; and Chapters</w:t>
      </w:r>
      <w:r>
        <w:rPr>
          <w:color w:val="0000FF"/>
        </w:rPr>
        <w:t>5</w:t>
      </w:r>
      <w:r>
        <w:rPr/>
        <w:t>and</w:t>
      </w:r>
      <w:r>
        <w:rPr>
          <w:color w:val="0000FF"/>
        </w:rPr>
        <w:t>6</w:t>
      </w:r>
      <w:hyperlink w:history="true" w:anchor="_bookmark170">
        <w:r>
          <w:rPr/>
          <w:t>m</w:t>
        </w:r>
      </w:hyperlink>
      <w:r>
        <w:rPr/>
        <w:t>eet objectives 4 and 5 by developing novel methodologies and metrics to evaluate player and team performances in rugby league.</w:t>
      </w:r>
      <w:r>
        <w:rPr>
          <w:spacing w:val="25"/>
        </w:rPr>
        <w:t> </w:t>
      </w:r>
      <w:r>
        <w:rPr/>
        <w:t>The results from Chapters</w:t>
      </w:r>
      <w:r>
        <w:rPr>
          <w:color w:val="0000FF"/>
        </w:rPr>
        <w:t>3</w:t>
      </w:r>
      <w:hyperlink w:history="true" w:anchor="_bookmark48">
        <w:r>
          <w:rPr/>
          <w:t>-</w:t>
        </w:r>
      </w:hyperlink>
      <w:r>
        <w:rPr>
          <w:color w:val="0000FF"/>
        </w:rPr>
        <w:t>4</w:t>
      </w:r>
      <w:r>
        <w:rPr/>
        <w:t>and</w:t>
      </w:r>
      <w:r>
        <w:rPr>
          <w:color w:val="0000FF"/>
        </w:rPr>
        <w:t>5</w:t>
      </w:r>
      <w:r>
        <w:rPr/>
        <w:t>-</w:t>
      </w:r>
      <w:hyperlink w:history="true" w:anchor="_bookmark122">
        <w:r>
          <w:rPr>
            <w:color w:val="0000FF"/>
          </w:rPr>
          <w:t>6</w:t>
        </w:r>
      </w:hyperlink>
      <w:hyperlink w:history="true" w:anchor="_bookmark170">
        <w:r>
          <w:rPr/>
          <w:t>were</w:t>
        </w:r>
      </w:hyperlink>
      <w:r>
        <w:rPr/>
        <w:t> presented to coaches to evaluate their performances against objectives 3 and 5 respectively.</w:t>
      </w:r>
    </w:p>
    <w:p>
      <w:pPr>
        <w:pStyle w:val="ListParagraph"/>
        <w:numPr>
          <w:ilvl w:val="2"/>
          <w:numId w:val="16"/>
        </w:numPr>
        <w:tabs>
          <w:tab w:pos="1080" w:val="left" w:leader="none"/>
        </w:tabs>
        <w:spacing w:line="312" w:lineRule="auto" w:before="197" w:after="0"/>
        <w:ind w:left="1195" w:right="389" w:hanging="201"/>
        <w:jc w:val="left"/>
        <w:rPr>
          <w:sz w:val="24"/>
        </w:rPr>
      </w:pPr>
      <w:r>
        <w:rPr>
          <w:sz w:val="24"/>
        </w:rPr>
        <w:t>Chapter</w:t>
      </w:r>
      <w:r>
        <w:rPr>
          <w:color w:val="0000FF"/>
          <w:sz w:val="24"/>
        </w:rPr>
        <w:t>2</w:t>
      </w:r>
      <w:hyperlink w:history="true" w:anchor="_bookmark8">
        <w:r>
          <w:rPr>
            <w:sz w:val="24"/>
          </w:rPr>
          <w:t>pro</w:t>
        </w:r>
      </w:hyperlink>
      <w:r>
        <w:rPr>
          <w:sz w:val="24"/>
        </w:rPr>
        <w:t>vides an overview of the elements of rugby league important to this thesis</w:t>
      </w:r>
      <w:r>
        <w:rPr>
          <w:spacing w:val="-13"/>
          <w:sz w:val="24"/>
        </w:rPr>
        <w:t> </w:t>
      </w:r>
      <w:r>
        <w:rPr>
          <w:sz w:val="24"/>
        </w:rPr>
        <w:t>and</w:t>
      </w:r>
      <w:r>
        <w:rPr>
          <w:spacing w:val="-13"/>
          <w:sz w:val="24"/>
        </w:rPr>
        <w:t> </w:t>
      </w:r>
      <w:r>
        <w:rPr>
          <w:sz w:val="24"/>
        </w:rPr>
        <w:t>investigates</w:t>
      </w:r>
      <w:r>
        <w:rPr>
          <w:spacing w:val="-13"/>
          <w:sz w:val="24"/>
        </w:rPr>
        <w:t> </w:t>
      </w:r>
      <w:r>
        <w:rPr>
          <w:sz w:val="24"/>
        </w:rPr>
        <w:t>the</w:t>
      </w:r>
      <w:r>
        <w:rPr>
          <w:spacing w:val="-13"/>
          <w:sz w:val="24"/>
        </w:rPr>
        <w:t> </w:t>
      </w:r>
      <w:r>
        <w:rPr>
          <w:sz w:val="24"/>
        </w:rPr>
        <w:t>sports</w:t>
      </w:r>
      <w:r>
        <w:rPr>
          <w:spacing w:val="-13"/>
          <w:sz w:val="24"/>
        </w:rPr>
        <w:t> </w:t>
      </w:r>
      <w:r>
        <w:rPr>
          <w:sz w:val="24"/>
        </w:rPr>
        <w:t>analytics</w:t>
      </w:r>
      <w:r>
        <w:rPr>
          <w:spacing w:val="-13"/>
          <w:sz w:val="24"/>
        </w:rPr>
        <w:t> </w:t>
      </w:r>
      <w:r>
        <w:rPr>
          <w:sz w:val="24"/>
        </w:rPr>
        <w:t>literature</w:t>
      </w:r>
      <w:r>
        <w:rPr>
          <w:spacing w:val="-13"/>
          <w:sz w:val="24"/>
        </w:rPr>
        <w:t> </w:t>
      </w:r>
      <w:r>
        <w:rPr>
          <w:sz w:val="24"/>
        </w:rPr>
        <w:t>with</w:t>
      </w:r>
      <w:r>
        <w:rPr>
          <w:spacing w:val="-13"/>
          <w:sz w:val="24"/>
        </w:rPr>
        <w:t> </w:t>
      </w:r>
      <w:r>
        <w:rPr>
          <w:sz w:val="24"/>
        </w:rPr>
        <w:t>respect</w:t>
      </w:r>
      <w:r>
        <w:rPr>
          <w:spacing w:val="-13"/>
          <w:sz w:val="24"/>
        </w:rPr>
        <w:t> </w:t>
      </w:r>
      <w:r>
        <w:rPr>
          <w:sz w:val="24"/>
        </w:rPr>
        <w:t>to</w:t>
      </w:r>
      <w:r>
        <w:rPr>
          <w:spacing w:val="-13"/>
          <w:sz w:val="24"/>
        </w:rPr>
        <w:t> </w:t>
      </w:r>
      <w:r>
        <w:rPr>
          <w:sz w:val="24"/>
        </w:rPr>
        <w:t>player</w:t>
      </w:r>
      <w:r>
        <w:rPr>
          <w:spacing w:val="-13"/>
          <w:sz w:val="24"/>
        </w:rPr>
        <w:t> </w:t>
      </w:r>
      <w:r>
        <w:rPr>
          <w:sz w:val="24"/>
        </w:rPr>
        <w:t>and</w:t>
      </w:r>
      <w:r>
        <w:rPr>
          <w:spacing w:val="-13"/>
          <w:sz w:val="24"/>
        </w:rPr>
        <w:t> </w:t>
      </w:r>
      <w:r>
        <w:rPr>
          <w:sz w:val="24"/>
        </w:rPr>
        <w:t>team performances in team sports.</w:t>
      </w:r>
      <w:r>
        <w:rPr>
          <w:spacing w:val="40"/>
          <w:sz w:val="24"/>
        </w:rPr>
        <w:t> </w:t>
      </w:r>
      <w:r>
        <w:rPr>
          <w:sz w:val="24"/>
        </w:rPr>
        <w:t>The sports analytics literature is evaluated with </w:t>
      </w:r>
      <w:r>
        <w:rPr>
          <w:sz w:val="24"/>
        </w:rPr>
        <w:t>re-</w:t>
      </w:r>
      <w:r>
        <w:rPr>
          <w:sz w:val="24"/>
        </w:rPr>
        <w:t> spect</w:t>
      </w:r>
      <w:r>
        <w:rPr>
          <w:spacing w:val="-15"/>
          <w:sz w:val="24"/>
        </w:rPr>
        <w:t> </w:t>
      </w:r>
      <w:r>
        <w:rPr>
          <w:sz w:val="24"/>
        </w:rPr>
        <w:t>to</w:t>
      </w:r>
      <w:r>
        <w:rPr>
          <w:spacing w:val="-15"/>
          <w:sz w:val="24"/>
        </w:rPr>
        <w:t> </w:t>
      </w:r>
      <w:r>
        <w:rPr>
          <w:sz w:val="24"/>
        </w:rPr>
        <w:t>its</w:t>
      </w:r>
      <w:r>
        <w:rPr>
          <w:spacing w:val="-15"/>
          <w:sz w:val="24"/>
        </w:rPr>
        <w:t> </w:t>
      </w:r>
      <w:r>
        <w:rPr>
          <w:sz w:val="24"/>
        </w:rPr>
        <w:t>potential</w:t>
      </w:r>
      <w:r>
        <w:rPr>
          <w:spacing w:val="-15"/>
          <w:sz w:val="24"/>
        </w:rPr>
        <w:t> </w:t>
      </w:r>
      <w:r>
        <w:rPr>
          <w:sz w:val="24"/>
        </w:rPr>
        <w:t>application</w:t>
      </w:r>
      <w:r>
        <w:rPr>
          <w:spacing w:val="-15"/>
          <w:sz w:val="24"/>
        </w:rPr>
        <w:t> </w:t>
      </w:r>
      <w:r>
        <w:rPr>
          <w:sz w:val="24"/>
        </w:rPr>
        <w:t>to</w:t>
      </w:r>
      <w:r>
        <w:rPr>
          <w:spacing w:val="-15"/>
          <w:sz w:val="24"/>
        </w:rPr>
        <w:t> </w:t>
      </w:r>
      <w:r>
        <w:rPr>
          <w:sz w:val="24"/>
        </w:rPr>
        <w:t>rugby</w:t>
      </w:r>
      <w:r>
        <w:rPr>
          <w:spacing w:val="-15"/>
          <w:sz w:val="24"/>
        </w:rPr>
        <w:t> </w:t>
      </w:r>
      <w:r>
        <w:rPr>
          <w:sz w:val="24"/>
        </w:rPr>
        <w:t>league.</w:t>
      </w:r>
      <w:r>
        <w:rPr>
          <w:spacing w:val="-15"/>
          <w:sz w:val="24"/>
        </w:rPr>
        <w:t> </w:t>
      </w:r>
      <w:r>
        <w:rPr>
          <w:sz w:val="24"/>
        </w:rPr>
        <w:t>The</w:t>
      </w:r>
      <w:r>
        <w:rPr>
          <w:spacing w:val="-15"/>
          <w:sz w:val="24"/>
        </w:rPr>
        <w:t> </w:t>
      </w:r>
      <w:r>
        <w:rPr>
          <w:sz w:val="24"/>
        </w:rPr>
        <w:t>limitations</w:t>
      </w:r>
      <w:r>
        <w:rPr>
          <w:spacing w:val="-15"/>
          <w:sz w:val="24"/>
        </w:rPr>
        <w:t> </w:t>
      </w:r>
      <w:r>
        <w:rPr>
          <w:sz w:val="24"/>
        </w:rPr>
        <w:t>of</w:t>
      </w:r>
      <w:r>
        <w:rPr>
          <w:spacing w:val="-15"/>
          <w:sz w:val="24"/>
        </w:rPr>
        <w:t> </w:t>
      </w:r>
      <w:r>
        <w:rPr>
          <w:sz w:val="24"/>
        </w:rPr>
        <w:t>the</w:t>
      </w:r>
      <w:r>
        <w:rPr>
          <w:spacing w:val="-15"/>
          <w:sz w:val="24"/>
        </w:rPr>
        <w:t> </w:t>
      </w:r>
      <w:r>
        <w:rPr>
          <w:sz w:val="24"/>
        </w:rPr>
        <w:t>rugby</w:t>
      </w:r>
      <w:r>
        <w:rPr>
          <w:spacing w:val="-15"/>
          <w:sz w:val="24"/>
        </w:rPr>
        <w:t> </w:t>
      </w:r>
      <w:r>
        <w:rPr>
          <w:sz w:val="24"/>
        </w:rPr>
        <w:t>league literature are discussed.</w:t>
      </w:r>
    </w:p>
    <w:p>
      <w:pPr>
        <w:pStyle w:val="ListParagraph"/>
        <w:numPr>
          <w:ilvl w:val="2"/>
          <w:numId w:val="16"/>
        </w:numPr>
        <w:tabs>
          <w:tab w:pos="1080" w:val="left" w:leader="none"/>
        </w:tabs>
        <w:spacing w:line="240" w:lineRule="auto" w:before="198" w:after="0"/>
        <w:ind w:left="1079" w:right="0" w:hanging="86"/>
        <w:jc w:val="left"/>
        <w:rPr>
          <w:sz w:val="24"/>
        </w:rPr>
      </w:pPr>
      <w:r>
        <w:rPr>
          <w:sz w:val="24"/>
        </w:rPr>
        <w:t>Chapter</w:t>
      </w:r>
      <w:r>
        <w:rPr>
          <w:color w:val="0000FF"/>
          <w:sz w:val="24"/>
        </w:rPr>
        <w:t>3</w:t>
      </w:r>
      <w:hyperlink w:history="true" w:anchor="_bookmark48">
        <w:r>
          <w:rPr>
            <w:sz w:val="24"/>
          </w:rPr>
          <w:t>describes</w:t>
        </w:r>
      </w:hyperlink>
      <w:r>
        <w:rPr>
          <w:spacing w:val="8"/>
          <w:sz w:val="24"/>
        </w:rPr>
        <w:t> </w:t>
      </w:r>
      <w:r>
        <w:rPr>
          <w:sz w:val="24"/>
        </w:rPr>
        <w:t>the</w:t>
      </w:r>
      <w:r>
        <w:rPr>
          <w:spacing w:val="9"/>
          <w:sz w:val="24"/>
        </w:rPr>
        <w:t> </w:t>
      </w:r>
      <w:r>
        <w:rPr>
          <w:sz w:val="24"/>
        </w:rPr>
        <w:t>adaptation</w:t>
      </w:r>
      <w:r>
        <w:rPr>
          <w:spacing w:val="8"/>
          <w:sz w:val="24"/>
        </w:rPr>
        <w:t> </w:t>
      </w:r>
      <w:r>
        <w:rPr>
          <w:sz w:val="24"/>
        </w:rPr>
        <w:t>of</w:t>
      </w:r>
      <w:r>
        <w:rPr>
          <w:spacing w:val="9"/>
          <w:sz w:val="24"/>
        </w:rPr>
        <w:t> </w:t>
      </w:r>
      <w:r>
        <w:rPr>
          <w:sz w:val="24"/>
        </w:rPr>
        <w:t>an</w:t>
      </w:r>
      <w:r>
        <w:rPr>
          <w:spacing w:val="9"/>
          <w:sz w:val="24"/>
        </w:rPr>
        <w:t> </w:t>
      </w:r>
      <w:r>
        <w:rPr>
          <w:sz w:val="24"/>
        </w:rPr>
        <w:t>expected</w:t>
      </w:r>
      <w:r>
        <w:rPr>
          <w:spacing w:val="8"/>
          <w:sz w:val="24"/>
        </w:rPr>
        <w:t> </w:t>
      </w:r>
      <w:r>
        <w:rPr>
          <w:sz w:val="24"/>
        </w:rPr>
        <w:t>possession</w:t>
      </w:r>
      <w:r>
        <w:rPr>
          <w:spacing w:val="9"/>
          <w:sz w:val="24"/>
        </w:rPr>
        <w:t> </w:t>
      </w:r>
      <w:r>
        <w:rPr>
          <w:sz w:val="24"/>
        </w:rPr>
        <w:t>value</w:t>
      </w:r>
      <w:r>
        <w:rPr>
          <w:spacing w:val="9"/>
          <w:sz w:val="24"/>
        </w:rPr>
        <w:t> </w:t>
      </w:r>
      <w:r>
        <w:rPr>
          <w:sz w:val="24"/>
        </w:rPr>
        <w:t>(EPV)</w:t>
      </w:r>
      <w:r>
        <w:rPr>
          <w:spacing w:val="8"/>
          <w:sz w:val="24"/>
        </w:rPr>
        <w:t> </w:t>
      </w:r>
      <w:r>
        <w:rPr>
          <w:spacing w:val="-2"/>
          <w:sz w:val="24"/>
        </w:rPr>
        <w:t>model</w:t>
      </w:r>
    </w:p>
    <w:p>
      <w:pPr>
        <w:spacing w:after="0" w:line="240" w:lineRule="auto"/>
        <w:jc w:val="left"/>
        <w:rPr>
          <w:sz w:val="24"/>
        </w:rPr>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1195" w:right="389"/>
      </w:pPr>
      <w:r>
        <w:rPr/>
        <w:t>to analyse team attacking performances in rugby league using play by play </w:t>
      </w:r>
      <w:r>
        <w:rPr/>
        <w:t>data</w:t>
      </w:r>
      <w:r>
        <w:rPr>
          <w:spacing w:val="80"/>
        </w:rPr>
        <w:t> </w:t>
      </w:r>
      <w:r>
        <w:rPr/>
        <w:t>and a Markov Reward Process approach.</w:t>
      </w:r>
      <w:r>
        <w:rPr>
          <w:spacing w:val="40"/>
        </w:rPr>
        <w:t> </w:t>
      </w:r>
      <w:r>
        <w:rPr/>
        <w:t>The locations of 59,233 plays from 180 matches in the 2019 Super League season were used.</w:t>
      </w:r>
      <w:r>
        <w:rPr>
          <w:spacing w:val="40"/>
        </w:rPr>
        <w:t> </w:t>
      </w:r>
      <w:r>
        <w:rPr/>
        <w:t>The study applied, adapted and extended previous work in rugby league (</w:t>
      </w:r>
      <w:hyperlink w:history="true" w:anchor="_bookmark263">
        <w:r>
          <w:rPr>
            <w:color w:val="FF0000"/>
          </w:rPr>
          <w:t>Kempton et al.</w:t>
        </w:r>
      </w:hyperlink>
      <w:r>
        <w:rPr/>
        <w:t>,</w:t>
      </w:r>
      <w:hyperlink w:history="true" w:anchor="_bookmark263">
        <w:r>
          <w:rPr>
            <w:color w:val="FF0000"/>
          </w:rPr>
          <w:t>2016</w:t>
        </w:r>
        <w:r>
          <w:rPr/>
          <w:t>)</w:t>
        </w:r>
      </w:hyperlink>
      <w:r>
        <w:rPr/>
        <w:t> and football (</w:t>
      </w:r>
      <w:hyperlink w:history="true" w:anchor="_bookmark294">
        <w:r>
          <w:rPr>
            <w:color w:val="FF0000"/>
          </w:rPr>
          <w:t>Singh</w:t>
        </w:r>
      </w:hyperlink>
      <w:r>
        <w:rPr/>
        <w:t>,</w:t>
      </w:r>
      <w:hyperlink w:history="true" w:anchor="_bookmark294">
        <w:r>
          <w:rPr>
            <w:color w:val="FF0000"/>
          </w:rPr>
          <w:t>n.d.</w:t>
        </w:r>
      </w:hyperlink>
      <w:r>
        <w:rPr/>
        <w:t>).</w:t>
      </w:r>
      <w:r>
        <w:rPr>
          <w:spacing w:val="40"/>
        </w:rPr>
        <w:t> </w:t>
      </w:r>
      <w:r>
        <w:rPr/>
        <w:t>The Monte Carlo every visit algorithm was used to simulate EPVs for</w:t>
      </w:r>
      <w:r>
        <w:rPr>
          <w:spacing w:val="24"/>
        </w:rPr>
        <w:t> </w:t>
      </w:r>
      <w:r>
        <w:rPr/>
        <w:t>the</w:t>
      </w:r>
      <w:r>
        <w:rPr>
          <w:spacing w:val="25"/>
        </w:rPr>
        <w:t> </w:t>
      </w:r>
      <w:r>
        <w:rPr/>
        <w:t>EPV-308.</w:t>
      </w:r>
      <w:r>
        <w:rPr>
          <w:spacing w:val="80"/>
        </w:rPr>
        <w:t> </w:t>
      </w:r>
      <w:r>
        <w:rPr/>
        <w:t>Five</w:t>
      </w:r>
      <w:r>
        <w:rPr>
          <w:spacing w:val="24"/>
        </w:rPr>
        <w:t> </w:t>
      </w:r>
      <w:r>
        <w:rPr/>
        <w:t>further</w:t>
      </w:r>
      <w:r>
        <w:rPr>
          <w:spacing w:val="24"/>
        </w:rPr>
        <w:t> </w:t>
      </w:r>
      <w:r>
        <w:rPr/>
        <w:t>models</w:t>
      </w:r>
      <w:r>
        <w:rPr>
          <w:spacing w:val="24"/>
        </w:rPr>
        <w:t> </w:t>
      </w:r>
      <w:r>
        <w:rPr/>
        <w:t>were</w:t>
      </w:r>
      <w:r>
        <w:rPr>
          <w:spacing w:val="25"/>
        </w:rPr>
        <w:t> </w:t>
      </w:r>
      <w:r>
        <w:rPr/>
        <w:t>constructed</w:t>
      </w:r>
      <w:r>
        <w:rPr>
          <w:spacing w:val="24"/>
        </w:rPr>
        <w:t> </w:t>
      </w:r>
      <w:r>
        <w:rPr/>
        <w:t>from</w:t>
      </w:r>
      <w:r>
        <w:rPr>
          <w:spacing w:val="24"/>
        </w:rPr>
        <w:t> </w:t>
      </w:r>
      <w:r>
        <w:rPr/>
        <w:t>the</w:t>
      </w:r>
      <w:r>
        <w:rPr>
          <w:spacing w:val="25"/>
        </w:rPr>
        <w:t> </w:t>
      </w:r>
      <w:r>
        <w:rPr/>
        <w:t>EPV-308</w:t>
      </w:r>
      <w:r>
        <w:rPr>
          <w:spacing w:val="24"/>
        </w:rPr>
        <w:t> </w:t>
      </w:r>
      <w:r>
        <w:rPr/>
        <w:t>and the KL Divergence was used to establish the models’ ability to reproduce future</w:t>
      </w:r>
      <w:r>
        <w:rPr>
          <w:spacing w:val="40"/>
        </w:rPr>
        <w:t> </w:t>
      </w:r>
      <w:r>
        <w:rPr/>
        <w:t>team attacking performances.</w:t>
      </w:r>
      <w:r>
        <w:rPr>
          <w:spacing w:val="30"/>
        </w:rPr>
        <w:t> </w:t>
      </w:r>
      <w:r>
        <w:rPr/>
        <w:t>A novel method to highlight the value generated by teams</w:t>
      </w:r>
      <w:r>
        <w:rPr>
          <w:spacing w:val="-4"/>
        </w:rPr>
        <w:t> </w:t>
      </w:r>
      <w:r>
        <w:rPr/>
        <w:t>in</w:t>
      </w:r>
      <w:r>
        <w:rPr>
          <w:spacing w:val="-4"/>
        </w:rPr>
        <w:t> </w:t>
      </w:r>
      <w:r>
        <w:rPr/>
        <w:t>different</w:t>
      </w:r>
      <w:r>
        <w:rPr>
          <w:spacing w:val="-4"/>
        </w:rPr>
        <w:t> </w:t>
      </w:r>
      <w:r>
        <w:rPr/>
        <w:t>zones</w:t>
      </w:r>
      <w:r>
        <w:rPr>
          <w:spacing w:val="-4"/>
        </w:rPr>
        <w:t> </w:t>
      </w:r>
      <w:r>
        <w:rPr/>
        <w:t>on</w:t>
      </w:r>
      <w:r>
        <w:rPr>
          <w:spacing w:val="-4"/>
        </w:rPr>
        <w:t> </w:t>
      </w:r>
      <w:r>
        <w:rPr/>
        <w:t>the</w:t>
      </w:r>
      <w:r>
        <w:rPr>
          <w:spacing w:val="-4"/>
        </w:rPr>
        <w:t> </w:t>
      </w:r>
      <w:r>
        <w:rPr/>
        <w:t>pitch</w:t>
      </w:r>
      <w:r>
        <w:rPr>
          <w:spacing w:val="-4"/>
        </w:rPr>
        <w:t> </w:t>
      </w:r>
      <w:r>
        <w:rPr/>
        <w:t>was</w:t>
      </w:r>
      <w:r>
        <w:rPr>
          <w:spacing w:val="-4"/>
        </w:rPr>
        <w:t> </w:t>
      </w:r>
      <w:r>
        <w:rPr/>
        <w:t>proposed. It</w:t>
      </w:r>
      <w:r>
        <w:rPr>
          <w:spacing w:val="-4"/>
        </w:rPr>
        <w:t> </w:t>
      </w:r>
      <w:r>
        <w:rPr/>
        <w:t>was</w:t>
      </w:r>
      <w:r>
        <w:rPr>
          <w:spacing w:val="-4"/>
        </w:rPr>
        <w:t> </w:t>
      </w:r>
      <w:r>
        <w:rPr/>
        <w:t>published</w:t>
      </w:r>
      <w:r>
        <w:rPr>
          <w:spacing w:val="-4"/>
        </w:rPr>
        <w:t> </w:t>
      </w:r>
      <w:r>
        <w:rPr/>
        <w:t>in</w:t>
      </w:r>
      <w:r>
        <w:rPr>
          <w:spacing w:val="-4"/>
        </w:rPr>
        <w:t> </w:t>
      </w:r>
      <w:r>
        <w:rPr/>
        <w:t>PLOS</w:t>
      </w:r>
      <w:r>
        <w:rPr>
          <w:spacing w:val="-4"/>
        </w:rPr>
        <w:t> </w:t>
      </w:r>
      <w:r>
        <w:rPr/>
        <w:t>One (Thomas</w:t>
      </w:r>
      <w:r>
        <w:rPr>
          <w:spacing w:val="25"/>
        </w:rPr>
        <w:t> </w:t>
      </w:r>
      <w:r>
        <w:rPr/>
        <w:t>Sawczuk,</w:t>
      </w:r>
      <w:r>
        <w:rPr>
          <w:spacing w:val="32"/>
        </w:rPr>
        <w:t> </w:t>
      </w:r>
      <w:r>
        <w:rPr/>
        <w:t>Anna</w:t>
      </w:r>
      <w:r>
        <w:rPr>
          <w:spacing w:val="25"/>
        </w:rPr>
        <w:t> </w:t>
      </w:r>
      <w:r>
        <w:rPr/>
        <w:t>Palczewska,</w:t>
      </w:r>
      <w:r>
        <w:rPr>
          <w:spacing w:val="32"/>
        </w:rPr>
        <w:t> </w:t>
      </w:r>
      <w:r>
        <w:rPr/>
        <w:t>Ben</w:t>
      </w:r>
      <w:r>
        <w:rPr>
          <w:spacing w:val="25"/>
        </w:rPr>
        <w:t> </w:t>
      </w:r>
      <w:r>
        <w:rPr/>
        <w:t>Jones.</w:t>
      </w:r>
      <w:r>
        <w:rPr>
          <w:spacing w:val="80"/>
        </w:rPr>
        <w:t> </w:t>
      </w:r>
      <w:r>
        <w:rPr/>
        <w:t>Development</w:t>
      </w:r>
      <w:r>
        <w:rPr>
          <w:spacing w:val="25"/>
        </w:rPr>
        <w:t> </w:t>
      </w:r>
      <w:r>
        <w:rPr/>
        <w:t>of</w:t>
      </w:r>
      <w:r>
        <w:rPr>
          <w:spacing w:val="25"/>
        </w:rPr>
        <w:t> </w:t>
      </w:r>
      <w:r>
        <w:rPr/>
        <w:t>an</w:t>
      </w:r>
      <w:r>
        <w:rPr>
          <w:spacing w:val="25"/>
        </w:rPr>
        <w:t> </w:t>
      </w:r>
      <w:r>
        <w:rPr/>
        <w:t>expected possession value model to analyse team attacking performances in rugby league. </w:t>
      </w:r>
      <w:r>
        <w:rPr>
          <w:i/>
        </w:rPr>
        <w:t>PLOS One</w:t>
      </w:r>
      <w:r>
        <w:rPr/>
        <w:t>, 16(11): e0259536, 2021) and presented to the England Rugby League Performance Unit for feedback.</w:t>
      </w:r>
    </w:p>
    <w:p>
      <w:pPr>
        <w:pStyle w:val="ListParagraph"/>
        <w:numPr>
          <w:ilvl w:val="2"/>
          <w:numId w:val="16"/>
        </w:numPr>
        <w:tabs>
          <w:tab w:pos="1080" w:val="left" w:leader="none"/>
        </w:tabs>
        <w:spacing w:line="312" w:lineRule="auto" w:before="197" w:after="0"/>
        <w:ind w:left="1195" w:right="389" w:hanging="201"/>
        <w:jc w:val="left"/>
        <w:rPr>
          <w:sz w:val="24"/>
        </w:rPr>
      </w:pPr>
      <w:r>
        <w:rPr>
          <w:sz w:val="24"/>
        </w:rPr>
        <w:t>Chapter</w:t>
      </w:r>
      <w:r>
        <w:rPr>
          <w:color w:val="0000FF"/>
          <w:sz w:val="24"/>
        </w:rPr>
        <w:t>4</w:t>
      </w:r>
      <w:hyperlink w:history="true" w:anchor="_bookmark92">
        <w:r>
          <w:rPr>
            <w:sz w:val="24"/>
          </w:rPr>
          <w:t>e</w:t>
        </w:r>
      </w:hyperlink>
      <w:r>
        <w:rPr>
          <w:sz w:val="24"/>
        </w:rPr>
        <w:t>xtends</w:t>
      </w:r>
      <w:r>
        <w:rPr>
          <w:spacing w:val="-1"/>
          <w:sz w:val="24"/>
        </w:rPr>
        <w:t> </w:t>
      </w:r>
      <w:r>
        <w:rPr>
          <w:sz w:val="24"/>
        </w:rPr>
        <w:t>the</w:t>
      </w:r>
      <w:r>
        <w:rPr>
          <w:spacing w:val="-1"/>
          <w:sz w:val="24"/>
        </w:rPr>
        <w:t> </w:t>
      </w:r>
      <w:r>
        <w:rPr>
          <w:sz w:val="24"/>
        </w:rPr>
        <w:t>EPV</w:t>
      </w:r>
      <w:r>
        <w:rPr>
          <w:spacing w:val="-1"/>
          <w:sz w:val="24"/>
        </w:rPr>
        <w:t> </w:t>
      </w:r>
      <w:r>
        <w:rPr>
          <w:sz w:val="24"/>
        </w:rPr>
        <w:t>model</w:t>
      </w:r>
      <w:r>
        <w:rPr>
          <w:spacing w:val="-1"/>
          <w:sz w:val="24"/>
        </w:rPr>
        <w:t> </w:t>
      </w:r>
      <w:r>
        <w:rPr>
          <w:sz w:val="24"/>
        </w:rPr>
        <w:t>from</w:t>
      </w:r>
      <w:r>
        <w:rPr>
          <w:spacing w:val="-1"/>
          <w:sz w:val="24"/>
        </w:rPr>
        <w:t> </w:t>
      </w:r>
      <w:r>
        <w:rPr>
          <w:sz w:val="24"/>
        </w:rPr>
        <w:t>Chapter</w:t>
      </w:r>
      <w:r>
        <w:rPr>
          <w:color w:val="0000FF"/>
          <w:sz w:val="24"/>
        </w:rPr>
        <w:t>3</w:t>
      </w:r>
      <w:r>
        <w:rPr>
          <w:sz w:val="24"/>
        </w:rPr>
        <w:t>to</w:t>
      </w:r>
      <w:r>
        <w:rPr>
          <w:spacing w:val="-1"/>
          <w:sz w:val="24"/>
        </w:rPr>
        <w:t> </w:t>
      </w:r>
      <w:r>
        <w:rPr>
          <w:sz w:val="24"/>
        </w:rPr>
        <w:t>analyse</w:t>
      </w:r>
      <w:r>
        <w:rPr>
          <w:spacing w:val="-1"/>
          <w:sz w:val="24"/>
        </w:rPr>
        <w:t> </w:t>
      </w:r>
      <w:r>
        <w:rPr>
          <w:sz w:val="24"/>
        </w:rPr>
        <w:t>player</w:t>
      </w:r>
      <w:r>
        <w:rPr>
          <w:spacing w:val="-1"/>
          <w:sz w:val="24"/>
        </w:rPr>
        <w:t> </w:t>
      </w:r>
      <w:r>
        <w:rPr>
          <w:sz w:val="24"/>
        </w:rPr>
        <w:t>and</w:t>
      </w:r>
      <w:r>
        <w:rPr>
          <w:spacing w:val="-1"/>
          <w:sz w:val="24"/>
        </w:rPr>
        <w:t> </w:t>
      </w:r>
      <w:r>
        <w:rPr>
          <w:sz w:val="24"/>
        </w:rPr>
        <w:t>team</w:t>
      </w:r>
      <w:r>
        <w:rPr>
          <w:spacing w:val="-1"/>
          <w:sz w:val="24"/>
        </w:rPr>
        <w:t> </w:t>
      </w:r>
      <w:r>
        <w:rPr>
          <w:sz w:val="24"/>
        </w:rPr>
        <w:t>perfor- mances</w:t>
      </w:r>
      <w:r>
        <w:rPr>
          <w:spacing w:val="-6"/>
          <w:sz w:val="24"/>
        </w:rPr>
        <w:t> </w:t>
      </w:r>
      <w:r>
        <w:rPr>
          <w:sz w:val="24"/>
        </w:rPr>
        <w:t>using</w:t>
      </w:r>
      <w:r>
        <w:rPr>
          <w:spacing w:val="-6"/>
          <w:sz w:val="24"/>
        </w:rPr>
        <w:t> </w:t>
      </w:r>
      <w:r>
        <w:rPr>
          <w:sz w:val="24"/>
        </w:rPr>
        <w:t>action</w:t>
      </w:r>
      <w:r>
        <w:rPr>
          <w:spacing w:val="-6"/>
          <w:sz w:val="24"/>
        </w:rPr>
        <w:t> </w:t>
      </w:r>
      <w:r>
        <w:rPr>
          <w:sz w:val="24"/>
        </w:rPr>
        <w:t>by</w:t>
      </w:r>
      <w:r>
        <w:rPr>
          <w:spacing w:val="-6"/>
          <w:sz w:val="24"/>
        </w:rPr>
        <w:t> </w:t>
      </w:r>
      <w:r>
        <w:rPr>
          <w:sz w:val="24"/>
        </w:rPr>
        <w:t>action</w:t>
      </w:r>
      <w:r>
        <w:rPr>
          <w:spacing w:val="-6"/>
          <w:sz w:val="24"/>
        </w:rPr>
        <w:t> </w:t>
      </w:r>
      <w:r>
        <w:rPr>
          <w:sz w:val="24"/>
        </w:rPr>
        <w:t>data</w:t>
      </w:r>
      <w:r>
        <w:rPr>
          <w:spacing w:val="-6"/>
          <w:sz w:val="24"/>
        </w:rPr>
        <w:t> </w:t>
      </w:r>
      <w:r>
        <w:rPr>
          <w:sz w:val="24"/>
        </w:rPr>
        <w:t>in</w:t>
      </w:r>
      <w:r>
        <w:rPr>
          <w:spacing w:val="-6"/>
          <w:sz w:val="24"/>
        </w:rPr>
        <w:t> </w:t>
      </w:r>
      <w:r>
        <w:rPr>
          <w:sz w:val="24"/>
        </w:rPr>
        <w:t>rugby</w:t>
      </w:r>
      <w:r>
        <w:rPr>
          <w:spacing w:val="-6"/>
          <w:sz w:val="24"/>
        </w:rPr>
        <w:t> </w:t>
      </w:r>
      <w:r>
        <w:rPr>
          <w:sz w:val="24"/>
        </w:rPr>
        <w:t>league</w:t>
      </w:r>
      <w:r>
        <w:rPr>
          <w:spacing w:val="-6"/>
          <w:sz w:val="24"/>
        </w:rPr>
        <w:t> </w:t>
      </w:r>
      <w:r>
        <w:rPr>
          <w:sz w:val="24"/>
        </w:rPr>
        <w:t>for</w:t>
      </w:r>
      <w:r>
        <w:rPr>
          <w:spacing w:val="-6"/>
          <w:sz w:val="24"/>
        </w:rPr>
        <w:t> </w:t>
      </w:r>
      <w:r>
        <w:rPr>
          <w:sz w:val="24"/>
        </w:rPr>
        <w:t>the</w:t>
      </w:r>
      <w:r>
        <w:rPr>
          <w:spacing w:val="-6"/>
          <w:sz w:val="24"/>
        </w:rPr>
        <w:t> </w:t>
      </w:r>
      <w:r>
        <w:rPr>
          <w:sz w:val="24"/>
        </w:rPr>
        <w:t>first</w:t>
      </w:r>
      <w:r>
        <w:rPr>
          <w:spacing w:val="-6"/>
          <w:sz w:val="24"/>
        </w:rPr>
        <w:t> </w:t>
      </w:r>
      <w:r>
        <w:rPr>
          <w:sz w:val="24"/>
        </w:rPr>
        <w:t>time. The</w:t>
      </w:r>
      <w:r>
        <w:rPr>
          <w:spacing w:val="-6"/>
          <w:sz w:val="24"/>
        </w:rPr>
        <w:t> </w:t>
      </w:r>
      <w:r>
        <w:rPr>
          <w:sz w:val="24"/>
        </w:rPr>
        <w:t>locations</w:t>
      </w:r>
      <w:r>
        <w:rPr>
          <w:sz w:val="24"/>
        </w:rPr>
        <w:t> of</w:t>
      </w:r>
      <w:r>
        <w:rPr>
          <w:spacing w:val="-1"/>
          <w:sz w:val="24"/>
        </w:rPr>
        <w:t> </w:t>
      </w:r>
      <w:r>
        <w:rPr>
          <w:sz w:val="24"/>
        </w:rPr>
        <w:t>77,045</w:t>
      </w:r>
      <w:r>
        <w:rPr>
          <w:spacing w:val="-1"/>
          <w:sz w:val="24"/>
        </w:rPr>
        <w:t> </w:t>
      </w:r>
      <w:r>
        <w:rPr>
          <w:sz w:val="24"/>
        </w:rPr>
        <w:t>actions</w:t>
      </w:r>
      <w:r>
        <w:rPr>
          <w:spacing w:val="-1"/>
          <w:sz w:val="24"/>
        </w:rPr>
        <w:t> </w:t>
      </w:r>
      <w:r>
        <w:rPr>
          <w:sz w:val="24"/>
        </w:rPr>
        <w:t>from</w:t>
      </w:r>
      <w:r>
        <w:rPr>
          <w:spacing w:val="-1"/>
          <w:sz w:val="24"/>
        </w:rPr>
        <w:t> </w:t>
      </w:r>
      <w:r>
        <w:rPr>
          <w:sz w:val="24"/>
        </w:rPr>
        <w:t>63</w:t>
      </w:r>
      <w:r>
        <w:rPr>
          <w:spacing w:val="-1"/>
          <w:sz w:val="24"/>
        </w:rPr>
        <w:t> </w:t>
      </w:r>
      <w:r>
        <w:rPr>
          <w:sz w:val="24"/>
        </w:rPr>
        <w:t>matches</w:t>
      </w:r>
      <w:r>
        <w:rPr>
          <w:spacing w:val="-1"/>
          <w:sz w:val="24"/>
        </w:rPr>
        <w:t> </w:t>
      </w:r>
      <w:r>
        <w:rPr>
          <w:sz w:val="24"/>
        </w:rPr>
        <w:t>in</w:t>
      </w:r>
      <w:r>
        <w:rPr>
          <w:spacing w:val="-1"/>
          <w:sz w:val="24"/>
        </w:rPr>
        <w:t> </w:t>
      </w:r>
      <w:r>
        <w:rPr>
          <w:sz w:val="24"/>
        </w:rPr>
        <w:t>the</w:t>
      </w:r>
      <w:r>
        <w:rPr>
          <w:spacing w:val="-1"/>
          <w:sz w:val="24"/>
        </w:rPr>
        <w:t> </w:t>
      </w:r>
      <w:r>
        <w:rPr>
          <w:sz w:val="24"/>
        </w:rPr>
        <w:t>2020</w:t>
      </w:r>
      <w:r>
        <w:rPr>
          <w:spacing w:val="-1"/>
          <w:sz w:val="24"/>
        </w:rPr>
        <w:t> </w:t>
      </w:r>
      <w:r>
        <w:rPr>
          <w:sz w:val="24"/>
        </w:rPr>
        <w:t>Super</w:t>
      </w:r>
      <w:r>
        <w:rPr>
          <w:spacing w:val="-1"/>
          <w:sz w:val="24"/>
        </w:rPr>
        <w:t> </w:t>
      </w:r>
      <w:r>
        <w:rPr>
          <w:sz w:val="24"/>
        </w:rPr>
        <w:t>League</w:t>
      </w:r>
      <w:r>
        <w:rPr>
          <w:spacing w:val="-1"/>
          <w:sz w:val="24"/>
        </w:rPr>
        <w:t> </w:t>
      </w:r>
      <w:r>
        <w:rPr>
          <w:sz w:val="24"/>
        </w:rPr>
        <w:t>season</w:t>
      </w:r>
      <w:r>
        <w:rPr>
          <w:spacing w:val="-1"/>
          <w:sz w:val="24"/>
        </w:rPr>
        <w:t> </w:t>
      </w:r>
      <w:r>
        <w:rPr>
          <w:sz w:val="24"/>
        </w:rPr>
        <w:t>were</w:t>
      </w:r>
      <w:r>
        <w:rPr>
          <w:spacing w:val="-1"/>
          <w:sz w:val="24"/>
        </w:rPr>
        <w:t> </w:t>
      </w:r>
      <w:r>
        <w:rPr>
          <w:sz w:val="24"/>
        </w:rPr>
        <w:t>used. </w:t>
      </w:r>
      <w:r>
        <w:rPr>
          <w:sz w:val="24"/>
        </w:rPr>
        <w:t>A</w:t>
      </w:r>
      <w:r>
        <w:rPr>
          <w:sz w:val="24"/>
        </w:rPr>
        <w:t> Markov</w:t>
      </w:r>
      <w:r>
        <w:rPr>
          <w:spacing w:val="-11"/>
          <w:sz w:val="24"/>
        </w:rPr>
        <w:t> </w:t>
      </w:r>
      <w:r>
        <w:rPr>
          <w:sz w:val="24"/>
        </w:rPr>
        <w:t>Decision</w:t>
      </w:r>
      <w:r>
        <w:rPr>
          <w:spacing w:val="-12"/>
          <w:sz w:val="24"/>
        </w:rPr>
        <w:t> </w:t>
      </w:r>
      <w:r>
        <w:rPr>
          <w:sz w:val="24"/>
        </w:rPr>
        <w:t>Process</w:t>
      </w:r>
      <w:r>
        <w:rPr>
          <w:spacing w:val="-11"/>
          <w:sz w:val="24"/>
        </w:rPr>
        <w:t> </w:t>
      </w:r>
      <w:r>
        <w:rPr>
          <w:sz w:val="24"/>
        </w:rPr>
        <w:t>approach,</w:t>
      </w:r>
      <w:r>
        <w:rPr>
          <w:spacing w:val="-11"/>
          <w:sz w:val="24"/>
        </w:rPr>
        <w:t> </w:t>
      </w:r>
      <w:r>
        <w:rPr>
          <w:sz w:val="24"/>
        </w:rPr>
        <w:t>via</w:t>
      </w:r>
      <w:r>
        <w:rPr>
          <w:spacing w:val="-12"/>
          <w:sz w:val="24"/>
        </w:rPr>
        <w:t> </w:t>
      </w:r>
      <w:r>
        <w:rPr>
          <w:sz w:val="24"/>
        </w:rPr>
        <w:t>the</w:t>
      </w:r>
      <w:r>
        <w:rPr>
          <w:spacing w:val="-11"/>
          <w:sz w:val="24"/>
        </w:rPr>
        <w:t> </w:t>
      </w:r>
      <w:r>
        <w:rPr>
          <w:sz w:val="24"/>
        </w:rPr>
        <w:t>Monte</w:t>
      </w:r>
      <w:r>
        <w:rPr>
          <w:spacing w:val="-12"/>
          <w:sz w:val="24"/>
        </w:rPr>
        <w:t> </w:t>
      </w:r>
      <w:r>
        <w:rPr>
          <w:sz w:val="24"/>
        </w:rPr>
        <w:t>Carlo</w:t>
      </w:r>
      <w:r>
        <w:rPr>
          <w:spacing w:val="-11"/>
          <w:sz w:val="24"/>
        </w:rPr>
        <w:t> </w:t>
      </w:r>
      <w:r>
        <w:rPr>
          <w:sz w:val="24"/>
        </w:rPr>
        <w:t>every</w:t>
      </w:r>
      <w:r>
        <w:rPr>
          <w:spacing w:val="-11"/>
          <w:sz w:val="24"/>
        </w:rPr>
        <w:t> </w:t>
      </w:r>
      <w:r>
        <w:rPr>
          <w:sz w:val="24"/>
        </w:rPr>
        <w:t>visit</w:t>
      </w:r>
      <w:r>
        <w:rPr>
          <w:spacing w:val="-12"/>
          <w:sz w:val="24"/>
        </w:rPr>
        <w:t> </w:t>
      </w:r>
      <w:r>
        <w:rPr>
          <w:sz w:val="24"/>
        </w:rPr>
        <w:t>algorithm,</w:t>
      </w:r>
      <w:r>
        <w:rPr>
          <w:spacing w:val="-11"/>
          <w:sz w:val="24"/>
        </w:rPr>
        <w:t> </w:t>
      </w:r>
      <w:r>
        <w:rPr>
          <w:sz w:val="24"/>
        </w:rPr>
        <w:t>was used to estimate action values conditional on their location.</w:t>
      </w:r>
      <w:r>
        <w:rPr>
          <w:spacing w:val="40"/>
          <w:sz w:val="24"/>
        </w:rPr>
        <w:t> </w:t>
      </w:r>
      <w:r>
        <w:rPr>
          <w:sz w:val="24"/>
        </w:rPr>
        <w:t>Context nodes </w:t>
      </w:r>
      <w:r>
        <w:rPr>
          <w:sz w:val="24"/>
        </w:rPr>
        <w:t>were</w:t>
      </w:r>
      <w:r>
        <w:rPr>
          <w:sz w:val="24"/>
        </w:rPr>
        <w:t> adapted from previous research in ice hockey (</w:t>
      </w:r>
      <w:hyperlink w:history="true" w:anchor="_bookmark287">
        <w:r>
          <w:rPr>
            <w:color w:val="FF0000"/>
            <w:sz w:val="24"/>
          </w:rPr>
          <w:t>Routley and Schulte</w:t>
        </w:r>
      </w:hyperlink>
      <w:r>
        <w:rPr>
          <w:sz w:val="24"/>
        </w:rPr>
        <w:t>,</w:t>
      </w:r>
      <w:hyperlink w:history="true" w:anchor="_bookmark287">
        <w:r>
          <w:rPr>
            <w:color w:val="FF0000"/>
            <w:sz w:val="24"/>
          </w:rPr>
          <w:t>2015</w:t>
        </w:r>
        <w:r>
          <w:rPr>
            <w:sz w:val="24"/>
          </w:rPr>
          <w:t>)</w:t>
        </w:r>
      </w:hyperlink>
      <w:r>
        <w:rPr>
          <w:sz w:val="24"/>
        </w:rPr>
        <w:t> to pro- vide further insights into player performances and allow individual team </w:t>
      </w:r>
      <w:r>
        <w:rPr>
          <w:sz w:val="24"/>
        </w:rPr>
        <w:t>analyses</w:t>
      </w:r>
      <w:r>
        <w:rPr>
          <w:sz w:val="24"/>
        </w:rPr>
        <w:t> to be conducted.</w:t>
      </w:r>
      <w:r>
        <w:rPr>
          <w:spacing w:val="40"/>
          <w:sz w:val="24"/>
        </w:rPr>
        <w:t> </w:t>
      </w:r>
      <w:r>
        <w:rPr>
          <w:sz w:val="24"/>
        </w:rPr>
        <w:t>An action impact rating was adapted from ice hockey </w:t>
      </w:r>
      <w:r>
        <w:rPr>
          <w:sz w:val="24"/>
        </w:rPr>
        <w:t>(</w:t>
      </w:r>
      <w:hyperlink w:history="true" w:anchor="_bookmark287">
        <w:r>
          <w:rPr>
            <w:color w:val="FF0000"/>
            <w:sz w:val="24"/>
          </w:rPr>
          <w:t>Routle</w:t>
        </w:r>
        <w:r>
          <w:rPr>
            <w:color w:val="FF0000"/>
            <w:sz w:val="24"/>
          </w:rPr>
          <w:t>y</w:t>
        </w:r>
      </w:hyperlink>
      <w:r>
        <w:rPr>
          <w:color w:val="FF0000"/>
          <w:sz w:val="24"/>
        </w:rPr>
        <w:t> </w:t>
      </w:r>
      <w:hyperlink w:history="true" w:anchor="_bookmark287">
        <w:r>
          <w:rPr>
            <w:color w:val="FF0000"/>
            <w:sz w:val="24"/>
          </w:rPr>
          <w:t>and Schulte</w:t>
        </w:r>
      </w:hyperlink>
      <w:r>
        <w:rPr>
          <w:sz w:val="24"/>
        </w:rPr>
        <w:t>,</w:t>
      </w:r>
      <w:hyperlink w:history="true" w:anchor="_bookmark287">
        <w:r>
          <w:rPr>
            <w:color w:val="FF0000"/>
            <w:sz w:val="24"/>
          </w:rPr>
          <w:t>2015</w:t>
        </w:r>
        <w:r>
          <w:rPr>
            <w:sz w:val="24"/>
          </w:rPr>
          <w:t>)</w:t>
        </w:r>
      </w:hyperlink>
      <w:r>
        <w:rPr>
          <w:sz w:val="24"/>
        </w:rPr>
        <w:t> to evaluate the performances of players based on the actions</w:t>
      </w:r>
      <w:r>
        <w:rPr>
          <w:spacing w:val="40"/>
          <w:sz w:val="24"/>
        </w:rPr>
        <w:t> </w:t>
      </w:r>
      <w:r>
        <w:rPr>
          <w:sz w:val="24"/>
        </w:rPr>
        <w:t>they took.</w:t>
      </w:r>
      <w:r>
        <w:rPr>
          <w:spacing w:val="40"/>
          <w:sz w:val="24"/>
        </w:rPr>
        <w:t> </w:t>
      </w:r>
      <w:r>
        <w:rPr>
          <w:sz w:val="24"/>
        </w:rPr>
        <w:t>The work was presented at the UKCI 2021 conference and published</w:t>
      </w:r>
      <w:r>
        <w:rPr>
          <w:spacing w:val="40"/>
          <w:sz w:val="24"/>
        </w:rPr>
        <w:t> </w:t>
      </w:r>
      <w:r>
        <w:rPr>
          <w:sz w:val="24"/>
        </w:rPr>
        <w:t>in</w:t>
      </w:r>
      <w:r>
        <w:rPr>
          <w:spacing w:val="-3"/>
          <w:sz w:val="24"/>
        </w:rPr>
        <w:t> </w:t>
      </w:r>
      <w:r>
        <w:rPr>
          <w:sz w:val="24"/>
        </w:rPr>
        <w:t>Advances</w:t>
      </w:r>
      <w:r>
        <w:rPr>
          <w:spacing w:val="-3"/>
          <w:sz w:val="24"/>
        </w:rPr>
        <w:t> </w:t>
      </w:r>
      <w:r>
        <w:rPr>
          <w:sz w:val="24"/>
        </w:rPr>
        <w:t>in</w:t>
      </w:r>
      <w:r>
        <w:rPr>
          <w:spacing w:val="-3"/>
          <w:sz w:val="24"/>
        </w:rPr>
        <w:t> </w:t>
      </w:r>
      <w:r>
        <w:rPr>
          <w:sz w:val="24"/>
        </w:rPr>
        <w:t>Computational</w:t>
      </w:r>
      <w:r>
        <w:rPr>
          <w:spacing w:val="-3"/>
          <w:sz w:val="24"/>
        </w:rPr>
        <w:t> </w:t>
      </w:r>
      <w:r>
        <w:rPr>
          <w:sz w:val="24"/>
        </w:rPr>
        <w:t>Intelligence</w:t>
      </w:r>
      <w:r>
        <w:rPr>
          <w:spacing w:val="-3"/>
          <w:sz w:val="24"/>
        </w:rPr>
        <w:t> </w:t>
      </w:r>
      <w:r>
        <w:rPr>
          <w:sz w:val="24"/>
        </w:rPr>
        <w:t>Systems</w:t>
      </w:r>
      <w:r>
        <w:rPr>
          <w:spacing w:val="-3"/>
          <w:sz w:val="24"/>
        </w:rPr>
        <w:t> </w:t>
      </w:r>
      <w:r>
        <w:rPr>
          <w:sz w:val="24"/>
        </w:rPr>
        <w:t>(Thomas</w:t>
      </w:r>
      <w:r>
        <w:rPr>
          <w:spacing w:val="-2"/>
          <w:sz w:val="24"/>
        </w:rPr>
        <w:t> </w:t>
      </w:r>
      <w:r>
        <w:rPr>
          <w:sz w:val="24"/>
        </w:rPr>
        <w:t>Sawczuk,</w:t>
      </w:r>
      <w:r>
        <w:rPr>
          <w:spacing w:val="-1"/>
          <w:sz w:val="24"/>
        </w:rPr>
        <w:t> </w:t>
      </w:r>
      <w:r>
        <w:rPr>
          <w:sz w:val="24"/>
        </w:rPr>
        <w:t>Anna</w:t>
      </w:r>
      <w:r>
        <w:rPr>
          <w:spacing w:val="-3"/>
          <w:sz w:val="24"/>
        </w:rPr>
        <w:t> </w:t>
      </w:r>
      <w:r>
        <w:rPr>
          <w:sz w:val="24"/>
        </w:rPr>
        <w:t>Pal- czewska,</w:t>
      </w:r>
      <w:r>
        <w:rPr>
          <w:spacing w:val="-15"/>
          <w:sz w:val="24"/>
        </w:rPr>
        <w:t> </w:t>
      </w:r>
      <w:r>
        <w:rPr>
          <w:sz w:val="24"/>
        </w:rPr>
        <w:t>Ben</w:t>
      </w:r>
      <w:r>
        <w:rPr>
          <w:spacing w:val="-15"/>
          <w:sz w:val="24"/>
        </w:rPr>
        <w:t> </w:t>
      </w:r>
      <w:r>
        <w:rPr>
          <w:sz w:val="24"/>
        </w:rPr>
        <w:t>Jones.</w:t>
      </w:r>
      <w:r>
        <w:rPr>
          <w:spacing w:val="-15"/>
          <w:sz w:val="24"/>
        </w:rPr>
        <w:t> </w:t>
      </w:r>
      <w:r>
        <w:rPr>
          <w:sz w:val="24"/>
        </w:rPr>
        <w:t>Markov</w:t>
      </w:r>
      <w:r>
        <w:rPr>
          <w:spacing w:val="-15"/>
          <w:sz w:val="24"/>
        </w:rPr>
        <w:t> </w:t>
      </w:r>
      <w:r>
        <w:rPr>
          <w:sz w:val="24"/>
        </w:rPr>
        <w:t>Decision</w:t>
      </w:r>
      <w:r>
        <w:rPr>
          <w:spacing w:val="-15"/>
          <w:sz w:val="24"/>
        </w:rPr>
        <w:t> </w:t>
      </w:r>
      <w:r>
        <w:rPr>
          <w:sz w:val="24"/>
        </w:rPr>
        <w:t>Processes</w:t>
      </w:r>
      <w:r>
        <w:rPr>
          <w:spacing w:val="-15"/>
          <w:sz w:val="24"/>
        </w:rPr>
        <w:t> </w:t>
      </w:r>
      <w:r>
        <w:rPr>
          <w:sz w:val="24"/>
        </w:rPr>
        <w:t>with</w:t>
      </w:r>
      <w:r>
        <w:rPr>
          <w:spacing w:val="-15"/>
          <w:sz w:val="24"/>
        </w:rPr>
        <w:t> </w:t>
      </w:r>
      <w:r>
        <w:rPr>
          <w:sz w:val="24"/>
        </w:rPr>
        <w:t>contextual</w:t>
      </w:r>
      <w:r>
        <w:rPr>
          <w:spacing w:val="-15"/>
          <w:sz w:val="24"/>
        </w:rPr>
        <w:t> </w:t>
      </w:r>
      <w:r>
        <w:rPr>
          <w:sz w:val="24"/>
        </w:rPr>
        <w:t>nodes</w:t>
      </w:r>
      <w:r>
        <w:rPr>
          <w:spacing w:val="-15"/>
          <w:sz w:val="24"/>
        </w:rPr>
        <w:t> </w:t>
      </w:r>
      <w:r>
        <w:rPr>
          <w:sz w:val="24"/>
        </w:rPr>
        <w:t>as</w:t>
      </w:r>
      <w:r>
        <w:rPr>
          <w:spacing w:val="-15"/>
          <w:sz w:val="24"/>
        </w:rPr>
        <w:t> </w:t>
      </w:r>
      <w:r>
        <w:rPr>
          <w:sz w:val="24"/>
        </w:rPr>
        <w:t>a</w:t>
      </w:r>
      <w:r>
        <w:rPr>
          <w:spacing w:val="-15"/>
          <w:sz w:val="24"/>
        </w:rPr>
        <w:t> </w:t>
      </w:r>
      <w:r>
        <w:rPr>
          <w:sz w:val="24"/>
        </w:rPr>
        <w:t>method of assessing attacking player performance in rugby league.</w:t>
      </w:r>
      <w:r>
        <w:rPr>
          <w:spacing w:val="30"/>
          <w:sz w:val="24"/>
        </w:rPr>
        <w:t> </w:t>
      </w:r>
      <w:r>
        <w:rPr>
          <w:sz w:val="24"/>
        </w:rPr>
        <w:t>In: Jansen, T., </w:t>
      </w:r>
      <w:r>
        <w:rPr>
          <w:sz w:val="24"/>
        </w:rPr>
        <w:t>Jensen,</w:t>
      </w:r>
      <w:r>
        <w:rPr>
          <w:sz w:val="24"/>
        </w:rPr>
        <w:t> R.,</w:t>
      </w:r>
      <w:r>
        <w:rPr>
          <w:spacing w:val="29"/>
          <w:sz w:val="24"/>
        </w:rPr>
        <w:t> </w:t>
      </w:r>
      <w:r>
        <w:rPr>
          <w:sz w:val="24"/>
        </w:rPr>
        <w:t>Mac Parthalain,</w:t>
      </w:r>
      <w:r>
        <w:rPr>
          <w:spacing w:val="29"/>
          <w:sz w:val="24"/>
        </w:rPr>
        <w:t> </w:t>
      </w:r>
      <w:r>
        <w:rPr>
          <w:sz w:val="24"/>
        </w:rPr>
        <w:t>N.,</w:t>
      </w:r>
      <w:r>
        <w:rPr>
          <w:spacing w:val="29"/>
          <w:sz w:val="24"/>
        </w:rPr>
        <w:t> </w:t>
      </w:r>
      <w:r>
        <w:rPr>
          <w:sz w:val="24"/>
        </w:rPr>
        <w:t>Lin,</w:t>
      </w:r>
      <w:r>
        <w:rPr>
          <w:spacing w:val="29"/>
          <w:sz w:val="24"/>
        </w:rPr>
        <w:t> </w:t>
      </w:r>
      <w:r>
        <w:rPr>
          <w:sz w:val="24"/>
        </w:rPr>
        <w:t>CM. (eds) Advances in Computational </w:t>
      </w:r>
      <w:r>
        <w:rPr>
          <w:sz w:val="24"/>
        </w:rPr>
        <w:t>Intelligence</w:t>
      </w:r>
      <w:r>
        <w:rPr>
          <w:sz w:val="24"/>
        </w:rPr>
        <w:t> Systems.</w:t>
      </w:r>
      <w:r>
        <w:rPr>
          <w:spacing w:val="26"/>
          <w:sz w:val="24"/>
        </w:rPr>
        <w:t> </w:t>
      </w:r>
      <w:r>
        <w:rPr>
          <w:i/>
          <w:sz w:val="24"/>
        </w:rPr>
        <w:t>UKCI 2021</w:t>
      </w:r>
      <w:r>
        <w:rPr>
          <w:sz w:val="24"/>
        </w:rPr>
        <w:t>.</w:t>
      </w:r>
      <w:r>
        <w:rPr>
          <w:spacing w:val="26"/>
          <w:sz w:val="24"/>
        </w:rPr>
        <w:t> </w:t>
      </w:r>
      <w:r>
        <w:rPr>
          <w:sz w:val="24"/>
        </w:rPr>
        <w:t>Advances in Intelligent Systems and Computing, vol 1409. Springer, Cham.).</w:t>
      </w:r>
      <w:r>
        <w:rPr>
          <w:spacing w:val="34"/>
          <w:sz w:val="24"/>
        </w:rPr>
        <w:t> </w:t>
      </w:r>
      <w:r>
        <w:rPr>
          <w:sz w:val="24"/>
        </w:rPr>
        <w:t>It was presented to the Leeds Beckett University Sport Science Department for feedback.</w:t>
      </w:r>
    </w:p>
    <w:p>
      <w:pPr>
        <w:pStyle w:val="ListParagraph"/>
        <w:numPr>
          <w:ilvl w:val="2"/>
          <w:numId w:val="16"/>
        </w:numPr>
        <w:tabs>
          <w:tab w:pos="1080" w:val="left" w:leader="none"/>
        </w:tabs>
        <w:spacing w:line="312" w:lineRule="auto" w:before="195" w:after="0"/>
        <w:ind w:left="1195" w:right="389" w:hanging="201"/>
        <w:jc w:val="left"/>
        <w:rPr>
          <w:sz w:val="24"/>
        </w:rPr>
      </w:pPr>
      <w:r>
        <w:rPr>
          <w:sz w:val="24"/>
        </w:rPr>
        <w:t>Chapter</w:t>
      </w:r>
      <w:r>
        <w:rPr>
          <w:color w:val="0000FF"/>
          <w:sz w:val="24"/>
        </w:rPr>
        <w:t>5</w:t>
      </w:r>
      <w:r>
        <w:rPr>
          <w:sz w:val="24"/>
        </w:rPr>
        <w:t>e</w:t>
      </w:r>
      <w:hyperlink w:history="true" w:anchor="_bookmark122">
        <w:r>
          <w:rPr>
            <w:sz w:val="24"/>
          </w:rPr>
          <w:t>v</w:t>
        </w:r>
      </w:hyperlink>
      <w:r>
        <w:rPr>
          <w:sz w:val="24"/>
        </w:rPr>
        <w:t>aluates the use of kernel density estimation (KDE) and the Wasserstein distance</w:t>
      </w:r>
      <w:r>
        <w:rPr>
          <w:spacing w:val="-6"/>
          <w:sz w:val="24"/>
        </w:rPr>
        <w:t> </w:t>
      </w:r>
      <w:r>
        <w:rPr>
          <w:sz w:val="24"/>
        </w:rPr>
        <w:t>to</w:t>
      </w:r>
      <w:r>
        <w:rPr>
          <w:spacing w:val="-6"/>
          <w:sz w:val="24"/>
        </w:rPr>
        <w:t> </w:t>
      </w:r>
      <w:r>
        <w:rPr>
          <w:sz w:val="24"/>
        </w:rPr>
        <w:t>understand</w:t>
      </w:r>
      <w:r>
        <w:rPr>
          <w:spacing w:val="-6"/>
          <w:sz w:val="24"/>
        </w:rPr>
        <w:t> </w:t>
      </w:r>
      <w:r>
        <w:rPr>
          <w:sz w:val="24"/>
        </w:rPr>
        <w:t>the</w:t>
      </w:r>
      <w:r>
        <w:rPr>
          <w:spacing w:val="-6"/>
          <w:sz w:val="24"/>
        </w:rPr>
        <w:t> </w:t>
      </w:r>
      <w:r>
        <w:rPr>
          <w:sz w:val="24"/>
        </w:rPr>
        <w:t>spatial</w:t>
      </w:r>
      <w:r>
        <w:rPr>
          <w:spacing w:val="-6"/>
          <w:sz w:val="24"/>
        </w:rPr>
        <w:t> </w:t>
      </w:r>
      <w:r>
        <w:rPr>
          <w:sz w:val="24"/>
        </w:rPr>
        <w:t>trends</w:t>
      </w:r>
      <w:r>
        <w:rPr>
          <w:spacing w:val="-6"/>
          <w:sz w:val="24"/>
        </w:rPr>
        <w:t> </w:t>
      </w:r>
      <w:r>
        <w:rPr>
          <w:sz w:val="24"/>
        </w:rPr>
        <w:t>of</w:t>
      </w:r>
      <w:r>
        <w:rPr>
          <w:spacing w:val="-6"/>
          <w:sz w:val="24"/>
        </w:rPr>
        <w:t> </w:t>
      </w:r>
      <w:r>
        <w:rPr>
          <w:sz w:val="24"/>
        </w:rPr>
        <w:t>attacking</w:t>
      </w:r>
      <w:r>
        <w:rPr>
          <w:spacing w:val="-6"/>
          <w:sz w:val="24"/>
        </w:rPr>
        <w:t> </w:t>
      </w:r>
      <w:r>
        <w:rPr>
          <w:sz w:val="24"/>
        </w:rPr>
        <w:t>performances</w:t>
      </w:r>
      <w:r>
        <w:rPr>
          <w:spacing w:val="-6"/>
          <w:sz w:val="24"/>
        </w:rPr>
        <w:t> </w:t>
      </w:r>
      <w:r>
        <w:rPr>
          <w:sz w:val="24"/>
        </w:rPr>
        <w:t>in</w:t>
      </w:r>
      <w:r>
        <w:rPr>
          <w:spacing w:val="-6"/>
          <w:sz w:val="24"/>
        </w:rPr>
        <w:t> </w:t>
      </w:r>
      <w:r>
        <w:rPr>
          <w:sz w:val="24"/>
        </w:rPr>
        <w:t>rugby</w:t>
      </w:r>
      <w:r>
        <w:rPr>
          <w:spacing w:val="-6"/>
          <w:sz w:val="24"/>
        </w:rPr>
        <w:t> </w:t>
      </w:r>
      <w:r>
        <w:rPr>
          <w:sz w:val="24"/>
        </w:rPr>
        <w:t>league</w:t>
      </w:r>
    </w:p>
    <w:p>
      <w:pPr>
        <w:spacing w:after="0" w:line="312" w:lineRule="auto"/>
        <w:jc w:val="left"/>
        <w:rPr>
          <w:sz w:val="24"/>
        </w:rPr>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1195" w:right="389"/>
        <w:jc w:val="both"/>
      </w:pPr>
      <w:r>
        <w:rPr/>
        <w:t>between and within teams.</w:t>
      </w:r>
      <w:r>
        <w:rPr>
          <w:spacing w:val="40"/>
        </w:rPr>
        <w:t> </w:t>
      </w:r>
      <w:r>
        <w:rPr/>
        <w:t>99,966 actions from 138 matches in the 2021 </w:t>
      </w:r>
      <w:r>
        <w:rPr/>
        <w:t>Super League</w:t>
      </w:r>
      <w:r>
        <w:rPr>
          <w:spacing w:val="-4"/>
        </w:rPr>
        <w:t> </w:t>
      </w:r>
      <w:r>
        <w:rPr/>
        <w:t>season</w:t>
      </w:r>
      <w:r>
        <w:rPr>
          <w:spacing w:val="-4"/>
        </w:rPr>
        <w:t> </w:t>
      </w:r>
      <w:r>
        <w:rPr/>
        <w:t>were</w:t>
      </w:r>
      <w:r>
        <w:rPr>
          <w:spacing w:val="-4"/>
        </w:rPr>
        <w:t> </w:t>
      </w:r>
      <w:r>
        <w:rPr/>
        <w:t>used. The</w:t>
      </w:r>
      <w:r>
        <w:rPr>
          <w:spacing w:val="-4"/>
        </w:rPr>
        <w:t> </w:t>
      </w:r>
      <w:r>
        <w:rPr/>
        <w:t>study</w:t>
      </w:r>
      <w:r>
        <w:rPr>
          <w:spacing w:val="-4"/>
        </w:rPr>
        <w:t> </w:t>
      </w:r>
      <w:r>
        <w:rPr/>
        <w:t>applied,</w:t>
      </w:r>
      <w:r>
        <w:rPr>
          <w:spacing w:val="-3"/>
        </w:rPr>
        <w:t> </w:t>
      </w:r>
      <w:r>
        <w:rPr/>
        <w:t>adapted</w:t>
      </w:r>
      <w:r>
        <w:rPr>
          <w:spacing w:val="-4"/>
        </w:rPr>
        <w:t> </w:t>
      </w:r>
      <w:r>
        <w:rPr/>
        <w:t>and</w:t>
      </w:r>
      <w:r>
        <w:rPr>
          <w:spacing w:val="-4"/>
        </w:rPr>
        <w:t> </w:t>
      </w:r>
      <w:r>
        <w:rPr/>
        <w:t>extended</w:t>
      </w:r>
      <w:r>
        <w:rPr>
          <w:spacing w:val="-4"/>
        </w:rPr>
        <w:t> </w:t>
      </w:r>
      <w:r>
        <w:rPr/>
        <w:t>previous</w:t>
      </w:r>
      <w:r>
        <w:rPr>
          <w:spacing w:val="-4"/>
        </w:rPr>
        <w:t> </w:t>
      </w:r>
      <w:r>
        <w:rPr/>
        <w:t>work in American football (</w:t>
      </w:r>
      <w:hyperlink w:history="true" w:anchor="_bookmark271">
        <w:r>
          <w:rPr>
            <w:color w:val="FF0000"/>
          </w:rPr>
          <w:t>Mallepalle et al.</w:t>
        </w:r>
      </w:hyperlink>
      <w:r>
        <w:rPr/>
        <w:t>,</w:t>
      </w:r>
      <w:hyperlink w:history="true" w:anchor="_bookmark271">
        <w:r>
          <w:rPr>
            <w:color w:val="FF0000"/>
          </w:rPr>
          <w:t>2020</w:t>
        </w:r>
        <w:r>
          <w:rPr/>
          <w:t>)</w:t>
        </w:r>
      </w:hyperlink>
      <w:r>
        <w:rPr/>
        <w:t> by using KDEs to understand the lo- cation</w:t>
      </w:r>
      <w:r>
        <w:rPr>
          <w:spacing w:val="-11"/>
        </w:rPr>
        <w:t> </w:t>
      </w:r>
      <w:r>
        <w:rPr/>
        <w:t>densities</w:t>
      </w:r>
      <w:r>
        <w:rPr>
          <w:spacing w:val="-11"/>
        </w:rPr>
        <w:t> </w:t>
      </w:r>
      <w:r>
        <w:rPr/>
        <w:t>of</w:t>
      </w:r>
      <w:r>
        <w:rPr>
          <w:spacing w:val="-11"/>
        </w:rPr>
        <w:t> </w:t>
      </w:r>
      <w:r>
        <w:rPr/>
        <w:t>team</w:t>
      </w:r>
      <w:r>
        <w:rPr>
          <w:spacing w:val="-11"/>
        </w:rPr>
        <w:t> </w:t>
      </w:r>
      <w:r>
        <w:rPr/>
        <w:t>actions</w:t>
      </w:r>
      <w:r>
        <w:rPr>
          <w:spacing w:val="-11"/>
        </w:rPr>
        <w:t> </w:t>
      </w:r>
      <w:r>
        <w:rPr/>
        <w:t>across</w:t>
      </w:r>
      <w:r>
        <w:rPr>
          <w:spacing w:val="-11"/>
        </w:rPr>
        <w:t> </w:t>
      </w:r>
      <w:r>
        <w:rPr/>
        <w:t>the</w:t>
      </w:r>
      <w:r>
        <w:rPr>
          <w:spacing w:val="-11"/>
        </w:rPr>
        <w:t> </w:t>
      </w:r>
      <w:r>
        <w:rPr/>
        <w:t>whole</w:t>
      </w:r>
      <w:r>
        <w:rPr>
          <w:spacing w:val="-11"/>
        </w:rPr>
        <w:t> </w:t>
      </w:r>
      <w:r>
        <w:rPr/>
        <w:t>league</w:t>
      </w:r>
      <w:r>
        <w:rPr>
          <w:spacing w:val="-11"/>
        </w:rPr>
        <w:t> </w:t>
      </w:r>
      <w:r>
        <w:rPr/>
        <w:t>season</w:t>
      </w:r>
      <w:r>
        <w:rPr>
          <w:spacing w:val="-11"/>
        </w:rPr>
        <w:t> </w:t>
      </w:r>
      <w:r>
        <w:rPr/>
        <w:t>and</w:t>
      </w:r>
      <w:r>
        <w:rPr>
          <w:spacing w:val="-11"/>
        </w:rPr>
        <w:t> </w:t>
      </w:r>
      <w:r>
        <w:rPr/>
        <w:t>against</w:t>
      </w:r>
      <w:r>
        <w:rPr>
          <w:spacing w:val="-11"/>
        </w:rPr>
        <w:t> </w:t>
      </w:r>
      <w:r>
        <w:rPr/>
        <w:t>specific opponents.</w:t>
      </w:r>
      <w:r>
        <w:rPr>
          <w:spacing w:val="-1"/>
        </w:rPr>
        <w:t> </w:t>
      </w:r>
      <w:r>
        <w:rPr/>
        <w:t>Two</w:t>
      </w:r>
      <w:r>
        <w:rPr>
          <w:spacing w:val="-14"/>
        </w:rPr>
        <w:t> </w:t>
      </w:r>
      <w:r>
        <w:rPr/>
        <w:t>novel</w:t>
      </w:r>
      <w:r>
        <w:rPr>
          <w:spacing w:val="-14"/>
        </w:rPr>
        <w:t> </w:t>
      </w:r>
      <w:r>
        <w:rPr/>
        <w:t>metrics</w:t>
      </w:r>
      <w:r>
        <w:rPr>
          <w:spacing w:val="-14"/>
        </w:rPr>
        <w:t> </w:t>
      </w:r>
      <w:r>
        <w:rPr/>
        <w:t>(the</w:t>
      </w:r>
      <w:r>
        <w:rPr>
          <w:spacing w:val="-14"/>
        </w:rPr>
        <w:t> </w:t>
      </w:r>
      <w:r>
        <w:rPr/>
        <w:t>normalised</w:t>
      </w:r>
      <w:r>
        <w:rPr>
          <w:spacing w:val="-14"/>
        </w:rPr>
        <w:t> </w:t>
      </w:r>
      <w:r>
        <w:rPr/>
        <w:t>axis</w:t>
      </w:r>
      <w:r>
        <w:rPr>
          <w:spacing w:val="-14"/>
        </w:rPr>
        <w:t> </w:t>
      </w:r>
      <w:r>
        <w:rPr/>
        <w:t>Wasserstein</w:t>
      </w:r>
      <w:r>
        <w:rPr>
          <w:spacing w:val="-14"/>
        </w:rPr>
        <w:t> </w:t>
      </w:r>
      <w:r>
        <w:rPr/>
        <w:t>distance</w:t>
      </w:r>
      <w:r>
        <w:rPr>
          <w:spacing w:val="-14"/>
        </w:rPr>
        <w:t> </w:t>
      </w:r>
      <w:r>
        <w:rPr/>
        <w:t>and</w:t>
      </w:r>
      <w:r>
        <w:rPr>
          <w:spacing w:val="-14"/>
        </w:rPr>
        <w:t> </w:t>
      </w:r>
      <w:r>
        <w:rPr/>
        <w:t>direc- tional</w:t>
      </w:r>
      <w:r>
        <w:rPr>
          <w:spacing w:val="-9"/>
        </w:rPr>
        <w:t> </w:t>
      </w:r>
      <w:r>
        <w:rPr/>
        <w:t>Wasserstein</w:t>
      </w:r>
      <w:r>
        <w:rPr>
          <w:spacing w:val="-9"/>
        </w:rPr>
        <w:t> </w:t>
      </w:r>
      <w:r>
        <w:rPr/>
        <w:t>distance)</w:t>
      </w:r>
      <w:r>
        <w:rPr>
          <w:spacing w:val="-9"/>
        </w:rPr>
        <w:t> </w:t>
      </w:r>
      <w:r>
        <w:rPr/>
        <w:t>were</w:t>
      </w:r>
      <w:r>
        <w:rPr>
          <w:spacing w:val="-9"/>
        </w:rPr>
        <w:t> </w:t>
      </w:r>
      <w:r>
        <w:rPr/>
        <w:t>computed</w:t>
      </w:r>
      <w:r>
        <w:rPr>
          <w:spacing w:val="-9"/>
        </w:rPr>
        <w:t> </w:t>
      </w:r>
      <w:r>
        <w:rPr/>
        <w:t>from</w:t>
      </w:r>
      <w:r>
        <w:rPr>
          <w:spacing w:val="-9"/>
        </w:rPr>
        <w:t> </w:t>
      </w:r>
      <w:r>
        <w:rPr/>
        <w:t>the</w:t>
      </w:r>
      <w:r>
        <w:rPr>
          <w:spacing w:val="-9"/>
        </w:rPr>
        <w:t> </w:t>
      </w:r>
      <w:r>
        <w:rPr/>
        <w:t>Wasserstein</w:t>
      </w:r>
      <w:r>
        <w:rPr>
          <w:spacing w:val="-9"/>
        </w:rPr>
        <w:t> </w:t>
      </w:r>
      <w:r>
        <w:rPr/>
        <w:t>distance</w:t>
      </w:r>
      <w:r>
        <w:rPr>
          <w:spacing w:val="-9"/>
        </w:rPr>
        <w:t> </w:t>
      </w:r>
      <w:r>
        <w:rPr/>
        <w:t>to</w:t>
      </w:r>
      <w:r>
        <w:rPr>
          <w:spacing w:val="-9"/>
        </w:rPr>
        <w:t> </w:t>
      </w:r>
      <w:r>
        <w:rPr/>
        <w:t>com- pare the 2-dimensional location densities between and within teams.</w:t>
      </w:r>
      <w:r>
        <w:rPr>
          <w:spacing w:val="40"/>
        </w:rPr>
        <w:t> </w:t>
      </w:r>
      <w:r>
        <w:rPr/>
        <w:t>The results showed that differences between and within teams could be evaluated and sum- marised in a simple graph for benchmarking purposes.</w:t>
      </w:r>
      <w:r>
        <w:rPr>
          <w:spacing w:val="24"/>
        </w:rPr>
        <w:t> </w:t>
      </w:r>
      <w:r>
        <w:rPr/>
        <w:t>The work was presented at UKCI</w:t>
      </w:r>
      <w:r>
        <w:rPr>
          <w:spacing w:val="-11"/>
        </w:rPr>
        <w:t> </w:t>
      </w:r>
      <w:r>
        <w:rPr/>
        <w:t>2022</w:t>
      </w:r>
      <w:r>
        <w:rPr>
          <w:spacing w:val="-11"/>
        </w:rPr>
        <w:t> </w:t>
      </w:r>
      <w:r>
        <w:rPr/>
        <w:t>and</w:t>
      </w:r>
      <w:r>
        <w:rPr>
          <w:spacing w:val="-11"/>
        </w:rPr>
        <w:t> </w:t>
      </w:r>
      <w:r>
        <w:rPr/>
        <w:t>will</w:t>
      </w:r>
      <w:r>
        <w:rPr>
          <w:spacing w:val="-10"/>
        </w:rPr>
        <w:t> </w:t>
      </w:r>
      <w:r>
        <w:rPr/>
        <w:t>be</w:t>
      </w:r>
      <w:r>
        <w:rPr>
          <w:spacing w:val="-11"/>
        </w:rPr>
        <w:t> </w:t>
      </w:r>
      <w:r>
        <w:rPr/>
        <w:t>published</w:t>
      </w:r>
      <w:r>
        <w:rPr>
          <w:spacing w:val="-11"/>
        </w:rPr>
        <w:t> </w:t>
      </w:r>
      <w:r>
        <w:rPr/>
        <w:t>in</w:t>
      </w:r>
      <w:r>
        <w:rPr>
          <w:spacing w:val="-11"/>
        </w:rPr>
        <w:t> </w:t>
      </w:r>
      <w:r>
        <w:rPr/>
        <w:t>a</w:t>
      </w:r>
      <w:r>
        <w:rPr>
          <w:spacing w:val="-11"/>
        </w:rPr>
        <w:t> </w:t>
      </w:r>
      <w:r>
        <w:rPr/>
        <w:t>future</w:t>
      </w:r>
      <w:r>
        <w:rPr>
          <w:spacing w:val="-11"/>
        </w:rPr>
        <w:t> </w:t>
      </w:r>
      <w:r>
        <w:rPr/>
        <w:t>edition</w:t>
      </w:r>
      <w:r>
        <w:rPr>
          <w:spacing w:val="-10"/>
        </w:rPr>
        <w:t> </w:t>
      </w:r>
      <w:r>
        <w:rPr/>
        <w:t>of</w:t>
      </w:r>
      <w:r>
        <w:rPr>
          <w:spacing w:val="-11"/>
        </w:rPr>
        <w:t> </w:t>
      </w:r>
      <w:r>
        <w:rPr/>
        <w:t>Advances</w:t>
      </w:r>
      <w:r>
        <w:rPr>
          <w:spacing w:val="-11"/>
        </w:rPr>
        <w:t> </w:t>
      </w:r>
      <w:r>
        <w:rPr/>
        <w:t>in</w:t>
      </w:r>
      <w:r>
        <w:rPr>
          <w:spacing w:val="-11"/>
        </w:rPr>
        <w:t> </w:t>
      </w:r>
      <w:r>
        <w:rPr/>
        <w:t>Computational Intelligence Systems.</w:t>
      </w:r>
      <w:r>
        <w:rPr>
          <w:spacing w:val="34"/>
        </w:rPr>
        <w:t> </w:t>
      </w:r>
      <w:r>
        <w:rPr/>
        <w:t>It was presented to coaches at Leeds Rhinos Rugby League club for feedback.</w:t>
      </w:r>
    </w:p>
    <w:p>
      <w:pPr>
        <w:pStyle w:val="ListParagraph"/>
        <w:numPr>
          <w:ilvl w:val="2"/>
          <w:numId w:val="16"/>
        </w:numPr>
        <w:tabs>
          <w:tab w:pos="1080" w:val="left" w:leader="none"/>
        </w:tabs>
        <w:spacing w:line="312" w:lineRule="auto" w:before="197" w:after="0"/>
        <w:ind w:left="1195" w:right="389" w:hanging="201"/>
        <w:jc w:val="left"/>
        <w:rPr>
          <w:sz w:val="24"/>
        </w:rPr>
      </w:pPr>
      <w:r>
        <w:rPr>
          <w:sz w:val="24"/>
        </w:rPr>
        <w:t>Chapter</w:t>
      </w:r>
      <w:r>
        <w:rPr>
          <w:color w:val="0000FF"/>
          <w:sz w:val="24"/>
        </w:rPr>
        <w:t>6</w:t>
      </w:r>
      <w:hyperlink w:history="true" w:anchor="_bookmark170">
        <w:r>
          <w:rPr>
            <w:sz w:val="24"/>
          </w:rPr>
          <w:t>proposes</w:t>
        </w:r>
      </w:hyperlink>
      <w:r>
        <w:rPr>
          <w:sz w:val="24"/>
        </w:rPr>
        <w:t> a novel Bayesian approach to producing a smooth EPV model, which</w:t>
      </w:r>
      <w:r>
        <w:rPr>
          <w:spacing w:val="-14"/>
          <w:sz w:val="24"/>
        </w:rPr>
        <w:t> </w:t>
      </w:r>
      <w:r>
        <w:rPr>
          <w:sz w:val="24"/>
        </w:rPr>
        <w:t>allows</w:t>
      </w:r>
      <w:r>
        <w:rPr>
          <w:spacing w:val="-14"/>
          <w:sz w:val="24"/>
        </w:rPr>
        <w:t> </w:t>
      </w:r>
      <w:r>
        <w:rPr>
          <w:sz w:val="24"/>
        </w:rPr>
        <w:t>for</w:t>
      </w:r>
      <w:r>
        <w:rPr>
          <w:spacing w:val="-14"/>
          <w:sz w:val="24"/>
        </w:rPr>
        <w:t> </w:t>
      </w:r>
      <w:r>
        <w:rPr>
          <w:sz w:val="24"/>
        </w:rPr>
        <w:t>better</w:t>
      </w:r>
      <w:r>
        <w:rPr>
          <w:spacing w:val="-14"/>
          <w:sz w:val="24"/>
        </w:rPr>
        <w:t> </w:t>
      </w:r>
      <w:r>
        <w:rPr>
          <w:sz w:val="24"/>
        </w:rPr>
        <w:t>evaluation</w:t>
      </w:r>
      <w:r>
        <w:rPr>
          <w:spacing w:val="-14"/>
          <w:sz w:val="24"/>
        </w:rPr>
        <w:t> </w:t>
      </w:r>
      <w:r>
        <w:rPr>
          <w:sz w:val="24"/>
        </w:rPr>
        <w:t>of</w:t>
      </w:r>
      <w:r>
        <w:rPr>
          <w:spacing w:val="-14"/>
          <w:sz w:val="24"/>
        </w:rPr>
        <w:t> </w:t>
      </w:r>
      <w:r>
        <w:rPr>
          <w:sz w:val="24"/>
        </w:rPr>
        <w:t>player</w:t>
      </w:r>
      <w:r>
        <w:rPr>
          <w:spacing w:val="-14"/>
          <w:sz w:val="24"/>
        </w:rPr>
        <w:t> </w:t>
      </w:r>
      <w:r>
        <w:rPr>
          <w:sz w:val="24"/>
        </w:rPr>
        <w:t>and</w:t>
      </w:r>
      <w:r>
        <w:rPr>
          <w:spacing w:val="-14"/>
          <w:sz w:val="24"/>
        </w:rPr>
        <w:t> </w:t>
      </w:r>
      <w:r>
        <w:rPr>
          <w:sz w:val="24"/>
        </w:rPr>
        <w:t>team</w:t>
      </w:r>
      <w:r>
        <w:rPr>
          <w:spacing w:val="-14"/>
          <w:sz w:val="24"/>
        </w:rPr>
        <w:t> </w:t>
      </w:r>
      <w:r>
        <w:rPr>
          <w:sz w:val="24"/>
        </w:rPr>
        <w:t>performances. 99,966</w:t>
      </w:r>
      <w:r>
        <w:rPr>
          <w:spacing w:val="-14"/>
          <w:sz w:val="24"/>
        </w:rPr>
        <w:t> </w:t>
      </w:r>
      <w:r>
        <w:rPr>
          <w:sz w:val="24"/>
        </w:rPr>
        <w:t>actions</w:t>
      </w:r>
      <w:r>
        <w:rPr>
          <w:sz w:val="24"/>
        </w:rPr>
        <w:t> from</w:t>
      </w:r>
      <w:r>
        <w:rPr>
          <w:spacing w:val="-15"/>
          <w:sz w:val="24"/>
        </w:rPr>
        <w:t> </w:t>
      </w:r>
      <w:r>
        <w:rPr>
          <w:sz w:val="24"/>
        </w:rPr>
        <w:t>138</w:t>
      </w:r>
      <w:r>
        <w:rPr>
          <w:spacing w:val="-15"/>
          <w:sz w:val="24"/>
        </w:rPr>
        <w:t> </w:t>
      </w:r>
      <w:r>
        <w:rPr>
          <w:sz w:val="24"/>
        </w:rPr>
        <w:t>matches</w:t>
      </w:r>
      <w:r>
        <w:rPr>
          <w:spacing w:val="-15"/>
          <w:sz w:val="24"/>
        </w:rPr>
        <w:t> </w:t>
      </w:r>
      <w:r>
        <w:rPr>
          <w:sz w:val="24"/>
        </w:rPr>
        <w:t>in</w:t>
      </w:r>
      <w:r>
        <w:rPr>
          <w:spacing w:val="-15"/>
          <w:sz w:val="24"/>
        </w:rPr>
        <w:t> </w:t>
      </w:r>
      <w:r>
        <w:rPr>
          <w:sz w:val="24"/>
        </w:rPr>
        <w:t>the</w:t>
      </w:r>
      <w:r>
        <w:rPr>
          <w:spacing w:val="-15"/>
          <w:sz w:val="24"/>
        </w:rPr>
        <w:t> </w:t>
      </w:r>
      <w:r>
        <w:rPr>
          <w:sz w:val="24"/>
        </w:rPr>
        <w:t>2021</w:t>
      </w:r>
      <w:r>
        <w:rPr>
          <w:spacing w:val="-15"/>
          <w:sz w:val="24"/>
        </w:rPr>
        <w:t> </w:t>
      </w:r>
      <w:r>
        <w:rPr>
          <w:sz w:val="24"/>
        </w:rPr>
        <w:t>Super</w:t>
      </w:r>
      <w:r>
        <w:rPr>
          <w:spacing w:val="-15"/>
          <w:sz w:val="24"/>
        </w:rPr>
        <w:t> </w:t>
      </w:r>
      <w:r>
        <w:rPr>
          <w:sz w:val="24"/>
        </w:rPr>
        <w:t>League</w:t>
      </w:r>
      <w:r>
        <w:rPr>
          <w:spacing w:val="-15"/>
          <w:sz w:val="24"/>
        </w:rPr>
        <w:t> </w:t>
      </w:r>
      <w:r>
        <w:rPr>
          <w:sz w:val="24"/>
        </w:rPr>
        <w:t>season</w:t>
      </w:r>
      <w:r>
        <w:rPr>
          <w:spacing w:val="-15"/>
          <w:sz w:val="24"/>
        </w:rPr>
        <w:t> </w:t>
      </w:r>
      <w:r>
        <w:rPr>
          <w:sz w:val="24"/>
        </w:rPr>
        <w:t>were</w:t>
      </w:r>
      <w:r>
        <w:rPr>
          <w:spacing w:val="-15"/>
          <w:sz w:val="24"/>
        </w:rPr>
        <w:t> </w:t>
      </w:r>
      <w:r>
        <w:rPr>
          <w:sz w:val="24"/>
        </w:rPr>
        <w:t>used.</w:t>
      </w:r>
      <w:r>
        <w:rPr>
          <w:spacing w:val="5"/>
          <w:sz w:val="24"/>
        </w:rPr>
        <w:t> </w:t>
      </w:r>
      <w:r>
        <w:rPr>
          <w:sz w:val="24"/>
        </w:rPr>
        <w:t>A</w:t>
      </w:r>
      <w:r>
        <w:rPr>
          <w:spacing w:val="-15"/>
          <w:sz w:val="24"/>
        </w:rPr>
        <w:t> </w:t>
      </w:r>
      <w:r>
        <w:rPr>
          <w:sz w:val="24"/>
        </w:rPr>
        <w:t>Bayesian</w:t>
      </w:r>
      <w:r>
        <w:rPr>
          <w:spacing w:val="-15"/>
          <w:sz w:val="24"/>
        </w:rPr>
        <w:t> </w:t>
      </w:r>
      <w:r>
        <w:rPr>
          <w:sz w:val="24"/>
        </w:rPr>
        <w:t>Mixture</w:t>
      </w:r>
      <w:r>
        <w:rPr>
          <w:sz w:val="24"/>
        </w:rPr>
        <w:t> Model approach, adopting centres and the use of linear and bi-linear </w:t>
      </w:r>
      <w:r>
        <w:rPr>
          <w:sz w:val="24"/>
        </w:rPr>
        <w:t>interpolation</w:t>
      </w:r>
      <w:r>
        <w:rPr>
          <w:sz w:val="24"/>
        </w:rPr>
        <w:t> techniques</w:t>
      </w:r>
      <w:r>
        <w:rPr>
          <w:spacing w:val="-5"/>
          <w:sz w:val="24"/>
        </w:rPr>
        <w:t> </w:t>
      </w:r>
      <w:r>
        <w:rPr>
          <w:sz w:val="24"/>
        </w:rPr>
        <w:t>rather</w:t>
      </w:r>
      <w:r>
        <w:rPr>
          <w:spacing w:val="-5"/>
          <w:sz w:val="24"/>
        </w:rPr>
        <w:t> </w:t>
      </w:r>
      <w:r>
        <w:rPr>
          <w:sz w:val="24"/>
        </w:rPr>
        <w:t>than</w:t>
      </w:r>
      <w:r>
        <w:rPr>
          <w:spacing w:val="-5"/>
          <w:sz w:val="24"/>
        </w:rPr>
        <w:t> </w:t>
      </w:r>
      <w:r>
        <w:rPr>
          <w:sz w:val="24"/>
        </w:rPr>
        <w:t>zones,</w:t>
      </w:r>
      <w:r>
        <w:rPr>
          <w:spacing w:val="-5"/>
          <w:sz w:val="24"/>
        </w:rPr>
        <w:t> </w:t>
      </w:r>
      <w:r>
        <w:rPr>
          <w:sz w:val="24"/>
        </w:rPr>
        <w:t>was</w:t>
      </w:r>
      <w:r>
        <w:rPr>
          <w:spacing w:val="-5"/>
          <w:sz w:val="24"/>
        </w:rPr>
        <w:t> </w:t>
      </w:r>
      <w:r>
        <w:rPr>
          <w:sz w:val="24"/>
        </w:rPr>
        <w:t>used</w:t>
      </w:r>
      <w:r>
        <w:rPr>
          <w:spacing w:val="-5"/>
          <w:sz w:val="24"/>
        </w:rPr>
        <w:t> </w:t>
      </w:r>
      <w:r>
        <w:rPr>
          <w:sz w:val="24"/>
        </w:rPr>
        <w:t>to</w:t>
      </w:r>
      <w:r>
        <w:rPr>
          <w:spacing w:val="-5"/>
          <w:sz w:val="24"/>
        </w:rPr>
        <w:t> </w:t>
      </w:r>
      <w:r>
        <w:rPr>
          <w:sz w:val="24"/>
        </w:rPr>
        <w:t>generate</w:t>
      </w:r>
      <w:r>
        <w:rPr>
          <w:spacing w:val="-5"/>
          <w:sz w:val="24"/>
        </w:rPr>
        <w:t> </w:t>
      </w:r>
      <w:r>
        <w:rPr>
          <w:sz w:val="24"/>
        </w:rPr>
        <w:t>an</w:t>
      </w:r>
      <w:r>
        <w:rPr>
          <w:spacing w:val="-5"/>
          <w:sz w:val="24"/>
        </w:rPr>
        <w:t> </w:t>
      </w:r>
      <w:r>
        <w:rPr>
          <w:sz w:val="24"/>
        </w:rPr>
        <w:t>EPV</w:t>
      </w:r>
      <w:r>
        <w:rPr>
          <w:spacing w:val="-5"/>
          <w:sz w:val="24"/>
        </w:rPr>
        <w:t> </w:t>
      </w:r>
      <w:r>
        <w:rPr>
          <w:sz w:val="24"/>
        </w:rPr>
        <w:t>model,</w:t>
      </w:r>
      <w:r>
        <w:rPr>
          <w:spacing w:val="-5"/>
          <w:sz w:val="24"/>
        </w:rPr>
        <w:t> </w:t>
      </w:r>
      <w:r>
        <w:rPr>
          <w:sz w:val="24"/>
        </w:rPr>
        <w:t>which</w:t>
      </w:r>
      <w:r>
        <w:rPr>
          <w:spacing w:val="-5"/>
          <w:sz w:val="24"/>
        </w:rPr>
        <w:t> </w:t>
      </w:r>
      <w:r>
        <w:rPr>
          <w:sz w:val="24"/>
        </w:rPr>
        <w:t>individu- ally</w:t>
      </w:r>
      <w:r>
        <w:rPr>
          <w:spacing w:val="-13"/>
          <w:sz w:val="24"/>
        </w:rPr>
        <w:t> </w:t>
      </w:r>
      <w:r>
        <w:rPr>
          <w:sz w:val="24"/>
        </w:rPr>
        <w:t>estimated</w:t>
      </w:r>
      <w:r>
        <w:rPr>
          <w:spacing w:val="-13"/>
          <w:sz w:val="24"/>
        </w:rPr>
        <w:t> </w:t>
      </w:r>
      <w:r>
        <w:rPr>
          <w:sz w:val="24"/>
        </w:rPr>
        <w:t>the</w:t>
      </w:r>
      <w:r>
        <w:rPr>
          <w:spacing w:val="-13"/>
          <w:sz w:val="24"/>
        </w:rPr>
        <w:t> </w:t>
      </w:r>
      <w:r>
        <w:rPr>
          <w:sz w:val="24"/>
        </w:rPr>
        <w:t>probability</w:t>
      </w:r>
      <w:r>
        <w:rPr>
          <w:spacing w:val="-13"/>
          <w:sz w:val="24"/>
        </w:rPr>
        <w:t> </w:t>
      </w:r>
      <w:r>
        <w:rPr>
          <w:sz w:val="24"/>
        </w:rPr>
        <w:t>of</w:t>
      </w:r>
      <w:r>
        <w:rPr>
          <w:spacing w:val="-13"/>
          <w:sz w:val="24"/>
        </w:rPr>
        <w:t> </w:t>
      </w:r>
      <w:r>
        <w:rPr>
          <w:sz w:val="24"/>
        </w:rPr>
        <w:t>each</w:t>
      </w:r>
      <w:r>
        <w:rPr>
          <w:spacing w:val="-13"/>
          <w:sz w:val="24"/>
        </w:rPr>
        <w:t> </w:t>
      </w:r>
      <w:r>
        <w:rPr>
          <w:sz w:val="24"/>
        </w:rPr>
        <w:t>possession</w:t>
      </w:r>
      <w:r>
        <w:rPr>
          <w:spacing w:val="-13"/>
          <w:sz w:val="24"/>
        </w:rPr>
        <w:t> </w:t>
      </w:r>
      <w:r>
        <w:rPr>
          <w:sz w:val="24"/>
        </w:rPr>
        <w:t>outcome</w:t>
      </w:r>
      <w:r>
        <w:rPr>
          <w:spacing w:val="-13"/>
          <w:sz w:val="24"/>
        </w:rPr>
        <w:t> </w:t>
      </w:r>
      <w:r>
        <w:rPr>
          <w:sz w:val="24"/>
        </w:rPr>
        <w:t>in</w:t>
      </w:r>
      <w:r>
        <w:rPr>
          <w:spacing w:val="-13"/>
          <w:sz w:val="24"/>
        </w:rPr>
        <w:t> </w:t>
      </w:r>
      <w:r>
        <w:rPr>
          <w:sz w:val="24"/>
        </w:rPr>
        <w:t>the</w:t>
      </w:r>
      <w:r>
        <w:rPr>
          <w:spacing w:val="-13"/>
          <w:sz w:val="24"/>
        </w:rPr>
        <w:t> </w:t>
      </w:r>
      <w:r>
        <w:rPr>
          <w:sz w:val="24"/>
        </w:rPr>
        <w:t>same</w:t>
      </w:r>
      <w:r>
        <w:rPr>
          <w:spacing w:val="-13"/>
          <w:sz w:val="24"/>
        </w:rPr>
        <w:t> </w:t>
      </w:r>
      <w:r>
        <w:rPr>
          <w:sz w:val="24"/>
        </w:rPr>
        <w:t>model</w:t>
      </w:r>
      <w:r>
        <w:rPr>
          <w:spacing w:val="-13"/>
          <w:sz w:val="24"/>
        </w:rPr>
        <w:t> </w:t>
      </w:r>
      <w:r>
        <w:rPr>
          <w:sz w:val="24"/>
        </w:rPr>
        <w:t>for</w:t>
      </w:r>
      <w:r>
        <w:rPr>
          <w:spacing w:val="-13"/>
          <w:sz w:val="24"/>
        </w:rPr>
        <w:t> </w:t>
      </w:r>
      <w:r>
        <w:rPr>
          <w:sz w:val="24"/>
        </w:rPr>
        <w:t>the</w:t>
      </w:r>
      <w:r>
        <w:rPr>
          <w:sz w:val="24"/>
        </w:rPr>
        <w:t> first</w:t>
      </w:r>
      <w:r>
        <w:rPr>
          <w:spacing w:val="-15"/>
          <w:sz w:val="24"/>
        </w:rPr>
        <w:t> </w:t>
      </w:r>
      <w:r>
        <w:rPr>
          <w:sz w:val="24"/>
        </w:rPr>
        <w:t>time.</w:t>
      </w:r>
      <w:r>
        <w:rPr>
          <w:spacing w:val="-15"/>
          <w:sz w:val="24"/>
        </w:rPr>
        <w:t> </w:t>
      </w:r>
      <w:r>
        <w:rPr>
          <w:sz w:val="24"/>
        </w:rPr>
        <w:t>Models</w:t>
      </w:r>
      <w:r>
        <w:rPr>
          <w:spacing w:val="-15"/>
          <w:sz w:val="24"/>
        </w:rPr>
        <w:t> </w:t>
      </w:r>
      <w:r>
        <w:rPr>
          <w:sz w:val="24"/>
        </w:rPr>
        <w:t>were</w:t>
      </w:r>
      <w:r>
        <w:rPr>
          <w:spacing w:val="-15"/>
          <w:sz w:val="24"/>
        </w:rPr>
        <w:t> </w:t>
      </w:r>
      <w:r>
        <w:rPr>
          <w:sz w:val="24"/>
        </w:rPr>
        <w:t>produced</w:t>
      </w:r>
      <w:r>
        <w:rPr>
          <w:spacing w:val="-15"/>
          <w:sz w:val="24"/>
        </w:rPr>
        <w:t> </w:t>
      </w:r>
      <w:r>
        <w:rPr>
          <w:sz w:val="24"/>
        </w:rPr>
        <w:t>at</w:t>
      </w:r>
      <w:r>
        <w:rPr>
          <w:spacing w:val="-15"/>
          <w:sz w:val="24"/>
        </w:rPr>
        <w:t> </w:t>
      </w:r>
      <w:r>
        <w:rPr>
          <w:sz w:val="24"/>
        </w:rPr>
        <w:t>the</w:t>
      </w:r>
      <w:r>
        <w:rPr>
          <w:spacing w:val="-15"/>
          <w:sz w:val="24"/>
        </w:rPr>
        <w:t> </w:t>
      </w:r>
      <w:r>
        <w:rPr>
          <w:sz w:val="24"/>
        </w:rPr>
        <w:t>whole</w:t>
      </w:r>
      <w:r>
        <w:rPr>
          <w:spacing w:val="-15"/>
          <w:sz w:val="24"/>
        </w:rPr>
        <w:t> </w:t>
      </w:r>
      <w:r>
        <w:rPr>
          <w:sz w:val="24"/>
        </w:rPr>
        <w:t>league,</w:t>
      </w:r>
      <w:r>
        <w:rPr>
          <w:spacing w:val="-15"/>
          <w:sz w:val="24"/>
        </w:rPr>
        <w:t> </w:t>
      </w:r>
      <w:r>
        <w:rPr>
          <w:sz w:val="24"/>
        </w:rPr>
        <w:t>individual</w:t>
      </w:r>
      <w:r>
        <w:rPr>
          <w:spacing w:val="-15"/>
          <w:sz w:val="24"/>
        </w:rPr>
        <w:t> </w:t>
      </w:r>
      <w:r>
        <w:rPr>
          <w:sz w:val="24"/>
        </w:rPr>
        <w:t>team</w:t>
      </w:r>
      <w:r>
        <w:rPr>
          <w:spacing w:val="-15"/>
          <w:sz w:val="24"/>
        </w:rPr>
        <w:t> </w:t>
      </w:r>
      <w:r>
        <w:rPr>
          <w:sz w:val="24"/>
        </w:rPr>
        <w:t>attacking</w:t>
      </w:r>
      <w:r>
        <w:rPr>
          <w:spacing w:val="-15"/>
          <w:sz w:val="24"/>
        </w:rPr>
        <w:t> </w:t>
      </w:r>
      <w:r>
        <w:rPr>
          <w:sz w:val="24"/>
        </w:rPr>
        <w:t>and individual team</w:t>
      </w:r>
      <w:r>
        <w:rPr>
          <w:spacing w:val="-1"/>
          <w:sz w:val="24"/>
        </w:rPr>
        <w:t> </w:t>
      </w:r>
      <w:r>
        <w:rPr>
          <w:sz w:val="24"/>
        </w:rPr>
        <w:t>defending levels.</w:t>
      </w:r>
      <w:r>
        <w:rPr>
          <w:spacing w:val="27"/>
          <w:sz w:val="24"/>
        </w:rPr>
        <w:t> </w:t>
      </w:r>
      <w:r>
        <w:rPr>
          <w:sz w:val="24"/>
        </w:rPr>
        <w:t>This approach was</w:t>
      </w:r>
      <w:r>
        <w:rPr>
          <w:spacing w:val="-1"/>
          <w:sz w:val="24"/>
        </w:rPr>
        <w:t> </w:t>
      </w:r>
      <w:r>
        <w:rPr>
          <w:sz w:val="24"/>
        </w:rPr>
        <w:t>able to</w:t>
      </w:r>
      <w:r>
        <w:rPr>
          <w:spacing w:val="-1"/>
          <w:sz w:val="24"/>
        </w:rPr>
        <w:t> </w:t>
      </w:r>
      <w:r>
        <w:rPr>
          <w:sz w:val="24"/>
        </w:rPr>
        <w:t>differentiate </w:t>
      </w:r>
      <w:r>
        <w:rPr>
          <w:sz w:val="24"/>
        </w:rPr>
        <w:t>between</w:t>
      </w:r>
      <w:r>
        <w:rPr>
          <w:sz w:val="24"/>
        </w:rPr>
        <w:t> the strengths and weaknesses of different teams across the pitch.</w:t>
      </w:r>
      <w:r>
        <w:rPr>
          <w:spacing w:val="30"/>
          <w:sz w:val="24"/>
        </w:rPr>
        <w:t> </w:t>
      </w:r>
      <w:r>
        <w:rPr>
          <w:sz w:val="24"/>
        </w:rPr>
        <w:t>It was combined with the KDE’s from Chapter</w:t>
      </w:r>
      <w:r>
        <w:rPr>
          <w:color w:val="0000FF"/>
          <w:sz w:val="24"/>
        </w:rPr>
        <w:t>5</w:t>
      </w:r>
      <w:r>
        <w:rPr>
          <w:sz w:val="24"/>
        </w:rPr>
        <w:t>to generate a novel expected points scored metric. Player performances were evaluated by a novel actual vs expected contribution to the</w:t>
      </w:r>
      <w:r>
        <w:rPr>
          <w:spacing w:val="-1"/>
          <w:sz w:val="24"/>
        </w:rPr>
        <w:t> </w:t>
      </w:r>
      <w:r>
        <w:rPr>
          <w:sz w:val="24"/>
        </w:rPr>
        <w:t>final</w:t>
      </w:r>
      <w:r>
        <w:rPr>
          <w:spacing w:val="-1"/>
          <w:sz w:val="24"/>
        </w:rPr>
        <w:t> </w:t>
      </w:r>
      <w:r>
        <w:rPr>
          <w:sz w:val="24"/>
        </w:rPr>
        <w:t>possession</w:t>
      </w:r>
      <w:r>
        <w:rPr>
          <w:spacing w:val="-1"/>
          <w:sz w:val="24"/>
        </w:rPr>
        <w:t> </w:t>
      </w:r>
      <w:r>
        <w:rPr>
          <w:sz w:val="24"/>
        </w:rPr>
        <w:t>outcome</w:t>
      </w:r>
      <w:r>
        <w:rPr>
          <w:spacing w:val="-1"/>
          <w:sz w:val="24"/>
        </w:rPr>
        <w:t> </w:t>
      </w:r>
      <w:r>
        <w:rPr>
          <w:sz w:val="24"/>
        </w:rPr>
        <w:t>metric.</w:t>
      </w:r>
      <w:r>
        <w:rPr>
          <w:spacing w:val="22"/>
          <w:sz w:val="24"/>
        </w:rPr>
        <w:t> </w:t>
      </w:r>
      <w:r>
        <w:rPr>
          <w:sz w:val="24"/>
        </w:rPr>
        <w:t>The</w:t>
      </w:r>
      <w:r>
        <w:rPr>
          <w:spacing w:val="-1"/>
          <w:sz w:val="24"/>
        </w:rPr>
        <w:t> </w:t>
      </w:r>
      <w:r>
        <w:rPr>
          <w:sz w:val="24"/>
        </w:rPr>
        <w:t>work</w:t>
      </w:r>
      <w:r>
        <w:rPr>
          <w:spacing w:val="-1"/>
          <w:sz w:val="24"/>
        </w:rPr>
        <w:t> </w:t>
      </w:r>
      <w:r>
        <w:rPr>
          <w:sz w:val="24"/>
        </w:rPr>
        <w:t>was</w:t>
      </w:r>
      <w:r>
        <w:rPr>
          <w:spacing w:val="-1"/>
          <w:sz w:val="24"/>
        </w:rPr>
        <w:t> </w:t>
      </w:r>
      <w:r>
        <w:rPr>
          <w:sz w:val="24"/>
        </w:rPr>
        <w:t>presented</w:t>
      </w:r>
      <w:r>
        <w:rPr>
          <w:spacing w:val="-1"/>
          <w:sz w:val="24"/>
        </w:rPr>
        <w:t> </w:t>
      </w:r>
      <w:r>
        <w:rPr>
          <w:sz w:val="24"/>
        </w:rPr>
        <w:t>to</w:t>
      </w:r>
      <w:r>
        <w:rPr>
          <w:spacing w:val="-1"/>
          <w:sz w:val="24"/>
        </w:rPr>
        <w:t> </w:t>
      </w:r>
      <w:r>
        <w:rPr>
          <w:sz w:val="24"/>
        </w:rPr>
        <w:t>the</w:t>
      </w:r>
      <w:r>
        <w:rPr>
          <w:spacing w:val="-1"/>
          <w:sz w:val="24"/>
        </w:rPr>
        <w:t> </w:t>
      </w:r>
      <w:r>
        <w:rPr>
          <w:sz w:val="24"/>
        </w:rPr>
        <w:t>Leeds</w:t>
      </w:r>
      <w:r>
        <w:rPr>
          <w:spacing w:val="-1"/>
          <w:sz w:val="24"/>
        </w:rPr>
        <w:t> </w:t>
      </w:r>
      <w:r>
        <w:rPr>
          <w:sz w:val="24"/>
        </w:rPr>
        <w:t>Rhinos</w:t>
      </w:r>
      <w:r>
        <w:rPr>
          <w:sz w:val="24"/>
        </w:rPr>
        <w:t> coaching staff and will be prepared for publication in a sports journal.</w:t>
      </w:r>
    </w:p>
    <w:p>
      <w:pPr>
        <w:pStyle w:val="ListParagraph"/>
        <w:numPr>
          <w:ilvl w:val="2"/>
          <w:numId w:val="16"/>
        </w:numPr>
        <w:tabs>
          <w:tab w:pos="1080" w:val="left" w:leader="none"/>
        </w:tabs>
        <w:spacing w:line="312" w:lineRule="auto" w:before="196" w:after="0"/>
        <w:ind w:left="1195" w:right="389" w:hanging="201"/>
        <w:jc w:val="left"/>
        <w:rPr>
          <w:sz w:val="24"/>
        </w:rPr>
      </w:pPr>
      <w:r>
        <w:rPr>
          <w:sz w:val="24"/>
        </w:rPr>
        <w:t>Chapter 7 summarises the outcomes of this thesis. It highlights the contributions of each</w:t>
      </w:r>
      <w:r>
        <w:rPr>
          <w:spacing w:val="-11"/>
          <w:sz w:val="24"/>
        </w:rPr>
        <w:t> </w:t>
      </w:r>
      <w:r>
        <w:rPr>
          <w:sz w:val="24"/>
        </w:rPr>
        <w:t>chapter,</w:t>
      </w:r>
      <w:r>
        <w:rPr>
          <w:spacing w:val="-10"/>
          <w:sz w:val="24"/>
        </w:rPr>
        <w:t> </w:t>
      </w:r>
      <w:r>
        <w:rPr>
          <w:sz w:val="24"/>
        </w:rPr>
        <w:t>shows</w:t>
      </w:r>
      <w:r>
        <w:rPr>
          <w:spacing w:val="-11"/>
          <w:sz w:val="24"/>
        </w:rPr>
        <w:t> </w:t>
      </w:r>
      <w:r>
        <w:rPr>
          <w:sz w:val="24"/>
        </w:rPr>
        <w:t>how</w:t>
      </w:r>
      <w:r>
        <w:rPr>
          <w:spacing w:val="-11"/>
          <w:sz w:val="24"/>
        </w:rPr>
        <w:t> </w:t>
      </w:r>
      <w:r>
        <w:rPr>
          <w:sz w:val="24"/>
        </w:rPr>
        <w:t>they</w:t>
      </w:r>
      <w:r>
        <w:rPr>
          <w:spacing w:val="-11"/>
          <w:sz w:val="24"/>
        </w:rPr>
        <w:t> </w:t>
      </w:r>
      <w:r>
        <w:rPr>
          <w:sz w:val="24"/>
        </w:rPr>
        <w:t>met</w:t>
      </w:r>
      <w:r>
        <w:rPr>
          <w:spacing w:val="-11"/>
          <w:sz w:val="24"/>
        </w:rPr>
        <w:t> </w:t>
      </w:r>
      <w:r>
        <w:rPr>
          <w:sz w:val="24"/>
        </w:rPr>
        <w:t>the</w:t>
      </w:r>
      <w:r>
        <w:rPr>
          <w:spacing w:val="-11"/>
          <w:sz w:val="24"/>
        </w:rPr>
        <w:t> </w:t>
      </w:r>
      <w:r>
        <w:rPr>
          <w:sz w:val="24"/>
        </w:rPr>
        <w:t>objectives</w:t>
      </w:r>
      <w:r>
        <w:rPr>
          <w:spacing w:val="-11"/>
          <w:sz w:val="24"/>
        </w:rPr>
        <w:t> </w:t>
      </w:r>
      <w:r>
        <w:rPr>
          <w:sz w:val="24"/>
        </w:rPr>
        <w:t>of</w:t>
      </w:r>
      <w:r>
        <w:rPr>
          <w:spacing w:val="-11"/>
          <w:sz w:val="24"/>
        </w:rPr>
        <w:t> </w:t>
      </w:r>
      <w:r>
        <w:rPr>
          <w:sz w:val="24"/>
        </w:rPr>
        <w:t>the</w:t>
      </w:r>
      <w:r>
        <w:rPr>
          <w:spacing w:val="-11"/>
          <w:sz w:val="24"/>
        </w:rPr>
        <w:t> </w:t>
      </w:r>
      <w:r>
        <w:rPr>
          <w:sz w:val="24"/>
        </w:rPr>
        <w:t>project</w:t>
      </w:r>
      <w:r>
        <w:rPr>
          <w:spacing w:val="-11"/>
          <w:sz w:val="24"/>
        </w:rPr>
        <w:t> </w:t>
      </w:r>
      <w:r>
        <w:rPr>
          <w:sz w:val="24"/>
        </w:rPr>
        <w:t>and</w:t>
      </w:r>
      <w:r>
        <w:rPr>
          <w:spacing w:val="-11"/>
          <w:sz w:val="24"/>
        </w:rPr>
        <w:t> </w:t>
      </w:r>
      <w:r>
        <w:rPr>
          <w:sz w:val="24"/>
        </w:rPr>
        <w:t>considers</w:t>
      </w:r>
      <w:r>
        <w:rPr>
          <w:spacing w:val="-11"/>
          <w:sz w:val="24"/>
        </w:rPr>
        <w:t> </w:t>
      </w:r>
      <w:r>
        <w:rPr>
          <w:sz w:val="24"/>
        </w:rPr>
        <w:t>future directions for the body of work.</w:t>
      </w:r>
    </w:p>
    <w:p>
      <w:pPr>
        <w:spacing w:after="0" w:line="312" w:lineRule="auto"/>
        <w:jc w:val="left"/>
        <w:rPr>
          <w:sz w:val="24"/>
        </w:rPr>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tabs>
          <w:tab w:pos="9388" w:val="left" w:leader="none"/>
        </w:tabs>
        <w:spacing w:before="256"/>
        <w:ind w:left="610" w:right="0" w:firstLine="0"/>
        <w:jc w:val="left"/>
        <w:rPr>
          <w:sz w:val="119"/>
        </w:rPr>
      </w:pPr>
      <w:r>
        <w:rPr/>
        <w:pict>
          <v:group style="position:absolute;margin-left:114.519997pt;margin-top:28.578819pt;width:55.5pt;height:28.5pt;mso-position-horizontal-relative:page;mso-position-vertical-relative:paragraph;z-index:-21814784" id="docshapegroup25" coordorigin="2290,572" coordsize="1110,570">
            <v:line style="position:absolute" from="2300,1141" to="2300,591" stroked="true" strokeweight=".996pt" strokecolor="#000000">
              <v:stroke dashstyle="solid"/>
            </v:line>
            <v:line style="position:absolute" from="2290,582" to="3400,582" stroked="true" strokeweight=".996pt" strokecolor="#000000">
              <v:stroke dashstyle="solid"/>
            </v:line>
            <w10:wrap type="none"/>
          </v:group>
        </w:pict>
      </w:r>
      <w:r>
        <w:rPr/>
        <w:pict>
          <v:group style="position:absolute;margin-left:202.770004pt;margin-top:28.578819pt;width:336.95pt;height:39.8pt;mso-position-horizontal-relative:page;mso-position-vertical-relative:paragraph;z-index:-21814272" id="docshapegroup26" coordorigin="4055,572" coordsize="6739,796">
            <v:line style="position:absolute" from="10784,1367" to="10784,591" stroked="true" strokeweight=".996pt" strokecolor="#000000">
              <v:stroke dashstyle="solid"/>
            </v:line>
            <v:line style="position:absolute" from="4055,582" to="10794,582" stroked="true" strokeweight=".996pt" strokecolor="#000000">
              <v:stroke dashstyle="solid"/>
            </v:line>
            <w10:wrap type="none"/>
          </v:group>
        </w:pict>
      </w:r>
      <w:bookmarkStart w:name="2 Literature Review" w:id="20"/>
      <w:bookmarkEnd w:id="20"/>
      <w:r>
        <w:rPr/>
      </w:r>
      <w:bookmarkStart w:name="_bookmark8" w:id="21"/>
      <w:bookmarkEnd w:id="21"/>
      <w:r>
        <w:rPr/>
      </w:r>
      <w:r>
        <w:rPr>
          <w:rFonts w:ascii="Arial"/>
          <w:sz w:val="28"/>
        </w:rPr>
        <w:t>Chapter</w:t>
      </w:r>
      <w:r>
        <w:rPr>
          <w:rFonts w:ascii="Arial"/>
          <w:spacing w:val="66"/>
          <w:sz w:val="28"/>
        </w:rPr>
        <w:t> </w:t>
      </w:r>
      <w:r>
        <w:rPr>
          <w:spacing w:val="9"/>
          <w:sz w:val="119"/>
        </w:rPr>
        <w:t>2</w:t>
      </w:r>
      <w:r>
        <w:rPr>
          <w:sz w:val="119"/>
          <w:u w:val="single"/>
        </w:rPr>
        <w:tab/>
      </w:r>
    </w:p>
    <w:p>
      <w:pPr>
        <w:pStyle w:val="Heading1"/>
        <w:spacing w:before="426"/>
      </w:pPr>
      <w:r>
        <w:rPr/>
        <w:t>Literature</w:t>
      </w:r>
      <w:r>
        <w:rPr>
          <w:spacing w:val="20"/>
        </w:rPr>
        <w:t> </w:t>
      </w:r>
      <w:r>
        <w:rPr>
          <w:spacing w:val="-2"/>
        </w:rPr>
        <w:t>Review</w:t>
      </w:r>
    </w:p>
    <w:p>
      <w:pPr>
        <w:pStyle w:val="BodyText"/>
        <w:spacing w:before="9"/>
        <w:rPr>
          <w:sz w:val="71"/>
        </w:rPr>
      </w:pPr>
    </w:p>
    <w:p>
      <w:pPr>
        <w:pStyle w:val="BodyText"/>
        <w:spacing w:line="312" w:lineRule="auto"/>
        <w:ind w:left="610" w:right="389"/>
        <w:jc w:val="both"/>
      </w:pPr>
      <w:r>
        <w:rPr>
          <w:spacing w:val="-2"/>
        </w:rPr>
        <w:t>This</w:t>
      </w:r>
      <w:r>
        <w:rPr>
          <w:spacing w:val="-9"/>
        </w:rPr>
        <w:t> </w:t>
      </w:r>
      <w:r>
        <w:rPr>
          <w:spacing w:val="-2"/>
        </w:rPr>
        <w:t>chapter</w:t>
      </w:r>
      <w:r>
        <w:rPr>
          <w:spacing w:val="-9"/>
        </w:rPr>
        <w:t> </w:t>
      </w:r>
      <w:r>
        <w:rPr>
          <w:spacing w:val="-2"/>
        </w:rPr>
        <w:t>presents</w:t>
      </w:r>
      <w:r>
        <w:rPr>
          <w:spacing w:val="-9"/>
        </w:rPr>
        <w:t> </w:t>
      </w:r>
      <w:r>
        <w:rPr>
          <w:spacing w:val="-2"/>
        </w:rPr>
        <w:t>a</w:t>
      </w:r>
      <w:r>
        <w:rPr>
          <w:spacing w:val="-9"/>
        </w:rPr>
        <w:t> </w:t>
      </w:r>
      <w:r>
        <w:rPr>
          <w:spacing w:val="-2"/>
        </w:rPr>
        <w:t>detailed</w:t>
      </w:r>
      <w:r>
        <w:rPr>
          <w:spacing w:val="-9"/>
        </w:rPr>
        <w:t> </w:t>
      </w:r>
      <w:r>
        <w:rPr>
          <w:spacing w:val="-2"/>
        </w:rPr>
        <w:t>discussion</w:t>
      </w:r>
      <w:r>
        <w:rPr>
          <w:spacing w:val="-9"/>
        </w:rPr>
        <w:t> </w:t>
      </w:r>
      <w:r>
        <w:rPr>
          <w:spacing w:val="-2"/>
        </w:rPr>
        <w:t>of</w:t>
      </w:r>
      <w:r>
        <w:rPr>
          <w:spacing w:val="-9"/>
        </w:rPr>
        <w:t> </w:t>
      </w:r>
      <w:r>
        <w:rPr>
          <w:spacing w:val="-2"/>
        </w:rPr>
        <w:t>the</w:t>
      </w:r>
      <w:r>
        <w:rPr>
          <w:spacing w:val="-9"/>
        </w:rPr>
        <w:t> </w:t>
      </w:r>
      <w:r>
        <w:rPr>
          <w:spacing w:val="-2"/>
        </w:rPr>
        <w:t>literature</w:t>
      </w:r>
      <w:r>
        <w:rPr>
          <w:spacing w:val="-9"/>
        </w:rPr>
        <w:t> </w:t>
      </w:r>
      <w:r>
        <w:rPr>
          <w:spacing w:val="-2"/>
        </w:rPr>
        <w:t>relevant</w:t>
      </w:r>
      <w:r>
        <w:rPr>
          <w:spacing w:val="-9"/>
        </w:rPr>
        <w:t> </w:t>
      </w:r>
      <w:r>
        <w:rPr>
          <w:spacing w:val="-2"/>
        </w:rPr>
        <w:t>to</w:t>
      </w:r>
      <w:r>
        <w:rPr>
          <w:spacing w:val="-9"/>
        </w:rPr>
        <w:t> </w:t>
      </w:r>
      <w:r>
        <w:rPr>
          <w:spacing w:val="-2"/>
        </w:rPr>
        <w:t>the</w:t>
      </w:r>
      <w:r>
        <w:rPr>
          <w:spacing w:val="-9"/>
        </w:rPr>
        <w:t> </w:t>
      </w:r>
      <w:r>
        <w:rPr>
          <w:spacing w:val="-2"/>
        </w:rPr>
        <w:t>objectives</w:t>
      </w:r>
      <w:r>
        <w:rPr>
          <w:spacing w:val="-9"/>
        </w:rPr>
        <w:t> </w:t>
      </w:r>
      <w:r>
        <w:rPr>
          <w:spacing w:val="-2"/>
        </w:rPr>
        <w:t>of</w:t>
      </w:r>
      <w:r>
        <w:rPr>
          <w:spacing w:val="-9"/>
        </w:rPr>
        <w:t> </w:t>
      </w:r>
      <w:r>
        <w:rPr>
          <w:spacing w:val="-2"/>
        </w:rPr>
        <w:t>this </w:t>
      </w:r>
      <w:r>
        <w:rPr/>
        <w:t>thesis. First,</w:t>
      </w:r>
      <w:r>
        <w:rPr>
          <w:spacing w:val="-12"/>
        </w:rPr>
        <w:t> </w:t>
      </w:r>
      <w:r>
        <w:rPr/>
        <w:t>the</w:t>
      </w:r>
      <w:r>
        <w:rPr>
          <w:spacing w:val="-14"/>
        </w:rPr>
        <w:t> </w:t>
      </w:r>
      <w:r>
        <w:rPr/>
        <w:t>types</w:t>
      </w:r>
      <w:r>
        <w:rPr>
          <w:spacing w:val="-14"/>
        </w:rPr>
        <w:t> </w:t>
      </w:r>
      <w:r>
        <w:rPr/>
        <w:t>of</w:t>
      </w:r>
      <w:r>
        <w:rPr>
          <w:spacing w:val="-14"/>
        </w:rPr>
        <w:t> </w:t>
      </w:r>
      <w:r>
        <w:rPr/>
        <w:t>data</w:t>
      </w:r>
      <w:r>
        <w:rPr>
          <w:spacing w:val="-14"/>
        </w:rPr>
        <w:t> </w:t>
      </w:r>
      <w:r>
        <w:rPr/>
        <w:t>collected</w:t>
      </w:r>
      <w:r>
        <w:rPr>
          <w:spacing w:val="-14"/>
        </w:rPr>
        <w:t> </w:t>
      </w:r>
      <w:r>
        <w:rPr/>
        <w:t>by</w:t>
      </w:r>
      <w:r>
        <w:rPr>
          <w:spacing w:val="-14"/>
        </w:rPr>
        <w:t> </w:t>
      </w:r>
      <w:r>
        <w:rPr/>
        <w:t>professional</w:t>
      </w:r>
      <w:r>
        <w:rPr>
          <w:spacing w:val="-14"/>
        </w:rPr>
        <w:t> </w:t>
      </w:r>
      <w:r>
        <w:rPr/>
        <w:t>sports</w:t>
      </w:r>
      <w:r>
        <w:rPr>
          <w:spacing w:val="-14"/>
        </w:rPr>
        <w:t> </w:t>
      </w:r>
      <w:r>
        <w:rPr/>
        <w:t>teams</w:t>
      </w:r>
      <w:r>
        <w:rPr>
          <w:spacing w:val="-14"/>
        </w:rPr>
        <w:t> </w:t>
      </w:r>
      <w:r>
        <w:rPr/>
        <w:t>are</w:t>
      </w:r>
      <w:r>
        <w:rPr>
          <w:spacing w:val="-14"/>
        </w:rPr>
        <w:t> </w:t>
      </w:r>
      <w:r>
        <w:rPr/>
        <w:t>introduced. </w:t>
      </w:r>
      <w:r>
        <w:rPr/>
        <w:t>Next, the</w:t>
      </w:r>
      <w:r>
        <w:rPr>
          <w:spacing w:val="-15"/>
        </w:rPr>
        <w:t> </w:t>
      </w:r>
      <w:r>
        <w:rPr/>
        <w:t>use</w:t>
      </w:r>
      <w:r>
        <w:rPr>
          <w:spacing w:val="-15"/>
        </w:rPr>
        <w:t> </w:t>
      </w:r>
      <w:r>
        <w:rPr/>
        <w:t>of</w:t>
      </w:r>
      <w:r>
        <w:rPr>
          <w:spacing w:val="-15"/>
        </w:rPr>
        <w:t> </w:t>
      </w:r>
      <w:r>
        <w:rPr/>
        <w:t>this</w:t>
      </w:r>
      <w:r>
        <w:rPr>
          <w:spacing w:val="-15"/>
        </w:rPr>
        <w:t> </w:t>
      </w:r>
      <w:r>
        <w:rPr/>
        <w:t>data</w:t>
      </w:r>
      <w:r>
        <w:rPr>
          <w:spacing w:val="-15"/>
        </w:rPr>
        <w:t> </w:t>
      </w:r>
      <w:r>
        <w:rPr/>
        <w:t>to</w:t>
      </w:r>
      <w:r>
        <w:rPr>
          <w:spacing w:val="-15"/>
        </w:rPr>
        <w:t> </w:t>
      </w:r>
      <w:r>
        <w:rPr/>
        <w:t>evaluate</w:t>
      </w:r>
      <w:r>
        <w:rPr>
          <w:spacing w:val="-15"/>
        </w:rPr>
        <w:t> </w:t>
      </w:r>
      <w:r>
        <w:rPr/>
        <w:t>team</w:t>
      </w:r>
      <w:r>
        <w:rPr>
          <w:spacing w:val="-15"/>
        </w:rPr>
        <w:t> </w:t>
      </w:r>
      <w:r>
        <w:rPr/>
        <w:t>and</w:t>
      </w:r>
      <w:r>
        <w:rPr>
          <w:spacing w:val="-15"/>
        </w:rPr>
        <w:t> </w:t>
      </w:r>
      <w:r>
        <w:rPr/>
        <w:t>player</w:t>
      </w:r>
      <w:r>
        <w:rPr>
          <w:spacing w:val="-15"/>
        </w:rPr>
        <w:t> </w:t>
      </w:r>
      <w:r>
        <w:rPr/>
        <w:t>performances</w:t>
      </w:r>
      <w:r>
        <w:rPr>
          <w:spacing w:val="-15"/>
        </w:rPr>
        <w:t> </w:t>
      </w:r>
      <w:r>
        <w:rPr/>
        <w:t>in</w:t>
      </w:r>
      <w:r>
        <w:rPr>
          <w:spacing w:val="-15"/>
        </w:rPr>
        <w:t> </w:t>
      </w:r>
      <w:r>
        <w:rPr/>
        <w:t>the</w:t>
      </w:r>
      <w:r>
        <w:rPr>
          <w:spacing w:val="-15"/>
        </w:rPr>
        <w:t> </w:t>
      </w:r>
      <w:r>
        <w:rPr/>
        <w:t>wider</w:t>
      </w:r>
      <w:r>
        <w:rPr>
          <w:spacing w:val="-15"/>
        </w:rPr>
        <w:t> </w:t>
      </w:r>
      <w:r>
        <w:rPr/>
        <w:t>context</w:t>
      </w:r>
      <w:r>
        <w:rPr>
          <w:spacing w:val="-15"/>
        </w:rPr>
        <w:t> </w:t>
      </w:r>
      <w:r>
        <w:rPr/>
        <w:t>of</w:t>
      </w:r>
      <w:r>
        <w:rPr>
          <w:spacing w:val="-15"/>
        </w:rPr>
        <w:t> </w:t>
      </w:r>
      <w:r>
        <w:rPr/>
        <w:t>sports excluding rugby league is discussed.</w:t>
      </w:r>
      <w:r>
        <w:rPr>
          <w:spacing w:val="40"/>
        </w:rPr>
        <w:t> </w:t>
      </w:r>
      <w:r>
        <w:rPr/>
        <w:t>Rugby league and its rules are then introduced,</w:t>
      </w:r>
      <w:r>
        <w:rPr>
          <w:spacing w:val="40"/>
        </w:rPr>
        <w:t> </w:t>
      </w:r>
      <w:r>
        <w:rPr/>
        <w:t>and the</w:t>
      </w:r>
      <w:r>
        <w:rPr>
          <w:spacing w:val="-1"/>
        </w:rPr>
        <w:t> </w:t>
      </w:r>
      <w:r>
        <w:rPr/>
        <w:t>literature evaluating player</w:t>
      </w:r>
      <w:r>
        <w:rPr>
          <w:spacing w:val="-1"/>
        </w:rPr>
        <w:t> </w:t>
      </w:r>
      <w:r>
        <w:rPr/>
        <w:t>and team performances</w:t>
      </w:r>
      <w:r>
        <w:rPr>
          <w:spacing w:val="-1"/>
        </w:rPr>
        <w:t> </w:t>
      </w:r>
      <w:r>
        <w:rPr/>
        <w:t>within the sport</w:t>
      </w:r>
      <w:r>
        <w:rPr>
          <w:spacing w:val="-1"/>
        </w:rPr>
        <w:t> </w:t>
      </w:r>
      <w:r>
        <w:rPr/>
        <w:t>is evaluated. The summary section outlines the difficulties with adapting some elements of previous research in other sports to rugby league and identifies those methods which could be adapted to evaluate player and team performances in rugby league.</w:t>
      </w:r>
      <w:r>
        <w:rPr>
          <w:spacing w:val="34"/>
        </w:rPr>
        <w:t> </w:t>
      </w:r>
      <w:r>
        <w:rPr/>
        <w:t>Finally, a high level computational overview of the methods utilised in this thesis is provided.</w:t>
      </w:r>
    </w:p>
    <w:p>
      <w:pPr>
        <w:pStyle w:val="BodyText"/>
        <w:spacing w:before="6"/>
        <w:rPr>
          <w:sz w:val="40"/>
        </w:rPr>
      </w:pPr>
    </w:p>
    <w:p>
      <w:pPr>
        <w:pStyle w:val="Heading2"/>
        <w:numPr>
          <w:ilvl w:val="1"/>
          <w:numId w:val="17"/>
        </w:numPr>
        <w:tabs>
          <w:tab w:pos="1385" w:val="left" w:leader="none"/>
          <w:tab w:pos="1386" w:val="left" w:leader="none"/>
        </w:tabs>
        <w:spacing w:line="240" w:lineRule="auto" w:before="1" w:after="0"/>
        <w:ind w:left="1385" w:right="0" w:hanging="776"/>
        <w:jc w:val="left"/>
      </w:pPr>
      <w:bookmarkStart w:name="_TOC_250061" w:id="22"/>
      <w:bookmarkStart w:name="2.1 Data in Team Sports" w:id="23"/>
      <w:r>
        <w:rPr>
          <w:b w:val="0"/>
        </w:rPr>
      </w:r>
      <w:bookmarkStart w:name="_bookmark9" w:id="24"/>
      <w:bookmarkEnd w:id="24"/>
      <w:r>
        <w:rPr/>
        <w:t>Data</w:t>
      </w:r>
      <w:r>
        <w:rPr>
          <w:spacing w:val="-4"/>
        </w:rPr>
        <w:t> </w:t>
      </w:r>
      <w:r>
        <w:rPr/>
        <w:t>in</w:t>
      </w:r>
      <w:r>
        <w:rPr>
          <w:spacing w:val="-4"/>
        </w:rPr>
        <w:t> </w:t>
      </w:r>
      <w:r>
        <w:rPr/>
        <w:t>Team</w:t>
      </w:r>
      <w:r>
        <w:rPr>
          <w:spacing w:val="-3"/>
        </w:rPr>
        <w:t> </w:t>
      </w:r>
      <w:bookmarkEnd w:id="22"/>
      <w:r>
        <w:rPr>
          <w:spacing w:val="-2"/>
        </w:rPr>
        <w:t>Sports</w:t>
      </w:r>
    </w:p>
    <w:p>
      <w:pPr>
        <w:pStyle w:val="BodyText"/>
        <w:spacing w:line="312" w:lineRule="auto" w:before="308"/>
        <w:ind w:left="610" w:right="389"/>
      </w:pPr>
      <w:r>
        <w:rPr/>
        <w:t>Recently,</w:t>
      </w:r>
      <w:r>
        <w:rPr>
          <w:spacing w:val="-7"/>
        </w:rPr>
        <w:t> </w:t>
      </w:r>
      <w:r>
        <w:rPr/>
        <w:t>there</w:t>
      </w:r>
      <w:r>
        <w:rPr>
          <w:spacing w:val="-7"/>
        </w:rPr>
        <w:t> </w:t>
      </w:r>
      <w:r>
        <w:rPr/>
        <w:t>has</w:t>
      </w:r>
      <w:r>
        <w:rPr>
          <w:spacing w:val="-7"/>
        </w:rPr>
        <w:t> </w:t>
      </w:r>
      <w:r>
        <w:rPr/>
        <w:t>been</w:t>
      </w:r>
      <w:r>
        <w:rPr>
          <w:spacing w:val="-7"/>
        </w:rPr>
        <w:t> </w:t>
      </w:r>
      <w:r>
        <w:rPr/>
        <w:t>a</w:t>
      </w:r>
      <w:r>
        <w:rPr>
          <w:spacing w:val="-7"/>
        </w:rPr>
        <w:t> </w:t>
      </w:r>
      <w:r>
        <w:rPr/>
        <w:t>large</w:t>
      </w:r>
      <w:r>
        <w:rPr>
          <w:spacing w:val="-7"/>
        </w:rPr>
        <w:t> </w:t>
      </w:r>
      <w:r>
        <w:rPr/>
        <w:t>increase</w:t>
      </w:r>
      <w:r>
        <w:rPr>
          <w:spacing w:val="-7"/>
        </w:rPr>
        <w:t> </w:t>
      </w:r>
      <w:r>
        <w:rPr/>
        <w:t>in</w:t>
      </w:r>
      <w:r>
        <w:rPr>
          <w:spacing w:val="-7"/>
        </w:rPr>
        <w:t> </w:t>
      </w:r>
      <w:r>
        <w:rPr/>
        <w:t>the</w:t>
      </w:r>
      <w:r>
        <w:rPr>
          <w:spacing w:val="-7"/>
        </w:rPr>
        <w:t> </w:t>
      </w:r>
      <w:r>
        <w:rPr/>
        <w:t>quantity</w:t>
      </w:r>
      <w:r>
        <w:rPr>
          <w:spacing w:val="-7"/>
        </w:rPr>
        <w:t> </w:t>
      </w:r>
      <w:r>
        <w:rPr/>
        <w:t>of</w:t>
      </w:r>
      <w:r>
        <w:rPr>
          <w:spacing w:val="-7"/>
        </w:rPr>
        <w:t> </w:t>
      </w:r>
      <w:r>
        <w:rPr/>
        <w:t>data</w:t>
      </w:r>
      <w:r>
        <w:rPr>
          <w:spacing w:val="-7"/>
        </w:rPr>
        <w:t> </w:t>
      </w:r>
      <w:r>
        <w:rPr/>
        <w:t>produced</w:t>
      </w:r>
      <w:r>
        <w:rPr>
          <w:spacing w:val="-7"/>
        </w:rPr>
        <w:t> </w:t>
      </w:r>
      <w:r>
        <w:rPr/>
        <w:t>by</w:t>
      </w:r>
      <w:r>
        <w:rPr>
          <w:spacing w:val="-7"/>
        </w:rPr>
        <w:t> </w:t>
      </w:r>
      <w:r>
        <w:rPr/>
        <w:t>sports</w:t>
      </w:r>
      <w:r>
        <w:rPr>
          <w:spacing w:val="-7"/>
        </w:rPr>
        <w:t> </w:t>
      </w:r>
      <w:r>
        <w:rPr/>
        <w:t>teams regarding their players’ performances in training and match play.</w:t>
      </w:r>
      <w:r>
        <w:rPr>
          <w:spacing w:val="40"/>
        </w:rPr>
        <w:t> </w:t>
      </w:r>
      <w:r>
        <w:rPr/>
        <w:t>The data obtained </w:t>
      </w:r>
      <w:r>
        <w:rPr/>
        <w:t>by these</w:t>
      </w:r>
      <w:r>
        <w:rPr>
          <w:spacing w:val="-15"/>
        </w:rPr>
        <w:t> </w:t>
      </w:r>
      <w:r>
        <w:rPr/>
        <w:t>teams</w:t>
      </w:r>
      <w:r>
        <w:rPr>
          <w:spacing w:val="-15"/>
        </w:rPr>
        <w:t> </w:t>
      </w:r>
      <w:r>
        <w:rPr/>
        <w:t>can</w:t>
      </w:r>
      <w:r>
        <w:rPr>
          <w:spacing w:val="-15"/>
        </w:rPr>
        <w:t> </w:t>
      </w:r>
      <w:r>
        <w:rPr/>
        <w:t>broadly</w:t>
      </w:r>
      <w:r>
        <w:rPr>
          <w:spacing w:val="-15"/>
        </w:rPr>
        <w:t> </w:t>
      </w:r>
      <w:r>
        <w:rPr/>
        <w:t>be</w:t>
      </w:r>
      <w:r>
        <w:rPr>
          <w:spacing w:val="-15"/>
        </w:rPr>
        <w:t> </w:t>
      </w:r>
      <w:r>
        <w:rPr/>
        <w:t>split</w:t>
      </w:r>
      <w:r>
        <w:rPr>
          <w:spacing w:val="-15"/>
        </w:rPr>
        <w:t> </w:t>
      </w:r>
      <w:r>
        <w:rPr/>
        <w:t>into</w:t>
      </w:r>
      <w:r>
        <w:rPr>
          <w:spacing w:val="-15"/>
        </w:rPr>
        <w:t> </w:t>
      </w:r>
      <w:r>
        <w:rPr/>
        <w:t>two</w:t>
      </w:r>
      <w:r>
        <w:rPr>
          <w:spacing w:val="-15"/>
        </w:rPr>
        <w:t> </w:t>
      </w:r>
      <w:r>
        <w:rPr/>
        <w:t>areas: physiological</w:t>
      </w:r>
      <w:r>
        <w:rPr>
          <w:spacing w:val="-15"/>
        </w:rPr>
        <w:t> </w:t>
      </w:r>
      <w:r>
        <w:rPr/>
        <w:t>data</w:t>
      </w:r>
      <w:r>
        <w:rPr>
          <w:spacing w:val="-15"/>
        </w:rPr>
        <w:t> </w:t>
      </w:r>
      <w:r>
        <w:rPr/>
        <w:t>and</w:t>
      </w:r>
      <w:r>
        <w:rPr>
          <w:spacing w:val="-15"/>
        </w:rPr>
        <w:t> </w:t>
      </w:r>
      <w:r>
        <w:rPr/>
        <w:t>tactical</w:t>
      </w:r>
      <w:r>
        <w:rPr>
          <w:spacing w:val="-15"/>
        </w:rPr>
        <w:t> </w:t>
      </w:r>
      <w:r>
        <w:rPr/>
        <w:t>data.</w:t>
      </w:r>
      <w:r>
        <w:rPr>
          <w:spacing w:val="5"/>
        </w:rPr>
        <w:t> </w:t>
      </w:r>
      <w:r>
        <w:rPr/>
        <w:t>Phys- iological data provides information surrounding the body of the athlete and can be used to understand how hard the athlete is working physically (</w:t>
      </w:r>
      <w:hyperlink w:history="true" w:anchor="_bookmark273">
        <w:r>
          <w:rPr>
            <w:color w:val="FF0000"/>
          </w:rPr>
          <w:t>McArdle et al.</w:t>
        </w:r>
      </w:hyperlink>
      <w:r>
        <w:rPr/>
        <w:t>,</w:t>
      </w:r>
      <w:hyperlink w:history="true" w:anchor="_bookmark273">
        <w:r>
          <w:rPr>
            <w:color w:val="FF0000"/>
          </w:rPr>
          <w:t>2015</w:t>
        </w:r>
      </w:hyperlink>
      <w:r>
        <w:rPr/>
        <w:t>).</w:t>
      </w:r>
      <w:r>
        <w:rPr>
          <w:spacing w:val="40"/>
        </w:rPr>
        <w:t> </w:t>
      </w:r>
      <w:r>
        <w:rPr/>
        <w:t>Tacti- cal data provides information surrounding the technical and tactical events (e.g.</w:t>
      </w:r>
      <w:r>
        <w:rPr>
          <w:spacing w:val="40"/>
        </w:rPr>
        <w:t> </w:t>
      </w:r>
      <w:r>
        <w:rPr/>
        <w:t>passes, runs,</w:t>
      </w:r>
      <w:r>
        <w:rPr>
          <w:spacing w:val="-9"/>
        </w:rPr>
        <w:t> </w:t>
      </w:r>
      <w:r>
        <w:rPr/>
        <w:t>kicks)</w:t>
      </w:r>
      <w:r>
        <w:rPr>
          <w:spacing w:val="-10"/>
        </w:rPr>
        <w:t> </w:t>
      </w:r>
      <w:r>
        <w:rPr/>
        <w:t>that</w:t>
      </w:r>
      <w:r>
        <w:rPr>
          <w:spacing w:val="-10"/>
        </w:rPr>
        <w:t> </w:t>
      </w:r>
      <w:r>
        <w:rPr/>
        <w:t>take</w:t>
      </w:r>
      <w:r>
        <w:rPr>
          <w:spacing w:val="-9"/>
        </w:rPr>
        <w:t> </w:t>
      </w:r>
      <w:r>
        <w:rPr/>
        <w:t>place</w:t>
      </w:r>
      <w:r>
        <w:rPr>
          <w:spacing w:val="-10"/>
        </w:rPr>
        <w:t> </w:t>
      </w:r>
      <w:r>
        <w:rPr/>
        <w:t>and</w:t>
      </w:r>
      <w:r>
        <w:rPr>
          <w:spacing w:val="-9"/>
        </w:rPr>
        <w:t> </w:t>
      </w:r>
      <w:r>
        <w:rPr/>
        <w:t>can</w:t>
      </w:r>
      <w:r>
        <w:rPr>
          <w:spacing w:val="-10"/>
        </w:rPr>
        <w:t> </w:t>
      </w:r>
      <w:r>
        <w:rPr/>
        <w:t>be</w:t>
      </w:r>
      <w:r>
        <w:rPr>
          <w:spacing w:val="-9"/>
        </w:rPr>
        <w:t> </w:t>
      </w:r>
      <w:r>
        <w:rPr/>
        <w:t>used</w:t>
      </w:r>
      <w:r>
        <w:rPr>
          <w:spacing w:val="-10"/>
        </w:rPr>
        <w:t> </w:t>
      </w:r>
      <w:r>
        <w:rPr/>
        <w:t>to</w:t>
      </w:r>
      <w:r>
        <w:rPr>
          <w:spacing w:val="-9"/>
        </w:rPr>
        <w:t> </w:t>
      </w:r>
      <w:r>
        <w:rPr/>
        <w:t>understand</w:t>
      </w:r>
      <w:r>
        <w:rPr>
          <w:spacing w:val="-10"/>
        </w:rPr>
        <w:t> </w:t>
      </w:r>
      <w:r>
        <w:rPr/>
        <w:t>the</w:t>
      </w:r>
      <w:r>
        <w:rPr>
          <w:spacing w:val="-9"/>
        </w:rPr>
        <w:t> </w:t>
      </w:r>
      <w:r>
        <w:rPr/>
        <w:t>match</w:t>
      </w:r>
      <w:r>
        <w:rPr>
          <w:spacing w:val="-10"/>
        </w:rPr>
        <w:t> </w:t>
      </w:r>
      <w:r>
        <w:rPr/>
        <w:t>play</w:t>
      </w:r>
      <w:r>
        <w:rPr>
          <w:spacing w:val="-10"/>
        </w:rPr>
        <w:t> </w:t>
      </w:r>
      <w:r>
        <w:rPr/>
        <w:t>performances</w:t>
      </w:r>
      <w:r>
        <w:rPr>
          <w:spacing w:val="-9"/>
        </w:rPr>
        <w:t> </w:t>
      </w:r>
      <w:r>
        <w:rPr/>
        <w:t>of players or teams (</w:t>
      </w:r>
      <w:hyperlink w:history="true" w:anchor="_bookmark258">
        <w:r>
          <w:rPr>
            <w:color w:val="FF0000"/>
          </w:rPr>
          <w:t>Hughes et al.</w:t>
        </w:r>
      </w:hyperlink>
      <w:r>
        <w:rPr/>
        <w:t>,</w:t>
      </w:r>
      <w:hyperlink w:history="true" w:anchor="_bookmark258">
        <w:r>
          <w:rPr>
            <w:color w:val="FF0000"/>
          </w:rPr>
          <w:t>2019</w:t>
        </w:r>
      </w:hyperlink>
      <w:r>
        <w:rPr/>
        <w:t>).</w:t>
      </w:r>
    </w:p>
    <w:p>
      <w:pPr>
        <w:pStyle w:val="BodyText"/>
        <w:spacing w:line="274" w:lineRule="exact"/>
        <w:ind w:left="961"/>
      </w:pPr>
      <w:r>
        <w:rPr>
          <w:spacing w:val="-2"/>
        </w:rPr>
        <w:t>Physiological</w:t>
      </w:r>
      <w:r>
        <w:rPr>
          <w:spacing w:val="-4"/>
        </w:rPr>
        <w:t> </w:t>
      </w:r>
      <w:r>
        <w:rPr>
          <w:spacing w:val="-2"/>
        </w:rPr>
        <w:t>data</w:t>
      </w:r>
      <w:r>
        <w:rPr>
          <w:spacing w:val="-3"/>
        </w:rPr>
        <w:t> </w:t>
      </w:r>
      <w:r>
        <w:rPr>
          <w:spacing w:val="-2"/>
        </w:rPr>
        <w:t>is</w:t>
      </w:r>
      <w:r>
        <w:rPr>
          <w:spacing w:val="-3"/>
        </w:rPr>
        <w:t> </w:t>
      </w:r>
      <w:r>
        <w:rPr>
          <w:spacing w:val="-2"/>
        </w:rPr>
        <w:t>typically</w:t>
      </w:r>
      <w:r>
        <w:rPr>
          <w:spacing w:val="-4"/>
        </w:rPr>
        <w:t> </w:t>
      </w:r>
      <w:r>
        <w:rPr>
          <w:spacing w:val="-2"/>
        </w:rPr>
        <w:t>collected</w:t>
      </w:r>
      <w:r>
        <w:rPr>
          <w:spacing w:val="-3"/>
        </w:rPr>
        <w:t> </w:t>
      </w:r>
      <w:r>
        <w:rPr>
          <w:spacing w:val="-2"/>
        </w:rPr>
        <w:t>using</w:t>
      </w:r>
      <w:r>
        <w:rPr>
          <w:spacing w:val="-3"/>
        </w:rPr>
        <w:t> </w:t>
      </w:r>
      <w:r>
        <w:rPr>
          <w:spacing w:val="-2"/>
        </w:rPr>
        <w:t>wearable</w:t>
      </w:r>
      <w:r>
        <w:rPr>
          <w:spacing w:val="-4"/>
        </w:rPr>
        <w:t> </w:t>
      </w:r>
      <w:r>
        <w:rPr>
          <w:spacing w:val="-2"/>
        </w:rPr>
        <w:t>technologies,</w:t>
      </w:r>
      <w:r>
        <w:rPr>
          <w:spacing w:val="-1"/>
        </w:rPr>
        <w:t> </w:t>
      </w:r>
      <w:r>
        <w:rPr>
          <w:spacing w:val="-2"/>
        </w:rPr>
        <w:t>including</w:t>
      </w:r>
      <w:r>
        <w:rPr>
          <w:spacing w:val="-3"/>
        </w:rPr>
        <w:t> </w:t>
      </w:r>
      <w:r>
        <w:rPr>
          <w:spacing w:val="-2"/>
        </w:rPr>
        <w:t>global</w:t>
      </w:r>
    </w:p>
    <w:p>
      <w:pPr>
        <w:spacing w:after="0" w:line="274" w:lineRule="exact"/>
        <w:sectPr>
          <w:headerReference w:type="default" r:id="rId29"/>
          <w:footerReference w:type="default" r:id="rId30"/>
          <w:pgSz w:w="11910" w:h="16840"/>
          <w:pgMar w:header="0" w:footer="1428" w:top="1920" w:bottom="1620" w:left="1680" w:right="720"/>
        </w:sectPr>
      </w:pPr>
    </w:p>
    <w:p>
      <w:pPr>
        <w:pStyle w:val="BodyText"/>
        <w:spacing w:line="20" w:lineRule="exact"/>
        <w:ind w:left="610"/>
        <w:rPr>
          <w:sz w:val="2"/>
        </w:rPr>
      </w:pPr>
      <w:r>
        <w:rPr>
          <w:sz w:val="2"/>
        </w:rPr>
        <w:pict>
          <v:group style="width:425.2pt;height:.5pt;mso-position-horizontal-relative:char;mso-position-vertical-relative:line" id="docshapegroup29" coordorigin="0,0" coordsize="8504,10">
            <v:line style="position:absolute" from="0,5" to="8504,5" stroked="true" strokeweight=".498pt" strokecolor="#000000">
              <v:stroke dashstyle="solid"/>
            </v:line>
          </v:group>
        </w:pict>
      </w:r>
      <w:r>
        <w:rPr>
          <w:sz w:val="2"/>
        </w:rPr>
      </w:r>
    </w:p>
    <w:p>
      <w:pPr>
        <w:pStyle w:val="BodyText"/>
        <w:rPr>
          <w:sz w:val="20"/>
        </w:rPr>
      </w:pPr>
    </w:p>
    <w:p>
      <w:pPr>
        <w:pStyle w:val="BodyText"/>
        <w:spacing w:before="10"/>
        <w:rPr>
          <w:sz w:val="20"/>
        </w:rPr>
      </w:pPr>
    </w:p>
    <w:p>
      <w:pPr>
        <w:pStyle w:val="BodyText"/>
        <w:spacing w:line="312" w:lineRule="auto" w:before="97"/>
        <w:ind w:left="610" w:right="389"/>
      </w:pPr>
      <w:r>
        <w:rPr/>
        <w:t>positioning</w:t>
      </w:r>
      <w:r>
        <w:rPr>
          <w:spacing w:val="-12"/>
        </w:rPr>
        <w:t> </w:t>
      </w:r>
      <w:r>
        <w:rPr/>
        <w:t>system</w:t>
      </w:r>
      <w:r>
        <w:rPr>
          <w:spacing w:val="-12"/>
        </w:rPr>
        <w:t> </w:t>
      </w:r>
      <w:r>
        <w:rPr/>
        <w:t>(GPS)</w:t>
      </w:r>
      <w:r>
        <w:rPr>
          <w:spacing w:val="-12"/>
        </w:rPr>
        <w:t> </w:t>
      </w:r>
      <w:r>
        <w:rPr/>
        <w:t>units,</w:t>
      </w:r>
      <w:r>
        <w:rPr>
          <w:spacing w:val="-11"/>
        </w:rPr>
        <w:t> </w:t>
      </w:r>
      <w:r>
        <w:rPr/>
        <w:t>heart</w:t>
      </w:r>
      <w:r>
        <w:rPr>
          <w:spacing w:val="-12"/>
        </w:rPr>
        <w:t> </w:t>
      </w:r>
      <w:r>
        <w:rPr/>
        <w:t>rate</w:t>
      </w:r>
      <w:r>
        <w:rPr>
          <w:spacing w:val="-12"/>
        </w:rPr>
        <w:t> </w:t>
      </w:r>
      <w:r>
        <w:rPr/>
        <w:t>monitors</w:t>
      </w:r>
      <w:r>
        <w:rPr>
          <w:spacing w:val="-12"/>
        </w:rPr>
        <w:t> </w:t>
      </w:r>
      <w:r>
        <w:rPr/>
        <w:t>and</w:t>
      </w:r>
      <w:r>
        <w:rPr>
          <w:spacing w:val="-12"/>
        </w:rPr>
        <w:t> </w:t>
      </w:r>
      <w:r>
        <w:rPr/>
        <w:t>instrumented</w:t>
      </w:r>
      <w:r>
        <w:rPr>
          <w:spacing w:val="-12"/>
        </w:rPr>
        <w:t> </w:t>
      </w:r>
      <w:r>
        <w:rPr/>
        <w:t>mouth</w:t>
      </w:r>
      <w:r>
        <w:rPr>
          <w:spacing w:val="-12"/>
        </w:rPr>
        <w:t> </w:t>
      </w:r>
      <w:r>
        <w:rPr/>
        <w:t>guards. </w:t>
      </w:r>
      <w:r>
        <w:rPr/>
        <w:t>GPS units</w:t>
      </w:r>
      <w:r>
        <w:rPr>
          <w:spacing w:val="29"/>
        </w:rPr>
        <w:t> </w:t>
      </w:r>
      <w:r>
        <w:rPr/>
        <w:t>use</w:t>
      </w:r>
      <w:r>
        <w:rPr>
          <w:spacing w:val="28"/>
        </w:rPr>
        <w:t> </w:t>
      </w:r>
      <w:r>
        <w:rPr/>
        <w:t>satellite-based</w:t>
      </w:r>
      <w:r>
        <w:rPr>
          <w:spacing w:val="29"/>
        </w:rPr>
        <w:t> </w:t>
      </w:r>
      <w:r>
        <w:rPr/>
        <w:t>radio</w:t>
      </w:r>
      <w:r>
        <w:rPr>
          <w:spacing w:val="28"/>
        </w:rPr>
        <w:t> </w:t>
      </w:r>
      <w:r>
        <w:rPr/>
        <w:t>navigation</w:t>
      </w:r>
      <w:r>
        <w:rPr>
          <w:spacing w:val="29"/>
        </w:rPr>
        <w:t> </w:t>
      </w:r>
      <w:r>
        <w:rPr/>
        <w:t>to</w:t>
      </w:r>
      <w:r>
        <w:rPr>
          <w:spacing w:val="28"/>
        </w:rPr>
        <w:t> </w:t>
      </w:r>
      <w:r>
        <w:rPr/>
        <w:t>understand</w:t>
      </w:r>
      <w:r>
        <w:rPr>
          <w:spacing w:val="29"/>
        </w:rPr>
        <w:t> </w:t>
      </w:r>
      <w:r>
        <w:rPr/>
        <w:t>the</w:t>
      </w:r>
      <w:r>
        <w:rPr>
          <w:spacing w:val="28"/>
        </w:rPr>
        <w:t> </w:t>
      </w:r>
      <w:r>
        <w:rPr/>
        <w:t>location</w:t>
      </w:r>
      <w:r>
        <w:rPr>
          <w:spacing w:val="29"/>
        </w:rPr>
        <w:t> </w:t>
      </w:r>
      <w:r>
        <w:rPr/>
        <w:t>of</w:t>
      </w:r>
      <w:r>
        <w:rPr>
          <w:spacing w:val="28"/>
        </w:rPr>
        <w:t> </w:t>
      </w:r>
      <w:r>
        <w:rPr/>
        <w:t>players</w:t>
      </w:r>
      <w:r>
        <w:rPr>
          <w:spacing w:val="29"/>
        </w:rPr>
        <w:t> </w:t>
      </w:r>
      <w:r>
        <w:rPr/>
        <w:t>during training</w:t>
      </w:r>
      <w:r>
        <w:rPr>
          <w:spacing w:val="22"/>
        </w:rPr>
        <w:t> </w:t>
      </w:r>
      <w:r>
        <w:rPr/>
        <w:t>or</w:t>
      </w:r>
      <w:r>
        <w:rPr>
          <w:spacing w:val="22"/>
        </w:rPr>
        <w:t> </w:t>
      </w:r>
      <w:r>
        <w:rPr/>
        <w:t>match</w:t>
      </w:r>
      <w:r>
        <w:rPr>
          <w:spacing w:val="22"/>
        </w:rPr>
        <w:t> </w:t>
      </w:r>
      <w:r>
        <w:rPr/>
        <w:t>play.</w:t>
      </w:r>
      <w:r>
        <w:rPr>
          <w:spacing w:val="80"/>
        </w:rPr>
        <w:t> </w:t>
      </w:r>
      <w:r>
        <w:rPr/>
        <w:t>From</w:t>
      </w:r>
      <w:r>
        <w:rPr>
          <w:spacing w:val="22"/>
        </w:rPr>
        <w:t> </w:t>
      </w:r>
      <w:r>
        <w:rPr/>
        <w:t>this</w:t>
      </w:r>
      <w:r>
        <w:rPr>
          <w:spacing w:val="22"/>
        </w:rPr>
        <w:t> </w:t>
      </w:r>
      <w:r>
        <w:rPr/>
        <w:t>information,</w:t>
      </w:r>
      <w:r>
        <w:rPr>
          <w:spacing w:val="28"/>
        </w:rPr>
        <w:t> </w:t>
      </w:r>
      <w:r>
        <w:rPr/>
        <w:t>practitioners</w:t>
      </w:r>
      <w:r>
        <w:rPr>
          <w:spacing w:val="22"/>
        </w:rPr>
        <w:t> </w:t>
      </w:r>
      <w:r>
        <w:rPr/>
        <w:t>can</w:t>
      </w:r>
      <w:r>
        <w:rPr>
          <w:spacing w:val="22"/>
        </w:rPr>
        <w:t> </w:t>
      </w:r>
      <w:r>
        <w:rPr/>
        <w:t>understand</w:t>
      </w:r>
      <w:r>
        <w:rPr>
          <w:spacing w:val="22"/>
        </w:rPr>
        <w:t> </w:t>
      </w:r>
      <w:r>
        <w:rPr/>
        <w:t>how</w:t>
      </w:r>
      <w:r>
        <w:rPr>
          <w:spacing w:val="22"/>
        </w:rPr>
        <w:t> </w:t>
      </w:r>
      <w:r>
        <w:rPr/>
        <w:t>hard a player has worked in terms of total running demands, accelerations, decelerations or</w:t>
      </w:r>
      <w:r>
        <w:rPr>
          <w:spacing w:val="40"/>
        </w:rPr>
        <w:t> </w:t>
      </w:r>
      <w:r>
        <w:rPr/>
        <w:t>amount of time spent at/above/below a given running speed threshold.</w:t>
      </w:r>
      <w:r>
        <w:rPr>
          <w:spacing w:val="40"/>
        </w:rPr>
        <w:t> </w:t>
      </w:r>
      <w:r>
        <w:rPr/>
        <w:t>Heart rate mon- itors are typically used alongside GPS units to understand objectively how hard a given workload</w:t>
      </w:r>
      <w:r>
        <w:rPr>
          <w:spacing w:val="-2"/>
        </w:rPr>
        <w:t> </w:t>
      </w:r>
      <w:r>
        <w:rPr/>
        <w:t>is</w:t>
      </w:r>
      <w:r>
        <w:rPr>
          <w:spacing w:val="-1"/>
        </w:rPr>
        <w:t> </w:t>
      </w:r>
      <w:r>
        <w:rPr/>
        <w:t>for</w:t>
      </w:r>
      <w:r>
        <w:rPr>
          <w:spacing w:val="-2"/>
        </w:rPr>
        <w:t> </w:t>
      </w:r>
      <w:r>
        <w:rPr/>
        <w:t>the</w:t>
      </w:r>
      <w:r>
        <w:rPr>
          <w:spacing w:val="-2"/>
        </w:rPr>
        <w:t> </w:t>
      </w:r>
      <w:r>
        <w:rPr/>
        <w:t>athlete.</w:t>
      </w:r>
      <w:r>
        <w:rPr>
          <w:spacing w:val="20"/>
        </w:rPr>
        <w:t> </w:t>
      </w:r>
      <w:r>
        <w:rPr/>
        <w:t>This</w:t>
      </w:r>
      <w:r>
        <w:rPr>
          <w:spacing w:val="-1"/>
        </w:rPr>
        <w:t> </w:t>
      </w:r>
      <w:r>
        <w:rPr/>
        <w:t>is</w:t>
      </w:r>
      <w:r>
        <w:rPr>
          <w:spacing w:val="-2"/>
        </w:rPr>
        <w:t> </w:t>
      </w:r>
      <w:r>
        <w:rPr/>
        <w:t>achieved</w:t>
      </w:r>
      <w:r>
        <w:rPr>
          <w:spacing w:val="-2"/>
        </w:rPr>
        <w:t> </w:t>
      </w:r>
      <w:r>
        <w:rPr/>
        <w:t>by</w:t>
      </w:r>
      <w:r>
        <w:rPr>
          <w:spacing w:val="-1"/>
        </w:rPr>
        <w:t> </w:t>
      </w:r>
      <w:r>
        <w:rPr/>
        <w:t>comparing</w:t>
      </w:r>
      <w:r>
        <w:rPr>
          <w:spacing w:val="-2"/>
        </w:rPr>
        <w:t> </w:t>
      </w:r>
      <w:r>
        <w:rPr/>
        <w:t>the</w:t>
      </w:r>
      <w:r>
        <w:rPr>
          <w:spacing w:val="-1"/>
        </w:rPr>
        <w:t> </w:t>
      </w:r>
      <w:r>
        <w:rPr/>
        <w:t>heart</w:t>
      </w:r>
      <w:r>
        <w:rPr>
          <w:spacing w:val="-1"/>
        </w:rPr>
        <w:t> </w:t>
      </w:r>
      <w:r>
        <w:rPr/>
        <w:t>rate</w:t>
      </w:r>
      <w:r>
        <w:rPr>
          <w:spacing w:val="-2"/>
        </w:rPr>
        <w:t> </w:t>
      </w:r>
      <w:r>
        <w:rPr/>
        <w:t>to</w:t>
      </w:r>
      <w:r>
        <w:rPr>
          <w:spacing w:val="-1"/>
        </w:rPr>
        <w:t> </w:t>
      </w:r>
      <w:r>
        <w:rPr/>
        <w:t>the</w:t>
      </w:r>
      <w:r>
        <w:rPr>
          <w:spacing w:val="-2"/>
        </w:rPr>
        <w:t> </w:t>
      </w:r>
      <w:r>
        <w:rPr/>
        <w:t>workload the athlete has performed.</w:t>
      </w:r>
      <w:r>
        <w:rPr>
          <w:spacing w:val="40"/>
        </w:rPr>
        <w:t> </w:t>
      </w:r>
      <w:r>
        <w:rPr/>
        <w:t>Instrumented mouth guards are mouth guards fitted with ac- celerometers,</w:t>
      </w:r>
      <w:r>
        <w:rPr>
          <w:spacing w:val="-5"/>
        </w:rPr>
        <w:t> </w:t>
      </w:r>
      <w:r>
        <w:rPr/>
        <w:t>which</w:t>
      </w:r>
      <w:r>
        <w:rPr>
          <w:spacing w:val="-5"/>
        </w:rPr>
        <w:t> </w:t>
      </w:r>
      <w:r>
        <w:rPr/>
        <w:t>are</w:t>
      </w:r>
      <w:r>
        <w:rPr>
          <w:spacing w:val="-5"/>
        </w:rPr>
        <w:t> </w:t>
      </w:r>
      <w:r>
        <w:rPr/>
        <w:t>worn</w:t>
      </w:r>
      <w:r>
        <w:rPr>
          <w:spacing w:val="-5"/>
        </w:rPr>
        <w:t> </w:t>
      </w:r>
      <w:r>
        <w:rPr/>
        <w:t>by</w:t>
      </w:r>
      <w:r>
        <w:rPr>
          <w:spacing w:val="-5"/>
        </w:rPr>
        <w:t> </w:t>
      </w:r>
      <w:r>
        <w:rPr/>
        <w:t>players</w:t>
      </w:r>
      <w:r>
        <w:rPr>
          <w:spacing w:val="-5"/>
        </w:rPr>
        <w:t> </w:t>
      </w:r>
      <w:r>
        <w:rPr/>
        <w:t>to</w:t>
      </w:r>
      <w:r>
        <w:rPr>
          <w:spacing w:val="-5"/>
        </w:rPr>
        <w:t> </w:t>
      </w:r>
      <w:r>
        <w:rPr/>
        <w:t>allow</w:t>
      </w:r>
      <w:r>
        <w:rPr>
          <w:spacing w:val="-5"/>
        </w:rPr>
        <w:t> </w:t>
      </w:r>
      <w:r>
        <w:rPr/>
        <w:t>practitioners</w:t>
      </w:r>
      <w:r>
        <w:rPr>
          <w:spacing w:val="-5"/>
        </w:rPr>
        <w:t> </w:t>
      </w:r>
      <w:r>
        <w:rPr/>
        <w:t>to</w:t>
      </w:r>
      <w:r>
        <w:rPr>
          <w:spacing w:val="-5"/>
        </w:rPr>
        <w:t> </w:t>
      </w:r>
      <w:r>
        <w:rPr/>
        <w:t>quantify</w:t>
      </w:r>
      <w:r>
        <w:rPr>
          <w:spacing w:val="-5"/>
        </w:rPr>
        <w:t> </w:t>
      </w:r>
      <w:r>
        <w:rPr/>
        <w:t>the</w:t>
      </w:r>
      <w:r>
        <w:rPr>
          <w:spacing w:val="-5"/>
        </w:rPr>
        <w:t> </w:t>
      </w:r>
      <w:r>
        <w:rPr/>
        <w:t>magnitude of head impacts.</w:t>
      </w:r>
      <w:r>
        <w:rPr>
          <w:spacing w:val="40"/>
        </w:rPr>
        <w:t> </w:t>
      </w:r>
      <w:r>
        <w:rPr/>
        <w:t>With the exception of instrumented mouth guards, which are a recent innovation,</w:t>
      </w:r>
      <w:r>
        <w:rPr>
          <w:spacing w:val="-5"/>
        </w:rPr>
        <w:t> </w:t>
      </w:r>
      <w:r>
        <w:rPr/>
        <w:t>wearable</w:t>
      </w:r>
      <w:r>
        <w:rPr>
          <w:spacing w:val="-6"/>
        </w:rPr>
        <w:t> </w:t>
      </w:r>
      <w:r>
        <w:rPr/>
        <w:t>technologies</w:t>
      </w:r>
      <w:r>
        <w:rPr>
          <w:spacing w:val="-6"/>
        </w:rPr>
        <w:t> </w:t>
      </w:r>
      <w:r>
        <w:rPr/>
        <w:t>have</w:t>
      </w:r>
      <w:r>
        <w:rPr>
          <w:spacing w:val="-6"/>
        </w:rPr>
        <w:t> </w:t>
      </w:r>
      <w:r>
        <w:rPr/>
        <w:t>been</w:t>
      </w:r>
      <w:r>
        <w:rPr>
          <w:spacing w:val="-6"/>
        </w:rPr>
        <w:t> </w:t>
      </w:r>
      <w:r>
        <w:rPr/>
        <w:t>available</w:t>
      </w:r>
      <w:r>
        <w:rPr>
          <w:spacing w:val="-6"/>
        </w:rPr>
        <w:t> </w:t>
      </w:r>
      <w:r>
        <w:rPr/>
        <w:t>to</w:t>
      </w:r>
      <w:r>
        <w:rPr>
          <w:spacing w:val="-6"/>
        </w:rPr>
        <w:t> </w:t>
      </w:r>
      <w:r>
        <w:rPr/>
        <w:t>sports</w:t>
      </w:r>
      <w:r>
        <w:rPr>
          <w:spacing w:val="-6"/>
        </w:rPr>
        <w:t> </w:t>
      </w:r>
      <w:r>
        <w:rPr/>
        <w:t>practitioners</w:t>
      </w:r>
      <w:r>
        <w:rPr>
          <w:spacing w:val="-6"/>
        </w:rPr>
        <w:t> </w:t>
      </w:r>
      <w:r>
        <w:rPr/>
        <w:t>for</w:t>
      </w:r>
      <w:r>
        <w:rPr>
          <w:spacing w:val="-6"/>
        </w:rPr>
        <w:t> </w:t>
      </w:r>
      <w:r>
        <w:rPr/>
        <w:t>approx- imately 20 years.</w:t>
      </w:r>
      <w:r>
        <w:rPr>
          <w:spacing w:val="40"/>
        </w:rPr>
        <w:t> </w:t>
      </w:r>
      <w:r>
        <w:rPr/>
        <w:t>Consequently, there is a widespread body of research understanding the</w:t>
      </w:r>
      <w:r>
        <w:rPr>
          <w:spacing w:val="30"/>
        </w:rPr>
        <w:t> </w:t>
      </w:r>
      <w:r>
        <w:rPr/>
        <w:t>information</w:t>
      </w:r>
      <w:r>
        <w:rPr>
          <w:spacing w:val="30"/>
        </w:rPr>
        <w:t> </w:t>
      </w:r>
      <w:r>
        <w:rPr/>
        <w:t>these</w:t>
      </w:r>
      <w:r>
        <w:rPr>
          <w:spacing w:val="30"/>
        </w:rPr>
        <w:t> </w:t>
      </w:r>
      <w:r>
        <w:rPr/>
        <w:t>technologies</w:t>
      </w:r>
      <w:r>
        <w:rPr>
          <w:spacing w:val="30"/>
        </w:rPr>
        <w:t> </w:t>
      </w:r>
      <w:r>
        <w:rPr/>
        <w:t>can</w:t>
      </w:r>
      <w:r>
        <w:rPr>
          <w:spacing w:val="30"/>
        </w:rPr>
        <w:t> </w:t>
      </w:r>
      <w:r>
        <w:rPr/>
        <w:t>collect</w:t>
      </w:r>
      <w:r>
        <w:rPr>
          <w:spacing w:val="30"/>
        </w:rPr>
        <w:t> </w:t>
      </w:r>
      <w:r>
        <w:rPr/>
        <w:t>and</w:t>
      </w:r>
      <w:r>
        <w:rPr>
          <w:spacing w:val="30"/>
        </w:rPr>
        <w:t> </w:t>
      </w:r>
      <w:r>
        <w:rPr/>
        <w:t>how</w:t>
      </w:r>
      <w:r>
        <w:rPr>
          <w:spacing w:val="30"/>
        </w:rPr>
        <w:t> </w:t>
      </w:r>
      <w:r>
        <w:rPr/>
        <w:t>they</w:t>
      </w:r>
      <w:r>
        <w:rPr>
          <w:spacing w:val="30"/>
        </w:rPr>
        <w:t> </w:t>
      </w:r>
      <w:r>
        <w:rPr/>
        <w:t>can</w:t>
      </w:r>
      <w:r>
        <w:rPr>
          <w:spacing w:val="30"/>
        </w:rPr>
        <w:t> </w:t>
      </w:r>
      <w:r>
        <w:rPr/>
        <w:t>be</w:t>
      </w:r>
      <w:r>
        <w:rPr>
          <w:spacing w:val="30"/>
        </w:rPr>
        <w:t> </w:t>
      </w:r>
      <w:r>
        <w:rPr/>
        <w:t>used</w:t>
      </w:r>
      <w:r>
        <w:rPr>
          <w:spacing w:val="30"/>
        </w:rPr>
        <w:t> </w:t>
      </w:r>
      <w:r>
        <w:rPr/>
        <w:t>to</w:t>
      </w:r>
      <w:r>
        <w:rPr>
          <w:spacing w:val="30"/>
        </w:rPr>
        <w:t> </w:t>
      </w:r>
      <w:r>
        <w:rPr/>
        <w:t>help</w:t>
      </w:r>
      <w:r>
        <w:rPr>
          <w:spacing w:val="30"/>
        </w:rPr>
        <w:t> </w:t>
      </w:r>
      <w:r>
        <w:rPr/>
        <w:t>im- prove training practices.</w:t>
      </w:r>
      <w:r>
        <w:rPr>
          <w:spacing w:val="26"/>
        </w:rPr>
        <w:t> </w:t>
      </w:r>
      <w:r>
        <w:rPr/>
        <w:t>For example, research of this nature has been conducted across multiple sports (</w:t>
      </w:r>
      <w:hyperlink w:history="true" w:anchor="_bookmark311">
        <w:r>
          <w:rPr>
            <w:color w:val="FF0000"/>
          </w:rPr>
          <w:t>Whitehead et al.</w:t>
        </w:r>
      </w:hyperlink>
      <w:r>
        <w:rPr/>
        <w:t>,</w:t>
      </w:r>
      <w:hyperlink w:history="true" w:anchor="_bookmark311">
        <w:r>
          <w:rPr>
            <w:color w:val="FF0000"/>
          </w:rPr>
          <w:t>2018</w:t>
        </w:r>
        <w:r>
          <w:rPr/>
          <w:t>)</w:t>
        </w:r>
      </w:hyperlink>
      <w:r>
        <w:rPr/>
        <w:t> or specific to individual sports such as football (</w:t>
      </w:r>
      <w:hyperlink w:history="true" w:anchor="_bookmark311">
        <w:r>
          <w:rPr>
            <w:color w:val="FF0000"/>
          </w:rPr>
          <w:t>Whitehead et al.</w:t>
        </w:r>
      </w:hyperlink>
      <w:r>
        <w:rPr/>
        <w:t>,</w:t>
      </w:r>
      <w:hyperlink w:history="true" w:anchor="_bookmark311">
        <w:r>
          <w:rPr>
            <w:color w:val="FF0000"/>
          </w:rPr>
          <w:t>2018</w:t>
        </w:r>
      </w:hyperlink>
      <w:r>
        <w:rPr/>
        <w:t>), hockey (</w:t>
      </w:r>
      <w:hyperlink w:history="true" w:anchor="_bookmark247">
        <w:r>
          <w:rPr>
            <w:color w:val="FF0000"/>
          </w:rPr>
          <w:t>Gabbett</w:t>
        </w:r>
        <w:r>
          <w:rPr/>
          <w:t>,</w:t>
        </w:r>
      </w:hyperlink>
      <w:hyperlink w:history="true" w:anchor="_bookmark247">
        <w:r>
          <w:rPr>
            <w:color w:val="FF0000"/>
          </w:rPr>
          <w:t>2010</w:t>
        </w:r>
        <w:r>
          <w:rPr/>
          <w:t>)</w:t>
        </w:r>
      </w:hyperlink>
      <w:r>
        <w:rPr/>
        <w:t> or rugby (</w:t>
      </w:r>
      <w:hyperlink w:history="true" w:anchor="_bookmark238">
        <w:r>
          <w:rPr>
            <w:color w:val="FF0000"/>
          </w:rPr>
          <w:t>Dalton-Barron et al.</w:t>
        </w:r>
        <w:r>
          <w:rPr/>
          <w:t>,</w:t>
        </w:r>
      </w:hyperlink>
      <w:r>
        <w:rPr>
          <w:color w:val="FF0000"/>
        </w:rPr>
        <w:t>2020</w:t>
      </w:r>
      <w:hyperlink w:history="true" w:anchor="_bookmark238">
        <w:r>
          <w:rPr/>
          <w:t>).</w:t>
        </w:r>
      </w:hyperlink>
    </w:p>
    <w:p>
      <w:pPr>
        <w:pStyle w:val="BodyText"/>
        <w:spacing w:line="312" w:lineRule="auto"/>
        <w:ind w:left="610" w:right="389" w:firstLine="351"/>
      </w:pPr>
      <w:r>
        <w:rPr/>
        <w:t>Tactical</w:t>
      </w:r>
      <w:r>
        <w:rPr>
          <w:spacing w:val="-1"/>
        </w:rPr>
        <w:t> </w:t>
      </w:r>
      <w:r>
        <w:rPr/>
        <w:t>data</w:t>
      </w:r>
      <w:r>
        <w:rPr>
          <w:spacing w:val="-1"/>
        </w:rPr>
        <w:t> </w:t>
      </w:r>
      <w:r>
        <w:rPr/>
        <w:t>is</w:t>
      </w:r>
      <w:r>
        <w:rPr>
          <w:spacing w:val="-1"/>
        </w:rPr>
        <w:t> </w:t>
      </w:r>
      <w:r>
        <w:rPr/>
        <w:t>collected</w:t>
      </w:r>
      <w:r>
        <w:rPr>
          <w:spacing w:val="-1"/>
        </w:rPr>
        <w:t> </w:t>
      </w:r>
      <w:r>
        <w:rPr/>
        <w:t>via</w:t>
      </w:r>
      <w:r>
        <w:rPr>
          <w:spacing w:val="-1"/>
        </w:rPr>
        <w:t> </w:t>
      </w:r>
      <w:r>
        <w:rPr/>
        <w:t>event</w:t>
      </w:r>
      <w:r>
        <w:rPr>
          <w:spacing w:val="-1"/>
        </w:rPr>
        <w:t> </w:t>
      </w:r>
      <w:r>
        <w:rPr/>
        <w:t>level</w:t>
      </w:r>
      <w:r>
        <w:rPr>
          <w:spacing w:val="-1"/>
        </w:rPr>
        <w:t> </w:t>
      </w:r>
      <w:r>
        <w:rPr/>
        <w:t>data</w:t>
      </w:r>
      <w:r>
        <w:rPr>
          <w:spacing w:val="-1"/>
        </w:rPr>
        <w:t> </w:t>
      </w:r>
      <w:r>
        <w:rPr/>
        <w:t>annotation</w:t>
      </w:r>
      <w:r>
        <w:rPr>
          <w:spacing w:val="-1"/>
        </w:rPr>
        <w:t> </w:t>
      </w:r>
      <w:r>
        <w:rPr/>
        <w:t>and</w:t>
      </w:r>
      <w:r>
        <w:rPr>
          <w:spacing w:val="-1"/>
        </w:rPr>
        <w:t> </w:t>
      </w:r>
      <w:r>
        <w:rPr/>
        <w:t>is</w:t>
      </w:r>
      <w:r>
        <w:rPr>
          <w:spacing w:val="-1"/>
        </w:rPr>
        <w:t> </w:t>
      </w:r>
      <w:r>
        <w:rPr/>
        <w:t>usually</w:t>
      </w:r>
      <w:r>
        <w:rPr>
          <w:spacing w:val="-1"/>
        </w:rPr>
        <w:t> </w:t>
      </w:r>
      <w:r>
        <w:rPr/>
        <w:t>limited</w:t>
      </w:r>
      <w:r>
        <w:rPr>
          <w:spacing w:val="-1"/>
        </w:rPr>
        <w:t> </w:t>
      </w:r>
      <w:r>
        <w:rPr/>
        <w:t>solely to match play situations.</w:t>
      </w:r>
      <w:r>
        <w:rPr>
          <w:spacing w:val="24"/>
        </w:rPr>
        <w:t> </w:t>
      </w:r>
      <w:r>
        <w:rPr/>
        <w:t>The two key methods of annotating event level data are human annotation and computer vision technologies (</w:t>
      </w:r>
      <w:hyperlink w:history="true" w:anchor="_bookmark279">
        <w:r>
          <w:rPr>
            <w:color w:val="FF0000"/>
          </w:rPr>
          <w:t>Pappalardo et al.</w:t>
        </w:r>
      </w:hyperlink>
      <w:r>
        <w:rPr/>
        <w:t>,</w:t>
      </w:r>
      <w:hyperlink w:history="true" w:anchor="_bookmark279">
        <w:r>
          <w:rPr>
            <w:color w:val="FF0000"/>
          </w:rPr>
          <w:t>2019</w:t>
        </w:r>
        <w:r>
          <w:rPr/>
          <w:t>;</w:t>
        </w:r>
      </w:hyperlink>
      <w:r>
        <w:rPr>
          <w:color w:val="FF0000"/>
        </w:rPr>
        <w:t>V</w:t>
      </w:r>
      <w:hyperlink w:history="true" w:anchor="_bookmark305">
        <w:r>
          <w:rPr>
            <w:color w:val="FF0000"/>
          </w:rPr>
          <w:t>ats et al.</w:t>
        </w:r>
        <w:r>
          <w:rPr/>
          <w:t>,</w:t>
        </w:r>
      </w:hyperlink>
      <w:r>
        <w:rPr>
          <w:color w:val="FF0000"/>
        </w:rPr>
        <w:t>2020</w:t>
      </w:r>
      <w:hyperlink w:history="true" w:anchor="_bookmark305">
        <w:r>
          <w:rPr/>
          <w:t>).</w:t>
        </w:r>
      </w:hyperlink>
      <w:r>
        <w:rPr/>
        <w:t> Human</w:t>
      </w:r>
      <w:r>
        <w:rPr>
          <w:spacing w:val="-15"/>
        </w:rPr>
        <w:t> </w:t>
      </w:r>
      <w:r>
        <w:rPr/>
        <w:t>annotation</w:t>
      </w:r>
      <w:r>
        <w:rPr>
          <w:spacing w:val="-15"/>
        </w:rPr>
        <w:t> </w:t>
      </w:r>
      <w:r>
        <w:rPr/>
        <w:t>involves</w:t>
      </w:r>
      <w:r>
        <w:rPr>
          <w:spacing w:val="-15"/>
        </w:rPr>
        <w:t> </w:t>
      </w:r>
      <w:r>
        <w:rPr/>
        <w:t>a</w:t>
      </w:r>
      <w:r>
        <w:rPr>
          <w:spacing w:val="-15"/>
        </w:rPr>
        <w:t> </w:t>
      </w:r>
      <w:r>
        <w:rPr/>
        <w:t>human</w:t>
      </w:r>
      <w:r>
        <w:rPr>
          <w:spacing w:val="-15"/>
        </w:rPr>
        <w:t> </w:t>
      </w:r>
      <w:r>
        <w:rPr/>
        <w:t>watching</w:t>
      </w:r>
      <w:r>
        <w:rPr>
          <w:spacing w:val="-15"/>
        </w:rPr>
        <w:t> </w:t>
      </w:r>
      <w:r>
        <w:rPr/>
        <w:t>a</w:t>
      </w:r>
      <w:r>
        <w:rPr>
          <w:spacing w:val="-15"/>
        </w:rPr>
        <w:t> </w:t>
      </w:r>
      <w:r>
        <w:rPr/>
        <w:t>video</w:t>
      </w:r>
      <w:r>
        <w:rPr>
          <w:spacing w:val="-15"/>
        </w:rPr>
        <w:t> </w:t>
      </w:r>
      <w:r>
        <w:rPr/>
        <w:t>of</w:t>
      </w:r>
      <w:r>
        <w:rPr>
          <w:spacing w:val="-15"/>
        </w:rPr>
        <w:t> </w:t>
      </w:r>
      <w:r>
        <w:rPr/>
        <w:t>a</w:t>
      </w:r>
      <w:r>
        <w:rPr>
          <w:spacing w:val="-15"/>
        </w:rPr>
        <w:t> </w:t>
      </w:r>
      <w:r>
        <w:rPr/>
        <w:t>match</w:t>
      </w:r>
      <w:r>
        <w:rPr>
          <w:spacing w:val="-15"/>
        </w:rPr>
        <w:t> </w:t>
      </w:r>
      <w:r>
        <w:rPr/>
        <w:t>and</w:t>
      </w:r>
      <w:r>
        <w:rPr>
          <w:spacing w:val="-15"/>
        </w:rPr>
        <w:t> </w:t>
      </w:r>
      <w:r>
        <w:rPr/>
        <w:t>annotating</w:t>
      </w:r>
      <w:r>
        <w:rPr>
          <w:spacing w:val="-15"/>
        </w:rPr>
        <w:t> </w:t>
      </w:r>
      <w:r>
        <w:rPr/>
        <w:t>informa- tion</w:t>
      </w:r>
      <w:r>
        <w:rPr>
          <w:spacing w:val="-7"/>
        </w:rPr>
        <w:t> </w:t>
      </w:r>
      <w:r>
        <w:rPr/>
        <w:t>surrounding</w:t>
      </w:r>
      <w:r>
        <w:rPr>
          <w:spacing w:val="-7"/>
        </w:rPr>
        <w:t> </w:t>
      </w:r>
      <w:r>
        <w:rPr/>
        <w:t>each</w:t>
      </w:r>
      <w:r>
        <w:rPr>
          <w:spacing w:val="-8"/>
        </w:rPr>
        <w:t> </w:t>
      </w:r>
      <w:r>
        <w:rPr/>
        <w:t>event</w:t>
      </w:r>
      <w:r>
        <w:rPr>
          <w:spacing w:val="-7"/>
        </w:rPr>
        <w:t> </w:t>
      </w:r>
      <w:r>
        <w:rPr/>
        <w:t>that</w:t>
      </w:r>
      <w:r>
        <w:rPr>
          <w:spacing w:val="-7"/>
        </w:rPr>
        <w:t> </w:t>
      </w:r>
      <w:r>
        <w:rPr/>
        <w:t>occurs. This</w:t>
      </w:r>
      <w:r>
        <w:rPr>
          <w:spacing w:val="-7"/>
        </w:rPr>
        <w:t> </w:t>
      </w:r>
      <w:r>
        <w:rPr/>
        <w:t>annotation</w:t>
      </w:r>
      <w:r>
        <w:rPr>
          <w:spacing w:val="-7"/>
        </w:rPr>
        <w:t> </w:t>
      </w:r>
      <w:r>
        <w:rPr/>
        <w:t>can</w:t>
      </w:r>
      <w:r>
        <w:rPr>
          <w:spacing w:val="-7"/>
        </w:rPr>
        <w:t> </w:t>
      </w:r>
      <w:r>
        <w:rPr/>
        <w:t>take</w:t>
      </w:r>
      <w:r>
        <w:rPr>
          <w:spacing w:val="-8"/>
        </w:rPr>
        <w:t> </w:t>
      </w:r>
      <w:r>
        <w:rPr/>
        <w:t>place</w:t>
      </w:r>
      <w:r>
        <w:rPr>
          <w:spacing w:val="-7"/>
        </w:rPr>
        <w:t> </w:t>
      </w:r>
      <w:r>
        <w:rPr/>
        <w:t>either</w:t>
      </w:r>
      <w:r>
        <w:rPr>
          <w:spacing w:val="-7"/>
        </w:rPr>
        <w:t> </w:t>
      </w:r>
      <w:r>
        <w:rPr/>
        <w:t>live</w:t>
      </w:r>
      <w:r>
        <w:rPr>
          <w:spacing w:val="-7"/>
        </w:rPr>
        <w:t> </w:t>
      </w:r>
      <w:r>
        <w:rPr/>
        <w:t>(i.e. as the</w:t>
      </w:r>
      <w:r>
        <w:rPr>
          <w:spacing w:val="-5"/>
        </w:rPr>
        <w:t> </w:t>
      </w:r>
      <w:r>
        <w:rPr/>
        <w:t>match</w:t>
      </w:r>
      <w:r>
        <w:rPr>
          <w:spacing w:val="-5"/>
        </w:rPr>
        <w:t> </w:t>
      </w:r>
      <w:r>
        <w:rPr/>
        <w:t>is</w:t>
      </w:r>
      <w:r>
        <w:rPr>
          <w:spacing w:val="-5"/>
        </w:rPr>
        <w:t> </w:t>
      </w:r>
      <w:r>
        <w:rPr/>
        <w:t>happening)</w:t>
      </w:r>
      <w:r>
        <w:rPr>
          <w:spacing w:val="-5"/>
        </w:rPr>
        <w:t> </w:t>
      </w:r>
      <w:r>
        <w:rPr/>
        <w:t>or</w:t>
      </w:r>
      <w:r>
        <w:rPr>
          <w:spacing w:val="-5"/>
        </w:rPr>
        <w:t> </w:t>
      </w:r>
      <w:r>
        <w:rPr/>
        <w:t>retrospectively</w:t>
      </w:r>
      <w:r>
        <w:rPr>
          <w:spacing w:val="-5"/>
        </w:rPr>
        <w:t> </w:t>
      </w:r>
      <w:r>
        <w:rPr/>
        <w:t>(i.e. after</w:t>
      </w:r>
      <w:r>
        <w:rPr>
          <w:spacing w:val="-5"/>
        </w:rPr>
        <w:t> </w:t>
      </w:r>
      <w:r>
        <w:rPr/>
        <w:t>the</w:t>
      </w:r>
      <w:r>
        <w:rPr>
          <w:spacing w:val="-5"/>
        </w:rPr>
        <w:t> </w:t>
      </w:r>
      <w:r>
        <w:rPr/>
        <w:t>match</w:t>
      </w:r>
      <w:r>
        <w:rPr>
          <w:spacing w:val="-5"/>
        </w:rPr>
        <w:t> </w:t>
      </w:r>
      <w:r>
        <w:rPr/>
        <w:t>has</w:t>
      </w:r>
      <w:r>
        <w:rPr>
          <w:spacing w:val="-5"/>
        </w:rPr>
        <w:t> </w:t>
      </w:r>
      <w:r>
        <w:rPr/>
        <w:t>been</w:t>
      </w:r>
      <w:r>
        <w:rPr>
          <w:spacing w:val="-5"/>
        </w:rPr>
        <w:t> </w:t>
      </w:r>
      <w:r>
        <w:rPr/>
        <w:t>completed). The data collected typically contains an estimated location of the event and details regarding the</w:t>
      </w:r>
      <w:r>
        <w:rPr>
          <w:spacing w:val="-14"/>
        </w:rPr>
        <w:t> </w:t>
      </w:r>
      <w:r>
        <w:rPr/>
        <w:t>event</w:t>
      </w:r>
      <w:r>
        <w:rPr>
          <w:spacing w:val="-14"/>
        </w:rPr>
        <w:t> </w:t>
      </w:r>
      <w:r>
        <w:rPr/>
        <w:t>type,</w:t>
      </w:r>
      <w:r>
        <w:rPr>
          <w:spacing w:val="-13"/>
        </w:rPr>
        <w:t> </w:t>
      </w:r>
      <w:r>
        <w:rPr/>
        <w:t>the</w:t>
      </w:r>
      <w:r>
        <w:rPr>
          <w:spacing w:val="-14"/>
        </w:rPr>
        <w:t> </w:t>
      </w:r>
      <w:r>
        <w:rPr/>
        <w:t>player</w:t>
      </w:r>
      <w:r>
        <w:rPr>
          <w:spacing w:val="-14"/>
        </w:rPr>
        <w:t> </w:t>
      </w:r>
      <w:r>
        <w:rPr/>
        <w:t>who</w:t>
      </w:r>
      <w:r>
        <w:rPr>
          <w:spacing w:val="-14"/>
        </w:rPr>
        <w:t> </w:t>
      </w:r>
      <w:r>
        <w:rPr/>
        <w:t>completed</w:t>
      </w:r>
      <w:r>
        <w:rPr>
          <w:spacing w:val="-14"/>
        </w:rPr>
        <w:t> </w:t>
      </w:r>
      <w:r>
        <w:rPr/>
        <w:t>it</w:t>
      </w:r>
      <w:r>
        <w:rPr>
          <w:spacing w:val="-14"/>
        </w:rPr>
        <w:t> </w:t>
      </w:r>
      <w:r>
        <w:rPr/>
        <w:t>and</w:t>
      </w:r>
      <w:r>
        <w:rPr>
          <w:spacing w:val="-14"/>
        </w:rPr>
        <w:t> </w:t>
      </w:r>
      <w:r>
        <w:rPr/>
        <w:t>the</w:t>
      </w:r>
      <w:r>
        <w:rPr>
          <w:spacing w:val="-14"/>
        </w:rPr>
        <w:t> </w:t>
      </w:r>
      <w:r>
        <w:rPr/>
        <w:t>event</w:t>
      </w:r>
      <w:r>
        <w:rPr>
          <w:spacing w:val="-14"/>
        </w:rPr>
        <w:t> </w:t>
      </w:r>
      <w:r>
        <w:rPr/>
        <w:t>outcome. Computer</w:t>
      </w:r>
      <w:r>
        <w:rPr>
          <w:spacing w:val="-14"/>
        </w:rPr>
        <w:t> </w:t>
      </w:r>
      <w:r>
        <w:rPr/>
        <w:t>vision</w:t>
      </w:r>
      <w:r>
        <w:rPr>
          <w:spacing w:val="-14"/>
        </w:rPr>
        <w:t> </w:t>
      </w:r>
      <w:r>
        <w:rPr/>
        <w:t>tech- nologies</w:t>
      </w:r>
      <w:r>
        <w:rPr>
          <w:spacing w:val="-11"/>
        </w:rPr>
        <w:t> </w:t>
      </w:r>
      <w:r>
        <w:rPr/>
        <w:t>have</w:t>
      </w:r>
      <w:r>
        <w:rPr>
          <w:spacing w:val="-11"/>
        </w:rPr>
        <w:t> </w:t>
      </w:r>
      <w:r>
        <w:rPr/>
        <w:t>recently</w:t>
      </w:r>
      <w:r>
        <w:rPr>
          <w:spacing w:val="-11"/>
        </w:rPr>
        <w:t> </w:t>
      </w:r>
      <w:r>
        <w:rPr/>
        <w:t>been</w:t>
      </w:r>
      <w:r>
        <w:rPr>
          <w:spacing w:val="-11"/>
        </w:rPr>
        <w:t> </w:t>
      </w:r>
      <w:r>
        <w:rPr/>
        <w:t>employed</w:t>
      </w:r>
      <w:r>
        <w:rPr>
          <w:spacing w:val="-11"/>
        </w:rPr>
        <w:t> </w:t>
      </w:r>
      <w:r>
        <w:rPr/>
        <w:t>in</w:t>
      </w:r>
      <w:r>
        <w:rPr>
          <w:spacing w:val="-11"/>
        </w:rPr>
        <w:t> </w:t>
      </w:r>
      <w:r>
        <w:rPr/>
        <w:t>some</w:t>
      </w:r>
      <w:r>
        <w:rPr>
          <w:spacing w:val="-11"/>
        </w:rPr>
        <w:t> </w:t>
      </w:r>
      <w:r>
        <w:rPr/>
        <w:t>early</w:t>
      </w:r>
      <w:r>
        <w:rPr>
          <w:spacing w:val="-11"/>
        </w:rPr>
        <w:t> </w:t>
      </w:r>
      <w:r>
        <w:rPr/>
        <w:t>adopting</w:t>
      </w:r>
      <w:r>
        <w:rPr>
          <w:spacing w:val="-11"/>
        </w:rPr>
        <w:t> </w:t>
      </w:r>
      <w:r>
        <w:rPr/>
        <w:t>sports</w:t>
      </w:r>
      <w:r>
        <w:rPr>
          <w:spacing w:val="-11"/>
        </w:rPr>
        <w:t> </w:t>
      </w:r>
      <w:r>
        <w:rPr/>
        <w:t>to</w:t>
      </w:r>
      <w:r>
        <w:rPr>
          <w:spacing w:val="-11"/>
        </w:rPr>
        <w:t> </w:t>
      </w:r>
      <w:r>
        <w:rPr/>
        <w:t>enhance</w:t>
      </w:r>
      <w:r>
        <w:rPr>
          <w:spacing w:val="-11"/>
        </w:rPr>
        <w:t> </w:t>
      </w:r>
      <w:r>
        <w:rPr/>
        <w:t>the</w:t>
      </w:r>
      <w:r>
        <w:rPr>
          <w:spacing w:val="-11"/>
        </w:rPr>
        <w:t> </w:t>
      </w:r>
      <w:r>
        <w:rPr/>
        <w:t>detail of</w:t>
      </w:r>
      <w:r>
        <w:rPr>
          <w:spacing w:val="-15"/>
        </w:rPr>
        <w:t> </w:t>
      </w:r>
      <w:r>
        <w:rPr/>
        <w:t>event</w:t>
      </w:r>
      <w:r>
        <w:rPr>
          <w:spacing w:val="-15"/>
        </w:rPr>
        <w:t> </w:t>
      </w:r>
      <w:r>
        <w:rPr/>
        <w:t>level</w:t>
      </w:r>
      <w:r>
        <w:rPr>
          <w:spacing w:val="-15"/>
        </w:rPr>
        <w:t> </w:t>
      </w:r>
      <w:r>
        <w:rPr/>
        <w:t>data</w:t>
      </w:r>
      <w:r>
        <w:rPr>
          <w:spacing w:val="-15"/>
        </w:rPr>
        <w:t> </w:t>
      </w:r>
      <w:r>
        <w:rPr/>
        <w:t>annotation.</w:t>
      </w:r>
      <w:r>
        <w:rPr>
          <w:spacing w:val="2"/>
        </w:rPr>
        <w:t> </w:t>
      </w:r>
      <w:r>
        <w:rPr/>
        <w:t>For</w:t>
      </w:r>
      <w:r>
        <w:rPr>
          <w:spacing w:val="-15"/>
        </w:rPr>
        <w:t> </w:t>
      </w:r>
      <w:r>
        <w:rPr/>
        <w:t>example,</w:t>
      </w:r>
      <w:r>
        <w:rPr>
          <w:spacing w:val="-14"/>
        </w:rPr>
        <w:t> </w:t>
      </w:r>
      <w:r>
        <w:rPr/>
        <w:t>in</w:t>
      </w:r>
      <w:r>
        <w:rPr>
          <w:spacing w:val="-15"/>
        </w:rPr>
        <w:t> </w:t>
      </w:r>
      <w:r>
        <w:rPr/>
        <w:t>basketball,</w:t>
      </w:r>
      <w:r>
        <w:rPr>
          <w:spacing w:val="-14"/>
        </w:rPr>
        <w:t> </w:t>
      </w:r>
      <w:r>
        <w:rPr/>
        <w:t>it</w:t>
      </w:r>
      <w:r>
        <w:rPr>
          <w:spacing w:val="-15"/>
        </w:rPr>
        <w:t> </w:t>
      </w:r>
      <w:r>
        <w:rPr/>
        <w:t>is</w:t>
      </w:r>
      <w:r>
        <w:rPr>
          <w:spacing w:val="-15"/>
        </w:rPr>
        <w:t> </w:t>
      </w:r>
      <w:r>
        <w:rPr/>
        <w:t>now</w:t>
      </w:r>
      <w:r>
        <w:rPr>
          <w:spacing w:val="-15"/>
        </w:rPr>
        <w:t> </w:t>
      </w:r>
      <w:r>
        <w:rPr/>
        <w:t>possible</w:t>
      </w:r>
      <w:r>
        <w:rPr>
          <w:spacing w:val="-15"/>
        </w:rPr>
        <w:t> </w:t>
      </w:r>
      <w:r>
        <w:rPr/>
        <w:t>to</w:t>
      </w:r>
      <w:r>
        <w:rPr>
          <w:spacing w:val="-15"/>
        </w:rPr>
        <w:t> </w:t>
      </w:r>
      <w:r>
        <w:rPr/>
        <w:t>understand the location of every player on the court using multiple cameras located around the sta- dium perimeter (</w:t>
      </w:r>
      <w:hyperlink w:history="true" w:anchor="_bookmark224">
        <w:r>
          <w:rPr>
            <w:color w:val="FF0000"/>
          </w:rPr>
          <w:t>Barker</w:t>
        </w:r>
      </w:hyperlink>
      <w:r>
        <w:rPr/>
        <w:t>,</w:t>
      </w:r>
      <w:hyperlink w:history="true" w:anchor="_bookmark224">
        <w:r>
          <w:rPr>
            <w:color w:val="FF0000"/>
          </w:rPr>
          <w:t>2016</w:t>
        </w:r>
      </w:hyperlink>
      <w:r>
        <w:rPr/>
        <w:t>).</w:t>
      </w:r>
      <w:r>
        <w:rPr>
          <w:spacing w:val="37"/>
        </w:rPr>
        <w:t> </w:t>
      </w:r>
      <w:r>
        <w:rPr/>
        <w:t>Similarly, in football, it is possible to know the location of</w:t>
      </w:r>
      <w:r>
        <w:rPr>
          <w:spacing w:val="-10"/>
        </w:rPr>
        <w:t> </w:t>
      </w:r>
      <w:r>
        <w:rPr/>
        <w:t>every</w:t>
      </w:r>
      <w:r>
        <w:rPr>
          <w:spacing w:val="-10"/>
        </w:rPr>
        <w:t> </w:t>
      </w:r>
      <w:r>
        <w:rPr/>
        <w:t>player</w:t>
      </w:r>
      <w:r>
        <w:rPr>
          <w:spacing w:val="-10"/>
        </w:rPr>
        <w:t> </w:t>
      </w:r>
      <w:r>
        <w:rPr/>
        <w:t>in</w:t>
      </w:r>
      <w:r>
        <w:rPr>
          <w:spacing w:val="-10"/>
        </w:rPr>
        <w:t> </w:t>
      </w:r>
      <w:r>
        <w:rPr/>
        <w:t>the</w:t>
      </w:r>
      <w:r>
        <w:rPr>
          <w:spacing w:val="-10"/>
        </w:rPr>
        <w:t> </w:t>
      </w:r>
      <w:r>
        <w:rPr/>
        <w:t>same</w:t>
      </w:r>
      <w:r>
        <w:rPr>
          <w:spacing w:val="-10"/>
        </w:rPr>
        <w:t> </w:t>
      </w:r>
      <w:r>
        <w:rPr/>
        <w:t>television</w:t>
      </w:r>
      <w:r>
        <w:rPr>
          <w:spacing w:val="-10"/>
        </w:rPr>
        <w:t> </w:t>
      </w:r>
      <w:r>
        <w:rPr/>
        <w:t>frame</w:t>
      </w:r>
      <w:r>
        <w:rPr>
          <w:spacing w:val="-10"/>
        </w:rPr>
        <w:t> </w:t>
      </w:r>
      <w:r>
        <w:rPr/>
        <w:t>as</w:t>
      </w:r>
      <w:r>
        <w:rPr>
          <w:spacing w:val="-10"/>
        </w:rPr>
        <w:t> </w:t>
      </w:r>
      <w:r>
        <w:rPr/>
        <w:t>an</w:t>
      </w:r>
      <w:r>
        <w:rPr>
          <w:spacing w:val="-10"/>
        </w:rPr>
        <w:t> </w:t>
      </w:r>
      <w:r>
        <w:rPr/>
        <w:t>action</w:t>
      </w:r>
      <w:r>
        <w:rPr>
          <w:spacing w:val="-10"/>
        </w:rPr>
        <w:t> </w:t>
      </w:r>
      <w:r>
        <w:rPr/>
        <w:t>being</w:t>
      </w:r>
      <w:r>
        <w:rPr>
          <w:spacing w:val="-10"/>
        </w:rPr>
        <w:t> </w:t>
      </w:r>
      <w:r>
        <w:rPr/>
        <w:t>performed</w:t>
      </w:r>
      <w:r>
        <w:rPr>
          <w:spacing w:val="-10"/>
        </w:rPr>
        <w:t> </w:t>
      </w:r>
      <w:r>
        <w:rPr/>
        <w:t>if</w:t>
      </w:r>
      <w:r>
        <w:rPr>
          <w:spacing w:val="-10"/>
        </w:rPr>
        <w:t> </w:t>
      </w:r>
      <w:r>
        <w:rPr/>
        <w:t>the</w:t>
      </w:r>
      <w:r>
        <w:rPr>
          <w:spacing w:val="-10"/>
        </w:rPr>
        <w:t> </w:t>
      </w:r>
      <w:r>
        <w:rPr/>
        <w:t>television feed is available (</w:t>
      </w:r>
      <w:hyperlink w:history="true" w:anchor="_bookmark299">
        <w:r>
          <w:rPr>
            <w:color w:val="FF0000"/>
          </w:rPr>
          <w:t>StatsBomb</w:t>
        </w:r>
      </w:hyperlink>
      <w:r>
        <w:rPr/>
        <w:t>,</w:t>
      </w:r>
      <w:hyperlink w:history="true" w:anchor="_bookmark299">
        <w:r>
          <w:rPr>
            <w:color w:val="FF0000"/>
          </w:rPr>
          <w:t>2022</w:t>
        </w:r>
      </w:hyperlink>
      <w:r>
        <w:rPr/>
        <w:t>).</w:t>
      </w:r>
      <w:r>
        <w:rPr>
          <w:spacing w:val="30"/>
        </w:rPr>
        <w:t> </w:t>
      </w:r>
      <w:r>
        <w:rPr/>
        <w:t>The same computer vision technology allows play- ers to be tracked and provides a method through which their locations can be collected for tactical analyses.</w:t>
      </w:r>
      <w:r>
        <w:rPr>
          <w:spacing w:val="40"/>
        </w:rPr>
        <w:t> </w:t>
      </w:r>
      <w:r>
        <w:rPr/>
        <w:t>Such information is extremely valuable as GPS units cannot esti- mate</w:t>
      </w:r>
      <w:r>
        <w:rPr>
          <w:spacing w:val="3"/>
        </w:rPr>
        <w:t> </w:t>
      </w:r>
      <w:r>
        <w:rPr/>
        <w:t>a</w:t>
      </w:r>
      <w:r>
        <w:rPr>
          <w:spacing w:val="4"/>
        </w:rPr>
        <w:t> </w:t>
      </w:r>
      <w:r>
        <w:rPr/>
        <w:t>player’s</w:t>
      </w:r>
      <w:r>
        <w:rPr>
          <w:spacing w:val="4"/>
        </w:rPr>
        <w:t> </w:t>
      </w:r>
      <w:r>
        <w:rPr/>
        <w:t>location</w:t>
      </w:r>
      <w:r>
        <w:rPr>
          <w:spacing w:val="4"/>
        </w:rPr>
        <w:t> </w:t>
      </w:r>
      <w:r>
        <w:rPr/>
        <w:t>accurately</w:t>
      </w:r>
      <w:r>
        <w:rPr>
          <w:spacing w:val="3"/>
        </w:rPr>
        <w:t> </w:t>
      </w:r>
      <w:r>
        <w:rPr/>
        <w:t>enough</w:t>
      </w:r>
      <w:r>
        <w:rPr>
          <w:spacing w:val="4"/>
        </w:rPr>
        <w:t> </w:t>
      </w:r>
      <w:r>
        <w:rPr/>
        <w:t>to</w:t>
      </w:r>
      <w:r>
        <w:rPr>
          <w:spacing w:val="4"/>
        </w:rPr>
        <w:t> </w:t>
      </w:r>
      <w:r>
        <w:rPr/>
        <w:t>be</w:t>
      </w:r>
      <w:r>
        <w:rPr>
          <w:spacing w:val="4"/>
        </w:rPr>
        <w:t> </w:t>
      </w:r>
      <w:r>
        <w:rPr/>
        <w:t>used</w:t>
      </w:r>
      <w:r>
        <w:rPr>
          <w:spacing w:val="5"/>
        </w:rPr>
        <w:t> </w:t>
      </w:r>
      <w:r>
        <w:rPr/>
        <w:t>for</w:t>
      </w:r>
      <w:r>
        <w:rPr>
          <w:spacing w:val="4"/>
        </w:rPr>
        <w:t> </w:t>
      </w:r>
      <w:r>
        <w:rPr/>
        <w:t>any</w:t>
      </w:r>
      <w:r>
        <w:rPr>
          <w:spacing w:val="4"/>
        </w:rPr>
        <w:t> </w:t>
      </w:r>
      <w:r>
        <w:rPr/>
        <w:t>spatial</w:t>
      </w:r>
      <w:r>
        <w:rPr>
          <w:spacing w:val="3"/>
        </w:rPr>
        <w:t> </w:t>
      </w:r>
      <w:r>
        <w:rPr/>
        <w:t>data</w:t>
      </w:r>
      <w:r>
        <w:rPr>
          <w:spacing w:val="4"/>
        </w:rPr>
        <w:t> </w:t>
      </w:r>
      <w:r>
        <w:rPr/>
        <w:t>based</w:t>
      </w:r>
      <w:r>
        <w:rPr>
          <w:spacing w:val="4"/>
        </w:rPr>
        <w:t> </w:t>
      </w:r>
      <w:r>
        <w:rPr>
          <w:spacing w:val="-2"/>
        </w:rPr>
        <w:t>tactical</w:t>
      </w:r>
    </w:p>
    <w:p>
      <w:pPr>
        <w:spacing w:after="0" w:line="312" w:lineRule="auto"/>
        <w:sectPr>
          <w:headerReference w:type="default" r:id="rId31"/>
          <w:footerReference w:type="default" r:id="rId32"/>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pPr>
      <w:r>
        <w:rPr/>
        <w:t>analyses.</w:t>
      </w:r>
      <w:r>
        <w:rPr>
          <w:spacing w:val="40"/>
        </w:rPr>
        <w:t> </w:t>
      </w:r>
      <w:r>
        <w:rPr/>
        <w:t>Unlike wearable technologies, the availability of high quality event level data is much more varied between sports.</w:t>
      </w:r>
      <w:r>
        <w:rPr>
          <w:spacing w:val="40"/>
        </w:rPr>
        <w:t> </w:t>
      </w:r>
      <w:r>
        <w:rPr/>
        <w:t>In those sports where computer vision technolo-</w:t>
      </w:r>
      <w:r>
        <w:rPr>
          <w:spacing w:val="40"/>
        </w:rPr>
        <w:t> </w:t>
      </w:r>
      <w:r>
        <w:rPr/>
        <w:t>gies have been employed, there is excellent data availability in the quality and </w:t>
      </w:r>
      <w:r>
        <w:rPr/>
        <w:t>quantity required</w:t>
      </w:r>
      <w:r>
        <w:rPr>
          <w:spacing w:val="-12"/>
        </w:rPr>
        <w:t> </w:t>
      </w:r>
      <w:r>
        <w:rPr/>
        <w:t>to</w:t>
      </w:r>
      <w:r>
        <w:rPr>
          <w:spacing w:val="-12"/>
        </w:rPr>
        <w:t> </w:t>
      </w:r>
      <w:r>
        <w:rPr/>
        <w:t>perform</w:t>
      </w:r>
      <w:r>
        <w:rPr>
          <w:spacing w:val="-12"/>
        </w:rPr>
        <w:t> </w:t>
      </w:r>
      <w:r>
        <w:rPr/>
        <w:t>advanced</w:t>
      </w:r>
      <w:r>
        <w:rPr>
          <w:spacing w:val="-12"/>
        </w:rPr>
        <w:t> </w:t>
      </w:r>
      <w:r>
        <w:rPr/>
        <w:t>modelling</w:t>
      </w:r>
      <w:r>
        <w:rPr>
          <w:spacing w:val="-12"/>
        </w:rPr>
        <w:t> </w:t>
      </w:r>
      <w:r>
        <w:rPr/>
        <w:t>techniques</w:t>
      </w:r>
      <w:r>
        <w:rPr>
          <w:spacing w:val="-12"/>
        </w:rPr>
        <w:t> </w:t>
      </w:r>
      <w:r>
        <w:rPr/>
        <w:t>such</w:t>
      </w:r>
      <w:r>
        <w:rPr>
          <w:spacing w:val="-12"/>
        </w:rPr>
        <w:t> </w:t>
      </w:r>
      <w:r>
        <w:rPr/>
        <w:t>as</w:t>
      </w:r>
      <w:r>
        <w:rPr>
          <w:spacing w:val="-12"/>
        </w:rPr>
        <w:t> </w:t>
      </w:r>
      <w:r>
        <w:rPr/>
        <w:t>deep</w:t>
      </w:r>
      <w:r>
        <w:rPr>
          <w:spacing w:val="-12"/>
        </w:rPr>
        <w:t> </w:t>
      </w:r>
      <w:r>
        <w:rPr/>
        <w:t>learning</w:t>
      </w:r>
      <w:r>
        <w:rPr>
          <w:spacing w:val="-12"/>
        </w:rPr>
        <w:t> </w:t>
      </w:r>
      <w:r>
        <w:rPr/>
        <w:t>(</w:t>
      </w:r>
      <w:hyperlink w:history="true" w:anchor="_bookmark239">
        <w:r>
          <w:rPr>
            <w:color w:val="FF0000"/>
          </w:rPr>
          <w:t>Decroos</w:t>
        </w:r>
        <w:r>
          <w:rPr>
            <w:color w:val="FF0000"/>
            <w:spacing w:val="-12"/>
          </w:rPr>
          <w:t> </w:t>
        </w:r>
        <w:r>
          <w:rPr>
            <w:color w:val="FF0000"/>
          </w:rPr>
          <w:t>et</w:t>
        </w:r>
        <w:r>
          <w:rPr>
            <w:color w:val="FF0000"/>
            <w:spacing w:val="-12"/>
          </w:rPr>
          <w:t> </w:t>
        </w:r>
        <w:r>
          <w:rPr>
            <w:color w:val="FF0000"/>
          </w:rPr>
          <w:t>al.</w:t>
        </w:r>
      </w:hyperlink>
      <w:r>
        <w:rPr/>
        <w:t>, </w:t>
      </w:r>
      <w:hyperlink w:history="true" w:anchor="_bookmark239">
        <w:r>
          <w:rPr>
            <w:color w:val="FF0000"/>
          </w:rPr>
          <w:t>2019</w:t>
        </w:r>
      </w:hyperlink>
      <w:r>
        <w:rPr/>
        <w:t>;</w:t>
      </w:r>
      <w:hyperlink w:history="true" w:anchor="_bookmark243">
        <w:r>
          <w:rPr>
            <w:color w:val="FF0000"/>
          </w:rPr>
          <w:t>Fern </w:t>
        </w:r>
        <w:r>
          <w:rPr>
            <w:color w:val="FF0000"/>
            <w:spacing w:val="-80"/>
          </w:rPr>
          <w:t>a</w:t>
        </w:r>
        <w:r>
          <w:rPr>
            <w:color w:val="FF0000"/>
            <w:spacing w:val="26"/>
          </w:rPr>
          <w:t>´</w:t>
        </w:r>
        <w:r>
          <w:rPr>
            <w:color w:val="FF0000"/>
            <w:spacing w:val="13"/>
          </w:rPr>
          <w:t>ndez</w:t>
        </w:r>
        <w:r>
          <w:rPr>
            <w:color w:val="FF0000"/>
            <w:spacing w:val="-1"/>
          </w:rPr>
          <w:t> </w:t>
        </w:r>
        <w:r>
          <w:rPr>
            <w:color w:val="FF0000"/>
          </w:rPr>
          <w:t>et al.</w:t>
        </w:r>
      </w:hyperlink>
      <w:r>
        <w:rPr/>
        <w:t>,</w:t>
      </w:r>
      <w:hyperlink w:history="true" w:anchor="_bookmark243">
        <w:r>
          <w:rPr>
            <w:color w:val="FF0000"/>
          </w:rPr>
          <w:t>2021</w:t>
        </w:r>
        <w:r>
          <w:rPr/>
          <w:t>)</w:t>
        </w:r>
      </w:hyperlink>
      <w:r>
        <w:rPr/>
        <w:t> or deep reinforcement learning (</w:t>
      </w:r>
      <w:hyperlink w:history="true" w:anchor="_bookmark270">
        <w:r>
          <w:rPr>
            <w:color w:val="FF0000"/>
          </w:rPr>
          <w:t>Liu and Schulte</w:t>
        </w:r>
        <w:r>
          <w:rPr/>
          <w:t>,</w:t>
        </w:r>
      </w:hyperlink>
      <w:r>
        <w:rPr>
          <w:color w:val="FF0000"/>
        </w:rPr>
        <w:t>2018</w:t>
      </w:r>
      <w:hyperlink w:history="true" w:anchor="_bookmark270">
        <w:r>
          <w:rPr/>
          <w:t>;</w:t>
        </w:r>
      </w:hyperlink>
      <w:r>
        <w:rPr/>
        <w:t> </w:t>
      </w:r>
      <w:hyperlink w:history="true" w:anchor="_bookmark287">
        <w:r>
          <w:rPr>
            <w:color w:val="FF0000"/>
          </w:rPr>
          <w:t>Routley and Schulte</w:t>
        </w:r>
      </w:hyperlink>
      <w:r>
        <w:rPr/>
        <w:t>,</w:t>
      </w:r>
      <w:hyperlink w:history="true" w:anchor="_bookmark287">
        <w:r>
          <w:rPr>
            <w:color w:val="FF0000"/>
          </w:rPr>
          <w:t>2015</w:t>
        </w:r>
      </w:hyperlink>
      <w:r>
        <w:rPr/>
        <w:t>).</w:t>
      </w:r>
      <w:r>
        <w:rPr>
          <w:spacing w:val="40"/>
        </w:rPr>
        <w:t> </w:t>
      </w:r>
      <w:r>
        <w:rPr/>
        <w:t>In these sports where there is high data availability, some lower quality data has been made publicly available (</w:t>
      </w:r>
      <w:hyperlink w:history="true" w:anchor="_bookmark279">
        <w:r>
          <w:rPr>
            <w:color w:val="FF0000"/>
          </w:rPr>
          <w:t>Pappalardo et al.</w:t>
        </w:r>
      </w:hyperlink>
      <w:r>
        <w:rPr/>
        <w:t>,</w:t>
      </w:r>
      <w:hyperlink w:history="true" w:anchor="_bookmark279">
        <w:r>
          <w:rPr>
            <w:color w:val="FF0000"/>
          </w:rPr>
          <w:t>2019</w:t>
        </w:r>
      </w:hyperlink>
      <w:r>
        <w:rPr/>
        <w:t>), which has likely</w:t>
      </w:r>
      <w:r>
        <w:rPr>
          <w:spacing w:val="-15"/>
        </w:rPr>
        <w:t> </w:t>
      </w:r>
      <w:r>
        <w:rPr/>
        <w:t>increased</w:t>
      </w:r>
      <w:r>
        <w:rPr>
          <w:spacing w:val="-15"/>
        </w:rPr>
        <w:t> </w:t>
      </w:r>
      <w:r>
        <w:rPr/>
        <w:t>researchers’</w:t>
      </w:r>
      <w:r>
        <w:rPr>
          <w:spacing w:val="-15"/>
        </w:rPr>
        <w:t> </w:t>
      </w:r>
      <w:r>
        <w:rPr/>
        <w:t>interest</w:t>
      </w:r>
      <w:r>
        <w:rPr>
          <w:spacing w:val="-15"/>
        </w:rPr>
        <w:t> </w:t>
      </w:r>
      <w:r>
        <w:rPr/>
        <w:t>and</w:t>
      </w:r>
      <w:r>
        <w:rPr>
          <w:spacing w:val="-15"/>
        </w:rPr>
        <w:t> </w:t>
      </w:r>
      <w:r>
        <w:rPr/>
        <w:t>boosted</w:t>
      </w:r>
      <w:r>
        <w:rPr>
          <w:spacing w:val="-15"/>
        </w:rPr>
        <w:t> </w:t>
      </w:r>
      <w:r>
        <w:rPr/>
        <w:t>research</w:t>
      </w:r>
      <w:r>
        <w:rPr>
          <w:spacing w:val="-15"/>
        </w:rPr>
        <w:t> </w:t>
      </w:r>
      <w:r>
        <w:rPr/>
        <w:t>in</w:t>
      </w:r>
      <w:r>
        <w:rPr>
          <w:spacing w:val="-15"/>
        </w:rPr>
        <w:t> </w:t>
      </w:r>
      <w:r>
        <w:rPr/>
        <w:t>the</w:t>
      </w:r>
      <w:r>
        <w:rPr>
          <w:spacing w:val="-15"/>
        </w:rPr>
        <w:t> </w:t>
      </w:r>
      <w:r>
        <w:rPr/>
        <w:t>sport.</w:t>
      </w:r>
      <w:r>
        <w:rPr>
          <w:spacing w:val="-14"/>
        </w:rPr>
        <w:t> </w:t>
      </w:r>
      <w:r>
        <w:rPr/>
        <w:t>However,</w:t>
      </w:r>
      <w:r>
        <w:rPr>
          <w:spacing w:val="-15"/>
        </w:rPr>
        <w:t> </w:t>
      </w:r>
      <w:r>
        <w:rPr/>
        <w:t>in</w:t>
      </w:r>
      <w:r>
        <w:rPr>
          <w:spacing w:val="-15"/>
        </w:rPr>
        <w:t> </w:t>
      </w:r>
      <w:r>
        <w:rPr/>
        <w:t>sports where event level data is limited to human annotation, the data availability is consider- ably</w:t>
      </w:r>
      <w:r>
        <w:rPr>
          <w:spacing w:val="-3"/>
        </w:rPr>
        <w:t> </w:t>
      </w:r>
      <w:r>
        <w:rPr/>
        <w:t>reduced</w:t>
      </w:r>
      <w:r>
        <w:rPr>
          <w:spacing w:val="-3"/>
        </w:rPr>
        <w:t> </w:t>
      </w:r>
      <w:r>
        <w:rPr/>
        <w:t>and</w:t>
      </w:r>
      <w:r>
        <w:rPr>
          <w:spacing w:val="-3"/>
        </w:rPr>
        <w:t> </w:t>
      </w:r>
      <w:r>
        <w:rPr/>
        <w:t>the</w:t>
      </w:r>
      <w:r>
        <w:rPr>
          <w:spacing w:val="-3"/>
        </w:rPr>
        <w:t> </w:t>
      </w:r>
      <w:r>
        <w:rPr/>
        <w:t>analyses</w:t>
      </w:r>
      <w:r>
        <w:rPr>
          <w:spacing w:val="-3"/>
        </w:rPr>
        <w:t> </w:t>
      </w:r>
      <w:r>
        <w:rPr/>
        <w:t>conducted</w:t>
      </w:r>
      <w:r>
        <w:rPr>
          <w:spacing w:val="-3"/>
        </w:rPr>
        <w:t> </w:t>
      </w:r>
      <w:r>
        <w:rPr/>
        <w:t>are</w:t>
      </w:r>
      <w:r>
        <w:rPr>
          <w:spacing w:val="-3"/>
        </w:rPr>
        <w:t> </w:t>
      </w:r>
      <w:r>
        <w:rPr/>
        <w:t>much</w:t>
      </w:r>
      <w:r>
        <w:rPr>
          <w:spacing w:val="-3"/>
        </w:rPr>
        <w:t> </w:t>
      </w:r>
      <w:r>
        <w:rPr/>
        <w:t>more</w:t>
      </w:r>
      <w:r>
        <w:rPr>
          <w:spacing w:val="-3"/>
        </w:rPr>
        <w:t> </w:t>
      </w:r>
      <w:r>
        <w:rPr/>
        <w:t>limited</w:t>
      </w:r>
      <w:r>
        <w:rPr>
          <w:spacing w:val="-3"/>
        </w:rPr>
        <w:t> </w:t>
      </w:r>
      <w:r>
        <w:rPr/>
        <w:t>(</w:t>
      </w:r>
      <w:hyperlink w:history="true" w:anchor="_bookmark236">
        <w:r>
          <w:rPr>
            <w:color w:val="FF0000"/>
          </w:rPr>
          <w:t>Croft</w:t>
        </w:r>
        <w:r>
          <w:rPr>
            <w:color w:val="FF0000"/>
            <w:spacing w:val="-3"/>
          </w:rPr>
          <w:t> </w:t>
        </w:r>
        <w:r>
          <w:rPr>
            <w:color w:val="FF0000"/>
          </w:rPr>
          <w:t>et</w:t>
        </w:r>
        <w:r>
          <w:rPr>
            <w:color w:val="FF0000"/>
            <w:spacing w:val="-3"/>
          </w:rPr>
          <w:t> </w:t>
        </w:r>
        <w:r>
          <w:rPr>
            <w:color w:val="FF0000"/>
          </w:rPr>
          <w:t>al.</w:t>
        </w:r>
      </w:hyperlink>
      <w:r>
        <w:rPr/>
        <w:t>,</w:t>
      </w:r>
      <w:hyperlink w:history="true" w:anchor="_bookmark236">
        <w:r>
          <w:rPr>
            <w:color w:val="FF0000"/>
          </w:rPr>
          <w:t>2017</w:t>
        </w:r>
        <w:r>
          <w:rPr/>
          <w:t>;</w:t>
        </w:r>
      </w:hyperlink>
      <w:hyperlink w:history="true" w:anchor="_bookmark259">
        <w:r>
          <w:rPr>
            <w:color w:val="FF0000"/>
          </w:rPr>
          <w:t>Irvine</w:t>
        </w:r>
      </w:hyperlink>
      <w:r>
        <w:rPr>
          <w:color w:val="FF0000"/>
        </w:rPr>
        <w:t> </w:t>
      </w:r>
      <w:hyperlink w:history="true" w:anchor="_bookmark259">
        <w:r>
          <w:rPr>
            <w:color w:val="FF0000"/>
          </w:rPr>
          <w:t>and Kennedy</w:t>
        </w:r>
      </w:hyperlink>
      <w:r>
        <w:rPr/>
        <w:t>,</w:t>
      </w:r>
      <w:hyperlink w:history="true" w:anchor="_bookmark259">
        <w:r>
          <w:rPr>
            <w:color w:val="FF0000"/>
          </w:rPr>
          <w:t>2017</w:t>
        </w:r>
        <w:r>
          <w:rPr/>
          <w:t>;</w:t>
        </w:r>
      </w:hyperlink>
      <w:r>
        <w:rPr>
          <w:color w:val="FF0000"/>
        </w:rPr>
        <w:t>P</w:t>
      </w:r>
      <w:hyperlink w:history="true" w:anchor="_bookmark281">
        <w:r>
          <w:rPr>
            <w:color w:val="FF0000"/>
          </w:rPr>
          <w:t>armar et al.</w:t>
        </w:r>
        <w:r>
          <w:rPr/>
          <w:t>,</w:t>
        </w:r>
      </w:hyperlink>
      <w:r>
        <w:rPr>
          <w:color w:val="FF0000"/>
        </w:rPr>
        <w:t>2018</w:t>
      </w:r>
      <w:hyperlink w:history="true" w:anchor="_bookmark281">
        <w:r>
          <w:rPr/>
          <w:t>).</w:t>
        </w:r>
      </w:hyperlink>
      <w:r>
        <w:rPr>
          <w:spacing w:val="40"/>
        </w:rPr>
        <w:t> </w:t>
      </w:r>
      <w:r>
        <w:rPr/>
        <w:t>Furthermore, with limited data available, data providers</w:t>
      </w:r>
      <w:r>
        <w:rPr>
          <w:spacing w:val="-5"/>
        </w:rPr>
        <w:t> </w:t>
      </w:r>
      <w:r>
        <w:rPr/>
        <w:t>do</w:t>
      </w:r>
      <w:r>
        <w:rPr>
          <w:spacing w:val="-6"/>
        </w:rPr>
        <w:t> </w:t>
      </w:r>
      <w:r>
        <w:rPr/>
        <w:t>not</w:t>
      </w:r>
      <w:r>
        <w:rPr>
          <w:spacing w:val="-5"/>
        </w:rPr>
        <w:t> </w:t>
      </w:r>
      <w:r>
        <w:rPr/>
        <w:t>release</w:t>
      </w:r>
      <w:r>
        <w:rPr>
          <w:spacing w:val="-5"/>
        </w:rPr>
        <w:t> </w:t>
      </w:r>
      <w:r>
        <w:rPr/>
        <w:t>their</w:t>
      </w:r>
      <w:r>
        <w:rPr>
          <w:spacing w:val="-6"/>
        </w:rPr>
        <w:t> </w:t>
      </w:r>
      <w:r>
        <w:rPr/>
        <w:t>proprietary</w:t>
      </w:r>
      <w:r>
        <w:rPr>
          <w:spacing w:val="-5"/>
        </w:rPr>
        <w:t> </w:t>
      </w:r>
      <w:r>
        <w:rPr/>
        <w:t>data</w:t>
      </w:r>
      <w:r>
        <w:rPr>
          <w:spacing w:val="-5"/>
        </w:rPr>
        <w:t> </w:t>
      </w:r>
      <w:r>
        <w:rPr/>
        <w:t>freely</w:t>
      </w:r>
      <w:r>
        <w:rPr>
          <w:spacing w:val="-6"/>
        </w:rPr>
        <w:t> </w:t>
      </w:r>
      <w:r>
        <w:rPr/>
        <w:t>so</w:t>
      </w:r>
      <w:r>
        <w:rPr>
          <w:spacing w:val="-5"/>
        </w:rPr>
        <w:t> </w:t>
      </w:r>
      <w:r>
        <w:rPr/>
        <w:t>research</w:t>
      </w:r>
      <w:r>
        <w:rPr>
          <w:spacing w:val="-5"/>
        </w:rPr>
        <w:t> </w:t>
      </w:r>
      <w:r>
        <w:rPr/>
        <w:t>within</w:t>
      </w:r>
      <w:r>
        <w:rPr>
          <w:spacing w:val="-6"/>
        </w:rPr>
        <w:t> </w:t>
      </w:r>
      <w:r>
        <w:rPr/>
        <w:t>the</w:t>
      </w:r>
      <w:r>
        <w:rPr>
          <w:spacing w:val="-5"/>
        </w:rPr>
        <w:t> </w:t>
      </w:r>
      <w:r>
        <w:rPr/>
        <w:t>sport</w:t>
      </w:r>
      <w:r>
        <w:rPr>
          <w:spacing w:val="-5"/>
        </w:rPr>
        <w:t> </w:t>
      </w:r>
      <w:r>
        <w:rPr/>
        <w:t>is</w:t>
      </w:r>
      <w:r>
        <w:rPr>
          <w:spacing w:val="-6"/>
        </w:rPr>
        <w:t> </w:t>
      </w:r>
      <w:r>
        <w:rPr/>
        <w:t>not</w:t>
      </w:r>
      <w:r>
        <w:rPr>
          <w:spacing w:val="-5"/>
        </w:rPr>
        <w:t> </w:t>
      </w:r>
      <w:r>
        <w:rPr/>
        <w:t>as common because the data is less freely available.</w:t>
      </w:r>
    </w:p>
    <w:p>
      <w:pPr>
        <w:pStyle w:val="BodyText"/>
        <w:spacing w:before="5"/>
        <w:rPr>
          <w:sz w:val="40"/>
        </w:rPr>
      </w:pPr>
    </w:p>
    <w:p>
      <w:pPr>
        <w:pStyle w:val="Heading2"/>
        <w:numPr>
          <w:ilvl w:val="1"/>
          <w:numId w:val="17"/>
        </w:numPr>
        <w:tabs>
          <w:tab w:pos="1385" w:val="left" w:leader="none"/>
          <w:tab w:pos="1386" w:val="left" w:leader="none"/>
        </w:tabs>
        <w:spacing w:line="240" w:lineRule="auto" w:before="1" w:after="0"/>
        <w:ind w:left="1385" w:right="0" w:hanging="776"/>
        <w:jc w:val="left"/>
      </w:pPr>
      <w:bookmarkStart w:name="_TOC_250060" w:id="25"/>
      <w:bookmarkStart w:name="2.2 Team and Player Performance Analysis" w:id="26"/>
      <w:r>
        <w:rPr>
          <w:b w:val="0"/>
        </w:rPr>
      </w:r>
      <w:bookmarkStart w:name="_bookmark10" w:id="27"/>
      <w:bookmarkEnd w:id="27"/>
      <w:r>
        <w:rPr/>
        <w:t>T</w:t>
      </w:r>
      <w:r>
        <w:rPr/>
        <w:t>eam</w:t>
      </w:r>
      <w:r>
        <w:rPr>
          <w:spacing w:val="1"/>
        </w:rPr>
        <w:t> </w:t>
      </w:r>
      <w:r>
        <w:rPr/>
        <w:t>and</w:t>
      </w:r>
      <w:r>
        <w:rPr>
          <w:spacing w:val="2"/>
        </w:rPr>
        <w:t> </w:t>
      </w:r>
      <w:r>
        <w:rPr/>
        <w:t>Player</w:t>
      </w:r>
      <w:r>
        <w:rPr>
          <w:spacing w:val="2"/>
        </w:rPr>
        <w:t> </w:t>
      </w:r>
      <w:r>
        <w:rPr/>
        <w:t>Performance</w:t>
      </w:r>
      <w:r>
        <w:rPr>
          <w:spacing w:val="2"/>
        </w:rPr>
        <w:t> </w:t>
      </w:r>
      <w:r>
        <w:rPr/>
        <w:t>Analysis</w:t>
      </w:r>
      <w:r>
        <w:rPr>
          <w:spacing w:val="2"/>
        </w:rPr>
        <w:t> </w:t>
      </w:r>
      <w:r>
        <w:rPr/>
        <w:t>in</w:t>
      </w:r>
      <w:r>
        <w:rPr>
          <w:spacing w:val="2"/>
        </w:rPr>
        <w:t> </w:t>
      </w:r>
      <w:bookmarkEnd w:id="25"/>
      <w:r>
        <w:rPr>
          <w:spacing w:val="-2"/>
        </w:rPr>
        <w:t>Sport</w:t>
      </w:r>
    </w:p>
    <w:p>
      <w:pPr>
        <w:pStyle w:val="BodyText"/>
        <w:spacing w:line="312" w:lineRule="auto" w:before="308"/>
        <w:ind w:left="610" w:right="389"/>
        <w:jc w:val="both"/>
      </w:pPr>
      <w:r>
        <w:rPr/>
        <w:t>The</w:t>
      </w:r>
      <w:r>
        <w:rPr>
          <w:spacing w:val="-13"/>
        </w:rPr>
        <w:t> </w:t>
      </w:r>
      <w:r>
        <w:rPr/>
        <w:t>two</w:t>
      </w:r>
      <w:r>
        <w:rPr>
          <w:spacing w:val="-13"/>
        </w:rPr>
        <w:t> </w:t>
      </w:r>
      <w:r>
        <w:rPr/>
        <w:t>most</w:t>
      </w:r>
      <w:r>
        <w:rPr>
          <w:spacing w:val="-13"/>
        </w:rPr>
        <w:t> </w:t>
      </w:r>
      <w:r>
        <w:rPr/>
        <w:t>important</w:t>
      </w:r>
      <w:r>
        <w:rPr>
          <w:spacing w:val="-13"/>
        </w:rPr>
        <w:t> </w:t>
      </w:r>
      <w:r>
        <w:rPr/>
        <w:t>elements</w:t>
      </w:r>
      <w:r>
        <w:rPr>
          <w:spacing w:val="-13"/>
        </w:rPr>
        <w:t> </w:t>
      </w:r>
      <w:r>
        <w:rPr/>
        <w:t>of</w:t>
      </w:r>
      <w:r>
        <w:rPr>
          <w:spacing w:val="-13"/>
        </w:rPr>
        <w:t> </w:t>
      </w:r>
      <w:r>
        <w:rPr/>
        <w:t>tactical</w:t>
      </w:r>
      <w:r>
        <w:rPr>
          <w:spacing w:val="-13"/>
        </w:rPr>
        <w:t> </w:t>
      </w:r>
      <w:r>
        <w:rPr/>
        <w:t>analyses</w:t>
      </w:r>
      <w:r>
        <w:rPr>
          <w:spacing w:val="-13"/>
        </w:rPr>
        <w:t> </w:t>
      </w:r>
      <w:r>
        <w:rPr/>
        <w:t>within</w:t>
      </w:r>
      <w:r>
        <w:rPr>
          <w:spacing w:val="-13"/>
        </w:rPr>
        <w:t> </w:t>
      </w:r>
      <w:r>
        <w:rPr/>
        <w:t>sport</w:t>
      </w:r>
      <w:r>
        <w:rPr>
          <w:spacing w:val="-13"/>
        </w:rPr>
        <w:t> </w:t>
      </w:r>
      <w:r>
        <w:rPr/>
        <w:t>are</w:t>
      </w:r>
      <w:r>
        <w:rPr>
          <w:spacing w:val="-13"/>
        </w:rPr>
        <w:t> </w:t>
      </w:r>
      <w:r>
        <w:rPr/>
        <w:t>understanding</w:t>
      </w:r>
      <w:r>
        <w:rPr>
          <w:spacing w:val="-13"/>
        </w:rPr>
        <w:t> </w:t>
      </w:r>
      <w:r>
        <w:rPr>
          <w:i/>
        </w:rPr>
        <w:t>team</w:t>
      </w:r>
      <w:r>
        <w:rPr>
          <w:i/>
        </w:rPr>
        <w:t> performances</w:t>
      </w:r>
      <w:r>
        <w:rPr>
          <w:i/>
          <w:spacing w:val="-1"/>
        </w:rPr>
        <w:t> </w:t>
      </w:r>
      <w:r>
        <w:rPr/>
        <w:t>and</w:t>
      </w:r>
      <w:r>
        <w:rPr>
          <w:spacing w:val="-1"/>
        </w:rPr>
        <w:t> </w:t>
      </w:r>
      <w:r>
        <w:rPr/>
        <w:t>understanding</w:t>
      </w:r>
      <w:r>
        <w:rPr>
          <w:spacing w:val="-1"/>
        </w:rPr>
        <w:t> </w:t>
      </w:r>
      <w:r>
        <w:rPr>
          <w:i/>
        </w:rPr>
        <w:t>player</w:t>
      </w:r>
      <w:r>
        <w:rPr>
          <w:i/>
          <w:spacing w:val="-1"/>
        </w:rPr>
        <w:t> </w:t>
      </w:r>
      <w:r>
        <w:rPr>
          <w:i/>
        </w:rPr>
        <w:t>performances</w:t>
      </w:r>
      <w:r>
        <w:rPr/>
        <w:t>.</w:t>
      </w:r>
      <w:r>
        <w:rPr>
          <w:spacing w:val="25"/>
        </w:rPr>
        <w:t> </w:t>
      </w:r>
      <w:r>
        <w:rPr/>
        <w:t>Team</w:t>
      </w:r>
      <w:r>
        <w:rPr>
          <w:spacing w:val="-1"/>
        </w:rPr>
        <w:t> </w:t>
      </w:r>
      <w:r>
        <w:rPr/>
        <w:t>performances</w:t>
      </w:r>
      <w:r>
        <w:rPr>
          <w:spacing w:val="-1"/>
        </w:rPr>
        <w:t> </w:t>
      </w:r>
      <w:r>
        <w:rPr/>
        <w:t>can</w:t>
      </w:r>
      <w:r>
        <w:rPr>
          <w:spacing w:val="-1"/>
        </w:rPr>
        <w:t> </w:t>
      </w:r>
      <w:r>
        <w:rPr/>
        <w:t>be</w:t>
      </w:r>
      <w:r>
        <w:rPr>
          <w:spacing w:val="-1"/>
        </w:rPr>
        <w:t> </w:t>
      </w:r>
      <w:r>
        <w:rPr/>
        <w:t>mea- sured in many ways (e.g.</w:t>
      </w:r>
      <w:r>
        <w:rPr>
          <w:spacing w:val="40"/>
        </w:rPr>
        <w:t> </w:t>
      </w:r>
      <w:r>
        <w:rPr/>
        <w:t>Did the team win it’s match?</w:t>
      </w:r>
      <w:r>
        <w:rPr>
          <w:spacing w:val="40"/>
        </w:rPr>
        <w:t> </w:t>
      </w:r>
      <w:r>
        <w:rPr/>
        <w:t>Did the team score more tries than</w:t>
      </w:r>
      <w:r>
        <w:rPr>
          <w:spacing w:val="-3"/>
        </w:rPr>
        <w:t> </w:t>
      </w:r>
      <w:r>
        <w:rPr/>
        <w:t>the</w:t>
      </w:r>
      <w:r>
        <w:rPr>
          <w:spacing w:val="-3"/>
        </w:rPr>
        <w:t> </w:t>
      </w:r>
      <w:r>
        <w:rPr/>
        <w:t>opposition? Did</w:t>
      </w:r>
      <w:r>
        <w:rPr>
          <w:spacing w:val="-3"/>
        </w:rPr>
        <w:t> </w:t>
      </w:r>
      <w:r>
        <w:rPr/>
        <w:t>the</w:t>
      </w:r>
      <w:r>
        <w:rPr>
          <w:spacing w:val="-3"/>
        </w:rPr>
        <w:t> </w:t>
      </w:r>
      <w:r>
        <w:rPr/>
        <w:t>team</w:t>
      </w:r>
      <w:r>
        <w:rPr>
          <w:spacing w:val="-4"/>
        </w:rPr>
        <w:t> </w:t>
      </w:r>
      <w:r>
        <w:rPr/>
        <w:t>complete</w:t>
      </w:r>
      <w:r>
        <w:rPr>
          <w:spacing w:val="-3"/>
        </w:rPr>
        <w:t> </w:t>
      </w:r>
      <w:r>
        <w:rPr/>
        <w:t>more</w:t>
      </w:r>
      <w:r>
        <w:rPr>
          <w:spacing w:val="-3"/>
        </w:rPr>
        <w:t> </w:t>
      </w:r>
      <w:r>
        <w:rPr/>
        <w:t>passes</w:t>
      </w:r>
      <w:r>
        <w:rPr>
          <w:spacing w:val="-3"/>
        </w:rPr>
        <w:t> </w:t>
      </w:r>
      <w:r>
        <w:rPr/>
        <w:t>or</w:t>
      </w:r>
      <w:r>
        <w:rPr>
          <w:spacing w:val="-3"/>
        </w:rPr>
        <w:t> </w:t>
      </w:r>
      <w:r>
        <w:rPr/>
        <w:t>tackles</w:t>
      </w:r>
      <w:r>
        <w:rPr>
          <w:spacing w:val="-3"/>
        </w:rPr>
        <w:t> </w:t>
      </w:r>
      <w:r>
        <w:rPr/>
        <w:t>than</w:t>
      </w:r>
      <w:r>
        <w:rPr>
          <w:spacing w:val="-3"/>
        </w:rPr>
        <w:t> </w:t>
      </w:r>
      <w:r>
        <w:rPr/>
        <w:t>the</w:t>
      </w:r>
      <w:r>
        <w:rPr>
          <w:spacing w:val="-3"/>
        </w:rPr>
        <w:t> </w:t>
      </w:r>
      <w:r>
        <w:rPr/>
        <w:t>opposition?) but</w:t>
      </w:r>
      <w:r>
        <w:rPr>
          <w:spacing w:val="-8"/>
        </w:rPr>
        <w:t> </w:t>
      </w:r>
      <w:r>
        <w:rPr/>
        <w:t>usually</w:t>
      </w:r>
      <w:r>
        <w:rPr>
          <w:spacing w:val="-8"/>
        </w:rPr>
        <w:t> </w:t>
      </w:r>
      <w:r>
        <w:rPr/>
        <w:t>analyses</w:t>
      </w:r>
      <w:r>
        <w:rPr>
          <w:spacing w:val="-8"/>
        </w:rPr>
        <w:t> </w:t>
      </w:r>
      <w:r>
        <w:rPr/>
        <w:t>of</w:t>
      </w:r>
      <w:r>
        <w:rPr>
          <w:spacing w:val="-8"/>
        </w:rPr>
        <w:t> </w:t>
      </w:r>
      <w:r>
        <w:rPr/>
        <w:t>team</w:t>
      </w:r>
      <w:r>
        <w:rPr>
          <w:spacing w:val="-8"/>
        </w:rPr>
        <w:t> </w:t>
      </w:r>
      <w:r>
        <w:rPr/>
        <w:t>performances</w:t>
      </w:r>
      <w:r>
        <w:rPr>
          <w:spacing w:val="-8"/>
        </w:rPr>
        <w:t> </w:t>
      </w:r>
      <w:r>
        <w:rPr/>
        <w:t>are</w:t>
      </w:r>
      <w:r>
        <w:rPr>
          <w:spacing w:val="-8"/>
        </w:rPr>
        <w:t> </w:t>
      </w:r>
      <w:r>
        <w:rPr/>
        <w:t>used</w:t>
      </w:r>
      <w:r>
        <w:rPr>
          <w:spacing w:val="-8"/>
        </w:rPr>
        <w:t> </w:t>
      </w:r>
      <w:r>
        <w:rPr/>
        <w:t>to</w:t>
      </w:r>
      <w:r>
        <w:rPr>
          <w:spacing w:val="-8"/>
        </w:rPr>
        <w:t> </w:t>
      </w:r>
      <w:r>
        <w:rPr/>
        <w:t>provide</w:t>
      </w:r>
      <w:r>
        <w:rPr>
          <w:spacing w:val="-8"/>
        </w:rPr>
        <w:t> </w:t>
      </w:r>
      <w:r>
        <w:rPr/>
        <w:t>an</w:t>
      </w:r>
      <w:r>
        <w:rPr>
          <w:spacing w:val="-8"/>
        </w:rPr>
        <w:t> </w:t>
      </w:r>
      <w:r>
        <w:rPr/>
        <w:t>underlying</w:t>
      </w:r>
      <w:r>
        <w:rPr>
          <w:spacing w:val="-8"/>
        </w:rPr>
        <w:t> </w:t>
      </w:r>
      <w:r>
        <w:rPr/>
        <w:t>understand- ing of how well the team met its objectives across a set period of time (e.g.</w:t>
      </w:r>
      <w:r>
        <w:rPr>
          <w:spacing w:val="40"/>
        </w:rPr>
        <w:t> </w:t>
      </w:r>
      <w:r>
        <w:rPr/>
        <w:t>a match or season), without considering match results.</w:t>
      </w:r>
      <w:r>
        <w:rPr>
          <w:spacing w:val="40"/>
        </w:rPr>
        <w:t> </w:t>
      </w:r>
      <w:r>
        <w:rPr/>
        <w:t>Evaluating team performances can be used in many ways within sport including: identifying key performance indicators for teams; understanding</w:t>
      </w:r>
      <w:r>
        <w:rPr>
          <w:spacing w:val="-3"/>
        </w:rPr>
        <w:t> </w:t>
      </w:r>
      <w:r>
        <w:rPr/>
        <w:t>key</w:t>
      </w:r>
      <w:r>
        <w:rPr>
          <w:spacing w:val="-3"/>
        </w:rPr>
        <w:t> </w:t>
      </w:r>
      <w:r>
        <w:rPr/>
        <w:t>sequences</w:t>
      </w:r>
      <w:r>
        <w:rPr>
          <w:spacing w:val="-3"/>
        </w:rPr>
        <w:t> </w:t>
      </w:r>
      <w:r>
        <w:rPr/>
        <w:t>of</w:t>
      </w:r>
      <w:r>
        <w:rPr>
          <w:spacing w:val="-3"/>
        </w:rPr>
        <w:t> </w:t>
      </w:r>
      <w:r>
        <w:rPr/>
        <w:t>play</w:t>
      </w:r>
      <w:r>
        <w:rPr>
          <w:spacing w:val="-3"/>
        </w:rPr>
        <w:t> </w:t>
      </w:r>
      <w:r>
        <w:rPr/>
        <w:t>for</w:t>
      </w:r>
      <w:r>
        <w:rPr>
          <w:spacing w:val="-3"/>
        </w:rPr>
        <w:t> </w:t>
      </w:r>
      <w:r>
        <w:rPr/>
        <w:t>a</w:t>
      </w:r>
      <w:r>
        <w:rPr>
          <w:spacing w:val="-3"/>
        </w:rPr>
        <w:t> </w:t>
      </w:r>
      <w:r>
        <w:rPr/>
        <w:t>given</w:t>
      </w:r>
      <w:r>
        <w:rPr>
          <w:spacing w:val="-3"/>
        </w:rPr>
        <w:t> </w:t>
      </w:r>
      <w:r>
        <w:rPr/>
        <w:t>team;</w:t>
      </w:r>
      <w:r>
        <w:rPr>
          <w:spacing w:val="-1"/>
        </w:rPr>
        <w:t> </w:t>
      </w:r>
      <w:r>
        <w:rPr/>
        <w:t>and</w:t>
      </w:r>
      <w:r>
        <w:rPr>
          <w:spacing w:val="-3"/>
        </w:rPr>
        <w:t> </w:t>
      </w:r>
      <w:r>
        <w:rPr/>
        <w:t>evaluating</w:t>
      </w:r>
      <w:r>
        <w:rPr>
          <w:spacing w:val="-3"/>
        </w:rPr>
        <w:t> </w:t>
      </w:r>
      <w:r>
        <w:rPr/>
        <w:t>likely</w:t>
      </w:r>
      <w:r>
        <w:rPr>
          <w:spacing w:val="-3"/>
        </w:rPr>
        <w:t> </w:t>
      </w:r>
      <w:r>
        <w:rPr/>
        <w:t>areas</w:t>
      </w:r>
      <w:r>
        <w:rPr>
          <w:spacing w:val="-3"/>
        </w:rPr>
        <w:t> </w:t>
      </w:r>
      <w:r>
        <w:rPr/>
        <w:t>on</w:t>
      </w:r>
      <w:r>
        <w:rPr>
          <w:spacing w:val="-3"/>
        </w:rPr>
        <w:t> </w:t>
      </w:r>
      <w:r>
        <w:rPr/>
        <w:t>the pitch</w:t>
      </w:r>
      <w:r>
        <w:rPr>
          <w:spacing w:val="-11"/>
        </w:rPr>
        <w:t> </w:t>
      </w:r>
      <w:r>
        <w:rPr/>
        <w:t>through</w:t>
      </w:r>
      <w:r>
        <w:rPr>
          <w:spacing w:val="-11"/>
        </w:rPr>
        <w:t> </w:t>
      </w:r>
      <w:r>
        <w:rPr/>
        <w:t>which</w:t>
      </w:r>
      <w:r>
        <w:rPr>
          <w:spacing w:val="-11"/>
        </w:rPr>
        <w:t> </w:t>
      </w:r>
      <w:r>
        <w:rPr/>
        <w:t>a</w:t>
      </w:r>
      <w:r>
        <w:rPr>
          <w:spacing w:val="-11"/>
        </w:rPr>
        <w:t> </w:t>
      </w:r>
      <w:r>
        <w:rPr/>
        <w:t>team</w:t>
      </w:r>
      <w:r>
        <w:rPr>
          <w:spacing w:val="-11"/>
        </w:rPr>
        <w:t> </w:t>
      </w:r>
      <w:r>
        <w:rPr/>
        <w:t>may</w:t>
      </w:r>
      <w:r>
        <w:rPr>
          <w:spacing w:val="-11"/>
        </w:rPr>
        <w:t> </w:t>
      </w:r>
      <w:r>
        <w:rPr/>
        <w:t>create</w:t>
      </w:r>
      <w:r>
        <w:rPr>
          <w:spacing w:val="-11"/>
        </w:rPr>
        <w:t> </w:t>
      </w:r>
      <w:r>
        <w:rPr/>
        <w:t>value. All</w:t>
      </w:r>
      <w:r>
        <w:rPr>
          <w:spacing w:val="-11"/>
        </w:rPr>
        <w:t> </w:t>
      </w:r>
      <w:r>
        <w:rPr/>
        <w:t>three</w:t>
      </w:r>
      <w:r>
        <w:rPr>
          <w:spacing w:val="-11"/>
        </w:rPr>
        <w:t> </w:t>
      </w:r>
      <w:r>
        <w:rPr/>
        <w:t>of</w:t>
      </w:r>
      <w:r>
        <w:rPr>
          <w:spacing w:val="-11"/>
        </w:rPr>
        <w:t> </w:t>
      </w:r>
      <w:r>
        <w:rPr/>
        <w:t>these</w:t>
      </w:r>
      <w:r>
        <w:rPr>
          <w:spacing w:val="-11"/>
        </w:rPr>
        <w:t> </w:t>
      </w:r>
      <w:r>
        <w:rPr/>
        <w:t>elements</w:t>
      </w:r>
      <w:r>
        <w:rPr>
          <w:spacing w:val="-11"/>
        </w:rPr>
        <w:t> </w:t>
      </w:r>
      <w:r>
        <w:rPr/>
        <w:t>can</w:t>
      </w:r>
      <w:r>
        <w:rPr>
          <w:spacing w:val="-11"/>
        </w:rPr>
        <w:t> </w:t>
      </w:r>
      <w:r>
        <w:rPr/>
        <w:t>provide</w:t>
      </w:r>
      <w:r>
        <w:rPr>
          <w:spacing w:val="-11"/>
        </w:rPr>
        <w:t> </w:t>
      </w:r>
      <w:r>
        <w:rPr/>
        <w:t>sig- nificant</w:t>
      </w:r>
      <w:r>
        <w:rPr>
          <w:spacing w:val="-15"/>
        </w:rPr>
        <w:t> </w:t>
      </w:r>
      <w:r>
        <w:rPr/>
        <w:t>tactical</w:t>
      </w:r>
      <w:r>
        <w:rPr>
          <w:spacing w:val="-15"/>
        </w:rPr>
        <w:t> </w:t>
      </w:r>
      <w:r>
        <w:rPr/>
        <w:t>understanding</w:t>
      </w:r>
      <w:r>
        <w:rPr>
          <w:spacing w:val="-15"/>
        </w:rPr>
        <w:t> </w:t>
      </w:r>
      <w:r>
        <w:rPr/>
        <w:t>as</w:t>
      </w:r>
      <w:r>
        <w:rPr>
          <w:spacing w:val="-15"/>
        </w:rPr>
        <w:t> </w:t>
      </w:r>
      <w:r>
        <w:rPr/>
        <w:t>coaches</w:t>
      </w:r>
      <w:r>
        <w:rPr>
          <w:spacing w:val="-15"/>
        </w:rPr>
        <w:t> </w:t>
      </w:r>
      <w:r>
        <w:rPr/>
        <w:t>attempt</w:t>
      </w:r>
      <w:r>
        <w:rPr>
          <w:spacing w:val="-15"/>
        </w:rPr>
        <w:t> </w:t>
      </w:r>
      <w:r>
        <w:rPr/>
        <w:t>to</w:t>
      </w:r>
      <w:r>
        <w:rPr>
          <w:spacing w:val="-15"/>
        </w:rPr>
        <w:t> </w:t>
      </w:r>
      <w:r>
        <w:rPr/>
        <w:t>improve</w:t>
      </w:r>
      <w:r>
        <w:rPr>
          <w:spacing w:val="-15"/>
        </w:rPr>
        <w:t> </w:t>
      </w:r>
      <w:r>
        <w:rPr/>
        <w:t>their</w:t>
      </w:r>
      <w:r>
        <w:rPr>
          <w:spacing w:val="-15"/>
        </w:rPr>
        <w:t> </w:t>
      </w:r>
      <w:r>
        <w:rPr/>
        <w:t>own</w:t>
      </w:r>
      <w:r>
        <w:rPr>
          <w:spacing w:val="-15"/>
        </w:rPr>
        <w:t> </w:t>
      </w:r>
      <w:r>
        <w:rPr/>
        <w:t>teams</w:t>
      </w:r>
      <w:r>
        <w:rPr>
          <w:spacing w:val="-15"/>
        </w:rPr>
        <w:t> </w:t>
      </w:r>
      <w:r>
        <w:rPr/>
        <w:t>and</w:t>
      </w:r>
      <w:r>
        <w:rPr>
          <w:spacing w:val="-15"/>
        </w:rPr>
        <w:t> </w:t>
      </w:r>
      <w:r>
        <w:rPr/>
        <w:t>prepare strategies to beat opposition teams.</w:t>
      </w:r>
      <w:r>
        <w:rPr>
          <w:spacing w:val="40"/>
        </w:rPr>
        <w:t> </w:t>
      </w:r>
      <w:r>
        <w:rPr/>
        <w:t>Player performances refer to how much the actions completed by a player contributed to improving a team’s performance.</w:t>
      </w:r>
      <w:r>
        <w:rPr>
          <w:spacing w:val="40"/>
        </w:rPr>
        <w:t> </w:t>
      </w:r>
      <w:r>
        <w:rPr/>
        <w:t>Player perfor- mances</w:t>
      </w:r>
      <w:r>
        <w:rPr>
          <w:spacing w:val="-6"/>
        </w:rPr>
        <w:t> </w:t>
      </w:r>
      <w:r>
        <w:rPr/>
        <w:t>can</w:t>
      </w:r>
      <w:r>
        <w:rPr>
          <w:spacing w:val="-7"/>
        </w:rPr>
        <w:t> </w:t>
      </w:r>
      <w:r>
        <w:rPr/>
        <w:t>be</w:t>
      </w:r>
      <w:r>
        <w:rPr>
          <w:spacing w:val="-6"/>
        </w:rPr>
        <w:t> </w:t>
      </w:r>
      <w:r>
        <w:rPr/>
        <w:t>measured</w:t>
      </w:r>
      <w:r>
        <w:rPr>
          <w:spacing w:val="-7"/>
        </w:rPr>
        <w:t> </w:t>
      </w:r>
      <w:r>
        <w:rPr/>
        <w:t>using</w:t>
      </w:r>
      <w:r>
        <w:rPr>
          <w:spacing w:val="-6"/>
        </w:rPr>
        <w:t> </w:t>
      </w:r>
      <w:r>
        <w:rPr/>
        <w:t>standard</w:t>
      </w:r>
      <w:r>
        <w:rPr>
          <w:spacing w:val="-6"/>
        </w:rPr>
        <w:t> </w:t>
      </w:r>
      <w:r>
        <w:rPr/>
        <w:t>count</w:t>
      </w:r>
      <w:r>
        <w:rPr>
          <w:spacing w:val="-7"/>
        </w:rPr>
        <w:t> </w:t>
      </w:r>
      <w:r>
        <w:rPr/>
        <w:t>data</w:t>
      </w:r>
      <w:r>
        <w:rPr>
          <w:spacing w:val="-6"/>
        </w:rPr>
        <w:t> </w:t>
      </w:r>
      <w:r>
        <w:rPr/>
        <w:t>(e.g. number</w:t>
      </w:r>
      <w:r>
        <w:rPr>
          <w:spacing w:val="-7"/>
        </w:rPr>
        <w:t> </w:t>
      </w:r>
      <w:r>
        <w:rPr/>
        <w:t>of</w:t>
      </w:r>
      <w:r>
        <w:rPr>
          <w:spacing w:val="-6"/>
        </w:rPr>
        <w:t> </w:t>
      </w:r>
      <w:r>
        <w:rPr/>
        <w:t>passes</w:t>
      </w:r>
      <w:r>
        <w:rPr>
          <w:spacing w:val="-6"/>
        </w:rPr>
        <w:t> </w:t>
      </w:r>
      <w:r>
        <w:rPr/>
        <w:t>made,</w:t>
      </w:r>
      <w:r>
        <w:rPr>
          <w:spacing w:val="-6"/>
        </w:rPr>
        <w:t> </w:t>
      </w:r>
      <w:r>
        <w:rPr/>
        <w:t>number of try assists) or using some form of value metric (e.g.</w:t>
      </w:r>
      <w:r>
        <w:rPr>
          <w:spacing w:val="40"/>
        </w:rPr>
        <w:t> </w:t>
      </w:r>
      <w:r>
        <w:rPr/>
        <w:t>actual goals vs.</w:t>
      </w:r>
      <w:r>
        <w:rPr>
          <w:spacing w:val="40"/>
        </w:rPr>
        <w:t> </w:t>
      </w:r>
      <w:r>
        <w:rPr/>
        <w:t>expected goals scored). Evaluating</w:t>
      </w:r>
      <w:r>
        <w:rPr>
          <w:spacing w:val="-9"/>
        </w:rPr>
        <w:t> </w:t>
      </w:r>
      <w:r>
        <w:rPr/>
        <w:t>player</w:t>
      </w:r>
      <w:r>
        <w:rPr>
          <w:spacing w:val="-9"/>
        </w:rPr>
        <w:t> </w:t>
      </w:r>
      <w:r>
        <w:rPr/>
        <w:t>performances</w:t>
      </w:r>
      <w:r>
        <w:rPr>
          <w:spacing w:val="-9"/>
        </w:rPr>
        <w:t> </w:t>
      </w:r>
      <w:r>
        <w:rPr/>
        <w:t>can</w:t>
      </w:r>
      <w:r>
        <w:rPr>
          <w:spacing w:val="-9"/>
        </w:rPr>
        <w:t> </w:t>
      </w:r>
      <w:r>
        <w:rPr/>
        <w:t>help</w:t>
      </w:r>
      <w:r>
        <w:rPr>
          <w:spacing w:val="-9"/>
        </w:rPr>
        <w:t> </w:t>
      </w:r>
      <w:r>
        <w:rPr/>
        <w:t>a</w:t>
      </w:r>
      <w:r>
        <w:rPr>
          <w:spacing w:val="-9"/>
        </w:rPr>
        <w:t> </w:t>
      </w:r>
      <w:r>
        <w:rPr/>
        <w:t>coach</w:t>
      </w:r>
      <w:r>
        <w:rPr>
          <w:spacing w:val="-9"/>
        </w:rPr>
        <w:t> </w:t>
      </w:r>
      <w:r>
        <w:rPr/>
        <w:t>to</w:t>
      </w:r>
      <w:r>
        <w:rPr>
          <w:spacing w:val="-9"/>
        </w:rPr>
        <w:t> </w:t>
      </w:r>
      <w:r>
        <w:rPr/>
        <w:t>understand</w:t>
      </w:r>
      <w:r>
        <w:rPr>
          <w:spacing w:val="-9"/>
        </w:rPr>
        <w:t> </w:t>
      </w:r>
      <w:r>
        <w:rPr/>
        <w:t>whether</w:t>
      </w:r>
      <w:r>
        <w:rPr>
          <w:spacing w:val="-9"/>
        </w:rPr>
        <w:t> </w:t>
      </w:r>
      <w:r>
        <w:rPr/>
        <w:t>a</w:t>
      </w:r>
      <w:r>
        <w:rPr>
          <w:spacing w:val="-9"/>
        </w:rPr>
        <w:t> </w:t>
      </w:r>
      <w:r>
        <w:rPr/>
        <w:t>player is</w:t>
      </w:r>
      <w:r>
        <w:rPr>
          <w:spacing w:val="11"/>
        </w:rPr>
        <w:t> </w:t>
      </w:r>
      <w:r>
        <w:rPr/>
        <w:t>producing</w:t>
      </w:r>
      <w:r>
        <w:rPr>
          <w:spacing w:val="11"/>
        </w:rPr>
        <w:t> </w:t>
      </w:r>
      <w:r>
        <w:rPr/>
        <w:t>an</w:t>
      </w:r>
      <w:r>
        <w:rPr>
          <w:spacing w:val="11"/>
        </w:rPr>
        <w:t> </w:t>
      </w:r>
      <w:r>
        <w:rPr/>
        <w:t>output</w:t>
      </w:r>
      <w:r>
        <w:rPr>
          <w:spacing w:val="10"/>
        </w:rPr>
        <w:t> </w:t>
      </w:r>
      <w:r>
        <w:rPr/>
        <w:t>that</w:t>
      </w:r>
      <w:r>
        <w:rPr>
          <w:spacing w:val="11"/>
        </w:rPr>
        <w:t> </w:t>
      </w:r>
      <w:r>
        <w:rPr/>
        <w:t>is</w:t>
      </w:r>
      <w:r>
        <w:rPr>
          <w:spacing w:val="10"/>
        </w:rPr>
        <w:t> </w:t>
      </w:r>
      <w:r>
        <w:rPr/>
        <w:t>good</w:t>
      </w:r>
      <w:r>
        <w:rPr>
          <w:spacing w:val="11"/>
        </w:rPr>
        <w:t> </w:t>
      </w:r>
      <w:r>
        <w:rPr/>
        <w:t>or</w:t>
      </w:r>
      <w:r>
        <w:rPr>
          <w:spacing w:val="10"/>
        </w:rPr>
        <w:t> </w:t>
      </w:r>
      <w:r>
        <w:rPr/>
        <w:t>bad</w:t>
      </w:r>
      <w:r>
        <w:rPr>
          <w:spacing w:val="11"/>
        </w:rPr>
        <w:t> </w:t>
      </w:r>
      <w:r>
        <w:rPr/>
        <w:t>value</w:t>
      </w:r>
      <w:r>
        <w:rPr>
          <w:spacing w:val="10"/>
        </w:rPr>
        <w:t> </w:t>
      </w:r>
      <w:r>
        <w:rPr/>
        <w:t>for</w:t>
      </w:r>
      <w:r>
        <w:rPr>
          <w:spacing w:val="11"/>
        </w:rPr>
        <w:t> </w:t>
      </w:r>
      <w:r>
        <w:rPr/>
        <w:t>the</w:t>
      </w:r>
      <w:r>
        <w:rPr>
          <w:spacing w:val="11"/>
        </w:rPr>
        <w:t> </w:t>
      </w:r>
      <w:r>
        <w:rPr/>
        <w:t>cost</w:t>
      </w:r>
      <w:r>
        <w:rPr>
          <w:spacing w:val="12"/>
        </w:rPr>
        <w:t> </w:t>
      </w:r>
      <w:r>
        <w:rPr/>
        <w:t>of</w:t>
      </w:r>
      <w:r>
        <w:rPr>
          <w:spacing w:val="11"/>
        </w:rPr>
        <w:t> </w:t>
      </w:r>
      <w:r>
        <w:rPr/>
        <w:t>their</w:t>
      </w:r>
      <w:r>
        <w:rPr>
          <w:spacing w:val="10"/>
        </w:rPr>
        <w:t> </w:t>
      </w:r>
      <w:r>
        <w:rPr/>
        <w:t>salary.</w:t>
      </w:r>
      <w:r>
        <w:rPr>
          <w:spacing w:val="54"/>
        </w:rPr>
        <w:t> </w:t>
      </w:r>
      <w:r>
        <w:rPr/>
        <w:t>It</w:t>
      </w:r>
      <w:r>
        <w:rPr>
          <w:spacing w:val="10"/>
        </w:rPr>
        <w:t> </w:t>
      </w:r>
      <w:r>
        <w:rPr/>
        <w:t>can</w:t>
      </w:r>
      <w:r>
        <w:rPr>
          <w:spacing w:val="11"/>
        </w:rPr>
        <w:t> </w:t>
      </w:r>
      <w:r>
        <w:rPr>
          <w:spacing w:val="-4"/>
        </w:rPr>
        <w:t>also</w:t>
      </w:r>
    </w:p>
    <w:p>
      <w:pPr>
        <w:spacing w:after="0" w:line="312" w:lineRule="auto"/>
        <w:jc w:val="both"/>
        <w:sectPr>
          <w:headerReference w:type="default" r:id="rId33"/>
          <w:footerReference w:type="default" r:id="rId34"/>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pPr>
      <w:r>
        <w:rPr/>
        <w:t>help</w:t>
      </w:r>
      <w:r>
        <w:rPr>
          <w:spacing w:val="-4"/>
        </w:rPr>
        <w:t> </w:t>
      </w:r>
      <w:r>
        <w:rPr/>
        <w:t>to</w:t>
      </w:r>
      <w:r>
        <w:rPr>
          <w:spacing w:val="-4"/>
        </w:rPr>
        <w:t> </w:t>
      </w:r>
      <w:r>
        <w:rPr/>
        <w:t>identify</w:t>
      </w:r>
      <w:r>
        <w:rPr>
          <w:spacing w:val="-4"/>
        </w:rPr>
        <w:t> </w:t>
      </w:r>
      <w:r>
        <w:rPr/>
        <w:t>transfer</w:t>
      </w:r>
      <w:r>
        <w:rPr>
          <w:spacing w:val="-4"/>
        </w:rPr>
        <w:t> </w:t>
      </w:r>
      <w:r>
        <w:rPr/>
        <w:t>targets</w:t>
      </w:r>
      <w:r>
        <w:rPr>
          <w:spacing w:val="-4"/>
        </w:rPr>
        <w:t> </w:t>
      </w:r>
      <w:r>
        <w:rPr/>
        <w:t>(i.e. players</w:t>
      </w:r>
      <w:r>
        <w:rPr>
          <w:spacing w:val="-4"/>
        </w:rPr>
        <w:t> </w:t>
      </w:r>
      <w:r>
        <w:rPr/>
        <w:t>who</w:t>
      </w:r>
      <w:r>
        <w:rPr>
          <w:spacing w:val="-4"/>
        </w:rPr>
        <w:t> </w:t>
      </w:r>
      <w:r>
        <w:rPr/>
        <w:t>may</w:t>
      </w:r>
      <w:r>
        <w:rPr>
          <w:spacing w:val="-4"/>
        </w:rPr>
        <w:t> </w:t>
      </w:r>
      <w:r>
        <w:rPr/>
        <w:t>perform</w:t>
      </w:r>
      <w:r>
        <w:rPr>
          <w:spacing w:val="-4"/>
        </w:rPr>
        <w:t> </w:t>
      </w:r>
      <w:r>
        <w:rPr/>
        <w:t>better</w:t>
      </w:r>
      <w:r>
        <w:rPr>
          <w:spacing w:val="-4"/>
        </w:rPr>
        <w:t> </w:t>
      </w:r>
      <w:r>
        <w:rPr/>
        <w:t>than</w:t>
      </w:r>
      <w:r>
        <w:rPr>
          <w:spacing w:val="-4"/>
        </w:rPr>
        <w:t> </w:t>
      </w:r>
      <w:r>
        <w:rPr/>
        <w:t>those</w:t>
      </w:r>
      <w:r>
        <w:rPr>
          <w:spacing w:val="-4"/>
        </w:rPr>
        <w:t> </w:t>
      </w:r>
      <w:r>
        <w:rPr/>
        <w:t>currently at the club).</w:t>
      </w:r>
    </w:p>
    <w:p>
      <w:pPr>
        <w:pStyle w:val="BodyText"/>
        <w:spacing w:line="312" w:lineRule="auto"/>
        <w:ind w:left="610" w:right="392" w:firstLine="351"/>
      </w:pPr>
      <w:r>
        <w:rPr/>
        <w:t>Although one of the earliest examples of analysing team tactical performances </w:t>
      </w:r>
      <w:r>
        <w:rPr/>
        <w:t>was in football (</w:t>
      </w:r>
      <w:hyperlink w:history="true" w:anchor="_bookmark257">
        <w:r>
          <w:rPr>
            <w:color w:val="FF0000"/>
          </w:rPr>
          <w:t>Hughes</w:t>
        </w:r>
      </w:hyperlink>
      <w:r>
        <w:rPr/>
        <w:t>,</w:t>
      </w:r>
      <w:hyperlink w:history="true" w:anchor="_bookmark257">
        <w:r>
          <w:rPr>
            <w:color w:val="FF0000"/>
          </w:rPr>
          <w:t>1990</w:t>
        </w:r>
      </w:hyperlink>
      <w:r>
        <w:rPr/>
        <w:t>), the underlying idea of utilising statistical analysis to evalu- ate</w:t>
      </w:r>
      <w:r>
        <w:rPr>
          <w:spacing w:val="-3"/>
        </w:rPr>
        <w:t> </w:t>
      </w:r>
      <w:r>
        <w:rPr/>
        <w:t>player</w:t>
      </w:r>
      <w:r>
        <w:rPr>
          <w:spacing w:val="-3"/>
        </w:rPr>
        <w:t> </w:t>
      </w:r>
      <w:r>
        <w:rPr/>
        <w:t>performances</w:t>
      </w:r>
      <w:r>
        <w:rPr>
          <w:spacing w:val="-3"/>
        </w:rPr>
        <w:t> </w:t>
      </w:r>
      <w:r>
        <w:rPr/>
        <w:t>was</w:t>
      </w:r>
      <w:r>
        <w:rPr>
          <w:spacing w:val="-3"/>
        </w:rPr>
        <w:t> </w:t>
      </w:r>
      <w:r>
        <w:rPr/>
        <w:t>popularised</w:t>
      </w:r>
      <w:r>
        <w:rPr>
          <w:spacing w:val="-3"/>
        </w:rPr>
        <w:t> </w:t>
      </w:r>
      <w:r>
        <w:rPr/>
        <w:t>by</w:t>
      </w:r>
      <w:r>
        <w:rPr>
          <w:spacing w:val="-3"/>
        </w:rPr>
        <w:t> </w:t>
      </w:r>
      <w:r>
        <w:rPr/>
        <w:t>the</w:t>
      </w:r>
      <w:r>
        <w:rPr>
          <w:spacing w:val="-3"/>
        </w:rPr>
        <w:t> </w:t>
      </w:r>
      <w:r>
        <w:rPr/>
        <w:t>Oakland</w:t>
      </w:r>
      <w:r>
        <w:rPr>
          <w:spacing w:val="-3"/>
        </w:rPr>
        <w:t> </w:t>
      </w:r>
      <w:r>
        <w:rPr/>
        <w:t>Raiders</w:t>
      </w:r>
      <w:r>
        <w:rPr>
          <w:spacing w:val="-3"/>
        </w:rPr>
        <w:t> </w:t>
      </w:r>
      <w:r>
        <w:rPr/>
        <w:t>baseball</w:t>
      </w:r>
      <w:r>
        <w:rPr>
          <w:spacing w:val="-3"/>
        </w:rPr>
        <w:t> </w:t>
      </w:r>
      <w:r>
        <w:rPr/>
        <w:t>team</w:t>
      </w:r>
      <w:r>
        <w:rPr>
          <w:spacing w:val="-3"/>
        </w:rPr>
        <w:t> </w:t>
      </w:r>
      <w:r>
        <w:rPr/>
        <w:t>in</w:t>
      </w:r>
      <w:r>
        <w:rPr>
          <w:spacing w:val="-3"/>
        </w:rPr>
        <w:t> </w:t>
      </w:r>
      <w:r>
        <w:rPr/>
        <w:t>Major League</w:t>
      </w:r>
      <w:r>
        <w:rPr>
          <w:spacing w:val="-14"/>
        </w:rPr>
        <w:t> </w:t>
      </w:r>
      <w:r>
        <w:rPr/>
        <w:t>Baseball</w:t>
      </w:r>
      <w:r>
        <w:rPr>
          <w:spacing w:val="-14"/>
        </w:rPr>
        <w:t> </w:t>
      </w:r>
      <w:r>
        <w:rPr/>
        <w:t>in</w:t>
      </w:r>
      <w:r>
        <w:rPr>
          <w:spacing w:val="-14"/>
        </w:rPr>
        <w:t> </w:t>
      </w:r>
      <w:r>
        <w:rPr/>
        <w:t>the</w:t>
      </w:r>
      <w:r>
        <w:rPr>
          <w:spacing w:val="-14"/>
        </w:rPr>
        <w:t> </w:t>
      </w:r>
      <w:r>
        <w:rPr/>
        <w:t>early</w:t>
      </w:r>
      <w:r>
        <w:rPr>
          <w:spacing w:val="-14"/>
        </w:rPr>
        <w:t> </w:t>
      </w:r>
      <w:r>
        <w:rPr/>
        <w:t>2000s</w:t>
      </w:r>
      <w:r>
        <w:rPr>
          <w:spacing w:val="-14"/>
        </w:rPr>
        <w:t> </w:t>
      </w:r>
      <w:r>
        <w:rPr/>
        <w:t>(</w:t>
      </w:r>
      <w:hyperlink w:history="true" w:anchor="_bookmark267">
        <w:r>
          <w:rPr>
            <w:color w:val="FF0000"/>
          </w:rPr>
          <w:t>Lewis</w:t>
        </w:r>
      </w:hyperlink>
      <w:r>
        <w:rPr/>
        <w:t>,</w:t>
      </w:r>
      <w:hyperlink w:history="true" w:anchor="_bookmark267">
        <w:r>
          <w:rPr>
            <w:color w:val="FF0000"/>
          </w:rPr>
          <w:t>2003</w:t>
        </w:r>
      </w:hyperlink>
      <w:r>
        <w:rPr/>
        <w:t>).</w:t>
      </w:r>
      <w:r>
        <w:rPr>
          <w:spacing w:val="6"/>
        </w:rPr>
        <w:t> </w:t>
      </w:r>
      <w:r>
        <w:rPr/>
        <w:t>Their</w:t>
      </w:r>
      <w:r>
        <w:rPr>
          <w:spacing w:val="-14"/>
        </w:rPr>
        <w:t> </w:t>
      </w:r>
      <w:r>
        <w:rPr/>
        <w:t>’Sabermetrics’</w:t>
      </w:r>
      <w:r>
        <w:rPr>
          <w:spacing w:val="-14"/>
        </w:rPr>
        <w:t> </w:t>
      </w:r>
      <w:r>
        <w:rPr/>
        <w:t>approach</w:t>
      </w:r>
      <w:r>
        <w:rPr>
          <w:spacing w:val="-14"/>
        </w:rPr>
        <w:t> </w:t>
      </w:r>
      <w:r>
        <w:rPr/>
        <w:t>allowed them</w:t>
      </w:r>
      <w:r>
        <w:rPr>
          <w:spacing w:val="-6"/>
        </w:rPr>
        <w:t> </w:t>
      </w:r>
      <w:r>
        <w:rPr/>
        <w:t>to</w:t>
      </w:r>
      <w:r>
        <w:rPr>
          <w:spacing w:val="-6"/>
        </w:rPr>
        <w:t> </w:t>
      </w:r>
      <w:r>
        <w:rPr/>
        <w:t>far</w:t>
      </w:r>
      <w:r>
        <w:rPr>
          <w:spacing w:val="-6"/>
        </w:rPr>
        <w:t> </w:t>
      </w:r>
      <w:r>
        <w:rPr/>
        <w:t>exceed</w:t>
      </w:r>
      <w:r>
        <w:rPr>
          <w:spacing w:val="-6"/>
        </w:rPr>
        <w:t> </w:t>
      </w:r>
      <w:r>
        <w:rPr/>
        <w:t>the</w:t>
      </w:r>
      <w:r>
        <w:rPr>
          <w:spacing w:val="-6"/>
        </w:rPr>
        <w:t> </w:t>
      </w:r>
      <w:r>
        <w:rPr/>
        <w:t>performance</w:t>
      </w:r>
      <w:r>
        <w:rPr>
          <w:spacing w:val="-6"/>
        </w:rPr>
        <w:t> </w:t>
      </w:r>
      <w:r>
        <w:rPr/>
        <w:t>their</w:t>
      </w:r>
      <w:r>
        <w:rPr>
          <w:spacing w:val="-6"/>
        </w:rPr>
        <w:t> </w:t>
      </w:r>
      <w:r>
        <w:rPr/>
        <w:t>budget</w:t>
      </w:r>
      <w:r>
        <w:rPr>
          <w:spacing w:val="-6"/>
        </w:rPr>
        <w:t> </w:t>
      </w:r>
      <w:r>
        <w:rPr/>
        <w:t>should</w:t>
      </w:r>
      <w:r>
        <w:rPr>
          <w:spacing w:val="-6"/>
        </w:rPr>
        <w:t> </w:t>
      </w:r>
      <w:r>
        <w:rPr/>
        <w:t>have</w:t>
      </w:r>
      <w:r>
        <w:rPr>
          <w:spacing w:val="-6"/>
        </w:rPr>
        <w:t> </w:t>
      </w:r>
      <w:r>
        <w:rPr/>
        <w:t>provided</w:t>
      </w:r>
      <w:r>
        <w:rPr>
          <w:spacing w:val="-6"/>
        </w:rPr>
        <w:t> </w:t>
      </w:r>
      <w:r>
        <w:rPr/>
        <w:t>by</w:t>
      </w:r>
      <w:r>
        <w:rPr>
          <w:spacing w:val="-6"/>
        </w:rPr>
        <w:t> </w:t>
      </w:r>
      <w:r>
        <w:rPr/>
        <w:t>using</w:t>
      </w:r>
      <w:r>
        <w:rPr>
          <w:spacing w:val="-6"/>
        </w:rPr>
        <w:t> </w:t>
      </w:r>
      <w:r>
        <w:rPr/>
        <w:t>analytics to</w:t>
      </w:r>
      <w:r>
        <w:rPr>
          <w:spacing w:val="-4"/>
        </w:rPr>
        <w:t> </w:t>
      </w:r>
      <w:r>
        <w:rPr/>
        <w:t>understand</w:t>
      </w:r>
      <w:r>
        <w:rPr>
          <w:spacing w:val="-4"/>
        </w:rPr>
        <w:t> </w:t>
      </w:r>
      <w:r>
        <w:rPr/>
        <w:t>underrated</w:t>
      </w:r>
      <w:r>
        <w:rPr>
          <w:spacing w:val="-4"/>
        </w:rPr>
        <w:t> </w:t>
      </w:r>
      <w:r>
        <w:rPr/>
        <w:t>players. They</w:t>
      </w:r>
      <w:r>
        <w:rPr>
          <w:spacing w:val="-4"/>
        </w:rPr>
        <w:t> </w:t>
      </w:r>
      <w:r>
        <w:rPr/>
        <w:t>did</w:t>
      </w:r>
      <w:r>
        <w:rPr>
          <w:spacing w:val="-4"/>
        </w:rPr>
        <w:t> </w:t>
      </w:r>
      <w:r>
        <w:rPr/>
        <w:t>this</w:t>
      </w:r>
      <w:r>
        <w:rPr>
          <w:spacing w:val="-4"/>
        </w:rPr>
        <w:t> </w:t>
      </w:r>
      <w:r>
        <w:rPr/>
        <w:t>by</w:t>
      </w:r>
      <w:r>
        <w:rPr>
          <w:spacing w:val="-4"/>
        </w:rPr>
        <w:t> </w:t>
      </w:r>
      <w:r>
        <w:rPr/>
        <w:t>redefining</w:t>
      </w:r>
      <w:r>
        <w:rPr>
          <w:spacing w:val="-4"/>
        </w:rPr>
        <w:t> </w:t>
      </w:r>
      <w:r>
        <w:rPr/>
        <w:t>the</w:t>
      </w:r>
      <w:r>
        <w:rPr>
          <w:spacing w:val="-4"/>
        </w:rPr>
        <w:t> </w:t>
      </w:r>
      <w:r>
        <w:rPr/>
        <w:t>elements</w:t>
      </w:r>
      <w:r>
        <w:rPr>
          <w:spacing w:val="-4"/>
        </w:rPr>
        <w:t> </w:t>
      </w:r>
      <w:r>
        <w:rPr/>
        <w:t>of</w:t>
      </w:r>
      <w:r>
        <w:rPr>
          <w:spacing w:val="-4"/>
        </w:rPr>
        <w:t> </w:t>
      </w:r>
      <w:r>
        <w:rPr/>
        <w:t>player</w:t>
      </w:r>
      <w:r>
        <w:rPr>
          <w:spacing w:val="-4"/>
        </w:rPr>
        <w:t> </w:t>
      </w:r>
      <w:r>
        <w:rPr/>
        <w:t>per- formances</w:t>
      </w:r>
      <w:r>
        <w:rPr>
          <w:spacing w:val="-10"/>
        </w:rPr>
        <w:t> </w:t>
      </w:r>
      <w:r>
        <w:rPr/>
        <w:t>perceived</w:t>
      </w:r>
      <w:r>
        <w:rPr>
          <w:spacing w:val="-10"/>
        </w:rPr>
        <w:t> </w:t>
      </w:r>
      <w:r>
        <w:rPr/>
        <w:t>to</w:t>
      </w:r>
      <w:r>
        <w:rPr>
          <w:spacing w:val="-10"/>
        </w:rPr>
        <w:t> </w:t>
      </w:r>
      <w:r>
        <w:rPr/>
        <w:t>be</w:t>
      </w:r>
      <w:r>
        <w:rPr>
          <w:spacing w:val="-10"/>
        </w:rPr>
        <w:t> </w:t>
      </w:r>
      <w:r>
        <w:rPr/>
        <w:t>valuable. For</w:t>
      </w:r>
      <w:r>
        <w:rPr>
          <w:spacing w:val="-10"/>
        </w:rPr>
        <w:t> </w:t>
      </w:r>
      <w:r>
        <w:rPr/>
        <w:t>example,</w:t>
      </w:r>
      <w:r>
        <w:rPr>
          <w:spacing w:val="-9"/>
        </w:rPr>
        <w:t> </w:t>
      </w:r>
      <w:r>
        <w:rPr/>
        <w:t>rather</w:t>
      </w:r>
      <w:r>
        <w:rPr>
          <w:spacing w:val="-10"/>
        </w:rPr>
        <w:t> </w:t>
      </w:r>
      <w:r>
        <w:rPr/>
        <w:t>than</w:t>
      </w:r>
      <w:r>
        <w:rPr>
          <w:spacing w:val="-10"/>
        </w:rPr>
        <w:t> </w:t>
      </w:r>
      <w:r>
        <w:rPr/>
        <w:t>considering</w:t>
      </w:r>
      <w:r>
        <w:rPr>
          <w:spacing w:val="-10"/>
        </w:rPr>
        <w:t> </w:t>
      </w:r>
      <w:r>
        <w:rPr/>
        <w:t>hit</w:t>
      </w:r>
      <w:r>
        <w:rPr>
          <w:spacing w:val="-10"/>
        </w:rPr>
        <w:t> </w:t>
      </w:r>
      <w:r>
        <w:rPr/>
        <w:t>percentages (Equation</w:t>
      </w:r>
      <w:hyperlink w:history="true" w:anchor="_bookmark11">
        <w:r>
          <w:rPr>
            <w:color w:val="0000FF"/>
          </w:rPr>
          <w:t>2.1</w:t>
        </w:r>
        <w:r>
          <w:rPr/>
          <w:t>)</w:t>
        </w:r>
      </w:hyperlink>
      <w:r>
        <w:rPr/>
        <w:t> as the best measure of batting performance, they instead considered on- base</w:t>
      </w:r>
      <w:r>
        <w:rPr>
          <w:spacing w:val="-2"/>
        </w:rPr>
        <w:t> </w:t>
      </w:r>
      <w:r>
        <w:rPr/>
        <w:t>percentage</w:t>
      </w:r>
      <w:r>
        <w:rPr>
          <w:spacing w:val="-2"/>
        </w:rPr>
        <w:t> </w:t>
      </w:r>
      <w:r>
        <w:rPr/>
        <w:t>(Equation</w:t>
      </w:r>
      <w:hyperlink w:history="true" w:anchor="_bookmark12">
        <w:r>
          <w:rPr>
            <w:color w:val="0000FF"/>
          </w:rPr>
          <w:t>2.2</w:t>
        </w:r>
      </w:hyperlink>
      <w:r>
        <w:rPr/>
        <w:t>). Their</w:t>
      </w:r>
      <w:r>
        <w:rPr>
          <w:spacing w:val="-2"/>
        </w:rPr>
        <w:t> </w:t>
      </w:r>
      <w:r>
        <w:rPr/>
        <w:t>reasoning</w:t>
      </w:r>
      <w:r>
        <w:rPr>
          <w:spacing w:val="-2"/>
        </w:rPr>
        <w:t> </w:t>
      </w:r>
      <w:r>
        <w:rPr/>
        <w:t>for</w:t>
      </w:r>
      <w:r>
        <w:rPr>
          <w:spacing w:val="-2"/>
        </w:rPr>
        <w:t> </w:t>
      </w:r>
      <w:r>
        <w:rPr/>
        <w:t>this</w:t>
      </w:r>
      <w:r>
        <w:rPr>
          <w:spacing w:val="-2"/>
        </w:rPr>
        <w:t> </w:t>
      </w:r>
      <w:r>
        <w:rPr/>
        <w:t>was</w:t>
      </w:r>
      <w:r>
        <w:rPr>
          <w:spacing w:val="-2"/>
        </w:rPr>
        <w:t> </w:t>
      </w:r>
      <w:r>
        <w:rPr/>
        <w:t>that</w:t>
      </w:r>
      <w:r>
        <w:rPr>
          <w:spacing w:val="-2"/>
        </w:rPr>
        <w:t> </w:t>
      </w:r>
      <w:r>
        <w:rPr/>
        <w:t>running</w:t>
      </w:r>
      <w:r>
        <w:rPr>
          <w:spacing w:val="-2"/>
        </w:rPr>
        <w:t> </w:t>
      </w:r>
      <w:r>
        <w:rPr/>
        <w:t>around</w:t>
      </w:r>
      <w:r>
        <w:rPr>
          <w:spacing w:val="-2"/>
        </w:rPr>
        <w:t> </w:t>
      </w:r>
      <w:r>
        <w:rPr/>
        <w:t>bases</w:t>
      </w:r>
      <w:r>
        <w:rPr>
          <w:spacing w:val="-2"/>
        </w:rPr>
        <w:t> </w:t>
      </w:r>
      <w:r>
        <w:rPr/>
        <w:t>is how</w:t>
      </w:r>
      <w:r>
        <w:rPr>
          <w:spacing w:val="-10"/>
        </w:rPr>
        <w:t> </w:t>
      </w:r>
      <w:r>
        <w:rPr/>
        <w:t>a</w:t>
      </w:r>
      <w:r>
        <w:rPr>
          <w:spacing w:val="-10"/>
        </w:rPr>
        <w:t> </w:t>
      </w:r>
      <w:r>
        <w:rPr/>
        <w:t>team</w:t>
      </w:r>
      <w:r>
        <w:rPr>
          <w:spacing w:val="-10"/>
        </w:rPr>
        <w:t> </w:t>
      </w:r>
      <w:r>
        <w:rPr/>
        <w:t>wins</w:t>
      </w:r>
      <w:r>
        <w:rPr>
          <w:spacing w:val="-10"/>
        </w:rPr>
        <w:t> </w:t>
      </w:r>
      <w:r>
        <w:rPr/>
        <w:t>matches</w:t>
      </w:r>
      <w:r>
        <w:rPr>
          <w:spacing w:val="-10"/>
        </w:rPr>
        <w:t> </w:t>
      </w:r>
      <w:r>
        <w:rPr/>
        <w:t>and</w:t>
      </w:r>
      <w:r>
        <w:rPr>
          <w:spacing w:val="-10"/>
        </w:rPr>
        <w:t> </w:t>
      </w:r>
      <w:r>
        <w:rPr/>
        <w:t>this</w:t>
      </w:r>
      <w:r>
        <w:rPr>
          <w:spacing w:val="-10"/>
        </w:rPr>
        <w:t> </w:t>
      </w:r>
      <w:r>
        <w:rPr/>
        <w:t>can</w:t>
      </w:r>
      <w:r>
        <w:rPr>
          <w:spacing w:val="-10"/>
        </w:rPr>
        <w:t> </w:t>
      </w:r>
      <w:r>
        <w:rPr/>
        <w:t>be</w:t>
      </w:r>
      <w:r>
        <w:rPr>
          <w:spacing w:val="-10"/>
        </w:rPr>
        <w:t> </w:t>
      </w:r>
      <w:r>
        <w:rPr/>
        <w:t>achieved</w:t>
      </w:r>
      <w:r>
        <w:rPr>
          <w:spacing w:val="-10"/>
        </w:rPr>
        <w:t> </w:t>
      </w:r>
      <w:r>
        <w:rPr/>
        <w:t>in</w:t>
      </w:r>
      <w:r>
        <w:rPr>
          <w:spacing w:val="-10"/>
        </w:rPr>
        <w:t> </w:t>
      </w:r>
      <w:r>
        <w:rPr/>
        <w:t>more</w:t>
      </w:r>
      <w:r>
        <w:rPr>
          <w:spacing w:val="-10"/>
        </w:rPr>
        <w:t> </w:t>
      </w:r>
      <w:r>
        <w:rPr/>
        <w:t>ways</w:t>
      </w:r>
      <w:r>
        <w:rPr>
          <w:spacing w:val="-10"/>
        </w:rPr>
        <w:t> </w:t>
      </w:r>
      <w:r>
        <w:rPr/>
        <w:t>than</w:t>
      </w:r>
      <w:r>
        <w:rPr>
          <w:spacing w:val="-10"/>
        </w:rPr>
        <w:t> </w:t>
      </w:r>
      <w:r>
        <w:rPr/>
        <w:t>just</w:t>
      </w:r>
      <w:r>
        <w:rPr>
          <w:spacing w:val="-10"/>
        </w:rPr>
        <w:t> </w:t>
      </w:r>
      <w:r>
        <w:rPr/>
        <w:t>hitting</w:t>
      </w:r>
      <w:r>
        <w:rPr>
          <w:spacing w:val="-10"/>
        </w:rPr>
        <w:t> </w:t>
      </w:r>
      <w:r>
        <w:rPr/>
        <w:t>the</w:t>
      </w:r>
      <w:r>
        <w:rPr>
          <w:spacing w:val="-10"/>
        </w:rPr>
        <w:t> </w:t>
      </w:r>
      <w:r>
        <w:rPr/>
        <w:t>ball. Similarly,</w:t>
      </w:r>
      <w:r>
        <w:rPr>
          <w:spacing w:val="-10"/>
        </w:rPr>
        <w:t> </w:t>
      </w:r>
      <w:r>
        <w:rPr/>
        <w:t>hitting</w:t>
      </w:r>
      <w:r>
        <w:rPr>
          <w:spacing w:val="-9"/>
        </w:rPr>
        <w:t> </w:t>
      </w:r>
      <w:r>
        <w:rPr/>
        <w:t>the</w:t>
      </w:r>
      <w:r>
        <w:rPr>
          <w:spacing w:val="-10"/>
        </w:rPr>
        <w:t> </w:t>
      </w:r>
      <w:r>
        <w:rPr/>
        <w:t>ball</w:t>
      </w:r>
      <w:r>
        <w:rPr>
          <w:spacing w:val="-9"/>
        </w:rPr>
        <w:t> </w:t>
      </w:r>
      <w:r>
        <w:rPr/>
        <w:t>does</w:t>
      </w:r>
      <w:r>
        <w:rPr>
          <w:spacing w:val="-10"/>
        </w:rPr>
        <w:t> </w:t>
      </w:r>
      <w:r>
        <w:rPr/>
        <w:t>not</w:t>
      </w:r>
      <w:r>
        <w:rPr>
          <w:spacing w:val="-9"/>
        </w:rPr>
        <w:t> </w:t>
      </w:r>
      <w:r>
        <w:rPr/>
        <w:t>necessarily</w:t>
      </w:r>
      <w:r>
        <w:rPr>
          <w:spacing w:val="-9"/>
        </w:rPr>
        <w:t> </w:t>
      </w:r>
      <w:r>
        <w:rPr/>
        <w:t>lead</w:t>
      </w:r>
      <w:r>
        <w:rPr>
          <w:spacing w:val="-10"/>
        </w:rPr>
        <w:t> </w:t>
      </w:r>
      <w:r>
        <w:rPr/>
        <w:t>to</w:t>
      </w:r>
      <w:r>
        <w:rPr>
          <w:spacing w:val="-9"/>
        </w:rPr>
        <w:t> </w:t>
      </w:r>
      <w:r>
        <w:rPr/>
        <w:t>reaching</w:t>
      </w:r>
      <w:r>
        <w:rPr>
          <w:spacing w:val="-10"/>
        </w:rPr>
        <w:t> </w:t>
      </w:r>
      <w:r>
        <w:rPr/>
        <w:t>any</w:t>
      </w:r>
      <w:r>
        <w:rPr>
          <w:spacing w:val="-9"/>
        </w:rPr>
        <w:t> </w:t>
      </w:r>
      <w:r>
        <w:rPr/>
        <w:t>given</w:t>
      </w:r>
      <w:r>
        <w:rPr>
          <w:spacing w:val="-9"/>
        </w:rPr>
        <w:t> </w:t>
      </w:r>
      <w:r>
        <w:rPr/>
        <w:t>base.</w:t>
      </w:r>
      <w:r>
        <w:rPr>
          <w:spacing w:val="3"/>
        </w:rPr>
        <w:t> </w:t>
      </w:r>
      <w:r>
        <w:rPr>
          <w:spacing w:val="-2"/>
        </w:rPr>
        <w:t>Equations</w:t>
      </w:r>
    </w:p>
    <w:p>
      <w:pPr>
        <w:pStyle w:val="BodyText"/>
        <w:spacing w:line="197" w:lineRule="exact"/>
        <w:ind w:left="610"/>
      </w:pPr>
      <w:hyperlink w:history="true" w:anchor="_bookmark11">
        <w:r>
          <w:rPr>
            <w:color w:val="0000FF"/>
          </w:rPr>
          <w:t>2.1</w:t>
        </w:r>
      </w:hyperlink>
      <w:r>
        <w:rPr/>
        <w:t>and</w:t>
      </w:r>
      <w:r>
        <w:rPr>
          <w:color w:val="0000FF"/>
        </w:rPr>
        <w:t>2.2</w:t>
      </w:r>
      <w:r>
        <w:rPr/>
        <w:t>can</w:t>
      </w:r>
      <w:r>
        <w:rPr>
          <w:spacing w:val="-14"/>
        </w:rPr>
        <w:t> </w:t>
      </w:r>
      <w:r>
        <w:rPr/>
        <w:t>be</w:t>
      </w:r>
      <w:r>
        <w:rPr>
          <w:spacing w:val="-13"/>
        </w:rPr>
        <w:t> </w:t>
      </w:r>
      <w:r>
        <w:rPr/>
        <w:t>defined</w:t>
      </w:r>
      <w:r>
        <w:rPr>
          <w:spacing w:val="-13"/>
        </w:rPr>
        <w:t> </w:t>
      </w:r>
      <w:r>
        <w:rPr>
          <w:spacing w:val="-5"/>
        </w:rPr>
        <w:t>as</w:t>
      </w:r>
    </w:p>
    <w:p>
      <w:pPr>
        <w:pStyle w:val="BodyText"/>
        <w:tabs>
          <w:tab w:pos="8656" w:val="left" w:leader="none"/>
        </w:tabs>
        <w:spacing w:line="384" w:lineRule="exact"/>
        <w:ind w:left="4046"/>
      </w:pPr>
      <w:bookmarkStart w:name="_bookmark11" w:id="28"/>
      <w:bookmarkEnd w:id="28"/>
      <w:r>
        <w:rPr/>
      </w:r>
      <w:r>
        <w:rPr>
          <w:w w:val="105"/>
        </w:rPr>
        <w:t>Hit</w:t>
      </w:r>
      <w:r>
        <w:rPr>
          <w:rFonts w:ascii="Garamond"/>
          <w:w w:val="105"/>
        </w:rPr>
        <w:t>%</w:t>
      </w:r>
      <w:r>
        <w:rPr>
          <w:rFonts w:ascii="Garamond"/>
          <w:spacing w:val="-4"/>
          <w:w w:val="105"/>
        </w:rPr>
        <w:t> </w:t>
      </w:r>
      <w:r>
        <w:rPr>
          <w:rFonts w:ascii="Garamond"/>
          <w:w w:val="105"/>
        </w:rPr>
        <w:t>=</w:t>
      </w:r>
      <w:r>
        <w:rPr>
          <w:rFonts w:ascii="Garamond"/>
          <w:spacing w:val="19"/>
          <w:w w:val="105"/>
        </w:rPr>
        <w:t> </w:t>
      </w:r>
      <w:r>
        <w:rPr>
          <w:spacing w:val="73"/>
          <w:w w:val="105"/>
          <w:position w:val="16"/>
          <w:u w:val="single"/>
        </w:rPr>
        <w:t> </w:t>
      </w:r>
      <w:r>
        <w:rPr>
          <w:w w:val="105"/>
          <w:position w:val="16"/>
          <w:u w:val="single"/>
        </w:rPr>
        <w:t>Hits</w:t>
      </w:r>
      <w:r>
        <w:rPr>
          <w:spacing w:val="75"/>
          <w:w w:val="105"/>
          <w:position w:val="16"/>
          <w:u w:val="single"/>
        </w:rPr>
        <w:t> </w:t>
      </w:r>
      <w:r>
        <w:rPr>
          <w:rFonts w:ascii="Cambria"/>
          <w:spacing w:val="-10"/>
          <w:w w:val="105"/>
        </w:rPr>
        <w:t>,</w:t>
      </w:r>
      <w:r>
        <w:rPr>
          <w:rFonts w:ascii="Cambria"/>
        </w:rPr>
        <w:tab/>
      </w:r>
      <w:r>
        <w:rPr>
          <w:spacing w:val="-2"/>
          <w:w w:val="105"/>
        </w:rPr>
        <w:t>(2.1)</w:t>
      </w:r>
    </w:p>
    <w:p>
      <w:pPr>
        <w:pStyle w:val="BodyText"/>
        <w:spacing w:line="214" w:lineRule="exact"/>
        <w:ind w:left="4885"/>
      </w:pPr>
      <w:r>
        <w:rPr>
          <w:spacing w:val="-2"/>
        </w:rPr>
        <w:t>At-</w:t>
      </w:r>
      <w:r>
        <w:rPr>
          <w:spacing w:val="-4"/>
        </w:rPr>
        <w:t>bats</w:t>
      </w:r>
    </w:p>
    <w:p>
      <w:pPr>
        <w:pStyle w:val="BodyText"/>
        <w:spacing w:line="312" w:lineRule="auto" w:before="79"/>
        <w:ind w:left="610" w:right="389"/>
      </w:pPr>
      <w:r>
        <w:rPr/>
        <w:t>where an at-bat is a player’s turn to bat, and the total number of both hits and at-bats are used; and</w:t>
      </w:r>
    </w:p>
    <w:p>
      <w:pPr>
        <w:pStyle w:val="BodyText"/>
        <w:tabs>
          <w:tab w:pos="3531" w:val="left" w:leader="none"/>
          <w:tab w:pos="7961" w:val="left" w:leader="none"/>
          <w:tab w:pos="8656" w:val="left" w:leader="none"/>
        </w:tabs>
        <w:spacing w:line="172" w:lineRule="auto" w:before="150"/>
        <w:ind w:left="1216"/>
      </w:pPr>
      <w:bookmarkStart w:name="_bookmark12" w:id="29"/>
      <w:bookmarkEnd w:id="29"/>
      <w:r>
        <w:rPr/>
      </w:r>
      <w:r>
        <w:rPr>
          <w:position w:val="-15"/>
        </w:rPr>
        <w:t>On-Base</w:t>
      </w:r>
      <w:r>
        <w:rPr>
          <w:rFonts w:ascii="Garamond"/>
          <w:position w:val="-15"/>
        </w:rPr>
        <w:t>% =</w:t>
      </w:r>
      <w:r>
        <w:rPr>
          <w:rFonts w:ascii="Garamond"/>
          <w:spacing w:val="30"/>
          <w:position w:val="-15"/>
        </w:rPr>
        <w:t> </w:t>
      </w:r>
      <w:r>
        <w:rPr>
          <w:u w:val="single"/>
        </w:rPr>
        <w:tab/>
        <w:t>Hits</w:t>
      </w:r>
      <w:r>
        <w:rPr>
          <w:spacing w:val="-5"/>
          <w:u w:val="single"/>
        </w:rPr>
        <w:t> </w:t>
      </w:r>
      <w:r>
        <w:rPr>
          <w:rFonts w:ascii="Garamond"/>
          <w:u w:val="single"/>
        </w:rPr>
        <w:t>+</w:t>
      </w:r>
      <w:r>
        <w:rPr>
          <w:rFonts w:ascii="Garamond"/>
          <w:spacing w:val="-5"/>
          <w:u w:val="single"/>
        </w:rPr>
        <w:t> </w:t>
      </w:r>
      <w:r>
        <w:rPr>
          <w:u w:val="single"/>
        </w:rPr>
        <w:t>Bases</w:t>
      </w:r>
      <w:r>
        <w:rPr>
          <w:spacing w:val="2"/>
          <w:u w:val="single"/>
        </w:rPr>
        <w:t> </w:t>
      </w:r>
      <w:r>
        <w:rPr>
          <w:u w:val="single"/>
        </w:rPr>
        <w:t>on</w:t>
      </w:r>
      <w:r>
        <w:rPr>
          <w:spacing w:val="1"/>
          <w:u w:val="single"/>
        </w:rPr>
        <w:t> </w:t>
      </w:r>
      <w:r>
        <w:rPr>
          <w:u w:val="single"/>
        </w:rPr>
        <w:t>balls</w:t>
      </w:r>
      <w:r>
        <w:rPr>
          <w:spacing w:val="-4"/>
          <w:u w:val="single"/>
        </w:rPr>
        <w:t> </w:t>
      </w:r>
      <w:r>
        <w:rPr>
          <w:rFonts w:ascii="Garamond"/>
          <w:u w:val="single"/>
        </w:rPr>
        <w:t>+</w:t>
      </w:r>
      <w:r>
        <w:rPr>
          <w:rFonts w:ascii="Garamond"/>
          <w:spacing w:val="-5"/>
          <w:u w:val="single"/>
        </w:rPr>
        <w:t> </w:t>
      </w:r>
      <w:r>
        <w:rPr>
          <w:u w:val="single"/>
        </w:rPr>
        <w:t>Hit</w:t>
      </w:r>
      <w:r>
        <w:rPr>
          <w:spacing w:val="2"/>
          <w:u w:val="single"/>
        </w:rPr>
        <w:t> </w:t>
      </w:r>
      <w:r>
        <w:rPr>
          <w:u w:val="single"/>
        </w:rPr>
        <w:t>by</w:t>
      </w:r>
      <w:r>
        <w:rPr>
          <w:spacing w:val="1"/>
          <w:u w:val="single"/>
        </w:rPr>
        <w:t> </w:t>
      </w:r>
      <w:r>
        <w:rPr>
          <w:spacing w:val="-2"/>
          <w:u w:val="single"/>
        </w:rPr>
        <w:t>pitch</w:t>
      </w:r>
      <w:r>
        <w:rPr>
          <w:u w:val="single"/>
        </w:rPr>
        <w:tab/>
      </w:r>
      <w:r>
        <w:rPr>
          <w:rFonts w:ascii="Cambria"/>
          <w:spacing w:val="-10"/>
          <w:position w:val="-15"/>
        </w:rPr>
        <w:t>,</w:t>
      </w:r>
      <w:r>
        <w:rPr>
          <w:rFonts w:ascii="Cambria"/>
          <w:position w:val="-15"/>
        </w:rPr>
        <w:tab/>
      </w:r>
      <w:r>
        <w:rPr>
          <w:spacing w:val="-2"/>
          <w:position w:val="-15"/>
        </w:rPr>
        <w:t>(2.2)</w:t>
      </w:r>
    </w:p>
    <w:p>
      <w:pPr>
        <w:pStyle w:val="BodyText"/>
        <w:spacing w:line="226" w:lineRule="exact"/>
        <w:ind w:left="2586"/>
      </w:pPr>
      <w:r>
        <w:rPr/>
        <w:t>At-bats</w:t>
      </w:r>
      <w:r>
        <w:rPr>
          <w:spacing w:val="-6"/>
        </w:rPr>
        <w:t> </w:t>
      </w:r>
      <w:r>
        <w:rPr>
          <w:rFonts w:ascii="Garamond"/>
        </w:rPr>
        <w:t>+</w:t>
      </w:r>
      <w:r>
        <w:rPr>
          <w:rFonts w:ascii="Garamond"/>
          <w:spacing w:val="-6"/>
        </w:rPr>
        <w:t> </w:t>
      </w:r>
      <w:r>
        <w:rPr/>
        <w:t>Bases</w:t>
      </w:r>
      <w:r>
        <w:rPr>
          <w:spacing w:val="1"/>
        </w:rPr>
        <w:t> </w:t>
      </w:r>
      <w:r>
        <w:rPr/>
        <w:t>on balls</w:t>
      </w:r>
      <w:r>
        <w:rPr>
          <w:spacing w:val="-6"/>
        </w:rPr>
        <w:t> </w:t>
      </w:r>
      <w:r>
        <w:rPr>
          <w:rFonts w:ascii="Garamond"/>
        </w:rPr>
        <w:t>+</w:t>
      </w:r>
      <w:r>
        <w:rPr>
          <w:rFonts w:ascii="Garamond"/>
          <w:spacing w:val="-5"/>
        </w:rPr>
        <w:t> </w:t>
      </w:r>
      <w:r>
        <w:rPr/>
        <w:t>Hit by</w:t>
      </w:r>
      <w:r>
        <w:rPr>
          <w:spacing w:val="1"/>
        </w:rPr>
        <w:t> </w:t>
      </w:r>
      <w:r>
        <w:rPr/>
        <w:t>pitch</w:t>
      </w:r>
      <w:r>
        <w:rPr>
          <w:spacing w:val="-6"/>
        </w:rPr>
        <w:t> </w:t>
      </w:r>
      <w:r>
        <w:rPr>
          <w:rFonts w:ascii="Garamond"/>
        </w:rPr>
        <w:t>+</w:t>
      </w:r>
      <w:r>
        <w:rPr>
          <w:rFonts w:ascii="Garamond"/>
          <w:spacing w:val="-6"/>
        </w:rPr>
        <w:t> </w:t>
      </w:r>
      <w:r>
        <w:rPr/>
        <w:t>Sacrifice</w:t>
      </w:r>
      <w:r>
        <w:rPr>
          <w:spacing w:val="1"/>
        </w:rPr>
        <w:t> </w:t>
      </w:r>
      <w:r>
        <w:rPr>
          <w:spacing w:val="-2"/>
        </w:rPr>
        <w:t>flies</w:t>
      </w:r>
    </w:p>
    <w:p>
      <w:pPr>
        <w:pStyle w:val="BodyText"/>
        <w:spacing w:line="312" w:lineRule="auto" w:before="244"/>
        <w:ind w:left="610" w:right="389"/>
        <w:jc w:val="both"/>
      </w:pPr>
      <w:r>
        <w:rPr/>
        <w:t>where bases on balls refers to a batter being awarded a walk to first base due to poor pitching, hit by pitch is another situation where a batter is awarded a walk to first </w:t>
      </w:r>
      <w:r>
        <w:rPr/>
        <w:t>base and</w:t>
      </w:r>
      <w:r>
        <w:rPr>
          <w:spacing w:val="-11"/>
        </w:rPr>
        <w:t> </w:t>
      </w:r>
      <w:r>
        <w:rPr/>
        <w:t>sacrifice</w:t>
      </w:r>
      <w:r>
        <w:rPr>
          <w:spacing w:val="-11"/>
        </w:rPr>
        <w:t> </w:t>
      </w:r>
      <w:r>
        <w:rPr/>
        <w:t>flies</w:t>
      </w:r>
      <w:r>
        <w:rPr>
          <w:spacing w:val="-11"/>
        </w:rPr>
        <w:t> </w:t>
      </w:r>
      <w:r>
        <w:rPr/>
        <w:t>refer</w:t>
      </w:r>
      <w:r>
        <w:rPr>
          <w:spacing w:val="-11"/>
        </w:rPr>
        <w:t> </w:t>
      </w:r>
      <w:r>
        <w:rPr/>
        <w:t>to</w:t>
      </w:r>
      <w:r>
        <w:rPr>
          <w:spacing w:val="-11"/>
        </w:rPr>
        <w:t> </w:t>
      </w:r>
      <w:r>
        <w:rPr/>
        <w:t>a</w:t>
      </w:r>
      <w:r>
        <w:rPr>
          <w:spacing w:val="-11"/>
        </w:rPr>
        <w:t> </w:t>
      </w:r>
      <w:r>
        <w:rPr/>
        <w:t>batter</w:t>
      </w:r>
      <w:r>
        <w:rPr>
          <w:spacing w:val="-11"/>
        </w:rPr>
        <w:t> </w:t>
      </w:r>
      <w:r>
        <w:rPr/>
        <w:t>hitting</w:t>
      </w:r>
      <w:r>
        <w:rPr>
          <w:spacing w:val="-11"/>
        </w:rPr>
        <w:t> </w:t>
      </w:r>
      <w:r>
        <w:rPr/>
        <w:t>the</w:t>
      </w:r>
      <w:r>
        <w:rPr>
          <w:spacing w:val="-11"/>
        </w:rPr>
        <w:t> </w:t>
      </w:r>
      <w:r>
        <w:rPr/>
        <w:t>ball</w:t>
      </w:r>
      <w:r>
        <w:rPr>
          <w:spacing w:val="-11"/>
        </w:rPr>
        <w:t> </w:t>
      </w:r>
      <w:r>
        <w:rPr/>
        <w:t>in</w:t>
      </w:r>
      <w:r>
        <w:rPr>
          <w:spacing w:val="-11"/>
        </w:rPr>
        <w:t> </w:t>
      </w:r>
      <w:r>
        <w:rPr/>
        <w:t>such</w:t>
      </w:r>
      <w:r>
        <w:rPr>
          <w:spacing w:val="-11"/>
        </w:rPr>
        <w:t> </w:t>
      </w:r>
      <w:r>
        <w:rPr/>
        <w:t>a</w:t>
      </w:r>
      <w:r>
        <w:rPr>
          <w:spacing w:val="-11"/>
        </w:rPr>
        <w:t> </w:t>
      </w:r>
      <w:r>
        <w:rPr/>
        <w:t>way</w:t>
      </w:r>
      <w:r>
        <w:rPr>
          <w:spacing w:val="-11"/>
        </w:rPr>
        <w:t> </w:t>
      </w:r>
      <w:r>
        <w:rPr/>
        <w:t>that</w:t>
      </w:r>
      <w:r>
        <w:rPr>
          <w:spacing w:val="-11"/>
        </w:rPr>
        <w:t> </w:t>
      </w:r>
      <w:r>
        <w:rPr/>
        <w:t>his</w:t>
      </w:r>
      <w:r>
        <w:rPr>
          <w:spacing w:val="-11"/>
        </w:rPr>
        <w:t> </w:t>
      </w:r>
      <w:r>
        <w:rPr/>
        <w:t>chances</w:t>
      </w:r>
      <w:r>
        <w:rPr>
          <w:spacing w:val="-11"/>
        </w:rPr>
        <w:t> </w:t>
      </w:r>
      <w:r>
        <w:rPr/>
        <w:t>of</w:t>
      </w:r>
      <w:r>
        <w:rPr>
          <w:spacing w:val="-11"/>
        </w:rPr>
        <w:t> </w:t>
      </w:r>
      <w:r>
        <w:rPr/>
        <w:t>scoring are diminished markedly, but a team-mate (usually on third base) has an enormously improved chance of scoring. The total number of all measures is used.</w:t>
      </w:r>
    </w:p>
    <w:p>
      <w:pPr>
        <w:pStyle w:val="BodyText"/>
        <w:spacing w:before="7"/>
        <w:rPr>
          <w:sz w:val="34"/>
        </w:rPr>
      </w:pPr>
    </w:p>
    <w:p>
      <w:pPr>
        <w:pStyle w:val="Heading3"/>
        <w:numPr>
          <w:ilvl w:val="2"/>
          <w:numId w:val="17"/>
        </w:numPr>
        <w:tabs>
          <w:tab w:pos="1471" w:val="left" w:leader="none"/>
          <w:tab w:pos="1472" w:val="left" w:leader="none"/>
        </w:tabs>
        <w:spacing w:line="240" w:lineRule="auto" w:before="0" w:after="0"/>
        <w:ind w:left="1471" w:right="0" w:hanging="862"/>
        <w:jc w:val="left"/>
      </w:pPr>
      <w:bookmarkStart w:name="_TOC_250059" w:id="30"/>
      <w:bookmarkStart w:name="2.2.1 Accumulated Count Data Analysis in" w:id="31"/>
      <w:r>
        <w:rPr>
          <w:b w:val="0"/>
        </w:rPr>
      </w:r>
      <w:bookmarkStart w:name="_bookmark13" w:id="32"/>
      <w:bookmarkEnd w:id="32"/>
      <w:r>
        <w:rPr/>
        <w:t>Accumulated</w:t>
      </w:r>
      <w:r>
        <w:rPr>
          <w:spacing w:val="12"/>
        </w:rPr>
        <w:t> </w:t>
      </w:r>
      <w:r>
        <w:rPr/>
        <w:t>Count</w:t>
      </w:r>
      <w:r>
        <w:rPr>
          <w:spacing w:val="13"/>
        </w:rPr>
        <w:t> </w:t>
      </w:r>
      <w:r>
        <w:rPr/>
        <w:t>Data</w:t>
      </w:r>
      <w:r>
        <w:rPr>
          <w:spacing w:val="12"/>
        </w:rPr>
        <w:t> </w:t>
      </w:r>
      <w:r>
        <w:rPr/>
        <w:t>Analysis</w:t>
      </w:r>
      <w:r>
        <w:rPr>
          <w:spacing w:val="13"/>
        </w:rPr>
        <w:t> </w:t>
      </w:r>
      <w:r>
        <w:rPr/>
        <w:t>in</w:t>
      </w:r>
      <w:r>
        <w:rPr>
          <w:spacing w:val="13"/>
        </w:rPr>
        <w:t> </w:t>
      </w:r>
      <w:r>
        <w:rPr/>
        <w:t>Team</w:t>
      </w:r>
      <w:r>
        <w:rPr>
          <w:spacing w:val="12"/>
        </w:rPr>
        <w:t> </w:t>
      </w:r>
      <w:bookmarkEnd w:id="30"/>
      <w:r>
        <w:rPr>
          <w:spacing w:val="-2"/>
        </w:rPr>
        <w:t>Sports</w:t>
      </w:r>
    </w:p>
    <w:p>
      <w:pPr>
        <w:pStyle w:val="BodyText"/>
        <w:spacing w:line="312" w:lineRule="auto" w:before="236"/>
        <w:ind w:left="610" w:right="389"/>
        <w:jc w:val="both"/>
      </w:pPr>
      <w:r>
        <w:rPr/>
        <w:t>Following</w:t>
      </w:r>
      <w:r>
        <w:rPr>
          <w:spacing w:val="-1"/>
        </w:rPr>
        <w:t> </w:t>
      </w:r>
      <w:r>
        <w:rPr/>
        <w:t>the</w:t>
      </w:r>
      <w:r>
        <w:rPr>
          <w:spacing w:val="-1"/>
        </w:rPr>
        <w:t> </w:t>
      </w:r>
      <w:r>
        <w:rPr/>
        <w:t>success</w:t>
      </w:r>
      <w:r>
        <w:rPr>
          <w:spacing w:val="-1"/>
        </w:rPr>
        <w:t> </w:t>
      </w:r>
      <w:r>
        <w:rPr/>
        <w:t>of</w:t>
      </w:r>
      <w:r>
        <w:rPr>
          <w:spacing w:val="-1"/>
        </w:rPr>
        <w:t> </w:t>
      </w:r>
      <w:r>
        <w:rPr/>
        <w:t>the</w:t>
      </w:r>
      <w:r>
        <w:rPr>
          <w:spacing w:val="-1"/>
        </w:rPr>
        <w:t> </w:t>
      </w:r>
      <w:r>
        <w:rPr/>
        <w:t>Oakland</w:t>
      </w:r>
      <w:r>
        <w:rPr>
          <w:spacing w:val="-1"/>
        </w:rPr>
        <w:t> </w:t>
      </w:r>
      <w:r>
        <w:rPr/>
        <w:t>Raiders, other</w:t>
      </w:r>
      <w:r>
        <w:rPr>
          <w:spacing w:val="-1"/>
        </w:rPr>
        <w:t> </w:t>
      </w:r>
      <w:r>
        <w:rPr/>
        <w:t>sports</w:t>
      </w:r>
      <w:r>
        <w:rPr>
          <w:spacing w:val="-1"/>
        </w:rPr>
        <w:t> </w:t>
      </w:r>
      <w:r>
        <w:rPr/>
        <w:t>have</w:t>
      </w:r>
      <w:r>
        <w:rPr>
          <w:spacing w:val="-1"/>
        </w:rPr>
        <w:t> </w:t>
      </w:r>
      <w:r>
        <w:rPr/>
        <w:t>conducted</w:t>
      </w:r>
      <w:r>
        <w:rPr>
          <w:spacing w:val="-1"/>
        </w:rPr>
        <w:t> </w:t>
      </w:r>
      <w:r>
        <w:rPr/>
        <w:t>similar</w:t>
      </w:r>
      <w:r>
        <w:rPr>
          <w:spacing w:val="-1"/>
        </w:rPr>
        <w:t> </w:t>
      </w:r>
      <w:r>
        <w:rPr/>
        <w:t>anal- yses using accumulated count measures in an attempt to evaluate player and team per- formances.</w:t>
      </w:r>
      <w:r>
        <w:rPr>
          <w:spacing w:val="40"/>
        </w:rPr>
        <w:t> </w:t>
      </w:r>
      <w:r>
        <w:rPr/>
        <w:t>Accumulated count measures refer to counts of match actions, which are accumulated over a specific time period (usually a match) and are used to provide key performance</w:t>
      </w:r>
      <w:r>
        <w:rPr>
          <w:spacing w:val="-6"/>
        </w:rPr>
        <w:t> </w:t>
      </w:r>
      <w:r>
        <w:rPr/>
        <w:t>indicators</w:t>
      </w:r>
      <w:r>
        <w:rPr>
          <w:spacing w:val="-6"/>
        </w:rPr>
        <w:t> </w:t>
      </w:r>
      <w:r>
        <w:rPr/>
        <w:t>for</w:t>
      </w:r>
      <w:r>
        <w:rPr>
          <w:spacing w:val="-6"/>
        </w:rPr>
        <w:t> </w:t>
      </w:r>
      <w:r>
        <w:rPr/>
        <w:t>coaches.</w:t>
      </w:r>
      <w:r>
        <w:rPr>
          <w:spacing w:val="10"/>
        </w:rPr>
        <w:t> </w:t>
      </w:r>
      <w:r>
        <w:rPr/>
        <w:t>These</w:t>
      </w:r>
      <w:r>
        <w:rPr>
          <w:spacing w:val="-5"/>
        </w:rPr>
        <w:t> </w:t>
      </w:r>
      <w:r>
        <w:rPr/>
        <w:t>performance</w:t>
      </w:r>
      <w:r>
        <w:rPr>
          <w:spacing w:val="-6"/>
        </w:rPr>
        <w:t> </w:t>
      </w:r>
      <w:r>
        <w:rPr/>
        <w:t>indicators</w:t>
      </w:r>
      <w:r>
        <w:rPr>
          <w:spacing w:val="-6"/>
        </w:rPr>
        <w:t> </w:t>
      </w:r>
      <w:r>
        <w:rPr/>
        <w:t>can</w:t>
      </w:r>
      <w:r>
        <w:rPr>
          <w:spacing w:val="-5"/>
        </w:rPr>
        <w:t> </w:t>
      </w:r>
      <w:r>
        <w:rPr/>
        <w:t>be</w:t>
      </w:r>
      <w:r>
        <w:rPr>
          <w:spacing w:val="-7"/>
        </w:rPr>
        <w:t> </w:t>
      </w:r>
      <w:r>
        <w:rPr/>
        <w:t>used</w:t>
      </w:r>
      <w:r>
        <w:rPr>
          <w:spacing w:val="-5"/>
        </w:rPr>
        <w:t> </w:t>
      </w:r>
      <w:r>
        <w:rPr/>
        <w:t>as</w:t>
      </w:r>
      <w:r>
        <w:rPr>
          <w:spacing w:val="-5"/>
        </w:rPr>
        <w:t> </w:t>
      </w:r>
      <w:r>
        <w:rPr>
          <w:spacing w:val="-2"/>
        </w:rPr>
        <w:t>bench-</w:t>
      </w:r>
    </w:p>
    <w:p>
      <w:pPr>
        <w:spacing w:after="0" w:line="312" w:lineRule="auto"/>
        <w:jc w:val="both"/>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pPr>
      <w:r>
        <w:rPr/>
        <w:t>marks through which coaches evaluate changes to their tactical strategies (</w:t>
      </w:r>
      <w:hyperlink w:history="true" w:anchor="_bookmark253">
        <w:r>
          <w:rPr>
            <w:color w:val="FF0000"/>
          </w:rPr>
          <w:t>Herold et </w:t>
        </w:r>
        <w:r>
          <w:rPr>
            <w:color w:val="FF0000"/>
          </w:rPr>
          <w:t>al.</w:t>
        </w:r>
      </w:hyperlink>
      <w:r>
        <w:rPr/>
        <w:t>, </w:t>
      </w:r>
      <w:hyperlink w:history="true" w:anchor="_bookmark253">
        <w:r>
          <w:rPr>
            <w:color w:val="FF0000"/>
            <w:spacing w:val="-2"/>
          </w:rPr>
          <w:t>2021</w:t>
        </w:r>
      </w:hyperlink>
      <w:r>
        <w:rPr>
          <w:spacing w:val="-2"/>
        </w:rPr>
        <w:t>).</w:t>
      </w:r>
    </w:p>
    <w:p>
      <w:pPr>
        <w:pStyle w:val="BodyText"/>
        <w:spacing w:line="309" w:lineRule="auto"/>
        <w:ind w:left="610" w:right="389" w:firstLine="351"/>
      </w:pPr>
      <w:hyperlink w:history="true" w:anchor="_bookmark283">
        <w:r>
          <w:rPr>
            <w:color w:val="FF0000"/>
          </w:rPr>
          <w:t>Puente et al.</w:t>
        </w:r>
      </w:hyperlink>
      <w:r>
        <w:rPr/>
        <w:t>(</w:t>
      </w:r>
      <w:hyperlink w:history="true" w:anchor="_bookmark283">
        <w:r>
          <w:rPr>
            <w:color w:val="FF0000"/>
          </w:rPr>
          <w:t>2015</w:t>
        </w:r>
        <w:r>
          <w:rPr/>
          <w:t>)</w:t>
        </w:r>
      </w:hyperlink>
      <w:r>
        <w:rPr/>
        <w:t> used season accumulated basketball statistics to identify perfor- mance</w:t>
      </w:r>
      <w:r>
        <w:rPr>
          <w:spacing w:val="25"/>
        </w:rPr>
        <w:t> </w:t>
      </w:r>
      <w:r>
        <w:rPr/>
        <w:t>indicators</w:t>
      </w:r>
      <w:r>
        <w:rPr>
          <w:spacing w:val="25"/>
        </w:rPr>
        <w:t> </w:t>
      </w:r>
      <w:r>
        <w:rPr/>
        <w:t>for</w:t>
      </w:r>
      <w:r>
        <w:rPr>
          <w:spacing w:val="25"/>
        </w:rPr>
        <w:t> </w:t>
      </w:r>
      <w:r>
        <w:rPr/>
        <w:t>teams</w:t>
      </w:r>
      <w:r>
        <w:rPr>
          <w:spacing w:val="25"/>
        </w:rPr>
        <w:t> </w:t>
      </w:r>
      <w:r>
        <w:rPr/>
        <w:t>who</w:t>
      </w:r>
      <w:r>
        <w:rPr>
          <w:spacing w:val="25"/>
        </w:rPr>
        <w:t> </w:t>
      </w:r>
      <w:r>
        <w:rPr/>
        <w:t>made</w:t>
      </w:r>
      <w:r>
        <w:rPr>
          <w:spacing w:val="25"/>
        </w:rPr>
        <w:t> </w:t>
      </w:r>
      <w:r>
        <w:rPr/>
        <w:t>the</w:t>
      </w:r>
      <w:r>
        <w:rPr>
          <w:spacing w:val="25"/>
        </w:rPr>
        <w:t> </w:t>
      </w:r>
      <w:r>
        <w:rPr/>
        <w:t>playoffs</w:t>
      </w:r>
      <w:r>
        <w:rPr>
          <w:spacing w:val="25"/>
        </w:rPr>
        <w:t> </w:t>
      </w:r>
      <w:r>
        <w:rPr/>
        <w:t>in</w:t>
      </w:r>
      <w:r>
        <w:rPr>
          <w:spacing w:val="25"/>
        </w:rPr>
        <w:t> </w:t>
      </w:r>
      <w:r>
        <w:rPr/>
        <w:t>the</w:t>
      </w:r>
      <w:r>
        <w:rPr>
          <w:spacing w:val="25"/>
        </w:rPr>
        <w:t> </w:t>
      </w:r>
      <w:r>
        <w:rPr/>
        <w:t>Spanish</w:t>
      </w:r>
      <w:r>
        <w:rPr>
          <w:spacing w:val="25"/>
        </w:rPr>
        <w:t> </w:t>
      </w:r>
      <w:r>
        <w:rPr/>
        <w:t>Basketball</w:t>
      </w:r>
      <w:r>
        <w:rPr>
          <w:spacing w:val="25"/>
        </w:rPr>
        <w:t> </w:t>
      </w:r>
      <w:r>
        <w:rPr/>
        <w:t>League. They</w:t>
      </w:r>
      <w:r>
        <w:rPr>
          <w:spacing w:val="-11"/>
        </w:rPr>
        <w:t> </w:t>
      </w:r>
      <w:r>
        <w:rPr/>
        <w:t>used</w:t>
      </w:r>
      <w:r>
        <w:rPr>
          <w:spacing w:val="-11"/>
        </w:rPr>
        <w:t> </w:t>
      </w:r>
      <w:r>
        <w:rPr/>
        <w:t>10</w:t>
      </w:r>
      <w:r>
        <w:rPr>
          <w:spacing w:val="-11"/>
        </w:rPr>
        <w:t> </w:t>
      </w:r>
      <w:r>
        <w:rPr/>
        <w:t>seasons</w:t>
      </w:r>
      <w:r>
        <w:rPr>
          <w:spacing w:val="-11"/>
        </w:rPr>
        <w:t> </w:t>
      </w:r>
      <w:r>
        <w:rPr/>
        <w:t>of</w:t>
      </w:r>
      <w:r>
        <w:rPr>
          <w:spacing w:val="-11"/>
        </w:rPr>
        <w:t> </w:t>
      </w:r>
      <w:r>
        <w:rPr/>
        <w:t>Spanish</w:t>
      </w:r>
      <w:r>
        <w:rPr>
          <w:spacing w:val="-11"/>
        </w:rPr>
        <w:t> </w:t>
      </w:r>
      <w:r>
        <w:rPr/>
        <w:t>Basketball</w:t>
      </w:r>
      <w:r>
        <w:rPr>
          <w:spacing w:val="-11"/>
        </w:rPr>
        <w:t> </w:t>
      </w:r>
      <w:r>
        <w:rPr/>
        <w:t>League</w:t>
      </w:r>
      <w:r>
        <w:rPr>
          <w:spacing w:val="-11"/>
        </w:rPr>
        <w:t> </w:t>
      </w:r>
      <w:r>
        <w:rPr/>
        <w:t>data</w:t>
      </w:r>
      <w:r>
        <w:rPr>
          <w:spacing w:val="-11"/>
        </w:rPr>
        <w:t> </w:t>
      </w:r>
      <w:r>
        <w:rPr/>
        <w:t>between</w:t>
      </w:r>
      <w:r>
        <w:rPr>
          <w:spacing w:val="-11"/>
        </w:rPr>
        <w:t> </w:t>
      </w:r>
      <w:r>
        <w:rPr/>
        <w:t>2003</w:t>
      </w:r>
      <w:r>
        <w:rPr>
          <w:spacing w:val="-11"/>
        </w:rPr>
        <w:t> </w:t>
      </w:r>
      <w:r>
        <w:rPr/>
        <w:t>and</w:t>
      </w:r>
      <w:r>
        <w:rPr>
          <w:spacing w:val="-11"/>
        </w:rPr>
        <w:t> </w:t>
      </w:r>
      <w:r>
        <w:rPr/>
        <w:t>2013,</w:t>
      </w:r>
      <w:r>
        <w:rPr>
          <w:spacing w:val="-10"/>
        </w:rPr>
        <w:t> </w:t>
      </w:r>
      <w:r>
        <w:rPr/>
        <w:t>includ- ing a total of 3,060 basketball games.</w:t>
      </w:r>
      <w:r>
        <w:rPr>
          <w:spacing w:val="40"/>
        </w:rPr>
        <w:t> </w:t>
      </w:r>
      <w:r>
        <w:rPr/>
        <w:t>The data were preprocessed so that game-related statistics were accumulated at the season level (i.e.</w:t>
      </w:r>
      <w:r>
        <w:rPr>
          <w:spacing w:val="24"/>
        </w:rPr>
        <w:t> </w:t>
      </w:r>
      <w:r>
        <w:rPr/>
        <w:t>total counts of each statistic for each season were used).</w:t>
      </w:r>
      <w:r>
        <w:rPr>
          <w:spacing w:val="38"/>
        </w:rPr>
        <w:t> </w:t>
      </w:r>
      <w:r>
        <w:rPr/>
        <w:t>The final league ranking of the team and the number of wins within the</w:t>
      </w:r>
      <w:r>
        <w:rPr>
          <w:spacing w:val="-9"/>
        </w:rPr>
        <w:t> </w:t>
      </w:r>
      <w:r>
        <w:rPr/>
        <w:t>season</w:t>
      </w:r>
      <w:r>
        <w:rPr>
          <w:spacing w:val="-9"/>
        </w:rPr>
        <w:t> </w:t>
      </w:r>
      <w:r>
        <w:rPr/>
        <w:t>were</w:t>
      </w:r>
      <w:r>
        <w:rPr>
          <w:spacing w:val="-9"/>
        </w:rPr>
        <w:t> </w:t>
      </w:r>
      <w:r>
        <w:rPr/>
        <w:t>also</w:t>
      </w:r>
      <w:r>
        <w:rPr>
          <w:spacing w:val="-9"/>
        </w:rPr>
        <w:t> </w:t>
      </w:r>
      <w:r>
        <w:rPr/>
        <w:t>identified. Pearson</w:t>
      </w:r>
      <w:r>
        <w:rPr>
          <w:spacing w:val="-9"/>
        </w:rPr>
        <w:t> </w:t>
      </w:r>
      <w:r>
        <w:rPr/>
        <w:t>correlation</w:t>
      </w:r>
      <w:r>
        <w:rPr>
          <w:spacing w:val="-9"/>
        </w:rPr>
        <w:t> </w:t>
      </w:r>
      <w:r>
        <w:rPr/>
        <w:t>(</w:t>
      </w:r>
      <w:hyperlink w:history="true" w:anchor="_bookmark285">
        <w:r>
          <w:rPr>
            <w:color w:val="FF0000"/>
          </w:rPr>
          <w:t>Rodgers</w:t>
        </w:r>
        <w:r>
          <w:rPr>
            <w:color w:val="FF0000"/>
            <w:spacing w:val="-9"/>
          </w:rPr>
          <w:t> </w:t>
        </w:r>
        <w:r>
          <w:rPr>
            <w:color w:val="FF0000"/>
          </w:rPr>
          <w:t>and</w:t>
        </w:r>
        <w:r>
          <w:rPr>
            <w:color w:val="FF0000"/>
            <w:spacing w:val="-9"/>
          </w:rPr>
          <w:t> </w:t>
        </w:r>
        <w:r>
          <w:rPr>
            <w:color w:val="FF0000"/>
          </w:rPr>
          <w:t>Nicewander</w:t>
        </w:r>
      </w:hyperlink>
      <w:r>
        <w:rPr/>
        <w:t>,</w:t>
      </w:r>
      <w:hyperlink w:history="true" w:anchor="_bookmark285">
        <w:r>
          <w:rPr>
            <w:color w:val="FF0000"/>
          </w:rPr>
          <w:t>1988</w:t>
        </w:r>
        <w:r>
          <w:rPr/>
          <w:t>)</w:t>
        </w:r>
      </w:hyperlink>
      <w:r>
        <w:rPr>
          <w:spacing w:val="-9"/>
        </w:rPr>
        <w:t> </w:t>
      </w:r>
      <w:r>
        <w:rPr/>
        <w:t>was used</w:t>
      </w:r>
      <w:r>
        <w:rPr>
          <w:spacing w:val="-15"/>
        </w:rPr>
        <w:t> </w:t>
      </w:r>
      <w:r>
        <w:rPr/>
        <w:t>to</w:t>
      </w:r>
      <w:r>
        <w:rPr>
          <w:spacing w:val="-15"/>
        </w:rPr>
        <w:t> </w:t>
      </w:r>
      <w:r>
        <w:rPr/>
        <w:t>assess</w:t>
      </w:r>
      <w:r>
        <w:rPr>
          <w:spacing w:val="-15"/>
        </w:rPr>
        <w:t> </w:t>
      </w:r>
      <w:r>
        <w:rPr/>
        <w:t>the</w:t>
      </w:r>
      <w:r>
        <w:rPr>
          <w:spacing w:val="-15"/>
        </w:rPr>
        <w:t> </w:t>
      </w:r>
      <w:r>
        <w:rPr/>
        <w:t>association</w:t>
      </w:r>
      <w:r>
        <w:rPr>
          <w:spacing w:val="-15"/>
        </w:rPr>
        <w:t> </w:t>
      </w:r>
      <w:r>
        <w:rPr/>
        <w:t>between</w:t>
      </w:r>
      <w:r>
        <w:rPr>
          <w:spacing w:val="-15"/>
        </w:rPr>
        <w:t> </w:t>
      </w:r>
      <w:r>
        <w:rPr/>
        <w:t>game-related</w:t>
      </w:r>
      <w:r>
        <w:rPr>
          <w:spacing w:val="-15"/>
        </w:rPr>
        <w:t> </w:t>
      </w:r>
      <w:r>
        <w:rPr/>
        <w:t>statistics</w:t>
      </w:r>
      <w:r>
        <w:rPr>
          <w:spacing w:val="-15"/>
        </w:rPr>
        <w:t> </w:t>
      </w:r>
      <w:r>
        <w:rPr/>
        <w:t>and</w:t>
      </w:r>
      <w:r>
        <w:rPr>
          <w:spacing w:val="-15"/>
        </w:rPr>
        <w:t> </w:t>
      </w:r>
      <w:r>
        <w:rPr/>
        <w:t>the</w:t>
      </w:r>
      <w:r>
        <w:rPr>
          <w:spacing w:val="-15"/>
        </w:rPr>
        <w:t> </w:t>
      </w:r>
      <w:r>
        <w:rPr/>
        <w:t>number</w:t>
      </w:r>
      <w:r>
        <w:rPr>
          <w:spacing w:val="-15"/>
        </w:rPr>
        <w:t> </w:t>
      </w:r>
      <w:r>
        <w:rPr/>
        <w:t>of</w:t>
      </w:r>
      <w:r>
        <w:rPr>
          <w:spacing w:val="-15"/>
        </w:rPr>
        <w:t> </w:t>
      </w:r>
      <w:r>
        <w:rPr/>
        <w:t>wins</w:t>
      </w:r>
      <w:r>
        <w:rPr>
          <w:spacing w:val="-15"/>
        </w:rPr>
        <w:t> </w:t>
      </w:r>
      <w:r>
        <w:rPr/>
        <w:t>dur- ing</w:t>
      </w:r>
      <w:r>
        <w:rPr>
          <w:spacing w:val="-3"/>
        </w:rPr>
        <w:t> </w:t>
      </w:r>
      <w:r>
        <w:rPr/>
        <w:t>the</w:t>
      </w:r>
      <w:r>
        <w:rPr>
          <w:spacing w:val="-3"/>
        </w:rPr>
        <w:t> </w:t>
      </w:r>
      <w:r>
        <w:rPr/>
        <w:t>regular</w:t>
      </w:r>
      <w:r>
        <w:rPr>
          <w:spacing w:val="-3"/>
        </w:rPr>
        <w:t> </w:t>
      </w:r>
      <w:r>
        <w:rPr/>
        <w:t>season. Multiple</w:t>
      </w:r>
      <w:r>
        <w:rPr>
          <w:spacing w:val="-3"/>
        </w:rPr>
        <w:t> </w:t>
      </w:r>
      <w:r>
        <w:rPr/>
        <w:t>regression</w:t>
      </w:r>
      <w:r>
        <w:rPr>
          <w:spacing w:val="-3"/>
        </w:rPr>
        <w:t> </w:t>
      </w:r>
      <w:r>
        <w:rPr/>
        <w:t>analysis</w:t>
      </w:r>
      <w:r>
        <w:rPr>
          <w:spacing w:val="-3"/>
        </w:rPr>
        <w:t> </w:t>
      </w:r>
      <w:r>
        <w:rPr/>
        <w:t>(</w:t>
      </w:r>
      <w:hyperlink w:history="true" w:anchor="_bookmark260">
        <w:r>
          <w:rPr>
            <w:color w:val="FF0000"/>
          </w:rPr>
          <w:t>Jobson</w:t>
        </w:r>
      </w:hyperlink>
      <w:r>
        <w:rPr/>
        <w:t>,</w:t>
      </w:r>
      <w:hyperlink w:history="true" w:anchor="_bookmark260">
        <w:r>
          <w:rPr>
            <w:color w:val="FF0000"/>
          </w:rPr>
          <w:t>1991</w:t>
        </w:r>
        <w:r>
          <w:rPr/>
          <w:t>)</w:t>
        </w:r>
      </w:hyperlink>
      <w:r>
        <w:rPr>
          <w:spacing w:val="-3"/>
        </w:rPr>
        <w:t> </w:t>
      </w:r>
      <w:r>
        <w:rPr/>
        <w:t>was</w:t>
      </w:r>
      <w:r>
        <w:rPr>
          <w:spacing w:val="-3"/>
        </w:rPr>
        <w:t> </w:t>
      </w:r>
      <w:r>
        <w:rPr/>
        <w:t>used</w:t>
      </w:r>
      <w:r>
        <w:rPr>
          <w:spacing w:val="-3"/>
        </w:rPr>
        <w:t> </w:t>
      </w:r>
      <w:r>
        <w:rPr/>
        <w:t>to</w:t>
      </w:r>
      <w:r>
        <w:rPr>
          <w:spacing w:val="-3"/>
        </w:rPr>
        <w:t> </w:t>
      </w:r>
      <w:r>
        <w:rPr/>
        <w:t>provide</w:t>
      </w:r>
      <w:r>
        <w:rPr>
          <w:spacing w:val="-3"/>
        </w:rPr>
        <w:t> </w:t>
      </w:r>
      <w:r>
        <w:rPr/>
        <w:t>a </w:t>
      </w:r>
      <w:r>
        <w:rPr>
          <w:spacing w:val="-2"/>
        </w:rPr>
        <w:t>model</w:t>
      </w:r>
      <w:r>
        <w:rPr>
          <w:spacing w:val="-7"/>
        </w:rPr>
        <w:t> </w:t>
      </w:r>
      <w:r>
        <w:rPr>
          <w:spacing w:val="-2"/>
        </w:rPr>
        <w:t>explaining</w:t>
      </w:r>
      <w:r>
        <w:rPr>
          <w:spacing w:val="-7"/>
        </w:rPr>
        <w:t> </w:t>
      </w:r>
      <w:r>
        <w:rPr>
          <w:spacing w:val="-2"/>
        </w:rPr>
        <w:t>the</w:t>
      </w:r>
      <w:r>
        <w:rPr>
          <w:spacing w:val="-7"/>
        </w:rPr>
        <w:t> </w:t>
      </w:r>
      <w:r>
        <w:rPr>
          <w:spacing w:val="-2"/>
        </w:rPr>
        <w:t>number</w:t>
      </w:r>
      <w:r>
        <w:rPr>
          <w:spacing w:val="-7"/>
        </w:rPr>
        <w:t> </w:t>
      </w:r>
      <w:r>
        <w:rPr>
          <w:spacing w:val="-2"/>
        </w:rPr>
        <w:t>of</w:t>
      </w:r>
      <w:r>
        <w:rPr>
          <w:spacing w:val="-7"/>
        </w:rPr>
        <w:t> </w:t>
      </w:r>
      <w:r>
        <w:rPr>
          <w:spacing w:val="-2"/>
        </w:rPr>
        <w:t>in</w:t>
      </w:r>
      <w:r>
        <w:rPr>
          <w:spacing w:val="-7"/>
        </w:rPr>
        <w:t> </w:t>
      </w:r>
      <w:r>
        <w:rPr>
          <w:spacing w:val="-2"/>
        </w:rPr>
        <w:t>season</w:t>
      </w:r>
      <w:r>
        <w:rPr>
          <w:spacing w:val="-8"/>
        </w:rPr>
        <w:t> </w:t>
      </w:r>
      <w:r>
        <w:rPr>
          <w:spacing w:val="-2"/>
        </w:rPr>
        <w:t>wins</w:t>
      </w:r>
      <w:r>
        <w:rPr>
          <w:spacing w:val="-7"/>
        </w:rPr>
        <w:t> </w:t>
      </w:r>
      <w:r>
        <w:rPr>
          <w:spacing w:val="-2"/>
        </w:rPr>
        <w:t>using</w:t>
      </w:r>
      <w:r>
        <w:rPr>
          <w:spacing w:val="-7"/>
        </w:rPr>
        <w:t> </w:t>
      </w:r>
      <w:r>
        <w:rPr>
          <w:spacing w:val="-2"/>
        </w:rPr>
        <w:t>the</w:t>
      </w:r>
      <w:r>
        <w:rPr>
          <w:spacing w:val="-7"/>
        </w:rPr>
        <w:t> </w:t>
      </w:r>
      <w:r>
        <w:rPr>
          <w:spacing w:val="-2"/>
        </w:rPr>
        <w:t>variables</w:t>
      </w:r>
      <w:r>
        <w:rPr>
          <w:spacing w:val="-7"/>
        </w:rPr>
        <w:t> </w:t>
      </w:r>
      <w:r>
        <w:rPr>
          <w:spacing w:val="-2"/>
        </w:rPr>
        <w:t>identified</w:t>
      </w:r>
      <w:r>
        <w:rPr>
          <w:spacing w:val="-7"/>
        </w:rPr>
        <w:t> </w:t>
      </w:r>
      <w:r>
        <w:rPr>
          <w:spacing w:val="-2"/>
        </w:rPr>
        <w:t>as</w:t>
      </w:r>
      <w:r>
        <w:rPr>
          <w:spacing w:val="-7"/>
        </w:rPr>
        <w:t> </w:t>
      </w:r>
      <w:r>
        <w:rPr>
          <w:spacing w:val="-2"/>
        </w:rPr>
        <w:t>significant </w:t>
      </w:r>
      <w:r>
        <w:rPr/>
        <w:t>via</w:t>
      </w:r>
      <w:r>
        <w:rPr>
          <w:spacing w:val="-15"/>
        </w:rPr>
        <w:t> </w:t>
      </w:r>
      <w:r>
        <w:rPr/>
        <w:t>the</w:t>
      </w:r>
      <w:r>
        <w:rPr>
          <w:spacing w:val="-14"/>
        </w:rPr>
        <w:t> </w:t>
      </w:r>
      <w:r>
        <w:rPr/>
        <w:t>univariate</w:t>
      </w:r>
      <w:r>
        <w:rPr>
          <w:spacing w:val="-14"/>
        </w:rPr>
        <w:t> </w:t>
      </w:r>
      <w:r>
        <w:rPr/>
        <w:t>Pearson</w:t>
      </w:r>
      <w:r>
        <w:rPr>
          <w:spacing w:val="-15"/>
        </w:rPr>
        <w:t> </w:t>
      </w:r>
      <w:r>
        <w:rPr/>
        <w:t>correlation. One</w:t>
      </w:r>
      <w:r>
        <w:rPr>
          <w:spacing w:val="-15"/>
        </w:rPr>
        <w:t> </w:t>
      </w:r>
      <w:r>
        <w:rPr/>
        <w:t>Way</w:t>
      </w:r>
      <w:r>
        <w:rPr>
          <w:spacing w:val="-15"/>
        </w:rPr>
        <w:t> </w:t>
      </w:r>
      <w:r>
        <w:rPr/>
        <w:t>ANOVA</w:t>
      </w:r>
      <w:r>
        <w:rPr>
          <w:spacing w:val="-14"/>
        </w:rPr>
        <w:t> </w:t>
      </w:r>
      <w:r>
        <w:rPr/>
        <w:t>(</w:t>
      </w:r>
      <w:hyperlink w:history="true" w:anchor="_bookmark244">
        <w:r>
          <w:rPr>
            <w:color w:val="FF0000"/>
          </w:rPr>
          <w:t>Fisher</w:t>
        </w:r>
      </w:hyperlink>
      <w:r>
        <w:rPr/>
        <w:t>,</w:t>
      </w:r>
      <w:hyperlink w:history="true" w:anchor="_bookmark244">
        <w:r>
          <w:rPr>
            <w:color w:val="FF0000"/>
          </w:rPr>
          <w:t>1925</w:t>
        </w:r>
        <w:r>
          <w:rPr/>
          <w:t>)</w:t>
        </w:r>
      </w:hyperlink>
      <w:r>
        <w:rPr>
          <w:spacing w:val="-15"/>
        </w:rPr>
        <w:t> </w:t>
      </w:r>
      <w:r>
        <w:rPr/>
        <w:t>was</w:t>
      </w:r>
      <w:r>
        <w:rPr>
          <w:spacing w:val="-15"/>
        </w:rPr>
        <w:t> </w:t>
      </w:r>
      <w:r>
        <w:rPr/>
        <w:t>used</w:t>
      </w:r>
      <w:r>
        <w:rPr>
          <w:spacing w:val="-14"/>
        </w:rPr>
        <w:t> </w:t>
      </w:r>
      <w:r>
        <w:rPr/>
        <w:t>to</w:t>
      </w:r>
      <w:r>
        <w:rPr>
          <w:spacing w:val="-15"/>
        </w:rPr>
        <w:t> </w:t>
      </w:r>
      <w:r>
        <w:rPr/>
        <w:t>eval- uate</w:t>
      </w:r>
      <w:r>
        <w:rPr>
          <w:spacing w:val="-4"/>
        </w:rPr>
        <w:t> </w:t>
      </w:r>
      <w:r>
        <w:rPr/>
        <w:t>whether</w:t>
      </w:r>
      <w:r>
        <w:rPr>
          <w:spacing w:val="-4"/>
        </w:rPr>
        <w:t> </w:t>
      </w:r>
      <w:r>
        <w:rPr/>
        <w:t>there</w:t>
      </w:r>
      <w:r>
        <w:rPr>
          <w:spacing w:val="-4"/>
        </w:rPr>
        <w:t> </w:t>
      </w:r>
      <w:r>
        <w:rPr/>
        <w:t>was</w:t>
      </w:r>
      <w:r>
        <w:rPr>
          <w:spacing w:val="-4"/>
        </w:rPr>
        <w:t> </w:t>
      </w:r>
      <w:r>
        <w:rPr/>
        <w:t>a</w:t>
      </w:r>
      <w:r>
        <w:rPr>
          <w:spacing w:val="-4"/>
        </w:rPr>
        <w:t> </w:t>
      </w:r>
      <w:r>
        <w:rPr/>
        <w:t>significant</w:t>
      </w:r>
      <w:r>
        <w:rPr>
          <w:spacing w:val="-4"/>
        </w:rPr>
        <w:t> </w:t>
      </w:r>
      <w:r>
        <w:rPr/>
        <w:t>difference</w:t>
      </w:r>
      <w:r>
        <w:rPr>
          <w:spacing w:val="-4"/>
        </w:rPr>
        <w:t> </w:t>
      </w:r>
      <w:r>
        <w:rPr/>
        <w:t>in</w:t>
      </w:r>
      <w:r>
        <w:rPr>
          <w:spacing w:val="-4"/>
        </w:rPr>
        <w:t> </w:t>
      </w:r>
      <w:r>
        <w:rPr/>
        <w:t>game</w:t>
      </w:r>
      <w:r>
        <w:rPr>
          <w:spacing w:val="-4"/>
        </w:rPr>
        <w:t> </w:t>
      </w:r>
      <w:r>
        <w:rPr/>
        <w:t>related</w:t>
      </w:r>
      <w:r>
        <w:rPr>
          <w:spacing w:val="-4"/>
        </w:rPr>
        <w:t> </w:t>
      </w:r>
      <w:r>
        <w:rPr/>
        <w:t>statistics</w:t>
      </w:r>
      <w:r>
        <w:rPr>
          <w:spacing w:val="-4"/>
        </w:rPr>
        <w:t> </w:t>
      </w:r>
      <w:r>
        <w:rPr/>
        <w:t>between</w:t>
      </w:r>
      <w:r>
        <w:rPr>
          <w:spacing w:val="-4"/>
        </w:rPr>
        <w:t> </w:t>
      </w:r>
      <w:r>
        <w:rPr/>
        <w:t>playoff and non-playoff teams.</w:t>
      </w:r>
      <w:r>
        <w:rPr>
          <w:spacing w:val="40"/>
        </w:rPr>
        <w:t> </w:t>
      </w:r>
      <w:r>
        <w:rPr/>
        <w:t>The authors showed that the combination of all three forms of</w:t>
      </w:r>
      <w:r>
        <w:rPr>
          <w:spacing w:val="40"/>
        </w:rPr>
        <w:t> </w:t>
      </w:r>
      <w:r>
        <w:rPr/>
        <w:t>shooting</w:t>
      </w:r>
      <w:r>
        <w:rPr>
          <w:spacing w:val="-1"/>
        </w:rPr>
        <w:t> </w:t>
      </w:r>
      <w:r>
        <w:rPr/>
        <w:t>accuracy</w:t>
      </w:r>
      <w:r>
        <w:rPr>
          <w:spacing w:val="-1"/>
        </w:rPr>
        <w:t> </w:t>
      </w:r>
      <w:r>
        <w:rPr/>
        <w:t>(2</w:t>
      </w:r>
      <w:r>
        <w:rPr>
          <w:spacing w:val="-1"/>
        </w:rPr>
        <w:t> </w:t>
      </w:r>
      <w:r>
        <w:rPr/>
        <w:t>point,</w:t>
      </w:r>
      <w:r>
        <w:rPr>
          <w:spacing w:val="-1"/>
        </w:rPr>
        <w:t> </w:t>
      </w:r>
      <w:r>
        <w:rPr/>
        <w:t>3</w:t>
      </w:r>
      <w:r>
        <w:rPr>
          <w:spacing w:val="-2"/>
        </w:rPr>
        <w:t> </w:t>
      </w:r>
      <w:r>
        <w:rPr/>
        <w:t>point</w:t>
      </w:r>
      <w:r>
        <w:rPr>
          <w:spacing w:val="-1"/>
        </w:rPr>
        <w:t> </w:t>
      </w:r>
      <w:r>
        <w:rPr/>
        <w:t>and</w:t>
      </w:r>
      <w:r>
        <w:rPr>
          <w:spacing w:val="-2"/>
        </w:rPr>
        <w:t> </w:t>
      </w:r>
      <w:r>
        <w:rPr/>
        <w:t>free</w:t>
      </w:r>
      <w:r>
        <w:rPr>
          <w:spacing w:val="-1"/>
        </w:rPr>
        <w:t> </w:t>
      </w:r>
      <w:r>
        <w:rPr/>
        <w:t>throw)</w:t>
      </w:r>
      <w:r>
        <w:rPr>
          <w:spacing w:val="-2"/>
        </w:rPr>
        <w:t> </w:t>
      </w:r>
      <w:r>
        <w:rPr/>
        <w:t>accounted</w:t>
      </w:r>
      <w:r>
        <w:rPr>
          <w:spacing w:val="-1"/>
        </w:rPr>
        <w:t> </w:t>
      </w:r>
      <w:r>
        <w:rPr/>
        <w:t>for</w:t>
      </w:r>
      <w:r>
        <w:rPr>
          <w:spacing w:val="-1"/>
        </w:rPr>
        <w:t> </w:t>
      </w:r>
      <w:r>
        <w:rPr/>
        <w:t>26</w:t>
      </w:r>
      <w:r>
        <w:rPr>
          <w:rFonts w:ascii="Garamond"/>
        </w:rPr>
        <w:t>%</w:t>
      </w:r>
      <w:r>
        <w:rPr>
          <w:rFonts w:ascii="Garamond"/>
          <w:spacing w:val="-1"/>
        </w:rPr>
        <w:t> </w:t>
      </w:r>
      <w:r>
        <w:rPr/>
        <w:t>of</w:t>
      </w:r>
      <w:r>
        <w:rPr>
          <w:spacing w:val="-1"/>
        </w:rPr>
        <w:t> </w:t>
      </w:r>
      <w:r>
        <w:rPr/>
        <w:t>the</w:t>
      </w:r>
      <w:r>
        <w:rPr>
          <w:spacing w:val="-2"/>
        </w:rPr>
        <w:t> </w:t>
      </w:r>
      <w:r>
        <w:rPr/>
        <w:t>variance</w:t>
      </w:r>
      <w:r>
        <w:rPr>
          <w:spacing w:val="-1"/>
        </w:rPr>
        <w:t> </w:t>
      </w:r>
      <w:r>
        <w:rPr/>
        <w:t>in the multiple regression model, with rebounds accounting for a further 23</w:t>
      </w:r>
      <w:r>
        <w:rPr>
          <w:rFonts w:ascii="Garamond"/>
        </w:rPr>
        <w:t>%</w:t>
      </w:r>
      <w:r>
        <w:rPr/>
        <w:t>.</w:t>
      </w:r>
      <w:r>
        <w:rPr>
          <w:spacing w:val="32"/>
        </w:rPr>
        <w:t> </w:t>
      </w:r>
      <w:r>
        <w:rPr/>
        <w:t>In total, the model accounted for 76</w:t>
      </w:r>
      <w:r>
        <w:rPr>
          <w:rFonts w:ascii="Garamond"/>
        </w:rPr>
        <w:t>% </w:t>
      </w:r>
      <w:r>
        <w:rPr/>
        <w:t>of the total variance in the number of wins achieved during a regular basketball season.</w:t>
      </w:r>
      <w:r>
        <w:rPr>
          <w:spacing w:val="40"/>
        </w:rPr>
        <w:t> </w:t>
      </w:r>
      <w:r>
        <w:rPr/>
        <w:t>Similar results were shown by the one way ANOVA, which indicated</w:t>
      </w:r>
      <w:r>
        <w:rPr>
          <w:spacing w:val="-10"/>
        </w:rPr>
        <w:t> </w:t>
      </w:r>
      <w:r>
        <w:rPr/>
        <w:t>that</w:t>
      </w:r>
      <w:r>
        <w:rPr>
          <w:spacing w:val="-10"/>
        </w:rPr>
        <w:t> </w:t>
      </w:r>
      <w:r>
        <w:rPr/>
        <w:t>2</w:t>
      </w:r>
      <w:r>
        <w:rPr>
          <w:spacing w:val="-10"/>
        </w:rPr>
        <w:t> </w:t>
      </w:r>
      <w:r>
        <w:rPr/>
        <w:t>and</w:t>
      </w:r>
      <w:r>
        <w:rPr>
          <w:spacing w:val="-10"/>
        </w:rPr>
        <w:t> </w:t>
      </w:r>
      <w:r>
        <w:rPr/>
        <w:t>3</w:t>
      </w:r>
      <w:r>
        <w:rPr>
          <w:spacing w:val="-10"/>
        </w:rPr>
        <w:t> </w:t>
      </w:r>
      <w:r>
        <w:rPr/>
        <w:t>point,</w:t>
      </w:r>
      <w:r>
        <w:rPr>
          <w:spacing w:val="-10"/>
        </w:rPr>
        <w:t> </w:t>
      </w:r>
      <w:r>
        <w:rPr/>
        <w:t>but</w:t>
      </w:r>
      <w:r>
        <w:rPr>
          <w:spacing w:val="-10"/>
        </w:rPr>
        <w:t> </w:t>
      </w:r>
      <w:r>
        <w:rPr/>
        <w:t>not</w:t>
      </w:r>
      <w:r>
        <w:rPr>
          <w:spacing w:val="-10"/>
        </w:rPr>
        <w:t> </w:t>
      </w:r>
      <w:r>
        <w:rPr/>
        <w:t>free</w:t>
      </w:r>
      <w:r>
        <w:rPr>
          <w:spacing w:val="-10"/>
        </w:rPr>
        <w:t> </w:t>
      </w:r>
      <w:r>
        <w:rPr/>
        <w:t>throw,</w:t>
      </w:r>
      <w:r>
        <w:rPr>
          <w:spacing w:val="-10"/>
        </w:rPr>
        <w:t> </w:t>
      </w:r>
      <w:r>
        <w:rPr/>
        <w:t>shooting</w:t>
      </w:r>
      <w:r>
        <w:rPr>
          <w:spacing w:val="-10"/>
        </w:rPr>
        <w:t> </w:t>
      </w:r>
      <w:r>
        <w:rPr/>
        <w:t>accuracy</w:t>
      </w:r>
      <w:r>
        <w:rPr>
          <w:spacing w:val="-10"/>
        </w:rPr>
        <w:t> </w:t>
      </w:r>
      <w:r>
        <w:rPr/>
        <w:t>were</w:t>
      </w:r>
      <w:r>
        <w:rPr>
          <w:spacing w:val="-10"/>
        </w:rPr>
        <w:t> </w:t>
      </w:r>
      <w:r>
        <w:rPr/>
        <w:t>significant</w:t>
      </w:r>
      <w:r>
        <w:rPr>
          <w:spacing w:val="-10"/>
        </w:rPr>
        <w:t> </w:t>
      </w:r>
      <w:r>
        <w:rPr/>
        <w:t>differ- entiators</w:t>
      </w:r>
      <w:r>
        <w:rPr>
          <w:spacing w:val="-7"/>
        </w:rPr>
        <w:t> </w:t>
      </w:r>
      <w:r>
        <w:rPr/>
        <w:t>between</w:t>
      </w:r>
      <w:r>
        <w:rPr>
          <w:spacing w:val="-7"/>
        </w:rPr>
        <w:t> </w:t>
      </w:r>
      <w:r>
        <w:rPr/>
        <w:t>those</w:t>
      </w:r>
      <w:r>
        <w:rPr>
          <w:spacing w:val="-7"/>
        </w:rPr>
        <w:t> </w:t>
      </w:r>
      <w:r>
        <w:rPr/>
        <w:t>teams</w:t>
      </w:r>
      <w:r>
        <w:rPr>
          <w:spacing w:val="-7"/>
        </w:rPr>
        <w:t> </w:t>
      </w:r>
      <w:r>
        <w:rPr/>
        <w:t>who</w:t>
      </w:r>
      <w:r>
        <w:rPr>
          <w:spacing w:val="-7"/>
        </w:rPr>
        <w:t> </w:t>
      </w:r>
      <w:r>
        <w:rPr/>
        <w:t>did</w:t>
      </w:r>
      <w:r>
        <w:rPr>
          <w:spacing w:val="-7"/>
        </w:rPr>
        <w:t> </w:t>
      </w:r>
      <w:r>
        <w:rPr/>
        <w:t>and</w:t>
      </w:r>
      <w:r>
        <w:rPr>
          <w:spacing w:val="-7"/>
        </w:rPr>
        <w:t> </w:t>
      </w:r>
      <w:r>
        <w:rPr/>
        <w:t>did</w:t>
      </w:r>
      <w:r>
        <w:rPr>
          <w:spacing w:val="-7"/>
        </w:rPr>
        <w:t> </w:t>
      </w:r>
      <w:r>
        <w:rPr/>
        <w:t>not</w:t>
      </w:r>
      <w:r>
        <w:rPr>
          <w:spacing w:val="-7"/>
        </w:rPr>
        <w:t> </w:t>
      </w:r>
      <w:r>
        <w:rPr/>
        <w:t>reach</w:t>
      </w:r>
      <w:r>
        <w:rPr>
          <w:spacing w:val="-7"/>
        </w:rPr>
        <w:t> </w:t>
      </w:r>
      <w:r>
        <w:rPr/>
        <w:t>the</w:t>
      </w:r>
      <w:r>
        <w:rPr>
          <w:spacing w:val="-7"/>
        </w:rPr>
        <w:t> </w:t>
      </w:r>
      <w:r>
        <w:rPr/>
        <w:t>end</w:t>
      </w:r>
      <w:r>
        <w:rPr>
          <w:spacing w:val="-7"/>
        </w:rPr>
        <w:t> </w:t>
      </w:r>
      <w:r>
        <w:rPr/>
        <w:t>of</w:t>
      </w:r>
      <w:r>
        <w:rPr>
          <w:spacing w:val="-7"/>
        </w:rPr>
        <w:t> </w:t>
      </w:r>
      <w:r>
        <w:rPr/>
        <w:t>season</w:t>
      </w:r>
      <w:r>
        <w:rPr>
          <w:spacing w:val="-7"/>
        </w:rPr>
        <w:t> </w:t>
      </w:r>
      <w:r>
        <w:rPr/>
        <w:t>championship playoffs.</w:t>
      </w:r>
      <w:r>
        <w:rPr>
          <w:spacing w:val="33"/>
        </w:rPr>
        <w:t> </w:t>
      </w:r>
      <w:r>
        <w:rPr/>
        <w:t>The results quantify the importance of having accurate shooters and proficient rebounders within a basketball team in the Spanish Basketball League and so could be used as a bench marking method by coaches when considering transfer targets.</w:t>
      </w:r>
    </w:p>
    <w:p>
      <w:pPr>
        <w:pStyle w:val="BodyText"/>
        <w:spacing w:line="312" w:lineRule="auto" w:before="21"/>
        <w:ind w:left="610" w:right="389" w:firstLine="351"/>
      </w:pPr>
      <w:hyperlink w:history="true" w:anchor="_bookmark250">
        <w:r>
          <w:rPr>
            <w:color w:val="FF0000"/>
          </w:rPr>
          <w:t>Harrop and Nevill</w:t>
        </w:r>
      </w:hyperlink>
      <w:r>
        <w:rPr/>
        <w:t>(</w:t>
      </w:r>
      <w:hyperlink w:history="true" w:anchor="_bookmark250">
        <w:r>
          <w:rPr>
            <w:color w:val="FF0000"/>
          </w:rPr>
          <w:t>2014</w:t>
        </w:r>
        <w:r>
          <w:rPr/>
          <w:t>)</w:t>
        </w:r>
      </w:hyperlink>
      <w:r>
        <w:rPr/>
        <w:t> used match accumulated football statistics to identify team performance</w:t>
      </w:r>
      <w:r>
        <w:rPr>
          <w:spacing w:val="-12"/>
        </w:rPr>
        <w:t> </w:t>
      </w:r>
      <w:r>
        <w:rPr/>
        <w:t>indicators</w:t>
      </w:r>
      <w:r>
        <w:rPr>
          <w:spacing w:val="-12"/>
        </w:rPr>
        <w:t> </w:t>
      </w:r>
      <w:r>
        <w:rPr/>
        <w:t>with</w:t>
      </w:r>
      <w:r>
        <w:rPr>
          <w:spacing w:val="-12"/>
        </w:rPr>
        <w:t> </w:t>
      </w:r>
      <w:r>
        <w:rPr/>
        <w:t>respect</w:t>
      </w:r>
      <w:r>
        <w:rPr>
          <w:spacing w:val="-12"/>
        </w:rPr>
        <w:t> </w:t>
      </w:r>
      <w:r>
        <w:rPr/>
        <w:t>to</w:t>
      </w:r>
      <w:r>
        <w:rPr>
          <w:spacing w:val="-12"/>
        </w:rPr>
        <w:t> </w:t>
      </w:r>
      <w:r>
        <w:rPr/>
        <w:t>winning</w:t>
      </w:r>
      <w:r>
        <w:rPr>
          <w:spacing w:val="-12"/>
        </w:rPr>
        <w:t> </w:t>
      </w:r>
      <w:r>
        <w:rPr/>
        <w:t>football</w:t>
      </w:r>
      <w:r>
        <w:rPr>
          <w:spacing w:val="-12"/>
        </w:rPr>
        <w:t> </w:t>
      </w:r>
      <w:r>
        <w:rPr/>
        <w:t>matches</w:t>
      </w:r>
      <w:r>
        <w:rPr>
          <w:spacing w:val="-12"/>
        </w:rPr>
        <w:t> </w:t>
      </w:r>
      <w:r>
        <w:rPr/>
        <w:t>in</w:t>
      </w:r>
      <w:r>
        <w:rPr>
          <w:spacing w:val="-12"/>
        </w:rPr>
        <w:t> </w:t>
      </w:r>
      <w:r>
        <w:rPr/>
        <w:t>League</w:t>
      </w:r>
      <w:r>
        <w:rPr>
          <w:spacing w:val="-12"/>
        </w:rPr>
        <w:t> </w:t>
      </w:r>
      <w:r>
        <w:rPr/>
        <w:t>One</w:t>
      </w:r>
      <w:r>
        <w:rPr>
          <w:spacing w:val="-12"/>
        </w:rPr>
        <w:t> </w:t>
      </w:r>
      <w:r>
        <w:rPr/>
        <w:t>(the</w:t>
      </w:r>
      <w:r>
        <w:rPr>
          <w:spacing w:val="-12"/>
        </w:rPr>
        <w:t> </w:t>
      </w:r>
      <w:r>
        <w:rPr/>
        <w:t>third tier</w:t>
      </w:r>
      <w:r>
        <w:rPr>
          <w:spacing w:val="-15"/>
        </w:rPr>
        <w:t> </w:t>
      </w:r>
      <w:r>
        <w:rPr/>
        <w:t>of</w:t>
      </w:r>
      <w:r>
        <w:rPr>
          <w:spacing w:val="-15"/>
        </w:rPr>
        <w:t> </w:t>
      </w:r>
      <w:r>
        <w:rPr/>
        <w:t>English</w:t>
      </w:r>
      <w:r>
        <w:rPr>
          <w:spacing w:val="-15"/>
        </w:rPr>
        <w:t> </w:t>
      </w:r>
      <w:r>
        <w:rPr/>
        <w:t>football).</w:t>
      </w:r>
      <w:r>
        <w:rPr>
          <w:spacing w:val="-4"/>
        </w:rPr>
        <w:t> </w:t>
      </w:r>
      <w:r>
        <w:rPr/>
        <w:t>They</w:t>
      </w:r>
      <w:r>
        <w:rPr>
          <w:spacing w:val="-15"/>
        </w:rPr>
        <w:t> </w:t>
      </w:r>
      <w:r>
        <w:rPr/>
        <w:t>used</w:t>
      </w:r>
      <w:r>
        <w:rPr>
          <w:spacing w:val="-15"/>
        </w:rPr>
        <w:t> </w:t>
      </w:r>
      <w:r>
        <w:rPr/>
        <w:t>46</w:t>
      </w:r>
      <w:r>
        <w:rPr>
          <w:spacing w:val="-15"/>
        </w:rPr>
        <w:t> </w:t>
      </w:r>
      <w:r>
        <w:rPr/>
        <w:t>matches</w:t>
      </w:r>
      <w:r>
        <w:rPr>
          <w:spacing w:val="-15"/>
        </w:rPr>
        <w:t> </w:t>
      </w:r>
      <w:r>
        <w:rPr/>
        <w:t>from</w:t>
      </w:r>
      <w:r>
        <w:rPr>
          <w:spacing w:val="-15"/>
        </w:rPr>
        <w:t> </w:t>
      </w:r>
      <w:r>
        <w:rPr/>
        <w:t>the</w:t>
      </w:r>
      <w:r>
        <w:rPr>
          <w:spacing w:val="-15"/>
        </w:rPr>
        <w:t> </w:t>
      </w:r>
      <w:r>
        <w:rPr/>
        <w:t>same</w:t>
      </w:r>
      <w:r>
        <w:rPr>
          <w:spacing w:val="-15"/>
        </w:rPr>
        <w:t> </w:t>
      </w:r>
      <w:r>
        <w:rPr/>
        <w:t>team</w:t>
      </w:r>
      <w:r>
        <w:rPr>
          <w:spacing w:val="-15"/>
        </w:rPr>
        <w:t> </w:t>
      </w:r>
      <w:r>
        <w:rPr/>
        <w:t>in</w:t>
      </w:r>
      <w:r>
        <w:rPr>
          <w:spacing w:val="-15"/>
        </w:rPr>
        <w:t> </w:t>
      </w:r>
      <w:r>
        <w:rPr/>
        <w:t>the</w:t>
      </w:r>
      <w:r>
        <w:rPr>
          <w:spacing w:val="-15"/>
        </w:rPr>
        <w:t> </w:t>
      </w:r>
      <w:r>
        <w:rPr/>
        <w:t>2012/13</w:t>
      </w:r>
      <w:r>
        <w:rPr>
          <w:spacing w:val="-15"/>
        </w:rPr>
        <w:t> </w:t>
      </w:r>
      <w:r>
        <w:rPr/>
        <w:t>season. No</w:t>
      </w:r>
      <w:r>
        <w:rPr>
          <w:spacing w:val="-15"/>
        </w:rPr>
        <w:t> </w:t>
      </w:r>
      <w:r>
        <w:rPr/>
        <w:t>preprocessing</w:t>
      </w:r>
      <w:r>
        <w:rPr>
          <w:spacing w:val="-15"/>
        </w:rPr>
        <w:t> </w:t>
      </w:r>
      <w:r>
        <w:rPr/>
        <w:t>was</w:t>
      </w:r>
      <w:r>
        <w:rPr>
          <w:spacing w:val="-15"/>
        </w:rPr>
        <w:t> </w:t>
      </w:r>
      <w:r>
        <w:rPr/>
        <w:t>required</w:t>
      </w:r>
      <w:r>
        <w:rPr>
          <w:spacing w:val="-15"/>
        </w:rPr>
        <w:t> </w:t>
      </w:r>
      <w:r>
        <w:rPr/>
        <w:t>as</w:t>
      </w:r>
      <w:r>
        <w:rPr>
          <w:spacing w:val="-15"/>
        </w:rPr>
        <w:t> </w:t>
      </w:r>
      <w:r>
        <w:rPr/>
        <w:t>the</w:t>
      </w:r>
      <w:r>
        <w:rPr>
          <w:spacing w:val="-15"/>
        </w:rPr>
        <w:t> </w:t>
      </w:r>
      <w:r>
        <w:rPr/>
        <w:t>raw</w:t>
      </w:r>
      <w:r>
        <w:rPr>
          <w:spacing w:val="-15"/>
        </w:rPr>
        <w:t> </w:t>
      </w:r>
      <w:r>
        <w:rPr/>
        <w:t>match</w:t>
      </w:r>
      <w:r>
        <w:rPr>
          <w:spacing w:val="-15"/>
        </w:rPr>
        <w:t> </w:t>
      </w:r>
      <w:r>
        <w:rPr/>
        <w:t>counts</w:t>
      </w:r>
      <w:r>
        <w:rPr>
          <w:spacing w:val="-15"/>
        </w:rPr>
        <w:t> </w:t>
      </w:r>
      <w:r>
        <w:rPr/>
        <w:t>of</w:t>
      </w:r>
      <w:r>
        <w:rPr>
          <w:spacing w:val="-15"/>
        </w:rPr>
        <w:t> </w:t>
      </w:r>
      <w:r>
        <w:rPr/>
        <w:t>several</w:t>
      </w:r>
      <w:r>
        <w:rPr>
          <w:spacing w:val="-15"/>
        </w:rPr>
        <w:t> </w:t>
      </w:r>
      <w:r>
        <w:rPr/>
        <w:t>attacking</w:t>
      </w:r>
      <w:r>
        <w:rPr>
          <w:spacing w:val="-15"/>
        </w:rPr>
        <w:t> </w:t>
      </w:r>
      <w:r>
        <w:rPr/>
        <w:t>and</w:t>
      </w:r>
      <w:r>
        <w:rPr>
          <w:spacing w:val="-15"/>
        </w:rPr>
        <w:t> </w:t>
      </w:r>
      <w:r>
        <w:rPr/>
        <w:t>defensive variables were used, alongside the fixture outcome (win, loss or draw).</w:t>
      </w:r>
      <w:r>
        <w:rPr>
          <w:spacing w:val="40"/>
        </w:rPr>
        <w:t> </w:t>
      </w:r>
      <w:r>
        <w:rPr/>
        <w:t>Binary logistic regression</w:t>
      </w:r>
      <w:r>
        <w:rPr>
          <w:spacing w:val="20"/>
        </w:rPr>
        <w:t> </w:t>
      </w:r>
      <w:r>
        <w:rPr/>
        <w:t>(</w:t>
      </w:r>
      <w:hyperlink w:history="true" w:anchor="_bookmark274">
        <w:r>
          <w:rPr>
            <w:color w:val="FF0000"/>
          </w:rPr>
          <w:t>Menard</w:t>
        </w:r>
      </w:hyperlink>
      <w:r>
        <w:rPr/>
        <w:t>,</w:t>
      </w:r>
      <w:hyperlink w:history="true" w:anchor="_bookmark274">
        <w:r>
          <w:rPr>
            <w:color w:val="FF0000"/>
          </w:rPr>
          <w:t>2009</w:t>
        </w:r>
        <w:r>
          <w:rPr/>
          <w:t>)</w:t>
        </w:r>
      </w:hyperlink>
      <w:r>
        <w:rPr>
          <w:spacing w:val="20"/>
        </w:rPr>
        <w:t> </w:t>
      </w:r>
      <w:r>
        <w:rPr/>
        <w:t>(win</w:t>
      </w:r>
      <w:r>
        <w:rPr>
          <w:spacing w:val="20"/>
        </w:rPr>
        <w:t> </w:t>
      </w:r>
      <w:r>
        <w:rPr/>
        <w:t>vs</w:t>
      </w:r>
      <w:r>
        <w:rPr>
          <w:spacing w:val="20"/>
        </w:rPr>
        <w:t> </w:t>
      </w:r>
      <w:r>
        <w:rPr/>
        <w:t>loss</w:t>
      </w:r>
      <w:r>
        <w:rPr>
          <w:spacing w:val="20"/>
        </w:rPr>
        <w:t> </w:t>
      </w:r>
      <w:r>
        <w:rPr/>
        <w:t>and</w:t>
      </w:r>
      <w:r>
        <w:rPr>
          <w:spacing w:val="20"/>
        </w:rPr>
        <w:t> </w:t>
      </w:r>
      <w:r>
        <w:rPr/>
        <w:t>win</w:t>
      </w:r>
      <w:r>
        <w:rPr>
          <w:spacing w:val="20"/>
        </w:rPr>
        <w:t> </w:t>
      </w:r>
      <w:r>
        <w:rPr/>
        <w:t>vs</w:t>
      </w:r>
      <w:r>
        <w:rPr>
          <w:spacing w:val="20"/>
        </w:rPr>
        <w:t> </w:t>
      </w:r>
      <w:r>
        <w:rPr/>
        <w:t>draw</w:t>
      </w:r>
      <w:r>
        <w:rPr>
          <w:spacing w:val="20"/>
        </w:rPr>
        <w:t> </w:t>
      </w:r>
      <w:r>
        <w:rPr/>
        <w:t>in</w:t>
      </w:r>
      <w:r>
        <w:rPr>
          <w:spacing w:val="20"/>
        </w:rPr>
        <w:t> </w:t>
      </w:r>
      <w:r>
        <w:rPr/>
        <w:t>separate</w:t>
      </w:r>
      <w:r>
        <w:rPr>
          <w:spacing w:val="20"/>
        </w:rPr>
        <w:t> </w:t>
      </w:r>
      <w:r>
        <w:rPr/>
        <w:t>models)</w:t>
      </w:r>
      <w:r>
        <w:rPr>
          <w:spacing w:val="20"/>
        </w:rPr>
        <w:t> </w:t>
      </w:r>
      <w:r>
        <w:rPr/>
        <w:t>was</w:t>
      </w:r>
      <w:r>
        <w:rPr>
          <w:spacing w:val="20"/>
        </w:rPr>
        <w:t> </w:t>
      </w:r>
      <w:r>
        <w:rPr/>
        <w:t>used to</w:t>
      </w:r>
      <w:r>
        <w:rPr>
          <w:spacing w:val="-2"/>
        </w:rPr>
        <w:t> </w:t>
      </w:r>
      <w:r>
        <w:rPr/>
        <w:t>identify</w:t>
      </w:r>
      <w:r>
        <w:rPr>
          <w:spacing w:val="-2"/>
        </w:rPr>
        <w:t> </w:t>
      </w:r>
      <w:r>
        <w:rPr/>
        <w:t>those</w:t>
      </w:r>
      <w:r>
        <w:rPr>
          <w:spacing w:val="-2"/>
        </w:rPr>
        <w:t> </w:t>
      </w:r>
      <w:r>
        <w:rPr/>
        <w:t>performance</w:t>
      </w:r>
      <w:r>
        <w:rPr>
          <w:spacing w:val="-2"/>
        </w:rPr>
        <w:t> </w:t>
      </w:r>
      <w:r>
        <w:rPr/>
        <w:t>indicators</w:t>
      </w:r>
      <w:r>
        <w:rPr>
          <w:spacing w:val="-2"/>
        </w:rPr>
        <w:t> </w:t>
      </w:r>
      <w:r>
        <w:rPr/>
        <w:t>important</w:t>
      </w:r>
      <w:r>
        <w:rPr>
          <w:spacing w:val="-2"/>
        </w:rPr>
        <w:t> </w:t>
      </w:r>
      <w:r>
        <w:rPr/>
        <w:t>to</w:t>
      </w:r>
      <w:r>
        <w:rPr>
          <w:spacing w:val="-2"/>
        </w:rPr>
        <w:t> </w:t>
      </w:r>
      <w:r>
        <w:rPr/>
        <w:t>winning</w:t>
      </w:r>
      <w:r>
        <w:rPr>
          <w:spacing w:val="-2"/>
        </w:rPr>
        <w:t> </w:t>
      </w:r>
      <w:r>
        <w:rPr/>
        <w:t>matches. The</w:t>
      </w:r>
      <w:r>
        <w:rPr>
          <w:spacing w:val="-2"/>
        </w:rPr>
        <w:t> </w:t>
      </w:r>
      <w:r>
        <w:rPr/>
        <w:t>results</w:t>
      </w:r>
      <w:r>
        <w:rPr>
          <w:spacing w:val="-2"/>
        </w:rPr>
        <w:t> </w:t>
      </w:r>
      <w:r>
        <w:rPr/>
        <w:t>indi- cated that completing fewer passes in total (P=0.006, odds ratio(OR)=0.972) and having a</w:t>
      </w:r>
      <w:r>
        <w:rPr>
          <w:spacing w:val="-12"/>
        </w:rPr>
        <w:t> </w:t>
      </w:r>
      <w:r>
        <w:rPr/>
        <w:t>higher</w:t>
      </w:r>
      <w:r>
        <w:rPr>
          <w:spacing w:val="-13"/>
        </w:rPr>
        <w:t> </w:t>
      </w:r>
      <w:r>
        <w:rPr/>
        <w:t>percentage</w:t>
      </w:r>
      <w:r>
        <w:rPr>
          <w:spacing w:val="-11"/>
        </w:rPr>
        <w:t> </w:t>
      </w:r>
      <w:r>
        <w:rPr/>
        <w:t>of</w:t>
      </w:r>
      <w:r>
        <w:rPr>
          <w:spacing w:val="-13"/>
        </w:rPr>
        <w:t> </w:t>
      </w:r>
      <w:r>
        <w:rPr/>
        <w:t>successful</w:t>
      </w:r>
      <w:r>
        <w:rPr>
          <w:spacing w:val="-11"/>
        </w:rPr>
        <w:t> </w:t>
      </w:r>
      <w:r>
        <w:rPr/>
        <w:t>passes</w:t>
      </w:r>
      <w:r>
        <w:rPr>
          <w:spacing w:val="-13"/>
        </w:rPr>
        <w:t> </w:t>
      </w:r>
      <w:r>
        <w:rPr/>
        <w:t>(P=0.042,</w:t>
      </w:r>
      <w:r>
        <w:rPr>
          <w:spacing w:val="-11"/>
        </w:rPr>
        <w:t> </w:t>
      </w:r>
      <w:r>
        <w:rPr/>
        <w:t>OR=1.243),</w:t>
      </w:r>
      <w:r>
        <w:rPr>
          <w:spacing w:val="-12"/>
        </w:rPr>
        <w:t> </w:t>
      </w:r>
      <w:r>
        <w:rPr/>
        <w:t>were</w:t>
      </w:r>
      <w:r>
        <w:rPr>
          <w:spacing w:val="-12"/>
        </w:rPr>
        <w:t> </w:t>
      </w:r>
      <w:r>
        <w:rPr/>
        <w:t>significantly</w:t>
      </w:r>
      <w:r>
        <w:rPr>
          <w:spacing w:val="-12"/>
        </w:rPr>
        <w:t> </w:t>
      </w:r>
      <w:r>
        <w:rPr>
          <w:spacing w:val="-2"/>
        </w:rPr>
        <w:t>related</w:t>
      </w:r>
    </w:p>
    <w:p>
      <w:pPr>
        <w:spacing w:after="0" w:line="312" w:lineRule="auto"/>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09" w:lineRule="auto" w:before="97"/>
        <w:ind w:left="610" w:right="389"/>
        <w:jc w:val="both"/>
      </w:pPr>
      <w:r>
        <w:rPr/>
        <w:t>to</w:t>
      </w:r>
      <w:r>
        <w:rPr>
          <w:spacing w:val="-8"/>
        </w:rPr>
        <w:t> </w:t>
      </w:r>
      <w:r>
        <w:rPr/>
        <w:t>match</w:t>
      </w:r>
      <w:r>
        <w:rPr>
          <w:spacing w:val="-8"/>
        </w:rPr>
        <w:t> </w:t>
      </w:r>
      <w:r>
        <w:rPr/>
        <w:t>winning</w:t>
      </w:r>
      <w:r>
        <w:rPr>
          <w:spacing w:val="-8"/>
        </w:rPr>
        <w:t> </w:t>
      </w:r>
      <w:r>
        <w:rPr/>
        <w:t>performances. Attempting</w:t>
      </w:r>
      <w:r>
        <w:rPr>
          <w:spacing w:val="-8"/>
        </w:rPr>
        <w:t> </w:t>
      </w:r>
      <w:r>
        <w:rPr/>
        <w:t>more</w:t>
      </w:r>
      <w:r>
        <w:rPr>
          <w:spacing w:val="-8"/>
        </w:rPr>
        <w:t> </w:t>
      </w:r>
      <w:r>
        <w:rPr/>
        <w:t>shots</w:t>
      </w:r>
      <w:r>
        <w:rPr>
          <w:spacing w:val="-8"/>
        </w:rPr>
        <w:t> </w:t>
      </w:r>
      <w:r>
        <w:rPr/>
        <w:t>(P=0.027,</w:t>
      </w:r>
      <w:r>
        <w:rPr>
          <w:spacing w:val="-8"/>
        </w:rPr>
        <w:t> </w:t>
      </w:r>
      <w:r>
        <w:rPr/>
        <w:t>OR=1.296)</w:t>
      </w:r>
      <w:r>
        <w:rPr>
          <w:spacing w:val="-8"/>
        </w:rPr>
        <w:t> </w:t>
      </w:r>
      <w:r>
        <w:rPr/>
        <w:t>and</w:t>
      </w:r>
      <w:r>
        <w:rPr>
          <w:spacing w:val="-8"/>
        </w:rPr>
        <w:t> </w:t>
      </w:r>
      <w:r>
        <w:rPr/>
        <w:t>fewer dribbles</w:t>
      </w:r>
      <w:r>
        <w:rPr>
          <w:spacing w:val="-9"/>
        </w:rPr>
        <w:t> </w:t>
      </w:r>
      <w:r>
        <w:rPr/>
        <w:t>(P=0.018,</w:t>
      </w:r>
      <w:r>
        <w:rPr>
          <w:spacing w:val="-9"/>
        </w:rPr>
        <w:t> </w:t>
      </w:r>
      <w:r>
        <w:rPr/>
        <w:t>OR=0.695)</w:t>
      </w:r>
      <w:r>
        <w:rPr>
          <w:spacing w:val="-9"/>
        </w:rPr>
        <w:t> </w:t>
      </w:r>
      <w:r>
        <w:rPr/>
        <w:t>were</w:t>
      </w:r>
      <w:r>
        <w:rPr>
          <w:spacing w:val="-9"/>
        </w:rPr>
        <w:t> </w:t>
      </w:r>
      <w:r>
        <w:rPr/>
        <w:t>also</w:t>
      </w:r>
      <w:r>
        <w:rPr>
          <w:spacing w:val="-9"/>
        </w:rPr>
        <w:t> </w:t>
      </w:r>
      <w:r>
        <w:rPr/>
        <w:t>significant</w:t>
      </w:r>
      <w:r>
        <w:rPr>
          <w:spacing w:val="-9"/>
        </w:rPr>
        <w:t> </w:t>
      </w:r>
      <w:r>
        <w:rPr/>
        <w:t>factors</w:t>
      </w:r>
      <w:r>
        <w:rPr>
          <w:spacing w:val="-9"/>
        </w:rPr>
        <w:t> </w:t>
      </w:r>
      <w:r>
        <w:rPr/>
        <w:t>in</w:t>
      </w:r>
      <w:r>
        <w:rPr>
          <w:spacing w:val="-9"/>
        </w:rPr>
        <w:t> </w:t>
      </w:r>
      <w:r>
        <w:rPr/>
        <w:t>the</w:t>
      </w:r>
      <w:r>
        <w:rPr>
          <w:spacing w:val="-9"/>
        </w:rPr>
        <w:t> </w:t>
      </w:r>
      <w:r>
        <w:rPr/>
        <w:t>model,</w:t>
      </w:r>
      <w:r>
        <w:rPr>
          <w:spacing w:val="-9"/>
        </w:rPr>
        <w:t> </w:t>
      </w:r>
      <w:r>
        <w:rPr/>
        <w:t>which</w:t>
      </w:r>
      <w:r>
        <w:rPr>
          <w:spacing w:val="-9"/>
        </w:rPr>
        <w:t> </w:t>
      </w:r>
      <w:r>
        <w:rPr/>
        <w:t>correctly classified the result of 71.7</w:t>
      </w:r>
      <w:r>
        <w:rPr>
          <w:rFonts w:ascii="Garamond"/>
        </w:rPr>
        <w:t>% </w:t>
      </w:r>
      <w:r>
        <w:rPr/>
        <w:t>of in sample matches.</w:t>
      </w:r>
      <w:r>
        <w:rPr>
          <w:spacing w:val="28"/>
        </w:rPr>
        <w:t> </w:t>
      </w:r>
      <w:r>
        <w:rPr/>
        <w:t>No out of sample analysis was con- ducted.</w:t>
      </w:r>
      <w:r>
        <w:rPr>
          <w:spacing w:val="-3"/>
        </w:rPr>
        <w:t> </w:t>
      </w:r>
      <w:r>
        <w:rPr/>
        <w:t>The</w:t>
      </w:r>
      <w:r>
        <w:rPr>
          <w:spacing w:val="-15"/>
        </w:rPr>
        <w:t> </w:t>
      </w:r>
      <w:r>
        <w:rPr/>
        <w:t>results</w:t>
      </w:r>
      <w:r>
        <w:rPr>
          <w:spacing w:val="-15"/>
        </w:rPr>
        <w:t> </w:t>
      </w:r>
      <w:r>
        <w:rPr/>
        <w:t>provide</w:t>
      </w:r>
      <w:r>
        <w:rPr>
          <w:spacing w:val="-15"/>
        </w:rPr>
        <w:t> </w:t>
      </w:r>
      <w:r>
        <w:rPr/>
        <w:t>important</w:t>
      </w:r>
      <w:r>
        <w:rPr>
          <w:spacing w:val="-15"/>
        </w:rPr>
        <w:t> </w:t>
      </w:r>
      <w:r>
        <w:rPr/>
        <w:t>bench</w:t>
      </w:r>
      <w:r>
        <w:rPr>
          <w:spacing w:val="-15"/>
        </w:rPr>
        <w:t> </w:t>
      </w:r>
      <w:r>
        <w:rPr/>
        <w:t>marking</w:t>
      </w:r>
      <w:r>
        <w:rPr>
          <w:spacing w:val="-15"/>
        </w:rPr>
        <w:t> </w:t>
      </w:r>
      <w:r>
        <w:rPr/>
        <w:t>information</w:t>
      </w:r>
      <w:r>
        <w:rPr>
          <w:spacing w:val="-15"/>
        </w:rPr>
        <w:t> </w:t>
      </w:r>
      <w:r>
        <w:rPr/>
        <w:t>for</w:t>
      </w:r>
      <w:r>
        <w:rPr>
          <w:spacing w:val="-15"/>
        </w:rPr>
        <w:t> </w:t>
      </w:r>
      <w:r>
        <w:rPr/>
        <w:t>the</w:t>
      </w:r>
      <w:r>
        <w:rPr>
          <w:spacing w:val="-15"/>
        </w:rPr>
        <w:t> </w:t>
      </w:r>
      <w:r>
        <w:rPr/>
        <w:t>club</w:t>
      </w:r>
      <w:r>
        <w:rPr>
          <w:spacing w:val="-15"/>
        </w:rPr>
        <w:t> </w:t>
      </w:r>
      <w:r>
        <w:rPr/>
        <w:t>in</w:t>
      </w:r>
      <w:r>
        <w:rPr>
          <w:spacing w:val="-15"/>
        </w:rPr>
        <w:t> </w:t>
      </w:r>
      <w:r>
        <w:rPr/>
        <w:t>question, which</w:t>
      </w:r>
      <w:r>
        <w:rPr>
          <w:spacing w:val="-8"/>
        </w:rPr>
        <w:t> </w:t>
      </w:r>
      <w:r>
        <w:rPr/>
        <w:t>their</w:t>
      </w:r>
      <w:r>
        <w:rPr>
          <w:spacing w:val="-8"/>
        </w:rPr>
        <w:t> </w:t>
      </w:r>
      <w:r>
        <w:rPr/>
        <w:t>coach</w:t>
      </w:r>
      <w:r>
        <w:rPr>
          <w:spacing w:val="-8"/>
        </w:rPr>
        <w:t> </w:t>
      </w:r>
      <w:r>
        <w:rPr/>
        <w:t>could</w:t>
      </w:r>
      <w:r>
        <w:rPr>
          <w:spacing w:val="-8"/>
        </w:rPr>
        <w:t> </w:t>
      </w:r>
      <w:r>
        <w:rPr/>
        <w:t>use</w:t>
      </w:r>
      <w:r>
        <w:rPr>
          <w:spacing w:val="-8"/>
        </w:rPr>
        <w:t> </w:t>
      </w:r>
      <w:r>
        <w:rPr/>
        <w:t>to</w:t>
      </w:r>
      <w:r>
        <w:rPr>
          <w:spacing w:val="-8"/>
        </w:rPr>
        <w:t> </w:t>
      </w:r>
      <w:r>
        <w:rPr/>
        <w:t>understand</w:t>
      </w:r>
      <w:r>
        <w:rPr>
          <w:spacing w:val="-8"/>
        </w:rPr>
        <w:t> </w:t>
      </w:r>
      <w:r>
        <w:rPr/>
        <w:t>their</w:t>
      </w:r>
      <w:r>
        <w:rPr>
          <w:spacing w:val="-8"/>
        </w:rPr>
        <w:t> </w:t>
      </w:r>
      <w:r>
        <w:rPr/>
        <w:t>underlying</w:t>
      </w:r>
      <w:r>
        <w:rPr>
          <w:spacing w:val="-8"/>
        </w:rPr>
        <w:t> </w:t>
      </w:r>
      <w:r>
        <w:rPr/>
        <w:t>performances</w:t>
      </w:r>
      <w:r>
        <w:rPr>
          <w:spacing w:val="-8"/>
        </w:rPr>
        <w:t> </w:t>
      </w:r>
      <w:r>
        <w:rPr/>
        <w:t>but</w:t>
      </w:r>
      <w:r>
        <w:rPr>
          <w:spacing w:val="-8"/>
        </w:rPr>
        <w:t> </w:t>
      </w:r>
      <w:r>
        <w:rPr/>
        <w:t>the</w:t>
      </w:r>
      <w:r>
        <w:rPr>
          <w:spacing w:val="-8"/>
        </w:rPr>
        <w:t> </w:t>
      </w:r>
      <w:r>
        <w:rPr/>
        <w:t>applica- bility to all teams within the league is limited due to the single club sample used.</w:t>
      </w:r>
    </w:p>
    <w:p>
      <w:pPr>
        <w:pStyle w:val="BodyText"/>
        <w:spacing w:line="312" w:lineRule="auto" w:before="4"/>
        <w:ind w:left="610" w:right="389" w:firstLine="351"/>
      </w:pPr>
      <w:hyperlink w:history="true" w:anchor="_bookmark313">
        <w:r>
          <w:rPr>
            <w:color w:val="FF0000"/>
          </w:rPr>
          <w:t>Woods</w:t>
        </w:r>
      </w:hyperlink>
      <w:r>
        <w:rPr/>
        <w:t>(</w:t>
      </w:r>
      <w:hyperlink w:history="true" w:anchor="_bookmark313">
        <w:r>
          <w:rPr>
            <w:color w:val="FF0000"/>
          </w:rPr>
          <w:t>2016</w:t>
        </w:r>
        <w:r>
          <w:rPr/>
          <w:t>)</w:t>
        </w:r>
      </w:hyperlink>
      <w:r>
        <w:rPr/>
        <w:t> used season accumulated Australian Rules football statistics to iden- tify team performance indicators relevant to the team’s final league position.</w:t>
      </w:r>
      <w:r>
        <w:rPr>
          <w:spacing w:val="40"/>
        </w:rPr>
        <w:t> </w:t>
      </w:r>
      <w:r>
        <w:rPr/>
        <w:t>He </w:t>
      </w:r>
      <w:r>
        <w:rPr/>
        <w:t>used</w:t>
      </w:r>
      <w:r>
        <w:rPr>
          <w:spacing w:val="40"/>
        </w:rPr>
        <w:t> </w:t>
      </w:r>
      <w:r>
        <w:rPr/>
        <w:t>195 matches from the 2015 Australian Football League season.</w:t>
      </w:r>
      <w:r>
        <w:rPr>
          <w:spacing w:val="40"/>
        </w:rPr>
        <w:t> </w:t>
      </w:r>
      <w:r>
        <w:rPr/>
        <w:t>During preprocessing, the match counts of 12 performance indicators were summed to provide a season count for each performance indicator.</w:t>
      </w:r>
      <w:r>
        <w:rPr>
          <w:spacing w:val="40"/>
        </w:rPr>
        <w:t> </w:t>
      </w:r>
      <w:r>
        <w:rPr/>
        <w:t>Cumulative link mixed models (</w:t>
      </w:r>
      <w:hyperlink w:history="true" w:anchor="_bookmark252">
        <w:r>
          <w:rPr>
            <w:color w:val="FF0000"/>
          </w:rPr>
          <w:t>Hedeker and Gibbons</w:t>
        </w:r>
      </w:hyperlink>
      <w:r>
        <w:rPr/>
        <w:t>, </w:t>
      </w:r>
      <w:hyperlink w:history="true" w:anchor="_bookmark252">
        <w:r>
          <w:rPr>
            <w:color w:val="FF0000"/>
          </w:rPr>
          <w:t>1994</w:t>
        </w:r>
      </w:hyperlink>
      <w:r>
        <w:rPr/>
        <w:t>) were used to evaluate the relationship between performance indicators and end of season league position.</w:t>
      </w:r>
      <w:r>
        <w:rPr>
          <w:spacing w:val="37"/>
        </w:rPr>
        <w:t> </w:t>
      </w:r>
      <w:r>
        <w:rPr/>
        <w:t>The results indicated that three performance indicators were as- sociated with final league position:</w:t>
      </w:r>
      <w:r>
        <w:rPr>
          <w:spacing w:val="39"/>
        </w:rPr>
        <w:t> </w:t>
      </w:r>
      <w:r>
        <w:rPr/>
        <w:t>clearances (P=0.002, </w:t>
      </w:r>
      <w:r>
        <w:rPr>
          <w:rFonts w:ascii="Cambria" w:hAnsi="Cambria"/>
        </w:rPr>
        <w:t>β</w:t>
      </w:r>
      <w:r>
        <w:rPr/>
        <w:t>=-0.032); hit-outs (P</w:t>
      </w:r>
      <w:r>
        <w:rPr>
          <w:rFonts w:ascii="Cambria" w:hAnsi="Cambria"/>
        </w:rPr>
        <w:t>&lt;</w:t>
      </w:r>
      <w:r>
        <w:rPr/>
        <w:t>0.001; </w:t>
      </w:r>
      <w:r>
        <w:rPr>
          <w:rFonts w:ascii="Cambria" w:hAnsi="Cambria"/>
        </w:rPr>
        <w:t>β</w:t>
      </w:r>
      <w:r>
        <w:rPr/>
        <w:t>=-0.034); and inside 50m (P=0.012, </w:t>
      </w:r>
      <w:r>
        <w:rPr>
          <w:rFonts w:ascii="Cambria" w:hAnsi="Cambria"/>
        </w:rPr>
        <w:t>β</w:t>
      </w:r>
      <w:r>
        <w:rPr/>
        <w:t>=-0.020).</w:t>
      </w:r>
      <w:r>
        <w:rPr>
          <w:spacing w:val="39"/>
        </w:rPr>
        <w:t> </w:t>
      </w:r>
      <w:r>
        <w:rPr/>
        <w:t>The negative associations for all three variables indicated that greater counts were indicative of a better final league position. The results provide a bench mark for performances that coaches may wish to use; how- ever the violin plots provided by the author in the study (Figure</w:t>
      </w:r>
      <w:hyperlink w:history="true" w:anchor="_bookmark14">
        <w:r>
          <w:rPr>
            <w:color w:val="0000FF"/>
          </w:rPr>
          <w:t>2.1</w:t>
        </w:r>
        <w:r>
          <w:rPr/>
          <w:t>)</w:t>
        </w:r>
      </w:hyperlink>
      <w:r>
        <w:rPr/>
        <w:t> show the difficulty with</w:t>
      </w:r>
      <w:r>
        <w:rPr>
          <w:spacing w:val="-3"/>
        </w:rPr>
        <w:t> </w:t>
      </w:r>
      <w:r>
        <w:rPr/>
        <w:t>using</w:t>
      </w:r>
      <w:r>
        <w:rPr>
          <w:spacing w:val="-3"/>
        </w:rPr>
        <w:t> </w:t>
      </w:r>
      <w:r>
        <w:rPr/>
        <w:t>any</w:t>
      </w:r>
      <w:r>
        <w:rPr>
          <w:spacing w:val="-3"/>
        </w:rPr>
        <w:t> </w:t>
      </w:r>
      <w:r>
        <w:rPr/>
        <w:t>kind</w:t>
      </w:r>
      <w:r>
        <w:rPr>
          <w:spacing w:val="-3"/>
        </w:rPr>
        <w:t> </w:t>
      </w:r>
      <w:r>
        <w:rPr/>
        <w:t>of</w:t>
      </w:r>
      <w:r>
        <w:rPr>
          <w:spacing w:val="-3"/>
        </w:rPr>
        <w:t> </w:t>
      </w:r>
      <w:r>
        <w:rPr/>
        <w:t>accumulated</w:t>
      </w:r>
      <w:r>
        <w:rPr>
          <w:spacing w:val="-3"/>
        </w:rPr>
        <w:t> </w:t>
      </w:r>
      <w:r>
        <w:rPr/>
        <w:t>count</w:t>
      </w:r>
      <w:r>
        <w:rPr>
          <w:spacing w:val="-3"/>
        </w:rPr>
        <w:t> </w:t>
      </w:r>
      <w:r>
        <w:rPr/>
        <w:t>measure</w:t>
      </w:r>
      <w:r>
        <w:rPr>
          <w:spacing w:val="-3"/>
        </w:rPr>
        <w:t> </w:t>
      </w:r>
      <w:r>
        <w:rPr/>
        <w:t>as</w:t>
      </w:r>
      <w:r>
        <w:rPr>
          <w:spacing w:val="-3"/>
        </w:rPr>
        <w:t> </w:t>
      </w:r>
      <w:r>
        <w:rPr/>
        <w:t>a</w:t>
      </w:r>
      <w:r>
        <w:rPr>
          <w:spacing w:val="-3"/>
        </w:rPr>
        <w:t> </w:t>
      </w:r>
      <w:r>
        <w:rPr/>
        <w:t>performance</w:t>
      </w:r>
      <w:r>
        <w:rPr>
          <w:spacing w:val="-3"/>
        </w:rPr>
        <w:t> </w:t>
      </w:r>
      <w:r>
        <w:rPr/>
        <w:t>indicator</w:t>
      </w:r>
      <w:r>
        <w:rPr>
          <w:spacing w:val="-3"/>
        </w:rPr>
        <w:t> </w:t>
      </w:r>
      <w:r>
        <w:rPr/>
        <w:t>due</w:t>
      </w:r>
      <w:r>
        <w:rPr>
          <w:spacing w:val="-3"/>
        </w:rPr>
        <w:t> </w:t>
      </w:r>
      <w:r>
        <w:rPr/>
        <w:t>to</w:t>
      </w:r>
      <w:r>
        <w:rPr>
          <w:spacing w:val="-3"/>
        </w:rPr>
        <w:t> </w:t>
      </w:r>
      <w:r>
        <w:rPr/>
        <w:t>the wide variability inherent within these counts on a match by match basis.</w:t>
      </w:r>
    </w:p>
    <w:p>
      <w:pPr>
        <w:pStyle w:val="BodyText"/>
        <w:spacing w:line="259" w:lineRule="exact"/>
        <w:ind w:left="961"/>
        <w:jc w:val="both"/>
      </w:pPr>
      <w:hyperlink w:history="true" w:anchor="_bookmark284">
        <w:r>
          <w:rPr>
            <w:color w:val="FF0000"/>
          </w:rPr>
          <w:t>Robertson</w:t>
        </w:r>
        <w:r>
          <w:rPr>
            <w:color w:val="FF0000"/>
            <w:spacing w:val="-14"/>
          </w:rPr>
          <w:t> </w:t>
        </w:r>
        <w:r>
          <w:rPr>
            <w:color w:val="FF0000"/>
          </w:rPr>
          <w:t>et</w:t>
        </w:r>
        <w:r>
          <w:rPr>
            <w:color w:val="FF0000"/>
            <w:spacing w:val="-13"/>
          </w:rPr>
          <w:t> </w:t>
        </w:r>
        <w:r>
          <w:rPr>
            <w:color w:val="FF0000"/>
          </w:rPr>
          <w:t>al.</w:t>
        </w:r>
      </w:hyperlink>
      <w:r>
        <w:rPr/>
        <w:t>(</w:t>
      </w:r>
      <w:hyperlink w:history="true" w:anchor="_bookmark284">
        <w:r>
          <w:rPr>
            <w:color w:val="FF0000"/>
          </w:rPr>
          <w:t>2016</w:t>
        </w:r>
        <w:r>
          <w:rPr/>
          <w:t>)</w:t>
        </w:r>
      </w:hyperlink>
      <w:r>
        <w:rPr>
          <w:spacing w:val="-14"/>
        </w:rPr>
        <w:t> </w:t>
      </w:r>
      <w:r>
        <w:rPr/>
        <w:t>used</w:t>
      </w:r>
      <w:r>
        <w:rPr>
          <w:spacing w:val="-13"/>
        </w:rPr>
        <w:t> </w:t>
      </w:r>
      <w:r>
        <w:rPr/>
        <w:t>match</w:t>
      </w:r>
      <w:r>
        <w:rPr>
          <w:spacing w:val="-13"/>
        </w:rPr>
        <w:t> </w:t>
      </w:r>
      <w:r>
        <w:rPr/>
        <w:t>accumulated</w:t>
      </w:r>
      <w:r>
        <w:rPr>
          <w:spacing w:val="-14"/>
        </w:rPr>
        <w:t> </w:t>
      </w:r>
      <w:r>
        <w:rPr/>
        <w:t>Australian</w:t>
      </w:r>
      <w:r>
        <w:rPr>
          <w:spacing w:val="-13"/>
        </w:rPr>
        <w:t> </w:t>
      </w:r>
      <w:r>
        <w:rPr/>
        <w:t>Rules</w:t>
      </w:r>
      <w:r>
        <w:rPr>
          <w:spacing w:val="-14"/>
        </w:rPr>
        <w:t> </w:t>
      </w:r>
      <w:r>
        <w:rPr/>
        <w:t>football</w:t>
      </w:r>
      <w:r>
        <w:rPr>
          <w:spacing w:val="-13"/>
        </w:rPr>
        <w:t> </w:t>
      </w:r>
      <w:r>
        <w:rPr/>
        <w:t>statistics</w:t>
      </w:r>
      <w:r>
        <w:rPr>
          <w:spacing w:val="-13"/>
        </w:rPr>
        <w:t> </w:t>
      </w:r>
      <w:r>
        <w:rPr>
          <w:spacing w:val="-5"/>
        </w:rPr>
        <w:t>to</w:t>
      </w:r>
    </w:p>
    <w:p>
      <w:pPr>
        <w:pStyle w:val="BodyText"/>
        <w:spacing w:line="309" w:lineRule="auto" w:before="82"/>
        <w:ind w:left="610" w:right="389"/>
        <w:jc w:val="both"/>
      </w:pPr>
      <w:r>
        <w:rPr/>
        <w:t>evaluate</w:t>
      </w:r>
      <w:r>
        <w:rPr>
          <w:spacing w:val="-2"/>
        </w:rPr>
        <w:t> </w:t>
      </w:r>
      <w:r>
        <w:rPr/>
        <w:t>the</w:t>
      </w:r>
      <w:r>
        <w:rPr>
          <w:spacing w:val="-2"/>
        </w:rPr>
        <w:t> </w:t>
      </w:r>
      <w:r>
        <w:rPr/>
        <w:t>influence</w:t>
      </w:r>
      <w:r>
        <w:rPr>
          <w:spacing w:val="-2"/>
        </w:rPr>
        <w:t> </w:t>
      </w:r>
      <w:r>
        <w:rPr/>
        <w:t>of</w:t>
      </w:r>
      <w:r>
        <w:rPr>
          <w:spacing w:val="-2"/>
        </w:rPr>
        <w:t> </w:t>
      </w:r>
      <w:r>
        <w:rPr/>
        <w:t>individual</w:t>
      </w:r>
      <w:r>
        <w:rPr>
          <w:spacing w:val="-2"/>
        </w:rPr>
        <w:t> </w:t>
      </w:r>
      <w:r>
        <w:rPr/>
        <w:t>player</w:t>
      </w:r>
      <w:r>
        <w:rPr>
          <w:spacing w:val="-2"/>
        </w:rPr>
        <w:t> </w:t>
      </w:r>
      <w:r>
        <w:rPr/>
        <w:t>performances</w:t>
      </w:r>
      <w:r>
        <w:rPr>
          <w:spacing w:val="-2"/>
        </w:rPr>
        <w:t> </w:t>
      </w:r>
      <w:r>
        <w:rPr/>
        <w:t>on</w:t>
      </w:r>
      <w:r>
        <w:rPr>
          <w:spacing w:val="-2"/>
        </w:rPr>
        <w:t> </w:t>
      </w:r>
      <w:r>
        <w:rPr/>
        <w:t>match</w:t>
      </w:r>
      <w:r>
        <w:rPr>
          <w:spacing w:val="-2"/>
        </w:rPr>
        <w:t> </w:t>
      </w:r>
      <w:r>
        <w:rPr/>
        <w:t>outcomes.</w:t>
      </w:r>
      <w:r>
        <w:rPr>
          <w:spacing w:val="23"/>
        </w:rPr>
        <w:t> </w:t>
      </w:r>
      <w:r>
        <w:rPr/>
        <w:t>They</w:t>
      </w:r>
      <w:r>
        <w:rPr>
          <w:spacing w:val="-2"/>
        </w:rPr>
        <w:t> </w:t>
      </w:r>
      <w:r>
        <w:rPr/>
        <w:t>used 198</w:t>
      </w:r>
      <w:r>
        <w:rPr>
          <w:spacing w:val="-15"/>
        </w:rPr>
        <w:t> </w:t>
      </w:r>
      <w:r>
        <w:rPr/>
        <w:t>games</w:t>
      </w:r>
      <w:r>
        <w:rPr>
          <w:spacing w:val="-15"/>
        </w:rPr>
        <w:t> </w:t>
      </w:r>
      <w:r>
        <w:rPr/>
        <w:t>from</w:t>
      </w:r>
      <w:r>
        <w:rPr>
          <w:spacing w:val="-15"/>
        </w:rPr>
        <w:t> </w:t>
      </w:r>
      <w:r>
        <w:rPr/>
        <w:t>the</w:t>
      </w:r>
      <w:r>
        <w:rPr>
          <w:spacing w:val="-15"/>
        </w:rPr>
        <w:t> </w:t>
      </w:r>
      <w:r>
        <w:rPr/>
        <w:t>2014</w:t>
      </w:r>
      <w:r>
        <w:rPr>
          <w:spacing w:val="-15"/>
        </w:rPr>
        <w:t> </w:t>
      </w:r>
      <w:r>
        <w:rPr/>
        <w:t>Australian</w:t>
      </w:r>
      <w:r>
        <w:rPr>
          <w:spacing w:val="-15"/>
        </w:rPr>
        <w:t> </w:t>
      </w:r>
      <w:r>
        <w:rPr/>
        <w:t>Football</w:t>
      </w:r>
      <w:r>
        <w:rPr>
          <w:spacing w:val="-15"/>
        </w:rPr>
        <w:t> </w:t>
      </w:r>
      <w:r>
        <w:rPr/>
        <w:t>League</w:t>
      </w:r>
      <w:r>
        <w:rPr>
          <w:spacing w:val="-15"/>
        </w:rPr>
        <w:t> </w:t>
      </w:r>
      <w:r>
        <w:rPr/>
        <w:t>season.</w:t>
      </w:r>
      <w:r>
        <w:rPr>
          <w:spacing w:val="4"/>
        </w:rPr>
        <w:t> </w:t>
      </w:r>
      <w:r>
        <w:rPr/>
        <w:t>The</w:t>
      </w:r>
      <w:r>
        <w:rPr>
          <w:spacing w:val="-15"/>
        </w:rPr>
        <w:t> </w:t>
      </w:r>
      <w:r>
        <w:rPr/>
        <w:t>data</w:t>
      </w:r>
      <w:r>
        <w:rPr>
          <w:spacing w:val="-15"/>
        </w:rPr>
        <w:t> </w:t>
      </w:r>
      <w:r>
        <w:rPr/>
        <w:t>were</w:t>
      </w:r>
      <w:r>
        <w:rPr>
          <w:spacing w:val="-15"/>
        </w:rPr>
        <w:t> </w:t>
      </w:r>
      <w:r>
        <w:rPr/>
        <w:t>preprocessed by transforming the match accumulated player statistics for 13 performance indicators into percentages of the team’s overall match count for the respective performance indi- cator.</w:t>
      </w:r>
      <w:r>
        <w:rPr>
          <w:spacing w:val="40"/>
        </w:rPr>
        <w:t> </w:t>
      </w:r>
      <w:r>
        <w:rPr/>
        <w:t>These percentages were then used as ordered weights for each player so fourteen features</w:t>
      </w:r>
      <w:r>
        <w:rPr>
          <w:spacing w:val="-14"/>
        </w:rPr>
        <w:t> </w:t>
      </w:r>
      <w:r>
        <w:rPr/>
        <w:t>were</w:t>
      </w:r>
      <w:r>
        <w:rPr>
          <w:spacing w:val="-14"/>
        </w:rPr>
        <w:t> </w:t>
      </w:r>
      <w:r>
        <w:rPr/>
        <w:t>included</w:t>
      </w:r>
      <w:r>
        <w:rPr>
          <w:spacing w:val="-14"/>
        </w:rPr>
        <w:t> </w:t>
      </w:r>
      <w:r>
        <w:rPr/>
        <w:t>for</w:t>
      </w:r>
      <w:r>
        <w:rPr>
          <w:spacing w:val="-14"/>
        </w:rPr>
        <w:t> </w:t>
      </w:r>
      <w:r>
        <w:rPr/>
        <w:t>each</w:t>
      </w:r>
      <w:r>
        <w:rPr>
          <w:spacing w:val="-14"/>
        </w:rPr>
        <w:t> </w:t>
      </w:r>
      <w:r>
        <w:rPr/>
        <w:t>performance</w:t>
      </w:r>
      <w:r>
        <w:rPr>
          <w:spacing w:val="-14"/>
        </w:rPr>
        <w:t> </w:t>
      </w:r>
      <w:r>
        <w:rPr/>
        <w:t>indicator</w:t>
      </w:r>
      <w:r>
        <w:rPr>
          <w:spacing w:val="-14"/>
        </w:rPr>
        <w:t> </w:t>
      </w:r>
      <w:r>
        <w:rPr/>
        <w:t>based</w:t>
      </w:r>
      <w:r>
        <w:rPr>
          <w:spacing w:val="-14"/>
        </w:rPr>
        <w:t> </w:t>
      </w:r>
      <w:r>
        <w:rPr/>
        <w:t>on</w:t>
      </w:r>
      <w:r>
        <w:rPr>
          <w:spacing w:val="-14"/>
        </w:rPr>
        <w:t> </w:t>
      </w:r>
      <w:r>
        <w:rPr/>
        <w:t>percentile</w:t>
      </w:r>
      <w:r>
        <w:rPr>
          <w:spacing w:val="-14"/>
        </w:rPr>
        <w:t> </w:t>
      </w:r>
      <w:r>
        <w:rPr/>
        <w:t>ranks</w:t>
      </w:r>
      <w:r>
        <w:rPr>
          <w:spacing w:val="-14"/>
        </w:rPr>
        <w:t> </w:t>
      </w:r>
      <w:r>
        <w:rPr/>
        <w:t>of</w:t>
      </w:r>
      <w:r>
        <w:rPr>
          <w:spacing w:val="-14"/>
        </w:rPr>
        <w:t> </w:t>
      </w:r>
      <w:r>
        <w:rPr/>
        <w:t>the</w:t>
      </w:r>
      <w:r>
        <w:rPr>
          <w:spacing w:val="-14"/>
        </w:rPr>
        <w:t> </w:t>
      </w:r>
      <w:r>
        <w:rPr/>
        <w:t>or- dered</w:t>
      </w:r>
      <w:r>
        <w:rPr>
          <w:spacing w:val="-9"/>
        </w:rPr>
        <w:t> </w:t>
      </w:r>
      <w:r>
        <w:rPr/>
        <w:t>weights. That</w:t>
      </w:r>
      <w:r>
        <w:rPr>
          <w:spacing w:val="-9"/>
        </w:rPr>
        <w:t> </w:t>
      </w:r>
      <w:r>
        <w:rPr/>
        <w:t>is,</w:t>
      </w:r>
      <w:r>
        <w:rPr>
          <w:spacing w:val="-8"/>
        </w:rPr>
        <w:t> </w:t>
      </w:r>
      <w:r>
        <w:rPr/>
        <w:t>the</w:t>
      </w:r>
      <w:r>
        <w:rPr>
          <w:spacing w:val="-9"/>
        </w:rPr>
        <w:t> </w:t>
      </w:r>
      <w:r>
        <w:rPr/>
        <w:t>percentile</w:t>
      </w:r>
      <w:r>
        <w:rPr>
          <w:spacing w:val="-9"/>
        </w:rPr>
        <w:t> </w:t>
      </w:r>
      <w:r>
        <w:rPr/>
        <w:t>ranks</w:t>
      </w:r>
      <w:r>
        <w:rPr>
          <w:spacing w:val="-9"/>
        </w:rPr>
        <w:t> </w:t>
      </w:r>
      <w:r>
        <w:rPr/>
        <w:t>described</w:t>
      </w:r>
      <w:r>
        <w:rPr>
          <w:spacing w:val="-9"/>
        </w:rPr>
        <w:t> </w:t>
      </w:r>
      <w:r>
        <w:rPr/>
        <w:t>the</w:t>
      </w:r>
      <w:r>
        <w:rPr>
          <w:spacing w:val="-8"/>
        </w:rPr>
        <w:t> </w:t>
      </w:r>
      <w:r>
        <w:rPr/>
        <w:t>proportion</w:t>
      </w:r>
      <w:r>
        <w:rPr>
          <w:spacing w:val="-9"/>
        </w:rPr>
        <w:t> </w:t>
      </w:r>
      <w:r>
        <w:rPr/>
        <w:t>of</w:t>
      </w:r>
      <w:r>
        <w:rPr>
          <w:spacing w:val="-9"/>
        </w:rPr>
        <w:t> </w:t>
      </w:r>
      <w:r>
        <w:rPr/>
        <w:t>the</w:t>
      </w:r>
      <w:r>
        <w:rPr>
          <w:spacing w:val="-9"/>
        </w:rPr>
        <w:t> </w:t>
      </w:r>
      <w:r>
        <w:rPr/>
        <w:t>team’s</w:t>
      </w:r>
      <w:r>
        <w:rPr>
          <w:spacing w:val="-9"/>
        </w:rPr>
        <w:t> </w:t>
      </w:r>
      <w:r>
        <w:rPr/>
        <w:t>overall performance</w:t>
      </w:r>
      <w:r>
        <w:rPr>
          <w:spacing w:val="-11"/>
        </w:rPr>
        <w:t> </w:t>
      </w:r>
      <w:r>
        <w:rPr/>
        <w:t>indicator</w:t>
      </w:r>
      <w:r>
        <w:rPr>
          <w:spacing w:val="-11"/>
        </w:rPr>
        <w:t> </w:t>
      </w:r>
      <w:r>
        <w:rPr/>
        <w:t>count</w:t>
      </w:r>
      <w:r>
        <w:rPr>
          <w:spacing w:val="-11"/>
        </w:rPr>
        <w:t> </w:t>
      </w:r>
      <w:r>
        <w:rPr/>
        <w:t>accounted</w:t>
      </w:r>
      <w:r>
        <w:rPr>
          <w:spacing w:val="-11"/>
        </w:rPr>
        <w:t> </w:t>
      </w:r>
      <w:r>
        <w:rPr/>
        <w:t>for</w:t>
      </w:r>
      <w:r>
        <w:rPr>
          <w:spacing w:val="-11"/>
        </w:rPr>
        <w:t> </w:t>
      </w:r>
      <w:r>
        <w:rPr/>
        <w:t>by</w:t>
      </w:r>
      <w:r>
        <w:rPr>
          <w:spacing w:val="-11"/>
        </w:rPr>
        <w:t> </w:t>
      </w:r>
      <w:r>
        <w:rPr/>
        <w:t>the</w:t>
      </w:r>
      <w:r>
        <w:rPr>
          <w:spacing w:val="-10"/>
        </w:rPr>
        <w:t> </w:t>
      </w:r>
      <w:r>
        <w:rPr/>
        <w:t>relevant</w:t>
      </w:r>
      <w:r>
        <w:rPr>
          <w:spacing w:val="-10"/>
        </w:rPr>
        <w:t> </w:t>
      </w:r>
      <w:r>
        <w:rPr/>
        <w:t>player. Generalised</w:t>
      </w:r>
      <w:r>
        <w:rPr>
          <w:spacing w:val="-11"/>
        </w:rPr>
        <w:t> </w:t>
      </w:r>
      <w:r>
        <w:rPr/>
        <w:t>estimating equations</w:t>
      </w:r>
      <w:r>
        <w:rPr>
          <w:spacing w:val="-6"/>
        </w:rPr>
        <w:t> </w:t>
      </w:r>
      <w:r>
        <w:rPr/>
        <w:t>(</w:t>
      </w:r>
      <w:hyperlink w:history="true" w:anchor="_bookmark249">
        <w:r>
          <w:rPr>
            <w:color w:val="FF0000"/>
          </w:rPr>
          <w:t>Hardin</w:t>
        </w:r>
        <w:r>
          <w:rPr>
            <w:color w:val="FF0000"/>
            <w:spacing w:val="-6"/>
          </w:rPr>
          <w:t> </w:t>
        </w:r>
        <w:r>
          <w:rPr>
            <w:color w:val="FF0000"/>
          </w:rPr>
          <w:t>and</w:t>
        </w:r>
        <w:r>
          <w:rPr>
            <w:color w:val="FF0000"/>
            <w:spacing w:val="-6"/>
          </w:rPr>
          <w:t> </w:t>
        </w:r>
        <w:r>
          <w:rPr>
            <w:color w:val="FF0000"/>
          </w:rPr>
          <w:t>Hilbe</w:t>
        </w:r>
      </w:hyperlink>
      <w:r>
        <w:rPr/>
        <w:t>,</w:t>
      </w:r>
      <w:hyperlink w:history="true" w:anchor="_bookmark249">
        <w:r>
          <w:rPr>
            <w:color w:val="FF0000"/>
          </w:rPr>
          <w:t>2003</w:t>
        </w:r>
        <w:r>
          <w:rPr/>
          <w:t>)</w:t>
        </w:r>
      </w:hyperlink>
      <w:r>
        <w:rPr>
          <w:spacing w:val="-6"/>
        </w:rPr>
        <w:t> </w:t>
      </w:r>
      <w:r>
        <w:rPr/>
        <w:t>were</w:t>
      </w:r>
      <w:r>
        <w:rPr>
          <w:spacing w:val="-6"/>
        </w:rPr>
        <w:t> </w:t>
      </w:r>
      <w:r>
        <w:rPr/>
        <w:t>used</w:t>
      </w:r>
      <w:r>
        <w:rPr>
          <w:spacing w:val="-6"/>
        </w:rPr>
        <w:t> </w:t>
      </w:r>
      <w:r>
        <w:rPr/>
        <w:t>to</w:t>
      </w:r>
      <w:r>
        <w:rPr>
          <w:spacing w:val="-6"/>
        </w:rPr>
        <w:t> </w:t>
      </w:r>
      <w:r>
        <w:rPr/>
        <w:t>describe</w:t>
      </w:r>
      <w:r>
        <w:rPr>
          <w:spacing w:val="-6"/>
        </w:rPr>
        <w:t> </w:t>
      </w:r>
      <w:r>
        <w:rPr/>
        <w:t>the</w:t>
      </w:r>
      <w:r>
        <w:rPr>
          <w:spacing w:val="-6"/>
        </w:rPr>
        <w:t> </w:t>
      </w:r>
      <w:r>
        <w:rPr/>
        <w:t>relationship</w:t>
      </w:r>
      <w:r>
        <w:rPr>
          <w:spacing w:val="-6"/>
        </w:rPr>
        <w:t> </w:t>
      </w:r>
      <w:r>
        <w:rPr/>
        <w:t>between</w:t>
      </w:r>
      <w:r>
        <w:rPr>
          <w:spacing w:val="-6"/>
        </w:rPr>
        <w:t> </w:t>
      </w:r>
      <w:r>
        <w:rPr/>
        <w:t>match outcome and the feature set of performance indicators.</w:t>
      </w:r>
      <w:r>
        <w:rPr>
          <w:spacing w:val="40"/>
        </w:rPr>
        <w:t> </w:t>
      </w:r>
      <w:r>
        <w:rPr/>
        <w:t>The authors used 10-fold cross validation with a random selection of 33</w:t>
      </w:r>
      <w:r>
        <w:rPr>
          <w:rFonts w:ascii="Garamond" w:hAnsi="Garamond"/>
        </w:rPr>
        <w:t>% </w:t>
      </w:r>
      <w:r>
        <w:rPr/>
        <w:t>of the data; they did not specify whether this was</w:t>
      </w:r>
      <w:r>
        <w:rPr>
          <w:spacing w:val="3"/>
        </w:rPr>
        <w:t> </w:t>
      </w:r>
      <w:r>
        <w:rPr/>
        <w:t>an</w:t>
      </w:r>
      <w:r>
        <w:rPr>
          <w:spacing w:val="4"/>
        </w:rPr>
        <w:t> </w:t>
      </w:r>
      <w:r>
        <w:rPr/>
        <w:t>in</w:t>
      </w:r>
      <w:r>
        <w:rPr>
          <w:spacing w:val="3"/>
        </w:rPr>
        <w:t> </w:t>
      </w:r>
      <w:r>
        <w:rPr/>
        <w:t>or</w:t>
      </w:r>
      <w:r>
        <w:rPr>
          <w:spacing w:val="4"/>
        </w:rPr>
        <w:t> </w:t>
      </w:r>
      <w:r>
        <w:rPr/>
        <w:t>out</w:t>
      </w:r>
      <w:r>
        <w:rPr>
          <w:spacing w:val="4"/>
        </w:rPr>
        <w:t> </w:t>
      </w:r>
      <w:r>
        <w:rPr/>
        <w:t>of</w:t>
      </w:r>
      <w:r>
        <w:rPr>
          <w:spacing w:val="3"/>
        </w:rPr>
        <w:t> </w:t>
      </w:r>
      <w:r>
        <w:rPr/>
        <w:t>sample</w:t>
      </w:r>
      <w:r>
        <w:rPr>
          <w:spacing w:val="4"/>
        </w:rPr>
        <w:t> </w:t>
      </w:r>
      <w:r>
        <w:rPr/>
        <w:t>validation.</w:t>
      </w:r>
      <w:r>
        <w:rPr>
          <w:spacing w:val="36"/>
        </w:rPr>
        <w:t> </w:t>
      </w:r>
      <w:r>
        <w:rPr/>
        <w:t>The</w:t>
      </w:r>
      <w:r>
        <w:rPr>
          <w:spacing w:val="3"/>
        </w:rPr>
        <w:t> </w:t>
      </w:r>
      <w:r>
        <w:rPr/>
        <w:t>results</w:t>
      </w:r>
      <w:r>
        <w:rPr>
          <w:spacing w:val="4"/>
        </w:rPr>
        <w:t> </w:t>
      </w:r>
      <w:r>
        <w:rPr/>
        <w:t>showed</w:t>
      </w:r>
      <w:r>
        <w:rPr>
          <w:spacing w:val="4"/>
        </w:rPr>
        <w:t> </w:t>
      </w:r>
      <w:r>
        <w:rPr/>
        <w:t>that</w:t>
      </w:r>
      <w:r>
        <w:rPr>
          <w:spacing w:val="3"/>
        </w:rPr>
        <w:t> </w:t>
      </w:r>
      <w:r>
        <w:rPr/>
        <w:t>five</w:t>
      </w:r>
      <w:r>
        <w:rPr>
          <w:spacing w:val="4"/>
        </w:rPr>
        <w:t> </w:t>
      </w:r>
      <w:r>
        <w:rPr/>
        <w:t>performance</w:t>
      </w:r>
      <w:r>
        <w:rPr>
          <w:spacing w:val="4"/>
        </w:rPr>
        <w:t> </w:t>
      </w:r>
      <w:r>
        <w:rPr>
          <w:spacing w:val="-2"/>
        </w:rPr>
        <w:t>indica-</w:t>
      </w:r>
    </w:p>
    <w:p>
      <w:pPr>
        <w:spacing w:after="0" w:line="309" w:lineRule="auto"/>
        <w:jc w:val="both"/>
        <w:sectPr>
          <w:pgSz w:w="11910" w:h="16840"/>
          <w:pgMar w:header="1961" w:footer="1428" w:top="2260" w:bottom="1620" w:left="1680" w:right="720"/>
        </w:sectPr>
      </w:pPr>
    </w:p>
    <w:p>
      <w:pPr>
        <w:pStyle w:val="BodyText"/>
        <w:rPr>
          <w:sz w:val="20"/>
        </w:rPr>
      </w:pPr>
    </w:p>
    <w:p>
      <w:pPr>
        <w:pStyle w:val="BodyText"/>
        <w:rPr>
          <w:sz w:val="20"/>
        </w:rPr>
      </w:pPr>
    </w:p>
    <w:p>
      <w:pPr>
        <w:pStyle w:val="BodyText"/>
        <w:spacing w:before="9" w:after="1"/>
        <w:rPr>
          <w:sz w:val="16"/>
        </w:rPr>
      </w:pPr>
    </w:p>
    <w:p>
      <w:pPr>
        <w:pStyle w:val="BodyText"/>
        <w:ind w:left="1035"/>
        <w:rPr>
          <w:sz w:val="20"/>
        </w:rPr>
      </w:pPr>
      <w:r>
        <w:rPr>
          <w:sz w:val="20"/>
        </w:rPr>
        <w:drawing>
          <wp:inline distT="0" distB="0" distL="0" distR="0">
            <wp:extent cx="4855144" cy="2426207"/>
            <wp:effectExtent l="0" t="0" r="0" b="0"/>
            <wp:docPr id="3" name="image2.jpeg"/>
            <wp:cNvGraphicFramePr>
              <a:graphicFrameLocks noChangeAspect="1"/>
            </wp:cNvGraphicFramePr>
            <a:graphic>
              <a:graphicData uri="http://schemas.openxmlformats.org/drawingml/2006/picture">
                <pic:pic>
                  <pic:nvPicPr>
                    <pic:cNvPr id="4" name="image2.jpeg"/>
                    <pic:cNvPicPr/>
                  </pic:nvPicPr>
                  <pic:blipFill>
                    <a:blip r:embed="rId35" cstate="print"/>
                    <a:stretch>
                      <a:fillRect/>
                    </a:stretch>
                  </pic:blipFill>
                  <pic:spPr>
                    <a:xfrm>
                      <a:off x="0" y="0"/>
                      <a:ext cx="4855144" cy="2426207"/>
                    </a:xfrm>
                    <a:prstGeom prst="rect">
                      <a:avLst/>
                    </a:prstGeom>
                  </pic:spPr>
                </pic:pic>
              </a:graphicData>
            </a:graphic>
          </wp:inline>
        </w:drawing>
      </w:r>
      <w:r>
        <w:rPr>
          <w:sz w:val="20"/>
        </w:rPr>
      </w:r>
    </w:p>
    <w:p>
      <w:pPr>
        <w:pStyle w:val="BodyText"/>
        <w:spacing w:before="4"/>
        <w:rPr>
          <w:sz w:val="6"/>
        </w:rPr>
      </w:pPr>
    </w:p>
    <w:p>
      <w:pPr>
        <w:pStyle w:val="BodyText"/>
        <w:spacing w:line="252" w:lineRule="auto" w:before="105"/>
        <w:ind w:left="610" w:right="389"/>
        <w:jc w:val="both"/>
      </w:pPr>
      <w:bookmarkStart w:name="_bookmark14" w:id="33"/>
      <w:bookmarkEnd w:id="33"/>
      <w:r>
        <w:rPr/>
      </w:r>
      <w:r>
        <w:rPr>
          <w:b/>
        </w:rPr>
        <w:t>Figure 2.1: </w:t>
      </w:r>
      <w:hyperlink w:history="true" w:anchor="_bookmark313">
        <w:r>
          <w:rPr>
            <w:color w:val="FF0000"/>
          </w:rPr>
          <w:t>Woods</w:t>
        </w:r>
      </w:hyperlink>
      <w:r>
        <w:rPr/>
        <w:t>(</w:t>
      </w:r>
      <w:hyperlink w:history="true" w:anchor="_bookmark313">
        <w:r>
          <w:rPr>
            <w:color w:val="FF0000"/>
          </w:rPr>
          <w:t>2016</w:t>
        </w:r>
        <w:r>
          <w:rPr/>
          <w:t>)</w:t>
        </w:r>
      </w:hyperlink>
      <w:r>
        <w:rPr/>
        <w:t> violin plot of performance indicators significantly associated with</w:t>
      </w:r>
      <w:r>
        <w:rPr>
          <w:spacing w:val="-1"/>
        </w:rPr>
        <w:t> </w:t>
      </w:r>
      <w:r>
        <w:rPr/>
        <w:t>final</w:t>
      </w:r>
      <w:r>
        <w:rPr>
          <w:spacing w:val="-1"/>
        </w:rPr>
        <w:t> </w:t>
      </w:r>
      <w:r>
        <w:rPr/>
        <w:t>league</w:t>
      </w:r>
      <w:r>
        <w:rPr>
          <w:spacing w:val="-1"/>
        </w:rPr>
        <w:t> </w:t>
      </w:r>
      <w:r>
        <w:rPr/>
        <w:t>position.</w:t>
      </w:r>
      <w:r>
        <w:rPr>
          <w:spacing w:val="25"/>
        </w:rPr>
        <w:t> </w:t>
      </w:r>
      <w:r>
        <w:rPr/>
        <w:t>Model</w:t>
      </w:r>
      <w:r>
        <w:rPr>
          <w:spacing w:val="-1"/>
        </w:rPr>
        <w:t> </w:t>
      </w:r>
      <w:r>
        <w:rPr/>
        <w:t>was</w:t>
      </w:r>
      <w:r>
        <w:rPr>
          <w:spacing w:val="-1"/>
        </w:rPr>
        <w:t> </w:t>
      </w:r>
      <w:r>
        <w:rPr/>
        <w:t>completed</w:t>
      </w:r>
      <w:r>
        <w:rPr>
          <w:spacing w:val="-1"/>
        </w:rPr>
        <w:t> </w:t>
      </w:r>
      <w:r>
        <w:rPr/>
        <w:t>using</w:t>
      </w:r>
      <w:r>
        <w:rPr>
          <w:spacing w:val="-1"/>
        </w:rPr>
        <w:t> </w:t>
      </w:r>
      <w:r>
        <w:rPr/>
        <w:t>season</w:t>
      </w:r>
      <w:r>
        <w:rPr>
          <w:spacing w:val="-1"/>
        </w:rPr>
        <w:t> </w:t>
      </w:r>
      <w:r>
        <w:rPr/>
        <w:t>accumulated</w:t>
      </w:r>
      <w:r>
        <w:rPr>
          <w:spacing w:val="-1"/>
        </w:rPr>
        <w:t> </w:t>
      </w:r>
      <w:r>
        <w:rPr/>
        <w:t>counts, </w:t>
      </w:r>
      <w:r>
        <w:rPr/>
        <w:t>dots in this plot represent match accumulated counts and show the variability inherent within the use of accumulated match counts on a match by match basis.</w:t>
      </w:r>
      <w:r>
        <w:rPr>
          <w:spacing w:val="40"/>
        </w:rPr>
        <w:t> </w:t>
      </w:r>
      <w:r>
        <w:rPr/>
        <w:t>League position is denoted in alphabetical order (e.g. A = 1</w:t>
      </w:r>
      <w:r>
        <w:rPr>
          <w:vertAlign w:val="superscript"/>
        </w:rPr>
        <w:t>st</w:t>
      </w:r>
      <w:r>
        <w:rPr>
          <w:vertAlign w:val="baseline"/>
        </w:rPr>
        <w:t>, B = 2</w:t>
      </w:r>
      <w:r>
        <w:rPr>
          <w:vertAlign w:val="superscript"/>
        </w:rPr>
        <w:t>nd</w:t>
      </w:r>
      <w:r>
        <w:rPr>
          <w:vertAlign w:val="baseline"/>
        </w:rPr>
        <w:t> etc).</w:t>
      </w:r>
    </w:p>
    <w:p>
      <w:pPr>
        <w:pStyle w:val="BodyText"/>
        <w:rPr>
          <w:sz w:val="30"/>
        </w:rPr>
      </w:pPr>
    </w:p>
    <w:p>
      <w:pPr>
        <w:pStyle w:val="BodyText"/>
        <w:spacing w:before="7"/>
      </w:pPr>
    </w:p>
    <w:p>
      <w:pPr>
        <w:pStyle w:val="BodyText"/>
        <w:spacing w:line="358" w:lineRule="exact"/>
        <w:ind w:left="610" w:right="389"/>
        <w:jc w:val="both"/>
      </w:pPr>
      <w:r>
        <w:rPr/>
        <w:t>tors</w:t>
      </w:r>
      <w:r>
        <w:rPr>
          <w:spacing w:val="-15"/>
        </w:rPr>
        <w:t> </w:t>
      </w:r>
      <w:r>
        <w:rPr/>
        <w:t>were</w:t>
      </w:r>
      <w:r>
        <w:rPr>
          <w:spacing w:val="-15"/>
        </w:rPr>
        <w:t> </w:t>
      </w:r>
      <w:r>
        <w:rPr/>
        <w:t>significantly</w:t>
      </w:r>
      <w:r>
        <w:rPr>
          <w:spacing w:val="-15"/>
        </w:rPr>
        <w:t> </w:t>
      </w:r>
      <w:r>
        <w:rPr/>
        <w:t>related</w:t>
      </w:r>
      <w:r>
        <w:rPr>
          <w:spacing w:val="-15"/>
        </w:rPr>
        <w:t> </w:t>
      </w:r>
      <w:r>
        <w:rPr/>
        <w:t>to</w:t>
      </w:r>
      <w:r>
        <w:rPr>
          <w:spacing w:val="-15"/>
        </w:rPr>
        <w:t> </w:t>
      </w:r>
      <w:r>
        <w:rPr/>
        <w:t>match</w:t>
      </w:r>
      <w:r>
        <w:rPr>
          <w:spacing w:val="-15"/>
        </w:rPr>
        <w:t> </w:t>
      </w:r>
      <w:r>
        <w:rPr/>
        <w:t>outcome</w:t>
      </w:r>
      <w:r>
        <w:rPr>
          <w:spacing w:val="-15"/>
        </w:rPr>
        <w:t> </w:t>
      </w:r>
      <w:r>
        <w:rPr/>
        <w:t>at</w:t>
      </w:r>
      <w:r>
        <w:rPr>
          <w:spacing w:val="-15"/>
        </w:rPr>
        <w:t> </w:t>
      </w:r>
      <w:r>
        <w:rPr/>
        <w:t>different</w:t>
      </w:r>
      <w:r>
        <w:rPr>
          <w:spacing w:val="-15"/>
        </w:rPr>
        <w:t> </w:t>
      </w:r>
      <w:r>
        <w:rPr/>
        <w:t>percentile</w:t>
      </w:r>
      <w:r>
        <w:rPr>
          <w:spacing w:val="-15"/>
        </w:rPr>
        <w:t> </w:t>
      </w:r>
      <w:r>
        <w:rPr/>
        <w:t>ranks: marks</w:t>
      </w:r>
      <w:r>
        <w:rPr>
          <w:spacing w:val="-15"/>
        </w:rPr>
        <w:t> </w:t>
      </w:r>
      <w:r>
        <w:rPr/>
        <w:t>(25th percentile);</w:t>
      </w:r>
      <w:r>
        <w:rPr>
          <w:spacing w:val="-15"/>
        </w:rPr>
        <w:t> </w:t>
      </w:r>
      <w:r>
        <w:rPr/>
        <w:t>disposal</w:t>
      </w:r>
      <w:r>
        <w:rPr>
          <w:spacing w:val="-15"/>
        </w:rPr>
        <w:t> </w:t>
      </w:r>
      <w:r>
        <w:rPr/>
        <w:t>(25th</w:t>
      </w:r>
      <w:r>
        <w:rPr>
          <w:spacing w:val="-15"/>
        </w:rPr>
        <w:t> </w:t>
      </w:r>
      <w:r>
        <w:rPr/>
        <w:t>and</w:t>
      </w:r>
      <w:r>
        <w:rPr>
          <w:spacing w:val="-15"/>
        </w:rPr>
        <w:t> </w:t>
      </w:r>
      <w:r>
        <w:rPr/>
        <w:t>50th</w:t>
      </w:r>
      <w:r>
        <w:rPr>
          <w:spacing w:val="-15"/>
        </w:rPr>
        <w:t> </w:t>
      </w:r>
      <w:r>
        <w:rPr/>
        <w:t>percentile);</w:t>
      </w:r>
      <w:r>
        <w:rPr>
          <w:spacing w:val="-13"/>
        </w:rPr>
        <w:t> </w:t>
      </w:r>
      <w:r>
        <w:rPr/>
        <w:t>goals</w:t>
      </w:r>
      <w:r>
        <w:rPr>
          <w:spacing w:val="-15"/>
        </w:rPr>
        <w:t> </w:t>
      </w:r>
      <w:r>
        <w:rPr/>
        <w:t>(75th,</w:t>
      </w:r>
      <w:r>
        <w:rPr>
          <w:spacing w:val="-14"/>
        </w:rPr>
        <w:t> </w:t>
      </w:r>
      <w:r>
        <w:rPr/>
        <w:t>90th</w:t>
      </w:r>
      <w:r>
        <w:rPr>
          <w:spacing w:val="-15"/>
        </w:rPr>
        <w:t> </w:t>
      </w:r>
      <w:r>
        <w:rPr/>
        <w:t>and</w:t>
      </w:r>
      <w:r>
        <w:rPr>
          <w:spacing w:val="-15"/>
        </w:rPr>
        <w:t> </w:t>
      </w:r>
      <w:r>
        <w:rPr/>
        <w:t>95th</w:t>
      </w:r>
      <w:r>
        <w:rPr>
          <w:spacing w:val="-15"/>
        </w:rPr>
        <w:t> </w:t>
      </w:r>
      <w:r>
        <w:rPr/>
        <w:t>percentile);</w:t>
      </w:r>
      <w:r>
        <w:rPr>
          <w:spacing w:val="-12"/>
        </w:rPr>
        <w:t> </w:t>
      </w:r>
      <w:r>
        <w:rPr/>
        <w:t>be- hinds (90th percentile); and inside 50s (95th percentile).</w:t>
      </w:r>
      <w:r>
        <w:rPr>
          <w:spacing w:val="40"/>
        </w:rPr>
        <w:t> </w:t>
      </w:r>
      <w:r>
        <w:rPr/>
        <w:t>The model correctly classified the match outcome with 63.9 </w:t>
      </w:r>
      <w:r>
        <w:rPr>
          <w:rFonts w:ascii="Lucida Sans Unicode" w:hAnsi="Lucida Sans Unicode"/>
        </w:rPr>
        <w:t>±</w:t>
      </w:r>
      <w:r>
        <w:rPr>
          <w:rFonts w:ascii="Lucida Sans Unicode" w:hAnsi="Lucida Sans Unicode"/>
          <w:spacing w:val="-16"/>
        </w:rPr>
        <w:t> </w:t>
      </w:r>
      <w:r>
        <w:rPr/>
        <w:t>4.2</w:t>
      </w:r>
      <w:r>
        <w:rPr>
          <w:rFonts w:ascii="Garamond" w:hAnsi="Garamond"/>
        </w:rPr>
        <w:t>% </w:t>
      </w:r>
      <w:r>
        <w:rPr/>
        <w:t>accuracy.</w:t>
      </w:r>
      <w:r>
        <w:rPr>
          <w:spacing w:val="28"/>
        </w:rPr>
        <w:t> </w:t>
      </w:r>
      <w:r>
        <w:rPr/>
        <w:t>The results provide a novel approach to understanding</w:t>
      </w:r>
      <w:r>
        <w:rPr>
          <w:spacing w:val="-1"/>
        </w:rPr>
        <w:t> </w:t>
      </w:r>
      <w:r>
        <w:rPr/>
        <w:t>the</w:t>
      </w:r>
      <w:r>
        <w:rPr>
          <w:spacing w:val="-1"/>
        </w:rPr>
        <w:t> </w:t>
      </w:r>
      <w:r>
        <w:rPr/>
        <w:t>distribution</w:t>
      </w:r>
      <w:r>
        <w:rPr>
          <w:spacing w:val="-1"/>
        </w:rPr>
        <w:t> </w:t>
      </w:r>
      <w:r>
        <w:rPr/>
        <w:t>of</w:t>
      </w:r>
      <w:r>
        <w:rPr>
          <w:spacing w:val="-1"/>
        </w:rPr>
        <w:t> </w:t>
      </w:r>
      <w:r>
        <w:rPr/>
        <w:t>player</w:t>
      </w:r>
      <w:r>
        <w:rPr>
          <w:spacing w:val="-1"/>
        </w:rPr>
        <w:t> </w:t>
      </w:r>
      <w:r>
        <w:rPr/>
        <w:t>contributions</w:t>
      </w:r>
      <w:r>
        <w:rPr>
          <w:spacing w:val="-1"/>
        </w:rPr>
        <w:t> </w:t>
      </w:r>
      <w:r>
        <w:rPr/>
        <w:t>to</w:t>
      </w:r>
      <w:r>
        <w:rPr>
          <w:spacing w:val="-1"/>
        </w:rPr>
        <w:t> </w:t>
      </w:r>
      <w:r>
        <w:rPr/>
        <w:t>match</w:t>
      </w:r>
      <w:r>
        <w:rPr>
          <w:spacing w:val="-1"/>
        </w:rPr>
        <w:t> </w:t>
      </w:r>
      <w:r>
        <w:rPr/>
        <w:t>outcome, suggesting</w:t>
      </w:r>
      <w:r>
        <w:rPr>
          <w:spacing w:val="-1"/>
        </w:rPr>
        <w:t> </w:t>
      </w:r>
      <w:r>
        <w:rPr/>
        <w:t>that the more evenly spread the goal scorers are and the more disposals (total count of kicks and</w:t>
      </w:r>
      <w:r>
        <w:rPr>
          <w:spacing w:val="-13"/>
        </w:rPr>
        <w:t> </w:t>
      </w:r>
      <w:r>
        <w:rPr/>
        <w:t>handballs)</w:t>
      </w:r>
      <w:r>
        <w:rPr>
          <w:spacing w:val="-13"/>
        </w:rPr>
        <w:t> </w:t>
      </w:r>
      <w:r>
        <w:rPr/>
        <w:t>the</w:t>
      </w:r>
      <w:r>
        <w:rPr>
          <w:spacing w:val="-13"/>
        </w:rPr>
        <w:t> </w:t>
      </w:r>
      <w:r>
        <w:rPr/>
        <w:t>lower</w:t>
      </w:r>
      <w:r>
        <w:rPr>
          <w:spacing w:val="-13"/>
        </w:rPr>
        <w:t> </w:t>
      </w:r>
      <w:r>
        <w:rPr/>
        <w:t>percentile</w:t>
      </w:r>
      <w:r>
        <w:rPr>
          <w:spacing w:val="-13"/>
        </w:rPr>
        <w:t> </w:t>
      </w:r>
      <w:r>
        <w:rPr/>
        <w:t>players</w:t>
      </w:r>
      <w:r>
        <w:rPr>
          <w:spacing w:val="-13"/>
        </w:rPr>
        <w:t> </w:t>
      </w:r>
      <w:r>
        <w:rPr/>
        <w:t>perform,</w:t>
      </w:r>
      <w:r>
        <w:rPr>
          <w:spacing w:val="-12"/>
        </w:rPr>
        <w:t> </w:t>
      </w:r>
      <w:r>
        <w:rPr/>
        <w:t>the</w:t>
      </w:r>
      <w:r>
        <w:rPr>
          <w:spacing w:val="-13"/>
        </w:rPr>
        <w:t> </w:t>
      </w:r>
      <w:r>
        <w:rPr/>
        <w:t>greater</w:t>
      </w:r>
      <w:r>
        <w:rPr>
          <w:spacing w:val="-13"/>
        </w:rPr>
        <w:t> </w:t>
      </w:r>
      <w:r>
        <w:rPr/>
        <w:t>the</w:t>
      </w:r>
      <w:r>
        <w:rPr>
          <w:spacing w:val="-13"/>
        </w:rPr>
        <w:t> </w:t>
      </w:r>
      <w:r>
        <w:rPr/>
        <w:t>team’s</w:t>
      </w:r>
      <w:r>
        <w:rPr>
          <w:spacing w:val="-13"/>
        </w:rPr>
        <w:t> </w:t>
      </w:r>
      <w:r>
        <w:rPr/>
        <w:t>chance</w:t>
      </w:r>
      <w:r>
        <w:rPr>
          <w:spacing w:val="-13"/>
        </w:rPr>
        <w:t> </w:t>
      </w:r>
      <w:r>
        <w:rPr/>
        <w:t>of</w:t>
      </w:r>
      <w:r>
        <w:rPr>
          <w:spacing w:val="-13"/>
        </w:rPr>
        <w:t> </w:t>
      </w:r>
      <w:r>
        <w:rPr/>
        <w:t>win- ning. Information</w:t>
      </w:r>
      <w:r>
        <w:rPr>
          <w:spacing w:val="-12"/>
        </w:rPr>
        <w:t> </w:t>
      </w:r>
      <w:r>
        <w:rPr/>
        <w:t>of</w:t>
      </w:r>
      <w:r>
        <w:rPr>
          <w:spacing w:val="-12"/>
        </w:rPr>
        <w:t> </w:t>
      </w:r>
      <w:r>
        <w:rPr/>
        <w:t>this</w:t>
      </w:r>
      <w:r>
        <w:rPr>
          <w:spacing w:val="-12"/>
        </w:rPr>
        <w:t> </w:t>
      </w:r>
      <w:r>
        <w:rPr/>
        <w:t>nature</w:t>
      </w:r>
      <w:r>
        <w:rPr>
          <w:spacing w:val="-12"/>
        </w:rPr>
        <w:t> </w:t>
      </w:r>
      <w:r>
        <w:rPr/>
        <w:t>could</w:t>
      </w:r>
      <w:r>
        <w:rPr>
          <w:spacing w:val="-12"/>
        </w:rPr>
        <w:t> </w:t>
      </w:r>
      <w:r>
        <w:rPr/>
        <w:t>be</w:t>
      </w:r>
      <w:r>
        <w:rPr>
          <w:spacing w:val="-12"/>
        </w:rPr>
        <w:t> </w:t>
      </w:r>
      <w:r>
        <w:rPr/>
        <w:t>used</w:t>
      </w:r>
      <w:r>
        <w:rPr>
          <w:spacing w:val="-12"/>
        </w:rPr>
        <w:t> </w:t>
      </w:r>
      <w:r>
        <w:rPr/>
        <w:t>to</w:t>
      </w:r>
      <w:r>
        <w:rPr>
          <w:spacing w:val="-12"/>
        </w:rPr>
        <w:t> </w:t>
      </w:r>
      <w:r>
        <w:rPr/>
        <w:t>provide</w:t>
      </w:r>
      <w:r>
        <w:rPr>
          <w:spacing w:val="-12"/>
        </w:rPr>
        <w:t> </w:t>
      </w:r>
      <w:r>
        <w:rPr/>
        <w:t>an</w:t>
      </w:r>
      <w:r>
        <w:rPr>
          <w:spacing w:val="-12"/>
        </w:rPr>
        <w:t> </w:t>
      </w:r>
      <w:r>
        <w:rPr/>
        <w:t>understanding</w:t>
      </w:r>
      <w:r>
        <w:rPr>
          <w:spacing w:val="-12"/>
        </w:rPr>
        <w:t> </w:t>
      </w:r>
      <w:r>
        <w:rPr/>
        <w:t>of</w:t>
      </w:r>
      <w:r>
        <w:rPr>
          <w:spacing w:val="-12"/>
        </w:rPr>
        <w:t> </w:t>
      </w:r>
      <w:r>
        <w:rPr/>
        <w:t>squad</w:t>
      </w:r>
      <w:r>
        <w:rPr>
          <w:spacing w:val="-12"/>
        </w:rPr>
        <w:t> </w:t>
      </w:r>
      <w:r>
        <w:rPr/>
        <w:t>depth and positions/areas through which recruitment teams may wish to target new players.</w:t>
      </w:r>
    </w:p>
    <w:p>
      <w:pPr>
        <w:pStyle w:val="BodyText"/>
        <w:spacing w:line="312" w:lineRule="auto" w:before="67"/>
        <w:ind w:left="610" w:right="389" w:firstLine="351"/>
        <w:jc w:val="both"/>
      </w:pPr>
      <w:hyperlink w:history="true" w:anchor="_bookmark309">
        <w:r>
          <w:rPr>
            <w:color w:val="FF0000"/>
          </w:rPr>
          <w:t>Whitaker et al.</w:t>
        </w:r>
      </w:hyperlink>
      <w:r>
        <w:rPr/>
        <w:t>(</w:t>
      </w:r>
      <w:hyperlink w:history="true" w:anchor="_bookmark309">
        <w:r>
          <w:rPr>
            <w:color w:val="FF0000"/>
          </w:rPr>
          <w:t>2021</w:t>
        </w:r>
        <w:r>
          <w:rPr/>
          <w:t>)</w:t>
        </w:r>
      </w:hyperlink>
      <w:r>
        <w:rPr/>
        <w:t> used match accumulated football statistics to infer the abilities of football players in the Premier League, working under the assumption that </w:t>
      </w:r>
      <w:r>
        <w:rPr/>
        <w:t>players involved</w:t>
      </w:r>
      <w:r>
        <w:rPr>
          <w:spacing w:val="-15"/>
        </w:rPr>
        <w:t> </w:t>
      </w:r>
      <w:r>
        <w:rPr/>
        <w:t>in</w:t>
      </w:r>
      <w:r>
        <w:rPr>
          <w:spacing w:val="-15"/>
        </w:rPr>
        <w:t> </w:t>
      </w:r>
      <w:r>
        <w:rPr/>
        <w:t>a</w:t>
      </w:r>
      <w:r>
        <w:rPr>
          <w:spacing w:val="-15"/>
        </w:rPr>
        <w:t> </w:t>
      </w:r>
      <w:r>
        <w:rPr/>
        <w:t>higher</w:t>
      </w:r>
      <w:r>
        <w:rPr>
          <w:spacing w:val="-15"/>
        </w:rPr>
        <w:t> </w:t>
      </w:r>
      <w:r>
        <w:rPr/>
        <w:t>quantity</w:t>
      </w:r>
      <w:r>
        <w:rPr>
          <w:spacing w:val="-15"/>
        </w:rPr>
        <w:t> </w:t>
      </w:r>
      <w:r>
        <w:rPr/>
        <w:t>of</w:t>
      </w:r>
      <w:r>
        <w:rPr>
          <w:spacing w:val="-15"/>
        </w:rPr>
        <w:t> </w:t>
      </w:r>
      <w:r>
        <w:rPr/>
        <w:t>actions</w:t>
      </w:r>
      <w:r>
        <w:rPr>
          <w:spacing w:val="-15"/>
        </w:rPr>
        <w:t> </w:t>
      </w:r>
      <w:r>
        <w:rPr/>
        <w:t>are</w:t>
      </w:r>
      <w:r>
        <w:rPr>
          <w:spacing w:val="-15"/>
        </w:rPr>
        <w:t> </w:t>
      </w:r>
      <w:r>
        <w:rPr/>
        <w:t>better</w:t>
      </w:r>
      <w:r>
        <w:rPr>
          <w:spacing w:val="-15"/>
        </w:rPr>
        <w:t> </w:t>
      </w:r>
      <w:r>
        <w:rPr/>
        <w:t>at</w:t>
      </w:r>
      <w:r>
        <w:rPr>
          <w:spacing w:val="-15"/>
        </w:rPr>
        <w:t> </w:t>
      </w:r>
      <w:r>
        <w:rPr/>
        <w:t>those</w:t>
      </w:r>
      <w:r>
        <w:rPr>
          <w:spacing w:val="-15"/>
        </w:rPr>
        <w:t> </w:t>
      </w:r>
      <w:r>
        <w:rPr/>
        <w:t>actions</w:t>
      </w:r>
      <w:r>
        <w:rPr>
          <w:spacing w:val="-15"/>
        </w:rPr>
        <w:t> </w:t>
      </w:r>
      <w:r>
        <w:rPr/>
        <w:t>(i.e.</w:t>
      </w:r>
      <w:r>
        <w:rPr>
          <w:spacing w:val="5"/>
        </w:rPr>
        <w:t> </w:t>
      </w:r>
      <w:r>
        <w:rPr/>
        <w:t>a</w:t>
      </w:r>
      <w:r>
        <w:rPr>
          <w:spacing w:val="-15"/>
        </w:rPr>
        <w:t> </w:t>
      </w:r>
      <w:r>
        <w:rPr/>
        <w:t>player</w:t>
      </w:r>
      <w:r>
        <w:rPr>
          <w:spacing w:val="-15"/>
        </w:rPr>
        <w:t> </w:t>
      </w:r>
      <w:r>
        <w:rPr/>
        <w:t>who</w:t>
      </w:r>
      <w:r>
        <w:rPr>
          <w:spacing w:val="-15"/>
        </w:rPr>
        <w:t> </w:t>
      </w:r>
      <w:r>
        <w:rPr/>
        <w:t>passes more in a match is a better passer).</w:t>
      </w:r>
      <w:r>
        <w:rPr>
          <w:spacing w:val="40"/>
        </w:rPr>
        <w:t> </w:t>
      </w:r>
      <w:r>
        <w:rPr/>
        <w:t>Their data set included 1.2 million actions from the 2013/14</w:t>
      </w:r>
      <w:r>
        <w:rPr>
          <w:spacing w:val="-5"/>
        </w:rPr>
        <w:t> </w:t>
      </w:r>
      <w:r>
        <w:rPr/>
        <w:t>-</w:t>
      </w:r>
      <w:r>
        <w:rPr>
          <w:spacing w:val="-5"/>
        </w:rPr>
        <w:t> </w:t>
      </w:r>
      <w:r>
        <w:rPr/>
        <w:t>2014/15</w:t>
      </w:r>
      <w:r>
        <w:rPr>
          <w:spacing w:val="-5"/>
        </w:rPr>
        <w:t> </w:t>
      </w:r>
      <w:r>
        <w:rPr/>
        <w:t>seasons</w:t>
      </w:r>
      <w:r>
        <w:rPr>
          <w:spacing w:val="-5"/>
        </w:rPr>
        <w:t> </w:t>
      </w:r>
      <w:r>
        <w:rPr/>
        <w:t>of</w:t>
      </w:r>
      <w:r>
        <w:rPr>
          <w:spacing w:val="-5"/>
        </w:rPr>
        <w:t> </w:t>
      </w:r>
      <w:r>
        <w:rPr/>
        <w:t>the</w:t>
      </w:r>
      <w:r>
        <w:rPr>
          <w:spacing w:val="-5"/>
        </w:rPr>
        <w:t> </w:t>
      </w:r>
      <w:r>
        <w:rPr/>
        <w:t>English</w:t>
      </w:r>
      <w:r>
        <w:rPr>
          <w:spacing w:val="-5"/>
        </w:rPr>
        <w:t> </w:t>
      </w:r>
      <w:r>
        <w:rPr/>
        <w:t>Premier</w:t>
      </w:r>
      <w:r>
        <w:rPr>
          <w:spacing w:val="-5"/>
        </w:rPr>
        <w:t> </w:t>
      </w:r>
      <w:r>
        <w:rPr/>
        <w:t>League. Match</w:t>
      </w:r>
      <w:r>
        <w:rPr>
          <w:spacing w:val="-5"/>
        </w:rPr>
        <w:t> </w:t>
      </w:r>
      <w:r>
        <w:rPr/>
        <w:t>accumulated</w:t>
      </w:r>
      <w:r>
        <w:rPr>
          <w:spacing w:val="-5"/>
        </w:rPr>
        <w:t> </w:t>
      </w:r>
      <w:r>
        <w:rPr/>
        <w:t>counts</w:t>
      </w:r>
      <w:r>
        <w:rPr>
          <w:spacing w:val="-5"/>
        </w:rPr>
        <w:t> </w:t>
      </w:r>
      <w:r>
        <w:rPr/>
        <w:t>of actions,</w:t>
      </w:r>
      <w:r>
        <w:rPr>
          <w:spacing w:val="-12"/>
        </w:rPr>
        <w:t> </w:t>
      </w:r>
      <w:r>
        <w:rPr/>
        <w:t>including</w:t>
      </w:r>
      <w:r>
        <w:rPr>
          <w:spacing w:val="-12"/>
        </w:rPr>
        <w:t> </w:t>
      </w:r>
      <w:r>
        <w:rPr/>
        <w:t>passes</w:t>
      </w:r>
      <w:r>
        <w:rPr>
          <w:spacing w:val="-12"/>
        </w:rPr>
        <w:t> </w:t>
      </w:r>
      <w:r>
        <w:rPr/>
        <w:t>and</w:t>
      </w:r>
      <w:r>
        <w:rPr>
          <w:spacing w:val="-12"/>
        </w:rPr>
        <w:t> </w:t>
      </w:r>
      <w:r>
        <w:rPr/>
        <w:t>shots,</w:t>
      </w:r>
      <w:r>
        <w:rPr>
          <w:spacing w:val="-11"/>
        </w:rPr>
        <w:t> </w:t>
      </w:r>
      <w:r>
        <w:rPr/>
        <w:t>were</w:t>
      </w:r>
      <w:r>
        <w:rPr>
          <w:spacing w:val="-13"/>
        </w:rPr>
        <w:t> </w:t>
      </w:r>
      <w:r>
        <w:rPr/>
        <w:t>calculated</w:t>
      </w:r>
      <w:r>
        <w:rPr>
          <w:spacing w:val="-12"/>
        </w:rPr>
        <w:t> </w:t>
      </w:r>
      <w:r>
        <w:rPr/>
        <w:t>for</w:t>
      </w:r>
      <w:r>
        <w:rPr>
          <w:spacing w:val="-13"/>
        </w:rPr>
        <w:t> </w:t>
      </w:r>
      <w:r>
        <w:rPr/>
        <w:t>each</w:t>
      </w:r>
      <w:r>
        <w:rPr>
          <w:spacing w:val="-12"/>
        </w:rPr>
        <w:t> </w:t>
      </w:r>
      <w:r>
        <w:rPr/>
        <w:t>player</w:t>
      </w:r>
      <w:r>
        <w:rPr>
          <w:spacing w:val="-13"/>
        </w:rPr>
        <w:t> </w:t>
      </w:r>
      <w:r>
        <w:rPr/>
        <w:t>during</w:t>
      </w:r>
      <w:r>
        <w:rPr>
          <w:spacing w:val="-12"/>
        </w:rPr>
        <w:t> </w:t>
      </w:r>
      <w:r>
        <w:rPr>
          <w:spacing w:val="-2"/>
        </w:rPr>
        <w:t>preprocessing.</w:t>
      </w:r>
    </w:p>
    <w:p>
      <w:pPr>
        <w:spacing w:after="0" w:line="312" w:lineRule="auto"/>
        <w:jc w:val="both"/>
        <w:sectPr>
          <w:pgSz w:w="11910" w:h="16840"/>
          <w:pgMar w:header="1961" w:footer="1428" w:top="2260" w:bottom="1620" w:left="1680" w:right="720"/>
        </w:sectPr>
      </w:pPr>
    </w:p>
    <w:p>
      <w:pPr>
        <w:pStyle w:val="BodyText"/>
        <w:rPr>
          <w:sz w:val="20"/>
        </w:rPr>
      </w:pPr>
    </w:p>
    <w:p>
      <w:pPr>
        <w:pStyle w:val="BodyText"/>
        <w:spacing w:before="8"/>
        <w:rPr>
          <w:sz w:val="29"/>
        </w:rPr>
      </w:pPr>
    </w:p>
    <w:p>
      <w:pPr>
        <w:pStyle w:val="BodyText"/>
        <w:ind w:left="1537"/>
        <w:rPr>
          <w:sz w:val="20"/>
        </w:rPr>
      </w:pPr>
      <w:r>
        <w:rPr>
          <w:sz w:val="20"/>
        </w:rPr>
        <w:drawing>
          <wp:inline distT="0" distB="0" distL="0" distR="0">
            <wp:extent cx="4240961" cy="1658111"/>
            <wp:effectExtent l="0" t="0" r="0" b="0"/>
            <wp:docPr id="5" name="image3.jpeg"/>
            <wp:cNvGraphicFramePr>
              <a:graphicFrameLocks noChangeAspect="1"/>
            </wp:cNvGraphicFramePr>
            <a:graphic>
              <a:graphicData uri="http://schemas.openxmlformats.org/drawingml/2006/picture">
                <pic:pic>
                  <pic:nvPicPr>
                    <pic:cNvPr id="6" name="image3.jpeg"/>
                    <pic:cNvPicPr/>
                  </pic:nvPicPr>
                  <pic:blipFill>
                    <a:blip r:embed="rId36" cstate="print"/>
                    <a:stretch>
                      <a:fillRect/>
                    </a:stretch>
                  </pic:blipFill>
                  <pic:spPr>
                    <a:xfrm>
                      <a:off x="0" y="0"/>
                      <a:ext cx="4240961" cy="1658111"/>
                    </a:xfrm>
                    <a:prstGeom prst="rect">
                      <a:avLst/>
                    </a:prstGeom>
                  </pic:spPr>
                </pic:pic>
              </a:graphicData>
            </a:graphic>
          </wp:inline>
        </w:drawing>
      </w:r>
      <w:r>
        <w:rPr>
          <w:sz w:val="20"/>
        </w:rPr>
      </w:r>
    </w:p>
    <w:p>
      <w:pPr>
        <w:pStyle w:val="BodyText"/>
        <w:spacing w:before="7"/>
        <w:rPr>
          <w:sz w:val="8"/>
        </w:rPr>
      </w:pPr>
    </w:p>
    <w:p>
      <w:pPr>
        <w:pStyle w:val="BodyText"/>
        <w:spacing w:line="252" w:lineRule="auto" w:before="106"/>
        <w:ind w:left="610" w:right="389"/>
      </w:pPr>
      <w:bookmarkStart w:name="_bookmark15" w:id="34"/>
      <w:bookmarkEnd w:id="34"/>
      <w:r>
        <w:rPr/>
      </w:r>
      <w:r>
        <w:rPr>
          <w:b/>
        </w:rPr>
        <w:t>Figure</w:t>
      </w:r>
      <w:r>
        <w:rPr>
          <w:b/>
          <w:spacing w:val="30"/>
        </w:rPr>
        <w:t> </w:t>
      </w:r>
      <w:r>
        <w:rPr>
          <w:b/>
        </w:rPr>
        <w:t>2.2:</w:t>
      </w:r>
      <w:r>
        <w:rPr>
          <w:b/>
          <w:spacing w:val="78"/>
        </w:rPr>
        <w:t> </w:t>
      </w:r>
      <w:hyperlink w:history="true" w:anchor="_bookmark309">
        <w:r>
          <w:rPr>
            <w:color w:val="FF0000"/>
          </w:rPr>
          <w:t>Whitaker</w:t>
        </w:r>
        <w:r>
          <w:rPr>
            <w:color w:val="FF0000"/>
            <w:spacing w:val="30"/>
          </w:rPr>
          <w:t> </w:t>
        </w:r>
        <w:r>
          <w:rPr>
            <w:color w:val="FF0000"/>
          </w:rPr>
          <w:t>et</w:t>
        </w:r>
        <w:r>
          <w:rPr>
            <w:color w:val="FF0000"/>
            <w:spacing w:val="30"/>
          </w:rPr>
          <w:t> </w:t>
        </w:r>
        <w:r>
          <w:rPr>
            <w:color w:val="FF0000"/>
          </w:rPr>
          <w:t>al.</w:t>
        </w:r>
      </w:hyperlink>
      <w:r>
        <w:rPr/>
        <w:t>(</w:t>
      </w:r>
      <w:hyperlink w:history="true" w:anchor="_bookmark309">
        <w:r>
          <w:rPr>
            <w:color w:val="FF0000"/>
          </w:rPr>
          <w:t>2021</w:t>
        </w:r>
        <w:r>
          <w:rPr/>
          <w:t>)</w:t>
        </w:r>
      </w:hyperlink>
      <w:r>
        <w:rPr>
          <w:spacing w:val="30"/>
        </w:rPr>
        <w:t> </w:t>
      </w:r>
      <w:r>
        <w:rPr/>
        <w:t>posterior</w:t>
      </w:r>
      <w:r>
        <w:rPr>
          <w:spacing w:val="30"/>
        </w:rPr>
        <w:t> </w:t>
      </w:r>
      <w:r>
        <w:rPr/>
        <w:t>plot</w:t>
      </w:r>
      <w:r>
        <w:rPr>
          <w:spacing w:val="30"/>
        </w:rPr>
        <w:t> </w:t>
      </w:r>
      <w:r>
        <w:rPr/>
        <w:t>of</w:t>
      </w:r>
      <w:r>
        <w:rPr>
          <w:spacing w:val="30"/>
        </w:rPr>
        <w:t> </w:t>
      </w:r>
      <w:r>
        <w:rPr/>
        <w:t>goal</w:t>
      </w:r>
      <w:r>
        <w:rPr>
          <w:spacing w:val="30"/>
        </w:rPr>
        <w:t> </w:t>
      </w:r>
      <w:r>
        <w:rPr/>
        <w:t>abilities</w:t>
      </w:r>
      <w:r>
        <w:rPr>
          <w:spacing w:val="30"/>
        </w:rPr>
        <w:t> </w:t>
      </w:r>
      <w:r>
        <w:rPr/>
        <w:t>(i.e.</w:t>
      </w:r>
      <w:r>
        <w:rPr>
          <w:spacing w:val="80"/>
        </w:rPr>
        <w:t> </w:t>
      </w:r>
      <w:r>
        <w:rPr/>
        <w:t>those</w:t>
      </w:r>
      <w:r>
        <w:rPr>
          <w:spacing w:val="30"/>
        </w:rPr>
        <w:t> </w:t>
      </w:r>
      <w:r>
        <w:rPr/>
        <w:t>actions attempting to score goals) for Sturridge and Reed.</w:t>
      </w:r>
    </w:p>
    <w:p>
      <w:pPr>
        <w:pStyle w:val="BodyText"/>
        <w:rPr>
          <w:sz w:val="28"/>
        </w:rPr>
      </w:pPr>
    </w:p>
    <w:p>
      <w:pPr>
        <w:pStyle w:val="BodyText"/>
        <w:spacing w:before="3"/>
        <w:rPr>
          <w:sz w:val="32"/>
        </w:rPr>
      </w:pPr>
    </w:p>
    <w:p>
      <w:pPr>
        <w:pStyle w:val="BodyText"/>
        <w:spacing w:line="312" w:lineRule="auto"/>
        <w:ind w:left="610" w:right="389"/>
      </w:pPr>
      <w:r>
        <w:rPr/>
        <w:t>Also produced were a dichotomous home/away variable, identifying the location of </w:t>
      </w:r>
      <w:r>
        <w:rPr/>
        <w:t>the match,</w:t>
      </w:r>
      <w:r>
        <w:rPr>
          <w:spacing w:val="27"/>
        </w:rPr>
        <w:t> </w:t>
      </w:r>
      <w:r>
        <w:rPr/>
        <w:t>and</w:t>
      </w:r>
      <w:r>
        <w:rPr>
          <w:spacing w:val="21"/>
        </w:rPr>
        <w:t> </w:t>
      </w:r>
      <w:r>
        <w:rPr/>
        <w:t>a</w:t>
      </w:r>
      <w:r>
        <w:rPr>
          <w:spacing w:val="21"/>
        </w:rPr>
        <w:t> </w:t>
      </w:r>
      <w:r>
        <w:rPr/>
        <w:t>variable</w:t>
      </w:r>
      <w:r>
        <w:rPr>
          <w:spacing w:val="21"/>
        </w:rPr>
        <w:t> </w:t>
      </w:r>
      <w:r>
        <w:rPr/>
        <w:t>denoting</w:t>
      </w:r>
      <w:r>
        <w:rPr>
          <w:spacing w:val="21"/>
        </w:rPr>
        <w:t> </w:t>
      </w:r>
      <w:r>
        <w:rPr/>
        <w:t>the</w:t>
      </w:r>
      <w:r>
        <w:rPr>
          <w:spacing w:val="21"/>
        </w:rPr>
        <w:t> </w:t>
      </w:r>
      <w:r>
        <w:rPr/>
        <w:t>fraction</w:t>
      </w:r>
      <w:r>
        <w:rPr>
          <w:spacing w:val="21"/>
        </w:rPr>
        <w:t> </w:t>
      </w:r>
      <w:r>
        <w:rPr/>
        <w:t>of</w:t>
      </w:r>
      <w:r>
        <w:rPr>
          <w:spacing w:val="21"/>
        </w:rPr>
        <w:t> </w:t>
      </w:r>
      <w:r>
        <w:rPr/>
        <w:t>time</w:t>
      </w:r>
      <w:r>
        <w:rPr>
          <w:spacing w:val="21"/>
        </w:rPr>
        <w:t> </w:t>
      </w:r>
      <w:r>
        <w:rPr/>
        <w:t>played</w:t>
      </w:r>
      <w:r>
        <w:rPr>
          <w:spacing w:val="21"/>
        </w:rPr>
        <w:t> </w:t>
      </w:r>
      <w:r>
        <w:rPr/>
        <w:t>by</w:t>
      </w:r>
      <w:r>
        <w:rPr>
          <w:spacing w:val="21"/>
        </w:rPr>
        <w:t> </w:t>
      </w:r>
      <w:r>
        <w:rPr/>
        <w:t>the</w:t>
      </w:r>
      <w:r>
        <w:rPr>
          <w:spacing w:val="21"/>
        </w:rPr>
        <w:t> </w:t>
      </w:r>
      <w:r>
        <w:rPr/>
        <w:t>player.</w:t>
      </w:r>
      <w:r>
        <w:rPr>
          <w:spacing w:val="80"/>
        </w:rPr>
        <w:t> </w:t>
      </w:r>
      <w:r>
        <w:rPr/>
        <w:t>A</w:t>
      </w:r>
      <w:r>
        <w:rPr>
          <w:spacing w:val="21"/>
        </w:rPr>
        <w:t> </w:t>
      </w:r>
      <w:r>
        <w:rPr/>
        <w:t>Bayesian model following a Poisson distribution was utilised to consider latent player abilities,</w:t>
      </w:r>
      <w:r>
        <w:rPr>
          <w:spacing w:val="80"/>
          <w:w w:val="150"/>
        </w:rPr>
        <w:t> </w:t>
      </w:r>
      <w:r>
        <w:rPr/>
        <w:t>while accounting for the player and opponent teams’ influence on typical match action counts. A</w:t>
      </w:r>
      <w:r>
        <w:rPr>
          <w:spacing w:val="-10"/>
        </w:rPr>
        <w:t> </w:t>
      </w:r>
      <w:r>
        <w:rPr/>
        <w:t>variational</w:t>
      </w:r>
      <w:r>
        <w:rPr>
          <w:spacing w:val="-10"/>
        </w:rPr>
        <w:t> </w:t>
      </w:r>
      <w:r>
        <w:rPr/>
        <w:t>inference</w:t>
      </w:r>
      <w:r>
        <w:rPr>
          <w:spacing w:val="-10"/>
        </w:rPr>
        <w:t> </w:t>
      </w:r>
      <w:r>
        <w:rPr/>
        <w:t>approach</w:t>
      </w:r>
      <w:r>
        <w:rPr>
          <w:spacing w:val="-10"/>
        </w:rPr>
        <w:t> </w:t>
      </w:r>
      <w:r>
        <w:rPr/>
        <w:t>was</w:t>
      </w:r>
      <w:r>
        <w:rPr>
          <w:spacing w:val="-10"/>
        </w:rPr>
        <w:t> </w:t>
      </w:r>
      <w:r>
        <w:rPr/>
        <w:t>used</w:t>
      </w:r>
      <w:r>
        <w:rPr>
          <w:spacing w:val="-10"/>
        </w:rPr>
        <w:t> </w:t>
      </w:r>
      <w:r>
        <w:rPr/>
        <w:t>to</w:t>
      </w:r>
      <w:r>
        <w:rPr>
          <w:spacing w:val="-10"/>
        </w:rPr>
        <w:t> </w:t>
      </w:r>
      <w:r>
        <w:rPr/>
        <w:t>estimate</w:t>
      </w:r>
      <w:r>
        <w:rPr>
          <w:spacing w:val="-10"/>
        </w:rPr>
        <w:t> </w:t>
      </w:r>
      <w:r>
        <w:rPr/>
        <w:t>the</w:t>
      </w:r>
      <w:r>
        <w:rPr>
          <w:spacing w:val="-10"/>
        </w:rPr>
        <w:t> </w:t>
      </w:r>
      <w:r>
        <w:rPr/>
        <w:t>model</w:t>
      </w:r>
      <w:r>
        <w:rPr>
          <w:spacing w:val="-10"/>
        </w:rPr>
        <w:t> </w:t>
      </w:r>
      <w:r>
        <w:rPr/>
        <w:t>parameters. The authors showed how increased playing time could help shift parameter estimates away from the mean level, and provided player rankings for two categories of actions:</w:t>
      </w:r>
      <w:r>
        <w:rPr>
          <w:spacing w:val="40"/>
        </w:rPr>
        <w:t> </w:t>
      </w:r>
      <w:r>
        <w:rPr/>
        <w:t>Goal (goal actions) and GoalStop (actions attempting to stop a goal).</w:t>
      </w:r>
      <w:r>
        <w:rPr>
          <w:spacing w:val="34"/>
        </w:rPr>
        <w:t> </w:t>
      </w:r>
      <w:r>
        <w:rPr/>
        <w:t>Figure</w:t>
      </w:r>
      <w:hyperlink w:history="true" w:anchor="_bookmark15">
        <w:r>
          <w:rPr>
            <w:color w:val="0000FF"/>
          </w:rPr>
          <w:t>2.2</w:t>
        </w:r>
      </w:hyperlink>
      <w:r>
        <w:rPr/>
        <w:t>is taken from </w:t>
      </w:r>
      <w:hyperlink w:history="true" w:anchor="_bookmark309">
        <w:r>
          <w:rPr>
            <w:color w:val="FF0000"/>
          </w:rPr>
          <w:t>Whitaker et al.</w:t>
        </w:r>
      </w:hyperlink>
      <w:r>
        <w:rPr/>
        <w:t>(</w:t>
      </w:r>
      <w:hyperlink w:history="true" w:anchor="_bookmark309">
        <w:r>
          <w:rPr>
            <w:color w:val="FF0000"/>
          </w:rPr>
          <w:t>2021</w:t>
        </w:r>
        <w:r>
          <w:rPr/>
          <w:t>)</w:t>
        </w:r>
      </w:hyperlink>
      <w:r>
        <w:rPr/>
        <w:t> and shows two different player’s goal abilities.</w:t>
      </w:r>
      <w:r>
        <w:rPr>
          <w:spacing w:val="40"/>
        </w:rPr>
        <w:t> </w:t>
      </w:r>
      <w:r>
        <w:rPr/>
        <w:t>It shows how the model</w:t>
      </w:r>
      <w:r>
        <w:rPr>
          <w:spacing w:val="-8"/>
        </w:rPr>
        <w:t> </w:t>
      </w:r>
      <w:r>
        <w:rPr/>
        <w:t>is</w:t>
      </w:r>
      <w:r>
        <w:rPr>
          <w:spacing w:val="-8"/>
        </w:rPr>
        <w:t> </w:t>
      </w:r>
      <w:r>
        <w:rPr/>
        <w:t>much</w:t>
      </w:r>
      <w:r>
        <w:rPr>
          <w:spacing w:val="-8"/>
        </w:rPr>
        <w:t> </w:t>
      </w:r>
      <w:r>
        <w:rPr/>
        <w:t>more</w:t>
      </w:r>
      <w:r>
        <w:rPr>
          <w:spacing w:val="-8"/>
        </w:rPr>
        <w:t> </w:t>
      </w:r>
      <w:r>
        <w:rPr/>
        <w:t>certain</w:t>
      </w:r>
      <w:r>
        <w:rPr>
          <w:spacing w:val="-8"/>
        </w:rPr>
        <w:t> </w:t>
      </w:r>
      <w:r>
        <w:rPr/>
        <w:t>about</w:t>
      </w:r>
      <w:r>
        <w:rPr>
          <w:spacing w:val="-8"/>
        </w:rPr>
        <w:t> </w:t>
      </w:r>
      <w:r>
        <w:rPr/>
        <w:t>the</w:t>
      </w:r>
      <w:r>
        <w:rPr>
          <w:spacing w:val="-8"/>
        </w:rPr>
        <w:t> </w:t>
      </w:r>
      <w:r>
        <w:rPr/>
        <w:t>positive</w:t>
      </w:r>
      <w:r>
        <w:rPr>
          <w:spacing w:val="-8"/>
        </w:rPr>
        <w:t> </w:t>
      </w:r>
      <w:r>
        <w:rPr/>
        <w:t>ability</w:t>
      </w:r>
      <w:r>
        <w:rPr>
          <w:spacing w:val="-8"/>
        </w:rPr>
        <w:t> </w:t>
      </w:r>
      <w:r>
        <w:rPr/>
        <w:t>of</w:t>
      </w:r>
      <w:r>
        <w:rPr>
          <w:spacing w:val="-8"/>
        </w:rPr>
        <w:t> </w:t>
      </w:r>
      <w:r>
        <w:rPr/>
        <w:t>Sturridge</w:t>
      </w:r>
      <w:r>
        <w:rPr>
          <w:spacing w:val="-8"/>
        </w:rPr>
        <w:t> </w:t>
      </w:r>
      <w:r>
        <w:rPr/>
        <w:t>with</w:t>
      </w:r>
      <w:r>
        <w:rPr>
          <w:spacing w:val="-8"/>
        </w:rPr>
        <w:t> </w:t>
      </w:r>
      <w:r>
        <w:rPr/>
        <w:t>respect</w:t>
      </w:r>
      <w:r>
        <w:rPr>
          <w:spacing w:val="-8"/>
        </w:rPr>
        <w:t> </w:t>
      </w:r>
      <w:r>
        <w:rPr/>
        <w:t>to</w:t>
      </w:r>
      <w:r>
        <w:rPr>
          <w:spacing w:val="-8"/>
        </w:rPr>
        <w:t> </w:t>
      </w:r>
      <w:r>
        <w:rPr/>
        <w:t>scoring goals because he is involved in more goal scoring actions.</w:t>
      </w:r>
      <w:r>
        <w:rPr>
          <w:spacing w:val="80"/>
        </w:rPr>
        <w:t> </w:t>
      </w:r>
      <w:r>
        <w:rPr/>
        <w:t>Conversely,</w:t>
      </w:r>
      <w:r>
        <w:rPr>
          <w:spacing w:val="26"/>
        </w:rPr>
        <w:t> </w:t>
      </w:r>
      <w:r>
        <w:rPr/>
        <w:t>there is much</w:t>
      </w:r>
      <w:r>
        <w:rPr>
          <w:spacing w:val="40"/>
        </w:rPr>
        <w:t> </w:t>
      </w:r>
      <w:r>
        <w:rPr/>
        <w:t>greater uncertainty surrounding Reed’s scoring ability as he is involved in much fewer goal actions.</w:t>
      </w:r>
      <w:r>
        <w:rPr>
          <w:spacing w:val="38"/>
        </w:rPr>
        <w:t> </w:t>
      </w:r>
      <w:r>
        <w:rPr/>
        <w:t>Although the underlying assumption of the model that players involved in more</w:t>
      </w:r>
      <w:r>
        <w:rPr>
          <w:spacing w:val="-2"/>
        </w:rPr>
        <w:t> </w:t>
      </w:r>
      <w:r>
        <w:rPr/>
        <w:t>actions</w:t>
      </w:r>
      <w:r>
        <w:rPr>
          <w:spacing w:val="-2"/>
        </w:rPr>
        <w:t> </w:t>
      </w:r>
      <w:r>
        <w:rPr/>
        <w:t>are</w:t>
      </w:r>
      <w:r>
        <w:rPr>
          <w:spacing w:val="-2"/>
        </w:rPr>
        <w:t> </w:t>
      </w:r>
      <w:r>
        <w:rPr/>
        <w:t>better</w:t>
      </w:r>
      <w:r>
        <w:rPr>
          <w:spacing w:val="-2"/>
        </w:rPr>
        <w:t> </w:t>
      </w:r>
      <w:r>
        <w:rPr/>
        <w:t>at</w:t>
      </w:r>
      <w:r>
        <w:rPr>
          <w:spacing w:val="-2"/>
        </w:rPr>
        <w:t> </w:t>
      </w:r>
      <w:r>
        <w:rPr/>
        <w:t>those</w:t>
      </w:r>
      <w:r>
        <w:rPr>
          <w:spacing w:val="-2"/>
        </w:rPr>
        <w:t> </w:t>
      </w:r>
      <w:r>
        <w:rPr/>
        <w:t>actions</w:t>
      </w:r>
      <w:r>
        <w:rPr>
          <w:spacing w:val="-2"/>
        </w:rPr>
        <w:t> </w:t>
      </w:r>
      <w:r>
        <w:rPr/>
        <w:t>is</w:t>
      </w:r>
      <w:r>
        <w:rPr>
          <w:spacing w:val="-2"/>
        </w:rPr>
        <w:t> </w:t>
      </w:r>
      <w:r>
        <w:rPr/>
        <w:t>open</w:t>
      </w:r>
      <w:r>
        <w:rPr>
          <w:spacing w:val="-2"/>
        </w:rPr>
        <w:t> </w:t>
      </w:r>
      <w:r>
        <w:rPr/>
        <w:t>to</w:t>
      </w:r>
      <w:r>
        <w:rPr>
          <w:spacing w:val="-2"/>
        </w:rPr>
        <w:t> </w:t>
      </w:r>
      <w:r>
        <w:rPr/>
        <w:t>debate,</w:t>
      </w:r>
      <w:r>
        <w:rPr>
          <w:spacing w:val="-1"/>
        </w:rPr>
        <w:t> </w:t>
      </w:r>
      <w:r>
        <w:rPr/>
        <w:t>the</w:t>
      </w:r>
      <w:r>
        <w:rPr>
          <w:spacing w:val="-2"/>
        </w:rPr>
        <w:t> </w:t>
      </w:r>
      <w:r>
        <w:rPr/>
        <w:t>results</w:t>
      </w:r>
      <w:r>
        <w:rPr>
          <w:spacing w:val="-2"/>
        </w:rPr>
        <w:t> </w:t>
      </w:r>
      <w:r>
        <w:rPr/>
        <w:t>of</w:t>
      </w:r>
      <w:r>
        <w:rPr>
          <w:spacing w:val="-2"/>
        </w:rPr>
        <w:t> </w:t>
      </w:r>
      <w:r>
        <w:rPr/>
        <w:t>the</w:t>
      </w:r>
      <w:r>
        <w:rPr>
          <w:spacing w:val="-2"/>
        </w:rPr>
        <w:t> </w:t>
      </w:r>
      <w:r>
        <w:rPr/>
        <w:t>study</w:t>
      </w:r>
      <w:r>
        <w:rPr>
          <w:spacing w:val="-2"/>
        </w:rPr>
        <w:t> </w:t>
      </w:r>
      <w:r>
        <w:rPr/>
        <w:t>provide a novel methodology through which players can be rated and the certainty with which</w:t>
      </w:r>
      <w:r>
        <w:rPr>
          <w:spacing w:val="40"/>
        </w:rPr>
        <w:t> </w:t>
      </w:r>
      <w:r>
        <w:rPr/>
        <w:t>they are rated.</w:t>
      </w:r>
      <w:r>
        <w:rPr>
          <w:spacing w:val="40"/>
        </w:rPr>
        <w:t> </w:t>
      </w:r>
      <w:r>
        <w:rPr/>
        <w:t>This information could be used by coaches and scouts to evaluate their</w:t>
      </w:r>
      <w:r>
        <w:rPr>
          <w:spacing w:val="40"/>
        </w:rPr>
        <w:t> </w:t>
      </w:r>
      <w:r>
        <w:rPr/>
        <w:t>players with much greater detail than previously considered within the literature, where mean point estimates are typically considered.</w:t>
      </w:r>
      <w:r>
        <w:rPr>
          <w:spacing w:val="35"/>
        </w:rPr>
        <w:t> </w:t>
      </w:r>
      <w:r>
        <w:rPr/>
        <w:t>In sports with low data availability, such as rugby league, this Bayesian approach could also allow the uncertainty caused by low data availability to be estimated providing an appropriate method through which player and team performances could be evaluated.</w:t>
      </w:r>
    </w:p>
    <w:p>
      <w:pPr>
        <w:spacing w:after="0" w:line="312" w:lineRule="auto"/>
        <w:sectPr>
          <w:pgSz w:w="11910" w:h="16840"/>
          <w:pgMar w:header="1961" w:footer="1428" w:top="2260" w:bottom="1620" w:left="1680" w:right="720"/>
        </w:sectPr>
      </w:pPr>
    </w:p>
    <w:p>
      <w:pPr>
        <w:pStyle w:val="BodyText"/>
        <w:rPr>
          <w:sz w:val="20"/>
        </w:rPr>
      </w:pPr>
    </w:p>
    <w:p>
      <w:pPr>
        <w:pStyle w:val="BodyText"/>
        <w:spacing w:before="10"/>
        <w:rPr>
          <w:sz w:val="17"/>
        </w:rPr>
      </w:pPr>
    </w:p>
    <w:p>
      <w:pPr>
        <w:pStyle w:val="Heading3"/>
        <w:numPr>
          <w:ilvl w:val="2"/>
          <w:numId w:val="17"/>
        </w:numPr>
        <w:tabs>
          <w:tab w:pos="1471" w:val="left" w:leader="none"/>
          <w:tab w:pos="1472" w:val="left" w:leader="none"/>
        </w:tabs>
        <w:spacing w:line="240" w:lineRule="auto" w:before="114" w:after="0"/>
        <w:ind w:left="1471" w:right="0" w:hanging="862"/>
        <w:jc w:val="left"/>
      </w:pPr>
      <w:bookmarkStart w:name="_TOC_250058" w:id="35"/>
      <w:bookmarkStart w:name="2.2.2 Action by Action Data Analysis in " w:id="36"/>
      <w:r>
        <w:rPr>
          <w:b w:val="0"/>
        </w:rPr>
      </w:r>
      <w:bookmarkStart w:name="_bookmark16" w:id="37"/>
      <w:bookmarkEnd w:id="37"/>
      <w:r>
        <w:rPr/>
        <w:t>Action</w:t>
      </w:r>
      <w:r>
        <w:rPr>
          <w:spacing w:val="9"/>
        </w:rPr>
        <w:t> </w:t>
      </w:r>
      <w:r>
        <w:rPr/>
        <w:t>by</w:t>
      </w:r>
      <w:r>
        <w:rPr>
          <w:spacing w:val="10"/>
        </w:rPr>
        <w:t> </w:t>
      </w:r>
      <w:r>
        <w:rPr/>
        <w:t>Action</w:t>
      </w:r>
      <w:r>
        <w:rPr>
          <w:spacing w:val="10"/>
        </w:rPr>
        <w:t> </w:t>
      </w:r>
      <w:r>
        <w:rPr/>
        <w:t>Data</w:t>
      </w:r>
      <w:r>
        <w:rPr>
          <w:spacing w:val="9"/>
        </w:rPr>
        <w:t> </w:t>
      </w:r>
      <w:r>
        <w:rPr/>
        <w:t>Analysis</w:t>
      </w:r>
      <w:r>
        <w:rPr>
          <w:spacing w:val="10"/>
        </w:rPr>
        <w:t> </w:t>
      </w:r>
      <w:r>
        <w:rPr/>
        <w:t>in</w:t>
      </w:r>
      <w:r>
        <w:rPr>
          <w:spacing w:val="10"/>
        </w:rPr>
        <w:t> </w:t>
      </w:r>
      <w:r>
        <w:rPr/>
        <w:t>Team</w:t>
      </w:r>
      <w:r>
        <w:rPr>
          <w:spacing w:val="9"/>
        </w:rPr>
        <w:t> </w:t>
      </w:r>
      <w:bookmarkEnd w:id="35"/>
      <w:r>
        <w:rPr>
          <w:spacing w:val="-2"/>
        </w:rPr>
        <w:t>Sports</w:t>
      </w:r>
    </w:p>
    <w:p>
      <w:pPr>
        <w:pStyle w:val="BodyText"/>
        <w:spacing w:line="312" w:lineRule="auto" w:before="235"/>
        <w:ind w:left="582" w:right="389"/>
        <w:jc w:val="right"/>
      </w:pPr>
      <w:r>
        <w:rPr/>
        <w:t>The</w:t>
      </w:r>
      <w:r>
        <w:rPr>
          <w:spacing w:val="-3"/>
        </w:rPr>
        <w:t> </w:t>
      </w:r>
      <w:r>
        <w:rPr/>
        <w:t>use</w:t>
      </w:r>
      <w:r>
        <w:rPr>
          <w:spacing w:val="-3"/>
        </w:rPr>
        <w:t> </w:t>
      </w:r>
      <w:r>
        <w:rPr/>
        <w:t>of</w:t>
      </w:r>
      <w:r>
        <w:rPr>
          <w:spacing w:val="-3"/>
        </w:rPr>
        <w:t> </w:t>
      </w:r>
      <w:r>
        <w:rPr/>
        <w:t>accumulated</w:t>
      </w:r>
      <w:r>
        <w:rPr>
          <w:spacing w:val="-3"/>
        </w:rPr>
        <w:t> </w:t>
      </w:r>
      <w:r>
        <w:rPr/>
        <w:t>count</w:t>
      </w:r>
      <w:r>
        <w:rPr>
          <w:spacing w:val="-3"/>
        </w:rPr>
        <w:t> </w:t>
      </w:r>
      <w:r>
        <w:rPr/>
        <w:t>data</w:t>
      </w:r>
      <w:r>
        <w:rPr>
          <w:spacing w:val="-3"/>
        </w:rPr>
        <w:t> </w:t>
      </w:r>
      <w:r>
        <w:rPr/>
        <w:t>to</w:t>
      </w:r>
      <w:r>
        <w:rPr>
          <w:spacing w:val="-3"/>
        </w:rPr>
        <w:t> </w:t>
      </w:r>
      <w:r>
        <w:rPr/>
        <w:t>evaluate</w:t>
      </w:r>
      <w:r>
        <w:rPr>
          <w:spacing w:val="-3"/>
        </w:rPr>
        <w:t> </w:t>
      </w:r>
      <w:r>
        <w:rPr/>
        <w:t>player</w:t>
      </w:r>
      <w:r>
        <w:rPr>
          <w:spacing w:val="-3"/>
        </w:rPr>
        <w:t> </w:t>
      </w:r>
      <w:r>
        <w:rPr/>
        <w:t>and</w:t>
      </w:r>
      <w:r>
        <w:rPr>
          <w:spacing w:val="-3"/>
        </w:rPr>
        <w:t> </w:t>
      </w:r>
      <w:r>
        <w:rPr/>
        <w:t>team</w:t>
      </w:r>
      <w:r>
        <w:rPr>
          <w:spacing w:val="-3"/>
        </w:rPr>
        <w:t> </w:t>
      </w:r>
      <w:r>
        <w:rPr/>
        <w:t>performances</w:t>
      </w:r>
      <w:r>
        <w:rPr>
          <w:spacing w:val="-3"/>
        </w:rPr>
        <w:t> </w:t>
      </w:r>
      <w:r>
        <w:rPr/>
        <w:t>in</w:t>
      </w:r>
      <w:r>
        <w:rPr>
          <w:spacing w:val="-3"/>
        </w:rPr>
        <w:t> </w:t>
      </w:r>
      <w:r>
        <w:rPr/>
        <w:t>sports</w:t>
      </w:r>
      <w:r>
        <w:rPr>
          <w:spacing w:val="-3"/>
        </w:rPr>
        <w:t> </w:t>
      </w:r>
      <w:r>
        <w:rPr/>
        <w:t>is useful</w:t>
      </w:r>
      <w:r>
        <w:rPr>
          <w:spacing w:val="-2"/>
        </w:rPr>
        <w:t> </w:t>
      </w:r>
      <w:r>
        <w:rPr/>
        <w:t>to</w:t>
      </w:r>
      <w:r>
        <w:rPr>
          <w:spacing w:val="-2"/>
        </w:rPr>
        <w:t> </w:t>
      </w:r>
      <w:r>
        <w:rPr/>
        <w:t>the</w:t>
      </w:r>
      <w:r>
        <w:rPr>
          <w:spacing w:val="-2"/>
        </w:rPr>
        <w:t> </w:t>
      </w:r>
      <w:r>
        <w:rPr/>
        <w:t>extent</w:t>
      </w:r>
      <w:r>
        <w:rPr>
          <w:spacing w:val="-2"/>
        </w:rPr>
        <w:t> </w:t>
      </w:r>
      <w:r>
        <w:rPr/>
        <w:t>that</w:t>
      </w:r>
      <w:r>
        <w:rPr>
          <w:spacing w:val="-2"/>
        </w:rPr>
        <w:t> </w:t>
      </w:r>
      <w:r>
        <w:rPr/>
        <w:t>it</w:t>
      </w:r>
      <w:r>
        <w:rPr>
          <w:spacing w:val="-2"/>
        </w:rPr>
        <w:t> </w:t>
      </w:r>
      <w:r>
        <w:rPr/>
        <w:t>provides</w:t>
      </w:r>
      <w:r>
        <w:rPr>
          <w:spacing w:val="-2"/>
        </w:rPr>
        <w:t> </w:t>
      </w:r>
      <w:r>
        <w:rPr/>
        <w:t>a</w:t>
      </w:r>
      <w:r>
        <w:rPr>
          <w:spacing w:val="-1"/>
        </w:rPr>
        <w:t> </w:t>
      </w:r>
      <w:r>
        <w:rPr/>
        <w:t>range</w:t>
      </w:r>
      <w:r>
        <w:rPr>
          <w:spacing w:val="-1"/>
        </w:rPr>
        <w:t> </w:t>
      </w:r>
      <w:r>
        <w:rPr/>
        <w:t>of</w:t>
      </w:r>
      <w:r>
        <w:rPr>
          <w:spacing w:val="-2"/>
        </w:rPr>
        <w:t> </w:t>
      </w:r>
      <w:r>
        <w:rPr/>
        <w:t>key</w:t>
      </w:r>
      <w:r>
        <w:rPr>
          <w:spacing w:val="-2"/>
        </w:rPr>
        <w:t> </w:t>
      </w:r>
      <w:r>
        <w:rPr/>
        <w:t>performance</w:t>
      </w:r>
      <w:r>
        <w:rPr>
          <w:spacing w:val="-2"/>
        </w:rPr>
        <w:t> </w:t>
      </w:r>
      <w:r>
        <w:rPr/>
        <w:t>indicators</w:t>
      </w:r>
      <w:r>
        <w:rPr>
          <w:spacing w:val="-2"/>
        </w:rPr>
        <w:t> </w:t>
      </w:r>
      <w:r>
        <w:rPr/>
        <w:t>through</w:t>
      </w:r>
      <w:r>
        <w:rPr>
          <w:spacing w:val="-2"/>
        </w:rPr>
        <w:t> </w:t>
      </w:r>
      <w:r>
        <w:rPr/>
        <w:t>which match or season performances can be compared.</w:t>
      </w:r>
      <w:r>
        <w:rPr>
          <w:spacing w:val="31"/>
        </w:rPr>
        <w:t> </w:t>
      </w:r>
      <w:r>
        <w:rPr/>
        <w:t>Furthermore, it provides a bench mark through</w:t>
      </w:r>
      <w:r>
        <w:rPr>
          <w:spacing w:val="-9"/>
        </w:rPr>
        <w:t> </w:t>
      </w:r>
      <w:r>
        <w:rPr/>
        <w:t>which</w:t>
      </w:r>
      <w:r>
        <w:rPr>
          <w:spacing w:val="-9"/>
        </w:rPr>
        <w:t> </w:t>
      </w:r>
      <w:r>
        <w:rPr/>
        <w:t>coaches</w:t>
      </w:r>
      <w:r>
        <w:rPr>
          <w:spacing w:val="-9"/>
        </w:rPr>
        <w:t> </w:t>
      </w:r>
      <w:r>
        <w:rPr/>
        <w:t>can</w:t>
      </w:r>
      <w:r>
        <w:rPr>
          <w:spacing w:val="-9"/>
        </w:rPr>
        <w:t> </w:t>
      </w:r>
      <w:r>
        <w:rPr/>
        <w:t>evaluate</w:t>
      </w:r>
      <w:r>
        <w:rPr>
          <w:spacing w:val="-9"/>
        </w:rPr>
        <w:t> </w:t>
      </w:r>
      <w:r>
        <w:rPr/>
        <w:t>tactical</w:t>
      </w:r>
      <w:r>
        <w:rPr>
          <w:spacing w:val="-9"/>
        </w:rPr>
        <w:t> </w:t>
      </w:r>
      <w:r>
        <w:rPr/>
        <w:t>changes</w:t>
      </w:r>
      <w:r>
        <w:rPr>
          <w:spacing w:val="-9"/>
        </w:rPr>
        <w:t> </w:t>
      </w:r>
      <w:r>
        <w:rPr/>
        <w:t>or</w:t>
      </w:r>
      <w:r>
        <w:rPr>
          <w:spacing w:val="-9"/>
        </w:rPr>
        <w:t> </w:t>
      </w:r>
      <w:r>
        <w:rPr/>
        <w:t>player</w:t>
      </w:r>
      <w:r>
        <w:rPr>
          <w:spacing w:val="-9"/>
        </w:rPr>
        <w:t> </w:t>
      </w:r>
      <w:r>
        <w:rPr/>
        <w:t>recruitment. However,</w:t>
      </w:r>
      <w:r>
        <w:rPr>
          <w:spacing w:val="-9"/>
        </w:rPr>
        <w:t> </w:t>
      </w:r>
      <w:r>
        <w:rPr/>
        <w:t>the information</w:t>
      </w:r>
      <w:r>
        <w:rPr>
          <w:spacing w:val="-5"/>
        </w:rPr>
        <w:t> </w:t>
      </w:r>
      <w:r>
        <w:rPr/>
        <w:t>provided</w:t>
      </w:r>
      <w:r>
        <w:rPr>
          <w:spacing w:val="-5"/>
        </w:rPr>
        <w:t> </w:t>
      </w:r>
      <w:r>
        <w:rPr/>
        <w:t>to</w:t>
      </w:r>
      <w:r>
        <w:rPr>
          <w:spacing w:val="-5"/>
        </w:rPr>
        <w:t> </w:t>
      </w:r>
      <w:r>
        <w:rPr/>
        <w:t>coaches</w:t>
      </w:r>
      <w:r>
        <w:rPr>
          <w:spacing w:val="-5"/>
        </w:rPr>
        <w:t> </w:t>
      </w:r>
      <w:r>
        <w:rPr/>
        <w:t>is</w:t>
      </w:r>
      <w:r>
        <w:rPr>
          <w:spacing w:val="-5"/>
        </w:rPr>
        <w:t> </w:t>
      </w:r>
      <w:r>
        <w:rPr/>
        <w:t>limited</w:t>
      </w:r>
      <w:r>
        <w:rPr>
          <w:spacing w:val="-5"/>
        </w:rPr>
        <w:t> </w:t>
      </w:r>
      <w:r>
        <w:rPr/>
        <w:t>by</w:t>
      </w:r>
      <w:r>
        <w:rPr>
          <w:spacing w:val="-5"/>
        </w:rPr>
        <w:t> </w:t>
      </w:r>
      <w:r>
        <w:rPr/>
        <w:t>the</w:t>
      </w:r>
      <w:r>
        <w:rPr>
          <w:spacing w:val="-5"/>
        </w:rPr>
        <w:t> </w:t>
      </w:r>
      <w:r>
        <w:rPr/>
        <w:t>nature</w:t>
      </w:r>
      <w:r>
        <w:rPr>
          <w:spacing w:val="-5"/>
        </w:rPr>
        <w:t> </w:t>
      </w:r>
      <w:r>
        <w:rPr/>
        <w:t>of</w:t>
      </w:r>
      <w:r>
        <w:rPr>
          <w:spacing w:val="-5"/>
        </w:rPr>
        <w:t> </w:t>
      </w:r>
      <w:r>
        <w:rPr/>
        <w:t>accumulated</w:t>
      </w:r>
      <w:r>
        <w:rPr>
          <w:spacing w:val="-5"/>
        </w:rPr>
        <w:t> </w:t>
      </w:r>
      <w:r>
        <w:rPr/>
        <w:t>count</w:t>
      </w:r>
      <w:r>
        <w:rPr>
          <w:spacing w:val="-5"/>
        </w:rPr>
        <w:t> </w:t>
      </w:r>
      <w:r>
        <w:rPr/>
        <w:t>measures, which</w:t>
      </w:r>
      <w:r>
        <w:rPr>
          <w:spacing w:val="-15"/>
        </w:rPr>
        <w:t> </w:t>
      </w:r>
      <w:r>
        <w:rPr/>
        <w:t>don’t</w:t>
      </w:r>
      <w:r>
        <w:rPr>
          <w:spacing w:val="-15"/>
        </w:rPr>
        <w:t> </w:t>
      </w:r>
      <w:r>
        <w:rPr/>
        <w:t>consider</w:t>
      </w:r>
      <w:r>
        <w:rPr>
          <w:spacing w:val="-15"/>
        </w:rPr>
        <w:t> </w:t>
      </w:r>
      <w:r>
        <w:rPr/>
        <w:t>the</w:t>
      </w:r>
      <w:r>
        <w:rPr>
          <w:spacing w:val="-15"/>
        </w:rPr>
        <w:t> </w:t>
      </w:r>
      <w:r>
        <w:rPr/>
        <w:t>context</w:t>
      </w:r>
      <w:r>
        <w:rPr>
          <w:spacing w:val="-15"/>
        </w:rPr>
        <w:t> </w:t>
      </w:r>
      <w:r>
        <w:rPr/>
        <w:t>surrounding</w:t>
      </w:r>
      <w:r>
        <w:rPr>
          <w:spacing w:val="-15"/>
        </w:rPr>
        <w:t> </w:t>
      </w:r>
      <w:r>
        <w:rPr/>
        <w:t>each</w:t>
      </w:r>
      <w:r>
        <w:rPr>
          <w:spacing w:val="-15"/>
        </w:rPr>
        <w:t> </w:t>
      </w:r>
      <w:r>
        <w:rPr/>
        <w:t>action</w:t>
      </w:r>
      <w:r>
        <w:rPr>
          <w:spacing w:val="-15"/>
        </w:rPr>
        <w:t> </w:t>
      </w:r>
      <w:r>
        <w:rPr/>
        <w:t>individually.</w:t>
      </w:r>
      <w:r>
        <w:rPr>
          <w:spacing w:val="-3"/>
        </w:rPr>
        <w:t> </w:t>
      </w:r>
      <w:r>
        <w:rPr/>
        <w:t>They</w:t>
      </w:r>
      <w:r>
        <w:rPr>
          <w:spacing w:val="-15"/>
        </w:rPr>
        <w:t> </w:t>
      </w:r>
      <w:r>
        <w:rPr/>
        <w:t>are</w:t>
      </w:r>
      <w:r>
        <w:rPr>
          <w:spacing w:val="-15"/>
        </w:rPr>
        <w:t> </w:t>
      </w:r>
      <w:r>
        <w:rPr/>
        <w:t>therefore unable</w:t>
      </w:r>
      <w:r>
        <w:rPr>
          <w:spacing w:val="-11"/>
        </w:rPr>
        <w:t> </w:t>
      </w:r>
      <w:r>
        <w:rPr/>
        <w:t>to</w:t>
      </w:r>
      <w:r>
        <w:rPr>
          <w:spacing w:val="-11"/>
        </w:rPr>
        <w:t> </w:t>
      </w:r>
      <w:r>
        <w:rPr/>
        <w:t>provide</w:t>
      </w:r>
      <w:r>
        <w:rPr>
          <w:spacing w:val="-11"/>
        </w:rPr>
        <w:t> </w:t>
      </w:r>
      <w:r>
        <w:rPr/>
        <w:t>a</w:t>
      </w:r>
      <w:r>
        <w:rPr>
          <w:spacing w:val="-11"/>
        </w:rPr>
        <w:t> </w:t>
      </w:r>
      <w:r>
        <w:rPr/>
        <w:t>true</w:t>
      </w:r>
      <w:r>
        <w:rPr>
          <w:spacing w:val="-11"/>
        </w:rPr>
        <w:t> </w:t>
      </w:r>
      <w:r>
        <w:rPr/>
        <w:t>indication</w:t>
      </w:r>
      <w:r>
        <w:rPr>
          <w:spacing w:val="-11"/>
        </w:rPr>
        <w:t> </w:t>
      </w:r>
      <w:r>
        <w:rPr/>
        <w:t>of</w:t>
      </w:r>
      <w:r>
        <w:rPr>
          <w:spacing w:val="-11"/>
        </w:rPr>
        <w:t> </w:t>
      </w:r>
      <w:r>
        <w:rPr/>
        <w:t>the</w:t>
      </w:r>
      <w:r>
        <w:rPr>
          <w:spacing w:val="-11"/>
        </w:rPr>
        <w:t> </w:t>
      </w:r>
      <w:r>
        <w:rPr/>
        <w:t>value</w:t>
      </w:r>
      <w:r>
        <w:rPr>
          <w:spacing w:val="-11"/>
        </w:rPr>
        <w:t> </w:t>
      </w:r>
      <w:r>
        <w:rPr/>
        <w:t>of</w:t>
      </w:r>
      <w:r>
        <w:rPr>
          <w:spacing w:val="-11"/>
        </w:rPr>
        <w:t> </w:t>
      </w:r>
      <w:r>
        <w:rPr/>
        <w:t>an</w:t>
      </w:r>
      <w:r>
        <w:rPr>
          <w:spacing w:val="-11"/>
        </w:rPr>
        <w:t> </w:t>
      </w:r>
      <w:r>
        <w:rPr/>
        <w:t>action</w:t>
      </w:r>
      <w:r>
        <w:rPr>
          <w:spacing w:val="-11"/>
        </w:rPr>
        <w:t> </w:t>
      </w:r>
      <w:r>
        <w:rPr/>
        <w:t>being</w:t>
      </w:r>
      <w:r>
        <w:rPr>
          <w:spacing w:val="-11"/>
        </w:rPr>
        <w:t> </w:t>
      </w:r>
      <w:r>
        <w:rPr/>
        <w:t>taken,</w:t>
      </w:r>
      <w:r>
        <w:rPr>
          <w:spacing w:val="-10"/>
        </w:rPr>
        <w:t> </w:t>
      </w:r>
      <w:r>
        <w:rPr/>
        <w:t>or</w:t>
      </w:r>
      <w:r>
        <w:rPr>
          <w:spacing w:val="-11"/>
        </w:rPr>
        <w:t> </w:t>
      </w:r>
      <w:r>
        <w:rPr/>
        <w:t>the</w:t>
      </w:r>
      <w:r>
        <w:rPr>
          <w:spacing w:val="-11"/>
        </w:rPr>
        <w:t> </w:t>
      </w:r>
      <w:r>
        <w:rPr/>
        <w:t>probability of its success.</w:t>
      </w:r>
      <w:r>
        <w:rPr>
          <w:spacing w:val="40"/>
        </w:rPr>
        <w:t> </w:t>
      </w:r>
      <w:r>
        <w:rPr/>
        <w:t>For example, in football, a pass to a team mate in the opposition half is</w:t>
      </w:r>
      <w:r>
        <w:rPr>
          <w:spacing w:val="40"/>
        </w:rPr>
        <w:t> </w:t>
      </w:r>
      <w:r>
        <w:rPr/>
        <w:t>more likely to result in a goal than a pass to a team mate in the possession team’s own</w:t>
      </w:r>
      <w:r>
        <w:rPr>
          <w:spacing w:val="40"/>
        </w:rPr>
        <w:t> </w:t>
      </w:r>
      <w:r>
        <w:rPr/>
        <w:t>half</w:t>
      </w:r>
      <w:r>
        <w:rPr>
          <w:spacing w:val="-5"/>
        </w:rPr>
        <w:t> </w:t>
      </w:r>
      <w:r>
        <w:rPr/>
        <w:t>but</w:t>
      </w:r>
      <w:r>
        <w:rPr>
          <w:spacing w:val="-5"/>
        </w:rPr>
        <w:t> </w:t>
      </w:r>
      <w:r>
        <w:rPr/>
        <w:t>a</w:t>
      </w:r>
      <w:r>
        <w:rPr>
          <w:spacing w:val="-6"/>
        </w:rPr>
        <w:t> </w:t>
      </w:r>
      <w:r>
        <w:rPr/>
        <w:t>pass</w:t>
      </w:r>
      <w:r>
        <w:rPr>
          <w:spacing w:val="-5"/>
        </w:rPr>
        <w:t> </w:t>
      </w:r>
      <w:r>
        <w:rPr/>
        <w:t>to</w:t>
      </w:r>
      <w:r>
        <w:rPr>
          <w:spacing w:val="-5"/>
        </w:rPr>
        <w:t> </w:t>
      </w:r>
      <w:r>
        <w:rPr/>
        <w:t>an</w:t>
      </w:r>
      <w:r>
        <w:rPr>
          <w:spacing w:val="-5"/>
        </w:rPr>
        <w:t> </w:t>
      </w:r>
      <w:r>
        <w:rPr/>
        <w:t>unmarked</w:t>
      </w:r>
      <w:r>
        <w:rPr>
          <w:spacing w:val="-6"/>
        </w:rPr>
        <w:t> </w:t>
      </w:r>
      <w:r>
        <w:rPr/>
        <w:t>team</w:t>
      </w:r>
      <w:r>
        <w:rPr>
          <w:spacing w:val="-5"/>
        </w:rPr>
        <w:t> </w:t>
      </w:r>
      <w:r>
        <w:rPr/>
        <w:t>mate</w:t>
      </w:r>
      <w:r>
        <w:rPr>
          <w:spacing w:val="-5"/>
        </w:rPr>
        <w:t> </w:t>
      </w:r>
      <w:r>
        <w:rPr/>
        <w:t>in</w:t>
      </w:r>
      <w:r>
        <w:rPr>
          <w:spacing w:val="-5"/>
        </w:rPr>
        <w:t> </w:t>
      </w:r>
      <w:r>
        <w:rPr/>
        <w:t>the</w:t>
      </w:r>
      <w:r>
        <w:rPr>
          <w:spacing w:val="-5"/>
        </w:rPr>
        <w:t> </w:t>
      </w:r>
      <w:r>
        <w:rPr/>
        <w:t>opposition</w:t>
      </w:r>
      <w:r>
        <w:rPr>
          <w:spacing w:val="-5"/>
        </w:rPr>
        <w:t> </w:t>
      </w:r>
      <w:r>
        <w:rPr/>
        <w:t>half</w:t>
      </w:r>
      <w:r>
        <w:rPr>
          <w:spacing w:val="-5"/>
        </w:rPr>
        <w:t> </w:t>
      </w:r>
      <w:r>
        <w:rPr/>
        <w:t>is</w:t>
      </w:r>
      <w:r>
        <w:rPr>
          <w:spacing w:val="-5"/>
        </w:rPr>
        <w:t> </w:t>
      </w:r>
      <w:r>
        <w:rPr/>
        <w:t>more</w:t>
      </w:r>
      <w:r>
        <w:rPr>
          <w:spacing w:val="-5"/>
        </w:rPr>
        <w:t> </w:t>
      </w:r>
      <w:r>
        <w:rPr/>
        <w:t>likely</w:t>
      </w:r>
      <w:r>
        <w:rPr>
          <w:spacing w:val="-6"/>
        </w:rPr>
        <w:t> </w:t>
      </w:r>
      <w:r>
        <w:rPr/>
        <w:t>to</w:t>
      </w:r>
      <w:r>
        <w:rPr>
          <w:spacing w:val="-5"/>
        </w:rPr>
        <w:t> </w:t>
      </w:r>
      <w:r>
        <w:rPr/>
        <w:t>result</w:t>
      </w:r>
      <w:r>
        <w:rPr>
          <w:spacing w:val="-5"/>
        </w:rPr>
        <w:t> </w:t>
      </w:r>
      <w:r>
        <w:rPr/>
        <w:t>in a goal than a pass to a marked team mate.</w:t>
      </w:r>
      <w:r>
        <w:rPr>
          <w:spacing w:val="33"/>
        </w:rPr>
        <w:t> </w:t>
      </w:r>
      <w:r>
        <w:rPr/>
        <w:t>Similarly, a pass to a team mate in the centre of the penalty area is more likely to result in a goal than a pass to a team mate wide on the pitch, but is also more likely to be unsuccessful.</w:t>
      </w:r>
      <w:r>
        <w:rPr>
          <w:spacing w:val="40"/>
        </w:rPr>
        <w:t> </w:t>
      </w:r>
      <w:r>
        <w:rPr/>
        <w:t>This information is not considered in</w:t>
      </w:r>
      <w:r>
        <w:rPr>
          <w:spacing w:val="-6"/>
        </w:rPr>
        <w:t> </w:t>
      </w:r>
      <w:r>
        <w:rPr/>
        <w:t>accumulated</w:t>
      </w:r>
      <w:r>
        <w:rPr>
          <w:spacing w:val="-6"/>
        </w:rPr>
        <w:t> </w:t>
      </w:r>
      <w:r>
        <w:rPr/>
        <w:t>count</w:t>
      </w:r>
      <w:r>
        <w:rPr>
          <w:spacing w:val="-6"/>
        </w:rPr>
        <w:t> </w:t>
      </w:r>
      <w:r>
        <w:rPr/>
        <w:t>data</w:t>
      </w:r>
      <w:r>
        <w:rPr>
          <w:spacing w:val="-6"/>
        </w:rPr>
        <w:t> </w:t>
      </w:r>
      <w:r>
        <w:rPr/>
        <w:t>analyses</w:t>
      </w:r>
      <w:r>
        <w:rPr>
          <w:spacing w:val="-6"/>
        </w:rPr>
        <w:t> </w:t>
      </w:r>
      <w:r>
        <w:rPr/>
        <w:t>which,</w:t>
      </w:r>
      <w:r>
        <w:rPr>
          <w:spacing w:val="-5"/>
        </w:rPr>
        <w:t> </w:t>
      </w:r>
      <w:r>
        <w:rPr/>
        <w:t>until</w:t>
      </w:r>
      <w:r>
        <w:rPr>
          <w:spacing w:val="-6"/>
        </w:rPr>
        <w:t> </w:t>
      </w:r>
      <w:r>
        <w:rPr/>
        <w:t>recently,</w:t>
      </w:r>
      <w:r>
        <w:rPr>
          <w:spacing w:val="-5"/>
        </w:rPr>
        <w:t> </w:t>
      </w:r>
      <w:r>
        <w:rPr/>
        <w:t>was</w:t>
      </w:r>
      <w:r>
        <w:rPr>
          <w:spacing w:val="-6"/>
        </w:rPr>
        <w:t> </w:t>
      </w:r>
      <w:r>
        <w:rPr/>
        <w:t>a</w:t>
      </w:r>
      <w:r>
        <w:rPr>
          <w:spacing w:val="-6"/>
        </w:rPr>
        <w:t> </w:t>
      </w:r>
      <w:r>
        <w:rPr/>
        <w:t>barrier</w:t>
      </w:r>
      <w:r>
        <w:rPr>
          <w:spacing w:val="-6"/>
        </w:rPr>
        <w:t> </w:t>
      </w:r>
      <w:r>
        <w:rPr/>
        <w:t>to</w:t>
      </w:r>
      <w:r>
        <w:rPr>
          <w:spacing w:val="-6"/>
        </w:rPr>
        <w:t> </w:t>
      </w:r>
      <w:r>
        <w:rPr/>
        <w:t>the</w:t>
      </w:r>
      <w:r>
        <w:rPr>
          <w:spacing w:val="-6"/>
        </w:rPr>
        <w:t> </w:t>
      </w:r>
      <w:r>
        <w:rPr/>
        <w:t>widespread </w:t>
      </w:r>
      <w:r>
        <w:rPr>
          <w:spacing w:val="-2"/>
        </w:rPr>
        <w:t>usage</w:t>
      </w:r>
      <w:r>
        <w:rPr>
          <w:spacing w:val="-9"/>
        </w:rPr>
        <w:t> </w:t>
      </w:r>
      <w:r>
        <w:rPr>
          <w:spacing w:val="-2"/>
        </w:rPr>
        <w:t>of</w:t>
      </w:r>
      <w:r>
        <w:rPr>
          <w:spacing w:val="-8"/>
        </w:rPr>
        <w:t> </w:t>
      </w:r>
      <w:r>
        <w:rPr>
          <w:spacing w:val="-2"/>
        </w:rPr>
        <w:t>advanced</w:t>
      </w:r>
      <w:r>
        <w:rPr>
          <w:spacing w:val="-8"/>
        </w:rPr>
        <w:t> </w:t>
      </w:r>
      <w:r>
        <w:rPr>
          <w:spacing w:val="-2"/>
        </w:rPr>
        <w:t>statistical</w:t>
      </w:r>
      <w:r>
        <w:rPr>
          <w:spacing w:val="-8"/>
        </w:rPr>
        <w:t> </w:t>
      </w:r>
      <w:r>
        <w:rPr>
          <w:spacing w:val="-2"/>
        </w:rPr>
        <w:t>analyses</w:t>
      </w:r>
      <w:r>
        <w:rPr>
          <w:spacing w:val="-9"/>
        </w:rPr>
        <w:t> </w:t>
      </w:r>
      <w:r>
        <w:rPr>
          <w:spacing w:val="-2"/>
        </w:rPr>
        <w:t>to</w:t>
      </w:r>
      <w:r>
        <w:rPr>
          <w:spacing w:val="-8"/>
        </w:rPr>
        <w:t> </w:t>
      </w:r>
      <w:r>
        <w:rPr>
          <w:spacing w:val="-2"/>
        </w:rPr>
        <w:t>rate</w:t>
      </w:r>
      <w:r>
        <w:rPr>
          <w:spacing w:val="-8"/>
        </w:rPr>
        <w:t> </w:t>
      </w:r>
      <w:r>
        <w:rPr>
          <w:spacing w:val="-2"/>
        </w:rPr>
        <w:t>player</w:t>
      </w:r>
      <w:r>
        <w:rPr>
          <w:spacing w:val="-8"/>
        </w:rPr>
        <w:t> </w:t>
      </w:r>
      <w:r>
        <w:rPr>
          <w:spacing w:val="-2"/>
        </w:rPr>
        <w:t>and</w:t>
      </w:r>
      <w:r>
        <w:rPr>
          <w:spacing w:val="-8"/>
        </w:rPr>
        <w:t> </w:t>
      </w:r>
      <w:r>
        <w:rPr>
          <w:spacing w:val="-2"/>
        </w:rPr>
        <w:t>team</w:t>
      </w:r>
      <w:r>
        <w:rPr>
          <w:spacing w:val="-9"/>
        </w:rPr>
        <w:t> </w:t>
      </w:r>
      <w:r>
        <w:rPr>
          <w:spacing w:val="-2"/>
        </w:rPr>
        <w:t>performances</w:t>
      </w:r>
      <w:r>
        <w:rPr>
          <w:spacing w:val="-8"/>
        </w:rPr>
        <w:t> </w:t>
      </w:r>
      <w:r>
        <w:rPr>
          <w:spacing w:val="-2"/>
        </w:rPr>
        <w:t>in</w:t>
      </w:r>
      <w:r>
        <w:rPr>
          <w:spacing w:val="-8"/>
        </w:rPr>
        <w:t> </w:t>
      </w:r>
      <w:r>
        <w:rPr>
          <w:spacing w:val="-2"/>
        </w:rPr>
        <w:t>team</w:t>
      </w:r>
      <w:r>
        <w:rPr>
          <w:spacing w:val="-8"/>
        </w:rPr>
        <w:t> </w:t>
      </w:r>
      <w:r>
        <w:rPr>
          <w:spacing w:val="-2"/>
        </w:rPr>
        <w:t>sports.</w:t>
      </w:r>
    </w:p>
    <w:p>
      <w:pPr>
        <w:pStyle w:val="BodyText"/>
        <w:spacing w:line="312" w:lineRule="auto"/>
        <w:ind w:left="610" w:right="389" w:firstLine="351"/>
        <w:jc w:val="both"/>
      </w:pPr>
      <w:r>
        <w:rPr/>
        <w:t>The recent introduction of </w:t>
      </w:r>
      <w:r>
        <w:rPr>
          <w:i/>
        </w:rPr>
        <w:t>action by action </w:t>
      </w:r>
      <w:r>
        <w:rPr/>
        <w:t>data, which provides spatial information for every action taking place on the pitch has changed the focus of research towards the development of more advanced statistical analyses to evaluate player and team </w:t>
      </w:r>
      <w:r>
        <w:rPr/>
        <w:t>perfor- mances. However,</w:t>
      </w:r>
      <w:r>
        <w:rPr>
          <w:spacing w:val="-3"/>
        </w:rPr>
        <w:t> </w:t>
      </w:r>
      <w:r>
        <w:rPr/>
        <w:t>such</w:t>
      </w:r>
      <w:r>
        <w:rPr>
          <w:spacing w:val="-4"/>
        </w:rPr>
        <w:t> </w:t>
      </w:r>
      <w:r>
        <w:rPr/>
        <w:t>data</w:t>
      </w:r>
      <w:r>
        <w:rPr>
          <w:spacing w:val="-4"/>
        </w:rPr>
        <w:t> </w:t>
      </w:r>
      <w:r>
        <w:rPr/>
        <w:t>is</w:t>
      </w:r>
      <w:r>
        <w:rPr>
          <w:spacing w:val="-4"/>
        </w:rPr>
        <w:t> </w:t>
      </w:r>
      <w:r>
        <w:rPr/>
        <w:t>only</w:t>
      </w:r>
      <w:r>
        <w:rPr>
          <w:spacing w:val="-4"/>
        </w:rPr>
        <w:t> </w:t>
      </w:r>
      <w:r>
        <w:rPr/>
        <w:t>readily</w:t>
      </w:r>
      <w:r>
        <w:rPr>
          <w:spacing w:val="-3"/>
        </w:rPr>
        <w:t> </w:t>
      </w:r>
      <w:r>
        <w:rPr/>
        <w:t>available</w:t>
      </w:r>
      <w:r>
        <w:rPr>
          <w:spacing w:val="-4"/>
        </w:rPr>
        <w:t> </w:t>
      </w:r>
      <w:r>
        <w:rPr/>
        <w:t>in</w:t>
      </w:r>
      <w:r>
        <w:rPr>
          <w:spacing w:val="-4"/>
        </w:rPr>
        <w:t> </w:t>
      </w:r>
      <w:r>
        <w:rPr/>
        <w:t>a</w:t>
      </w:r>
      <w:r>
        <w:rPr>
          <w:spacing w:val="-4"/>
        </w:rPr>
        <w:t> </w:t>
      </w:r>
      <w:r>
        <w:rPr/>
        <w:t>limited</w:t>
      </w:r>
      <w:r>
        <w:rPr>
          <w:spacing w:val="-4"/>
        </w:rPr>
        <w:t> </w:t>
      </w:r>
      <w:r>
        <w:rPr/>
        <w:t>number</w:t>
      </w:r>
      <w:r>
        <w:rPr>
          <w:spacing w:val="-4"/>
        </w:rPr>
        <w:t> </w:t>
      </w:r>
      <w:r>
        <w:rPr/>
        <w:t>of</w:t>
      </w:r>
      <w:r>
        <w:rPr>
          <w:spacing w:val="-4"/>
        </w:rPr>
        <w:t> </w:t>
      </w:r>
      <w:r>
        <w:rPr/>
        <w:t>sports. This section considers two types of these analyses: </w:t>
      </w:r>
      <w:r>
        <w:rPr>
          <w:i/>
        </w:rPr>
        <w:t>spatial trends </w:t>
      </w:r>
      <w:r>
        <w:rPr/>
        <w:t>analyses, which attempt to understand the pitch as a probability density function of where the player or team could pass or control the ball; and </w:t>
      </w:r>
      <w:r>
        <w:rPr>
          <w:i/>
        </w:rPr>
        <w:t>expected possession value </w:t>
      </w:r>
      <w:r>
        <w:rPr/>
        <w:t>(EPV) models, which provide a value for every location on the pitch based on the probability that a positive or negative scoring action will occur within a predefined period of time.</w:t>
      </w:r>
    </w:p>
    <w:p>
      <w:pPr>
        <w:pStyle w:val="BodyText"/>
        <w:spacing w:before="11"/>
        <w:rPr>
          <w:sz w:val="29"/>
        </w:rPr>
      </w:pPr>
    </w:p>
    <w:p>
      <w:pPr>
        <w:pStyle w:val="Heading4"/>
        <w:numPr>
          <w:ilvl w:val="3"/>
          <w:numId w:val="17"/>
        </w:numPr>
        <w:tabs>
          <w:tab w:pos="1506" w:val="left" w:leader="none"/>
          <w:tab w:pos="1508" w:val="left" w:leader="none"/>
        </w:tabs>
        <w:spacing w:line="240" w:lineRule="auto" w:before="0" w:after="0"/>
        <w:ind w:left="1507" w:right="0" w:hanging="898"/>
        <w:jc w:val="left"/>
      </w:pPr>
      <w:bookmarkStart w:name="_TOC_250057" w:id="38"/>
      <w:bookmarkStart w:name="2.2.2.1 Spatial Trends Analysis in Team " w:id="39"/>
      <w:r>
        <w:rPr>
          <w:b w:val="0"/>
        </w:rPr>
      </w:r>
      <w:bookmarkStart w:name="_bookmark17" w:id="40"/>
      <w:bookmarkEnd w:id="40"/>
      <w:r>
        <w:rPr>
          <w:spacing w:val="-2"/>
        </w:rPr>
        <w:t>Spatial</w:t>
      </w:r>
      <w:r>
        <w:rPr>
          <w:spacing w:val="-6"/>
        </w:rPr>
        <w:t> </w:t>
      </w:r>
      <w:r>
        <w:rPr>
          <w:spacing w:val="-2"/>
        </w:rPr>
        <w:t>Trends</w:t>
      </w:r>
      <w:r>
        <w:rPr>
          <w:spacing w:val="-5"/>
        </w:rPr>
        <w:t> </w:t>
      </w:r>
      <w:r>
        <w:rPr>
          <w:spacing w:val="-2"/>
        </w:rPr>
        <w:t>Analysis</w:t>
      </w:r>
      <w:r>
        <w:rPr>
          <w:spacing w:val="-6"/>
        </w:rPr>
        <w:t> </w:t>
      </w:r>
      <w:r>
        <w:rPr>
          <w:spacing w:val="-2"/>
        </w:rPr>
        <w:t>in</w:t>
      </w:r>
      <w:r>
        <w:rPr>
          <w:spacing w:val="-5"/>
        </w:rPr>
        <w:t> </w:t>
      </w:r>
      <w:r>
        <w:rPr>
          <w:spacing w:val="-2"/>
        </w:rPr>
        <w:t>Team</w:t>
      </w:r>
      <w:r>
        <w:rPr>
          <w:spacing w:val="-6"/>
        </w:rPr>
        <w:t> </w:t>
      </w:r>
      <w:bookmarkEnd w:id="38"/>
      <w:r>
        <w:rPr>
          <w:spacing w:val="-2"/>
        </w:rPr>
        <w:t>Sports</w:t>
      </w:r>
    </w:p>
    <w:p>
      <w:pPr>
        <w:pStyle w:val="BodyText"/>
        <w:spacing w:line="312" w:lineRule="auto" w:before="244"/>
        <w:ind w:left="610" w:right="389"/>
      </w:pPr>
      <w:r>
        <w:rPr/>
        <w:t>Despite</w:t>
      </w:r>
      <w:r>
        <w:rPr>
          <w:spacing w:val="29"/>
        </w:rPr>
        <w:t> </w:t>
      </w:r>
      <w:r>
        <w:rPr/>
        <w:t>its</w:t>
      </w:r>
      <w:r>
        <w:rPr>
          <w:spacing w:val="29"/>
        </w:rPr>
        <w:t> </w:t>
      </w:r>
      <w:r>
        <w:rPr/>
        <w:t>importance</w:t>
      </w:r>
      <w:r>
        <w:rPr>
          <w:spacing w:val="29"/>
        </w:rPr>
        <w:t> </w:t>
      </w:r>
      <w:r>
        <w:rPr/>
        <w:t>and</w:t>
      </w:r>
      <w:r>
        <w:rPr>
          <w:spacing w:val="29"/>
        </w:rPr>
        <w:t> </w:t>
      </w:r>
      <w:r>
        <w:rPr/>
        <w:t>ability</w:t>
      </w:r>
      <w:r>
        <w:rPr>
          <w:spacing w:val="29"/>
        </w:rPr>
        <w:t> </w:t>
      </w:r>
      <w:r>
        <w:rPr/>
        <w:t>to</w:t>
      </w:r>
      <w:r>
        <w:rPr>
          <w:spacing w:val="29"/>
        </w:rPr>
        <w:t> </w:t>
      </w:r>
      <w:r>
        <w:rPr/>
        <w:t>directly</w:t>
      </w:r>
      <w:r>
        <w:rPr>
          <w:spacing w:val="29"/>
        </w:rPr>
        <w:t> </w:t>
      </w:r>
      <w:r>
        <w:rPr/>
        <w:t>influence</w:t>
      </w:r>
      <w:r>
        <w:rPr>
          <w:spacing w:val="29"/>
        </w:rPr>
        <w:t> </w:t>
      </w:r>
      <w:r>
        <w:rPr/>
        <w:t>the</w:t>
      </w:r>
      <w:r>
        <w:rPr>
          <w:spacing w:val="29"/>
        </w:rPr>
        <w:t> </w:t>
      </w:r>
      <w:r>
        <w:rPr/>
        <w:t>decisions</w:t>
      </w:r>
      <w:r>
        <w:rPr>
          <w:spacing w:val="29"/>
        </w:rPr>
        <w:t> </w:t>
      </w:r>
      <w:r>
        <w:rPr/>
        <w:t>that</w:t>
      </w:r>
      <w:r>
        <w:rPr>
          <w:spacing w:val="29"/>
        </w:rPr>
        <w:t> </w:t>
      </w:r>
      <w:r>
        <w:rPr/>
        <w:t>players</w:t>
      </w:r>
      <w:r>
        <w:rPr>
          <w:spacing w:val="29"/>
        </w:rPr>
        <w:t> </w:t>
      </w:r>
      <w:r>
        <w:rPr/>
        <w:t>and coaches</w:t>
      </w:r>
      <w:r>
        <w:rPr>
          <w:spacing w:val="40"/>
        </w:rPr>
        <w:t> </w:t>
      </w:r>
      <w:r>
        <w:rPr/>
        <w:t>make,</w:t>
      </w:r>
      <w:r>
        <w:rPr>
          <w:spacing w:val="40"/>
        </w:rPr>
        <w:t> </w:t>
      </w:r>
      <w:r>
        <w:rPr/>
        <w:t>literature</w:t>
      </w:r>
      <w:r>
        <w:rPr>
          <w:spacing w:val="40"/>
        </w:rPr>
        <w:t> </w:t>
      </w:r>
      <w:r>
        <w:rPr/>
        <w:t>surrounding</w:t>
      </w:r>
      <w:r>
        <w:rPr>
          <w:spacing w:val="40"/>
        </w:rPr>
        <w:t> </w:t>
      </w:r>
      <w:r>
        <w:rPr/>
        <w:t>spatial</w:t>
      </w:r>
      <w:r>
        <w:rPr>
          <w:spacing w:val="40"/>
        </w:rPr>
        <w:t> </w:t>
      </w:r>
      <w:r>
        <w:rPr/>
        <w:t>trends</w:t>
      </w:r>
      <w:r>
        <w:rPr>
          <w:spacing w:val="40"/>
        </w:rPr>
        <w:t> </w:t>
      </w:r>
      <w:r>
        <w:rPr/>
        <w:t>analyses</w:t>
      </w:r>
      <w:r>
        <w:rPr>
          <w:spacing w:val="40"/>
        </w:rPr>
        <w:t> </w:t>
      </w:r>
      <w:r>
        <w:rPr/>
        <w:t>(Definition</w:t>
      </w:r>
      <w:hyperlink w:history="true" w:anchor="_bookmark18">
        <w:r>
          <w:rPr>
            <w:color w:val="0000FF"/>
          </w:rPr>
          <w:t>2.2.1</w:t>
        </w:r>
        <w:r>
          <w:rPr/>
          <w:t>)</w:t>
        </w:r>
      </w:hyperlink>
      <w:r>
        <w:rPr>
          <w:spacing w:val="40"/>
        </w:rPr>
        <w:t> </w:t>
      </w:r>
      <w:r>
        <w:rPr/>
        <w:t>is</w:t>
      </w:r>
      <w:r>
        <w:rPr>
          <w:spacing w:val="40"/>
        </w:rPr>
        <w:t> </w:t>
      </w:r>
      <w:r>
        <w:rPr/>
        <w:t>sur- prisingly sparse.</w:t>
      </w:r>
      <w:r>
        <w:rPr>
          <w:spacing w:val="80"/>
        </w:rPr>
        <w:t> </w:t>
      </w:r>
      <w:r>
        <w:rPr/>
        <w:t>In football,</w:t>
      </w:r>
      <w:r>
        <w:rPr>
          <w:spacing w:val="26"/>
        </w:rPr>
        <w:t> </w:t>
      </w:r>
      <w:r>
        <w:rPr/>
        <w:t>two studies have considered the concept of pitch control</w:t>
      </w:r>
      <w:r>
        <w:rPr>
          <w:spacing w:val="40"/>
        </w:rPr>
        <w:t> </w:t>
      </w:r>
      <w:r>
        <w:rPr>
          <w:spacing w:val="7"/>
        </w:rPr>
        <w:t>(</w:t>
      </w:r>
      <w:hyperlink w:history="true" w:anchor="_bookmark241">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30"/>
          </w:rPr>
          <w:t> </w:t>
        </w:r>
        <w:r>
          <w:rPr>
            <w:color w:val="FF0000"/>
          </w:rPr>
          <w:t>and</w:t>
        </w:r>
        <w:r>
          <w:rPr>
            <w:color w:val="FF0000"/>
            <w:spacing w:val="31"/>
          </w:rPr>
          <w:t> </w:t>
        </w:r>
        <w:r>
          <w:rPr>
            <w:color w:val="FF0000"/>
          </w:rPr>
          <w:t>Bornn</w:t>
        </w:r>
      </w:hyperlink>
      <w:r>
        <w:rPr/>
        <w:t>,</w:t>
      </w:r>
      <w:hyperlink w:history="true" w:anchor="_bookmark241">
        <w:r>
          <w:rPr>
            <w:color w:val="FF0000"/>
          </w:rPr>
          <w:t>2018</w:t>
        </w:r>
        <w:r>
          <w:rPr/>
          <w:t>;</w:t>
        </w:r>
      </w:hyperlink>
      <w:hyperlink w:history="true" w:anchor="_bookmark298">
        <w:r>
          <w:rPr>
            <w:color w:val="FF0000"/>
          </w:rPr>
          <w:t>Spearman</w:t>
        </w:r>
        <w:r>
          <w:rPr>
            <w:color w:val="FF0000"/>
            <w:spacing w:val="30"/>
          </w:rPr>
          <w:t> </w:t>
        </w:r>
        <w:r>
          <w:rPr>
            <w:color w:val="FF0000"/>
          </w:rPr>
          <w:t>et</w:t>
        </w:r>
        <w:r>
          <w:rPr>
            <w:color w:val="FF0000"/>
            <w:spacing w:val="31"/>
          </w:rPr>
          <w:t> </w:t>
        </w:r>
        <w:r>
          <w:rPr>
            <w:color w:val="FF0000"/>
          </w:rPr>
          <w:t>al.</w:t>
        </w:r>
        <w:r>
          <w:rPr/>
          <w:t>,</w:t>
        </w:r>
      </w:hyperlink>
      <w:r>
        <w:rPr>
          <w:color w:val="FF0000"/>
        </w:rPr>
        <w:t>2017</w:t>
      </w:r>
      <w:hyperlink w:history="true" w:anchor="_bookmark298">
        <w:r>
          <w:rPr/>
          <w:t>).</w:t>
        </w:r>
      </w:hyperlink>
      <w:r>
        <w:rPr>
          <w:spacing w:val="80"/>
        </w:rPr>
        <w:t> </w:t>
      </w:r>
      <w:r>
        <w:rPr/>
        <w:t>Pitch</w:t>
      </w:r>
      <w:r>
        <w:rPr>
          <w:spacing w:val="30"/>
        </w:rPr>
        <w:t> </w:t>
      </w:r>
      <w:r>
        <w:rPr/>
        <w:t>control</w:t>
      </w:r>
      <w:r>
        <w:rPr>
          <w:spacing w:val="31"/>
        </w:rPr>
        <w:t> </w:t>
      </w:r>
      <w:r>
        <w:rPr/>
        <w:t>can</w:t>
      </w:r>
      <w:r>
        <w:rPr>
          <w:spacing w:val="30"/>
        </w:rPr>
        <w:t> </w:t>
      </w:r>
      <w:r>
        <w:rPr/>
        <w:t>be</w:t>
      </w:r>
      <w:r>
        <w:rPr>
          <w:spacing w:val="31"/>
        </w:rPr>
        <w:t> </w:t>
      </w:r>
      <w:r>
        <w:rPr/>
        <w:t>defined</w:t>
      </w:r>
      <w:r>
        <w:rPr>
          <w:spacing w:val="31"/>
        </w:rPr>
        <w:t> </w:t>
      </w:r>
      <w:r>
        <w:rPr/>
        <w:t>as the</w:t>
      </w:r>
      <w:r>
        <w:rPr>
          <w:spacing w:val="28"/>
        </w:rPr>
        <w:t> </w:t>
      </w:r>
      <w:r>
        <w:rPr/>
        <w:t>degree</w:t>
      </w:r>
      <w:r>
        <w:rPr>
          <w:spacing w:val="28"/>
        </w:rPr>
        <w:t> </w:t>
      </w:r>
      <w:r>
        <w:rPr/>
        <w:t>or</w:t>
      </w:r>
      <w:r>
        <w:rPr>
          <w:spacing w:val="28"/>
        </w:rPr>
        <w:t> </w:t>
      </w:r>
      <w:r>
        <w:rPr/>
        <w:t>probability</w:t>
      </w:r>
      <w:r>
        <w:rPr>
          <w:spacing w:val="28"/>
        </w:rPr>
        <w:t> </w:t>
      </w:r>
      <w:r>
        <w:rPr/>
        <w:t>of</w:t>
      </w:r>
      <w:r>
        <w:rPr>
          <w:spacing w:val="28"/>
        </w:rPr>
        <w:t> </w:t>
      </w:r>
      <w:r>
        <w:rPr/>
        <w:t>control</w:t>
      </w:r>
      <w:r>
        <w:rPr>
          <w:spacing w:val="28"/>
        </w:rPr>
        <w:t> </w:t>
      </w:r>
      <w:r>
        <w:rPr/>
        <w:t>that</w:t>
      </w:r>
      <w:r>
        <w:rPr>
          <w:spacing w:val="28"/>
        </w:rPr>
        <w:t> </w:t>
      </w:r>
      <w:r>
        <w:rPr/>
        <w:t>a</w:t>
      </w:r>
      <w:r>
        <w:rPr>
          <w:spacing w:val="28"/>
        </w:rPr>
        <w:t> </w:t>
      </w:r>
      <w:r>
        <w:rPr/>
        <w:t>given</w:t>
      </w:r>
      <w:r>
        <w:rPr>
          <w:spacing w:val="28"/>
        </w:rPr>
        <w:t> </w:t>
      </w:r>
      <w:r>
        <w:rPr/>
        <w:t>player</w:t>
      </w:r>
      <w:r>
        <w:rPr>
          <w:spacing w:val="28"/>
        </w:rPr>
        <w:t> </w:t>
      </w:r>
      <w:r>
        <w:rPr/>
        <w:t>(or</w:t>
      </w:r>
      <w:r>
        <w:rPr>
          <w:spacing w:val="28"/>
        </w:rPr>
        <w:t> </w:t>
      </w:r>
      <w:r>
        <w:rPr/>
        <w:t>team)</w:t>
      </w:r>
      <w:r>
        <w:rPr>
          <w:spacing w:val="28"/>
        </w:rPr>
        <w:t> </w:t>
      </w:r>
      <w:r>
        <w:rPr/>
        <w:t>has</w:t>
      </w:r>
      <w:r>
        <w:rPr>
          <w:spacing w:val="28"/>
        </w:rPr>
        <w:t> </w:t>
      </w:r>
      <w:r>
        <w:rPr/>
        <w:t>on</w:t>
      </w:r>
      <w:r>
        <w:rPr>
          <w:spacing w:val="28"/>
        </w:rPr>
        <w:t> </w:t>
      </w:r>
      <w:r>
        <w:rPr/>
        <w:t>any</w:t>
      </w:r>
      <w:r>
        <w:rPr>
          <w:spacing w:val="28"/>
        </w:rPr>
        <w:t> </w:t>
      </w:r>
      <w:r>
        <w:rPr/>
        <w:t>specific</w:t>
      </w:r>
    </w:p>
    <w:p>
      <w:pPr>
        <w:spacing w:after="0" w:line="312" w:lineRule="auto"/>
        <w:sectPr>
          <w:pgSz w:w="11910" w:h="16840"/>
          <w:pgMar w:header="1961" w:footer="1428" w:top="2260" w:bottom="1620" w:left="1680" w:right="720"/>
        </w:sectPr>
      </w:pPr>
    </w:p>
    <w:p>
      <w:pPr>
        <w:pStyle w:val="BodyText"/>
        <w:rPr>
          <w:sz w:val="20"/>
        </w:rPr>
      </w:pPr>
    </w:p>
    <w:p>
      <w:pPr>
        <w:pStyle w:val="BodyText"/>
        <w:spacing w:before="6"/>
        <w:rPr>
          <w:sz w:val="22"/>
        </w:rPr>
      </w:pPr>
    </w:p>
    <w:p>
      <w:pPr>
        <w:pStyle w:val="BodyText"/>
        <w:spacing w:line="312" w:lineRule="auto" w:before="98"/>
        <w:ind w:left="610" w:right="389"/>
      </w:pPr>
      <w:r>
        <w:rPr/>
        <w:t>position/location in the available playing area </w:t>
      </w:r>
      <w:r>
        <w:rPr>
          <w:spacing w:val="7"/>
        </w:rPr>
        <w:t>(</w:t>
      </w:r>
      <w:hyperlink w:history="true" w:anchor="_bookmark241">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1"/>
          </w:rPr>
          <w:t> </w:t>
        </w:r>
        <w:r>
          <w:rPr>
            <w:color w:val="FF0000"/>
          </w:rPr>
          <w:t>and Bornn</w:t>
        </w:r>
      </w:hyperlink>
      <w:r>
        <w:rPr/>
        <w:t>,</w:t>
      </w:r>
      <w:hyperlink w:history="true" w:anchor="_bookmark241">
        <w:r>
          <w:rPr>
            <w:color w:val="FF0000"/>
          </w:rPr>
          <w:t>2018</w:t>
        </w:r>
      </w:hyperlink>
      <w:r>
        <w:rPr/>
        <w:t>).</w:t>
      </w:r>
      <w:r>
        <w:rPr>
          <w:spacing w:val="40"/>
        </w:rPr>
        <w:t> </w:t>
      </w:r>
      <w:r>
        <w:rPr/>
        <w:t>In Amer- ican</w:t>
      </w:r>
      <w:r>
        <w:rPr>
          <w:spacing w:val="36"/>
        </w:rPr>
        <w:t> </w:t>
      </w:r>
      <w:r>
        <w:rPr/>
        <w:t>football,</w:t>
      </w:r>
      <w:r>
        <w:rPr>
          <w:spacing w:val="40"/>
        </w:rPr>
        <w:t> </w:t>
      </w:r>
      <w:r>
        <w:rPr/>
        <w:t>individual</w:t>
      </w:r>
      <w:r>
        <w:rPr>
          <w:spacing w:val="36"/>
        </w:rPr>
        <w:t> </w:t>
      </w:r>
      <w:r>
        <w:rPr/>
        <w:t>player</w:t>
      </w:r>
      <w:r>
        <w:rPr>
          <w:spacing w:val="36"/>
        </w:rPr>
        <w:t> </w:t>
      </w:r>
      <w:r>
        <w:rPr/>
        <w:t>pass</w:t>
      </w:r>
      <w:r>
        <w:rPr>
          <w:spacing w:val="36"/>
        </w:rPr>
        <w:t> </w:t>
      </w:r>
      <w:r>
        <w:rPr/>
        <w:t>location</w:t>
      </w:r>
      <w:r>
        <w:rPr>
          <w:spacing w:val="36"/>
        </w:rPr>
        <w:t> </w:t>
      </w:r>
      <w:r>
        <w:rPr/>
        <w:t>distributions</w:t>
      </w:r>
      <w:r>
        <w:rPr>
          <w:spacing w:val="36"/>
        </w:rPr>
        <w:t> </w:t>
      </w:r>
      <w:r>
        <w:rPr/>
        <w:t>have</w:t>
      </w:r>
      <w:r>
        <w:rPr>
          <w:spacing w:val="36"/>
        </w:rPr>
        <w:t> </w:t>
      </w:r>
      <w:r>
        <w:rPr/>
        <w:t>also</w:t>
      </w:r>
      <w:r>
        <w:rPr>
          <w:spacing w:val="36"/>
        </w:rPr>
        <w:t> </w:t>
      </w:r>
      <w:r>
        <w:rPr/>
        <w:t>been</w:t>
      </w:r>
      <w:r>
        <w:rPr>
          <w:spacing w:val="36"/>
        </w:rPr>
        <w:t> </w:t>
      </w:r>
      <w:r>
        <w:rPr/>
        <w:t>considered (</w:t>
      </w:r>
      <w:hyperlink w:history="true" w:anchor="_bookmark271">
        <w:r>
          <w:rPr>
            <w:color w:val="FF0000"/>
          </w:rPr>
          <w:t>Mallepalle et al.</w:t>
        </w:r>
      </w:hyperlink>
      <w:r>
        <w:rPr/>
        <w:t>,</w:t>
      </w:r>
      <w:hyperlink w:history="true" w:anchor="_bookmark271">
        <w:r>
          <w:rPr>
            <w:color w:val="FF0000"/>
          </w:rPr>
          <w:t>2020</w:t>
        </w:r>
        <w:r>
          <w:rPr/>
          <w:t>)</w:t>
        </w:r>
      </w:hyperlink>
      <w:r>
        <w:rPr/>
        <w:t> as a form of spatial trends analysis.</w:t>
      </w:r>
      <w:r>
        <w:rPr>
          <w:spacing w:val="40"/>
        </w:rPr>
        <w:t> </w:t>
      </w:r>
      <w:r>
        <w:rPr/>
        <w:t>To the authors knowledge, no</w:t>
      </w:r>
      <w:r>
        <w:rPr>
          <w:spacing w:val="-11"/>
        </w:rPr>
        <w:t> </w:t>
      </w:r>
      <w:r>
        <w:rPr/>
        <w:t>other</w:t>
      </w:r>
      <w:r>
        <w:rPr>
          <w:spacing w:val="-11"/>
        </w:rPr>
        <w:t> </w:t>
      </w:r>
      <w:r>
        <w:rPr/>
        <w:t>studies</w:t>
      </w:r>
      <w:r>
        <w:rPr>
          <w:spacing w:val="-11"/>
        </w:rPr>
        <w:t> </w:t>
      </w:r>
      <w:r>
        <w:rPr/>
        <w:t>have</w:t>
      </w:r>
      <w:r>
        <w:rPr>
          <w:spacing w:val="-12"/>
        </w:rPr>
        <w:t> </w:t>
      </w:r>
      <w:r>
        <w:rPr/>
        <w:t>been</w:t>
      </w:r>
      <w:r>
        <w:rPr>
          <w:spacing w:val="-11"/>
        </w:rPr>
        <w:t> </w:t>
      </w:r>
      <w:r>
        <w:rPr/>
        <w:t>conducted</w:t>
      </w:r>
      <w:r>
        <w:rPr>
          <w:spacing w:val="-11"/>
        </w:rPr>
        <w:t> </w:t>
      </w:r>
      <w:r>
        <w:rPr/>
        <w:t>in</w:t>
      </w:r>
      <w:r>
        <w:rPr>
          <w:spacing w:val="-11"/>
        </w:rPr>
        <w:t> </w:t>
      </w:r>
      <w:r>
        <w:rPr/>
        <w:t>sport</w:t>
      </w:r>
      <w:r>
        <w:rPr>
          <w:spacing w:val="-11"/>
        </w:rPr>
        <w:t> </w:t>
      </w:r>
      <w:r>
        <w:rPr/>
        <w:t>specifically</w:t>
      </w:r>
      <w:r>
        <w:rPr>
          <w:spacing w:val="-11"/>
        </w:rPr>
        <w:t> </w:t>
      </w:r>
      <w:r>
        <w:rPr/>
        <w:t>considering</w:t>
      </w:r>
      <w:r>
        <w:rPr>
          <w:spacing w:val="-12"/>
        </w:rPr>
        <w:t> </w:t>
      </w:r>
      <w:r>
        <w:rPr/>
        <w:t>the</w:t>
      </w:r>
      <w:r>
        <w:rPr>
          <w:spacing w:val="-11"/>
        </w:rPr>
        <w:t> </w:t>
      </w:r>
      <w:r>
        <w:rPr/>
        <w:t>pitch</w:t>
      </w:r>
      <w:r>
        <w:rPr>
          <w:spacing w:val="-11"/>
        </w:rPr>
        <w:t> </w:t>
      </w:r>
      <w:r>
        <w:rPr/>
        <w:t>as</w:t>
      </w:r>
      <w:r>
        <w:rPr>
          <w:spacing w:val="-11"/>
        </w:rPr>
        <w:t> </w:t>
      </w:r>
      <w:r>
        <w:rPr/>
        <w:t>a</w:t>
      </w:r>
      <w:r>
        <w:rPr>
          <w:spacing w:val="-11"/>
        </w:rPr>
        <w:t> </w:t>
      </w:r>
      <w:r>
        <w:rPr/>
        <w:t>prob- ability density function to evaluate the spatial trends of player or team performances.</w:t>
      </w:r>
    </w:p>
    <w:p>
      <w:pPr>
        <w:pStyle w:val="BodyText"/>
        <w:spacing w:line="312" w:lineRule="auto" w:before="198"/>
        <w:ind w:left="610" w:right="389"/>
      </w:pPr>
      <w:bookmarkStart w:name="_bookmark18" w:id="41"/>
      <w:bookmarkEnd w:id="41"/>
      <w:r>
        <w:rPr/>
      </w:r>
      <w:r>
        <w:rPr>
          <w:b/>
        </w:rPr>
        <w:t>Definition</w:t>
      </w:r>
      <w:r>
        <w:rPr>
          <w:b/>
          <w:spacing w:val="-5"/>
        </w:rPr>
        <w:t> </w:t>
      </w:r>
      <w:r>
        <w:rPr>
          <w:b/>
        </w:rPr>
        <w:t>2.2.1.</w:t>
      </w:r>
      <w:r>
        <w:rPr>
          <w:b/>
          <w:spacing w:val="31"/>
        </w:rPr>
        <w:t> </w:t>
      </w:r>
      <w:r>
        <w:rPr/>
        <w:t>Spatial</w:t>
      </w:r>
      <w:r>
        <w:rPr>
          <w:spacing w:val="-5"/>
        </w:rPr>
        <w:t> </w:t>
      </w:r>
      <w:r>
        <w:rPr/>
        <w:t>trends</w:t>
      </w:r>
      <w:r>
        <w:rPr>
          <w:spacing w:val="-5"/>
        </w:rPr>
        <w:t> </w:t>
      </w:r>
      <w:r>
        <w:rPr/>
        <w:t>analyses</w:t>
      </w:r>
      <w:r>
        <w:rPr>
          <w:spacing w:val="-5"/>
        </w:rPr>
        <w:t> </w:t>
      </w:r>
      <w:r>
        <w:rPr/>
        <w:t>estimate</w:t>
      </w:r>
      <w:r>
        <w:rPr>
          <w:spacing w:val="-5"/>
        </w:rPr>
        <w:t> </w:t>
      </w:r>
      <w:r>
        <w:rPr/>
        <w:t>the</w:t>
      </w:r>
      <w:r>
        <w:rPr>
          <w:spacing w:val="-5"/>
        </w:rPr>
        <w:t> </w:t>
      </w:r>
      <w:r>
        <w:rPr/>
        <w:t>probability</w:t>
      </w:r>
      <w:r>
        <w:rPr>
          <w:spacing w:val="-5"/>
        </w:rPr>
        <w:t> </w:t>
      </w:r>
      <w:r>
        <w:rPr/>
        <w:t>that</w:t>
      </w:r>
      <w:r>
        <w:rPr>
          <w:spacing w:val="-5"/>
        </w:rPr>
        <w:t> </w:t>
      </w:r>
      <w:r>
        <w:rPr/>
        <w:t>a</w:t>
      </w:r>
      <w:r>
        <w:rPr>
          <w:spacing w:val="-5"/>
        </w:rPr>
        <w:t> </w:t>
      </w:r>
      <w:r>
        <w:rPr/>
        <w:t>team</w:t>
      </w:r>
      <w:r>
        <w:rPr>
          <w:spacing w:val="-5"/>
        </w:rPr>
        <w:t> </w:t>
      </w:r>
      <w:r>
        <w:rPr/>
        <w:t>will</w:t>
      </w:r>
      <w:r>
        <w:rPr>
          <w:spacing w:val="-5"/>
        </w:rPr>
        <w:t> </w:t>
      </w:r>
      <w:r>
        <w:rPr/>
        <w:t>control the ball in a given location or where a player or team is likely to pass the ball.</w:t>
      </w:r>
    </w:p>
    <w:p>
      <w:pPr>
        <w:pStyle w:val="BodyText"/>
        <w:spacing w:line="312" w:lineRule="auto" w:before="199"/>
        <w:ind w:left="610" w:right="389" w:firstLine="351"/>
      </w:pPr>
      <w:hyperlink w:history="true" w:anchor="_bookmark298">
        <w:r>
          <w:rPr>
            <w:color w:val="FF0000"/>
          </w:rPr>
          <w:t>Spearman et al.</w:t>
        </w:r>
      </w:hyperlink>
      <w:r>
        <w:rPr/>
        <w:t>(</w:t>
      </w:r>
      <w:hyperlink w:history="true" w:anchor="_bookmark298">
        <w:r>
          <w:rPr>
            <w:color w:val="FF0000"/>
          </w:rPr>
          <w:t>2017</w:t>
        </w:r>
        <w:r>
          <w:rPr/>
          <w:t>)</w:t>
        </w:r>
      </w:hyperlink>
      <w:r>
        <w:rPr/>
        <w:t> adopted a physics-based approach to evaluating pitch control using match events and player tracking data from 38 matches played by a single club </w:t>
      </w:r>
      <w:r>
        <w:rPr/>
        <w:t>in the Premier League in the 2015/16 season.</w:t>
      </w:r>
      <w:r>
        <w:rPr>
          <w:spacing w:val="39"/>
        </w:rPr>
        <w:t> </w:t>
      </w:r>
      <w:r>
        <w:rPr/>
        <w:t>During preprocessing, the authors identified 10,875</w:t>
      </w:r>
      <w:r>
        <w:rPr>
          <w:spacing w:val="-7"/>
        </w:rPr>
        <w:t> </w:t>
      </w:r>
      <w:r>
        <w:rPr/>
        <w:t>passes</w:t>
      </w:r>
      <w:r>
        <w:rPr>
          <w:spacing w:val="-8"/>
        </w:rPr>
        <w:t> </w:t>
      </w:r>
      <w:r>
        <w:rPr/>
        <w:t>to</w:t>
      </w:r>
      <w:r>
        <w:rPr>
          <w:spacing w:val="-7"/>
        </w:rPr>
        <w:t> </w:t>
      </w:r>
      <w:r>
        <w:rPr/>
        <w:t>be</w:t>
      </w:r>
      <w:r>
        <w:rPr>
          <w:spacing w:val="-7"/>
        </w:rPr>
        <w:t> </w:t>
      </w:r>
      <w:r>
        <w:rPr/>
        <w:t>used</w:t>
      </w:r>
      <w:r>
        <w:rPr>
          <w:spacing w:val="-7"/>
        </w:rPr>
        <w:t> </w:t>
      </w:r>
      <w:r>
        <w:rPr/>
        <w:t>within</w:t>
      </w:r>
      <w:r>
        <w:rPr>
          <w:spacing w:val="-7"/>
        </w:rPr>
        <w:t> </w:t>
      </w:r>
      <w:r>
        <w:rPr/>
        <w:t>the</w:t>
      </w:r>
      <w:r>
        <w:rPr>
          <w:spacing w:val="-8"/>
        </w:rPr>
        <w:t> </w:t>
      </w:r>
      <w:r>
        <w:rPr/>
        <w:t>training</w:t>
      </w:r>
      <w:r>
        <w:rPr>
          <w:spacing w:val="-7"/>
        </w:rPr>
        <w:t> </w:t>
      </w:r>
      <w:r>
        <w:rPr/>
        <w:t>and</w:t>
      </w:r>
      <w:r>
        <w:rPr>
          <w:spacing w:val="-7"/>
        </w:rPr>
        <w:t> </w:t>
      </w:r>
      <w:r>
        <w:rPr/>
        <w:t>testing</w:t>
      </w:r>
      <w:r>
        <w:rPr>
          <w:spacing w:val="-7"/>
        </w:rPr>
        <w:t> </w:t>
      </w:r>
      <w:r>
        <w:rPr/>
        <w:t>of</w:t>
      </w:r>
      <w:r>
        <w:rPr>
          <w:spacing w:val="-8"/>
        </w:rPr>
        <w:t> </w:t>
      </w:r>
      <w:r>
        <w:rPr/>
        <w:t>their</w:t>
      </w:r>
      <w:r>
        <w:rPr>
          <w:spacing w:val="-7"/>
        </w:rPr>
        <w:t> </w:t>
      </w:r>
      <w:r>
        <w:rPr/>
        <w:t>model. For</w:t>
      </w:r>
      <w:r>
        <w:rPr>
          <w:spacing w:val="-7"/>
        </w:rPr>
        <w:t> </w:t>
      </w:r>
      <w:r>
        <w:rPr/>
        <w:t>each</w:t>
      </w:r>
      <w:r>
        <w:rPr>
          <w:spacing w:val="-7"/>
        </w:rPr>
        <w:t> </w:t>
      </w:r>
      <w:r>
        <w:rPr/>
        <w:t>pass,</w:t>
      </w:r>
      <w:r>
        <w:rPr>
          <w:spacing w:val="-7"/>
        </w:rPr>
        <w:t> </w:t>
      </w:r>
      <w:r>
        <w:rPr/>
        <w:t>the authors compute the ball’s trajectory (i.e where the ball travelled), the time-to-intercept for each player for every location on the pitch (i.e.</w:t>
      </w:r>
      <w:r>
        <w:rPr>
          <w:spacing w:val="40"/>
        </w:rPr>
        <w:t> </w:t>
      </w:r>
      <w:r>
        <w:rPr/>
        <w:t>how long it would take a player to</w:t>
      </w:r>
      <w:r>
        <w:rPr>
          <w:spacing w:val="80"/>
        </w:rPr>
        <w:t> </w:t>
      </w:r>
      <w:r>
        <w:rPr/>
        <w:t>reach that location) and the time-to-control (i.e.</w:t>
      </w:r>
      <w:r>
        <w:rPr>
          <w:spacing w:val="31"/>
        </w:rPr>
        <w:t> </w:t>
      </w:r>
      <w:r>
        <w:rPr/>
        <w:t>the probability that a player can control the</w:t>
      </w:r>
      <w:r>
        <w:rPr>
          <w:spacing w:val="-10"/>
        </w:rPr>
        <w:t> </w:t>
      </w:r>
      <w:r>
        <w:rPr/>
        <w:t>ball</w:t>
      </w:r>
      <w:r>
        <w:rPr>
          <w:spacing w:val="-10"/>
        </w:rPr>
        <w:t> </w:t>
      </w:r>
      <w:r>
        <w:rPr/>
        <w:t>given</w:t>
      </w:r>
      <w:r>
        <w:rPr>
          <w:spacing w:val="-10"/>
        </w:rPr>
        <w:t> </w:t>
      </w:r>
      <w:r>
        <w:rPr/>
        <w:t>how</w:t>
      </w:r>
      <w:r>
        <w:rPr>
          <w:spacing w:val="-10"/>
        </w:rPr>
        <w:t> </w:t>
      </w:r>
      <w:r>
        <w:rPr/>
        <w:t>long</w:t>
      </w:r>
      <w:r>
        <w:rPr>
          <w:spacing w:val="-10"/>
        </w:rPr>
        <w:t> </w:t>
      </w:r>
      <w:r>
        <w:rPr/>
        <w:t>he</w:t>
      </w:r>
      <w:r>
        <w:rPr>
          <w:spacing w:val="-10"/>
        </w:rPr>
        <w:t> </w:t>
      </w:r>
      <w:r>
        <w:rPr/>
        <w:t>will</w:t>
      </w:r>
      <w:r>
        <w:rPr>
          <w:spacing w:val="-10"/>
        </w:rPr>
        <w:t> </w:t>
      </w:r>
      <w:r>
        <w:rPr/>
        <w:t>be</w:t>
      </w:r>
      <w:r>
        <w:rPr>
          <w:spacing w:val="-10"/>
        </w:rPr>
        <w:t> </w:t>
      </w:r>
      <w:r>
        <w:rPr/>
        <w:t>in</w:t>
      </w:r>
      <w:r>
        <w:rPr>
          <w:spacing w:val="-10"/>
        </w:rPr>
        <w:t> </w:t>
      </w:r>
      <w:r>
        <w:rPr/>
        <w:t>its</w:t>
      </w:r>
      <w:r>
        <w:rPr>
          <w:spacing w:val="-10"/>
        </w:rPr>
        <w:t> </w:t>
      </w:r>
      <w:r>
        <w:rPr/>
        <w:t>vicinity). A</w:t>
      </w:r>
      <w:r>
        <w:rPr>
          <w:spacing w:val="-10"/>
        </w:rPr>
        <w:t> </w:t>
      </w:r>
      <w:r>
        <w:rPr/>
        <w:t>Bayesian</w:t>
      </w:r>
      <w:r>
        <w:rPr>
          <w:spacing w:val="-10"/>
        </w:rPr>
        <w:t> </w:t>
      </w:r>
      <w:r>
        <w:rPr/>
        <w:t>model</w:t>
      </w:r>
      <w:r>
        <w:rPr>
          <w:spacing w:val="-10"/>
        </w:rPr>
        <w:t> </w:t>
      </w:r>
      <w:r>
        <w:rPr/>
        <w:t>was</w:t>
      </w:r>
      <w:r>
        <w:rPr>
          <w:spacing w:val="-10"/>
        </w:rPr>
        <w:t> </w:t>
      </w:r>
      <w:r>
        <w:rPr/>
        <w:t>used</w:t>
      </w:r>
      <w:r>
        <w:rPr>
          <w:spacing w:val="-10"/>
        </w:rPr>
        <w:t> </w:t>
      </w:r>
      <w:r>
        <w:rPr/>
        <w:t>to</w:t>
      </w:r>
      <w:r>
        <w:rPr>
          <w:spacing w:val="-10"/>
        </w:rPr>
        <w:t> </w:t>
      </w:r>
      <w:r>
        <w:rPr/>
        <w:t>estimate the</w:t>
      </w:r>
      <w:r>
        <w:rPr>
          <w:spacing w:val="24"/>
        </w:rPr>
        <w:t> </w:t>
      </w:r>
      <w:r>
        <w:rPr/>
        <w:t>probability</w:t>
      </w:r>
      <w:r>
        <w:rPr>
          <w:spacing w:val="24"/>
        </w:rPr>
        <w:t> </w:t>
      </w:r>
      <w:r>
        <w:rPr/>
        <w:t>of</w:t>
      </w:r>
      <w:r>
        <w:rPr>
          <w:spacing w:val="24"/>
        </w:rPr>
        <w:t> </w:t>
      </w:r>
      <w:r>
        <w:rPr/>
        <w:t>a</w:t>
      </w:r>
      <w:r>
        <w:rPr>
          <w:spacing w:val="24"/>
        </w:rPr>
        <w:t> </w:t>
      </w:r>
      <w:r>
        <w:rPr/>
        <w:t>pass</w:t>
      </w:r>
      <w:r>
        <w:rPr>
          <w:spacing w:val="24"/>
        </w:rPr>
        <w:t> </w:t>
      </w:r>
      <w:r>
        <w:rPr/>
        <w:t>being</w:t>
      </w:r>
      <w:r>
        <w:rPr>
          <w:spacing w:val="24"/>
        </w:rPr>
        <w:t> </w:t>
      </w:r>
      <w:r>
        <w:rPr/>
        <w:t>successful</w:t>
      </w:r>
      <w:r>
        <w:rPr>
          <w:spacing w:val="24"/>
        </w:rPr>
        <w:t> </w:t>
      </w:r>
      <w:r>
        <w:rPr/>
        <w:t>for</w:t>
      </w:r>
      <w:r>
        <w:rPr>
          <w:spacing w:val="24"/>
        </w:rPr>
        <w:t> </w:t>
      </w:r>
      <w:r>
        <w:rPr/>
        <w:t>every</w:t>
      </w:r>
      <w:r>
        <w:rPr>
          <w:spacing w:val="24"/>
        </w:rPr>
        <w:t> </w:t>
      </w:r>
      <w:r>
        <w:rPr/>
        <w:t>location</w:t>
      </w:r>
      <w:r>
        <w:rPr>
          <w:spacing w:val="24"/>
        </w:rPr>
        <w:t> </w:t>
      </w:r>
      <w:r>
        <w:rPr/>
        <w:t>on</w:t>
      </w:r>
      <w:r>
        <w:rPr>
          <w:spacing w:val="24"/>
        </w:rPr>
        <w:t> </w:t>
      </w:r>
      <w:r>
        <w:rPr/>
        <w:t>the</w:t>
      </w:r>
      <w:r>
        <w:rPr>
          <w:spacing w:val="24"/>
        </w:rPr>
        <w:t> </w:t>
      </w:r>
      <w:r>
        <w:rPr/>
        <w:t>pitch.</w:t>
      </w:r>
      <w:r>
        <w:rPr>
          <w:spacing w:val="80"/>
        </w:rPr>
        <w:t> </w:t>
      </w:r>
      <w:r>
        <w:rPr/>
        <w:t>The</w:t>
      </w:r>
      <w:r>
        <w:rPr>
          <w:spacing w:val="24"/>
        </w:rPr>
        <w:t> </w:t>
      </w:r>
      <w:r>
        <w:rPr/>
        <w:t>model had</w:t>
      </w:r>
      <w:r>
        <w:rPr>
          <w:spacing w:val="28"/>
        </w:rPr>
        <w:t> </w:t>
      </w:r>
      <w:r>
        <w:rPr/>
        <w:t>an</w:t>
      </w:r>
      <w:r>
        <w:rPr>
          <w:spacing w:val="28"/>
        </w:rPr>
        <w:t> </w:t>
      </w:r>
      <w:r>
        <w:rPr/>
        <w:t>overall</w:t>
      </w:r>
      <w:r>
        <w:rPr>
          <w:spacing w:val="28"/>
        </w:rPr>
        <w:t> </w:t>
      </w:r>
      <w:r>
        <w:rPr/>
        <w:t>accuracy</w:t>
      </w:r>
      <w:r>
        <w:rPr>
          <w:spacing w:val="28"/>
        </w:rPr>
        <w:t> </w:t>
      </w:r>
      <w:r>
        <w:rPr/>
        <w:t>of</w:t>
      </w:r>
      <w:r>
        <w:rPr>
          <w:spacing w:val="28"/>
        </w:rPr>
        <w:t> </w:t>
      </w:r>
      <w:r>
        <w:rPr/>
        <w:t>80.5</w:t>
      </w:r>
      <w:r>
        <w:rPr>
          <w:rFonts w:ascii="Garamond" w:hAnsi="Garamond"/>
        </w:rPr>
        <w:t>%</w:t>
      </w:r>
      <w:r>
        <w:rPr>
          <w:rFonts w:ascii="Garamond" w:hAnsi="Garamond"/>
          <w:spacing w:val="28"/>
        </w:rPr>
        <w:t> </w:t>
      </w:r>
      <w:r>
        <w:rPr/>
        <w:t>when</w:t>
      </w:r>
      <w:r>
        <w:rPr>
          <w:spacing w:val="28"/>
        </w:rPr>
        <w:t> </w:t>
      </w:r>
      <w:r>
        <w:rPr/>
        <w:t>predicting</w:t>
      </w:r>
      <w:r>
        <w:rPr>
          <w:spacing w:val="28"/>
        </w:rPr>
        <w:t> </w:t>
      </w:r>
      <w:r>
        <w:rPr/>
        <w:t>pass</w:t>
      </w:r>
      <w:r>
        <w:rPr>
          <w:spacing w:val="28"/>
        </w:rPr>
        <w:t> </w:t>
      </w:r>
      <w:r>
        <w:rPr/>
        <w:t>success</w:t>
      </w:r>
      <w:r>
        <w:rPr>
          <w:spacing w:val="28"/>
        </w:rPr>
        <w:t> </w:t>
      </w:r>
      <w:r>
        <w:rPr/>
        <w:t>or</w:t>
      </w:r>
      <w:r>
        <w:rPr>
          <w:spacing w:val="28"/>
        </w:rPr>
        <w:t> </w:t>
      </w:r>
      <w:r>
        <w:rPr/>
        <w:t>failure</w:t>
      </w:r>
      <w:r>
        <w:rPr>
          <w:spacing w:val="28"/>
        </w:rPr>
        <w:t> </w:t>
      </w:r>
      <w:r>
        <w:rPr/>
        <w:t>and</w:t>
      </w:r>
      <w:r>
        <w:rPr>
          <w:spacing w:val="28"/>
        </w:rPr>
        <w:t> </w:t>
      </w:r>
      <w:r>
        <w:rPr/>
        <w:t>67.9</w:t>
      </w:r>
      <w:r>
        <w:rPr>
          <w:rFonts w:ascii="Garamond" w:hAnsi="Garamond"/>
        </w:rPr>
        <w:t>% </w:t>
      </w:r>
      <w:r>
        <w:rPr/>
        <w:t>when predicting the specific receiving player.</w:t>
      </w:r>
      <w:r>
        <w:rPr>
          <w:spacing w:val="40"/>
        </w:rPr>
        <w:t> </w:t>
      </w:r>
      <w:r>
        <w:rPr/>
        <w:t>A pitch control plot from</w:t>
      </w:r>
      <w:hyperlink w:history="true" w:anchor="_bookmark298">
        <w:r>
          <w:rPr>
            <w:color w:val="FF0000"/>
          </w:rPr>
          <w:t>Spearman et al.</w:t>
        </w:r>
      </w:hyperlink>
      <w:r>
        <w:rPr>
          <w:color w:val="FF0000"/>
        </w:rPr>
        <w:t> </w:t>
      </w:r>
      <w:r>
        <w:rPr/>
        <w:t>(</w:t>
      </w:r>
      <w:hyperlink w:history="true" w:anchor="_bookmark298">
        <w:r>
          <w:rPr>
            <w:color w:val="FF0000"/>
          </w:rPr>
          <w:t>2017</w:t>
        </w:r>
      </w:hyperlink>
      <w:r>
        <w:rPr/>
        <w:t>) is shown in Figure</w:t>
      </w:r>
      <w:hyperlink w:history="true" w:anchor="_bookmark19">
        <w:r>
          <w:rPr>
            <w:color w:val="0000FF"/>
          </w:rPr>
          <w:t>2.3</w:t>
        </w:r>
        <w:r>
          <w:rPr/>
          <w:t>.</w:t>
        </w:r>
      </w:hyperlink>
      <w:r>
        <w:rPr>
          <w:spacing w:val="28"/>
        </w:rPr>
        <w:t> </w:t>
      </w:r>
      <w:r>
        <w:rPr/>
        <w:t>The plot shows areas of control for each team on the left, identifying where the player in control of the ball may have wished to pass the ball.</w:t>
      </w:r>
      <w:r>
        <w:rPr>
          <w:spacing w:val="35"/>
        </w:rPr>
        <w:t> </w:t>
      </w:r>
      <w:r>
        <w:rPr/>
        <w:t>On the right, it shows the area of pitch control for a single player (blue number 7) as a dark shaded area.</w:t>
      </w:r>
    </w:p>
    <w:p>
      <w:pPr>
        <w:pStyle w:val="BodyText"/>
        <w:spacing w:line="312" w:lineRule="auto"/>
        <w:ind w:left="610" w:right="389" w:firstLine="351"/>
      </w:pPr>
      <w:hyperlink w:history="true" w:anchor="_bookmark241">
        <w:r>
          <w:rPr>
            <w:color w:val="FF0000"/>
            <w:spacing w:val="8"/>
          </w:rPr>
          <w:t>Fer</w:t>
        </w:r>
        <w:r>
          <w:rPr>
            <w:color w:val="FF0000"/>
            <w:spacing w:val="7"/>
          </w:rPr>
          <w:t>n</w:t>
        </w:r>
        <w:r>
          <w:rPr>
            <w:color w:val="FF0000"/>
            <w:spacing w:val="-85"/>
          </w:rPr>
          <w:t>a</w:t>
        </w:r>
        <w:r>
          <w:rPr>
            <w:color w:val="FF0000"/>
            <w:spacing w:val="21"/>
          </w:rPr>
          <w:t>´</w:t>
        </w:r>
        <w:r>
          <w:rPr>
            <w:color w:val="FF0000"/>
            <w:spacing w:val="8"/>
          </w:rPr>
          <w:t>ndez</w:t>
        </w:r>
        <w:r>
          <w:rPr>
            <w:color w:val="FF0000"/>
            <w:spacing w:val="-1"/>
          </w:rPr>
          <w:t> </w:t>
        </w:r>
        <w:r>
          <w:rPr>
            <w:color w:val="FF0000"/>
          </w:rPr>
          <w:t>and Bornn</w:t>
        </w:r>
      </w:hyperlink>
      <w:r>
        <w:rPr/>
        <w:t>(</w:t>
      </w:r>
      <w:hyperlink w:history="true" w:anchor="_bookmark241">
        <w:r>
          <w:rPr>
            <w:color w:val="FF0000"/>
          </w:rPr>
          <w:t>2018</w:t>
        </w:r>
        <w:r>
          <w:rPr/>
          <w:t>)</w:t>
        </w:r>
      </w:hyperlink>
      <w:r>
        <w:rPr/>
        <w:t> evaluated pitch control using only player tracking data in</w:t>
      </w:r>
      <w:r>
        <w:rPr>
          <w:spacing w:val="-2"/>
        </w:rPr>
        <w:t> </w:t>
      </w:r>
      <w:r>
        <w:rPr/>
        <w:t>football. Their</w:t>
      </w:r>
      <w:r>
        <w:rPr>
          <w:spacing w:val="-2"/>
        </w:rPr>
        <w:t> </w:t>
      </w:r>
      <w:r>
        <w:rPr/>
        <w:t>approach</w:t>
      </w:r>
      <w:r>
        <w:rPr>
          <w:spacing w:val="-2"/>
        </w:rPr>
        <w:t> </w:t>
      </w:r>
      <w:r>
        <w:rPr/>
        <w:t>used</w:t>
      </w:r>
      <w:r>
        <w:rPr>
          <w:spacing w:val="-2"/>
        </w:rPr>
        <w:t> </w:t>
      </w:r>
      <w:r>
        <w:rPr/>
        <w:t>2.4</w:t>
      </w:r>
      <w:r>
        <w:rPr>
          <w:spacing w:val="-2"/>
        </w:rPr>
        <w:t> </w:t>
      </w:r>
      <w:r>
        <w:rPr/>
        <w:t>million</w:t>
      </w:r>
      <w:r>
        <w:rPr>
          <w:spacing w:val="-2"/>
        </w:rPr>
        <w:t> </w:t>
      </w:r>
      <w:r>
        <w:rPr/>
        <w:t>examples</w:t>
      </w:r>
      <w:r>
        <w:rPr>
          <w:spacing w:val="-2"/>
        </w:rPr>
        <w:t> </w:t>
      </w:r>
      <w:r>
        <w:rPr/>
        <w:t>from</w:t>
      </w:r>
      <w:r>
        <w:rPr>
          <w:spacing w:val="-2"/>
        </w:rPr>
        <w:t> </w:t>
      </w:r>
      <w:r>
        <w:rPr/>
        <w:t>20</w:t>
      </w:r>
      <w:r>
        <w:rPr>
          <w:spacing w:val="-2"/>
        </w:rPr>
        <w:t> </w:t>
      </w:r>
      <w:r>
        <w:rPr/>
        <w:t>Spanish</w:t>
      </w:r>
      <w:r>
        <w:rPr>
          <w:spacing w:val="-2"/>
        </w:rPr>
        <w:t> </w:t>
      </w:r>
      <w:r>
        <w:rPr/>
        <w:t>First</w:t>
      </w:r>
      <w:r>
        <w:rPr>
          <w:spacing w:val="-2"/>
        </w:rPr>
        <w:t> </w:t>
      </w:r>
      <w:r>
        <w:rPr/>
        <w:t>and</w:t>
      </w:r>
      <w:r>
        <w:rPr>
          <w:spacing w:val="-2"/>
        </w:rPr>
        <w:t> </w:t>
      </w:r>
      <w:r>
        <w:rPr/>
        <w:t>Second Division matches.</w:t>
      </w:r>
      <w:r>
        <w:rPr>
          <w:spacing w:val="40"/>
        </w:rPr>
        <w:t> </w:t>
      </w:r>
      <w:r>
        <w:rPr/>
        <w:t>During preprocessing, they extracted the </w:t>
      </w:r>
      <w:r>
        <w:rPr>
          <w:rFonts w:ascii="Cambria" w:hAnsi="Cambria"/>
        </w:rPr>
        <w:t>x,</w:t>
      </w:r>
      <w:r>
        <w:rPr>
          <w:rFonts w:ascii="Cambria" w:hAnsi="Cambria"/>
          <w:spacing w:val="-14"/>
        </w:rPr>
        <w:t> </w:t>
      </w:r>
      <w:r>
        <w:rPr>
          <w:rFonts w:ascii="Cambria" w:hAnsi="Cambria"/>
        </w:rPr>
        <w:t>y</w:t>
      </w:r>
      <w:r>
        <w:rPr>
          <w:rFonts w:ascii="Cambria" w:hAnsi="Cambria"/>
          <w:spacing w:val="25"/>
        </w:rPr>
        <w:t> </w:t>
      </w:r>
      <w:r>
        <w:rPr/>
        <w:t>player location coordi- nates,</w:t>
      </w:r>
      <w:r>
        <w:rPr>
          <w:spacing w:val="-4"/>
        </w:rPr>
        <w:t> </w:t>
      </w:r>
      <w:r>
        <w:rPr/>
        <w:t>speed</w:t>
      </w:r>
      <w:r>
        <w:rPr>
          <w:spacing w:val="-4"/>
        </w:rPr>
        <w:t> </w:t>
      </w:r>
      <w:r>
        <w:rPr/>
        <w:t>and</w:t>
      </w:r>
      <w:r>
        <w:rPr>
          <w:spacing w:val="-4"/>
        </w:rPr>
        <w:t> </w:t>
      </w:r>
      <w:r>
        <w:rPr/>
        <w:t>direction</w:t>
      </w:r>
      <w:r>
        <w:rPr>
          <w:spacing w:val="-4"/>
        </w:rPr>
        <w:t> </w:t>
      </w:r>
      <w:r>
        <w:rPr/>
        <w:t>of</w:t>
      </w:r>
      <w:r>
        <w:rPr>
          <w:spacing w:val="-4"/>
        </w:rPr>
        <w:t> </w:t>
      </w:r>
      <w:r>
        <w:rPr/>
        <w:t>movement,</w:t>
      </w:r>
      <w:r>
        <w:rPr>
          <w:spacing w:val="-4"/>
        </w:rPr>
        <w:t> </w:t>
      </w:r>
      <w:r>
        <w:rPr/>
        <w:t>as</w:t>
      </w:r>
      <w:r>
        <w:rPr>
          <w:spacing w:val="-4"/>
        </w:rPr>
        <w:t> </w:t>
      </w:r>
      <w:r>
        <w:rPr/>
        <w:t>well</w:t>
      </w:r>
      <w:r>
        <w:rPr>
          <w:spacing w:val="-4"/>
        </w:rPr>
        <w:t> </w:t>
      </w:r>
      <w:r>
        <w:rPr/>
        <w:t>as</w:t>
      </w:r>
      <w:r>
        <w:rPr>
          <w:spacing w:val="-4"/>
        </w:rPr>
        <w:t> </w:t>
      </w:r>
      <w:r>
        <w:rPr/>
        <w:t>their</w:t>
      </w:r>
      <w:r>
        <w:rPr>
          <w:spacing w:val="-4"/>
        </w:rPr>
        <w:t> </w:t>
      </w:r>
      <w:r>
        <w:rPr/>
        <w:t>distance</w:t>
      </w:r>
      <w:r>
        <w:rPr>
          <w:spacing w:val="-4"/>
        </w:rPr>
        <w:t> </w:t>
      </w:r>
      <w:r>
        <w:rPr/>
        <w:t>from</w:t>
      </w:r>
      <w:r>
        <w:rPr>
          <w:spacing w:val="-4"/>
        </w:rPr>
        <w:t> </w:t>
      </w:r>
      <w:r>
        <w:rPr/>
        <w:t>the</w:t>
      </w:r>
      <w:r>
        <w:rPr>
          <w:spacing w:val="-4"/>
        </w:rPr>
        <w:t> </w:t>
      </w:r>
      <w:r>
        <w:rPr/>
        <w:t>ball</w:t>
      </w:r>
      <w:r>
        <w:rPr>
          <w:spacing w:val="-4"/>
        </w:rPr>
        <w:t> </w:t>
      </w:r>
      <w:r>
        <w:rPr/>
        <w:t>at</w:t>
      </w:r>
      <w:r>
        <w:rPr>
          <w:spacing w:val="-4"/>
        </w:rPr>
        <w:t> </w:t>
      </w:r>
      <w:r>
        <w:rPr/>
        <w:t>a</w:t>
      </w:r>
      <w:r>
        <w:rPr>
          <w:spacing w:val="-4"/>
        </w:rPr>
        <w:t> </w:t>
      </w:r>
      <w:r>
        <w:rPr/>
        <w:t>frame by</w:t>
      </w:r>
      <w:r>
        <w:rPr>
          <w:spacing w:val="-8"/>
        </w:rPr>
        <w:t> </w:t>
      </w:r>
      <w:r>
        <w:rPr/>
        <w:t>frame</w:t>
      </w:r>
      <w:r>
        <w:rPr>
          <w:spacing w:val="-8"/>
        </w:rPr>
        <w:t> </w:t>
      </w:r>
      <w:r>
        <w:rPr/>
        <w:t>level. Player</w:t>
      </w:r>
      <w:r>
        <w:rPr>
          <w:spacing w:val="-8"/>
        </w:rPr>
        <w:t> </w:t>
      </w:r>
      <w:r>
        <w:rPr/>
        <w:t>influence</w:t>
      </w:r>
      <w:r>
        <w:rPr>
          <w:spacing w:val="-8"/>
        </w:rPr>
        <w:t> </w:t>
      </w:r>
      <w:r>
        <w:rPr/>
        <w:t>areas</w:t>
      </w:r>
      <w:r>
        <w:rPr>
          <w:spacing w:val="-8"/>
        </w:rPr>
        <w:t> </w:t>
      </w:r>
      <w:r>
        <w:rPr/>
        <w:t>were</w:t>
      </w:r>
      <w:r>
        <w:rPr>
          <w:spacing w:val="-8"/>
        </w:rPr>
        <w:t> </w:t>
      </w:r>
      <w:r>
        <w:rPr/>
        <w:t>defined</w:t>
      </w:r>
      <w:r>
        <w:rPr>
          <w:spacing w:val="-8"/>
        </w:rPr>
        <w:t> </w:t>
      </w:r>
      <w:r>
        <w:rPr/>
        <w:t>using</w:t>
      </w:r>
      <w:r>
        <w:rPr>
          <w:spacing w:val="-8"/>
        </w:rPr>
        <w:t> </w:t>
      </w:r>
      <w:r>
        <w:rPr/>
        <w:t>a</w:t>
      </w:r>
      <w:r>
        <w:rPr>
          <w:spacing w:val="-8"/>
        </w:rPr>
        <w:t> </w:t>
      </w:r>
      <w:r>
        <w:rPr/>
        <w:t>bivariate</w:t>
      </w:r>
      <w:r>
        <w:rPr>
          <w:spacing w:val="-8"/>
        </w:rPr>
        <w:t> </w:t>
      </w:r>
      <w:r>
        <w:rPr/>
        <w:t>normal</w:t>
      </w:r>
      <w:r>
        <w:rPr>
          <w:spacing w:val="-8"/>
        </w:rPr>
        <w:t> </w:t>
      </w:r>
      <w:r>
        <w:rPr/>
        <w:t>distribution, which accounted for the speed and direction of movement of the player.</w:t>
      </w:r>
      <w:r>
        <w:rPr>
          <w:spacing w:val="40"/>
        </w:rPr>
        <w:t> </w:t>
      </w:r>
      <w:r>
        <w:rPr/>
        <w:t>The influence area</w:t>
      </w:r>
      <w:r>
        <w:rPr>
          <w:spacing w:val="-4"/>
        </w:rPr>
        <w:t> </w:t>
      </w:r>
      <w:r>
        <w:rPr/>
        <w:t>was</w:t>
      </w:r>
      <w:r>
        <w:rPr>
          <w:spacing w:val="-4"/>
        </w:rPr>
        <w:t> </w:t>
      </w:r>
      <w:r>
        <w:rPr/>
        <w:t>scaled</w:t>
      </w:r>
      <w:r>
        <w:rPr>
          <w:spacing w:val="-4"/>
        </w:rPr>
        <w:t> </w:t>
      </w:r>
      <w:r>
        <w:rPr/>
        <w:t>by</w:t>
      </w:r>
      <w:r>
        <w:rPr>
          <w:spacing w:val="-4"/>
        </w:rPr>
        <w:t> </w:t>
      </w:r>
      <w:r>
        <w:rPr/>
        <w:t>the</w:t>
      </w:r>
      <w:r>
        <w:rPr>
          <w:spacing w:val="-4"/>
        </w:rPr>
        <w:t> </w:t>
      </w:r>
      <w:r>
        <w:rPr/>
        <w:t>distance</w:t>
      </w:r>
      <w:r>
        <w:rPr>
          <w:spacing w:val="-4"/>
        </w:rPr>
        <w:t> </w:t>
      </w:r>
      <w:r>
        <w:rPr/>
        <w:t>of</w:t>
      </w:r>
      <w:r>
        <w:rPr>
          <w:spacing w:val="-4"/>
        </w:rPr>
        <w:t> </w:t>
      </w:r>
      <w:r>
        <w:rPr/>
        <w:t>the</w:t>
      </w:r>
      <w:r>
        <w:rPr>
          <w:spacing w:val="-4"/>
        </w:rPr>
        <w:t> </w:t>
      </w:r>
      <w:r>
        <w:rPr/>
        <w:t>player</w:t>
      </w:r>
      <w:r>
        <w:rPr>
          <w:spacing w:val="-4"/>
        </w:rPr>
        <w:t> </w:t>
      </w:r>
      <w:r>
        <w:rPr/>
        <w:t>to</w:t>
      </w:r>
      <w:r>
        <w:rPr>
          <w:spacing w:val="-4"/>
        </w:rPr>
        <w:t> </w:t>
      </w:r>
      <w:r>
        <w:rPr/>
        <w:t>the</w:t>
      </w:r>
      <w:r>
        <w:rPr>
          <w:spacing w:val="-4"/>
        </w:rPr>
        <w:t> </w:t>
      </w:r>
      <w:r>
        <w:rPr/>
        <w:t>ball</w:t>
      </w:r>
      <w:r>
        <w:rPr>
          <w:spacing w:val="-4"/>
        </w:rPr>
        <w:t> </w:t>
      </w:r>
      <w:r>
        <w:rPr/>
        <w:t>so</w:t>
      </w:r>
      <w:r>
        <w:rPr>
          <w:spacing w:val="-4"/>
        </w:rPr>
        <w:t> </w:t>
      </w:r>
      <w:r>
        <w:rPr/>
        <w:t>that</w:t>
      </w:r>
      <w:r>
        <w:rPr>
          <w:spacing w:val="-4"/>
        </w:rPr>
        <w:t> </w:t>
      </w:r>
      <w:r>
        <w:rPr/>
        <w:t>players</w:t>
      </w:r>
      <w:r>
        <w:rPr>
          <w:spacing w:val="-4"/>
        </w:rPr>
        <w:t> </w:t>
      </w:r>
      <w:r>
        <w:rPr/>
        <w:t>further</w:t>
      </w:r>
      <w:r>
        <w:rPr>
          <w:spacing w:val="-4"/>
        </w:rPr>
        <w:t> </w:t>
      </w:r>
      <w:r>
        <w:rPr/>
        <w:t>away</w:t>
      </w:r>
      <w:r>
        <w:rPr>
          <w:spacing w:val="-4"/>
        </w:rPr>
        <w:t> </w:t>
      </w:r>
      <w:r>
        <w:rPr/>
        <w:t>from the</w:t>
      </w:r>
      <w:r>
        <w:rPr>
          <w:spacing w:val="25"/>
        </w:rPr>
        <w:t> </w:t>
      </w:r>
      <w:r>
        <w:rPr/>
        <w:t>ball</w:t>
      </w:r>
      <w:r>
        <w:rPr>
          <w:spacing w:val="25"/>
        </w:rPr>
        <w:t> </w:t>
      </w:r>
      <w:r>
        <w:rPr/>
        <w:t>had</w:t>
      </w:r>
      <w:r>
        <w:rPr>
          <w:spacing w:val="25"/>
        </w:rPr>
        <w:t> </w:t>
      </w:r>
      <w:r>
        <w:rPr/>
        <w:t>less</w:t>
      </w:r>
      <w:r>
        <w:rPr>
          <w:spacing w:val="25"/>
        </w:rPr>
        <w:t> </w:t>
      </w:r>
      <w:r>
        <w:rPr/>
        <w:t>influence</w:t>
      </w:r>
      <w:r>
        <w:rPr>
          <w:spacing w:val="25"/>
        </w:rPr>
        <w:t> </w:t>
      </w:r>
      <w:r>
        <w:rPr/>
        <w:t>than</w:t>
      </w:r>
      <w:r>
        <w:rPr>
          <w:spacing w:val="25"/>
        </w:rPr>
        <w:t> </w:t>
      </w:r>
      <w:r>
        <w:rPr/>
        <w:t>those</w:t>
      </w:r>
      <w:r>
        <w:rPr>
          <w:spacing w:val="25"/>
        </w:rPr>
        <w:t> </w:t>
      </w:r>
      <w:r>
        <w:rPr/>
        <w:t>close</w:t>
      </w:r>
      <w:r>
        <w:rPr>
          <w:spacing w:val="25"/>
        </w:rPr>
        <w:t> </w:t>
      </w:r>
      <w:r>
        <w:rPr/>
        <w:t>to</w:t>
      </w:r>
      <w:r>
        <w:rPr>
          <w:spacing w:val="25"/>
        </w:rPr>
        <w:t> </w:t>
      </w:r>
      <w:r>
        <w:rPr/>
        <w:t>it.</w:t>
      </w:r>
      <w:r>
        <w:rPr>
          <w:spacing w:val="80"/>
        </w:rPr>
        <w:t> </w:t>
      </w:r>
      <w:r>
        <w:rPr/>
        <w:t>These</w:t>
      </w:r>
      <w:r>
        <w:rPr>
          <w:spacing w:val="25"/>
        </w:rPr>
        <w:t> </w:t>
      </w:r>
      <w:r>
        <w:rPr/>
        <w:t>areas</w:t>
      </w:r>
      <w:r>
        <w:rPr>
          <w:spacing w:val="25"/>
        </w:rPr>
        <w:t> </w:t>
      </w:r>
      <w:r>
        <w:rPr/>
        <w:t>were</w:t>
      </w:r>
      <w:r>
        <w:rPr>
          <w:spacing w:val="25"/>
        </w:rPr>
        <w:t> </w:t>
      </w:r>
      <w:r>
        <w:rPr/>
        <w:t>summed</w:t>
      </w:r>
      <w:r>
        <w:rPr>
          <w:spacing w:val="25"/>
        </w:rPr>
        <w:t> </w:t>
      </w:r>
      <w:r>
        <w:rPr/>
        <w:t>for</w:t>
      </w:r>
      <w:r>
        <w:rPr>
          <w:spacing w:val="25"/>
        </w:rPr>
        <w:t> </w:t>
      </w:r>
      <w:r>
        <w:rPr/>
        <w:t>each location at a team level to identify the overall team pitch control for the possession or</w:t>
      </w:r>
      <w:r>
        <w:rPr>
          <w:spacing w:val="80"/>
        </w:rPr>
        <w:t> </w:t>
      </w:r>
      <w:r>
        <w:rPr/>
        <w:t>opposition</w:t>
      </w:r>
      <w:r>
        <w:rPr>
          <w:spacing w:val="-10"/>
        </w:rPr>
        <w:t> </w:t>
      </w:r>
      <w:r>
        <w:rPr/>
        <w:t>team.</w:t>
      </w:r>
      <w:r>
        <w:rPr>
          <w:spacing w:val="5"/>
        </w:rPr>
        <w:t> </w:t>
      </w:r>
      <w:r>
        <w:rPr/>
        <w:t>As</w:t>
      </w:r>
      <w:r>
        <w:rPr>
          <w:spacing w:val="-9"/>
        </w:rPr>
        <w:t> </w:t>
      </w:r>
      <w:r>
        <w:rPr/>
        <w:t>only</w:t>
      </w:r>
      <w:r>
        <w:rPr>
          <w:spacing w:val="-9"/>
        </w:rPr>
        <w:t> </w:t>
      </w:r>
      <w:r>
        <w:rPr/>
        <w:t>tracking</w:t>
      </w:r>
      <w:r>
        <w:rPr>
          <w:spacing w:val="-10"/>
        </w:rPr>
        <w:t> </w:t>
      </w:r>
      <w:r>
        <w:rPr/>
        <w:t>data</w:t>
      </w:r>
      <w:r>
        <w:rPr>
          <w:spacing w:val="-9"/>
        </w:rPr>
        <w:t> </w:t>
      </w:r>
      <w:r>
        <w:rPr/>
        <w:t>was</w:t>
      </w:r>
      <w:r>
        <w:rPr>
          <w:spacing w:val="-9"/>
        </w:rPr>
        <w:t> </w:t>
      </w:r>
      <w:r>
        <w:rPr/>
        <w:t>used,</w:t>
      </w:r>
      <w:r>
        <w:rPr>
          <w:spacing w:val="-9"/>
        </w:rPr>
        <w:t> </w:t>
      </w:r>
      <w:r>
        <w:rPr/>
        <w:t>no</w:t>
      </w:r>
      <w:r>
        <w:rPr>
          <w:spacing w:val="-9"/>
        </w:rPr>
        <w:t> </w:t>
      </w:r>
      <w:r>
        <w:rPr/>
        <w:t>accuracy</w:t>
      </w:r>
      <w:r>
        <w:rPr>
          <w:spacing w:val="-10"/>
        </w:rPr>
        <w:t> </w:t>
      </w:r>
      <w:r>
        <w:rPr/>
        <w:t>metrics</w:t>
      </w:r>
      <w:r>
        <w:rPr>
          <w:spacing w:val="-9"/>
        </w:rPr>
        <w:t> </w:t>
      </w:r>
      <w:r>
        <w:rPr/>
        <w:t>were</w:t>
      </w:r>
      <w:r>
        <w:rPr>
          <w:spacing w:val="-10"/>
        </w:rPr>
        <w:t> </w:t>
      </w:r>
      <w:r>
        <w:rPr/>
        <w:t>provided,</w:t>
      </w:r>
      <w:r>
        <w:rPr>
          <w:spacing w:val="-8"/>
        </w:rPr>
        <w:t> </w:t>
      </w:r>
      <w:r>
        <w:rPr>
          <w:spacing w:val="-5"/>
        </w:rPr>
        <w:t>but</w:t>
      </w:r>
    </w:p>
    <w:p>
      <w:pPr>
        <w:spacing w:after="0" w:line="312" w:lineRule="auto"/>
        <w:sectPr>
          <w:pgSz w:w="11910" w:h="16840"/>
          <w:pgMar w:header="1961" w:footer="1428" w:top="2260" w:bottom="1620" w:left="1680" w:right="720"/>
        </w:sectPr>
      </w:pPr>
    </w:p>
    <w:p>
      <w:pPr>
        <w:pStyle w:val="BodyText"/>
        <w:rPr>
          <w:sz w:val="20"/>
        </w:rPr>
      </w:pPr>
    </w:p>
    <w:p>
      <w:pPr>
        <w:pStyle w:val="BodyText"/>
        <w:spacing w:before="8"/>
        <w:rPr>
          <w:sz w:val="29"/>
        </w:rPr>
      </w:pPr>
    </w:p>
    <w:p>
      <w:pPr>
        <w:pStyle w:val="BodyText"/>
        <w:ind w:left="610"/>
        <w:rPr>
          <w:sz w:val="20"/>
        </w:rPr>
      </w:pPr>
      <w:r>
        <w:rPr>
          <w:sz w:val="20"/>
        </w:rPr>
        <w:drawing>
          <wp:inline distT="0" distB="0" distL="0" distR="0">
            <wp:extent cx="5368786" cy="1792224"/>
            <wp:effectExtent l="0" t="0" r="0" b="0"/>
            <wp:docPr id="7" name="image4.jpeg"/>
            <wp:cNvGraphicFramePr>
              <a:graphicFrameLocks noChangeAspect="1"/>
            </wp:cNvGraphicFramePr>
            <a:graphic>
              <a:graphicData uri="http://schemas.openxmlformats.org/drawingml/2006/picture">
                <pic:pic>
                  <pic:nvPicPr>
                    <pic:cNvPr id="8" name="image4.jpeg"/>
                    <pic:cNvPicPr/>
                  </pic:nvPicPr>
                  <pic:blipFill>
                    <a:blip r:embed="rId37" cstate="print"/>
                    <a:stretch>
                      <a:fillRect/>
                    </a:stretch>
                  </pic:blipFill>
                  <pic:spPr>
                    <a:xfrm>
                      <a:off x="0" y="0"/>
                      <a:ext cx="5368786" cy="1792224"/>
                    </a:xfrm>
                    <a:prstGeom prst="rect">
                      <a:avLst/>
                    </a:prstGeom>
                  </pic:spPr>
                </pic:pic>
              </a:graphicData>
            </a:graphic>
          </wp:inline>
        </w:drawing>
      </w:r>
      <w:r>
        <w:rPr>
          <w:sz w:val="20"/>
        </w:rPr>
      </w:r>
    </w:p>
    <w:p>
      <w:pPr>
        <w:pStyle w:val="BodyText"/>
        <w:spacing w:before="1"/>
        <w:rPr>
          <w:sz w:val="6"/>
        </w:rPr>
      </w:pPr>
    </w:p>
    <w:p>
      <w:pPr>
        <w:pStyle w:val="BodyText"/>
        <w:spacing w:line="252" w:lineRule="auto" w:before="105"/>
        <w:ind w:left="610" w:right="389"/>
        <w:jc w:val="both"/>
      </w:pPr>
      <w:bookmarkStart w:name="_bookmark19" w:id="42"/>
      <w:bookmarkEnd w:id="42"/>
      <w:r>
        <w:rPr/>
      </w:r>
      <w:r>
        <w:rPr>
          <w:b/>
        </w:rPr>
        <w:t>Figure</w:t>
      </w:r>
      <w:r>
        <w:rPr>
          <w:b/>
          <w:spacing w:val="-12"/>
        </w:rPr>
        <w:t> </w:t>
      </w:r>
      <w:r>
        <w:rPr>
          <w:b/>
        </w:rPr>
        <w:t>2.3: </w:t>
      </w:r>
      <w:hyperlink w:history="true" w:anchor="_bookmark298">
        <w:r>
          <w:rPr>
            <w:color w:val="FF0000"/>
          </w:rPr>
          <w:t>Spearman</w:t>
        </w:r>
        <w:r>
          <w:rPr>
            <w:color w:val="FF0000"/>
            <w:spacing w:val="-12"/>
          </w:rPr>
          <w:t> </w:t>
        </w:r>
        <w:r>
          <w:rPr>
            <w:color w:val="FF0000"/>
          </w:rPr>
          <w:t>et</w:t>
        </w:r>
        <w:r>
          <w:rPr>
            <w:color w:val="FF0000"/>
            <w:spacing w:val="-12"/>
          </w:rPr>
          <w:t> </w:t>
        </w:r>
        <w:r>
          <w:rPr>
            <w:color w:val="FF0000"/>
          </w:rPr>
          <w:t>al.</w:t>
        </w:r>
      </w:hyperlink>
      <w:r>
        <w:rPr/>
        <w:t>(</w:t>
      </w:r>
      <w:hyperlink w:history="true" w:anchor="_bookmark298">
        <w:r>
          <w:rPr>
            <w:color w:val="FF0000"/>
          </w:rPr>
          <w:t>2017</w:t>
        </w:r>
        <w:r>
          <w:rPr/>
          <w:t>)</w:t>
        </w:r>
      </w:hyperlink>
      <w:r>
        <w:rPr>
          <w:spacing w:val="-12"/>
        </w:rPr>
        <w:t> </w:t>
      </w:r>
      <w:r>
        <w:rPr/>
        <w:t>pitch</w:t>
      </w:r>
      <w:r>
        <w:rPr>
          <w:spacing w:val="-12"/>
        </w:rPr>
        <w:t> </w:t>
      </w:r>
      <w:r>
        <w:rPr/>
        <w:t>control</w:t>
      </w:r>
      <w:r>
        <w:rPr>
          <w:spacing w:val="-12"/>
        </w:rPr>
        <w:t> </w:t>
      </w:r>
      <w:r>
        <w:rPr/>
        <w:t>probability</w:t>
      </w:r>
      <w:r>
        <w:rPr>
          <w:spacing w:val="-12"/>
        </w:rPr>
        <w:t> </w:t>
      </w:r>
      <w:r>
        <w:rPr/>
        <w:t>plot.</w:t>
      </w:r>
      <w:r>
        <w:rPr>
          <w:spacing w:val="10"/>
        </w:rPr>
        <w:t> </w:t>
      </w:r>
      <w:r>
        <w:rPr/>
        <w:t>On</w:t>
      </w:r>
      <w:r>
        <w:rPr>
          <w:spacing w:val="-12"/>
        </w:rPr>
        <w:t> </w:t>
      </w:r>
      <w:r>
        <w:rPr/>
        <w:t>the</w:t>
      </w:r>
      <w:r>
        <w:rPr>
          <w:spacing w:val="-12"/>
        </w:rPr>
        <w:t> </w:t>
      </w:r>
      <w:r>
        <w:rPr/>
        <w:t>left,</w:t>
      </w:r>
      <w:r>
        <w:rPr>
          <w:spacing w:val="-10"/>
        </w:rPr>
        <w:t> </w:t>
      </w:r>
      <w:r>
        <w:rPr/>
        <w:t>blue</w:t>
      </w:r>
      <w:r>
        <w:rPr>
          <w:spacing w:val="-12"/>
        </w:rPr>
        <w:t> </w:t>
      </w:r>
      <w:r>
        <w:rPr/>
        <w:t>regions are those controlled by the team in possession of the ball, red regions are controlled </w:t>
      </w:r>
      <w:r>
        <w:rPr/>
        <w:t>by the opposition team.</w:t>
      </w:r>
      <w:r>
        <w:rPr>
          <w:spacing w:val="40"/>
        </w:rPr>
        <w:t> </w:t>
      </w:r>
      <w:r>
        <w:rPr/>
        <w:t>White areas are contested (i.e.</w:t>
      </w:r>
      <w:r>
        <w:rPr>
          <w:spacing w:val="40"/>
        </w:rPr>
        <w:t> </w:t>
      </w:r>
      <w:r>
        <w:rPr/>
        <w:t>not controlled by either team).</w:t>
      </w:r>
      <w:r>
        <w:rPr>
          <w:spacing w:val="40"/>
        </w:rPr>
        <w:t> </w:t>
      </w:r>
      <w:r>
        <w:rPr/>
        <w:t>On the right, the shaded region represents the area of the pitch controlled by blue number 7. The trail behind every player, the ball represents their position over the past 3 seconds.</w:t>
      </w:r>
    </w:p>
    <w:p>
      <w:pPr>
        <w:pStyle w:val="BodyText"/>
        <w:rPr>
          <w:sz w:val="28"/>
        </w:rPr>
      </w:pPr>
    </w:p>
    <w:p>
      <w:pPr>
        <w:pStyle w:val="BodyText"/>
        <w:rPr>
          <w:sz w:val="32"/>
        </w:rPr>
      </w:pPr>
    </w:p>
    <w:p>
      <w:pPr>
        <w:pStyle w:val="BodyText"/>
        <w:spacing w:line="312" w:lineRule="auto" w:before="1"/>
        <w:ind w:left="610" w:right="389"/>
      </w:pPr>
      <w:r>
        <w:rPr/>
        <w:t>the authors did show how the model could be used to evaluate the space gained or </w:t>
      </w:r>
      <w:r>
        <w:rPr/>
        <w:t>lost through player movements. Figure</w:t>
      </w:r>
      <w:hyperlink w:history="true" w:anchor="_bookmark20">
        <w:r>
          <w:rPr>
            <w:color w:val="0000FF"/>
          </w:rPr>
          <w:t>2.4</w:t>
        </w:r>
      </w:hyperlink>
      <w:r>
        <w:rPr/>
        <w:t>provides a plot showing this usage.</w:t>
      </w:r>
    </w:p>
    <w:p>
      <w:pPr>
        <w:pStyle w:val="BodyText"/>
        <w:spacing w:line="312" w:lineRule="auto"/>
        <w:ind w:left="610" w:right="389" w:firstLine="351"/>
      </w:pPr>
      <w:r>
        <w:rPr/>
        <w:t>Both studies considering pitch control </w:t>
      </w:r>
      <w:r>
        <w:rPr>
          <w:spacing w:val="7"/>
        </w:rPr>
        <w:t>(</w:t>
      </w:r>
      <w:hyperlink w:history="true" w:anchor="_bookmark241">
        <w:r>
          <w:rPr>
            <w:color w:val="FF0000"/>
            <w:spacing w:val="7"/>
          </w:rPr>
          <w:t>Fern</w:t>
        </w:r>
        <w:r>
          <w:rPr>
            <w:color w:val="FF0000"/>
            <w:spacing w:val="-86"/>
          </w:rPr>
          <w:t>a</w:t>
        </w:r>
        <w:r>
          <w:rPr>
            <w:color w:val="FF0000"/>
            <w:spacing w:val="20"/>
          </w:rPr>
          <w:t>´</w:t>
        </w:r>
        <w:r>
          <w:rPr>
            <w:color w:val="FF0000"/>
            <w:spacing w:val="7"/>
          </w:rPr>
          <w:t>ndez</w:t>
        </w:r>
        <w:r>
          <w:rPr>
            <w:color w:val="FF0000"/>
            <w:spacing w:val="-1"/>
          </w:rPr>
          <w:t> </w:t>
        </w:r>
        <w:r>
          <w:rPr>
            <w:color w:val="FF0000"/>
          </w:rPr>
          <w:t>and Bornn</w:t>
        </w:r>
      </w:hyperlink>
      <w:r>
        <w:rPr/>
        <w:t>,</w:t>
      </w:r>
      <w:hyperlink w:history="true" w:anchor="_bookmark241">
        <w:r>
          <w:rPr>
            <w:color w:val="FF0000"/>
          </w:rPr>
          <w:t>2018</w:t>
        </w:r>
        <w:r>
          <w:rPr/>
          <w:t>;</w:t>
        </w:r>
      </w:hyperlink>
      <w:hyperlink w:history="true" w:anchor="_bookmark298">
        <w:r>
          <w:rPr>
            <w:color w:val="FF0000"/>
          </w:rPr>
          <w:t>Spearman et al.</w:t>
        </w:r>
        <w:r>
          <w:rPr/>
          <w:t>,</w:t>
        </w:r>
      </w:hyperlink>
      <w:r>
        <w:rPr/>
        <w:t> </w:t>
      </w:r>
      <w:hyperlink w:history="true" w:anchor="_bookmark298">
        <w:r>
          <w:rPr>
            <w:color w:val="FF0000"/>
          </w:rPr>
          <w:t>2017</w:t>
        </w:r>
      </w:hyperlink>
      <w:r>
        <w:rPr/>
        <w:t>)</w:t>
      </w:r>
      <w:r>
        <w:rPr>
          <w:spacing w:val="-11"/>
        </w:rPr>
        <w:t> </w:t>
      </w:r>
      <w:r>
        <w:rPr/>
        <w:t>provide</w:t>
      </w:r>
      <w:r>
        <w:rPr>
          <w:spacing w:val="-11"/>
        </w:rPr>
        <w:t> </w:t>
      </w:r>
      <w:r>
        <w:rPr/>
        <w:t>extremely</w:t>
      </w:r>
      <w:r>
        <w:rPr>
          <w:spacing w:val="-11"/>
        </w:rPr>
        <w:t> </w:t>
      </w:r>
      <w:r>
        <w:rPr/>
        <w:t>valuable</w:t>
      </w:r>
      <w:r>
        <w:rPr>
          <w:spacing w:val="-11"/>
        </w:rPr>
        <w:t> </w:t>
      </w:r>
      <w:r>
        <w:rPr/>
        <w:t>insights</w:t>
      </w:r>
      <w:r>
        <w:rPr>
          <w:spacing w:val="-11"/>
        </w:rPr>
        <w:t> </w:t>
      </w:r>
      <w:r>
        <w:rPr/>
        <w:t>into</w:t>
      </w:r>
      <w:r>
        <w:rPr>
          <w:spacing w:val="-11"/>
        </w:rPr>
        <w:t> </w:t>
      </w:r>
      <w:r>
        <w:rPr/>
        <w:t>the</w:t>
      </w:r>
      <w:r>
        <w:rPr>
          <w:spacing w:val="-11"/>
        </w:rPr>
        <w:t> </w:t>
      </w:r>
      <w:r>
        <w:rPr/>
        <w:t>concept</w:t>
      </w:r>
      <w:r>
        <w:rPr>
          <w:spacing w:val="-11"/>
        </w:rPr>
        <w:t> </w:t>
      </w:r>
      <w:r>
        <w:rPr/>
        <w:t>of</w:t>
      </w:r>
      <w:r>
        <w:rPr>
          <w:spacing w:val="-11"/>
        </w:rPr>
        <w:t> </w:t>
      </w:r>
      <w:r>
        <w:rPr/>
        <w:t>space</w:t>
      </w:r>
      <w:r>
        <w:rPr>
          <w:spacing w:val="-11"/>
        </w:rPr>
        <w:t> </w:t>
      </w:r>
      <w:r>
        <w:rPr/>
        <w:t>occupation</w:t>
      </w:r>
      <w:r>
        <w:rPr>
          <w:spacing w:val="-11"/>
        </w:rPr>
        <w:t> </w:t>
      </w:r>
      <w:r>
        <w:rPr/>
        <w:t>on</w:t>
      </w:r>
      <w:r>
        <w:rPr>
          <w:spacing w:val="-11"/>
        </w:rPr>
        <w:t> </w:t>
      </w:r>
      <w:r>
        <w:rPr/>
        <w:t>a</w:t>
      </w:r>
      <w:r>
        <w:rPr>
          <w:spacing w:val="-11"/>
        </w:rPr>
        <w:t> </w:t>
      </w:r>
      <w:r>
        <w:rPr/>
        <w:t>foot- ball</w:t>
      </w:r>
      <w:r>
        <w:rPr>
          <w:spacing w:val="21"/>
        </w:rPr>
        <w:t> </w:t>
      </w:r>
      <w:r>
        <w:rPr/>
        <w:t>pitch.</w:t>
      </w:r>
      <w:r>
        <w:rPr>
          <w:spacing w:val="80"/>
        </w:rPr>
        <w:t> </w:t>
      </w:r>
      <w:r>
        <w:rPr/>
        <w:t>They</w:t>
      </w:r>
      <w:r>
        <w:rPr>
          <w:spacing w:val="21"/>
        </w:rPr>
        <w:t> </w:t>
      </w:r>
      <w:r>
        <w:rPr/>
        <w:t>provide</w:t>
      </w:r>
      <w:r>
        <w:rPr>
          <w:spacing w:val="21"/>
        </w:rPr>
        <w:t> </w:t>
      </w:r>
      <w:r>
        <w:rPr/>
        <w:t>methods</w:t>
      </w:r>
      <w:r>
        <w:rPr>
          <w:spacing w:val="21"/>
        </w:rPr>
        <w:t> </w:t>
      </w:r>
      <w:r>
        <w:rPr/>
        <w:t>through</w:t>
      </w:r>
      <w:r>
        <w:rPr>
          <w:spacing w:val="21"/>
        </w:rPr>
        <w:t> </w:t>
      </w:r>
      <w:r>
        <w:rPr/>
        <w:t>which</w:t>
      </w:r>
      <w:r>
        <w:rPr>
          <w:spacing w:val="21"/>
        </w:rPr>
        <w:t> </w:t>
      </w:r>
      <w:r>
        <w:rPr/>
        <w:t>each</w:t>
      </w:r>
      <w:r>
        <w:rPr>
          <w:spacing w:val="21"/>
        </w:rPr>
        <w:t> </w:t>
      </w:r>
      <w:r>
        <w:rPr/>
        <w:t>pass</w:t>
      </w:r>
      <w:r>
        <w:rPr>
          <w:spacing w:val="21"/>
        </w:rPr>
        <w:t> </w:t>
      </w:r>
      <w:r>
        <w:rPr/>
        <w:t>or</w:t>
      </w:r>
      <w:r>
        <w:rPr>
          <w:spacing w:val="21"/>
        </w:rPr>
        <w:t> </w:t>
      </w:r>
      <w:r>
        <w:rPr/>
        <w:t>run</w:t>
      </w:r>
      <w:r>
        <w:rPr>
          <w:spacing w:val="21"/>
        </w:rPr>
        <w:t> </w:t>
      </w:r>
      <w:r>
        <w:rPr/>
        <w:t>can</w:t>
      </w:r>
      <w:r>
        <w:rPr>
          <w:spacing w:val="21"/>
        </w:rPr>
        <w:t> </w:t>
      </w:r>
      <w:r>
        <w:rPr/>
        <w:t>be</w:t>
      </w:r>
      <w:r>
        <w:rPr>
          <w:spacing w:val="21"/>
        </w:rPr>
        <w:t> </w:t>
      </w:r>
      <w:r>
        <w:rPr/>
        <w:t>valued</w:t>
      </w:r>
      <w:r>
        <w:rPr>
          <w:spacing w:val="21"/>
        </w:rPr>
        <w:t> </w:t>
      </w:r>
      <w:r>
        <w:rPr/>
        <w:t>with respect</w:t>
      </w:r>
      <w:r>
        <w:rPr>
          <w:spacing w:val="-8"/>
        </w:rPr>
        <w:t> </w:t>
      </w:r>
      <w:r>
        <w:rPr/>
        <w:t>to</w:t>
      </w:r>
      <w:r>
        <w:rPr>
          <w:spacing w:val="-8"/>
        </w:rPr>
        <w:t> </w:t>
      </w:r>
      <w:r>
        <w:rPr/>
        <w:t>its</w:t>
      </w:r>
      <w:r>
        <w:rPr>
          <w:spacing w:val="-8"/>
        </w:rPr>
        <w:t> </w:t>
      </w:r>
      <w:r>
        <w:rPr/>
        <w:t>ability</w:t>
      </w:r>
      <w:r>
        <w:rPr>
          <w:spacing w:val="-8"/>
        </w:rPr>
        <w:t> </w:t>
      </w:r>
      <w:r>
        <w:rPr/>
        <w:t>to</w:t>
      </w:r>
      <w:r>
        <w:rPr>
          <w:spacing w:val="-8"/>
        </w:rPr>
        <w:t> </w:t>
      </w:r>
      <w:r>
        <w:rPr/>
        <w:t>generate</w:t>
      </w:r>
      <w:r>
        <w:rPr>
          <w:spacing w:val="-8"/>
        </w:rPr>
        <w:t> </w:t>
      </w:r>
      <w:r>
        <w:rPr/>
        <w:t>space</w:t>
      </w:r>
      <w:r>
        <w:rPr>
          <w:spacing w:val="-8"/>
        </w:rPr>
        <w:t> </w:t>
      </w:r>
      <w:r>
        <w:rPr/>
        <w:t>and</w:t>
      </w:r>
      <w:r>
        <w:rPr>
          <w:spacing w:val="-8"/>
        </w:rPr>
        <w:t> </w:t>
      </w:r>
      <w:r>
        <w:rPr/>
        <w:t>compared</w:t>
      </w:r>
      <w:r>
        <w:rPr>
          <w:spacing w:val="-8"/>
        </w:rPr>
        <w:t> </w:t>
      </w:r>
      <w:r>
        <w:rPr/>
        <w:t>to</w:t>
      </w:r>
      <w:r>
        <w:rPr>
          <w:spacing w:val="-8"/>
        </w:rPr>
        <w:t> </w:t>
      </w:r>
      <w:r>
        <w:rPr/>
        <w:t>other</w:t>
      </w:r>
      <w:r>
        <w:rPr>
          <w:spacing w:val="-8"/>
        </w:rPr>
        <w:t> </w:t>
      </w:r>
      <w:r>
        <w:rPr/>
        <w:t>options</w:t>
      </w:r>
      <w:r>
        <w:rPr>
          <w:spacing w:val="-8"/>
        </w:rPr>
        <w:t> </w:t>
      </w:r>
      <w:r>
        <w:rPr/>
        <w:t>the</w:t>
      </w:r>
      <w:r>
        <w:rPr>
          <w:spacing w:val="-8"/>
        </w:rPr>
        <w:t> </w:t>
      </w:r>
      <w:r>
        <w:rPr/>
        <w:t>player</w:t>
      </w:r>
      <w:r>
        <w:rPr>
          <w:spacing w:val="-8"/>
        </w:rPr>
        <w:t> </w:t>
      </w:r>
      <w:r>
        <w:rPr/>
        <w:t>may</w:t>
      </w:r>
      <w:r>
        <w:rPr>
          <w:spacing w:val="-8"/>
        </w:rPr>
        <w:t> </w:t>
      </w:r>
      <w:r>
        <w:rPr/>
        <w:t>have had.</w:t>
      </w:r>
      <w:r>
        <w:rPr>
          <w:spacing w:val="3"/>
        </w:rPr>
        <w:t> </w:t>
      </w:r>
      <w:r>
        <w:rPr/>
        <w:t>They</w:t>
      </w:r>
      <w:r>
        <w:rPr>
          <w:spacing w:val="-15"/>
        </w:rPr>
        <w:t> </w:t>
      </w:r>
      <w:r>
        <w:rPr/>
        <w:t>also</w:t>
      </w:r>
      <w:r>
        <w:rPr>
          <w:spacing w:val="-15"/>
        </w:rPr>
        <w:t> </w:t>
      </w:r>
      <w:r>
        <w:rPr/>
        <w:t>allow</w:t>
      </w:r>
      <w:r>
        <w:rPr>
          <w:spacing w:val="-15"/>
        </w:rPr>
        <w:t> </w:t>
      </w:r>
      <w:r>
        <w:rPr/>
        <w:t>for</w:t>
      </w:r>
      <w:r>
        <w:rPr>
          <w:spacing w:val="-15"/>
        </w:rPr>
        <w:t> </w:t>
      </w:r>
      <w:r>
        <w:rPr/>
        <w:t>the</w:t>
      </w:r>
      <w:r>
        <w:rPr>
          <w:spacing w:val="-15"/>
        </w:rPr>
        <w:t> </w:t>
      </w:r>
      <w:r>
        <w:rPr/>
        <w:t>possibility</w:t>
      </w:r>
      <w:r>
        <w:rPr>
          <w:spacing w:val="-15"/>
        </w:rPr>
        <w:t> </w:t>
      </w:r>
      <w:r>
        <w:rPr/>
        <w:t>that</w:t>
      </w:r>
      <w:r>
        <w:rPr>
          <w:spacing w:val="-15"/>
        </w:rPr>
        <w:t> </w:t>
      </w:r>
      <w:r>
        <w:rPr/>
        <w:t>player</w:t>
      </w:r>
      <w:r>
        <w:rPr>
          <w:spacing w:val="-15"/>
        </w:rPr>
        <w:t> </w:t>
      </w:r>
      <w:r>
        <w:rPr/>
        <w:t>profiles</w:t>
      </w:r>
      <w:r>
        <w:rPr>
          <w:spacing w:val="-15"/>
        </w:rPr>
        <w:t> </w:t>
      </w:r>
      <w:r>
        <w:rPr/>
        <w:t>can</w:t>
      </w:r>
      <w:r>
        <w:rPr>
          <w:spacing w:val="-15"/>
        </w:rPr>
        <w:t> </w:t>
      </w:r>
      <w:r>
        <w:rPr/>
        <w:t>be</w:t>
      </w:r>
      <w:r>
        <w:rPr>
          <w:spacing w:val="-15"/>
        </w:rPr>
        <w:t> </w:t>
      </w:r>
      <w:r>
        <w:rPr/>
        <w:t>generated</w:t>
      </w:r>
      <w:r>
        <w:rPr>
          <w:spacing w:val="-15"/>
        </w:rPr>
        <w:t> </w:t>
      </w:r>
      <w:r>
        <w:rPr/>
        <w:t>based</w:t>
      </w:r>
      <w:r>
        <w:rPr>
          <w:spacing w:val="-15"/>
        </w:rPr>
        <w:t> </w:t>
      </w:r>
      <w:r>
        <w:rPr/>
        <w:t>on</w:t>
      </w:r>
      <w:r>
        <w:rPr>
          <w:spacing w:val="-15"/>
        </w:rPr>
        <w:t> </w:t>
      </w:r>
      <w:r>
        <w:rPr/>
        <w:t>how risky the passes they make are.</w:t>
      </w:r>
      <w:r>
        <w:rPr>
          <w:spacing w:val="40"/>
        </w:rPr>
        <w:t> </w:t>
      </w:r>
      <w:r>
        <w:rPr/>
        <w:t>However, the ability to implement the models in rugby league</w:t>
      </w:r>
      <w:r>
        <w:rPr>
          <w:spacing w:val="-1"/>
        </w:rPr>
        <w:t> </w:t>
      </w:r>
      <w:r>
        <w:rPr/>
        <w:t>is</w:t>
      </w:r>
      <w:r>
        <w:rPr>
          <w:spacing w:val="-1"/>
        </w:rPr>
        <w:t> </w:t>
      </w:r>
      <w:r>
        <w:rPr/>
        <w:t>limited</w:t>
      </w:r>
      <w:r>
        <w:rPr>
          <w:spacing w:val="-1"/>
        </w:rPr>
        <w:t> </w:t>
      </w:r>
      <w:r>
        <w:rPr/>
        <w:t>for</w:t>
      </w:r>
      <w:r>
        <w:rPr>
          <w:spacing w:val="-1"/>
        </w:rPr>
        <w:t> </w:t>
      </w:r>
      <w:r>
        <w:rPr/>
        <w:t>two</w:t>
      </w:r>
      <w:r>
        <w:rPr>
          <w:spacing w:val="-1"/>
        </w:rPr>
        <w:t> </w:t>
      </w:r>
      <w:r>
        <w:rPr/>
        <w:t>reasons.</w:t>
      </w:r>
      <w:r>
        <w:rPr>
          <w:spacing w:val="21"/>
        </w:rPr>
        <w:t> </w:t>
      </w:r>
      <w:r>
        <w:rPr/>
        <w:t>First, data</w:t>
      </w:r>
      <w:r>
        <w:rPr>
          <w:spacing w:val="-1"/>
        </w:rPr>
        <w:t> </w:t>
      </w:r>
      <w:r>
        <w:rPr/>
        <w:t>availability</w:t>
      </w:r>
      <w:r>
        <w:rPr>
          <w:spacing w:val="-1"/>
        </w:rPr>
        <w:t> </w:t>
      </w:r>
      <w:r>
        <w:rPr/>
        <w:t>-</w:t>
      </w:r>
      <w:r>
        <w:rPr>
          <w:spacing w:val="-1"/>
        </w:rPr>
        <w:t> </w:t>
      </w:r>
      <w:r>
        <w:rPr/>
        <w:t>there</w:t>
      </w:r>
      <w:r>
        <w:rPr>
          <w:spacing w:val="-1"/>
        </w:rPr>
        <w:t> </w:t>
      </w:r>
      <w:r>
        <w:rPr/>
        <w:t>is</w:t>
      </w:r>
      <w:r>
        <w:rPr>
          <w:spacing w:val="-1"/>
        </w:rPr>
        <w:t> </w:t>
      </w:r>
      <w:r>
        <w:rPr/>
        <w:t>no</w:t>
      </w:r>
      <w:r>
        <w:rPr>
          <w:spacing w:val="-1"/>
        </w:rPr>
        <w:t> </w:t>
      </w:r>
      <w:r>
        <w:rPr/>
        <w:t>tracking</w:t>
      </w:r>
      <w:r>
        <w:rPr>
          <w:spacing w:val="-1"/>
        </w:rPr>
        <w:t> </w:t>
      </w:r>
      <w:r>
        <w:rPr/>
        <w:t>data</w:t>
      </w:r>
      <w:r>
        <w:rPr>
          <w:spacing w:val="-1"/>
        </w:rPr>
        <w:t> </w:t>
      </w:r>
      <w:r>
        <w:rPr/>
        <w:t>avail- able in rugby league.</w:t>
      </w:r>
      <w:r>
        <w:rPr>
          <w:spacing w:val="40"/>
        </w:rPr>
        <w:t> </w:t>
      </w:r>
      <w:r>
        <w:rPr/>
        <w:t>Second, and perhaps more importantly, the rules of rugby league limit the usefulness of this method.</w:t>
      </w:r>
      <w:r>
        <w:rPr>
          <w:spacing w:val="74"/>
        </w:rPr>
        <w:t> </w:t>
      </w:r>
      <w:r>
        <w:rPr/>
        <w:t>In rugby league,</w:t>
      </w:r>
      <w:r>
        <w:rPr>
          <w:spacing w:val="23"/>
        </w:rPr>
        <w:t> </w:t>
      </w:r>
      <w:r>
        <w:rPr/>
        <w:t>the ball can only move forwards</w:t>
      </w:r>
      <w:r>
        <w:rPr>
          <w:spacing w:val="40"/>
        </w:rPr>
        <w:t> </w:t>
      </w:r>
      <w:r>
        <w:rPr/>
        <w:t>through either a run or a kick.</w:t>
      </w:r>
      <w:r>
        <w:rPr>
          <w:spacing w:val="33"/>
        </w:rPr>
        <w:t> </w:t>
      </w:r>
      <w:r>
        <w:rPr/>
        <w:t>If the ball is thrown (the most common passing method), it must move backwards.</w:t>
      </w:r>
      <w:r>
        <w:rPr>
          <w:spacing w:val="40"/>
        </w:rPr>
        <w:t> </w:t>
      </w:r>
      <w:r>
        <w:rPr/>
        <w:t>Furthermore, defending players are almost always in front of attacking</w:t>
      </w:r>
      <w:r>
        <w:rPr>
          <w:spacing w:val="-8"/>
        </w:rPr>
        <w:t> </w:t>
      </w:r>
      <w:r>
        <w:rPr/>
        <w:t>players,</w:t>
      </w:r>
      <w:r>
        <w:rPr>
          <w:spacing w:val="-8"/>
        </w:rPr>
        <w:t> </w:t>
      </w:r>
      <w:r>
        <w:rPr/>
        <w:t>so</w:t>
      </w:r>
      <w:r>
        <w:rPr>
          <w:spacing w:val="-9"/>
        </w:rPr>
        <w:t> </w:t>
      </w:r>
      <w:r>
        <w:rPr/>
        <w:t>when</w:t>
      </w:r>
      <w:r>
        <w:rPr>
          <w:spacing w:val="-8"/>
        </w:rPr>
        <w:t> </w:t>
      </w:r>
      <w:r>
        <w:rPr/>
        <w:t>an</w:t>
      </w:r>
      <w:r>
        <w:rPr>
          <w:spacing w:val="-8"/>
        </w:rPr>
        <w:t> </w:t>
      </w:r>
      <w:r>
        <w:rPr/>
        <w:t>attacking</w:t>
      </w:r>
      <w:r>
        <w:rPr>
          <w:spacing w:val="-8"/>
        </w:rPr>
        <w:t> </w:t>
      </w:r>
      <w:r>
        <w:rPr/>
        <w:t>player</w:t>
      </w:r>
      <w:r>
        <w:rPr>
          <w:spacing w:val="-9"/>
        </w:rPr>
        <w:t> </w:t>
      </w:r>
      <w:r>
        <w:rPr/>
        <w:t>throws</w:t>
      </w:r>
      <w:r>
        <w:rPr>
          <w:spacing w:val="-8"/>
        </w:rPr>
        <w:t> </w:t>
      </w:r>
      <w:r>
        <w:rPr/>
        <w:t>the</w:t>
      </w:r>
      <w:r>
        <w:rPr>
          <w:spacing w:val="-8"/>
        </w:rPr>
        <w:t> </w:t>
      </w:r>
      <w:r>
        <w:rPr/>
        <w:t>ball</w:t>
      </w:r>
      <w:r>
        <w:rPr>
          <w:spacing w:val="-9"/>
        </w:rPr>
        <w:t> </w:t>
      </w:r>
      <w:r>
        <w:rPr/>
        <w:t>backwards,</w:t>
      </w:r>
      <w:r>
        <w:rPr>
          <w:spacing w:val="-8"/>
        </w:rPr>
        <w:t> </w:t>
      </w:r>
      <w:r>
        <w:rPr/>
        <w:t>there</w:t>
      </w:r>
      <w:r>
        <w:rPr>
          <w:spacing w:val="-8"/>
        </w:rPr>
        <w:t> </w:t>
      </w:r>
      <w:r>
        <w:rPr/>
        <w:t>is</w:t>
      </w:r>
      <w:r>
        <w:rPr>
          <w:spacing w:val="-8"/>
        </w:rPr>
        <w:t> </w:t>
      </w:r>
      <w:r>
        <w:rPr/>
        <w:t>usually very</w:t>
      </w:r>
      <w:r>
        <w:rPr>
          <w:spacing w:val="-3"/>
        </w:rPr>
        <w:t> </w:t>
      </w:r>
      <w:r>
        <w:rPr/>
        <w:t>little</w:t>
      </w:r>
      <w:r>
        <w:rPr>
          <w:spacing w:val="-3"/>
        </w:rPr>
        <w:t> </w:t>
      </w:r>
      <w:r>
        <w:rPr/>
        <w:t>chance</w:t>
      </w:r>
      <w:r>
        <w:rPr>
          <w:spacing w:val="-3"/>
        </w:rPr>
        <w:t> </w:t>
      </w:r>
      <w:r>
        <w:rPr/>
        <w:t>of</w:t>
      </w:r>
      <w:r>
        <w:rPr>
          <w:spacing w:val="-3"/>
        </w:rPr>
        <w:t> </w:t>
      </w:r>
      <w:r>
        <w:rPr/>
        <w:t>it</w:t>
      </w:r>
      <w:r>
        <w:rPr>
          <w:spacing w:val="-3"/>
        </w:rPr>
        <w:t> </w:t>
      </w:r>
      <w:r>
        <w:rPr/>
        <w:t>being</w:t>
      </w:r>
      <w:r>
        <w:rPr>
          <w:spacing w:val="-3"/>
        </w:rPr>
        <w:t> </w:t>
      </w:r>
      <w:r>
        <w:rPr/>
        <w:t>intercepted</w:t>
      </w:r>
      <w:r>
        <w:rPr>
          <w:spacing w:val="-3"/>
        </w:rPr>
        <w:t> </w:t>
      </w:r>
      <w:r>
        <w:rPr/>
        <w:t>by</w:t>
      </w:r>
      <w:r>
        <w:rPr>
          <w:spacing w:val="-3"/>
        </w:rPr>
        <w:t> </w:t>
      </w:r>
      <w:r>
        <w:rPr/>
        <w:t>the</w:t>
      </w:r>
      <w:r>
        <w:rPr>
          <w:spacing w:val="-3"/>
        </w:rPr>
        <w:t> </w:t>
      </w:r>
      <w:r>
        <w:rPr/>
        <w:t>defending</w:t>
      </w:r>
      <w:r>
        <w:rPr>
          <w:spacing w:val="-3"/>
        </w:rPr>
        <w:t> </w:t>
      </w:r>
      <w:r>
        <w:rPr/>
        <w:t>player. As</w:t>
      </w:r>
      <w:r>
        <w:rPr>
          <w:spacing w:val="-3"/>
        </w:rPr>
        <w:t> </w:t>
      </w:r>
      <w:r>
        <w:rPr/>
        <w:t>such,</w:t>
      </w:r>
      <w:r>
        <w:rPr>
          <w:spacing w:val="-2"/>
        </w:rPr>
        <w:t> </w:t>
      </w:r>
      <w:r>
        <w:rPr/>
        <w:t>the</w:t>
      </w:r>
      <w:r>
        <w:rPr>
          <w:spacing w:val="-3"/>
        </w:rPr>
        <w:t> </w:t>
      </w:r>
      <w:r>
        <w:rPr/>
        <w:t>pitch</w:t>
      </w:r>
      <w:r>
        <w:rPr>
          <w:spacing w:val="-3"/>
        </w:rPr>
        <w:t> </w:t>
      </w:r>
      <w:r>
        <w:rPr/>
        <w:t>con- trol model would mostly only be useful in rugby league when considering kick passes, which occur approximately 20 times less frequently than passes.</w:t>
      </w:r>
    </w:p>
    <w:p>
      <w:pPr>
        <w:pStyle w:val="BodyText"/>
        <w:spacing w:line="273" w:lineRule="exact"/>
        <w:ind w:left="961"/>
      </w:pPr>
      <w:r>
        <w:rPr/>
        <w:t>Away</w:t>
      </w:r>
      <w:r>
        <w:rPr>
          <w:spacing w:val="1"/>
        </w:rPr>
        <w:t> </w:t>
      </w:r>
      <w:r>
        <w:rPr/>
        <w:t>from</w:t>
      </w:r>
      <w:r>
        <w:rPr>
          <w:spacing w:val="1"/>
        </w:rPr>
        <w:t> </w:t>
      </w:r>
      <w:r>
        <w:rPr/>
        <w:t>the</w:t>
      </w:r>
      <w:r>
        <w:rPr>
          <w:spacing w:val="1"/>
        </w:rPr>
        <w:t> </w:t>
      </w:r>
      <w:r>
        <w:rPr/>
        <w:t>concept</w:t>
      </w:r>
      <w:r>
        <w:rPr>
          <w:spacing w:val="1"/>
        </w:rPr>
        <w:t> </w:t>
      </w:r>
      <w:r>
        <w:rPr/>
        <w:t>of</w:t>
      </w:r>
      <w:r>
        <w:rPr>
          <w:spacing w:val="1"/>
        </w:rPr>
        <w:t> </w:t>
      </w:r>
      <w:r>
        <w:rPr/>
        <w:t>pitch</w:t>
      </w:r>
      <w:r>
        <w:rPr>
          <w:spacing w:val="2"/>
        </w:rPr>
        <w:t> </w:t>
      </w:r>
      <w:r>
        <w:rPr/>
        <w:t>control,</w:t>
      </w:r>
      <w:hyperlink w:history="true" w:anchor="_bookmark271">
        <w:r>
          <w:rPr>
            <w:color w:val="FF0000"/>
          </w:rPr>
          <w:t>Mallepalle</w:t>
        </w:r>
        <w:r>
          <w:rPr>
            <w:color w:val="FF0000"/>
            <w:spacing w:val="1"/>
          </w:rPr>
          <w:t> </w:t>
        </w:r>
        <w:r>
          <w:rPr>
            <w:color w:val="FF0000"/>
          </w:rPr>
          <w:t>et</w:t>
        </w:r>
        <w:r>
          <w:rPr>
            <w:color w:val="FF0000"/>
            <w:spacing w:val="1"/>
          </w:rPr>
          <w:t> </w:t>
        </w:r>
        <w:r>
          <w:rPr>
            <w:color w:val="FF0000"/>
          </w:rPr>
          <w:t>al.</w:t>
        </w:r>
        <w:r>
          <w:rPr/>
          <w:t>(</w:t>
        </w:r>
      </w:hyperlink>
      <w:r>
        <w:rPr>
          <w:color w:val="FF0000"/>
        </w:rPr>
        <w:t>2020</w:t>
      </w:r>
      <w:hyperlink w:history="true" w:anchor="_bookmark271">
        <w:r>
          <w:rPr/>
          <w:t>)</w:t>
        </w:r>
      </w:hyperlink>
      <w:r>
        <w:rPr>
          <w:spacing w:val="2"/>
        </w:rPr>
        <w:t> </w:t>
      </w:r>
      <w:r>
        <w:rPr/>
        <w:t>also considered</w:t>
      </w:r>
      <w:r>
        <w:rPr>
          <w:spacing w:val="2"/>
        </w:rPr>
        <w:t> </w:t>
      </w:r>
      <w:r>
        <w:rPr>
          <w:spacing w:val="-5"/>
        </w:rPr>
        <w:t>the</w:t>
      </w:r>
    </w:p>
    <w:p>
      <w:pPr>
        <w:spacing w:after="0" w:line="273" w:lineRule="exact"/>
        <w:sectPr>
          <w:pgSz w:w="11910" w:h="16840"/>
          <w:pgMar w:header="1961" w:footer="1428" w:top="2260" w:bottom="1620" w:left="1680" w:right="720"/>
        </w:sectPr>
      </w:pPr>
    </w:p>
    <w:p>
      <w:pPr>
        <w:pStyle w:val="BodyText"/>
        <w:rPr>
          <w:sz w:val="20"/>
        </w:rPr>
      </w:pPr>
    </w:p>
    <w:p>
      <w:pPr>
        <w:pStyle w:val="BodyText"/>
        <w:rPr>
          <w:sz w:val="20"/>
        </w:rPr>
      </w:pPr>
    </w:p>
    <w:p>
      <w:pPr>
        <w:pStyle w:val="BodyText"/>
        <w:spacing w:before="1" w:after="1"/>
        <w:rPr>
          <w:sz w:val="10"/>
        </w:rPr>
      </w:pPr>
    </w:p>
    <w:p>
      <w:pPr>
        <w:pStyle w:val="BodyText"/>
        <w:ind w:left="610"/>
        <w:rPr>
          <w:sz w:val="20"/>
        </w:rPr>
      </w:pPr>
      <w:r>
        <w:rPr>
          <w:sz w:val="20"/>
        </w:rPr>
        <w:drawing>
          <wp:inline distT="0" distB="0" distL="0" distR="0">
            <wp:extent cx="5368478" cy="2542031"/>
            <wp:effectExtent l="0" t="0" r="0" b="0"/>
            <wp:docPr id="9" name="image5.jpeg"/>
            <wp:cNvGraphicFramePr>
              <a:graphicFrameLocks noChangeAspect="1"/>
            </wp:cNvGraphicFramePr>
            <a:graphic>
              <a:graphicData uri="http://schemas.openxmlformats.org/drawingml/2006/picture">
                <pic:pic>
                  <pic:nvPicPr>
                    <pic:cNvPr id="10" name="image5.jpeg"/>
                    <pic:cNvPicPr/>
                  </pic:nvPicPr>
                  <pic:blipFill>
                    <a:blip r:embed="rId38" cstate="print"/>
                    <a:stretch>
                      <a:fillRect/>
                    </a:stretch>
                  </pic:blipFill>
                  <pic:spPr>
                    <a:xfrm>
                      <a:off x="0" y="0"/>
                      <a:ext cx="5368478" cy="2542031"/>
                    </a:xfrm>
                    <a:prstGeom prst="rect">
                      <a:avLst/>
                    </a:prstGeom>
                  </pic:spPr>
                </pic:pic>
              </a:graphicData>
            </a:graphic>
          </wp:inline>
        </w:drawing>
      </w:r>
      <w:r>
        <w:rPr>
          <w:sz w:val="20"/>
        </w:rPr>
      </w:r>
    </w:p>
    <w:p>
      <w:pPr>
        <w:pStyle w:val="BodyText"/>
        <w:spacing w:line="252" w:lineRule="auto" w:before="175"/>
        <w:ind w:left="610" w:right="389"/>
      </w:pPr>
      <w:bookmarkStart w:name="_bookmark20" w:id="43"/>
      <w:bookmarkEnd w:id="43"/>
      <w:r>
        <w:rPr/>
      </w:r>
      <w:r>
        <w:rPr>
          <w:b/>
        </w:rPr>
        <w:t>Figure 2.4:</w:t>
      </w:r>
      <w:r>
        <w:rPr>
          <w:b/>
          <w:spacing w:val="40"/>
        </w:rPr>
        <w:t> </w:t>
      </w:r>
      <w:hyperlink w:history="true" w:anchor="_bookmark241">
        <w:r>
          <w:rPr>
            <w:color w:val="FF0000"/>
            <w:spacing w:val="8"/>
          </w:rPr>
          <w:t>Fern</w:t>
        </w:r>
        <w:r>
          <w:rPr>
            <w:color w:val="FF0000"/>
            <w:spacing w:val="-85"/>
          </w:rPr>
          <w:t>a</w:t>
        </w:r>
        <w:r>
          <w:rPr>
            <w:color w:val="FF0000"/>
            <w:spacing w:val="21"/>
          </w:rPr>
          <w:t>´</w:t>
        </w:r>
        <w:r>
          <w:rPr>
            <w:color w:val="FF0000"/>
            <w:spacing w:val="8"/>
          </w:rPr>
          <w:t>ndez</w:t>
        </w:r>
        <w:r>
          <w:rPr>
            <w:color w:val="FF0000"/>
          </w:rPr>
          <w:t> and Bornn</w:t>
        </w:r>
      </w:hyperlink>
      <w:r>
        <w:rPr/>
        <w:t>(</w:t>
      </w:r>
      <w:hyperlink w:history="true" w:anchor="_bookmark241">
        <w:r>
          <w:rPr>
            <w:color w:val="FF0000"/>
          </w:rPr>
          <w:t>2018</w:t>
        </w:r>
        <w:r>
          <w:rPr/>
          <w:t>)</w:t>
        </w:r>
      </w:hyperlink>
      <w:r>
        <w:rPr/>
        <w:t> pitch control plot.</w:t>
      </w:r>
      <w:r>
        <w:rPr>
          <w:spacing w:val="40"/>
        </w:rPr>
        <w:t> </w:t>
      </w:r>
      <w:r>
        <w:rPr/>
        <w:t>In the left frame, a player moves backwards from the 18 yard line to occupy a space of value with higher control. In the middle frame, the player attacks a space in front of him, dragging three defenders towards</w:t>
      </w:r>
      <w:r>
        <w:rPr>
          <w:spacing w:val="-6"/>
        </w:rPr>
        <w:t> </w:t>
      </w:r>
      <w:r>
        <w:rPr/>
        <w:t>him. In</w:t>
      </w:r>
      <w:r>
        <w:rPr>
          <w:spacing w:val="-6"/>
        </w:rPr>
        <w:t> </w:t>
      </w:r>
      <w:r>
        <w:rPr/>
        <w:t>the</w:t>
      </w:r>
      <w:r>
        <w:rPr>
          <w:spacing w:val="-6"/>
        </w:rPr>
        <w:t> </w:t>
      </w:r>
      <w:r>
        <w:rPr/>
        <w:t>third</w:t>
      </w:r>
      <w:r>
        <w:rPr>
          <w:spacing w:val="-6"/>
        </w:rPr>
        <w:t> </w:t>
      </w:r>
      <w:r>
        <w:rPr/>
        <w:t>frame,</w:t>
      </w:r>
      <w:r>
        <w:rPr>
          <w:spacing w:val="-6"/>
        </w:rPr>
        <w:t> </w:t>
      </w:r>
      <w:r>
        <w:rPr/>
        <w:t>the</w:t>
      </w:r>
      <w:r>
        <w:rPr>
          <w:spacing w:val="-6"/>
        </w:rPr>
        <w:t> </w:t>
      </w:r>
      <w:r>
        <w:rPr/>
        <w:t>green</w:t>
      </w:r>
      <w:r>
        <w:rPr>
          <w:spacing w:val="-6"/>
        </w:rPr>
        <w:t> </w:t>
      </w:r>
      <w:r>
        <w:rPr/>
        <w:t>circled</w:t>
      </w:r>
      <w:r>
        <w:rPr>
          <w:spacing w:val="-6"/>
        </w:rPr>
        <w:t> </w:t>
      </w:r>
      <w:r>
        <w:rPr/>
        <w:t>player</w:t>
      </w:r>
      <w:r>
        <w:rPr>
          <w:spacing w:val="-6"/>
        </w:rPr>
        <w:t> </w:t>
      </w:r>
      <w:r>
        <w:rPr/>
        <w:t>is</w:t>
      </w:r>
      <w:r>
        <w:rPr>
          <w:spacing w:val="-6"/>
        </w:rPr>
        <w:t> </w:t>
      </w:r>
      <w:r>
        <w:rPr/>
        <w:t>free</w:t>
      </w:r>
      <w:r>
        <w:rPr>
          <w:spacing w:val="-6"/>
        </w:rPr>
        <w:t> </w:t>
      </w:r>
      <w:r>
        <w:rPr/>
        <w:t>because</w:t>
      </w:r>
      <w:r>
        <w:rPr>
          <w:spacing w:val="-6"/>
        </w:rPr>
        <w:t> </w:t>
      </w:r>
      <w:r>
        <w:rPr/>
        <w:t>of</w:t>
      </w:r>
      <w:r>
        <w:rPr>
          <w:spacing w:val="-6"/>
        </w:rPr>
        <w:t> </w:t>
      </w:r>
      <w:r>
        <w:rPr/>
        <w:t>the</w:t>
      </w:r>
      <w:r>
        <w:rPr>
          <w:spacing w:val="-6"/>
        </w:rPr>
        <w:t> </w:t>
      </w:r>
      <w:r>
        <w:rPr/>
        <w:t>movement in</w:t>
      </w:r>
      <w:r>
        <w:rPr>
          <w:spacing w:val="-4"/>
        </w:rPr>
        <w:t> </w:t>
      </w:r>
      <w:r>
        <w:rPr/>
        <w:t>the</w:t>
      </w:r>
      <w:r>
        <w:rPr>
          <w:spacing w:val="-4"/>
        </w:rPr>
        <w:t> </w:t>
      </w:r>
      <w:r>
        <w:rPr/>
        <w:t>middle</w:t>
      </w:r>
      <w:r>
        <w:rPr>
          <w:spacing w:val="-4"/>
        </w:rPr>
        <w:t> </w:t>
      </w:r>
      <w:r>
        <w:rPr/>
        <w:t>frame. The</w:t>
      </w:r>
      <w:r>
        <w:rPr>
          <w:spacing w:val="-4"/>
        </w:rPr>
        <w:t> </w:t>
      </w:r>
      <w:r>
        <w:rPr/>
        <w:t>player</w:t>
      </w:r>
      <w:r>
        <w:rPr>
          <w:spacing w:val="-4"/>
        </w:rPr>
        <w:t> </w:t>
      </w:r>
      <w:r>
        <w:rPr/>
        <w:t>on</w:t>
      </w:r>
      <w:r>
        <w:rPr>
          <w:spacing w:val="-4"/>
        </w:rPr>
        <w:t> </w:t>
      </w:r>
      <w:r>
        <w:rPr/>
        <w:t>the</w:t>
      </w:r>
      <w:r>
        <w:rPr>
          <w:spacing w:val="-4"/>
        </w:rPr>
        <w:t> </w:t>
      </w:r>
      <w:r>
        <w:rPr/>
        <w:t>18</w:t>
      </w:r>
      <w:r>
        <w:rPr>
          <w:spacing w:val="-4"/>
        </w:rPr>
        <w:t> </w:t>
      </w:r>
      <w:r>
        <w:rPr/>
        <w:t>yard</w:t>
      </w:r>
      <w:r>
        <w:rPr>
          <w:spacing w:val="-4"/>
        </w:rPr>
        <w:t> </w:t>
      </w:r>
      <w:r>
        <w:rPr/>
        <w:t>line</w:t>
      </w:r>
      <w:r>
        <w:rPr>
          <w:spacing w:val="-4"/>
        </w:rPr>
        <w:t> </w:t>
      </w:r>
      <w:r>
        <w:rPr/>
        <w:t>makes</w:t>
      </w:r>
      <w:r>
        <w:rPr>
          <w:spacing w:val="-4"/>
        </w:rPr>
        <w:t> </w:t>
      </w:r>
      <w:r>
        <w:rPr/>
        <w:t>a</w:t>
      </w:r>
      <w:r>
        <w:rPr>
          <w:spacing w:val="-4"/>
        </w:rPr>
        <w:t> </w:t>
      </w:r>
      <w:r>
        <w:rPr/>
        <w:t>forward</w:t>
      </w:r>
      <w:r>
        <w:rPr>
          <w:spacing w:val="-4"/>
        </w:rPr>
        <w:t> </w:t>
      </w:r>
      <w:r>
        <w:rPr/>
        <w:t>run</w:t>
      </w:r>
      <w:r>
        <w:rPr>
          <w:spacing w:val="-4"/>
        </w:rPr>
        <w:t> </w:t>
      </w:r>
      <w:r>
        <w:rPr/>
        <w:t>into</w:t>
      </w:r>
      <w:r>
        <w:rPr>
          <w:spacing w:val="-4"/>
        </w:rPr>
        <w:t> </w:t>
      </w:r>
      <w:r>
        <w:rPr/>
        <w:t>space</w:t>
      </w:r>
      <w:r>
        <w:rPr>
          <w:spacing w:val="-4"/>
        </w:rPr>
        <w:t> </w:t>
      </w:r>
      <w:r>
        <w:rPr/>
        <w:t>so</w:t>
      </w:r>
      <w:r>
        <w:rPr>
          <w:spacing w:val="-4"/>
        </w:rPr>
        <w:t> </w:t>
      </w:r>
      <w:r>
        <w:rPr/>
        <w:t>he can receive a crossed pass.</w:t>
      </w:r>
    </w:p>
    <w:p>
      <w:pPr>
        <w:pStyle w:val="BodyText"/>
        <w:rPr>
          <w:sz w:val="28"/>
        </w:rPr>
      </w:pPr>
    </w:p>
    <w:p>
      <w:pPr>
        <w:pStyle w:val="BodyText"/>
        <w:spacing w:before="11"/>
        <w:rPr>
          <w:sz w:val="31"/>
        </w:rPr>
      </w:pPr>
    </w:p>
    <w:p>
      <w:pPr>
        <w:pStyle w:val="BodyText"/>
        <w:spacing w:line="312" w:lineRule="auto"/>
        <w:ind w:left="610" w:right="389"/>
      </w:pPr>
      <w:r>
        <w:rPr/>
        <w:t>pitch as a probability density function by calculating the pass location probability distri- bution</w:t>
      </w:r>
      <w:r>
        <w:rPr>
          <w:spacing w:val="-11"/>
        </w:rPr>
        <w:t> </w:t>
      </w:r>
      <w:r>
        <w:rPr/>
        <w:t>of</w:t>
      </w:r>
      <w:r>
        <w:rPr>
          <w:spacing w:val="-10"/>
        </w:rPr>
        <w:t> </w:t>
      </w:r>
      <w:r>
        <w:rPr/>
        <w:t>quarterbacks</w:t>
      </w:r>
      <w:r>
        <w:rPr>
          <w:spacing w:val="-11"/>
        </w:rPr>
        <w:t> </w:t>
      </w:r>
      <w:r>
        <w:rPr/>
        <w:t>in</w:t>
      </w:r>
      <w:r>
        <w:rPr>
          <w:spacing w:val="-10"/>
        </w:rPr>
        <w:t> </w:t>
      </w:r>
      <w:r>
        <w:rPr/>
        <w:t>American</w:t>
      </w:r>
      <w:r>
        <w:rPr>
          <w:spacing w:val="-11"/>
        </w:rPr>
        <w:t> </w:t>
      </w:r>
      <w:r>
        <w:rPr/>
        <w:t>football. The</w:t>
      </w:r>
      <w:r>
        <w:rPr>
          <w:spacing w:val="-11"/>
        </w:rPr>
        <w:t> </w:t>
      </w:r>
      <w:r>
        <w:rPr/>
        <w:t>authors</w:t>
      </w:r>
      <w:r>
        <w:rPr>
          <w:spacing w:val="-10"/>
        </w:rPr>
        <w:t> </w:t>
      </w:r>
      <w:r>
        <w:rPr/>
        <w:t>used</w:t>
      </w:r>
      <w:r>
        <w:rPr>
          <w:spacing w:val="-11"/>
        </w:rPr>
        <w:t> </w:t>
      </w:r>
      <w:r>
        <w:rPr/>
        <w:t>27,171</w:t>
      </w:r>
      <w:r>
        <w:rPr>
          <w:spacing w:val="-10"/>
        </w:rPr>
        <w:t> </w:t>
      </w:r>
      <w:r>
        <w:rPr/>
        <w:t>quarterback</w:t>
      </w:r>
      <w:r>
        <w:rPr>
          <w:spacing w:val="-10"/>
        </w:rPr>
        <w:t> </w:t>
      </w:r>
      <w:r>
        <w:rPr/>
        <w:t>passes from the 2017 and 2018 National Football League seasons.</w:t>
      </w:r>
      <w:r>
        <w:rPr>
          <w:spacing w:val="40"/>
        </w:rPr>
        <w:t> </w:t>
      </w:r>
      <w:r>
        <w:rPr/>
        <w:t>The data used was </w:t>
      </w:r>
      <w:r>
        <w:rPr/>
        <w:t>already centred at the line of scrimmage and so the only preprocessing required was to limit the pitch to 10m behind the line of scrimmage and 55m infront of it.</w:t>
      </w:r>
      <w:r>
        <w:rPr>
          <w:spacing w:val="39"/>
        </w:rPr>
        <w:t> </w:t>
      </w:r>
      <w:r>
        <w:rPr/>
        <w:t>The authors used ker- nel density estimation (KDE;</w:t>
      </w:r>
      <w:hyperlink w:history="true" w:anchor="_bookmark286">
        <w:r>
          <w:rPr>
            <w:color w:val="FF0000"/>
          </w:rPr>
          <w:t>Rosenblatt</w:t>
        </w:r>
        <w:r>
          <w:rPr/>
          <w:t>(</w:t>
        </w:r>
      </w:hyperlink>
      <w:hyperlink w:history="true" w:anchor="_bookmark286">
        <w:r>
          <w:rPr>
            <w:color w:val="FF0000"/>
          </w:rPr>
          <w:t>1956</w:t>
        </w:r>
        <w:r>
          <w:rPr/>
          <w:t>))</w:t>
        </w:r>
      </w:hyperlink>
      <w:r>
        <w:rPr/>
        <w:t> to provide a smooth passing probability surface</w:t>
      </w:r>
      <w:r>
        <w:rPr>
          <w:spacing w:val="34"/>
        </w:rPr>
        <w:t> </w:t>
      </w:r>
      <w:r>
        <w:rPr/>
        <w:t>and</w:t>
      </w:r>
      <w:r>
        <w:rPr>
          <w:spacing w:val="34"/>
        </w:rPr>
        <w:t> </w:t>
      </w:r>
      <w:r>
        <w:rPr/>
        <w:t>generalised</w:t>
      </w:r>
      <w:r>
        <w:rPr>
          <w:spacing w:val="34"/>
        </w:rPr>
        <w:t> </w:t>
      </w:r>
      <w:r>
        <w:rPr/>
        <w:t>additive</w:t>
      </w:r>
      <w:r>
        <w:rPr>
          <w:spacing w:val="34"/>
        </w:rPr>
        <w:t> </w:t>
      </w:r>
      <w:r>
        <w:rPr/>
        <w:t>models</w:t>
      </w:r>
      <w:r>
        <w:rPr>
          <w:spacing w:val="34"/>
        </w:rPr>
        <w:t> </w:t>
      </w:r>
      <w:r>
        <w:rPr/>
        <w:t>(</w:t>
      </w:r>
      <w:hyperlink w:history="true" w:anchor="_bookmark251">
        <w:r>
          <w:rPr>
            <w:color w:val="FF0000"/>
          </w:rPr>
          <w:t>Hastie</w:t>
        </w:r>
        <w:r>
          <w:rPr>
            <w:color w:val="FF0000"/>
            <w:spacing w:val="34"/>
          </w:rPr>
          <w:t> </w:t>
        </w:r>
        <w:r>
          <w:rPr>
            <w:color w:val="FF0000"/>
          </w:rPr>
          <w:t>and</w:t>
        </w:r>
        <w:r>
          <w:rPr>
            <w:color w:val="FF0000"/>
            <w:spacing w:val="34"/>
          </w:rPr>
          <w:t> </w:t>
        </w:r>
        <w:r>
          <w:rPr>
            <w:color w:val="FF0000"/>
          </w:rPr>
          <w:t>Tibshirani</w:t>
        </w:r>
      </w:hyperlink>
      <w:r>
        <w:rPr/>
        <w:t>,</w:t>
      </w:r>
      <w:hyperlink w:history="true" w:anchor="_bookmark251">
        <w:r>
          <w:rPr>
            <w:color w:val="FF0000"/>
          </w:rPr>
          <w:t>1986</w:t>
        </w:r>
        <w:r>
          <w:rPr/>
          <w:t>)</w:t>
        </w:r>
      </w:hyperlink>
      <w:r>
        <w:rPr>
          <w:spacing w:val="34"/>
        </w:rPr>
        <w:t> </w:t>
      </w:r>
      <w:r>
        <w:rPr/>
        <w:t>to</w:t>
      </w:r>
      <w:r>
        <w:rPr>
          <w:spacing w:val="34"/>
        </w:rPr>
        <w:t> </w:t>
      </w:r>
      <w:r>
        <w:rPr/>
        <w:t>estimate</w:t>
      </w:r>
      <w:r>
        <w:rPr>
          <w:spacing w:val="34"/>
        </w:rPr>
        <w:t> </w:t>
      </w:r>
      <w:r>
        <w:rPr/>
        <w:t>the probability of the pass being successful.</w:t>
      </w:r>
      <w:r>
        <w:rPr>
          <w:spacing w:val="40"/>
        </w:rPr>
        <w:t> </w:t>
      </w:r>
      <w:r>
        <w:rPr/>
        <w:t>As a purely observational study, no accuracy</w:t>
      </w:r>
      <w:r>
        <w:rPr>
          <w:spacing w:val="40"/>
        </w:rPr>
        <w:t> </w:t>
      </w:r>
      <w:r>
        <w:rPr/>
        <w:t>figures</w:t>
      </w:r>
      <w:r>
        <w:rPr>
          <w:spacing w:val="-4"/>
        </w:rPr>
        <w:t> </w:t>
      </w:r>
      <w:r>
        <w:rPr/>
        <w:t>were</w:t>
      </w:r>
      <w:r>
        <w:rPr>
          <w:spacing w:val="-4"/>
        </w:rPr>
        <w:t> </w:t>
      </w:r>
      <w:r>
        <w:rPr/>
        <w:t>reported. The</w:t>
      </w:r>
      <w:r>
        <w:rPr>
          <w:spacing w:val="-4"/>
        </w:rPr>
        <w:t> </w:t>
      </w:r>
      <w:r>
        <w:rPr/>
        <w:t>authors</w:t>
      </w:r>
      <w:r>
        <w:rPr>
          <w:spacing w:val="-4"/>
        </w:rPr>
        <w:t> </w:t>
      </w:r>
      <w:r>
        <w:rPr/>
        <w:t>showed</w:t>
      </w:r>
      <w:r>
        <w:rPr>
          <w:spacing w:val="-4"/>
        </w:rPr>
        <w:t> </w:t>
      </w:r>
      <w:r>
        <w:rPr/>
        <w:t>how</w:t>
      </w:r>
      <w:r>
        <w:rPr>
          <w:spacing w:val="-4"/>
        </w:rPr>
        <w:t> </w:t>
      </w:r>
      <w:r>
        <w:rPr/>
        <w:t>the</w:t>
      </w:r>
      <w:r>
        <w:rPr>
          <w:spacing w:val="-4"/>
        </w:rPr>
        <w:t> </w:t>
      </w:r>
      <w:r>
        <w:rPr/>
        <w:t>KDE</w:t>
      </w:r>
      <w:r>
        <w:rPr>
          <w:spacing w:val="-4"/>
        </w:rPr>
        <w:t> </w:t>
      </w:r>
      <w:r>
        <w:rPr/>
        <w:t>can</w:t>
      </w:r>
      <w:r>
        <w:rPr>
          <w:spacing w:val="-4"/>
        </w:rPr>
        <w:t> </w:t>
      </w:r>
      <w:r>
        <w:rPr/>
        <w:t>be</w:t>
      </w:r>
      <w:r>
        <w:rPr>
          <w:spacing w:val="-4"/>
        </w:rPr>
        <w:t> </w:t>
      </w:r>
      <w:r>
        <w:rPr/>
        <w:t>used</w:t>
      </w:r>
      <w:r>
        <w:rPr>
          <w:spacing w:val="-4"/>
        </w:rPr>
        <w:t> </w:t>
      </w:r>
      <w:r>
        <w:rPr/>
        <w:t>to</w:t>
      </w:r>
      <w:r>
        <w:rPr>
          <w:spacing w:val="-4"/>
        </w:rPr>
        <w:t> </w:t>
      </w:r>
      <w:r>
        <w:rPr/>
        <w:t>identify</w:t>
      </w:r>
      <w:r>
        <w:rPr>
          <w:spacing w:val="-4"/>
        </w:rPr>
        <w:t> </w:t>
      </w:r>
      <w:r>
        <w:rPr/>
        <w:t>passing trends at a player or team level and how the generalised additive models can be used to evaluate players’ or teams’ completion rates compared to the league average.</w:t>
      </w:r>
      <w:r>
        <w:rPr>
          <w:spacing w:val="31"/>
        </w:rPr>
        <w:t> </w:t>
      </w:r>
      <w:r>
        <w:rPr/>
        <w:t>Figure</w:t>
      </w:r>
      <w:hyperlink w:history="true" w:anchor="_bookmark21">
        <w:r>
          <w:rPr>
            <w:color w:val="0000FF"/>
          </w:rPr>
          <w:t>2.5</w:t>
        </w:r>
      </w:hyperlink>
      <w:r>
        <w:rPr>
          <w:color w:val="0000FF"/>
        </w:rPr>
        <w:t> </w:t>
      </w:r>
      <w:r>
        <w:rPr/>
        <w:t>shows</w:t>
      </w:r>
      <w:r>
        <w:rPr>
          <w:spacing w:val="-11"/>
        </w:rPr>
        <w:t> </w:t>
      </w:r>
      <w:r>
        <w:rPr/>
        <w:t>these</w:t>
      </w:r>
      <w:r>
        <w:rPr>
          <w:spacing w:val="-11"/>
        </w:rPr>
        <w:t> </w:t>
      </w:r>
      <w:r>
        <w:rPr/>
        <w:t>comparisons</w:t>
      </w:r>
      <w:r>
        <w:rPr>
          <w:spacing w:val="-11"/>
        </w:rPr>
        <w:t> </w:t>
      </w:r>
      <w:r>
        <w:rPr/>
        <w:t>for</w:t>
      </w:r>
      <w:r>
        <w:rPr>
          <w:spacing w:val="-11"/>
        </w:rPr>
        <w:t> </w:t>
      </w:r>
      <w:r>
        <w:rPr/>
        <w:t>two</w:t>
      </w:r>
      <w:r>
        <w:rPr>
          <w:spacing w:val="-11"/>
        </w:rPr>
        <w:t> </w:t>
      </w:r>
      <w:r>
        <w:rPr/>
        <w:t>quarterbacks. The</w:t>
      </w:r>
      <w:r>
        <w:rPr>
          <w:spacing w:val="-11"/>
        </w:rPr>
        <w:t> </w:t>
      </w:r>
      <w:r>
        <w:rPr/>
        <w:t>left</w:t>
      </w:r>
      <w:r>
        <w:rPr>
          <w:spacing w:val="-11"/>
        </w:rPr>
        <w:t> </w:t>
      </w:r>
      <w:r>
        <w:rPr/>
        <w:t>column</w:t>
      </w:r>
      <w:r>
        <w:rPr>
          <w:spacing w:val="-11"/>
        </w:rPr>
        <w:t> </w:t>
      </w:r>
      <w:r>
        <w:rPr/>
        <w:t>shows</w:t>
      </w:r>
      <w:r>
        <w:rPr>
          <w:spacing w:val="-11"/>
        </w:rPr>
        <w:t> </w:t>
      </w:r>
      <w:r>
        <w:rPr/>
        <w:t>the</w:t>
      </w:r>
      <w:r>
        <w:rPr>
          <w:spacing w:val="-11"/>
        </w:rPr>
        <w:t> </w:t>
      </w:r>
      <w:r>
        <w:rPr/>
        <w:t>player’s</w:t>
      </w:r>
      <w:r>
        <w:rPr>
          <w:spacing w:val="-11"/>
        </w:rPr>
        <w:t> </w:t>
      </w:r>
      <w:r>
        <w:rPr/>
        <w:t>KDE, whereas</w:t>
      </w:r>
      <w:r>
        <w:rPr>
          <w:spacing w:val="-5"/>
        </w:rPr>
        <w:t> </w:t>
      </w:r>
      <w:r>
        <w:rPr/>
        <w:t>the</w:t>
      </w:r>
      <w:r>
        <w:rPr>
          <w:spacing w:val="-4"/>
        </w:rPr>
        <w:t> </w:t>
      </w:r>
      <w:r>
        <w:rPr/>
        <w:t>player’s</w:t>
      </w:r>
      <w:r>
        <w:rPr>
          <w:spacing w:val="-5"/>
        </w:rPr>
        <w:t> </w:t>
      </w:r>
      <w:r>
        <w:rPr/>
        <w:t>predicted</w:t>
      </w:r>
      <w:r>
        <w:rPr>
          <w:spacing w:val="-5"/>
        </w:rPr>
        <w:t> </w:t>
      </w:r>
      <w:r>
        <w:rPr/>
        <w:t>completion</w:t>
      </w:r>
      <w:r>
        <w:rPr>
          <w:spacing w:val="-5"/>
        </w:rPr>
        <w:t> </w:t>
      </w:r>
      <w:r>
        <w:rPr/>
        <w:t>probability</w:t>
      </w:r>
      <w:r>
        <w:rPr>
          <w:spacing w:val="-4"/>
        </w:rPr>
        <w:t> </w:t>
      </w:r>
      <w:r>
        <w:rPr/>
        <w:t>surface</w:t>
      </w:r>
      <w:r>
        <w:rPr>
          <w:spacing w:val="-5"/>
        </w:rPr>
        <w:t> </w:t>
      </w:r>
      <w:r>
        <w:rPr/>
        <w:t>is</w:t>
      </w:r>
      <w:r>
        <w:rPr>
          <w:spacing w:val="-5"/>
        </w:rPr>
        <w:t> </w:t>
      </w:r>
      <w:r>
        <w:rPr/>
        <w:t>shown</w:t>
      </w:r>
      <w:r>
        <w:rPr>
          <w:spacing w:val="-5"/>
        </w:rPr>
        <w:t> </w:t>
      </w:r>
      <w:r>
        <w:rPr/>
        <w:t>on</w:t>
      </w:r>
      <w:r>
        <w:rPr>
          <w:spacing w:val="-4"/>
        </w:rPr>
        <w:t> </w:t>
      </w:r>
      <w:r>
        <w:rPr/>
        <w:t>the</w:t>
      </w:r>
      <w:r>
        <w:rPr>
          <w:spacing w:val="-5"/>
        </w:rPr>
        <w:t> </w:t>
      </w:r>
      <w:r>
        <w:rPr/>
        <w:t>right. The idea</w:t>
      </w:r>
      <w:r>
        <w:rPr>
          <w:spacing w:val="9"/>
        </w:rPr>
        <w:t> </w:t>
      </w:r>
      <w:r>
        <w:rPr/>
        <w:t>of</w:t>
      </w:r>
      <w:r>
        <w:rPr>
          <w:spacing w:val="10"/>
        </w:rPr>
        <w:t> </w:t>
      </w:r>
      <w:r>
        <w:rPr/>
        <w:t>utilising</w:t>
      </w:r>
      <w:r>
        <w:rPr>
          <w:spacing w:val="9"/>
        </w:rPr>
        <w:t> </w:t>
      </w:r>
      <w:r>
        <w:rPr/>
        <w:t>KDEs</w:t>
      </w:r>
      <w:r>
        <w:rPr>
          <w:spacing w:val="10"/>
        </w:rPr>
        <w:t> </w:t>
      </w:r>
      <w:r>
        <w:rPr/>
        <w:t>to</w:t>
      </w:r>
      <w:r>
        <w:rPr>
          <w:spacing w:val="9"/>
        </w:rPr>
        <w:t> </w:t>
      </w:r>
      <w:r>
        <w:rPr/>
        <w:t>establish</w:t>
      </w:r>
      <w:r>
        <w:rPr>
          <w:spacing w:val="10"/>
        </w:rPr>
        <w:t> </w:t>
      </w:r>
      <w:r>
        <w:rPr/>
        <w:t>the</w:t>
      </w:r>
      <w:r>
        <w:rPr>
          <w:spacing w:val="10"/>
        </w:rPr>
        <w:t> </w:t>
      </w:r>
      <w:r>
        <w:rPr/>
        <w:t>spatial</w:t>
      </w:r>
      <w:r>
        <w:rPr>
          <w:spacing w:val="10"/>
        </w:rPr>
        <w:t> </w:t>
      </w:r>
      <w:r>
        <w:rPr/>
        <w:t>trends</w:t>
      </w:r>
      <w:r>
        <w:rPr>
          <w:spacing w:val="10"/>
        </w:rPr>
        <w:t> </w:t>
      </w:r>
      <w:r>
        <w:rPr/>
        <w:t>of</w:t>
      </w:r>
      <w:r>
        <w:rPr>
          <w:spacing w:val="8"/>
        </w:rPr>
        <w:t> </w:t>
      </w:r>
      <w:r>
        <w:rPr/>
        <w:t>player</w:t>
      </w:r>
      <w:r>
        <w:rPr>
          <w:spacing w:val="10"/>
        </w:rPr>
        <w:t> </w:t>
      </w:r>
      <w:r>
        <w:rPr/>
        <w:t>performances</w:t>
      </w:r>
      <w:r>
        <w:rPr>
          <w:spacing w:val="10"/>
        </w:rPr>
        <w:t> </w:t>
      </w:r>
      <w:r>
        <w:rPr/>
        <w:t>is</w:t>
      </w:r>
      <w:r>
        <w:rPr>
          <w:spacing w:val="10"/>
        </w:rPr>
        <w:t> </w:t>
      </w:r>
      <w:r>
        <w:rPr>
          <w:spacing w:val="-2"/>
        </w:rPr>
        <w:t>unlikely</w:t>
      </w:r>
    </w:p>
    <w:p>
      <w:pPr>
        <w:spacing w:after="0" w:line="312" w:lineRule="auto"/>
        <w:sectPr>
          <w:pgSz w:w="11910" w:h="16840"/>
          <w:pgMar w:header="1961" w:footer="1428" w:top="2260" w:bottom="1620" w:left="1680" w:right="720"/>
        </w:sectPr>
      </w:pPr>
    </w:p>
    <w:p>
      <w:pPr>
        <w:pStyle w:val="BodyText"/>
        <w:rPr>
          <w:sz w:val="20"/>
        </w:rPr>
      </w:pPr>
    </w:p>
    <w:p>
      <w:pPr>
        <w:pStyle w:val="BodyText"/>
        <w:rPr>
          <w:sz w:val="20"/>
        </w:rPr>
      </w:pPr>
    </w:p>
    <w:p>
      <w:pPr>
        <w:pStyle w:val="BodyText"/>
        <w:spacing w:before="6" w:after="1"/>
        <w:rPr>
          <w:sz w:val="15"/>
        </w:rPr>
      </w:pPr>
    </w:p>
    <w:p>
      <w:pPr>
        <w:pStyle w:val="BodyText"/>
        <w:ind w:left="744"/>
        <w:rPr>
          <w:sz w:val="20"/>
        </w:rPr>
      </w:pPr>
      <w:r>
        <w:rPr>
          <w:sz w:val="20"/>
        </w:rPr>
        <w:drawing>
          <wp:inline distT="0" distB="0" distL="0" distR="0">
            <wp:extent cx="5248656" cy="4011167"/>
            <wp:effectExtent l="0" t="0" r="0" b="0"/>
            <wp:docPr id="11" name="image6.jpeg"/>
            <wp:cNvGraphicFramePr>
              <a:graphicFrameLocks noChangeAspect="1"/>
            </wp:cNvGraphicFramePr>
            <a:graphic>
              <a:graphicData uri="http://schemas.openxmlformats.org/drawingml/2006/picture">
                <pic:pic>
                  <pic:nvPicPr>
                    <pic:cNvPr id="12" name="image6.jpeg"/>
                    <pic:cNvPicPr/>
                  </pic:nvPicPr>
                  <pic:blipFill>
                    <a:blip r:embed="rId39" cstate="print"/>
                    <a:stretch>
                      <a:fillRect/>
                    </a:stretch>
                  </pic:blipFill>
                  <pic:spPr>
                    <a:xfrm>
                      <a:off x="0" y="0"/>
                      <a:ext cx="5248656" cy="4011167"/>
                    </a:xfrm>
                    <a:prstGeom prst="rect">
                      <a:avLst/>
                    </a:prstGeom>
                  </pic:spPr>
                </pic:pic>
              </a:graphicData>
            </a:graphic>
          </wp:inline>
        </w:drawing>
      </w:r>
      <w:r>
        <w:rPr>
          <w:sz w:val="20"/>
        </w:rPr>
      </w:r>
    </w:p>
    <w:p>
      <w:pPr>
        <w:pStyle w:val="BodyText"/>
        <w:spacing w:before="8"/>
        <w:rPr>
          <w:sz w:val="13"/>
        </w:rPr>
      </w:pPr>
    </w:p>
    <w:p>
      <w:pPr>
        <w:pStyle w:val="BodyText"/>
        <w:spacing w:line="252" w:lineRule="auto" w:before="106"/>
        <w:ind w:left="610" w:right="475"/>
        <w:jc w:val="both"/>
      </w:pPr>
      <w:bookmarkStart w:name="_bookmark21" w:id="44"/>
      <w:bookmarkEnd w:id="44"/>
      <w:r>
        <w:rPr/>
      </w:r>
      <w:r>
        <w:rPr>
          <w:b/>
        </w:rPr>
        <w:t>Figure 2.5:</w:t>
      </w:r>
      <w:r>
        <w:rPr>
          <w:b/>
          <w:spacing w:val="40"/>
        </w:rPr>
        <w:t> </w:t>
      </w:r>
      <w:hyperlink w:history="true" w:anchor="_bookmark271">
        <w:r>
          <w:rPr>
            <w:color w:val="FF0000"/>
          </w:rPr>
          <w:t>Mallepalle et al.</w:t>
        </w:r>
      </w:hyperlink>
      <w:r>
        <w:rPr/>
        <w:t>(</w:t>
      </w:r>
      <w:hyperlink w:history="true" w:anchor="_bookmark271">
        <w:r>
          <w:rPr>
            <w:color w:val="FF0000"/>
          </w:rPr>
          <w:t>2020</w:t>
        </w:r>
        <w:r>
          <w:rPr/>
          <w:t>)</w:t>
        </w:r>
      </w:hyperlink>
      <w:r>
        <w:rPr/>
        <w:t> quarterback KDE plot (left) and pass </w:t>
      </w:r>
      <w:r>
        <w:rPr/>
        <w:t>completion probability surface (right).</w:t>
      </w:r>
    </w:p>
    <w:p>
      <w:pPr>
        <w:pStyle w:val="BodyText"/>
        <w:rPr>
          <w:sz w:val="28"/>
        </w:rPr>
      </w:pPr>
    </w:p>
    <w:p>
      <w:pPr>
        <w:pStyle w:val="BodyText"/>
        <w:spacing w:before="3"/>
        <w:rPr>
          <w:sz w:val="32"/>
        </w:rPr>
      </w:pPr>
    </w:p>
    <w:p>
      <w:pPr>
        <w:pStyle w:val="BodyText"/>
        <w:spacing w:line="312" w:lineRule="auto"/>
        <w:ind w:left="610" w:right="389"/>
        <w:jc w:val="both"/>
      </w:pPr>
      <w:r>
        <w:rPr/>
        <w:t>to work particularly well in rugby league given the wide variety of areas from which a player</w:t>
      </w:r>
      <w:r>
        <w:rPr>
          <w:spacing w:val="-9"/>
        </w:rPr>
        <w:t> </w:t>
      </w:r>
      <w:r>
        <w:rPr/>
        <w:t>could</w:t>
      </w:r>
      <w:r>
        <w:rPr>
          <w:spacing w:val="-9"/>
        </w:rPr>
        <w:t> </w:t>
      </w:r>
      <w:r>
        <w:rPr/>
        <w:t>receive</w:t>
      </w:r>
      <w:r>
        <w:rPr>
          <w:spacing w:val="-9"/>
        </w:rPr>
        <w:t> </w:t>
      </w:r>
      <w:r>
        <w:rPr/>
        <w:t>the</w:t>
      </w:r>
      <w:r>
        <w:rPr>
          <w:spacing w:val="-9"/>
        </w:rPr>
        <w:t> </w:t>
      </w:r>
      <w:r>
        <w:rPr/>
        <w:t>ball,</w:t>
      </w:r>
      <w:r>
        <w:rPr>
          <w:spacing w:val="-9"/>
        </w:rPr>
        <w:t> </w:t>
      </w:r>
      <w:r>
        <w:rPr/>
        <w:t>which</w:t>
      </w:r>
      <w:r>
        <w:rPr>
          <w:spacing w:val="-9"/>
        </w:rPr>
        <w:t> </w:t>
      </w:r>
      <w:r>
        <w:rPr/>
        <w:t>differs</w:t>
      </w:r>
      <w:r>
        <w:rPr>
          <w:spacing w:val="-9"/>
        </w:rPr>
        <w:t> </w:t>
      </w:r>
      <w:r>
        <w:rPr/>
        <w:t>from</w:t>
      </w:r>
      <w:r>
        <w:rPr>
          <w:spacing w:val="-9"/>
        </w:rPr>
        <w:t> </w:t>
      </w:r>
      <w:r>
        <w:rPr/>
        <w:t>the</w:t>
      </w:r>
      <w:r>
        <w:rPr>
          <w:spacing w:val="-9"/>
        </w:rPr>
        <w:t> </w:t>
      </w:r>
      <w:r>
        <w:rPr/>
        <w:t>quarterback</w:t>
      </w:r>
      <w:r>
        <w:rPr>
          <w:spacing w:val="-9"/>
        </w:rPr>
        <w:t> </w:t>
      </w:r>
      <w:r>
        <w:rPr/>
        <w:t>who</w:t>
      </w:r>
      <w:r>
        <w:rPr>
          <w:spacing w:val="-9"/>
        </w:rPr>
        <w:t> </w:t>
      </w:r>
      <w:r>
        <w:rPr/>
        <w:t>always</w:t>
      </w:r>
      <w:r>
        <w:rPr>
          <w:spacing w:val="-9"/>
        </w:rPr>
        <w:t> </w:t>
      </w:r>
      <w:r>
        <w:rPr/>
        <w:t>receives</w:t>
      </w:r>
      <w:r>
        <w:rPr>
          <w:spacing w:val="-9"/>
        </w:rPr>
        <w:t> </w:t>
      </w:r>
      <w:r>
        <w:rPr/>
        <w:t>the ball in the centre of the pitch.</w:t>
      </w:r>
      <w:r>
        <w:rPr>
          <w:spacing w:val="40"/>
        </w:rPr>
        <w:t> </w:t>
      </w:r>
      <w:r>
        <w:rPr/>
        <w:t>However, there is significant potential to use the </w:t>
      </w:r>
      <w:r>
        <w:rPr/>
        <w:t>method to try and understand the spatial trends of team attacking performances, which may help reveal tendencies to move the ball in certain areas of the pitch.</w:t>
      </w:r>
      <w:r>
        <w:rPr>
          <w:spacing w:val="40"/>
        </w:rPr>
        <w:t> </w:t>
      </w:r>
      <w:r>
        <w:rPr/>
        <w:t>Surprisingly, no study has attempted this form of analysis at a team level in any sport so there is scope for its consideration within rugby league.</w:t>
      </w:r>
    </w:p>
    <w:p>
      <w:pPr>
        <w:spacing w:after="0" w:line="312" w:lineRule="auto"/>
        <w:jc w:val="both"/>
        <w:sectPr>
          <w:pgSz w:w="11910" w:h="16840"/>
          <w:pgMar w:header="1961" w:footer="1428" w:top="2260" w:bottom="1620" w:left="1680" w:right="720"/>
        </w:sectPr>
      </w:pPr>
    </w:p>
    <w:p>
      <w:pPr>
        <w:pStyle w:val="BodyText"/>
        <w:rPr>
          <w:sz w:val="20"/>
        </w:rPr>
      </w:pPr>
    </w:p>
    <w:p>
      <w:pPr>
        <w:pStyle w:val="BodyText"/>
        <w:spacing w:before="10"/>
        <w:rPr>
          <w:sz w:val="21"/>
        </w:rPr>
      </w:pPr>
    </w:p>
    <w:p>
      <w:pPr>
        <w:pStyle w:val="Heading4"/>
        <w:numPr>
          <w:ilvl w:val="3"/>
          <w:numId w:val="17"/>
        </w:numPr>
        <w:tabs>
          <w:tab w:pos="1506" w:val="left" w:leader="none"/>
          <w:tab w:pos="1508" w:val="left" w:leader="none"/>
        </w:tabs>
        <w:spacing w:line="240" w:lineRule="auto" w:before="105" w:after="0"/>
        <w:ind w:left="1507" w:right="0" w:hanging="898"/>
        <w:jc w:val="left"/>
      </w:pPr>
      <w:bookmarkStart w:name="_TOC_250056" w:id="45"/>
      <w:bookmarkStart w:name="2.2.2.2 Expected Possession Value Models" w:id="46"/>
      <w:r>
        <w:rPr>
          <w:b w:val="0"/>
        </w:rPr>
      </w:r>
      <w:bookmarkStart w:name="_bookmark22" w:id="47"/>
      <w:bookmarkEnd w:id="47"/>
      <w:r>
        <w:rPr>
          <w:spacing w:val="-2"/>
        </w:rPr>
        <w:t>Expected</w:t>
      </w:r>
      <w:r>
        <w:rPr>
          <w:spacing w:val="-5"/>
        </w:rPr>
        <w:t> </w:t>
      </w:r>
      <w:r>
        <w:rPr>
          <w:spacing w:val="-2"/>
        </w:rPr>
        <w:t>Possession</w:t>
      </w:r>
      <w:r>
        <w:rPr>
          <w:spacing w:val="-4"/>
        </w:rPr>
        <w:t> </w:t>
      </w:r>
      <w:r>
        <w:rPr>
          <w:spacing w:val="-2"/>
        </w:rPr>
        <w:t>Value</w:t>
      </w:r>
      <w:r>
        <w:rPr>
          <w:spacing w:val="-5"/>
        </w:rPr>
        <w:t> </w:t>
      </w:r>
      <w:r>
        <w:rPr>
          <w:spacing w:val="-2"/>
        </w:rPr>
        <w:t>Models</w:t>
      </w:r>
      <w:r>
        <w:rPr>
          <w:spacing w:val="-4"/>
        </w:rPr>
        <w:t> </w:t>
      </w:r>
      <w:r>
        <w:rPr>
          <w:spacing w:val="-2"/>
        </w:rPr>
        <w:t>in</w:t>
      </w:r>
      <w:r>
        <w:rPr>
          <w:spacing w:val="-5"/>
        </w:rPr>
        <w:t> </w:t>
      </w:r>
      <w:r>
        <w:rPr>
          <w:spacing w:val="-2"/>
        </w:rPr>
        <w:t>Team</w:t>
      </w:r>
      <w:r>
        <w:rPr>
          <w:spacing w:val="-4"/>
        </w:rPr>
        <w:t> </w:t>
      </w:r>
      <w:bookmarkEnd w:id="45"/>
      <w:r>
        <w:rPr>
          <w:spacing w:val="-2"/>
        </w:rPr>
        <w:t>Sports</w:t>
      </w:r>
    </w:p>
    <w:p>
      <w:pPr>
        <w:pStyle w:val="BodyText"/>
        <w:spacing w:line="312" w:lineRule="auto" w:before="244"/>
        <w:ind w:left="610" w:right="389"/>
        <w:jc w:val="both"/>
      </w:pPr>
      <w:r>
        <w:rPr/>
        <w:t>Identifying the spatial trends of player and team performances provides an </w:t>
      </w:r>
      <w:r>
        <w:rPr/>
        <w:t>interesting, useful and visually appealing representation of the tactical strategies of players or teams as it evaluates the locations on a pitch they are likely to try and control or move the ball. However, the key limitation of these spatial trends analyses is that the pitch is treated as a uniform entity where players and teams are equally likely to wish to move the ball in any direction.</w:t>
      </w:r>
      <w:r>
        <w:rPr>
          <w:spacing w:val="30"/>
        </w:rPr>
        <w:t> </w:t>
      </w:r>
      <w:r>
        <w:rPr/>
        <w:t>In invasion team sports, such as basketball, football and rugby, where the opposition</w:t>
      </w:r>
      <w:r>
        <w:rPr>
          <w:spacing w:val="-2"/>
        </w:rPr>
        <w:t> </w:t>
      </w:r>
      <w:r>
        <w:rPr/>
        <w:t>scoring</w:t>
      </w:r>
      <w:r>
        <w:rPr>
          <w:spacing w:val="-2"/>
        </w:rPr>
        <w:t> </w:t>
      </w:r>
      <w:r>
        <w:rPr/>
        <w:t>area</w:t>
      </w:r>
      <w:r>
        <w:rPr>
          <w:spacing w:val="-2"/>
        </w:rPr>
        <w:t> </w:t>
      </w:r>
      <w:r>
        <w:rPr/>
        <w:t>is</w:t>
      </w:r>
      <w:r>
        <w:rPr>
          <w:spacing w:val="-2"/>
        </w:rPr>
        <w:t> </w:t>
      </w:r>
      <w:r>
        <w:rPr/>
        <w:t>at</w:t>
      </w:r>
      <w:r>
        <w:rPr>
          <w:spacing w:val="-2"/>
        </w:rPr>
        <w:t> </w:t>
      </w:r>
      <w:r>
        <w:rPr/>
        <w:t>one</w:t>
      </w:r>
      <w:r>
        <w:rPr>
          <w:spacing w:val="-2"/>
        </w:rPr>
        <w:t> </w:t>
      </w:r>
      <w:r>
        <w:rPr/>
        <w:t>end</w:t>
      </w:r>
      <w:r>
        <w:rPr>
          <w:spacing w:val="-2"/>
        </w:rPr>
        <w:t> </w:t>
      </w:r>
      <w:r>
        <w:rPr/>
        <w:t>of</w:t>
      </w:r>
      <w:r>
        <w:rPr>
          <w:spacing w:val="-2"/>
        </w:rPr>
        <w:t> </w:t>
      </w:r>
      <w:r>
        <w:rPr/>
        <w:t>the</w:t>
      </w:r>
      <w:r>
        <w:rPr>
          <w:spacing w:val="-2"/>
        </w:rPr>
        <w:t> </w:t>
      </w:r>
      <w:r>
        <w:rPr/>
        <w:t>pitch,</w:t>
      </w:r>
      <w:r>
        <w:rPr>
          <w:spacing w:val="-1"/>
        </w:rPr>
        <w:t> </w:t>
      </w:r>
      <w:r>
        <w:rPr/>
        <w:t>this</w:t>
      </w:r>
      <w:r>
        <w:rPr>
          <w:spacing w:val="-2"/>
        </w:rPr>
        <w:t> </w:t>
      </w:r>
      <w:r>
        <w:rPr/>
        <w:t>is</w:t>
      </w:r>
      <w:r>
        <w:rPr>
          <w:spacing w:val="-2"/>
        </w:rPr>
        <w:t> </w:t>
      </w:r>
      <w:r>
        <w:rPr/>
        <w:t>not</w:t>
      </w:r>
      <w:r>
        <w:rPr>
          <w:spacing w:val="-2"/>
        </w:rPr>
        <w:t> </w:t>
      </w:r>
      <w:r>
        <w:rPr/>
        <w:t>the</w:t>
      </w:r>
      <w:r>
        <w:rPr>
          <w:spacing w:val="-2"/>
        </w:rPr>
        <w:t> </w:t>
      </w:r>
      <w:r>
        <w:rPr/>
        <w:t>case</w:t>
      </w:r>
      <w:r>
        <w:rPr>
          <w:spacing w:val="-2"/>
        </w:rPr>
        <w:t> </w:t>
      </w:r>
      <w:r>
        <w:rPr/>
        <w:t>as</w:t>
      </w:r>
      <w:r>
        <w:rPr>
          <w:spacing w:val="-2"/>
        </w:rPr>
        <w:t> </w:t>
      </w:r>
      <w:r>
        <w:rPr/>
        <w:t>most</w:t>
      </w:r>
      <w:r>
        <w:rPr>
          <w:spacing w:val="-2"/>
        </w:rPr>
        <w:t> </w:t>
      </w:r>
      <w:r>
        <w:rPr/>
        <w:t>movements made</w:t>
      </w:r>
      <w:r>
        <w:rPr>
          <w:spacing w:val="-1"/>
        </w:rPr>
        <w:t> </w:t>
      </w:r>
      <w:r>
        <w:rPr/>
        <w:t>by</w:t>
      </w:r>
      <w:r>
        <w:rPr>
          <w:spacing w:val="-1"/>
        </w:rPr>
        <w:t> </w:t>
      </w:r>
      <w:r>
        <w:rPr/>
        <w:t>a</w:t>
      </w:r>
      <w:r>
        <w:rPr>
          <w:spacing w:val="-1"/>
        </w:rPr>
        <w:t> </w:t>
      </w:r>
      <w:r>
        <w:rPr/>
        <w:t>team</w:t>
      </w:r>
      <w:r>
        <w:rPr>
          <w:spacing w:val="-1"/>
        </w:rPr>
        <w:t> </w:t>
      </w:r>
      <w:r>
        <w:rPr/>
        <w:t>are</w:t>
      </w:r>
      <w:r>
        <w:rPr>
          <w:spacing w:val="-1"/>
        </w:rPr>
        <w:t> </w:t>
      </w:r>
      <w:r>
        <w:rPr/>
        <w:t>aimed</w:t>
      </w:r>
      <w:r>
        <w:rPr>
          <w:spacing w:val="-1"/>
        </w:rPr>
        <w:t> </w:t>
      </w:r>
      <w:r>
        <w:rPr/>
        <w:t>at</w:t>
      </w:r>
      <w:r>
        <w:rPr>
          <w:spacing w:val="-1"/>
        </w:rPr>
        <w:t> </w:t>
      </w:r>
      <w:r>
        <w:rPr/>
        <w:t>progressing</w:t>
      </w:r>
      <w:r>
        <w:rPr>
          <w:spacing w:val="-1"/>
        </w:rPr>
        <w:t> </w:t>
      </w:r>
      <w:r>
        <w:rPr/>
        <w:t>towards</w:t>
      </w:r>
      <w:r>
        <w:rPr>
          <w:spacing w:val="-1"/>
        </w:rPr>
        <w:t> </w:t>
      </w:r>
      <w:r>
        <w:rPr/>
        <w:t>the</w:t>
      </w:r>
      <w:r>
        <w:rPr>
          <w:spacing w:val="-1"/>
        </w:rPr>
        <w:t> </w:t>
      </w:r>
      <w:r>
        <w:rPr/>
        <w:t>scoring</w:t>
      </w:r>
      <w:r>
        <w:rPr>
          <w:spacing w:val="-1"/>
        </w:rPr>
        <w:t> </w:t>
      </w:r>
      <w:r>
        <w:rPr/>
        <w:t>area. Those</w:t>
      </w:r>
      <w:r>
        <w:rPr>
          <w:spacing w:val="-1"/>
        </w:rPr>
        <w:t> </w:t>
      </w:r>
      <w:r>
        <w:rPr/>
        <w:t>areas</w:t>
      </w:r>
      <w:r>
        <w:rPr>
          <w:spacing w:val="-1"/>
        </w:rPr>
        <w:t> </w:t>
      </w:r>
      <w:r>
        <w:rPr/>
        <w:t>closer</w:t>
      </w:r>
      <w:r>
        <w:rPr>
          <w:spacing w:val="-1"/>
        </w:rPr>
        <w:t> </w:t>
      </w:r>
      <w:r>
        <w:rPr/>
        <w:t>to the opposition scoring area are therefore intrinsically of higher value as a team is more likely to score points/goals the closer they get to the scoring area.</w:t>
      </w:r>
    </w:p>
    <w:p>
      <w:pPr>
        <w:pStyle w:val="BodyText"/>
        <w:spacing w:line="312" w:lineRule="auto"/>
        <w:ind w:left="610" w:right="389" w:firstLine="351"/>
        <w:jc w:val="both"/>
      </w:pPr>
      <w:r>
        <w:rPr/>
        <w:t>The</w:t>
      </w:r>
      <w:r>
        <w:rPr>
          <w:spacing w:val="-2"/>
        </w:rPr>
        <w:t> </w:t>
      </w:r>
      <w:r>
        <w:rPr/>
        <w:t>concept</w:t>
      </w:r>
      <w:r>
        <w:rPr>
          <w:spacing w:val="-2"/>
        </w:rPr>
        <w:t> </w:t>
      </w:r>
      <w:r>
        <w:rPr/>
        <w:t>of</w:t>
      </w:r>
      <w:r>
        <w:rPr>
          <w:spacing w:val="-2"/>
        </w:rPr>
        <w:t> </w:t>
      </w:r>
      <w:r>
        <w:rPr/>
        <w:t>EPV</w:t>
      </w:r>
      <w:r>
        <w:rPr>
          <w:spacing w:val="-2"/>
        </w:rPr>
        <w:t> </w:t>
      </w:r>
      <w:r>
        <w:rPr/>
        <w:t>was</w:t>
      </w:r>
      <w:r>
        <w:rPr>
          <w:spacing w:val="-2"/>
        </w:rPr>
        <w:t> </w:t>
      </w:r>
      <w:r>
        <w:rPr/>
        <w:t>introduced</w:t>
      </w:r>
      <w:r>
        <w:rPr>
          <w:spacing w:val="-2"/>
        </w:rPr>
        <w:t> </w:t>
      </w:r>
      <w:r>
        <w:rPr/>
        <w:t>by</w:t>
      </w:r>
      <w:hyperlink w:history="true" w:anchor="_bookmark231">
        <w:r>
          <w:rPr>
            <w:color w:val="FF0000"/>
          </w:rPr>
          <w:t>Cervone</w:t>
        </w:r>
        <w:r>
          <w:rPr>
            <w:color w:val="FF0000"/>
            <w:spacing w:val="-2"/>
          </w:rPr>
          <w:t> </w:t>
        </w:r>
        <w:r>
          <w:rPr>
            <w:color w:val="FF0000"/>
          </w:rPr>
          <w:t>et</w:t>
        </w:r>
        <w:r>
          <w:rPr>
            <w:color w:val="FF0000"/>
            <w:spacing w:val="-2"/>
          </w:rPr>
          <w:t> </w:t>
        </w:r>
        <w:r>
          <w:rPr>
            <w:color w:val="FF0000"/>
          </w:rPr>
          <w:t>al.</w:t>
        </w:r>
        <w:r>
          <w:rPr/>
          <w:t>(</w:t>
        </w:r>
      </w:hyperlink>
      <w:hyperlink w:history="true" w:anchor="_bookmark231">
        <w:r>
          <w:rPr>
            <w:color w:val="FF0000"/>
          </w:rPr>
          <w:t>2016</w:t>
        </w:r>
        <w:r>
          <w:rPr/>
          <w:t>)</w:t>
        </w:r>
      </w:hyperlink>
      <w:r>
        <w:rPr>
          <w:spacing w:val="-2"/>
        </w:rPr>
        <w:t> </w:t>
      </w:r>
      <w:r>
        <w:rPr/>
        <w:t>in</w:t>
      </w:r>
      <w:r>
        <w:rPr>
          <w:spacing w:val="-2"/>
        </w:rPr>
        <w:t> </w:t>
      </w:r>
      <w:r>
        <w:rPr/>
        <w:t>basketball</w:t>
      </w:r>
      <w:r>
        <w:rPr>
          <w:spacing w:val="-2"/>
        </w:rPr>
        <w:t> </w:t>
      </w:r>
      <w:r>
        <w:rPr/>
        <w:t>to</w:t>
      </w:r>
      <w:r>
        <w:rPr>
          <w:spacing w:val="-2"/>
        </w:rPr>
        <w:t> </w:t>
      </w:r>
      <w:r>
        <w:rPr/>
        <w:t>quantify the value of controlling the ball in any location on the pitch (Definition</w:t>
      </w:r>
      <w:hyperlink w:history="true" w:anchor="_bookmark23">
        <w:r>
          <w:rPr>
            <w:color w:val="0000FF"/>
          </w:rPr>
          <w:t>2.2.2</w:t>
        </w:r>
      </w:hyperlink>
      <w:r>
        <w:rPr/>
        <w:t>).</w:t>
      </w:r>
      <w:r>
        <w:rPr>
          <w:spacing w:val="40"/>
        </w:rPr>
        <w:t> </w:t>
      </w:r>
      <w:r>
        <w:rPr/>
        <w:t>Unlike spatial</w:t>
      </w:r>
      <w:r>
        <w:rPr>
          <w:spacing w:val="-6"/>
        </w:rPr>
        <w:t> </w:t>
      </w:r>
      <w:r>
        <w:rPr/>
        <w:t>trends</w:t>
      </w:r>
      <w:r>
        <w:rPr>
          <w:spacing w:val="-5"/>
        </w:rPr>
        <w:t> </w:t>
      </w:r>
      <w:r>
        <w:rPr/>
        <w:t>analyses,</w:t>
      </w:r>
      <w:r>
        <w:rPr>
          <w:spacing w:val="-4"/>
        </w:rPr>
        <w:t> </w:t>
      </w:r>
      <w:r>
        <w:rPr/>
        <w:t>EPV</w:t>
      </w:r>
      <w:r>
        <w:rPr>
          <w:spacing w:val="-5"/>
        </w:rPr>
        <w:t> </w:t>
      </w:r>
      <w:r>
        <w:rPr/>
        <w:t>has</w:t>
      </w:r>
      <w:r>
        <w:rPr>
          <w:spacing w:val="-6"/>
        </w:rPr>
        <w:t> </w:t>
      </w:r>
      <w:r>
        <w:rPr/>
        <w:t>received</w:t>
      </w:r>
      <w:r>
        <w:rPr>
          <w:spacing w:val="-5"/>
        </w:rPr>
        <w:t> </w:t>
      </w:r>
      <w:r>
        <w:rPr/>
        <w:t>significant</w:t>
      </w:r>
      <w:r>
        <w:rPr>
          <w:spacing w:val="-5"/>
        </w:rPr>
        <w:t> </w:t>
      </w:r>
      <w:r>
        <w:rPr/>
        <w:t>attention</w:t>
      </w:r>
      <w:r>
        <w:rPr>
          <w:spacing w:val="-5"/>
        </w:rPr>
        <w:t> </w:t>
      </w:r>
      <w:r>
        <w:rPr/>
        <w:t>within</w:t>
      </w:r>
      <w:r>
        <w:rPr>
          <w:spacing w:val="-5"/>
        </w:rPr>
        <w:t> </w:t>
      </w:r>
      <w:r>
        <w:rPr/>
        <w:t>the</w:t>
      </w:r>
      <w:r>
        <w:rPr>
          <w:spacing w:val="-5"/>
        </w:rPr>
        <w:t> </w:t>
      </w:r>
      <w:r>
        <w:rPr/>
        <w:t>sports</w:t>
      </w:r>
      <w:r>
        <w:rPr>
          <w:spacing w:val="-6"/>
        </w:rPr>
        <w:t> </w:t>
      </w:r>
      <w:r>
        <w:rPr>
          <w:spacing w:val="-2"/>
        </w:rPr>
        <w:t>analytics</w:t>
      </w:r>
    </w:p>
    <w:p>
      <w:pPr>
        <w:pStyle w:val="BodyText"/>
        <w:spacing w:line="274" w:lineRule="exact"/>
        <w:ind w:left="610"/>
      </w:pPr>
      <w:r>
        <w:rPr/>
        <w:t>literature</w:t>
      </w:r>
      <w:r>
        <w:rPr>
          <w:spacing w:val="1"/>
        </w:rPr>
        <w:t> </w:t>
      </w:r>
      <w:r>
        <w:rPr/>
        <w:t>and</w:t>
      </w:r>
      <w:r>
        <w:rPr>
          <w:spacing w:val="1"/>
        </w:rPr>
        <w:t> </w:t>
      </w:r>
      <w:r>
        <w:rPr/>
        <w:t>has</w:t>
      </w:r>
      <w:r>
        <w:rPr>
          <w:spacing w:val="1"/>
        </w:rPr>
        <w:t> </w:t>
      </w:r>
      <w:r>
        <w:rPr/>
        <w:t>since</w:t>
      </w:r>
      <w:r>
        <w:rPr>
          <w:spacing w:val="1"/>
        </w:rPr>
        <w:t> </w:t>
      </w:r>
      <w:r>
        <w:rPr/>
        <w:t>been</w:t>
      </w:r>
      <w:r>
        <w:rPr>
          <w:spacing w:val="2"/>
        </w:rPr>
        <w:t> </w:t>
      </w:r>
      <w:r>
        <w:rPr/>
        <w:t>adapted</w:t>
      </w:r>
      <w:r>
        <w:rPr>
          <w:spacing w:val="1"/>
        </w:rPr>
        <w:t> </w:t>
      </w:r>
      <w:r>
        <w:rPr/>
        <w:t>to</w:t>
      </w:r>
      <w:r>
        <w:rPr>
          <w:spacing w:val="1"/>
        </w:rPr>
        <w:t> </w:t>
      </w:r>
      <w:r>
        <w:rPr/>
        <w:t>football</w:t>
      </w:r>
      <w:r>
        <w:rPr>
          <w:spacing w:val="1"/>
        </w:rPr>
        <w:t> </w:t>
      </w:r>
      <w:r>
        <w:rPr/>
        <w:t>(</w:t>
      </w:r>
      <w:hyperlink w:history="true" w:anchor="_bookmark239">
        <w:r>
          <w:rPr>
            <w:color w:val="FF0000"/>
          </w:rPr>
          <w:t>Decroos</w:t>
        </w:r>
        <w:r>
          <w:rPr>
            <w:color w:val="FF0000"/>
            <w:spacing w:val="1"/>
          </w:rPr>
          <w:t> </w:t>
        </w:r>
        <w:r>
          <w:rPr>
            <w:color w:val="FF0000"/>
          </w:rPr>
          <w:t>et</w:t>
        </w:r>
        <w:r>
          <w:rPr>
            <w:color w:val="FF0000"/>
            <w:spacing w:val="2"/>
          </w:rPr>
          <w:t> </w:t>
        </w:r>
        <w:r>
          <w:rPr>
            <w:color w:val="FF0000"/>
          </w:rPr>
          <w:t>al.</w:t>
        </w:r>
      </w:hyperlink>
      <w:r>
        <w:rPr/>
        <w:t>,</w:t>
      </w:r>
      <w:hyperlink w:history="true" w:anchor="_bookmark239">
        <w:r>
          <w:rPr>
            <w:color w:val="FF0000"/>
          </w:rPr>
          <w:t>2019</w:t>
        </w:r>
        <w:r>
          <w:rPr/>
          <w:t>;</w:t>
        </w:r>
      </w:hyperlink>
      <w:r>
        <w:rPr>
          <w:color w:val="FF0000"/>
        </w:rPr>
        <w:t>Fern</w:t>
      </w:r>
      <w:r>
        <w:rPr>
          <w:color w:val="FF0000"/>
          <w:spacing w:val="62"/>
        </w:rPr>
        <w:t> </w:t>
      </w:r>
      <w:hyperlink w:history="true" w:anchor="_bookmark243">
        <w:r>
          <w:rPr>
            <w:color w:val="FF0000"/>
            <w:spacing w:val="-80"/>
          </w:rPr>
          <w:t>a</w:t>
        </w:r>
        <w:r>
          <w:rPr>
            <w:color w:val="FF0000"/>
            <w:spacing w:val="26"/>
          </w:rPr>
          <w:t>´</w:t>
        </w:r>
        <w:r>
          <w:rPr>
            <w:color w:val="FF0000"/>
            <w:spacing w:val="13"/>
          </w:rPr>
          <w:t>ndez</w:t>
        </w:r>
        <w:r>
          <w:rPr>
            <w:color w:val="FF0000"/>
            <w:spacing w:val="1"/>
          </w:rPr>
          <w:t> </w:t>
        </w:r>
        <w:r>
          <w:rPr>
            <w:color w:val="FF0000"/>
          </w:rPr>
          <w:t>et</w:t>
        </w:r>
        <w:r>
          <w:rPr>
            <w:color w:val="FF0000"/>
            <w:spacing w:val="1"/>
          </w:rPr>
          <w:t> </w:t>
        </w:r>
        <w:r>
          <w:rPr>
            <w:color w:val="FF0000"/>
            <w:spacing w:val="-4"/>
          </w:rPr>
          <w:t>al.</w:t>
        </w:r>
      </w:hyperlink>
      <w:r>
        <w:rPr>
          <w:spacing w:val="-4"/>
        </w:rPr>
        <w:t>,</w:t>
      </w:r>
    </w:p>
    <w:p>
      <w:pPr>
        <w:pStyle w:val="BodyText"/>
        <w:spacing w:line="312" w:lineRule="auto" w:before="82"/>
        <w:ind w:left="610" w:right="389"/>
      </w:pPr>
      <w:hyperlink w:history="true" w:anchor="_bookmark243">
        <w:r>
          <w:rPr>
            <w:color w:val="FF0000"/>
          </w:rPr>
          <w:t>2021</w:t>
        </w:r>
      </w:hyperlink>
      <w:r>
        <w:rPr/>
        <w:t>;</w:t>
      </w:r>
      <w:hyperlink w:history="true" w:anchor="_bookmark294">
        <w:r>
          <w:rPr>
            <w:color w:val="FF0000"/>
          </w:rPr>
          <w:t>Singh</w:t>
        </w:r>
        <w:r>
          <w:rPr/>
          <w:t>,</w:t>
        </w:r>
      </w:hyperlink>
      <w:r>
        <w:rPr>
          <w:color w:val="FF0000"/>
        </w:rPr>
        <w:t>n.d.</w:t>
      </w:r>
      <w:hyperlink w:history="true" w:anchor="_bookmark294">
        <w:r>
          <w:rPr/>
          <w:t>)</w:t>
        </w:r>
      </w:hyperlink>
      <w:r>
        <w:rPr>
          <w:spacing w:val="40"/>
        </w:rPr>
        <w:t> </w:t>
      </w:r>
      <w:r>
        <w:rPr/>
        <w:t>and ice hockey (</w:t>
      </w:r>
      <w:r>
        <w:rPr>
          <w:color w:val="FF0000"/>
        </w:rPr>
        <w:t>Liu </w:t>
      </w:r>
      <w:hyperlink w:history="true" w:anchor="_bookmark270">
        <w:r>
          <w:rPr>
            <w:color w:val="FF0000"/>
          </w:rPr>
          <w:t>and Schulte</w:t>
        </w:r>
        <w:r>
          <w:rPr/>
          <w:t>,</w:t>
        </w:r>
      </w:hyperlink>
      <w:r>
        <w:rPr>
          <w:color w:val="FF0000"/>
        </w:rPr>
        <w:t>2018</w:t>
      </w:r>
      <w:hyperlink w:history="true" w:anchor="_bookmark270">
        <w:r>
          <w:rPr/>
          <w:t>;</w:t>
        </w:r>
      </w:hyperlink>
      <w:r>
        <w:rPr>
          <w:color w:val="FF0000"/>
        </w:rPr>
        <w:t>Routle</w:t>
      </w:r>
      <w:hyperlink w:history="true" w:anchor="_bookmark287">
        <w:r>
          <w:rPr>
            <w:color w:val="FF0000"/>
          </w:rPr>
          <w:t>y and Schulte</w:t>
        </w:r>
        <w:r>
          <w:rPr/>
          <w:t>,</w:t>
        </w:r>
      </w:hyperlink>
      <w:r>
        <w:rPr>
          <w:color w:val="FF0000"/>
        </w:rPr>
        <w:t>2015</w:t>
      </w:r>
      <w:hyperlink w:history="true" w:anchor="_bookmark287">
        <w:r>
          <w:rPr/>
          <w:t>),</w:t>
        </w:r>
      </w:hyperlink>
      <w:r>
        <w:rPr/>
        <w:t> amongst other sports (</w:t>
      </w:r>
      <w:hyperlink w:history="true" w:anchor="_bookmark230">
        <w:r>
          <w:rPr>
            <w:color w:val="FF0000"/>
          </w:rPr>
          <w:t>Bukiet et al.</w:t>
        </w:r>
      </w:hyperlink>
      <w:r>
        <w:rPr/>
        <w:t>,</w:t>
      </w:r>
      <w:hyperlink w:history="true" w:anchor="_bookmark230">
        <w:r>
          <w:rPr>
            <w:color w:val="FF0000"/>
          </w:rPr>
          <w:t>1997</w:t>
        </w:r>
        <w:r>
          <w:rPr/>
          <w:t>;</w:t>
        </w:r>
      </w:hyperlink>
      <w:hyperlink w:history="true" w:anchor="_bookmark232">
        <w:r>
          <w:rPr>
            <w:color w:val="FF0000"/>
          </w:rPr>
          <w:t>Chan et al.</w:t>
        </w:r>
        <w:r>
          <w:rPr/>
          <w:t>,</w:t>
        </w:r>
      </w:hyperlink>
      <w:r>
        <w:rPr>
          <w:color w:val="FF0000"/>
        </w:rPr>
        <w:t>2021</w:t>
      </w:r>
      <w:hyperlink w:history="true" w:anchor="_bookmark232">
        <w:r>
          <w:rPr/>
          <w:t>).</w:t>
        </w:r>
      </w:hyperlink>
      <w:r>
        <w:rPr>
          <w:spacing w:val="40"/>
        </w:rPr>
        <w:t> </w:t>
      </w:r>
      <w:r>
        <w:rPr/>
        <w:t>However, the name of the measure,</w:t>
      </w:r>
      <w:r>
        <w:rPr>
          <w:spacing w:val="-10"/>
        </w:rPr>
        <w:t> </w:t>
      </w:r>
      <w:r>
        <w:rPr/>
        <w:t>the</w:t>
      </w:r>
      <w:r>
        <w:rPr>
          <w:spacing w:val="-12"/>
        </w:rPr>
        <w:t> </w:t>
      </w:r>
      <w:r>
        <w:rPr/>
        <w:t>method</w:t>
      </w:r>
      <w:r>
        <w:rPr>
          <w:spacing w:val="-12"/>
        </w:rPr>
        <w:t> </w:t>
      </w:r>
      <w:r>
        <w:rPr/>
        <w:t>used</w:t>
      </w:r>
      <w:r>
        <w:rPr>
          <w:spacing w:val="-12"/>
        </w:rPr>
        <w:t> </w:t>
      </w:r>
      <w:r>
        <w:rPr/>
        <w:t>to</w:t>
      </w:r>
      <w:r>
        <w:rPr>
          <w:spacing w:val="-12"/>
        </w:rPr>
        <w:t> </w:t>
      </w:r>
      <w:r>
        <w:rPr/>
        <w:t>calculate</w:t>
      </w:r>
      <w:r>
        <w:rPr>
          <w:spacing w:val="-12"/>
        </w:rPr>
        <w:t> </w:t>
      </w:r>
      <w:r>
        <w:rPr/>
        <w:t>it</w:t>
      </w:r>
      <w:r>
        <w:rPr>
          <w:spacing w:val="-12"/>
        </w:rPr>
        <w:t> </w:t>
      </w:r>
      <w:r>
        <w:rPr/>
        <w:t>and</w:t>
      </w:r>
      <w:r>
        <w:rPr>
          <w:spacing w:val="-11"/>
        </w:rPr>
        <w:t> </w:t>
      </w:r>
      <w:r>
        <w:rPr/>
        <w:t>its</w:t>
      </w:r>
      <w:r>
        <w:rPr>
          <w:spacing w:val="-12"/>
        </w:rPr>
        <w:t> </w:t>
      </w:r>
      <w:r>
        <w:rPr/>
        <w:t>subsequent</w:t>
      </w:r>
      <w:r>
        <w:rPr>
          <w:spacing w:val="-12"/>
        </w:rPr>
        <w:t> </w:t>
      </w:r>
      <w:r>
        <w:rPr/>
        <w:t>usefulness</w:t>
      </w:r>
      <w:r>
        <w:rPr>
          <w:spacing w:val="-12"/>
        </w:rPr>
        <w:t> </w:t>
      </w:r>
      <w:r>
        <w:rPr/>
        <w:t>to</w:t>
      </w:r>
      <w:r>
        <w:rPr>
          <w:spacing w:val="-12"/>
        </w:rPr>
        <w:t> </w:t>
      </w:r>
      <w:r>
        <w:rPr/>
        <w:t>decision</w:t>
      </w:r>
      <w:r>
        <w:rPr>
          <w:spacing w:val="-12"/>
        </w:rPr>
        <w:t> </w:t>
      </w:r>
      <w:r>
        <w:rPr/>
        <w:t>making </w:t>
      </w:r>
      <w:r>
        <w:rPr>
          <w:spacing w:val="-2"/>
        </w:rPr>
        <w:t>in</w:t>
      </w:r>
      <w:r>
        <w:rPr>
          <w:spacing w:val="-9"/>
        </w:rPr>
        <w:t> </w:t>
      </w:r>
      <w:r>
        <w:rPr>
          <w:spacing w:val="-2"/>
        </w:rPr>
        <w:t>sports</w:t>
      </w:r>
      <w:r>
        <w:rPr>
          <w:spacing w:val="-9"/>
        </w:rPr>
        <w:t> </w:t>
      </w:r>
      <w:r>
        <w:rPr>
          <w:spacing w:val="-2"/>
        </w:rPr>
        <w:t>is</w:t>
      </w:r>
      <w:r>
        <w:rPr>
          <w:spacing w:val="-10"/>
        </w:rPr>
        <w:t> </w:t>
      </w:r>
      <w:r>
        <w:rPr>
          <w:spacing w:val="-2"/>
        </w:rPr>
        <w:t>highly</w:t>
      </w:r>
      <w:r>
        <w:rPr>
          <w:spacing w:val="-9"/>
        </w:rPr>
        <w:t> </w:t>
      </w:r>
      <w:r>
        <w:rPr>
          <w:spacing w:val="-2"/>
        </w:rPr>
        <w:t>variable.</w:t>
      </w:r>
      <w:r>
        <w:rPr>
          <w:spacing w:val="15"/>
        </w:rPr>
        <w:t> </w:t>
      </w:r>
      <w:r>
        <w:rPr>
          <w:spacing w:val="-2"/>
        </w:rPr>
        <w:t>Broadly,</w:t>
      </w:r>
      <w:r>
        <w:rPr>
          <w:spacing w:val="-7"/>
        </w:rPr>
        <w:t> </w:t>
      </w:r>
      <w:r>
        <w:rPr>
          <w:spacing w:val="-2"/>
        </w:rPr>
        <w:t>four</w:t>
      </w:r>
      <w:r>
        <w:rPr>
          <w:spacing w:val="-9"/>
        </w:rPr>
        <w:t> </w:t>
      </w:r>
      <w:r>
        <w:rPr>
          <w:spacing w:val="-2"/>
        </w:rPr>
        <w:t>methods</w:t>
      </w:r>
      <w:r>
        <w:rPr>
          <w:spacing w:val="-9"/>
        </w:rPr>
        <w:t> </w:t>
      </w:r>
      <w:r>
        <w:rPr>
          <w:spacing w:val="-2"/>
        </w:rPr>
        <w:t>have</w:t>
      </w:r>
      <w:r>
        <w:rPr>
          <w:spacing w:val="-9"/>
        </w:rPr>
        <w:t> </w:t>
      </w:r>
      <w:r>
        <w:rPr>
          <w:spacing w:val="-2"/>
        </w:rPr>
        <w:t>been</w:t>
      </w:r>
      <w:r>
        <w:rPr>
          <w:spacing w:val="-9"/>
        </w:rPr>
        <w:t> </w:t>
      </w:r>
      <w:r>
        <w:rPr>
          <w:spacing w:val="-2"/>
        </w:rPr>
        <w:t>used</w:t>
      </w:r>
      <w:r>
        <w:rPr>
          <w:spacing w:val="-9"/>
        </w:rPr>
        <w:t> </w:t>
      </w:r>
      <w:r>
        <w:rPr>
          <w:spacing w:val="-2"/>
        </w:rPr>
        <w:t>to</w:t>
      </w:r>
      <w:r>
        <w:rPr>
          <w:spacing w:val="-10"/>
        </w:rPr>
        <w:t> </w:t>
      </w:r>
      <w:r>
        <w:rPr>
          <w:spacing w:val="-2"/>
        </w:rPr>
        <w:t>analyse</w:t>
      </w:r>
      <w:r>
        <w:rPr>
          <w:spacing w:val="-9"/>
        </w:rPr>
        <w:t> </w:t>
      </w:r>
      <w:r>
        <w:rPr>
          <w:spacing w:val="-2"/>
        </w:rPr>
        <w:t>EPV</w:t>
      </w:r>
      <w:r>
        <w:rPr>
          <w:spacing w:val="-9"/>
        </w:rPr>
        <w:t> </w:t>
      </w:r>
      <w:r>
        <w:rPr>
          <w:spacing w:val="-2"/>
        </w:rPr>
        <w:t>models: </w:t>
      </w:r>
      <w:r>
        <w:rPr>
          <w:i/>
        </w:rPr>
        <w:t>deep</w:t>
      </w:r>
      <w:r>
        <w:rPr>
          <w:i/>
          <w:spacing w:val="-11"/>
        </w:rPr>
        <w:t> </w:t>
      </w:r>
      <w:r>
        <w:rPr>
          <w:i/>
        </w:rPr>
        <w:t>learning</w:t>
      </w:r>
      <w:r>
        <w:rPr>
          <w:i/>
          <w:spacing w:val="-11"/>
        </w:rPr>
        <w:t> </w:t>
      </w:r>
      <w:r>
        <w:rPr/>
        <w:t>approaches;</w:t>
      </w:r>
      <w:r>
        <w:rPr>
          <w:spacing w:val="-11"/>
        </w:rPr>
        <w:t> </w:t>
      </w:r>
      <w:r>
        <w:rPr>
          <w:i/>
        </w:rPr>
        <w:t>Markovian</w:t>
      </w:r>
      <w:r>
        <w:rPr>
          <w:i/>
          <w:spacing w:val="-11"/>
        </w:rPr>
        <w:t> </w:t>
      </w:r>
      <w:r>
        <w:rPr/>
        <w:t>approaches</w:t>
      </w:r>
      <w:r>
        <w:rPr>
          <w:spacing w:val="-11"/>
        </w:rPr>
        <w:t> </w:t>
      </w:r>
      <w:r>
        <w:rPr/>
        <w:t>(e.g. reinforcement</w:t>
      </w:r>
      <w:r>
        <w:rPr>
          <w:spacing w:val="-11"/>
        </w:rPr>
        <w:t> </w:t>
      </w:r>
      <w:r>
        <w:rPr/>
        <w:t>learning);</w:t>
      </w:r>
      <w:r>
        <w:rPr>
          <w:spacing w:val="-11"/>
        </w:rPr>
        <w:t> </w:t>
      </w:r>
      <w:r>
        <w:rPr>
          <w:i/>
        </w:rPr>
        <w:t>machine</w:t>
      </w:r>
      <w:r>
        <w:rPr>
          <w:i/>
        </w:rPr>
        <w:t> learning </w:t>
      </w:r>
      <w:r>
        <w:rPr/>
        <w:t>approaches (e.g. CatBoost algorithms); and </w:t>
      </w:r>
      <w:r>
        <w:rPr>
          <w:i/>
        </w:rPr>
        <w:t>Bayesian </w:t>
      </w:r>
      <w:r>
        <w:rPr/>
        <w:t>analysis.</w:t>
      </w:r>
    </w:p>
    <w:p>
      <w:pPr>
        <w:pStyle w:val="BodyText"/>
        <w:spacing w:line="312" w:lineRule="auto" w:before="149"/>
        <w:ind w:left="610" w:right="389"/>
        <w:jc w:val="both"/>
      </w:pPr>
      <w:bookmarkStart w:name="_bookmark23" w:id="48"/>
      <w:bookmarkEnd w:id="48"/>
      <w:r>
        <w:rPr/>
      </w:r>
      <w:r>
        <w:rPr>
          <w:b/>
        </w:rPr>
        <w:t>Definition</w:t>
      </w:r>
      <w:r>
        <w:rPr>
          <w:b/>
          <w:spacing w:val="-15"/>
        </w:rPr>
        <w:t> </w:t>
      </w:r>
      <w:r>
        <w:rPr>
          <w:b/>
        </w:rPr>
        <w:t>2.2.2.</w:t>
      </w:r>
      <w:r>
        <w:rPr>
          <w:b/>
          <w:spacing w:val="17"/>
        </w:rPr>
        <w:t> </w:t>
      </w:r>
      <w:r>
        <w:rPr/>
        <w:t>EPV</w:t>
      </w:r>
      <w:r>
        <w:rPr>
          <w:spacing w:val="-15"/>
        </w:rPr>
        <w:t> </w:t>
      </w:r>
      <w:r>
        <w:rPr/>
        <w:t>provides</w:t>
      </w:r>
      <w:r>
        <w:rPr>
          <w:spacing w:val="-15"/>
        </w:rPr>
        <w:t> </w:t>
      </w:r>
      <w:r>
        <w:rPr/>
        <w:t>an</w:t>
      </w:r>
      <w:r>
        <w:rPr>
          <w:spacing w:val="-15"/>
        </w:rPr>
        <w:t> </w:t>
      </w:r>
      <w:r>
        <w:rPr/>
        <w:t>instantaneous</w:t>
      </w:r>
      <w:r>
        <w:rPr>
          <w:spacing w:val="-15"/>
        </w:rPr>
        <w:t> </w:t>
      </w:r>
      <w:r>
        <w:rPr/>
        <w:t>snapshot</w:t>
      </w:r>
      <w:r>
        <w:rPr>
          <w:spacing w:val="-15"/>
        </w:rPr>
        <w:t> </w:t>
      </w:r>
      <w:r>
        <w:rPr/>
        <w:t>of</w:t>
      </w:r>
      <w:r>
        <w:rPr>
          <w:spacing w:val="-15"/>
        </w:rPr>
        <w:t> </w:t>
      </w:r>
      <w:r>
        <w:rPr/>
        <w:t>the</w:t>
      </w:r>
      <w:r>
        <w:rPr>
          <w:spacing w:val="-15"/>
        </w:rPr>
        <w:t> </w:t>
      </w:r>
      <w:r>
        <w:rPr/>
        <w:t>possession’s</w:t>
      </w:r>
      <w:r>
        <w:rPr>
          <w:spacing w:val="-15"/>
        </w:rPr>
        <w:t> </w:t>
      </w:r>
      <w:r>
        <w:rPr/>
        <w:t>value</w:t>
      </w:r>
      <w:r>
        <w:rPr>
          <w:spacing w:val="-15"/>
        </w:rPr>
        <w:t> </w:t>
      </w:r>
      <w:r>
        <w:rPr/>
        <w:t>(</w:t>
      </w:r>
      <w:hyperlink w:history="true" w:anchor="_bookmark231">
        <w:r>
          <w:rPr>
            <w:color w:val="FF0000"/>
          </w:rPr>
          <w:t>Cer-</w:t>
        </w:r>
      </w:hyperlink>
      <w:r>
        <w:rPr>
          <w:color w:val="FF0000"/>
        </w:rPr>
        <w:t> </w:t>
      </w:r>
      <w:hyperlink w:history="true" w:anchor="_bookmark231">
        <w:r>
          <w:rPr>
            <w:color w:val="FF0000"/>
          </w:rPr>
          <w:t>vone et al.</w:t>
        </w:r>
      </w:hyperlink>
      <w:r>
        <w:rPr/>
        <w:t>,</w:t>
      </w:r>
      <w:hyperlink w:history="true" w:anchor="_bookmark231">
        <w:r>
          <w:rPr>
            <w:color w:val="FF0000"/>
          </w:rPr>
          <w:t>2016</w:t>
        </w:r>
      </w:hyperlink>
      <w:r>
        <w:rPr/>
        <w:t>). This value is typically measured in terms of the probability of scoring goals/points conditional on the location.</w:t>
      </w:r>
    </w:p>
    <w:p>
      <w:pPr>
        <w:pStyle w:val="BodyText"/>
        <w:spacing w:line="312" w:lineRule="auto" w:before="149"/>
        <w:ind w:left="610" w:right="389" w:firstLine="351"/>
        <w:jc w:val="both"/>
      </w:pPr>
      <w:hyperlink w:history="true" w:anchor="_bookmark231">
        <w:r>
          <w:rPr>
            <w:color w:val="FF0000"/>
          </w:rPr>
          <w:t>Cervone et al.</w:t>
        </w:r>
      </w:hyperlink>
      <w:r>
        <w:rPr/>
        <w:t>(</w:t>
      </w:r>
      <w:hyperlink w:history="true" w:anchor="_bookmark231">
        <w:r>
          <w:rPr>
            <w:color w:val="FF0000"/>
          </w:rPr>
          <w:t>2016</w:t>
        </w:r>
        <w:r>
          <w:rPr/>
          <w:t>)</w:t>
        </w:r>
      </w:hyperlink>
      <w:r>
        <w:rPr/>
        <w:t> used tracking and event level data to produce an EPV model in basketball. The</w:t>
      </w:r>
      <w:r>
        <w:rPr>
          <w:spacing w:val="-3"/>
        </w:rPr>
        <w:t> </w:t>
      </w:r>
      <w:r>
        <w:rPr/>
        <w:t>model</w:t>
      </w:r>
      <w:r>
        <w:rPr>
          <w:spacing w:val="-3"/>
        </w:rPr>
        <w:t> </w:t>
      </w:r>
      <w:r>
        <w:rPr/>
        <w:t>analysed</w:t>
      </w:r>
      <w:r>
        <w:rPr>
          <w:spacing w:val="-3"/>
        </w:rPr>
        <w:t> </w:t>
      </w:r>
      <w:r>
        <w:rPr/>
        <w:t>over</w:t>
      </w:r>
      <w:r>
        <w:rPr>
          <w:spacing w:val="-3"/>
        </w:rPr>
        <w:t> </w:t>
      </w:r>
      <w:r>
        <w:rPr/>
        <w:t>1</w:t>
      </w:r>
      <w:r>
        <w:rPr>
          <w:spacing w:val="-3"/>
        </w:rPr>
        <w:t> </w:t>
      </w:r>
      <w:r>
        <w:rPr/>
        <w:t>billion</w:t>
      </w:r>
      <w:r>
        <w:rPr>
          <w:spacing w:val="-3"/>
        </w:rPr>
        <w:t> </w:t>
      </w:r>
      <w:r>
        <w:rPr/>
        <w:t>space-time</w:t>
      </w:r>
      <w:r>
        <w:rPr>
          <w:spacing w:val="-3"/>
        </w:rPr>
        <w:t> </w:t>
      </w:r>
      <w:r>
        <w:rPr/>
        <w:t>observations</w:t>
      </w:r>
      <w:r>
        <w:rPr>
          <w:spacing w:val="-3"/>
        </w:rPr>
        <w:t> </w:t>
      </w:r>
      <w:r>
        <w:rPr/>
        <w:t>from</w:t>
      </w:r>
      <w:r>
        <w:rPr>
          <w:spacing w:val="-3"/>
        </w:rPr>
        <w:t> </w:t>
      </w:r>
      <w:r>
        <w:rPr/>
        <w:t>the</w:t>
      </w:r>
      <w:r>
        <w:rPr>
          <w:spacing w:val="-3"/>
        </w:rPr>
        <w:t> </w:t>
      </w:r>
      <w:r>
        <w:rPr/>
        <w:t>2013/14 NBA season.</w:t>
      </w:r>
      <w:r>
        <w:rPr>
          <w:spacing w:val="40"/>
        </w:rPr>
        <w:t> </w:t>
      </w:r>
      <w:r>
        <w:rPr/>
        <w:t>The data provided to the authors for analysis were pre-processed to iden- tify the player in possession of the ball, their speed and acceleration, whether they were defended by the opposition at that time point and the court zone they were in.</w:t>
      </w:r>
      <w:r>
        <w:rPr>
          <w:spacing w:val="40"/>
        </w:rPr>
        <w:t> </w:t>
      </w:r>
      <w:r>
        <w:rPr/>
        <w:t>The au- thors</w:t>
      </w:r>
      <w:r>
        <w:rPr>
          <w:spacing w:val="-14"/>
        </w:rPr>
        <w:t> </w:t>
      </w:r>
      <w:r>
        <w:rPr/>
        <w:t>produced</w:t>
      </w:r>
      <w:r>
        <w:rPr>
          <w:spacing w:val="-14"/>
        </w:rPr>
        <w:t> </w:t>
      </w:r>
      <w:r>
        <w:rPr/>
        <w:t>a</w:t>
      </w:r>
      <w:r>
        <w:rPr>
          <w:spacing w:val="-14"/>
        </w:rPr>
        <w:t> </w:t>
      </w:r>
      <w:r>
        <w:rPr/>
        <w:t>multi-resolution</w:t>
      </w:r>
      <w:r>
        <w:rPr>
          <w:spacing w:val="-14"/>
        </w:rPr>
        <w:t> </w:t>
      </w:r>
      <w:r>
        <w:rPr/>
        <w:t>stochastic</w:t>
      </w:r>
      <w:r>
        <w:rPr>
          <w:spacing w:val="-14"/>
        </w:rPr>
        <w:t> </w:t>
      </w:r>
      <w:r>
        <w:rPr/>
        <w:t>model</w:t>
      </w:r>
      <w:r>
        <w:rPr>
          <w:spacing w:val="-14"/>
        </w:rPr>
        <w:t> </w:t>
      </w:r>
      <w:r>
        <w:rPr/>
        <w:t>following</w:t>
      </w:r>
      <w:r>
        <w:rPr>
          <w:spacing w:val="-14"/>
        </w:rPr>
        <w:t> </w:t>
      </w:r>
      <w:r>
        <w:rPr/>
        <w:t>semi-Markovian</w:t>
      </w:r>
      <w:r>
        <w:rPr>
          <w:spacing w:val="-14"/>
        </w:rPr>
        <w:t> </w:t>
      </w:r>
      <w:r>
        <w:rPr/>
        <w:t>principles, which</w:t>
      </w:r>
      <w:r>
        <w:rPr>
          <w:spacing w:val="-1"/>
        </w:rPr>
        <w:t> </w:t>
      </w:r>
      <w:r>
        <w:rPr/>
        <w:t>allowed</w:t>
      </w:r>
      <w:r>
        <w:rPr>
          <w:spacing w:val="-1"/>
        </w:rPr>
        <w:t> </w:t>
      </w:r>
      <w:r>
        <w:rPr/>
        <w:t>movements</w:t>
      </w:r>
      <w:r>
        <w:rPr>
          <w:spacing w:val="-2"/>
        </w:rPr>
        <w:t> </w:t>
      </w:r>
      <w:r>
        <w:rPr/>
        <w:t>of</w:t>
      </w:r>
      <w:r>
        <w:rPr>
          <w:spacing w:val="-1"/>
        </w:rPr>
        <w:t> </w:t>
      </w:r>
      <w:r>
        <w:rPr/>
        <w:t>the</w:t>
      </w:r>
      <w:r>
        <w:rPr>
          <w:spacing w:val="-1"/>
        </w:rPr>
        <w:t> </w:t>
      </w:r>
      <w:r>
        <w:rPr/>
        <w:t>ball</w:t>
      </w:r>
      <w:r>
        <w:rPr>
          <w:spacing w:val="-1"/>
        </w:rPr>
        <w:t> </w:t>
      </w:r>
      <w:r>
        <w:rPr/>
        <w:t>(i.e.</w:t>
      </w:r>
      <w:r>
        <w:rPr>
          <w:spacing w:val="22"/>
        </w:rPr>
        <w:t> </w:t>
      </w:r>
      <w:r>
        <w:rPr/>
        <w:t>match</w:t>
      </w:r>
      <w:r>
        <w:rPr>
          <w:spacing w:val="-1"/>
        </w:rPr>
        <w:t> </w:t>
      </w:r>
      <w:r>
        <w:rPr/>
        <w:t>events)</w:t>
      </w:r>
      <w:r>
        <w:rPr>
          <w:spacing w:val="-1"/>
        </w:rPr>
        <w:t> </w:t>
      </w:r>
      <w:r>
        <w:rPr/>
        <w:t>and</w:t>
      </w:r>
      <w:r>
        <w:rPr>
          <w:spacing w:val="-1"/>
        </w:rPr>
        <w:t> </w:t>
      </w:r>
      <w:r>
        <w:rPr/>
        <w:t>movements</w:t>
      </w:r>
      <w:r>
        <w:rPr>
          <w:spacing w:val="-2"/>
        </w:rPr>
        <w:t> </w:t>
      </w:r>
      <w:r>
        <w:rPr/>
        <w:t>of</w:t>
      </w:r>
      <w:r>
        <w:rPr>
          <w:spacing w:val="-1"/>
        </w:rPr>
        <w:t> </w:t>
      </w:r>
      <w:r>
        <w:rPr/>
        <w:t>players</w:t>
      </w:r>
      <w:r>
        <w:rPr>
          <w:spacing w:val="-1"/>
        </w:rPr>
        <w:t> </w:t>
      </w:r>
      <w:r>
        <w:rPr/>
        <w:t>(i.e. tracking</w:t>
      </w:r>
      <w:r>
        <w:rPr>
          <w:spacing w:val="14"/>
        </w:rPr>
        <w:t> </w:t>
      </w:r>
      <w:r>
        <w:rPr/>
        <w:t>data)</w:t>
      </w:r>
      <w:r>
        <w:rPr>
          <w:spacing w:val="14"/>
        </w:rPr>
        <w:t> </w:t>
      </w:r>
      <w:r>
        <w:rPr/>
        <w:t>to</w:t>
      </w:r>
      <w:r>
        <w:rPr>
          <w:spacing w:val="14"/>
        </w:rPr>
        <w:t> </w:t>
      </w:r>
      <w:r>
        <w:rPr/>
        <w:t>be</w:t>
      </w:r>
      <w:r>
        <w:rPr>
          <w:spacing w:val="14"/>
        </w:rPr>
        <w:t> </w:t>
      </w:r>
      <w:r>
        <w:rPr/>
        <w:t>analysed</w:t>
      </w:r>
      <w:r>
        <w:rPr>
          <w:spacing w:val="14"/>
        </w:rPr>
        <w:t> </w:t>
      </w:r>
      <w:r>
        <w:rPr/>
        <w:t>together</w:t>
      </w:r>
      <w:r>
        <w:rPr>
          <w:spacing w:val="15"/>
        </w:rPr>
        <w:t> </w:t>
      </w:r>
      <w:r>
        <w:rPr/>
        <w:t>with</w:t>
      </w:r>
      <w:r>
        <w:rPr>
          <w:spacing w:val="14"/>
        </w:rPr>
        <w:t> </w:t>
      </w:r>
      <w:r>
        <w:rPr/>
        <w:t>respect</w:t>
      </w:r>
      <w:r>
        <w:rPr>
          <w:spacing w:val="14"/>
        </w:rPr>
        <w:t> </w:t>
      </w:r>
      <w:r>
        <w:rPr/>
        <w:t>to</w:t>
      </w:r>
      <w:r>
        <w:rPr>
          <w:spacing w:val="14"/>
        </w:rPr>
        <w:t> </w:t>
      </w:r>
      <w:r>
        <w:rPr/>
        <w:t>their</w:t>
      </w:r>
      <w:r>
        <w:rPr>
          <w:spacing w:val="14"/>
        </w:rPr>
        <w:t> </w:t>
      </w:r>
      <w:r>
        <w:rPr/>
        <w:t>impact</w:t>
      </w:r>
      <w:r>
        <w:rPr>
          <w:spacing w:val="14"/>
        </w:rPr>
        <w:t> </w:t>
      </w:r>
      <w:r>
        <w:rPr/>
        <w:t>on</w:t>
      </w:r>
      <w:r>
        <w:rPr>
          <w:spacing w:val="15"/>
        </w:rPr>
        <w:t> </w:t>
      </w:r>
      <w:r>
        <w:rPr/>
        <w:t>EPV.</w:t>
      </w:r>
      <w:r>
        <w:rPr>
          <w:spacing w:val="14"/>
        </w:rPr>
        <w:t> </w:t>
      </w:r>
      <w:r>
        <w:rPr/>
        <w:t>In</w:t>
      </w:r>
      <w:r>
        <w:rPr>
          <w:spacing w:val="14"/>
        </w:rPr>
        <w:t> </w:t>
      </w:r>
      <w:r>
        <w:rPr/>
        <w:t>order</w:t>
      </w:r>
      <w:r>
        <w:rPr>
          <w:spacing w:val="14"/>
        </w:rPr>
        <w:t> </w:t>
      </w:r>
      <w:r>
        <w:rPr>
          <w:spacing w:val="-5"/>
        </w:rPr>
        <w:t>to</w:t>
      </w:r>
    </w:p>
    <w:p>
      <w:pPr>
        <w:spacing w:after="0" w:line="312" w:lineRule="auto"/>
        <w:jc w:val="both"/>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pPr>
      <w:r>
        <w:rPr/>
        <w:t>make</w:t>
      </w:r>
      <w:r>
        <w:rPr>
          <w:spacing w:val="-11"/>
        </w:rPr>
        <w:t> </w:t>
      </w:r>
      <w:r>
        <w:rPr/>
        <w:t>the</w:t>
      </w:r>
      <w:r>
        <w:rPr>
          <w:spacing w:val="-11"/>
        </w:rPr>
        <w:t> </w:t>
      </w:r>
      <w:r>
        <w:rPr/>
        <w:t>model</w:t>
      </w:r>
      <w:r>
        <w:rPr>
          <w:spacing w:val="-11"/>
        </w:rPr>
        <w:t> </w:t>
      </w:r>
      <w:r>
        <w:rPr/>
        <w:t>computationally</w:t>
      </w:r>
      <w:r>
        <w:rPr>
          <w:spacing w:val="-11"/>
        </w:rPr>
        <w:t> </w:t>
      </w:r>
      <w:r>
        <w:rPr/>
        <w:t>tractable,</w:t>
      </w:r>
      <w:r>
        <w:rPr>
          <w:spacing w:val="-10"/>
        </w:rPr>
        <w:t> </w:t>
      </w:r>
      <w:r>
        <w:rPr/>
        <w:t>player</w:t>
      </w:r>
      <w:r>
        <w:rPr>
          <w:spacing w:val="-11"/>
        </w:rPr>
        <w:t> </w:t>
      </w:r>
      <w:r>
        <w:rPr/>
        <w:t>data</w:t>
      </w:r>
      <w:r>
        <w:rPr>
          <w:spacing w:val="-11"/>
        </w:rPr>
        <w:t> </w:t>
      </w:r>
      <w:r>
        <w:rPr/>
        <w:t>was</w:t>
      </w:r>
      <w:r>
        <w:rPr>
          <w:spacing w:val="-11"/>
        </w:rPr>
        <w:t> </w:t>
      </w:r>
      <w:r>
        <w:rPr/>
        <w:t>grouped</w:t>
      </w:r>
      <w:r>
        <w:rPr>
          <w:spacing w:val="-11"/>
        </w:rPr>
        <w:t> </w:t>
      </w:r>
      <w:r>
        <w:rPr/>
        <w:t>together</w:t>
      </w:r>
      <w:r>
        <w:rPr>
          <w:spacing w:val="-11"/>
        </w:rPr>
        <w:t> </w:t>
      </w:r>
      <w:r>
        <w:rPr/>
        <w:t>using</w:t>
      </w:r>
      <w:r>
        <w:rPr>
          <w:spacing w:val="-11"/>
        </w:rPr>
        <w:t> </w:t>
      </w:r>
      <w:r>
        <w:rPr/>
        <w:t>player similarity</w:t>
      </w:r>
      <w:r>
        <w:rPr>
          <w:spacing w:val="27"/>
        </w:rPr>
        <w:t> </w:t>
      </w:r>
      <w:r>
        <w:rPr/>
        <w:t>matrices,</w:t>
      </w:r>
      <w:r>
        <w:rPr>
          <w:spacing w:val="34"/>
        </w:rPr>
        <w:t> </w:t>
      </w:r>
      <w:r>
        <w:rPr/>
        <w:t>allowing</w:t>
      </w:r>
      <w:r>
        <w:rPr>
          <w:spacing w:val="27"/>
        </w:rPr>
        <w:t> </w:t>
      </w:r>
      <w:r>
        <w:rPr/>
        <w:t>the</w:t>
      </w:r>
      <w:r>
        <w:rPr>
          <w:spacing w:val="27"/>
        </w:rPr>
        <w:t> </w:t>
      </w:r>
      <w:r>
        <w:rPr/>
        <w:t>authors</w:t>
      </w:r>
      <w:r>
        <w:rPr>
          <w:spacing w:val="27"/>
        </w:rPr>
        <w:t> </w:t>
      </w:r>
      <w:r>
        <w:rPr/>
        <w:t>to</w:t>
      </w:r>
      <w:r>
        <w:rPr>
          <w:spacing w:val="27"/>
        </w:rPr>
        <w:t> </w:t>
      </w:r>
      <w:r>
        <w:rPr/>
        <w:t>share</w:t>
      </w:r>
      <w:r>
        <w:rPr>
          <w:spacing w:val="27"/>
        </w:rPr>
        <w:t> </w:t>
      </w:r>
      <w:r>
        <w:rPr/>
        <w:t>spatial</w:t>
      </w:r>
      <w:r>
        <w:rPr>
          <w:spacing w:val="27"/>
        </w:rPr>
        <w:t> </w:t>
      </w:r>
      <w:r>
        <w:rPr/>
        <w:t>information</w:t>
      </w:r>
      <w:r>
        <w:rPr>
          <w:spacing w:val="27"/>
        </w:rPr>
        <w:t> </w:t>
      </w:r>
      <w:r>
        <w:rPr/>
        <w:t>regarding</w:t>
      </w:r>
      <w:r>
        <w:rPr>
          <w:spacing w:val="27"/>
        </w:rPr>
        <w:t> </w:t>
      </w:r>
      <w:r>
        <w:rPr/>
        <w:t>action preferences between players within their model.</w:t>
      </w:r>
      <w:r>
        <w:rPr>
          <w:spacing w:val="25"/>
        </w:rPr>
        <w:t> </w:t>
      </w:r>
      <w:r>
        <w:rPr/>
        <w:t>The model was able to provide an EPV for</w:t>
      </w:r>
      <w:r>
        <w:rPr>
          <w:spacing w:val="-6"/>
        </w:rPr>
        <w:t> </w:t>
      </w:r>
      <w:r>
        <w:rPr/>
        <w:t>every</w:t>
      </w:r>
      <w:r>
        <w:rPr>
          <w:spacing w:val="-6"/>
        </w:rPr>
        <w:t> </w:t>
      </w:r>
      <w:r>
        <w:rPr/>
        <w:t>action</w:t>
      </w:r>
      <w:r>
        <w:rPr>
          <w:spacing w:val="-6"/>
        </w:rPr>
        <w:t> </w:t>
      </w:r>
      <w:r>
        <w:rPr/>
        <w:t>or</w:t>
      </w:r>
      <w:r>
        <w:rPr>
          <w:spacing w:val="-6"/>
        </w:rPr>
        <w:t> </w:t>
      </w:r>
      <w:r>
        <w:rPr/>
        <w:t>movement</w:t>
      </w:r>
      <w:r>
        <w:rPr>
          <w:spacing w:val="-6"/>
        </w:rPr>
        <w:t> </w:t>
      </w:r>
      <w:r>
        <w:rPr/>
        <w:t>on</w:t>
      </w:r>
      <w:r>
        <w:rPr>
          <w:spacing w:val="-6"/>
        </w:rPr>
        <w:t> </w:t>
      </w:r>
      <w:r>
        <w:rPr/>
        <w:t>the</w:t>
      </w:r>
      <w:r>
        <w:rPr>
          <w:spacing w:val="-6"/>
        </w:rPr>
        <w:t> </w:t>
      </w:r>
      <w:r>
        <w:rPr/>
        <w:t>court. Figure</w:t>
      </w:r>
      <w:hyperlink w:history="true" w:anchor="_bookmark24">
        <w:r>
          <w:rPr>
            <w:color w:val="0000FF"/>
          </w:rPr>
          <w:t>2.6</w:t>
        </w:r>
      </w:hyperlink>
      <w:r>
        <w:rPr/>
        <w:t>visualises</w:t>
      </w:r>
      <w:r>
        <w:rPr>
          <w:spacing w:val="-6"/>
        </w:rPr>
        <w:t> </w:t>
      </w:r>
      <w:r>
        <w:rPr/>
        <w:t>this</w:t>
      </w:r>
      <w:r>
        <w:rPr>
          <w:spacing w:val="-6"/>
        </w:rPr>
        <w:t> </w:t>
      </w:r>
      <w:r>
        <w:rPr/>
        <w:t>process,</w:t>
      </w:r>
      <w:r>
        <w:rPr>
          <w:spacing w:val="-4"/>
        </w:rPr>
        <w:t> </w:t>
      </w:r>
      <w:r>
        <w:rPr/>
        <w:t>showing</w:t>
      </w:r>
      <w:r>
        <w:rPr>
          <w:spacing w:val="-6"/>
        </w:rPr>
        <w:t> </w:t>
      </w:r>
      <w:r>
        <w:rPr/>
        <w:t>the changes</w:t>
      </w:r>
      <w:r>
        <w:rPr>
          <w:spacing w:val="-3"/>
        </w:rPr>
        <w:t> </w:t>
      </w:r>
      <w:r>
        <w:rPr/>
        <w:t>in</w:t>
      </w:r>
      <w:r>
        <w:rPr>
          <w:spacing w:val="-2"/>
        </w:rPr>
        <w:t> </w:t>
      </w:r>
      <w:r>
        <w:rPr/>
        <w:t>EPV</w:t>
      </w:r>
      <w:r>
        <w:rPr>
          <w:spacing w:val="-3"/>
        </w:rPr>
        <w:t> </w:t>
      </w:r>
      <w:r>
        <w:rPr/>
        <w:t>that</w:t>
      </w:r>
      <w:r>
        <w:rPr>
          <w:spacing w:val="-3"/>
        </w:rPr>
        <w:t> </w:t>
      </w:r>
      <w:r>
        <w:rPr/>
        <w:t>occur</w:t>
      </w:r>
      <w:r>
        <w:rPr>
          <w:spacing w:val="-3"/>
        </w:rPr>
        <w:t> </w:t>
      </w:r>
      <w:r>
        <w:rPr/>
        <w:t>during</w:t>
      </w:r>
      <w:r>
        <w:rPr>
          <w:spacing w:val="-2"/>
        </w:rPr>
        <w:t> </w:t>
      </w:r>
      <w:r>
        <w:rPr/>
        <w:t>a</w:t>
      </w:r>
      <w:r>
        <w:rPr>
          <w:spacing w:val="-3"/>
        </w:rPr>
        <w:t> </w:t>
      </w:r>
      <w:r>
        <w:rPr/>
        <w:t>passage</w:t>
      </w:r>
      <w:r>
        <w:rPr>
          <w:spacing w:val="-3"/>
        </w:rPr>
        <w:t> </w:t>
      </w:r>
      <w:r>
        <w:rPr/>
        <w:t>of</w:t>
      </w:r>
      <w:r>
        <w:rPr>
          <w:spacing w:val="-2"/>
        </w:rPr>
        <w:t> </w:t>
      </w:r>
      <w:r>
        <w:rPr/>
        <w:t>play.</w:t>
      </w:r>
      <w:r>
        <w:rPr>
          <w:spacing w:val="18"/>
        </w:rPr>
        <w:t> </w:t>
      </w:r>
      <w:r>
        <w:rPr/>
        <w:t>The</w:t>
      </w:r>
      <w:r>
        <w:rPr>
          <w:spacing w:val="-2"/>
        </w:rPr>
        <w:t> </w:t>
      </w:r>
      <w:r>
        <w:rPr/>
        <w:t>authors</w:t>
      </w:r>
      <w:r>
        <w:rPr>
          <w:spacing w:val="-3"/>
        </w:rPr>
        <w:t> </w:t>
      </w:r>
      <w:r>
        <w:rPr/>
        <w:t>showed</w:t>
      </w:r>
      <w:r>
        <w:rPr>
          <w:spacing w:val="-3"/>
        </w:rPr>
        <w:t> </w:t>
      </w:r>
      <w:r>
        <w:rPr/>
        <w:t>how</w:t>
      </w:r>
      <w:r>
        <w:rPr>
          <w:spacing w:val="-2"/>
        </w:rPr>
        <w:t> </w:t>
      </w:r>
      <w:r>
        <w:rPr/>
        <w:t>the</w:t>
      </w:r>
      <w:r>
        <w:rPr>
          <w:spacing w:val="-3"/>
        </w:rPr>
        <w:t> </w:t>
      </w:r>
      <w:r>
        <w:rPr/>
        <w:t>model could</w:t>
      </w:r>
      <w:r>
        <w:rPr>
          <w:spacing w:val="-13"/>
        </w:rPr>
        <w:t> </w:t>
      </w:r>
      <w:r>
        <w:rPr/>
        <w:t>be</w:t>
      </w:r>
      <w:r>
        <w:rPr>
          <w:spacing w:val="-12"/>
        </w:rPr>
        <w:t> </w:t>
      </w:r>
      <w:r>
        <w:rPr/>
        <w:t>used</w:t>
      </w:r>
      <w:r>
        <w:rPr>
          <w:spacing w:val="-13"/>
        </w:rPr>
        <w:t> </w:t>
      </w:r>
      <w:r>
        <w:rPr/>
        <w:t>to</w:t>
      </w:r>
      <w:r>
        <w:rPr>
          <w:spacing w:val="-12"/>
        </w:rPr>
        <w:t> </w:t>
      </w:r>
      <w:r>
        <w:rPr/>
        <w:t>rate</w:t>
      </w:r>
      <w:r>
        <w:rPr>
          <w:spacing w:val="-13"/>
        </w:rPr>
        <w:t> </w:t>
      </w:r>
      <w:r>
        <w:rPr/>
        <w:t>player</w:t>
      </w:r>
      <w:r>
        <w:rPr>
          <w:spacing w:val="-12"/>
        </w:rPr>
        <w:t> </w:t>
      </w:r>
      <w:r>
        <w:rPr/>
        <w:t>performances</w:t>
      </w:r>
      <w:r>
        <w:rPr>
          <w:spacing w:val="-13"/>
        </w:rPr>
        <w:t> </w:t>
      </w:r>
      <w:r>
        <w:rPr/>
        <w:t>using</w:t>
      </w:r>
      <w:r>
        <w:rPr>
          <w:spacing w:val="-12"/>
        </w:rPr>
        <w:t> </w:t>
      </w:r>
      <w:r>
        <w:rPr/>
        <w:t>an</w:t>
      </w:r>
      <w:r>
        <w:rPr>
          <w:spacing w:val="-13"/>
        </w:rPr>
        <w:t> </w:t>
      </w:r>
      <w:r>
        <w:rPr/>
        <w:t>EPV-added</w:t>
      </w:r>
      <w:r>
        <w:rPr>
          <w:spacing w:val="-12"/>
        </w:rPr>
        <w:t> </w:t>
      </w:r>
      <w:r>
        <w:rPr/>
        <w:t>estimate,</w:t>
      </w:r>
      <w:r>
        <w:rPr>
          <w:spacing w:val="-12"/>
        </w:rPr>
        <w:t> </w:t>
      </w:r>
      <w:r>
        <w:rPr/>
        <w:t>which</w:t>
      </w:r>
      <w:r>
        <w:rPr>
          <w:spacing w:val="-12"/>
        </w:rPr>
        <w:t> </w:t>
      </w:r>
      <w:r>
        <w:rPr/>
        <w:t>compared the</w:t>
      </w:r>
      <w:r>
        <w:rPr>
          <w:spacing w:val="-3"/>
        </w:rPr>
        <w:t> </w:t>
      </w:r>
      <w:r>
        <w:rPr/>
        <w:t>EPV</w:t>
      </w:r>
      <w:r>
        <w:rPr>
          <w:spacing w:val="-3"/>
        </w:rPr>
        <w:t> </w:t>
      </w:r>
      <w:r>
        <w:rPr/>
        <w:t>when</w:t>
      </w:r>
      <w:r>
        <w:rPr>
          <w:spacing w:val="-3"/>
        </w:rPr>
        <w:t> </w:t>
      </w:r>
      <w:r>
        <w:rPr/>
        <w:t>the</w:t>
      </w:r>
      <w:r>
        <w:rPr>
          <w:spacing w:val="-3"/>
        </w:rPr>
        <w:t> </w:t>
      </w:r>
      <w:r>
        <w:rPr/>
        <w:t>player</w:t>
      </w:r>
      <w:r>
        <w:rPr>
          <w:spacing w:val="-3"/>
        </w:rPr>
        <w:t> </w:t>
      </w:r>
      <w:r>
        <w:rPr/>
        <w:t>received</w:t>
      </w:r>
      <w:r>
        <w:rPr>
          <w:spacing w:val="-3"/>
        </w:rPr>
        <w:t> </w:t>
      </w:r>
      <w:r>
        <w:rPr/>
        <w:t>the</w:t>
      </w:r>
      <w:r>
        <w:rPr>
          <w:spacing w:val="-3"/>
        </w:rPr>
        <w:t> </w:t>
      </w:r>
      <w:r>
        <w:rPr/>
        <w:t>ball</w:t>
      </w:r>
      <w:r>
        <w:rPr>
          <w:spacing w:val="-3"/>
        </w:rPr>
        <w:t> </w:t>
      </w:r>
      <w:r>
        <w:rPr/>
        <w:t>to</w:t>
      </w:r>
      <w:r>
        <w:rPr>
          <w:spacing w:val="-3"/>
        </w:rPr>
        <w:t> </w:t>
      </w:r>
      <w:r>
        <w:rPr/>
        <w:t>the</w:t>
      </w:r>
      <w:r>
        <w:rPr>
          <w:spacing w:val="-3"/>
        </w:rPr>
        <w:t> </w:t>
      </w:r>
      <w:r>
        <w:rPr/>
        <w:t>EPV</w:t>
      </w:r>
      <w:r>
        <w:rPr>
          <w:spacing w:val="-3"/>
        </w:rPr>
        <w:t> </w:t>
      </w:r>
      <w:r>
        <w:rPr/>
        <w:t>when</w:t>
      </w:r>
      <w:r>
        <w:rPr>
          <w:spacing w:val="-3"/>
        </w:rPr>
        <w:t> </w:t>
      </w:r>
      <w:r>
        <w:rPr/>
        <w:t>the</w:t>
      </w:r>
      <w:r>
        <w:rPr>
          <w:spacing w:val="-3"/>
        </w:rPr>
        <w:t> </w:t>
      </w:r>
      <w:r>
        <w:rPr/>
        <w:t>player</w:t>
      </w:r>
      <w:r>
        <w:rPr>
          <w:spacing w:val="-3"/>
        </w:rPr>
        <w:t> </w:t>
      </w:r>
      <w:r>
        <w:rPr/>
        <w:t>had</w:t>
      </w:r>
      <w:r>
        <w:rPr>
          <w:spacing w:val="-3"/>
        </w:rPr>
        <w:t> </w:t>
      </w:r>
      <w:r>
        <w:rPr/>
        <w:t>completed</w:t>
      </w:r>
      <w:r>
        <w:rPr>
          <w:spacing w:val="-3"/>
        </w:rPr>
        <w:t> </w:t>
      </w:r>
      <w:r>
        <w:rPr/>
        <w:t>an action or lost the ball.</w:t>
      </w:r>
      <w:r>
        <w:rPr>
          <w:spacing w:val="23"/>
        </w:rPr>
        <w:t> </w:t>
      </w:r>
      <w:r>
        <w:rPr/>
        <w:t>They used this to provide a ranking for the best and worst players in</w:t>
      </w:r>
      <w:r>
        <w:rPr>
          <w:spacing w:val="-2"/>
        </w:rPr>
        <w:t> </w:t>
      </w:r>
      <w:r>
        <w:rPr/>
        <w:t>the</w:t>
      </w:r>
      <w:r>
        <w:rPr>
          <w:spacing w:val="-2"/>
        </w:rPr>
        <w:t> </w:t>
      </w:r>
      <w:r>
        <w:rPr/>
        <w:t>2013/14</w:t>
      </w:r>
      <w:r>
        <w:rPr>
          <w:spacing w:val="-2"/>
        </w:rPr>
        <w:t> </w:t>
      </w:r>
      <w:r>
        <w:rPr/>
        <w:t>season.</w:t>
      </w:r>
      <w:r>
        <w:rPr>
          <w:spacing w:val="19"/>
        </w:rPr>
        <w:t> </w:t>
      </w:r>
      <w:r>
        <w:rPr/>
        <w:t>The</w:t>
      </w:r>
      <w:r>
        <w:rPr>
          <w:spacing w:val="-2"/>
        </w:rPr>
        <w:t> </w:t>
      </w:r>
      <w:r>
        <w:rPr/>
        <w:t>model</w:t>
      </w:r>
      <w:r>
        <w:rPr>
          <w:spacing w:val="-2"/>
        </w:rPr>
        <w:t> </w:t>
      </w:r>
      <w:r>
        <w:rPr/>
        <w:t>provided</w:t>
      </w:r>
      <w:r>
        <w:rPr>
          <w:spacing w:val="-2"/>
        </w:rPr>
        <w:t> </w:t>
      </w:r>
      <w:r>
        <w:rPr/>
        <w:t>a</w:t>
      </w:r>
      <w:r>
        <w:rPr>
          <w:spacing w:val="-2"/>
        </w:rPr>
        <w:t> </w:t>
      </w:r>
      <w:r>
        <w:rPr/>
        <w:t>comprehensive</w:t>
      </w:r>
      <w:r>
        <w:rPr>
          <w:spacing w:val="-2"/>
        </w:rPr>
        <w:t> </w:t>
      </w:r>
      <w:r>
        <w:rPr/>
        <w:t>introduction</w:t>
      </w:r>
      <w:r>
        <w:rPr>
          <w:spacing w:val="-2"/>
        </w:rPr>
        <w:t> </w:t>
      </w:r>
      <w:r>
        <w:rPr/>
        <w:t>to</w:t>
      </w:r>
      <w:r>
        <w:rPr>
          <w:spacing w:val="-2"/>
        </w:rPr>
        <w:t> </w:t>
      </w:r>
      <w:r>
        <w:rPr/>
        <w:t>the</w:t>
      </w:r>
      <w:r>
        <w:rPr>
          <w:spacing w:val="-2"/>
        </w:rPr>
        <w:t> </w:t>
      </w:r>
      <w:r>
        <w:rPr/>
        <w:t>concept of</w:t>
      </w:r>
      <w:r>
        <w:rPr>
          <w:spacing w:val="-12"/>
        </w:rPr>
        <w:t> </w:t>
      </w:r>
      <w:r>
        <w:rPr/>
        <w:t>EPV,</w:t>
      </w:r>
      <w:r>
        <w:rPr>
          <w:spacing w:val="-12"/>
        </w:rPr>
        <w:t> </w:t>
      </w:r>
      <w:r>
        <w:rPr/>
        <w:t>with</w:t>
      </w:r>
      <w:r>
        <w:rPr>
          <w:spacing w:val="-12"/>
        </w:rPr>
        <w:t> </w:t>
      </w:r>
      <w:r>
        <w:rPr/>
        <w:t>elements</w:t>
      </w:r>
      <w:r>
        <w:rPr>
          <w:spacing w:val="-12"/>
        </w:rPr>
        <w:t> </w:t>
      </w:r>
      <w:r>
        <w:rPr/>
        <w:t>which</w:t>
      </w:r>
      <w:r>
        <w:rPr>
          <w:spacing w:val="-12"/>
        </w:rPr>
        <w:t> </w:t>
      </w:r>
      <w:r>
        <w:rPr/>
        <w:t>would</w:t>
      </w:r>
      <w:r>
        <w:rPr>
          <w:spacing w:val="-12"/>
        </w:rPr>
        <w:t> </w:t>
      </w:r>
      <w:r>
        <w:rPr/>
        <w:t>work</w:t>
      </w:r>
      <w:r>
        <w:rPr>
          <w:spacing w:val="-12"/>
        </w:rPr>
        <w:t> </w:t>
      </w:r>
      <w:r>
        <w:rPr/>
        <w:t>in</w:t>
      </w:r>
      <w:r>
        <w:rPr>
          <w:spacing w:val="-12"/>
        </w:rPr>
        <w:t> </w:t>
      </w:r>
      <w:r>
        <w:rPr/>
        <w:t>rugby</w:t>
      </w:r>
      <w:r>
        <w:rPr>
          <w:spacing w:val="-12"/>
        </w:rPr>
        <w:t> </w:t>
      </w:r>
      <w:r>
        <w:rPr/>
        <w:t>league</w:t>
      </w:r>
      <w:r>
        <w:rPr>
          <w:spacing w:val="-12"/>
        </w:rPr>
        <w:t> </w:t>
      </w:r>
      <w:r>
        <w:rPr/>
        <w:t>(e.g. adopting</w:t>
      </w:r>
      <w:r>
        <w:rPr>
          <w:spacing w:val="-12"/>
        </w:rPr>
        <w:t> </w:t>
      </w:r>
      <w:r>
        <w:rPr/>
        <w:t>Markovian</w:t>
      </w:r>
      <w:r>
        <w:rPr>
          <w:spacing w:val="-12"/>
        </w:rPr>
        <w:t> </w:t>
      </w:r>
      <w:r>
        <w:rPr/>
        <w:t>prin- ciples to value multiple point scoring actions at the end of the possession with a single number). However,</w:t>
      </w:r>
      <w:r>
        <w:rPr>
          <w:spacing w:val="-12"/>
        </w:rPr>
        <w:t> </w:t>
      </w:r>
      <w:r>
        <w:rPr/>
        <w:t>data</w:t>
      </w:r>
      <w:r>
        <w:rPr>
          <w:spacing w:val="-12"/>
        </w:rPr>
        <w:t> </w:t>
      </w:r>
      <w:r>
        <w:rPr/>
        <w:t>availability</w:t>
      </w:r>
      <w:r>
        <w:rPr>
          <w:spacing w:val="-12"/>
        </w:rPr>
        <w:t> </w:t>
      </w:r>
      <w:r>
        <w:rPr/>
        <w:t>issues</w:t>
      </w:r>
      <w:r>
        <w:rPr>
          <w:spacing w:val="-13"/>
        </w:rPr>
        <w:t> </w:t>
      </w:r>
      <w:r>
        <w:rPr/>
        <w:t>in</w:t>
      </w:r>
      <w:r>
        <w:rPr>
          <w:spacing w:val="-12"/>
        </w:rPr>
        <w:t> </w:t>
      </w:r>
      <w:r>
        <w:rPr/>
        <w:t>rugby</w:t>
      </w:r>
      <w:r>
        <w:rPr>
          <w:spacing w:val="-13"/>
        </w:rPr>
        <w:t> </w:t>
      </w:r>
      <w:r>
        <w:rPr/>
        <w:t>league</w:t>
      </w:r>
      <w:r>
        <w:rPr>
          <w:spacing w:val="-12"/>
        </w:rPr>
        <w:t> </w:t>
      </w:r>
      <w:r>
        <w:rPr/>
        <w:t>make</w:t>
      </w:r>
      <w:r>
        <w:rPr>
          <w:spacing w:val="-13"/>
        </w:rPr>
        <w:t> </w:t>
      </w:r>
      <w:r>
        <w:rPr/>
        <w:t>it</w:t>
      </w:r>
      <w:r>
        <w:rPr>
          <w:spacing w:val="-12"/>
        </w:rPr>
        <w:t> </w:t>
      </w:r>
      <w:r>
        <w:rPr/>
        <w:t>difficult</w:t>
      </w:r>
      <w:r>
        <w:rPr>
          <w:spacing w:val="-13"/>
        </w:rPr>
        <w:t> </w:t>
      </w:r>
      <w:r>
        <w:rPr/>
        <w:t>to</w:t>
      </w:r>
      <w:r>
        <w:rPr>
          <w:spacing w:val="-12"/>
        </w:rPr>
        <w:t> </w:t>
      </w:r>
      <w:r>
        <w:rPr/>
        <w:t>implement the model directly in the sport (no tracking data is available in rugby league).</w:t>
      </w:r>
      <w:r>
        <w:rPr>
          <w:spacing w:val="40"/>
        </w:rPr>
        <w:t> </w:t>
      </w:r>
      <w:r>
        <w:rPr/>
        <w:t>Further- more,</w:t>
      </w:r>
      <w:r>
        <w:rPr>
          <w:spacing w:val="-5"/>
        </w:rPr>
        <w:t> </w:t>
      </w:r>
      <w:r>
        <w:rPr/>
        <w:t>the</w:t>
      </w:r>
      <w:r>
        <w:rPr>
          <w:spacing w:val="-6"/>
        </w:rPr>
        <w:t> </w:t>
      </w:r>
      <w:r>
        <w:rPr/>
        <w:t>method</w:t>
      </w:r>
      <w:r>
        <w:rPr>
          <w:spacing w:val="-6"/>
        </w:rPr>
        <w:t> </w:t>
      </w:r>
      <w:r>
        <w:rPr/>
        <w:t>through</w:t>
      </w:r>
      <w:r>
        <w:rPr>
          <w:spacing w:val="-6"/>
        </w:rPr>
        <w:t> </w:t>
      </w:r>
      <w:r>
        <w:rPr/>
        <w:t>which</w:t>
      </w:r>
      <w:r>
        <w:rPr>
          <w:spacing w:val="-6"/>
        </w:rPr>
        <w:t> </w:t>
      </w:r>
      <w:r>
        <w:rPr/>
        <w:t>the</w:t>
      </w:r>
      <w:r>
        <w:rPr>
          <w:spacing w:val="-6"/>
        </w:rPr>
        <w:t> </w:t>
      </w:r>
      <w:r>
        <w:rPr/>
        <w:t>EPV</w:t>
      </w:r>
      <w:r>
        <w:rPr>
          <w:spacing w:val="-6"/>
        </w:rPr>
        <w:t> </w:t>
      </w:r>
      <w:r>
        <w:rPr/>
        <w:t>remains</w:t>
      </w:r>
      <w:r>
        <w:rPr>
          <w:spacing w:val="-6"/>
        </w:rPr>
        <w:t> </w:t>
      </w:r>
      <w:r>
        <w:rPr/>
        <w:t>constant</w:t>
      </w:r>
      <w:r>
        <w:rPr>
          <w:spacing w:val="-6"/>
        </w:rPr>
        <w:t> </w:t>
      </w:r>
      <w:r>
        <w:rPr/>
        <w:t>while</w:t>
      </w:r>
      <w:r>
        <w:rPr>
          <w:spacing w:val="-6"/>
        </w:rPr>
        <w:t> </w:t>
      </w:r>
      <w:r>
        <w:rPr/>
        <w:t>an</w:t>
      </w:r>
      <w:r>
        <w:rPr>
          <w:spacing w:val="-6"/>
        </w:rPr>
        <w:t> </w:t>
      </w:r>
      <w:r>
        <w:rPr/>
        <w:t>action</w:t>
      </w:r>
      <w:r>
        <w:rPr>
          <w:spacing w:val="-6"/>
        </w:rPr>
        <w:t> </w:t>
      </w:r>
      <w:r>
        <w:rPr/>
        <w:t>takes</w:t>
      </w:r>
      <w:r>
        <w:rPr>
          <w:spacing w:val="-6"/>
        </w:rPr>
        <w:t> </w:t>
      </w:r>
      <w:r>
        <w:rPr/>
        <w:t>place</w:t>
      </w:r>
      <w:r>
        <w:rPr>
          <w:spacing w:val="-6"/>
        </w:rPr>
        <w:t> </w:t>
      </w:r>
      <w:r>
        <w:rPr/>
        <w:t>is not</w:t>
      </w:r>
      <w:r>
        <w:rPr>
          <w:spacing w:val="-5"/>
        </w:rPr>
        <w:t> </w:t>
      </w:r>
      <w:r>
        <w:rPr/>
        <w:t>suited</w:t>
      </w:r>
      <w:r>
        <w:rPr>
          <w:spacing w:val="-5"/>
        </w:rPr>
        <w:t> </w:t>
      </w:r>
      <w:r>
        <w:rPr/>
        <w:t>to</w:t>
      </w:r>
      <w:r>
        <w:rPr>
          <w:spacing w:val="-5"/>
        </w:rPr>
        <w:t> </w:t>
      </w:r>
      <w:r>
        <w:rPr/>
        <w:t>rugby</w:t>
      </w:r>
      <w:r>
        <w:rPr>
          <w:spacing w:val="-5"/>
        </w:rPr>
        <w:t> </w:t>
      </w:r>
      <w:r>
        <w:rPr/>
        <w:t>league. Whereas</w:t>
      </w:r>
      <w:r>
        <w:rPr>
          <w:spacing w:val="-5"/>
        </w:rPr>
        <w:t> </w:t>
      </w:r>
      <w:r>
        <w:rPr/>
        <w:t>in</w:t>
      </w:r>
      <w:r>
        <w:rPr>
          <w:spacing w:val="-5"/>
        </w:rPr>
        <w:t> </w:t>
      </w:r>
      <w:r>
        <w:rPr/>
        <w:t>basketball</w:t>
      </w:r>
      <w:r>
        <w:rPr>
          <w:spacing w:val="-5"/>
        </w:rPr>
        <w:t> </w:t>
      </w:r>
      <w:r>
        <w:rPr/>
        <w:t>this</w:t>
      </w:r>
      <w:r>
        <w:rPr>
          <w:spacing w:val="-5"/>
        </w:rPr>
        <w:t> </w:t>
      </w:r>
      <w:r>
        <w:rPr/>
        <w:t>works</w:t>
      </w:r>
      <w:r>
        <w:rPr>
          <w:spacing w:val="-5"/>
        </w:rPr>
        <w:t> </w:t>
      </w:r>
      <w:r>
        <w:rPr/>
        <w:t>because</w:t>
      </w:r>
      <w:r>
        <w:rPr>
          <w:spacing w:val="-5"/>
        </w:rPr>
        <w:t> </w:t>
      </w:r>
      <w:r>
        <w:rPr/>
        <w:t>actions</w:t>
      </w:r>
      <w:r>
        <w:rPr>
          <w:spacing w:val="-5"/>
        </w:rPr>
        <w:t> </w:t>
      </w:r>
      <w:r>
        <w:rPr/>
        <w:t>(e.g. passes or</w:t>
      </w:r>
      <w:r>
        <w:rPr>
          <w:spacing w:val="-4"/>
        </w:rPr>
        <w:t> </w:t>
      </w:r>
      <w:r>
        <w:rPr/>
        <w:t>shots)</w:t>
      </w:r>
      <w:r>
        <w:rPr>
          <w:spacing w:val="-4"/>
        </w:rPr>
        <w:t> </w:t>
      </w:r>
      <w:r>
        <w:rPr/>
        <w:t>are</w:t>
      </w:r>
      <w:r>
        <w:rPr>
          <w:spacing w:val="-4"/>
        </w:rPr>
        <w:t> </w:t>
      </w:r>
      <w:r>
        <w:rPr/>
        <w:t>typically</w:t>
      </w:r>
      <w:r>
        <w:rPr>
          <w:spacing w:val="-4"/>
        </w:rPr>
        <w:t> </w:t>
      </w:r>
      <w:r>
        <w:rPr/>
        <w:t>less</w:t>
      </w:r>
      <w:r>
        <w:rPr>
          <w:spacing w:val="-4"/>
        </w:rPr>
        <w:t> </w:t>
      </w:r>
      <w:r>
        <w:rPr/>
        <w:t>than</w:t>
      </w:r>
      <w:r>
        <w:rPr>
          <w:spacing w:val="-4"/>
        </w:rPr>
        <w:t> </w:t>
      </w:r>
      <w:r>
        <w:rPr/>
        <w:t>1</w:t>
      </w:r>
      <w:r>
        <w:rPr>
          <w:spacing w:val="-4"/>
        </w:rPr>
        <w:t> </w:t>
      </w:r>
      <w:r>
        <w:rPr/>
        <w:t>second</w:t>
      </w:r>
      <w:r>
        <w:rPr>
          <w:spacing w:val="-4"/>
        </w:rPr>
        <w:t> </w:t>
      </w:r>
      <w:r>
        <w:rPr/>
        <w:t>in</w:t>
      </w:r>
      <w:r>
        <w:rPr>
          <w:spacing w:val="-4"/>
        </w:rPr>
        <w:t> </w:t>
      </w:r>
      <w:r>
        <w:rPr/>
        <w:t>duration,</w:t>
      </w:r>
      <w:r>
        <w:rPr>
          <w:spacing w:val="-4"/>
        </w:rPr>
        <w:t> </w:t>
      </w:r>
      <w:r>
        <w:rPr/>
        <w:t>in</w:t>
      </w:r>
      <w:r>
        <w:rPr>
          <w:spacing w:val="-4"/>
        </w:rPr>
        <w:t> </w:t>
      </w:r>
      <w:r>
        <w:rPr/>
        <w:t>rugby</w:t>
      </w:r>
      <w:r>
        <w:rPr>
          <w:spacing w:val="-4"/>
        </w:rPr>
        <w:t> </w:t>
      </w:r>
      <w:r>
        <w:rPr/>
        <w:t>league</w:t>
      </w:r>
      <w:r>
        <w:rPr>
          <w:spacing w:val="-4"/>
        </w:rPr>
        <w:t> </w:t>
      </w:r>
      <w:r>
        <w:rPr/>
        <w:t>kick</w:t>
      </w:r>
      <w:r>
        <w:rPr>
          <w:spacing w:val="-4"/>
        </w:rPr>
        <w:t> </w:t>
      </w:r>
      <w:r>
        <w:rPr/>
        <w:t>action</w:t>
      </w:r>
      <w:r>
        <w:rPr>
          <w:spacing w:val="-4"/>
        </w:rPr>
        <w:t> </w:t>
      </w:r>
      <w:r>
        <w:rPr/>
        <w:t>can</w:t>
      </w:r>
      <w:r>
        <w:rPr>
          <w:spacing w:val="-4"/>
        </w:rPr>
        <w:t> </w:t>
      </w:r>
      <w:r>
        <w:rPr/>
        <w:t>fre- quently take 3-5 seconds as a team attempts to gain territory.</w:t>
      </w:r>
      <w:r>
        <w:rPr>
          <w:spacing w:val="31"/>
        </w:rPr>
        <w:t> </w:t>
      </w:r>
      <w:r>
        <w:rPr/>
        <w:t>Consequently, holding the EPV constant for this duration of time, while the ball and players progress as far as 60 metres down the pitch is inappropriate for the requirements of rugby league.</w:t>
      </w:r>
    </w:p>
    <w:p>
      <w:pPr>
        <w:pStyle w:val="BodyText"/>
        <w:spacing w:line="312" w:lineRule="auto"/>
        <w:ind w:left="610" w:right="389" w:firstLine="351"/>
        <w:jc w:val="both"/>
      </w:pPr>
      <w:hyperlink w:history="true" w:anchor="_bookmark243">
        <w:r>
          <w:rPr>
            <w:color w:val="FF0000"/>
            <w:spacing w:val="8"/>
          </w:rPr>
          <w:t>Fer</w:t>
        </w:r>
        <w:r>
          <w:rPr>
            <w:color w:val="FF0000"/>
            <w:spacing w:val="7"/>
          </w:rPr>
          <w:t>n</w:t>
        </w:r>
        <w:r>
          <w:rPr>
            <w:color w:val="FF0000"/>
            <w:spacing w:val="-85"/>
          </w:rPr>
          <w:t>a</w:t>
        </w:r>
        <w:r>
          <w:rPr>
            <w:color w:val="FF0000"/>
            <w:spacing w:val="21"/>
          </w:rPr>
          <w:t>´</w:t>
        </w:r>
        <w:r>
          <w:rPr>
            <w:color w:val="FF0000"/>
            <w:spacing w:val="8"/>
          </w:rPr>
          <w:t>ndez</w:t>
        </w:r>
        <w:r>
          <w:rPr>
            <w:color w:val="FF0000"/>
            <w:spacing w:val="-5"/>
          </w:rPr>
          <w:t> </w:t>
        </w:r>
        <w:r>
          <w:rPr>
            <w:color w:val="FF0000"/>
          </w:rPr>
          <w:t>et</w:t>
        </w:r>
        <w:r>
          <w:rPr>
            <w:color w:val="FF0000"/>
            <w:spacing w:val="-7"/>
          </w:rPr>
          <w:t> </w:t>
        </w:r>
        <w:r>
          <w:rPr>
            <w:color w:val="FF0000"/>
          </w:rPr>
          <w:t>al.</w:t>
        </w:r>
      </w:hyperlink>
      <w:r>
        <w:rPr/>
        <w:t>(</w:t>
      </w:r>
      <w:hyperlink w:history="true" w:anchor="_bookmark243">
        <w:r>
          <w:rPr>
            <w:color w:val="FF0000"/>
          </w:rPr>
          <w:t>2021</w:t>
        </w:r>
        <w:r>
          <w:rPr/>
          <w:t>)</w:t>
        </w:r>
      </w:hyperlink>
      <w:r>
        <w:rPr>
          <w:spacing w:val="-6"/>
        </w:rPr>
        <w:t> </w:t>
      </w:r>
      <w:r>
        <w:rPr/>
        <w:t>produced</w:t>
      </w:r>
      <w:r>
        <w:rPr>
          <w:spacing w:val="-6"/>
        </w:rPr>
        <w:t> </w:t>
      </w:r>
      <w:r>
        <w:rPr/>
        <w:t>a</w:t>
      </w:r>
      <w:r>
        <w:rPr>
          <w:spacing w:val="-6"/>
        </w:rPr>
        <w:t> </w:t>
      </w:r>
      <w:r>
        <w:rPr/>
        <w:t>comprehensive</w:t>
      </w:r>
      <w:r>
        <w:rPr>
          <w:spacing w:val="-7"/>
        </w:rPr>
        <w:t> </w:t>
      </w:r>
      <w:r>
        <w:rPr/>
        <w:t>deep</w:t>
      </w:r>
      <w:r>
        <w:rPr>
          <w:spacing w:val="-6"/>
        </w:rPr>
        <w:t> </w:t>
      </w:r>
      <w:r>
        <w:rPr/>
        <w:t>learning</w:t>
      </w:r>
      <w:r>
        <w:rPr>
          <w:spacing w:val="-6"/>
        </w:rPr>
        <w:t> </w:t>
      </w:r>
      <w:r>
        <w:rPr/>
        <w:t>EPV</w:t>
      </w:r>
      <w:r>
        <w:rPr>
          <w:spacing w:val="-6"/>
        </w:rPr>
        <w:t> </w:t>
      </w:r>
      <w:r>
        <w:rPr/>
        <w:t>model</w:t>
      </w:r>
      <w:r>
        <w:rPr>
          <w:spacing w:val="-7"/>
        </w:rPr>
        <w:t> </w:t>
      </w:r>
      <w:r>
        <w:rPr/>
        <w:t>in</w:t>
      </w:r>
      <w:r>
        <w:rPr>
          <w:spacing w:val="-6"/>
        </w:rPr>
        <w:t> </w:t>
      </w:r>
      <w:r>
        <w:rPr/>
        <w:t>foot- ball.</w:t>
      </w:r>
      <w:r>
        <w:rPr>
          <w:spacing w:val="40"/>
        </w:rPr>
        <w:t> </w:t>
      </w:r>
      <w:r>
        <w:rPr/>
        <w:t>They used 633 English Premier League matches, which took place between </w:t>
      </w:r>
      <w:r>
        <w:rPr/>
        <w:t>the 2013/14</w:t>
      </w:r>
      <w:r>
        <w:rPr>
          <w:spacing w:val="-11"/>
        </w:rPr>
        <w:t> </w:t>
      </w:r>
      <w:r>
        <w:rPr/>
        <w:t>and</w:t>
      </w:r>
      <w:r>
        <w:rPr>
          <w:spacing w:val="-12"/>
        </w:rPr>
        <w:t> </w:t>
      </w:r>
      <w:r>
        <w:rPr/>
        <w:t>2014/15</w:t>
      </w:r>
      <w:r>
        <w:rPr>
          <w:spacing w:val="-11"/>
        </w:rPr>
        <w:t> </w:t>
      </w:r>
      <w:r>
        <w:rPr/>
        <w:t>seasons. A</w:t>
      </w:r>
      <w:r>
        <w:rPr>
          <w:spacing w:val="-11"/>
        </w:rPr>
        <w:t> </w:t>
      </w:r>
      <w:r>
        <w:rPr/>
        <w:t>significant</w:t>
      </w:r>
      <w:r>
        <w:rPr>
          <w:spacing w:val="-11"/>
        </w:rPr>
        <w:t> </w:t>
      </w:r>
      <w:r>
        <w:rPr/>
        <w:t>amount</w:t>
      </w:r>
      <w:r>
        <w:rPr>
          <w:spacing w:val="-12"/>
        </w:rPr>
        <w:t> </w:t>
      </w:r>
      <w:r>
        <w:rPr/>
        <w:t>of</w:t>
      </w:r>
      <w:r>
        <w:rPr>
          <w:spacing w:val="-11"/>
        </w:rPr>
        <w:t> </w:t>
      </w:r>
      <w:r>
        <w:rPr/>
        <w:t>preprocessing</w:t>
      </w:r>
      <w:r>
        <w:rPr>
          <w:spacing w:val="-12"/>
        </w:rPr>
        <w:t> </w:t>
      </w:r>
      <w:r>
        <w:rPr/>
        <w:t>was</w:t>
      </w:r>
      <w:r>
        <w:rPr>
          <w:spacing w:val="-11"/>
        </w:rPr>
        <w:t> </w:t>
      </w:r>
      <w:r>
        <w:rPr/>
        <w:t>used</w:t>
      </w:r>
      <w:r>
        <w:rPr>
          <w:spacing w:val="-12"/>
        </w:rPr>
        <w:t> </w:t>
      </w:r>
      <w:r>
        <w:rPr/>
        <w:t>to</w:t>
      </w:r>
      <w:r>
        <w:rPr>
          <w:spacing w:val="-11"/>
        </w:rPr>
        <w:t> </w:t>
      </w:r>
      <w:r>
        <w:rPr/>
        <w:t>convert the</w:t>
      </w:r>
      <w:r>
        <w:rPr>
          <w:spacing w:val="-1"/>
        </w:rPr>
        <w:t> </w:t>
      </w:r>
      <w:r>
        <w:rPr>
          <w:rFonts w:ascii="Cambria" w:hAnsi="Cambria"/>
        </w:rPr>
        <w:t>x</w:t>
      </w:r>
      <w:r>
        <w:rPr/>
        <w:t>, </w:t>
      </w:r>
      <w:r>
        <w:rPr>
          <w:rFonts w:ascii="Cambria" w:hAnsi="Cambria"/>
        </w:rPr>
        <w:t>y </w:t>
      </w:r>
      <w:r>
        <w:rPr/>
        <w:t>player</w:t>
      </w:r>
      <w:r>
        <w:rPr>
          <w:spacing w:val="-1"/>
        </w:rPr>
        <w:t> </w:t>
      </w:r>
      <w:r>
        <w:rPr/>
        <w:t>location</w:t>
      </w:r>
      <w:r>
        <w:rPr>
          <w:spacing w:val="-1"/>
        </w:rPr>
        <w:t> </w:t>
      </w:r>
      <w:r>
        <w:rPr/>
        <w:t>co-ordinates</w:t>
      </w:r>
      <w:r>
        <w:rPr>
          <w:spacing w:val="-1"/>
        </w:rPr>
        <w:t> </w:t>
      </w:r>
      <w:r>
        <w:rPr/>
        <w:t>and</w:t>
      </w:r>
      <w:r>
        <w:rPr>
          <w:spacing w:val="-1"/>
        </w:rPr>
        <w:t> </w:t>
      </w:r>
      <w:r>
        <w:rPr/>
        <w:t>match</w:t>
      </w:r>
      <w:r>
        <w:rPr>
          <w:spacing w:val="-1"/>
        </w:rPr>
        <w:t> </w:t>
      </w:r>
      <w:r>
        <w:rPr/>
        <w:t>event</w:t>
      </w:r>
      <w:r>
        <w:rPr>
          <w:spacing w:val="-1"/>
        </w:rPr>
        <w:t> </w:t>
      </w:r>
      <w:r>
        <w:rPr/>
        <w:t>level</w:t>
      </w:r>
      <w:r>
        <w:rPr>
          <w:spacing w:val="-1"/>
        </w:rPr>
        <w:t> </w:t>
      </w:r>
      <w:r>
        <w:rPr/>
        <w:t>data</w:t>
      </w:r>
      <w:r>
        <w:rPr>
          <w:spacing w:val="-1"/>
        </w:rPr>
        <w:t> </w:t>
      </w:r>
      <w:r>
        <w:rPr/>
        <w:t>into</w:t>
      </w:r>
      <w:r>
        <w:rPr>
          <w:spacing w:val="-1"/>
        </w:rPr>
        <w:t> </w:t>
      </w:r>
      <w:r>
        <w:rPr/>
        <w:t>appropriate</w:t>
      </w:r>
      <w:r>
        <w:rPr>
          <w:spacing w:val="-1"/>
        </w:rPr>
        <w:t> </w:t>
      </w:r>
      <w:r>
        <w:rPr/>
        <w:t>features for</w:t>
      </w:r>
      <w:r>
        <w:rPr>
          <w:spacing w:val="-1"/>
        </w:rPr>
        <w:t> </w:t>
      </w:r>
      <w:r>
        <w:rPr/>
        <w:t>their</w:t>
      </w:r>
      <w:r>
        <w:rPr>
          <w:spacing w:val="-1"/>
        </w:rPr>
        <w:t> </w:t>
      </w:r>
      <w:r>
        <w:rPr/>
        <w:t>model.</w:t>
      </w:r>
      <w:r>
        <w:rPr>
          <w:spacing w:val="23"/>
        </w:rPr>
        <w:t> </w:t>
      </w:r>
      <w:r>
        <w:rPr/>
        <w:t>Rather</w:t>
      </w:r>
      <w:r>
        <w:rPr>
          <w:spacing w:val="-1"/>
        </w:rPr>
        <w:t> </w:t>
      </w:r>
      <w:r>
        <w:rPr/>
        <w:t>than</w:t>
      </w:r>
      <w:r>
        <w:rPr>
          <w:spacing w:val="-1"/>
        </w:rPr>
        <w:t> </w:t>
      </w:r>
      <w:r>
        <w:rPr/>
        <w:t>solely</w:t>
      </w:r>
      <w:r>
        <w:rPr>
          <w:spacing w:val="-1"/>
        </w:rPr>
        <w:t> </w:t>
      </w:r>
      <w:r>
        <w:rPr/>
        <w:t>providing</w:t>
      </w:r>
      <w:r>
        <w:rPr>
          <w:spacing w:val="-1"/>
        </w:rPr>
        <w:t> </w:t>
      </w:r>
      <w:r>
        <w:rPr/>
        <w:t>the</w:t>
      </w:r>
      <w:r>
        <w:rPr>
          <w:spacing w:val="-1"/>
        </w:rPr>
        <w:t> </w:t>
      </w:r>
      <w:r>
        <w:rPr/>
        <w:t>model</w:t>
      </w:r>
      <w:r>
        <w:rPr>
          <w:spacing w:val="-1"/>
        </w:rPr>
        <w:t> </w:t>
      </w:r>
      <w:r>
        <w:rPr/>
        <w:t>with</w:t>
      </w:r>
      <w:r>
        <w:rPr>
          <w:spacing w:val="-1"/>
        </w:rPr>
        <w:t> </w:t>
      </w:r>
      <w:r>
        <w:rPr/>
        <w:t>the</w:t>
      </w:r>
      <w:r>
        <w:rPr>
          <w:spacing w:val="-1"/>
        </w:rPr>
        <w:t> </w:t>
      </w:r>
      <w:r>
        <w:rPr/>
        <w:t>player’s</w:t>
      </w:r>
      <w:r>
        <w:rPr>
          <w:spacing w:val="-1"/>
        </w:rPr>
        <w:t> </w:t>
      </w:r>
      <w:r>
        <w:rPr/>
        <w:t>coordinates</w:t>
      </w:r>
      <w:r>
        <w:rPr>
          <w:spacing w:val="-1"/>
        </w:rPr>
        <w:t> </w:t>
      </w:r>
      <w:r>
        <w:rPr/>
        <w:t>on the</w:t>
      </w:r>
      <w:r>
        <w:rPr>
          <w:spacing w:val="-7"/>
        </w:rPr>
        <w:t> </w:t>
      </w:r>
      <w:r>
        <w:rPr/>
        <w:t>pitch,</w:t>
      </w:r>
      <w:r>
        <w:rPr>
          <w:spacing w:val="-7"/>
        </w:rPr>
        <w:t> </w:t>
      </w:r>
      <w:r>
        <w:rPr/>
        <w:t>information</w:t>
      </w:r>
      <w:r>
        <w:rPr>
          <w:spacing w:val="-7"/>
        </w:rPr>
        <w:t> </w:t>
      </w:r>
      <w:r>
        <w:rPr/>
        <w:t>such</w:t>
      </w:r>
      <w:r>
        <w:rPr>
          <w:spacing w:val="-7"/>
        </w:rPr>
        <w:t> </w:t>
      </w:r>
      <w:r>
        <w:rPr/>
        <w:t>as</w:t>
      </w:r>
      <w:r>
        <w:rPr>
          <w:spacing w:val="-7"/>
        </w:rPr>
        <w:t> </w:t>
      </w:r>
      <w:r>
        <w:rPr/>
        <w:t>the</w:t>
      </w:r>
      <w:r>
        <w:rPr>
          <w:spacing w:val="-7"/>
        </w:rPr>
        <w:t> </w:t>
      </w:r>
      <w:r>
        <w:rPr/>
        <w:t>distance</w:t>
      </w:r>
      <w:r>
        <w:rPr>
          <w:spacing w:val="-7"/>
        </w:rPr>
        <w:t> </w:t>
      </w:r>
      <w:r>
        <w:rPr/>
        <w:t>and</w:t>
      </w:r>
      <w:r>
        <w:rPr>
          <w:spacing w:val="-7"/>
        </w:rPr>
        <w:t> </w:t>
      </w:r>
      <w:r>
        <w:rPr/>
        <w:t>angle</w:t>
      </w:r>
      <w:r>
        <w:rPr>
          <w:spacing w:val="-7"/>
        </w:rPr>
        <w:t> </w:t>
      </w:r>
      <w:r>
        <w:rPr/>
        <w:t>to</w:t>
      </w:r>
      <w:r>
        <w:rPr>
          <w:spacing w:val="-7"/>
        </w:rPr>
        <w:t> </w:t>
      </w:r>
      <w:r>
        <w:rPr/>
        <w:t>the</w:t>
      </w:r>
      <w:r>
        <w:rPr>
          <w:spacing w:val="-7"/>
        </w:rPr>
        <w:t> </w:t>
      </w:r>
      <w:r>
        <w:rPr/>
        <w:t>opposition</w:t>
      </w:r>
      <w:r>
        <w:rPr>
          <w:spacing w:val="-7"/>
        </w:rPr>
        <w:t> </w:t>
      </w:r>
      <w:r>
        <w:rPr/>
        <w:t>goal</w:t>
      </w:r>
      <w:r>
        <w:rPr>
          <w:spacing w:val="-7"/>
        </w:rPr>
        <w:t> </w:t>
      </w:r>
      <w:r>
        <w:rPr/>
        <w:t>was</w:t>
      </w:r>
      <w:r>
        <w:rPr>
          <w:spacing w:val="-7"/>
        </w:rPr>
        <w:t> </w:t>
      </w:r>
      <w:r>
        <w:rPr/>
        <w:t>included, alongside the player’s location relative to the ball.</w:t>
      </w:r>
      <w:r>
        <w:rPr>
          <w:spacing w:val="40"/>
        </w:rPr>
        <w:t> </w:t>
      </w:r>
      <w:r>
        <w:rPr/>
        <w:t>Furthermore, contextual information was</w:t>
      </w:r>
      <w:r>
        <w:rPr>
          <w:spacing w:val="-5"/>
        </w:rPr>
        <w:t> </w:t>
      </w:r>
      <w:r>
        <w:rPr/>
        <w:t>included,</w:t>
      </w:r>
      <w:r>
        <w:rPr>
          <w:spacing w:val="-5"/>
        </w:rPr>
        <w:t> </w:t>
      </w:r>
      <w:r>
        <w:rPr/>
        <w:t>for</w:t>
      </w:r>
      <w:r>
        <w:rPr>
          <w:spacing w:val="-5"/>
        </w:rPr>
        <w:t> </w:t>
      </w:r>
      <w:r>
        <w:rPr/>
        <w:t>example</w:t>
      </w:r>
      <w:r>
        <w:rPr>
          <w:spacing w:val="-5"/>
        </w:rPr>
        <w:t> </w:t>
      </w:r>
      <w:r>
        <w:rPr/>
        <w:t>the</w:t>
      </w:r>
      <w:r>
        <w:rPr>
          <w:spacing w:val="-5"/>
        </w:rPr>
        <w:t> </w:t>
      </w:r>
      <w:r>
        <w:rPr/>
        <w:t>player’s</w:t>
      </w:r>
      <w:r>
        <w:rPr>
          <w:spacing w:val="-5"/>
        </w:rPr>
        <w:t> </w:t>
      </w:r>
      <w:r>
        <w:rPr/>
        <w:t>pitch</w:t>
      </w:r>
      <w:r>
        <w:rPr>
          <w:spacing w:val="-5"/>
        </w:rPr>
        <w:t> </w:t>
      </w:r>
      <w:r>
        <w:rPr/>
        <w:t>control</w:t>
      </w:r>
      <w:r>
        <w:rPr>
          <w:spacing w:val="-5"/>
        </w:rPr>
        <w:t> </w:t>
      </w:r>
      <w:r>
        <w:rPr/>
        <w:t>(i.e. the</w:t>
      </w:r>
      <w:r>
        <w:rPr>
          <w:spacing w:val="-5"/>
        </w:rPr>
        <w:t> </w:t>
      </w:r>
      <w:r>
        <w:rPr/>
        <w:t>probability</w:t>
      </w:r>
      <w:r>
        <w:rPr>
          <w:spacing w:val="-5"/>
        </w:rPr>
        <w:t> </w:t>
      </w:r>
      <w:r>
        <w:rPr/>
        <w:t>they</w:t>
      </w:r>
      <w:r>
        <w:rPr>
          <w:spacing w:val="-5"/>
        </w:rPr>
        <w:t> </w:t>
      </w:r>
      <w:r>
        <w:rPr/>
        <w:t>would</w:t>
      </w:r>
      <w:r>
        <w:rPr>
          <w:spacing w:val="-5"/>
        </w:rPr>
        <w:t> </w:t>
      </w:r>
      <w:r>
        <w:rPr/>
        <w:t>con- trol the ball if it was moved to a given location), the pressure lines of the opponent (i.e. information</w:t>
      </w:r>
      <w:r>
        <w:rPr>
          <w:spacing w:val="-4"/>
        </w:rPr>
        <w:t> </w:t>
      </w:r>
      <w:r>
        <w:rPr/>
        <w:t>about</w:t>
      </w:r>
      <w:r>
        <w:rPr>
          <w:spacing w:val="-4"/>
        </w:rPr>
        <w:t> </w:t>
      </w:r>
      <w:r>
        <w:rPr/>
        <w:t>their</w:t>
      </w:r>
      <w:r>
        <w:rPr>
          <w:spacing w:val="-4"/>
        </w:rPr>
        <w:t> </w:t>
      </w:r>
      <w:r>
        <w:rPr/>
        <w:t>formation)</w:t>
      </w:r>
      <w:r>
        <w:rPr>
          <w:spacing w:val="-4"/>
        </w:rPr>
        <w:t> </w:t>
      </w:r>
      <w:r>
        <w:rPr/>
        <w:t>and</w:t>
      </w:r>
      <w:r>
        <w:rPr>
          <w:spacing w:val="-4"/>
        </w:rPr>
        <w:t> </w:t>
      </w:r>
      <w:r>
        <w:rPr/>
        <w:t>the</w:t>
      </w:r>
      <w:r>
        <w:rPr>
          <w:spacing w:val="-4"/>
        </w:rPr>
        <w:t> </w:t>
      </w:r>
      <w:r>
        <w:rPr/>
        <w:t>number</w:t>
      </w:r>
      <w:r>
        <w:rPr>
          <w:spacing w:val="-4"/>
        </w:rPr>
        <w:t> </w:t>
      </w:r>
      <w:r>
        <w:rPr/>
        <w:t>of</w:t>
      </w:r>
      <w:r>
        <w:rPr>
          <w:spacing w:val="-4"/>
        </w:rPr>
        <w:t> </w:t>
      </w:r>
      <w:r>
        <w:rPr/>
        <w:t>players</w:t>
      </w:r>
      <w:r>
        <w:rPr>
          <w:spacing w:val="-4"/>
        </w:rPr>
        <w:t> </w:t>
      </w:r>
      <w:r>
        <w:rPr/>
        <w:t>who</w:t>
      </w:r>
      <w:r>
        <w:rPr>
          <w:spacing w:val="-4"/>
        </w:rPr>
        <w:t> </w:t>
      </w:r>
      <w:r>
        <w:rPr/>
        <w:t>would</w:t>
      </w:r>
      <w:r>
        <w:rPr>
          <w:spacing w:val="-4"/>
        </w:rPr>
        <w:t> </w:t>
      </w:r>
      <w:r>
        <w:rPr/>
        <w:t>be</w:t>
      </w:r>
      <w:r>
        <w:rPr>
          <w:spacing w:val="-4"/>
        </w:rPr>
        <w:t> </w:t>
      </w:r>
      <w:r>
        <w:rPr/>
        <w:t>outplayed</w:t>
      </w:r>
      <w:r>
        <w:rPr>
          <w:spacing w:val="-4"/>
        </w:rPr>
        <w:t> </w:t>
      </w:r>
      <w:r>
        <w:rPr/>
        <w:t>if the</w:t>
      </w:r>
      <w:r>
        <w:rPr>
          <w:spacing w:val="-15"/>
        </w:rPr>
        <w:t> </w:t>
      </w:r>
      <w:r>
        <w:rPr/>
        <w:t>ball</w:t>
      </w:r>
      <w:r>
        <w:rPr>
          <w:spacing w:val="-15"/>
        </w:rPr>
        <w:t> </w:t>
      </w:r>
      <w:r>
        <w:rPr/>
        <w:t>was</w:t>
      </w:r>
      <w:r>
        <w:rPr>
          <w:spacing w:val="-15"/>
        </w:rPr>
        <w:t> </w:t>
      </w:r>
      <w:r>
        <w:rPr/>
        <w:t>moved</w:t>
      </w:r>
      <w:r>
        <w:rPr>
          <w:spacing w:val="-15"/>
        </w:rPr>
        <w:t> </w:t>
      </w:r>
      <w:r>
        <w:rPr/>
        <w:t>to</w:t>
      </w:r>
      <w:r>
        <w:rPr>
          <w:spacing w:val="-15"/>
        </w:rPr>
        <w:t> </w:t>
      </w:r>
      <w:r>
        <w:rPr/>
        <w:t>a</w:t>
      </w:r>
      <w:r>
        <w:rPr>
          <w:spacing w:val="-15"/>
        </w:rPr>
        <w:t> </w:t>
      </w:r>
      <w:r>
        <w:rPr/>
        <w:t>given</w:t>
      </w:r>
      <w:r>
        <w:rPr>
          <w:spacing w:val="-15"/>
        </w:rPr>
        <w:t> </w:t>
      </w:r>
      <w:r>
        <w:rPr/>
        <w:t>location.</w:t>
      </w:r>
      <w:r>
        <w:rPr>
          <w:spacing w:val="-15"/>
        </w:rPr>
        <w:t> </w:t>
      </w:r>
      <w:r>
        <w:rPr/>
        <w:t>The</w:t>
      </w:r>
      <w:r>
        <w:rPr>
          <w:spacing w:val="-15"/>
        </w:rPr>
        <w:t> </w:t>
      </w:r>
      <w:r>
        <w:rPr/>
        <w:t>authors</w:t>
      </w:r>
      <w:r>
        <w:rPr>
          <w:spacing w:val="-15"/>
        </w:rPr>
        <w:t> </w:t>
      </w:r>
      <w:r>
        <w:rPr/>
        <w:t>employed</w:t>
      </w:r>
      <w:r>
        <w:rPr>
          <w:spacing w:val="-15"/>
        </w:rPr>
        <w:t> </w:t>
      </w:r>
      <w:r>
        <w:rPr/>
        <w:t>a</w:t>
      </w:r>
      <w:r>
        <w:rPr>
          <w:spacing w:val="-15"/>
        </w:rPr>
        <w:t> </w:t>
      </w:r>
      <w:r>
        <w:rPr/>
        <w:t>‘decomposed</w:t>
      </w:r>
      <w:r>
        <w:rPr>
          <w:spacing w:val="-15"/>
        </w:rPr>
        <w:t> </w:t>
      </w:r>
      <w:r>
        <w:rPr/>
        <w:t>Markov</w:t>
      </w:r>
      <w:r>
        <w:rPr>
          <w:spacing w:val="-15"/>
        </w:rPr>
        <w:t> </w:t>
      </w:r>
      <w:r>
        <w:rPr/>
        <w:t>De- cision</w:t>
      </w:r>
      <w:r>
        <w:rPr>
          <w:spacing w:val="-15"/>
        </w:rPr>
        <w:t> </w:t>
      </w:r>
      <w:r>
        <w:rPr/>
        <w:t>Process</w:t>
      </w:r>
      <w:r>
        <w:rPr>
          <w:spacing w:val="-15"/>
        </w:rPr>
        <w:t> </w:t>
      </w:r>
      <w:r>
        <w:rPr/>
        <w:t>(MDP)’</w:t>
      </w:r>
      <w:r>
        <w:rPr>
          <w:spacing w:val="-15"/>
        </w:rPr>
        <w:t> </w:t>
      </w:r>
      <w:r>
        <w:rPr/>
        <w:t>approach,</w:t>
      </w:r>
      <w:r>
        <w:rPr>
          <w:spacing w:val="-15"/>
        </w:rPr>
        <w:t> </w:t>
      </w:r>
      <w:r>
        <w:rPr/>
        <w:t>which</w:t>
      </w:r>
      <w:r>
        <w:rPr>
          <w:spacing w:val="-15"/>
        </w:rPr>
        <w:t> </w:t>
      </w:r>
      <w:r>
        <w:rPr/>
        <w:t>allowed</w:t>
      </w:r>
      <w:r>
        <w:rPr>
          <w:spacing w:val="-15"/>
        </w:rPr>
        <w:t> </w:t>
      </w:r>
      <w:r>
        <w:rPr/>
        <w:t>them</w:t>
      </w:r>
      <w:r>
        <w:rPr>
          <w:spacing w:val="-15"/>
        </w:rPr>
        <w:t> </w:t>
      </w:r>
      <w:r>
        <w:rPr/>
        <w:t>to</w:t>
      </w:r>
      <w:r>
        <w:rPr>
          <w:spacing w:val="-15"/>
        </w:rPr>
        <w:t> </w:t>
      </w:r>
      <w:r>
        <w:rPr/>
        <w:t>individually</w:t>
      </w:r>
      <w:r>
        <w:rPr>
          <w:spacing w:val="-15"/>
        </w:rPr>
        <w:t> </w:t>
      </w:r>
      <w:r>
        <w:rPr/>
        <w:t>model</w:t>
      </w:r>
      <w:r>
        <w:rPr>
          <w:spacing w:val="-15"/>
        </w:rPr>
        <w:t> </w:t>
      </w:r>
      <w:r>
        <w:rPr/>
        <w:t>each</w:t>
      </w:r>
      <w:r>
        <w:rPr>
          <w:spacing w:val="-15"/>
        </w:rPr>
        <w:t> </w:t>
      </w:r>
      <w:r>
        <w:rPr/>
        <w:t>element of</w:t>
      </w:r>
      <w:r>
        <w:rPr>
          <w:spacing w:val="-1"/>
        </w:rPr>
        <w:t> </w:t>
      </w:r>
      <w:r>
        <w:rPr/>
        <w:t>the</w:t>
      </w:r>
      <w:r>
        <w:rPr>
          <w:spacing w:val="-1"/>
        </w:rPr>
        <w:t> </w:t>
      </w:r>
      <w:r>
        <w:rPr/>
        <w:t>sport</w:t>
      </w:r>
      <w:r>
        <w:rPr>
          <w:spacing w:val="-1"/>
        </w:rPr>
        <w:t> </w:t>
      </w:r>
      <w:r>
        <w:rPr/>
        <w:t>(pass, kick</w:t>
      </w:r>
      <w:r>
        <w:rPr>
          <w:spacing w:val="-1"/>
        </w:rPr>
        <w:t> </w:t>
      </w:r>
      <w:r>
        <w:rPr/>
        <w:t>and</w:t>
      </w:r>
      <w:r>
        <w:rPr>
          <w:spacing w:val="-1"/>
        </w:rPr>
        <w:t> </w:t>
      </w:r>
      <w:r>
        <w:rPr/>
        <w:t>run)</w:t>
      </w:r>
      <w:r>
        <w:rPr>
          <w:spacing w:val="-1"/>
        </w:rPr>
        <w:t> </w:t>
      </w:r>
      <w:r>
        <w:rPr/>
        <w:t>using</w:t>
      </w:r>
      <w:r>
        <w:rPr>
          <w:spacing w:val="-1"/>
        </w:rPr>
        <w:t> </w:t>
      </w:r>
      <w:r>
        <w:rPr/>
        <w:t>the</w:t>
      </w:r>
      <w:r>
        <w:rPr>
          <w:spacing w:val="-1"/>
        </w:rPr>
        <w:t> </w:t>
      </w:r>
      <w:r>
        <w:rPr/>
        <w:t>features</w:t>
      </w:r>
      <w:r>
        <w:rPr>
          <w:spacing w:val="-1"/>
        </w:rPr>
        <w:t> </w:t>
      </w:r>
      <w:r>
        <w:rPr/>
        <w:t>most</w:t>
      </w:r>
      <w:r>
        <w:rPr>
          <w:spacing w:val="-1"/>
        </w:rPr>
        <w:t> </w:t>
      </w:r>
      <w:r>
        <w:rPr/>
        <w:t>relevant</w:t>
      </w:r>
      <w:r>
        <w:rPr>
          <w:spacing w:val="-1"/>
        </w:rPr>
        <w:t> </w:t>
      </w:r>
      <w:r>
        <w:rPr/>
        <w:t>to</w:t>
      </w:r>
      <w:r>
        <w:rPr>
          <w:spacing w:val="-1"/>
        </w:rPr>
        <w:t> </w:t>
      </w:r>
      <w:r>
        <w:rPr/>
        <w:t>the</w:t>
      </w:r>
      <w:r>
        <w:rPr>
          <w:spacing w:val="-1"/>
        </w:rPr>
        <w:t> </w:t>
      </w:r>
      <w:r>
        <w:rPr/>
        <w:t>action</w:t>
      </w:r>
      <w:r>
        <w:rPr>
          <w:spacing w:val="-1"/>
        </w:rPr>
        <w:t> </w:t>
      </w:r>
      <w:r>
        <w:rPr/>
        <w:t>specified</w:t>
      </w:r>
      <w:r>
        <w:rPr>
          <w:spacing w:val="-1"/>
        </w:rPr>
        <w:t> </w:t>
      </w:r>
      <w:r>
        <w:rPr/>
        <w:t>- such</w:t>
      </w:r>
      <w:r>
        <w:rPr>
          <w:spacing w:val="-5"/>
        </w:rPr>
        <w:t> </w:t>
      </w:r>
      <w:r>
        <w:rPr/>
        <w:t>an</w:t>
      </w:r>
      <w:r>
        <w:rPr>
          <w:spacing w:val="-5"/>
        </w:rPr>
        <w:t> </w:t>
      </w:r>
      <w:r>
        <w:rPr/>
        <w:t>approach</w:t>
      </w:r>
      <w:r>
        <w:rPr>
          <w:spacing w:val="-4"/>
        </w:rPr>
        <w:t> </w:t>
      </w:r>
      <w:r>
        <w:rPr/>
        <w:t>would</w:t>
      </w:r>
      <w:r>
        <w:rPr>
          <w:spacing w:val="-5"/>
        </w:rPr>
        <w:t> </w:t>
      </w:r>
      <w:r>
        <w:rPr/>
        <w:t>not</w:t>
      </w:r>
      <w:r>
        <w:rPr>
          <w:spacing w:val="-4"/>
        </w:rPr>
        <w:t> </w:t>
      </w:r>
      <w:r>
        <w:rPr/>
        <w:t>be</w:t>
      </w:r>
      <w:r>
        <w:rPr>
          <w:spacing w:val="-5"/>
        </w:rPr>
        <w:t> </w:t>
      </w:r>
      <w:r>
        <w:rPr/>
        <w:t>possible</w:t>
      </w:r>
      <w:r>
        <w:rPr>
          <w:spacing w:val="-5"/>
        </w:rPr>
        <w:t> </w:t>
      </w:r>
      <w:r>
        <w:rPr/>
        <w:t>if</w:t>
      </w:r>
      <w:r>
        <w:rPr>
          <w:spacing w:val="-4"/>
        </w:rPr>
        <w:t> </w:t>
      </w:r>
      <w:r>
        <w:rPr/>
        <w:t>modelling</w:t>
      </w:r>
      <w:r>
        <w:rPr>
          <w:spacing w:val="-5"/>
        </w:rPr>
        <w:t> </w:t>
      </w:r>
      <w:r>
        <w:rPr/>
        <w:t>via</w:t>
      </w:r>
      <w:r>
        <w:rPr>
          <w:spacing w:val="-4"/>
        </w:rPr>
        <w:t> </w:t>
      </w:r>
      <w:r>
        <w:rPr/>
        <w:t>MDP</w:t>
      </w:r>
      <w:r>
        <w:rPr>
          <w:spacing w:val="-5"/>
        </w:rPr>
        <w:t> </w:t>
      </w:r>
      <w:r>
        <w:rPr/>
        <w:t>or</w:t>
      </w:r>
      <w:r>
        <w:rPr>
          <w:spacing w:val="-4"/>
        </w:rPr>
        <w:t> </w:t>
      </w:r>
      <w:r>
        <w:rPr/>
        <w:t>reinforcement</w:t>
      </w:r>
      <w:r>
        <w:rPr>
          <w:spacing w:val="-5"/>
        </w:rPr>
        <w:t> </w:t>
      </w:r>
      <w:r>
        <w:rPr>
          <w:spacing w:val="-2"/>
        </w:rPr>
        <w:t>learning</w:t>
      </w:r>
    </w:p>
    <w:p>
      <w:pPr>
        <w:spacing w:after="0" w:line="312" w:lineRule="auto"/>
        <w:jc w:val="both"/>
        <w:sectPr>
          <w:pgSz w:w="11910" w:h="16840"/>
          <w:pgMar w:header="1961" w:footer="1428" w:top="2260" w:bottom="1620" w:left="1680" w:right="720"/>
        </w:sectPr>
      </w:pPr>
    </w:p>
    <w:p>
      <w:pPr>
        <w:pStyle w:val="BodyText"/>
        <w:rPr>
          <w:sz w:val="20"/>
        </w:rPr>
      </w:pPr>
    </w:p>
    <w:p>
      <w:pPr>
        <w:pStyle w:val="BodyText"/>
        <w:rPr>
          <w:sz w:val="20"/>
        </w:rPr>
      </w:pPr>
    </w:p>
    <w:p>
      <w:pPr>
        <w:pStyle w:val="BodyText"/>
        <w:spacing w:before="10"/>
        <w:rPr>
          <w:sz w:val="16"/>
        </w:rPr>
      </w:pPr>
    </w:p>
    <w:p>
      <w:pPr>
        <w:pStyle w:val="BodyText"/>
        <w:ind w:left="610"/>
        <w:rPr>
          <w:sz w:val="20"/>
        </w:rPr>
      </w:pPr>
      <w:r>
        <w:rPr>
          <w:sz w:val="20"/>
        </w:rPr>
        <w:drawing>
          <wp:inline distT="0" distB="0" distL="0" distR="0">
            <wp:extent cx="5310315" cy="2279904"/>
            <wp:effectExtent l="0" t="0" r="0" b="0"/>
            <wp:docPr id="13" name="image7.jpeg"/>
            <wp:cNvGraphicFramePr>
              <a:graphicFrameLocks noChangeAspect="1"/>
            </wp:cNvGraphicFramePr>
            <a:graphic>
              <a:graphicData uri="http://schemas.openxmlformats.org/drawingml/2006/picture">
                <pic:pic>
                  <pic:nvPicPr>
                    <pic:cNvPr id="14" name="image7.jpeg"/>
                    <pic:cNvPicPr/>
                  </pic:nvPicPr>
                  <pic:blipFill>
                    <a:blip r:embed="rId40" cstate="print"/>
                    <a:stretch>
                      <a:fillRect/>
                    </a:stretch>
                  </pic:blipFill>
                  <pic:spPr>
                    <a:xfrm>
                      <a:off x="0" y="0"/>
                      <a:ext cx="5310315" cy="2279904"/>
                    </a:xfrm>
                    <a:prstGeom prst="rect">
                      <a:avLst/>
                    </a:prstGeom>
                  </pic:spPr>
                </pic:pic>
              </a:graphicData>
            </a:graphic>
          </wp:inline>
        </w:drawing>
      </w:r>
      <w:r>
        <w:rPr>
          <w:sz w:val="20"/>
        </w:rPr>
      </w:r>
    </w:p>
    <w:p>
      <w:pPr>
        <w:pStyle w:val="BodyText"/>
        <w:spacing w:before="5"/>
        <w:rPr>
          <w:sz w:val="6"/>
        </w:rPr>
      </w:pPr>
    </w:p>
    <w:p>
      <w:pPr>
        <w:pStyle w:val="BodyText"/>
        <w:spacing w:line="252" w:lineRule="auto" w:before="106"/>
        <w:ind w:left="610" w:right="389"/>
      </w:pPr>
      <w:bookmarkStart w:name="_bookmark24" w:id="49"/>
      <w:bookmarkEnd w:id="49"/>
      <w:r>
        <w:rPr/>
      </w:r>
      <w:r>
        <w:rPr>
          <w:b/>
        </w:rPr>
        <w:t>Figure 2.6:</w:t>
      </w:r>
      <w:r>
        <w:rPr>
          <w:b/>
          <w:spacing w:val="40"/>
        </w:rPr>
        <w:t> </w:t>
      </w:r>
      <w:hyperlink w:history="true" w:anchor="_bookmark231">
        <w:r>
          <w:rPr>
            <w:color w:val="FF0000"/>
          </w:rPr>
          <w:t>Cervone et al.</w:t>
        </w:r>
      </w:hyperlink>
      <w:r>
        <w:rPr/>
        <w:t>(</w:t>
      </w:r>
      <w:hyperlink w:history="true" w:anchor="_bookmark231">
        <w:r>
          <w:rPr>
            <w:color w:val="FF0000"/>
          </w:rPr>
          <w:t>2016</w:t>
        </w:r>
        <w:r>
          <w:rPr/>
          <w:t>)</w:t>
        </w:r>
      </w:hyperlink>
      <w:r>
        <w:rPr/>
        <w:t> EPV plot for a sample possession.</w:t>
      </w:r>
      <w:r>
        <w:rPr>
          <w:spacing w:val="40"/>
        </w:rPr>
        <w:t> </w:t>
      </w:r>
      <w:r>
        <w:rPr/>
        <w:t>Immediate, rapid changes</w:t>
      </w:r>
      <w:r>
        <w:rPr>
          <w:spacing w:val="35"/>
        </w:rPr>
        <w:t> </w:t>
      </w:r>
      <w:r>
        <w:rPr/>
        <w:t>are</w:t>
      </w:r>
      <w:r>
        <w:rPr>
          <w:spacing w:val="35"/>
        </w:rPr>
        <w:t> </w:t>
      </w:r>
      <w:r>
        <w:rPr/>
        <w:t>caused</w:t>
      </w:r>
      <w:r>
        <w:rPr>
          <w:spacing w:val="35"/>
        </w:rPr>
        <w:t> </w:t>
      </w:r>
      <w:r>
        <w:rPr/>
        <w:t>by</w:t>
      </w:r>
      <w:r>
        <w:rPr>
          <w:spacing w:val="35"/>
        </w:rPr>
        <w:t> </w:t>
      </w:r>
      <w:r>
        <w:rPr/>
        <w:t>actions</w:t>
      </w:r>
      <w:r>
        <w:rPr>
          <w:spacing w:val="35"/>
        </w:rPr>
        <w:t> </w:t>
      </w:r>
      <w:r>
        <w:rPr/>
        <w:t>such</w:t>
      </w:r>
      <w:r>
        <w:rPr>
          <w:spacing w:val="35"/>
        </w:rPr>
        <w:t> </w:t>
      </w:r>
      <w:r>
        <w:rPr/>
        <w:t>as</w:t>
      </w:r>
      <w:r>
        <w:rPr>
          <w:spacing w:val="35"/>
        </w:rPr>
        <w:t> </w:t>
      </w:r>
      <w:r>
        <w:rPr/>
        <w:t>passes</w:t>
      </w:r>
      <w:r>
        <w:rPr>
          <w:spacing w:val="35"/>
        </w:rPr>
        <w:t> </w:t>
      </w:r>
      <w:r>
        <w:rPr/>
        <w:t>and</w:t>
      </w:r>
      <w:r>
        <w:rPr>
          <w:spacing w:val="35"/>
        </w:rPr>
        <w:t> </w:t>
      </w:r>
      <w:r>
        <w:rPr/>
        <w:t>shots.</w:t>
      </w:r>
      <w:r>
        <w:rPr>
          <w:spacing w:val="80"/>
          <w:w w:val="150"/>
        </w:rPr>
        <w:t> </w:t>
      </w:r>
      <w:r>
        <w:rPr/>
        <w:t>Smaller,</w:t>
      </w:r>
      <w:r>
        <w:rPr>
          <w:spacing w:val="40"/>
        </w:rPr>
        <w:t> </w:t>
      </w:r>
      <w:r>
        <w:rPr/>
        <w:t>more</w:t>
      </w:r>
      <w:r>
        <w:rPr>
          <w:spacing w:val="35"/>
        </w:rPr>
        <w:t> </w:t>
      </w:r>
      <w:r>
        <w:rPr/>
        <w:t>incremental changes</w:t>
      </w:r>
      <w:r>
        <w:rPr>
          <w:spacing w:val="22"/>
        </w:rPr>
        <w:t> </w:t>
      </w:r>
      <w:r>
        <w:rPr/>
        <w:t>in</w:t>
      </w:r>
      <w:r>
        <w:rPr>
          <w:spacing w:val="22"/>
        </w:rPr>
        <w:t> </w:t>
      </w:r>
      <w:r>
        <w:rPr/>
        <w:t>EPV</w:t>
      </w:r>
      <w:r>
        <w:rPr>
          <w:spacing w:val="22"/>
        </w:rPr>
        <w:t> </w:t>
      </w:r>
      <w:r>
        <w:rPr/>
        <w:t>are</w:t>
      </w:r>
      <w:r>
        <w:rPr>
          <w:spacing w:val="22"/>
        </w:rPr>
        <w:t> </w:t>
      </w:r>
      <w:r>
        <w:rPr/>
        <w:t>induced</w:t>
      </w:r>
      <w:r>
        <w:rPr>
          <w:spacing w:val="22"/>
        </w:rPr>
        <w:t> </w:t>
      </w:r>
      <w:r>
        <w:rPr/>
        <w:t>by</w:t>
      </w:r>
      <w:r>
        <w:rPr>
          <w:spacing w:val="22"/>
        </w:rPr>
        <w:t> </w:t>
      </w:r>
      <w:r>
        <w:rPr/>
        <w:t>changes</w:t>
      </w:r>
      <w:r>
        <w:rPr>
          <w:spacing w:val="22"/>
        </w:rPr>
        <w:t> </w:t>
      </w:r>
      <w:r>
        <w:rPr/>
        <w:t>in</w:t>
      </w:r>
      <w:r>
        <w:rPr>
          <w:spacing w:val="22"/>
        </w:rPr>
        <w:t> </w:t>
      </w:r>
      <w:r>
        <w:rPr/>
        <w:t>players’</w:t>
      </w:r>
      <w:r>
        <w:rPr>
          <w:spacing w:val="22"/>
        </w:rPr>
        <w:t> </w:t>
      </w:r>
      <w:r>
        <w:rPr/>
        <w:t>locations.</w:t>
      </w:r>
      <w:r>
        <w:rPr>
          <w:spacing w:val="80"/>
        </w:rPr>
        <w:t> </w:t>
      </w:r>
      <w:r>
        <w:rPr/>
        <w:t>The</w:t>
      </w:r>
      <w:r>
        <w:rPr>
          <w:spacing w:val="22"/>
        </w:rPr>
        <w:t> </w:t>
      </w:r>
      <w:r>
        <w:rPr/>
        <w:t>black</w:t>
      </w:r>
      <w:r>
        <w:rPr>
          <w:spacing w:val="22"/>
        </w:rPr>
        <w:t> </w:t>
      </w:r>
      <w:r>
        <w:rPr/>
        <w:t>line</w:t>
      </w:r>
      <w:r>
        <w:rPr>
          <w:spacing w:val="22"/>
        </w:rPr>
        <w:t> </w:t>
      </w:r>
      <w:r>
        <w:rPr/>
        <w:t>slightly smooths the EPV evaluations at each time point (grey dots).</w:t>
      </w:r>
    </w:p>
    <w:p>
      <w:pPr>
        <w:pStyle w:val="BodyText"/>
        <w:rPr>
          <w:sz w:val="28"/>
        </w:rPr>
      </w:pPr>
    </w:p>
    <w:p>
      <w:pPr>
        <w:pStyle w:val="BodyText"/>
        <w:rPr>
          <w:sz w:val="32"/>
        </w:rPr>
      </w:pPr>
    </w:p>
    <w:p>
      <w:pPr>
        <w:pStyle w:val="BodyText"/>
        <w:spacing w:line="312" w:lineRule="auto" w:before="1"/>
        <w:ind w:left="610" w:right="389"/>
        <w:jc w:val="both"/>
      </w:pPr>
      <w:r>
        <w:rPr/>
        <w:t>as the value of all actions is estimated together within that framework.</w:t>
      </w:r>
      <w:r>
        <w:rPr>
          <w:spacing w:val="40"/>
        </w:rPr>
        <w:t> </w:t>
      </w:r>
      <w:r>
        <w:rPr/>
        <w:t>Machine learn- ing</w:t>
      </w:r>
      <w:r>
        <w:rPr>
          <w:spacing w:val="-12"/>
        </w:rPr>
        <w:t> </w:t>
      </w:r>
      <w:r>
        <w:rPr/>
        <w:t>methodologies</w:t>
      </w:r>
      <w:r>
        <w:rPr>
          <w:spacing w:val="-12"/>
        </w:rPr>
        <w:t> </w:t>
      </w:r>
      <w:r>
        <w:rPr/>
        <w:t>appropriate</w:t>
      </w:r>
      <w:r>
        <w:rPr>
          <w:spacing w:val="-11"/>
        </w:rPr>
        <w:t> </w:t>
      </w:r>
      <w:r>
        <w:rPr/>
        <w:t>to</w:t>
      </w:r>
      <w:r>
        <w:rPr>
          <w:spacing w:val="-12"/>
        </w:rPr>
        <w:t> </w:t>
      </w:r>
      <w:r>
        <w:rPr/>
        <w:t>the</w:t>
      </w:r>
      <w:r>
        <w:rPr>
          <w:spacing w:val="-12"/>
        </w:rPr>
        <w:t> </w:t>
      </w:r>
      <w:r>
        <w:rPr/>
        <w:t>decomposed</w:t>
      </w:r>
      <w:r>
        <w:rPr>
          <w:spacing w:val="-11"/>
        </w:rPr>
        <w:t> </w:t>
      </w:r>
      <w:r>
        <w:rPr/>
        <w:t>question</w:t>
      </w:r>
      <w:r>
        <w:rPr>
          <w:spacing w:val="-11"/>
        </w:rPr>
        <w:t> </w:t>
      </w:r>
      <w:r>
        <w:rPr/>
        <w:t>were</w:t>
      </w:r>
      <w:r>
        <w:rPr>
          <w:spacing w:val="-12"/>
        </w:rPr>
        <w:t> </w:t>
      </w:r>
      <w:r>
        <w:rPr/>
        <w:t>used: logistic</w:t>
      </w:r>
      <w:r>
        <w:rPr>
          <w:spacing w:val="-12"/>
        </w:rPr>
        <w:t> </w:t>
      </w:r>
      <w:r>
        <w:rPr/>
        <w:t>regression was</w:t>
      </w:r>
      <w:r>
        <w:rPr>
          <w:spacing w:val="-15"/>
        </w:rPr>
        <w:t> </w:t>
      </w:r>
      <w:r>
        <w:rPr/>
        <w:t>used</w:t>
      </w:r>
      <w:r>
        <w:rPr>
          <w:spacing w:val="-15"/>
        </w:rPr>
        <w:t> </w:t>
      </w:r>
      <w:r>
        <w:rPr/>
        <w:t>to</w:t>
      </w:r>
      <w:r>
        <w:rPr>
          <w:spacing w:val="-15"/>
        </w:rPr>
        <w:t> </w:t>
      </w:r>
      <w:r>
        <w:rPr/>
        <w:t>identify</w:t>
      </w:r>
      <w:r>
        <w:rPr>
          <w:spacing w:val="-15"/>
        </w:rPr>
        <w:t> </w:t>
      </w:r>
      <w:r>
        <w:rPr/>
        <w:t>pass</w:t>
      </w:r>
      <w:r>
        <w:rPr>
          <w:spacing w:val="-15"/>
        </w:rPr>
        <w:t> </w:t>
      </w:r>
      <w:r>
        <w:rPr/>
        <w:t>and</w:t>
      </w:r>
      <w:r>
        <w:rPr>
          <w:spacing w:val="-15"/>
        </w:rPr>
        <w:t> </w:t>
      </w:r>
      <w:r>
        <w:rPr/>
        <w:t>turnover</w:t>
      </w:r>
      <w:r>
        <w:rPr>
          <w:spacing w:val="-15"/>
        </w:rPr>
        <w:t> </w:t>
      </w:r>
      <w:r>
        <w:rPr/>
        <w:t>probabilities;</w:t>
      </w:r>
      <w:r>
        <w:rPr>
          <w:spacing w:val="-15"/>
        </w:rPr>
        <w:t> </w:t>
      </w:r>
      <w:r>
        <w:rPr/>
        <w:t>action</w:t>
      </w:r>
      <w:r>
        <w:rPr>
          <w:spacing w:val="-15"/>
        </w:rPr>
        <w:t> </w:t>
      </w:r>
      <w:r>
        <w:rPr/>
        <w:t>likelihoods</w:t>
      </w:r>
      <w:r>
        <w:rPr>
          <w:spacing w:val="-15"/>
        </w:rPr>
        <w:t> </w:t>
      </w:r>
      <w:r>
        <w:rPr/>
        <w:t>used</w:t>
      </w:r>
      <w:r>
        <w:rPr>
          <w:spacing w:val="-15"/>
        </w:rPr>
        <w:t> </w:t>
      </w:r>
      <w:r>
        <w:rPr/>
        <w:t>convolutional neural</w:t>
      </w:r>
      <w:r>
        <w:rPr>
          <w:spacing w:val="-4"/>
        </w:rPr>
        <w:t> </w:t>
      </w:r>
      <w:r>
        <w:rPr/>
        <w:t>networks</w:t>
      </w:r>
      <w:r>
        <w:rPr>
          <w:spacing w:val="-4"/>
        </w:rPr>
        <w:t> </w:t>
      </w:r>
      <w:r>
        <w:rPr/>
        <w:t>built</w:t>
      </w:r>
      <w:r>
        <w:rPr>
          <w:spacing w:val="-4"/>
        </w:rPr>
        <w:t> </w:t>
      </w:r>
      <w:r>
        <w:rPr/>
        <w:t>on</w:t>
      </w:r>
      <w:r>
        <w:rPr>
          <w:spacing w:val="-4"/>
        </w:rPr>
        <w:t> </w:t>
      </w:r>
      <w:r>
        <w:rPr/>
        <w:t>the</w:t>
      </w:r>
      <w:r>
        <w:rPr>
          <w:spacing w:val="-4"/>
        </w:rPr>
        <w:t> </w:t>
      </w:r>
      <w:r>
        <w:rPr/>
        <w:t>pitch</w:t>
      </w:r>
      <w:r>
        <w:rPr>
          <w:spacing w:val="-4"/>
        </w:rPr>
        <w:t> </w:t>
      </w:r>
      <w:r>
        <w:rPr/>
        <w:t>control</w:t>
      </w:r>
      <w:r>
        <w:rPr>
          <w:spacing w:val="-4"/>
        </w:rPr>
        <w:t> </w:t>
      </w:r>
      <w:r>
        <w:rPr/>
        <w:t>model</w:t>
      </w:r>
      <w:r>
        <w:rPr>
          <w:spacing w:val="-4"/>
        </w:rPr>
        <w:t> </w:t>
      </w:r>
      <w:r>
        <w:rPr>
          <w:spacing w:val="7"/>
        </w:rPr>
        <w:t>(</w:t>
      </w:r>
      <w:hyperlink w:history="true" w:anchor="_bookmark241">
        <w:r>
          <w:rPr>
            <w:color w:val="FF0000"/>
            <w:spacing w:val="7"/>
          </w:rPr>
          <w:t>Fern</w:t>
        </w:r>
        <w:r>
          <w:rPr>
            <w:color w:val="FF0000"/>
            <w:spacing w:val="-86"/>
          </w:rPr>
          <w:t>a</w:t>
        </w:r>
        <w:r>
          <w:rPr>
            <w:color w:val="FF0000"/>
            <w:spacing w:val="20"/>
          </w:rPr>
          <w:t>´</w:t>
        </w:r>
        <w:r>
          <w:rPr>
            <w:color w:val="FF0000"/>
            <w:spacing w:val="7"/>
          </w:rPr>
          <w:t>ndez</w:t>
        </w:r>
        <w:r>
          <w:rPr>
            <w:color w:val="FF0000"/>
            <w:spacing w:val="-4"/>
          </w:rPr>
          <w:t> </w:t>
        </w:r>
        <w:r>
          <w:rPr>
            <w:color w:val="FF0000"/>
          </w:rPr>
          <w:t>and</w:t>
        </w:r>
        <w:r>
          <w:rPr>
            <w:color w:val="FF0000"/>
            <w:spacing w:val="-4"/>
          </w:rPr>
          <w:t> </w:t>
        </w:r>
        <w:r>
          <w:rPr>
            <w:color w:val="FF0000"/>
          </w:rPr>
          <w:t>Bornn</w:t>
        </w:r>
      </w:hyperlink>
      <w:r>
        <w:rPr/>
        <w:t>,</w:t>
      </w:r>
      <w:hyperlink w:history="true" w:anchor="_bookmark241">
        <w:r>
          <w:rPr>
            <w:color w:val="FF0000"/>
          </w:rPr>
          <w:t>2018</w:t>
        </w:r>
        <w:r>
          <w:rPr/>
          <w:t>)</w:t>
        </w:r>
      </w:hyperlink>
      <w:r>
        <w:rPr>
          <w:spacing w:val="-4"/>
        </w:rPr>
        <w:t> </w:t>
      </w:r>
      <w:r>
        <w:rPr/>
        <w:t>described in</w:t>
      </w:r>
      <w:r>
        <w:rPr>
          <w:spacing w:val="-5"/>
        </w:rPr>
        <w:t> </w:t>
      </w:r>
      <w:r>
        <w:rPr/>
        <w:t>Section</w:t>
      </w:r>
      <w:hyperlink w:history="true" w:anchor="_bookmark17">
        <w:r>
          <w:rPr>
            <w:color w:val="0000FF"/>
          </w:rPr>
          <w:t>2.2.2.1</w:t>
        </w:r>
        <w:r>
          <w:rPr/>
          <w:t>;</w:t>
        </w:r>
      </w:hyperlink>
      <w:r>
        <w:rPr>
          <w:spacing w:val="-4"/>
        </w:rPr>
        <w:t> </w:t>
      </w:r>
      <w:r>
        <w:rPr/>
        <w:t>and</w:t>
      </w:r>
      <w:r>
        <w:rPr>
          <w:spacing w:val="-4"/>
        </w:rPr>
        <w:t> </w:t>
      </w:r>
      <w:r>
        <w:rPr/>
        <w:t>pass</w:t>
      </w:r>
      <w:r>
        <w:rPr>
          <w:spacing w:val="-5"/>
        </w:rPr>
        <w:t> </w:t>
      </w:r>
      <w:r>
        <w:rPr/>
        <w:t>and</w:t>
      </w:r>
      <w:r>
        <w:rPr>
          <w:spacing w:val="-5"/>
        </w:rPr>
        <w:t> </w:t>
      </w:r>
      <w:r>
        <w:rPr/>
        <w:t>ball</w:t>
      </w:r>
      <w:r>
        <w:rPr>
          <w:spacing w:val="-5"/>
        </w:rPr>
        <w:t> </w:t>
      </w:r>
      <w:r>
        <w:rPr/>
        <w:t>drive</w:t>
      </w:r>
      <w:r>
        <w:rPr>
          <w:spacing w:val="-5"/>
        </w:rPr>
        <w:t> </w:t>
      </w:r>
      <w:r>
        <w:rPr/>
        <w:t>expectations</w:t>
      </w:r>
      <w:r>
        <w:rPr>
          <w:spacing w:val="-5"/>
        </w:rPr>
        <w:t> </w:t>
      </w:r>
      <w:r>
        <w:rPr/>
        <w:t>were</w:t>
      </w:r>
      <w:r>
        <w:rPr>
          <w:spacing w:val="-5"/>
        </w:rPr>
        <w:t> </w:t>
      </w:r>
      <w:r>
        <w:rPr/>
        <w:t>calculated</w:t>
      </w:r>
      <w:r>
        <w:rPr>
          <w:spacing w:val="-4"/>
        </w:rPr>
        <w:t> </w:t>
      </w:r>
      <w:r>
        <w:rPr/>
        <w:t>using</w:t>
      </w:r>
      <w:r>
        <w:rPr>
          <w:spacing w:val="-5"/>
        </w:rPr>
        <w:t> </w:t>
      </w:r>
      <w:r>
        <w:rPr/>
        <w:t>deep</w:t>
      </w:r>
      <w:r>
        <w:rPr>
          <w:spacing w:val="-5"/>
        </w:rPr>
        <w:t> </w:t>
      </w:r>
      <w:r>
        <w:rPr/>
        <w:t>neural networks. Figure</w:t>
      </w:r>
      <w:hyperlink w:history="true" w:anchor="_bookmark25">
        <w:r>
          <w:rPr>
            <w:color w:val="0000FF"/>
          </w:rPr>
          <w:t>2.7</w:t>
        </w:r>
      </w:hyperlink>
      <w:r>
        <w:rPr/>
        <w:t>provides a sample of the model’s usage.</w:t>
      </w:r>
    </w:p>
    <w:p>
      <w:pPr>
        <w:pStyle w:val="BodyText"/>
        <w:spacing w:line="312" w:lineRule="auto"/>
        <w:ind w:left="610" w:right="389" w:firstLine="351"/>
      </w:pPr>
      <w:r>
        <w:rPr/>
        <w:t>The</w:t>
      </w:r>
      <w:r>
        <w:rPr>
          <w:spacing w:val="-3"/>
        </w:rPr>
        <w:t> </w:t>
      </w:r>
      <w:r>
        <w:rPr/>
        <w:t>authors</w:t>
      </w:r>
      <w:r>
        <w:rPr>
          <w:spacing w:val="-3"/>
        </w:rPr>
        <w:t> </w:t>
      </w:r>
      <w:r>
        <w:rPr/>
        <w:t>provide</w:t>
      </w:r>
      <w:r>
        <w:rPr>
          <w:spacing w:val="-3"/>
        </w:rPr>
        <w:t> </w:t>
      </w:r>
      <w:r>
        <w:rPr/>
        <w:t>multiple</w:t>
      </w:r>
      <w:r>
        <w:rPr>
          <w:spacing w:val="-3"/>
        </w:rPr>
        <w:t> </w:t>
      </w:r>
      <w:r>
        <w:rPr/>
        <w:t>applications</w:t>
      </w:r>
      <w:r>
        <w:rPr>
          <w:spacing w:val="-3"/>
        </w:rPr>
        <w:t> </w:t>
      </w:r>
      <w:r>
        <w:rPr/>
        <w:t>for</w:t>
      </w:r>
      <w:r>
        <w:rPr>
          <w:spacing w:val="-3"/>
        </w:rPr>
        <w:t> </w:t>
      </w:r>
      <w:r>
        <w:rPr/>
        <w:t>the</w:t>
      </w:r>
      <w:r>
        <w:rPr>
          <w:spacing w:val="-3"/>
        </w:rPr>
        <w:t> </w:t>
      </w:r>
      <w:r>
        <w:rPr/>
        <w:t>model. They</w:t>
      </w:r>
      <w:r>
        <w:rPr>
          <w:spacing w:val="-3"/>
        </w:rPr>
        <w:t> </w:t>
      </w:r>
      <w:r>
        <w:rPr/>
        <w:t>use</w:t>
      </w:r>
      <w:r>
        <w:rPr>
          <w:spacing w:val="-3"/>
        </w:rPr>
        <w:t> </w:t>
      </w:r>
      <w:r>
        <w:rPr/>
        <w:t>an</w:t>
      </w:r>
      <w:r>
        <w:rPr>
          <w:spacing w:val="-3"/>
        </w:rPr>
        <w:t> </w:t>
      </w:r>
      <w:r>
        <w:rPr/>
        <w:t>EPV</w:t>
      </w:r>
      <w:r>
        <w:rPr>
          <w:spacing w:val="-3"/>
        </w:rPr>
        <w:t> </w:t>
      </w:r>
      <w:r>
        <w:rPr/>
        <w:t>added</w:t>
      </w:r>
      <w:r>
        <w:rPr>
          <w:spacing w:val="-3"/>
        </w:rPr>
        <w:t> </w:t>
      </w:r>
      <w:r>
        <w:rPr/>
        <w:t>es- timate</w:t>
      </w:r>
      <w:r>
        <w:rPr>
          <w:spacing w:val="-1"/>
        </w:rPr>
        <w:t> </w:t>
      </w:r>
      <w:r>
        <w:rPr/>
        <w:t>similar</w:t>
      </w:r>
      <w:r>
        <w:rPr>
          <w:spacing w:val="-1"/>
        </w:rPr>
        <w:t> </w:t>
      </w:r>
      <w:r>
        <w:rPr/>
        <w:t>to</w:t>
      </w:r>
      <w:r>
        <w:rPr>
          <w:spacing w:val="-1"/>
        </w:rPr>
        <w:t> </w:t>
      </w:r>
      <w:r>
        <w:rPr/>
        <w:t>that</w:t>
      </w:r>
      <w:r>
        <w:rPr>
          <w:spacing w:val="-1"/>
        </w:rPr>
        <w:t> </w:t>
      </w:r>
      <w:r>
        <w:rPr/>
        <w:t>employed</w:t>
      </w:r>
      <w:r>
        <w:rPr>
          <w:spacing w:val="-1"/>
        </w:rPr>
        <w:t> </w:t>
      </w:r>
      <w:r>
        <w:rPr/>
        <w:t>by</w:t>
      </w:r>
      <w:hyperlink w:history="true" w:anchor="_bookmark231">
        <w:r>
          <w:rPr>
            <w:color w:val="FF0000"/>
          </w:rPr>
          <w:t>Cervone</w:t>
        </w:r>
        <w:r>
          <w:rPr>
            <w:color w:val="FF0000"/>
            <w:spacing w:val="-1"/>
          </w:rPr>
          <w:t> </w:t>
        </w:r>
        <w:r>
          <w:rPr>
            <w:color w:val="FF0000"/>
          </w:rPr>
          <w:t>et</w:t>
        </w:r>
        <w:r>
          <w:rPr>
            <w:color w:val="FF0000"/>
            <w:spacing w:val="-1"/>
          </w:rPr>
          <w:t> </w:t>
        </w:r>
        <w:r>
          <w:rPr>
            <w:color w:val="FF0000"/>
          </w:rPr>
          <w:t>al.</w:t>
        </w:r>
        <w:r>
          <w:rPr/>
          <w:t>(</w:t>
        </w:r>
      </w:hyperlink>
      <w:hyperlink w:history="true" w:anchor="_bookmark231">
        <w:r>
          <w:rPr>
            <w:color w:val="FF0000"/>
          </w:rPr>
          <w:t>2016</w:t>
        </w:r>
        <w:r>
          <w:rPr/>
          <w:t>)</w:t>
        </w:r>
      </w:hyperlink>
      <w:r>
        <w:rPr>
          <w:spacing w:val="-1"/>
        </w:rPr>
        <w:t> </w:t>
      </w:r>
      <w:r>
        <w:rPr/>
        <w:t>but</w:t>
      </w:r>
      <w:r>
        <w:rPr>
          <w:spacing w:val="-1"/>
        </w:rPr>
        <w:t> </w:t>
      </w:r>
      <w:r>
        <w:rPr/>
        <w:t>extend</w:t>
      </w:r>
      <w:r>
        <w:rPr>
          <w:spacing w:val="-1"/>
        </w:rPr>
        <w:t> </w:t>
      </w:r>
      <w:r>
        <w:rPr/>
        <w:t>the</w:t>
      </w:r>
      <w:r>
        <w:rPr>
          <w:spacing w:val="-1"/>
        </w:rPr>
        <w:t> </w:t>
      </w:r>
      <w:r>
        <w:rPr/>
        <w:t>model</w:t>
      </w:r>
      <w:r>
        <w:rPr>
          <w:spacing w:val="-1"/>
        </w:rPr>
        <w:t> </w:t>
      </w:r>
      <w:r>
        <w:rPr/>
        <w:t>to</w:t>
      </w:r>
      <w:r>
        <w:rPr>
          <w:spacing w:val="-1"/>
        </w:rPr>
        <w:t> </w:t>
      </w:r>
      <w:r>
        <w:rPr/>
        <w:t>consider the EPV added when passing to a different players (Figure</w:t>
      </w:r>
      <w:hyperlink w:history="true" w:anchor="_bookmark26">
        <w:r>
          <w:rPr>
            <w:color w:val="0000FF"/>
          </w:rPr>
          <w:t>2.8</w:t>
        </w:r>
      </w:hyperlink>
      <w:r>
        <w:rPr/>
        <w:t>).</w:t>
      </w:r>
      <w:r>
        <w:rPr>
          <w:spacing w:val="40"/>
        </w:rPr>
        <w:t> </w:t>
      </w:r>
      <w:r>
        <w:rPr/>
        <w:t>They also discuss how the model can be used to evaluate the EPV generated by teams in different </w:t>
      </w:r>
      <w:r>
        <w:rPr/>
        <w:t>formations</w:t>
      </w:r>
      <w:r>
        <w:rPr>
          <w:spacing w:val="40"/>
        </w:rPr>
        <w:t> </w:t>
      </w:r>
      <w:r>
        <w:rPr/>
        <w:t>against</w:t>
      </w:r>
      <w:r>
        <w:rPr>
          <w:spacing w:val="4"/>
        </w:rPr>
        <w:t> </w:t>
      </w:r>
      <w:r>
        <w:rPr/>
        <w:t>a</w:t>
      </w:r>
      <w:r>
        <w:rPr>
          <w:spacing w:val="4"/>
        </w:rPr>
        <w:t> </w:t>
      </w:r>
      <w:r>
        <w:rPr/>
        <w:t>specific</w:t>
      </w:r>
      <w:r>
        <w:rPr>
          <w:spacing w:val="4"/>
        </w:rPr>
        <w:t> </w:t>
      </w:r>
      <w:r>
        <w:rPr/>
        <w:t>opponent,</w:t>
      </w:r>
      <w:r>
        <w:rPr>
          <w:spacing w:val="7"/>
        </w:rPr>
        <w:t> </w:t>
      </w:r>
      <w:r>
        <w:rPr/>
        <w:t>providing</w:t>
      </w:r>
      <w:r>
        <w:rPr>
          <w:spacing w:val="4"/>
        </w:rPr>
        <w:t> </w:t>
      </w:r>
      <w:r>
        <w:rPr/>
        <w:t>insights</w:t>
      </w:r>
      <w:r>
        <w:rPr>
          <w:spacing w:val="5"/>
        </w:rPr>
        <w:t> </w:t>
      </w:r>
      <w:r>
        <w:rPr/>
        <w:t>into</w:t>
      </w:r>
      <w:r>
        <w:rPr>
          <w:spacing w:val="4"/>
        </w:rPr>
        <w:t> </w:t>
      </w:r>
      <w:r>
        <w:rPr/>
        <w:t>how</w:t>
      </w:r>
      <w:r>
        <w:rPr>
          <w:spacing w:val="4"/>
        </w:rPr>
        <w:t> </w:t>
      </w:r>
      <w:r>
        <w:rPr/>
        <w:t>to</w:t>
      </w:r>
      <w:r>
        <w:rPr>
          <w:spacing w:val="4"/>
        </w:rPr>
        <w:t> </w:t>
      </w:r>
      <w:r>
        <w:rPr/>
        <w:t>prepare</w:t>
      </w:r>
      <w:r>
        <w:rPr>
          <w:spacing w:val="4"/>
        </w:rPr>
        <w:t> </w:t>
      </w:r>
      <w:r>
        <w:rPr/>
        <w:t>strategies</w:t>
      </w:r>
      <w:r>
        <w:rPr>
          <w:spacing w:val="4"/>
        </w:rPr>
        <w:t> </w:t>
      </w:r>
      <w:r>
        <w:rPr/>
        <w:t>against</w:t>
      </w:r>
      <w:r>
        <w:rPr>
          <w:spacing w:val="4"/>
        </w:rPr>
        <w:t> </w:t>
      </w:r>
      <w:r>
        <w:rPr>
          <w:spacing w:val="-5"/>
        </w:rPr>
        <w:t>an</w:t>
      </w:r>
    </w:p>
    <w:p>
      <w:pPr>
        <w:pStyle w:val="BodyText"/>
        <w:spacing w:line="273" w:lineRule="exact"/>
        <w:ind w:left="610"/>
      </w:pPr>
      <w:r>
        <w:rPr/>
        <w:t>opposition</w:t>
      </w:r>
      <w:r>
        <w:rPr>
          <w:spacing w:val="-7"/>
        </w:rPr>
        <w:t> </w:t>
      </w:r>
      <w:r>
        <w:rPr/>
        <w:t>team</w:t>
      </w:r>
      <w:r>
        <w:rPr>
          <w:spacing w:val="-7"/>
        </w:rPr>
        <w:t> </w:t>
      </w:r>
      <w:r>
        <w:rPr/>
        <w:t>(Figure</w:t>
      </w:r>
      <w:hyperlink w:history="true" w:anchor="_bookmark27">
        <w:r>
          <w:rPr>
            <w:color w:val="0000FF"/>
          </w:rPr>
          <w:t>2.9</w:t>
        </w:r>
      </w:hyperlink>
      <w:r>
        <w:rPr/>
        <w:t>).</w:t>
      </w:r>
      <w:r>
        <w:rPr>
          <w:spacing w:val="14"/>
        </w:rPr>
        <w:t> </w:t>
      </w:r>
      <w:r>
        <w:rPr/>
        <w:t>The</w:t>
      </w:r>
      <w:r>
        <w:rPr>
          <w:spacing w:val="-6"/>
        </w:rPr>
        <w:t> </w:t>
      </w:r>
      <w:r>
        <w:rPr/>
        <w:t>work</w:t>
      </w:r>
      <w:r>
        <w:rPr>
          <w:spacing w:val="-7"/>
        </w:rPr>
        <w:t> </w:t>
      </w:r>
      <w:r>
        <w:rPr/>
        <w:t>of</w:t>
      </w:r>
      <w:r>
        <w:rPr>
          <w:color w:val="FF0000"/>
        </w:rPr>
        <w:t>Fern</w:t>
      </w:r>
      <w:r>
        <w:rPr>
          <w:color w:val="FF0000"/>
          <w:spacing w:val="47"/>
        </w:rPr>
        <w:t> </w:t>
      </w:r>
      <w:hyperlink w:history="true" w:anchor="_bookmark243">
        <w:r>
          <w:rPr>
            <w:color w:val="FF0000"/>
            <w:spacing w:val="-80"/>
          </w:rPr>
          <w:t>a</w:t>
        </w:r>
        <w:r>
          <w:rPr>
            <w:color w:val="FF0000"/>
            <w:spacing w:val="26"/>
          </w:rPr>
          <w:t>´</w:t>
        </w:r>
        <w:r>
          <w:rPr>
            <w:color w:val="FF0000"/>
            <w:spacing w:val="13"/>
          </w:rPr>
          <w:t>ndez</w:t>
        </w:r>
        <w:r>
          <w:rPr>
            <w:color w:val="FF0000"/>
            <w:spacing w:val="-6"/>
          </w:rPr>
          <w:t> </w:t>
        </w:r>
        <w:r>
          <w:rPr>
            <w:color w:val="FF0000"/>
          </w:rPr>
          <w:t>et</w:t>
        </w:r>
        <w:r>
          <w:rPr>
            <w:color w:val="FF0000"/>
            <w:spacing w:val="-8"/>
          </w:rPr>
          <w:t> </w:t>
        </w:r>
        <w:r>
          <w:rPr>
            <w:color w:val="FF0000"/>
          </w:rPr>
          <w:t>al.</w:t>
        </w:r>
      </w:hyperlink>
      <w:r>
        <w:rPr/>
        <w:t>(</w:t>
      </w:r>
      <w:hyperlink w:history="true" w:anchor="_bookmark243">
        <w:r>
          <w:rPr>
            <w:color w:val="FF0000"/>
          </w:rPr>
          <w:t>2021</w:t>
        </w:r>
        <w:r>
          <w:rPr/>
          <w:t>)</w:t>
        </w:r>
      </w:hyperlink>
      <w:r>
        <w:rPr>
          <w:spacing w:val="-6"/>
        </w:rPr>
        <w:t> </w:t>
      </w:r>
      <w:r>
        <w:rPr/>
        <w:t>provides</w:t>
      </w:r>
      <w:r>
        <w:rPr>
          <w:spacing w:val="-7"/>
        </w:rPr>
        <w:t> </w:t>
      </w:r>
      <w:r>
        <w:rPr/>
        <w:t>an</w:t>
      </w:r>
      <w:r>
        <w:rPr>
          <w:spacing w:val="-7"/>
        </w:rPr>
        <w:t> </w:t>
      </w:r>
      <w:r>
        <w:rPr>
          <w:spacing w:val="-2"/>
        </w:rPr>
        <w:t>excellent</w:t>
      </w:r>
    </w:p>
    <w:p>
      <w:pPr>
        <w:pStyle w:val="BodyText"/>
        <w:spacing w:line="312" w:lineRule="auto" w:before="82"/>
        <w:ind w:left="610" w:right="389"/>
        <w:jc w:val="both"/>
      </w:pPr>
      <w:r>
        <w:rPr/>
        <w:t>gold</w:t>
      </w:r>
      <w:r>
        <w:rPr>
          <w:spacing w:val="-14"/>
        </w:rPr>
        <w:t> </w:t>
      </w:r>
      <w:r>
        <w:rPr/>
        <w:t>standard</w:t>
      </w:r>
      <w:r>
        <w:rPr>
          <w:spacing w:val="-14"/>
        </w:rPr>
        <w:t> </w:t>
      </w:r>
      <w:r>
        <w:rPr/>
        <w:t>approach</w:t>
      </w:r>
      <w:r>
        <w:rPr>
          <w:spacing w:val="-14"/>
        </w:rPr>
        <w:t> </w:t>
      </w:r>
      <w:r>
        <w:rPr/>
        <w:t>to</w:t>
      </w:r>
      <w:r>
        <w:rPr>
          <w:spacing w:val="-14"/>
        </w:rPr>
        <w:t> </w:t>
      </w:r>
      <w:r>
        <w:rPr/>
        <w:t>the</w:t>
      </w:r>
      <w:r>
        <w:rPr>
          <w:spacing w:val="-14"/>
        </w:rPr>
        <w:t> </w:t>
      </w:r>
      <w:r>
        <w:rPr/>
        <w:t>use</w:t>
      </w:r>
      <w:r>
        <w:rPr>
          <w:spacing w:val="-14"/>
        </w:rPr>
        <w:t> </w:t>
      </w:r>
      <w:r>
        <w:rPr/>
        <w:t>of</w:t>
      </w:r>
      <w:r>
        <w:rPr>
          <w:spacing w:val="-14"/>
        </w:rPr>
        <w:t> </w:t>
      </w:r>
      <w:r>
        <w:rPr/>
        <w:t>deep</w:t>
      </w:r>
      <w:r>
        <w:rPr>
          <w:spacing w:val="-14"/>
        </w:rPr>
        <w:t> </w:t>
      </w:r>
      <w:r>
        <w:rPr/>
        <w:t>learning</w:t>
      </w:r>
      <w:r>
        <w:rPr>
          <w:spacing w:val="-14"/>
        </w:rPr>
        <w:t> </w:t>
      </w:r>
      <w:r>
        <w:rPr/>
        <w:t>within</w:t>
      </w:r>
      <w:r>
        <w:rPr>
          <w:spacing w:val="-14"/>
        </w:rPr>
        <w:t> </w:t>
      </w:r>
      <w:r>
        <w:rPr/>
        <w:t>sport</w:t>
      </w:r>
      <w:r>
        <w:rPr>
          <w:spacing w:val="-14"/>
        </w:rPr>
        <w:t> </w:t>
      </w:r>
      <w:r>
        <w:rPr/>
        <w:t>as</w:t>
      </w:r>
      <w:r>
        <w:rPr>
          <w:spacing w:val="-14"/>
        </w:rPr>
        <w:t> </w:t>
      </w:r>
      <w:r>
        <w:rPr/>
        <w:t>it</w:t>
      </w:r>
      <w:r>
        <w:rPr>
          <w:spacing w:val="-14"/>
        </w:rPr>
        <w:t> </w:t>
      </w:r>
      <w:r>
        <w:rPr/>
        <w:t>breaks</w:t>
      </w:r>
      <w:r>
        <w:rPr>
          <w:spacing w:val="-14"/>
        </w:rPr>
        <w:t> </w:t>
      </w:r>
      <w:r>
        <w:rPr/>
        <w:t>down</w:t>
      </w:r>
      <w:r>
        <w:rPr>
          <w:spacing w:val="-14"/>
        </w:rPr>
        <w:t> </w:t>
      </w:r>
      <w:r>
        <w:rPr/>
        <w:t>different elements of football to gain incredible insights into the sport at both a player and </w:t>
      </w:r>
      <w:r>
        <w:rPr/>
        <w:t>team level.</w:t>
      </w:r>
      <w:r>
        <w:rPr>
          <w:spacing w:val="40"/>
        </w:rPr>
        <w:t> </w:t>
      </w:r>
      <w:r>
        <w:rPr/>
        <w:t>In its current guise it isn’t suitable for use in rugby league, as it utilises a binary outcome</w:t>
      </w:r>
      <w:r>
        <w:rPr>
          <w:spacing w:val="-3"/>
        </w:rPr>
        <w:t> </w:t>
      </w:r>
      <w:r>
        <w:rPr/>
        <w:t>measure</w:t>
      </w:r>
      <w:r>
        <w:rPr>
          <w:spacing w:val="-3"/>
        </w:rPr>
        <w:t> </w:t>
      </w:r>
      <w:r>
        <w:rPr/>
        <w:t>(goal/no</w:t>
      </w:r>
      <w:r>
        <w:rPr>
          <w:spacing w:val="-3"/>
        </w:rPr>
        <w:t> </w:t>
      </w:r>
      <w:r>
        <w:rPr/>
        <w:t>goal)</w:t>
      </w:r>
      <w:r>
        <w:rPr>
          <w:spacing w:val="-3"/>
        </w:rPr>
        <w:t> </w:t>
      </w:r>
      <w:r>
        <w:rPr/>
        <w:t>whereas</w:t>
      </w:r>
      <w:r>
        <w:rPr>
          <w:spacing w:val="-3"/>
        </w:rPr>
        <w:t> </w:t>
      </w:r>
      <w:r>
        <w:rPr/>
        <w:t>in</w:t>
      </w:r>
      <w:r>
        <w:rPr>
          <w:spacing w:val="-3"/>
        </w:rPr>
        <w:t> </w:t>
      </w:r>
      <w:r>
        <w:rPr/>
        <w:t>rugby</w:t>
      </w:r>
      <w:r>
        <w:rPr>
          <w:spacing w:val="-3"/>
        </w:rPr>
        <w:t> </w:t>
      </w:r>
      <w:r>
        <w:rPr/>
        <w:t>league</w:t>
      </w:r>
      <w:r>
        <w:rPr>
          <w:spacing w:val="-3"/>
        </w:rPr>
        <w:t> </w:t>
      </w:r>
      <w:r>
        <w:rPr/>
        <w:t>there</w:t>
      </w:r>
      <w:r>
        <w:rPr>
          <w:spacing w:val="-3"/>
        </w:rPr>
        <w:t> </w:t>
      </w:r>
      <w:r>
        <w:rPr/>
        <w:t>are</w:t>
      </w:r>
      <w:r>
        <w:rPr>
          <w:spacing w:val="-3"/>
        </w:rPr>
        <w:t> </w:t>
      </w:r>
      <w:r>
        <w:rPr/>
        <w:t>5</w:t>
      </w:r>
      <w:r>
        <w:rPr>
          <w:spacing w:val="-3"/>
        </w:rPr>
        <w:t> </w:t>
      </w:r>
      <w:r>
        <w:rPr/>
        <w:t>possible</w:t>
      </w:r>
      <w:r>
        <w:rPr>
          <w:spacing w:val="-3"/>
        </w:rPr>
        <w:t> </w:t>
      </w:r>
      <w:r>
        <w:rPr/>
        <w:t>possession outcome,</w:t>
      </w:r>
      <w:r>
        <w:rPr>
          <w:spacing w:val="6"/>
        </w:rPr>
        <w:t> </w:t>
      </w:r>
      <w:r>
        <w:rPr/>
        <w:t>but</w:t>
      </w:r>
      <w:r>
        <w:rPr>
          <w:spacing w:val="3"/>
        </w:rPr>
        <w:t> </w:t>
      </w:r>
      <w:r>
        <w:rPr/>
        <w:t>adapting</w:t>
      </w:r>
      <w:r>
        <w:rPr>
          <w:spacing w:val="4"/>
        </w:rPr>
        <w:t> </w:t>
      </w:r>
      <w:r>
        <w:rPr/>
        <w:t>the</w:t>
      </w:r>
      <w:r>
        <w:rPr>
          <w:spacing w:val="4"/>
        </w:rPr>
        <w:t> </w:t>
      </w:r>
      <w:r>
        <w:rPr/>
        <w:t>model</w:t>
      </w:r>
      <w:r>
        <w:rPr>
          <w:spacing w:val="3"/>
        </w:rPr>
        <w:t> </w:t>
      </w:r>
      <w:r>
        <w:rPr/>
        <w:t>to</w:t>
      </w:r>
      <w:r>
        <w:rPr>
          <w:spacing w:val="4"/>
        </w:rPr>
        <w:t> </w:t>
      </w:r>
      <w:r>
        <w:rPr/>
        <w:t>this</w:t>
      </w:r>
      <w:r>
        <w:rPr>
          <w:spacing w:val="4"/>
        </w:rPr>
        <w:t> </w:t>
      </w:r>
      <w:r>
        <w:rPr/>
        <w:t>scoring</w:t>
      </w:r>
      <w:r>
        <w:rPr>
          <w:spacing w:val="3"/>
        </w:rPr>
        <w:t> </w:t>
      </w:r>
      <w:r>
        <w:rPr/>
        <w:t>difference</w:t>
      </w:r>
      <w:r>
        <w:rPr>
          <w:spacing w:val="4"/>
        </w:rPr>
        <w:t> </w:t>
      </w:r>
      <w:r>
        <w:rPr/>
        <w:t>would</w:t>
      </w:r>
      <w:r>
        <w:rPr>
          <w:spacing w:val="4"/>
        </w:rPr>
        <w:t> </w:t>
      </w:r>
      <w:r>
        <w:rPr/>
        <w:t>not</w:t>
      </w:r>
      <w:r>
        <w:rPr>
          <w:spacing w:val="3"/>
        </w:rPr>
        <w:t> </w:t>
      </w:r>
      <w:r>
        <w:rPr/>
        <w:t>prove</w:t>
      </w:r>
      <w:r>
        <w:rPr>
          <w:spacing w:val="4"/>
        </w:rPr>
        <w:t> </w:t>
      </w:r>
      <w:r>
        <w:rPr/>
        <w:t>difficult.</w:t>
      </w:r>
      <w:r>
        <w:rPr>
          <w:spacing w:val="39"/>
        </w:rPr>
        <w:t> </w:t>
      </w:r>
      <w:r>
        <w:rPr>
          <w:spacing w:val="-10"/>
        </w:rPr>
        <w:t>A</w:t>
      </w:r>
    </w:p>
    <w:p>
      <w:pPr>
        <w:spacing w:after="0" w:line="312" w:lineRule="auto"/>
        <w:jc w:val="both"/>
        <w:sectPr>
          <w:pgSz w:w="11910" w:h="16840"/>
          <w:pgMar w:header="1961" w:footer="1428" w:top="2260" w:bottom="1620" w:left="1680" w:right="720"/>
        </w:sectPr>
      </w:pPr>
    </w:p>
    <w:p>
      <w:pPr>
        <w:pStyle w:val="BodyText"/>
        <w:rPr>
          <w:sz w:val="20"/>
        </w:rPr>
      </w:pPr>
    </w:p>
    <w:p>
      <w:pPr>
        <w:pStyle w:val="BodyText"/>
        <w:spacing w:before="8"/>
        <w:rPr>
          <w:sz w:val="29"/>
        </w:rPr>
      </w:pPr>
    </w:p>
    <w:p>
      <w:pPr>
        <w:pStyle w:val="BodyText"/>
        <w:ind w:left="687"/>
        <w:rPr>
          <w:sz w:val="20"/>
        </w:rPr>
      </w:pPr>
      <w:r>
        <w:rPr>
          <w:sz w:val="20"/>
        </w:rPr>
        <w:drawing>
          <wp:inline distT="0" distB="0" distL="0" distR="0">
            <wp:extent cx="5317826" cy="2822448"/>
            <wp:effectExtent l="0" t="0" r="0" b="0"/>
            <wp:docPr id="15" name="image8.jpeg"/>
            <wp:cNvGraphicFramePr>
              <a:graphicFrameLocks noChangeAspect="1"/>
            </wp:cNvGraphicFramePr>
            <a:graphic>
              <a:graphicData uri="http://schemas.openxmlformats.org/drawingml/2006/picture">
                <pic:pic>
                  <pic:nvPicPr>
                    <pic:cNvPr id="16" name="image8.jpeg"/>
                    <pic:cNvPicPr/>
                  </pic:nvPicPr>
                  <pic:blipFill>
                    <a:blip r:embed="rId41" cstate="print"/>
                    <a:stretch>
                      <a:fillRect/>
                    </a:stretch>
                  </pic:blipFill>
                  <pic:spPr>
                    <a:xfrm>
                      <a:off x="0" y="0"/>
                      <a:ext cx="5317826" cy="2822448"/>
                    </a:xfrm>
                    <a:prstGeom prst="rect">
                      <a:avLst/>
                    </a:prstGeom>
                  </pic:spPr>
                </pic:pic>
              </a:graphicData>
            </a:graphic>
          </wp:inline>
        </w:drawing>
      </w:r>
      <w:r>
        <w:rPr>
          <w:sz w:val="20"/>
        </w:rPr>
      </w:r>
    </w:p>
    <w:p>
      <w:pPr>
        <w:pStyle w:val="BodyText"/>
        <w:spacing w:before="2"/>
        <w:rPr>
          <w:sz w:val="6"/>
        </w:rPr>
      </w:pPr>
    </w:p>
    <w:p>
      <w:pPr>
        <w:pStyle w:val="BodyText"/>
        <w:spacing w:before="106"/>
        <w:ind w:left="610"/>
      </w:pPr>
      <w:bookmarkStart w:name="_bookmark25" w:id="50"/>
      <w:bookmarkEnd w:id="50"/>
      <w:r>
        <w:rPr/>
      </w:r>
      <w:r>
        <w:rPr>
          <w:b/>
        </w:rPr>
        <w:t>Figure</w:t>
      </w:r>
      <w:r>
        <w:rPr>
          <w:b/>
          <w:spacing w:val="5"/>
        </w:rPr>
        <w:t> </w:t>
      </w:r>
      <w:r>
        <w:rPr>
          <w:b/>
        </w:rPr>
        <w:t>2.7:</w:t>
      </w:r>
      <w:r>
        <w:rPr>
          <w:b/>
          <w:spacing w:val="30"/>
        </w:rPr>
        <w:t> </w:t>
      </w:r>
      <w:r>
        <w:rPr/>
        <w:t>Plot</w:t>
      </w:r>
      <w:r>
        <w:rPr>
          <w:spacing w:val="5"/>
        </w:rPr>
        <w:t> </w:t>
      </w:r>
      <w:r>
        <w:rPr/>
        <w:t>outlining</w:t>
      </w:r>
      <w:r>
        <w:rPr>
          <w:spacing w:val="5"/>
        </w:rPr>
        <w:t> </w:t>
      </w:r>
      <w:r>
        <w:rPr/>
        <w:t>the</w:t>
      </w:r>
      <w:r>
        <w:rPr>
          <w:spacing w:val="5"/>
        </w:rPr>
        <w:t> </w:t>
      </w:r>
      <w:r>
        <w:rPr/>
        <w:t>decomposed</w:t>
      </w:r>
      <w:r>
        <w:rPr>
          <w:spacing w:val="6"/>
        </w:rPr>
        <w:t> </w:t>
      </w:r>
      <w:r>
        <w:rPr/>
        <w:t>MDP</w:t>
      </w:r>
      <w:r>
        <w:rPr>
          <w:spacing w:val="5"/>
        </w:rPr>
        <w:t> </w:t>
      </w:r>
      <w:r>
        <w:rPr/>
        <w:t>methodology</w:t>
      </w:r>
      <w:r>
        <w:rPr>
          <w:spacing w:val="5"/>
        </w:rPr>
        <w:t> </w:t>
      </w:r>
      <w:r>
        <w:rPr/>
        <w:t>employed</w:t>
      </w:r>
      <w:r>
        <w:rPr>
          <w:spacing w:val="5"/>
        </w:rPr>
        <w:t> </w:t>
      </w:r>
      <w:r>
        <w:rPr/>
        <w:t>by</w:t>
      </w:r>
      <w:hyperlink w:history="true" w:anchor="_bookmark242">
        <w:r>
          <w:rPr>
            <w:color w:val="FF0000"/>
          </w:rPr>
          <w:t>Fern</w:t>
        </w:r>
        <w:r>
          <w:rPr>
            <w:color w:val="FF0000"/>
            <w:spacing w:val="5"/>
          </w:rPr>
          <w:t> </w:t>
        </w:r>
        <w:r>
          <w:rPr>
            <w:color w:val="FF0000"/>
            <w:spacing w:val="-82"/>
          </w:rPr>
          <w:t>a</w:t>
        </w:r>
        <w:r>
          <w:rPr>
            <w:color w:val="FF0000"/>
            <w:spacing w:val="24"/>
          </w:rPr>
          <w:t>´</w:t>
        </w:r>
        <w:r>
          <w:rPr>
            <w:color w:val="FF0000"/>
            <w:spacing w:val="11"/>
          </w:rPr>
          <w:t>ndez</w:t>
        </w:r>
      </w:hyperlink>
    </w:p>
    <w:p>
      <w:pPr>
        <w:pStyle w:val="BodyText"/>
        <w:spacing w:before="13"/>
        <w:ind w:left="610"/>
      </w:pPr>
      <w:hyperlink w:history="true" w:anchor="_bookmark242">
        <w:r>
          <w:rPr>
            <w:color w:val="FF0000"/>
          </w:rPr>
          <w:t>et</w:t>
        </w:r>
        <w:r>
          <w:rPr>
            <w:color w:val="FF0000"/>
            <w:spacing w:val="-11"/>
          </w:rPr>
          <w:t> </w:t>
        </w:r>
        <w:r>
          <w:rPr>
            <w:color w:val="FF0000"/>
          </w:rPr>
          <w:t>al.</w:t>
        </w:r>
      </w:hyperlink>
      <w:r>
        <w:rPr/>
        <w:t>(</w:t>
      </w:r>
      <w:hyperlink w:history="true" w:anchor="_bookmark242">
        <w:r>
          <w:rPr>
            <w:color w:val="FF0000"/>
          </w:rPr>
          <w:t>2019</w:t>
        </w:r>
        <w:r>
          <w:rPr/>
          <w:t>,</w:t>
        </w:r>
      </w:hyperlink>
      <w:hyperlink w:history="true" w:anchor="_bookmark243">
        <w:r>
          <w:rPr>
            <w:color w:val="FF0000"/>
          </w:rPr>
          <w:t>2021</w:t>
        </w:r>
        <w:r>
          <w:rPr/>
          <w:t>).</w:t>
        </w:r>
      </w:hyperlink>
      <w:r>
        <w:rPr>
          <w:spacing w:val="6"/>
        </w:rPr>
        <w:t> </w:t>
      </w:r>
      <w:r>
        <w:rPr/>
        <w:t>Figure</w:t>
      </w:r>
      <w:r>
        <w:rPr>
          <w:spacing w:val="-11"/>
        </w:rPr>
        <w:t> </w:t>
      </w:r>
      <w:r>
        <w:rPr/>
        <w:t>taken</w:t>
      </w:r>
      <w:r>
        <w:rPr>
          <w:spacing w:val="-10"/>
        </w:rPr>
        <w:t> </w:t>
      </w:r>
      <w:r>
        <w:rPr/>
        <w:t>from</w:t>
      </w:r>
      <w:r>
        <w:rPr>
          <w:color w:val="FF0000"/>
        </w:rPr>
        <w:t>Fern</w:t>
      </w:r>
      <w:r>
        <w:rPr>
          <w:color w:val="FF0000"/>
          <w:spacing w:val="61"/>
          <w:w w:val="150"/>
        </w:rPr>
        <w:t> </w:t>
      </w:r>
      <w:hyperlink w:history="true" w:anchor="_bookmark242">
        <w:r>
          <w:rPr>
            <w:color w:val="FF0000"/>
            <w:spacing w:val="-80"/>
          </w:rPr>
          <w:t>a</w:t>
        </w:r>
        <w:r>
          <w:rPr>
            <w:color w:val="FF0000"/>
            <w:spacing w:val="26"/>
          </w:rPr>
          <w:t>´</w:t>
        </w:r>
        <w:r>
          <w:rPr>
            <w:color w:val="FF0000"/>
            <w:spacing w:val="13"/>
          </w:rPr>
          <w:t>ndez</w:t>
        </w:r>
        <w:r>
          <w:rPr>
            <w:color w:val="FF0000"/>
            <w:spacing w:val="-10"/>
          </w:rPr>
          <w:t> </w:t>
        </w:r>
        <w:r>
          <w:rPr>
            <w:color w:val="FF0000"/>
          </w:rPr>
          <w:t>et</w:t>
        </w:r>
        <w:r>
          <w:rPr>
            <w:color w:val="FF0000"/>
            <w:spacing w:val="-10"/>
          </w:rPr>
          <w:t> </w:t>
        </w:r>
        <w:r>
          <w:rPr>
            <w:color w:val="FF0000"/>
          </w:rPr>
          <w:t>al.</w:t>
        </w:r>
      </w:hyperlink>
      <w:r>
        <w:rPr/>
        <w:t>(</w:t>
      </w:r>
      <w:hyperlink w:history="true" w:anchor="_bookmark242">
        <w:r>
          <w:rPr>
            <w:color w:val="FF0000"/>
          </w:rPr>
          <w:t>2019</w:t>
        </w:r>
      </w:hyperlink>
      <w:r>
        <w:rPr/>
        <w:t>).</w:t>
      </w:r>
      <w:r>
        <w:rPr>
          <w:spacing w:val="5"/>
        </w:rPr>
        <w:t> </w:t>
      </w:r>
      <w:r>
        <w:rPr/>
        <w:t>EPV</w:t>
      </w:r>
      <w:r>
        <w:rPr>
          <w:spacing w:val="-10"/>
        </w:rPr>
        <w:t> </w:t>
      </w:r>
      <w:r>
        <w:rPr/>
        <w:t>plot</w:t>
      </w:r>
      <w:r>
        <w:rPr>
          <w:spacing w:val="-11"/>
        </w:rPr>
        <w:t> </w:t>
      </w:r>
      <w:r>
        <w:rPr/>
        <w:t>highlights</w:t>
      </w:r>
      <w:r>
        <w:rPr>
          <w:spacing w:val="-10"/>
        </w:rPr>
        <w:t> </w:t>
      </w:r>
      <w:r>
        <w:rPr>
          <w:spacing w:val="-2"/>
        </w:rPr>
        <w:t>three</w:t>
      </w:r>
    </w:p>
    <w:p>
      <w:pPr>
        <w:pStyle w:val="BodyText"/>
        <w:spacing w:line="252" w:lineRule="auto" w:before="13"/>
        <w:ind w:left="610" w:right="389"/>
        <w:jc w:val="both"/>
      </w:pPr>
      <w:r>
        <w:rPr>
          <w:spacing w:val="-2"/>
        </w:rPr>
        <w:t>specific</w:t>
      </w:r>
      <w:r>
        <w:rPr>
          <w:spacing w:val="-9"/>
        </w:rPr>
        <w:t> </w:t>
      </w:r>
      <w:r>
        <w:rPr>
          <w:spacing w:val="-2"/>
        </w:rPr>
        <w:t>situations</w:t>
      </w:r>
      <w:r>
        <w:rPr>
          <w:spacing w:val="-9"/>
        </w:rPr>
        <w:t> </w:t>
      </w:r>
      <w:r>
        <w:rPr>
          <w:spacing w:val="-2"/>
        </w:rPr>
        <w:t>(A,</w:t>
      </w:r>
      <w:r>
        <w:rPr>
          <w:spacing w:val="-9"/>
        </w:rPr>
        <w:t> </w:t>
      </w:r>
      <w:r>
        <w:rPr>
          <w:spacing w:val="-2"/>
        </w:rPr>
        <w:t>B</w:t>
      </w:r>
      <w:r>
        <w:rPr>
          <w:spacing w:val="-9"/>
        </w:rPr>
        <w:t> </w:t>
      </w:r>
      <w:r>
        <w:rPr>
          <w:spacing w:val="-2"/>
        </w:rPr>
        <w:t>and</w:t>
      </w:r>
      <w:r>
        <w:rPr>
          <w:spacing w:val="-9"/>
        </w:rPr>
        <w:t> </w:t>
      </w:r>
      <w:r>
        <w:rPr>
          <w:spacing w:val="-2"/>
        </w:rPr>
        <w:t>C).</w:t>
      </w:r>
      <w:r>
        <w:rPr>
          <w:spacing w:val="-9"/>
        </w:rPr>
        <w:t> </w:t>
      </w:r>
      <w:r>
        <w:rPr>
          <w:spacing w:val="-2"/>
        </w:rPr>
        <w:t>Blue</w:t>
      </w:r>
      <w:r>
        <w:rPr>
          <w:spacing w:val="-9"/>
        </w:rPr>
        <w:t> </w:t>
      </w:r>
      <w:r>
        <w:rPr>
          <w:spacing w:val="-2"/>
        </w:rPr>
        <w:t>areas</w:t>
      </w:r>
      <w:r>
        <w:rPr>
          <w:spacing w:val="-9"/>
        </w:rPr>
        <w:t> </w:t>
      </w:r>
      <w:r>
        <w:rPr>
          <w:spacing w:val="-2"/>
        </w:rPr>
        <w:t>represent</w:t>
      </w:r>
      <w:r>
        <w:rPr>
          <w:spacing w:val="-9"/>
        </w:rPr>
        <w:t> </w:t>
      </w:r>
      <w:r>
        <w:rPr>
          <w:spacing w:val="-2"/>
        </w:rPr>
        <w:t>areas</w:t>
      </w:r>
      <w:r>
        <w:rPr>
          <w:spacing w:val="-9"/>
        </w:rPr>
        <w:t> </w:t>
      </w:r>
      <w:r>
        <w:rPr>
          <w:spacing w:val="-2"/>
        </w:rPr>
        <w:t>of</w:t>
      </w:r>
      <w:r>
        <w:rPr>
          <w:spacing w:val="-9"/>
        </w:rPr>
        <w:t> </w:t>
      </w:r>
      <w:r>
        <w:rPr>
          <w:spacing w:val="-2"/>
        </w:rPr>
        <w:t>low</w:t>
      </w:r>
      <w:r>
        <w:rPr>
          <w:spacing w:val="-9"/>
        </w:rPr>
        <w:t> </w:t>
      </w:r>
      <w:r>
        <w:rPr>
          <w:spacing w:val="-2"/>
        </w:rPr>
        <w:t>EPV,</w:t>
      </w:r>
      <w:r>
        <w:rPr>
          <w:spacing w:val="-9"/>
        </w:rPr>
        <w:t> </w:t>
      </w:r>
      <w:r>
        <w:rPr>
          <w:spacing w:val="-2"/>
        </w:rPr>
        <w:t>red</w:t>
      </w:r>
      <w:r>
        <w:rPr>
          <w:spacing w:val="-9"/>
        </w:rPr>
        <w:t> </w:t>
      </w:r>
      <w:r>
        <w:rPr>
          <w:spacing w:val="-2"/>
        </w:rPr>
        <w:t>areas</w:t>
      </w:r>
      <w:r>
        <w:rPr>
          <w:spacing w:val="-9"/>
        </w:rPr>
        <w:t> </w:t>
      </w:r>
      <w:r>
        <w:rPr>
          <w:spacing w:val="-2"/>
        </w:rPr>
        <w:t>represent </w:t>
      </w:r>
      <w:r>
        <w:rPr/>
        <w:t>high EPV. Blue arrows represent pass chosen by the player, green arrows represent best possible</w:t>
      </w:r>
      <w:r>
        <w:rPr>
          <w:spacing w:val="-14"/>
        </w:rPr>
        <w:t> </w:t>
      </w:r>
      <w:r>
        <w:rPr/>
        <w:t>pass</w:t>
      </w:r>
      <w:r>
        <w:rPr>
          <w:spacing w:val="-14"/>
        </w:rPr>
        <w:t> </w:t>
      </w:r>
      <w:r>
        <w:rPr/>
        <w:t>according</w:t>
      </w:r>
      <w:r>
        <w:rPr>
          <w:spacing w:val="-14"/>
        </w:rPr>
        <w:t> </w:t>
      </w:r>
      <w:r>
        <w:rPr/>
        <w:t>to</w:t>
      </w:r>
      <w:r>
        <w:rPr>
          <w:spacing w:val="-14"/>
        </w:rPr>
        <w:t> </w:t>
      </w:r>
      <w:r>
        <w:rPr/>
        <w:t>the</w:t>
      </w:r>
      <w:r>
        <w:rPr>
          <w:spacing w:val="-14"/>
        </w:rPr>
        <w:t> </w:t>
      </w:r>
      <w:r>
        <w:rPr/>
        <w:t>model. Yellow</w:t>
      </w:r>
      <w:r>
        <w:rPr>
          <w:spacing w:val="-14"/>
        </w:rPr>
        <w:t> </w:t>
      </w:r>
      <w:r>
        <w:rPr/>
        <w:t>dots</w:t>
      </w:r>
      <w:r>
        <w:rPr>
          <w:spacing w:val="-14"/>
        </w:rPr>
        <w:t> </w:t>
      </w:r>
      <w:r>
        <w:rPr/>
        <w:t>represent</w:t>
      </w:r>
      <w:r>
        <w:rPr>
          <w:spacing w:val="-14"/>
        </w:rPr>
        <w:t> </w:t>
      </w:r>
      <w:r>
        <w:rPr/>
        <w:t>players</w:t>
      </w:r>
      <w:r>
        <w:rPr>
          <w:spacing w:val="-14"/>
        </w:rPr>
        <w:t> </w:t>
      </w:r>
      <w:r>
        <w:rPr/>
        <w:t>on</w:t>
      </w:r>
      <w:r>
        <w:rPr>
          <w:spacing w:val="-14"/>
        </w:rPr>
        <w:t> </w:t>
      </w:r>
      <w:r>
        <w:rPr/>
        <w:t>the</w:t>
      </w:r>
      <w:r>
        <w:rPr>
          <w:spacing w:val="-14"/>
        </w:rPr>
        <w:t> </w:t>
      </w:r>
      <w:r>
        <w:rPr/>
        <w:t>attacking</w:t>
      </w:r>
      <w:r>
        <w:rPr>
          <w:spacing w:val="-14"/>
        </w:rPr>
        <w:t> </w:t>
      </w:r>
      <w:r>
        <w:rPr/>
        <w:t>team (i.e. in possession), blue dots represent defending team.</w:t>
      </w:r>
    </w:p>
    <w:p>
      <w:pPr>
        <w:pStyle w:val="BodyText"/>
        <w:rPr>
          <w:sz w:val="28"/>
        </w:rPr>
      </w:pPr>
    </w:p>
    <w:p>
      <w:pPr>
        <w:pStyle w:val="BodyText"/>
        <w:rPr>
          <w:sz w:val="32"/>
        </w:rPr>
      </w:pPr>
    </w:p>
    <w:p>
      <w:pPr>
        <w:pStyle w:val="BodyText"/>
        <w:spacing w:line="312" w:lineRule="auto" w:before="1"/>
        <w:ind w:left="610" w:right="389"/>
        <w:jc w:val="both"/>
      </w:pPr>
      <w:r>
        <w:rPr/>
        <w:t>larger</w:t>
      </w:r>
      <w:r>
        <w:rPr>
          <w:spacing w:val="-10"/>
        </w:rPr>
        <w:t> </w:t>
      </w:r>
      <w:r>
        <w:rPr/>
        <w:t>issue</w:t>
      </w:r>
      <w:r>
        <w:rPr>
          <w:spacing w:val="-10"/>
        </w:rPr>
        <w:t> </w:t>
      </w:r>
      <w:r>
        <w:rPr/>
        <w:t>is</w:t>
      </w:r>
      <w:r>
        <w:rPr>
          <w:spacing w:val="-10"/>
        </w:rPr>
        <w:t> </w:t>
      </w:r>
      <w:r>
        <w:rPr/>
        <w:t>the</w:t>
      </w:r>
      <w:r>
        <w:rPr>
          <w:spacing w:val="-10"/>
        </w:rPr>
        <w:t> </w:t>
      </w:r>
      <w:r>
        <w:rPr/>
        <w:t>quantity</w:t>
      </w:r>
      <w:r>
        <w:rPr>
          <w:spacing w:val="-10"/>
        </w:rPr>
        <w:t> </w:t>
      </w:r>
      <w:r>
        <w:rPr/>
        <w:t>and</w:t>
      </w:r>
      <w:r>
        <w:rPr>
          <w:spacing w:val="-10"/>
        </w:rPr>
        <w:t> </w:t>
      </w:r>
      <w:r>
        <w:rPr/>
        <w:t>quality</w:t>
      </w:r>
      <w:r>
        <w:rPr>
          <w:spacing w:val="-10"/>
        </w:rPr>
        <w:t> </w:t>
      </w:r>
      <w:r>
        <w:rPr/>
        <w:t>of</w:t>
      </w:r>
      <w:r>
        <w:rPr>
          <w:spacing w:val="-10"/>
        </w:rPr>
        <w:t> </w:t>
      </w:r>
      <w:r>
        <w:rPr/>
        <w:t>data</w:t>
      </w:r>
      <w:r>
        <w:rPr>
          <w:spacing w:val="-10"/>
        </w:rPr>
        <w:t> </w:t>
      </w:r>
      <w:r>
        <w:rPr/>
        <w:t>required</w:t>
      </w:r>
      <w:r>
        <w:rPr>
          <w:spacing w:val="-10"/>
        </w:rPr>
        <w:t> </w:t>
      </w:r>
      <w:r>
        <w:rPr/>
        <w:t>to</w:t>
      </w:r>
      <w:r>
        <w:rPr>
          <w:spacing w:val="-10"/>
        </w:rPr>
        <w:t> </w:t>
      </w:r>
      <w:r>
        <w:rPr/>
        <w:t>produce</w:t>
      </w:r>
      <w:r>
        <w:rPr>
          <w:spacing w:val="-10"/>
        </w:rPr>
        <w:t> </w:t>
      </w:r>
      <w:r>
        <w:rPr/>
        <w:t>the</w:t>
      </w:r>
      <w:r>
        <w:rPr>
          <w:spacing w:val="-10"/>
        </w:rPr>
        <w:t> </w:t>
      </w:r>
      <w:r>
        <w:rPr/>
        <w:t>models,</w:t>
      </w:r>
      <w:r>
        <w:rPr>
          <w:spacing w:val="-9"/>
        </w:rPr>
        <w:t> </w:t>
      </w:r>
      <w:r>
        <w:rPr/>
        <w:t>which</w:t>
      </w:r>
      <w:r>
        <w:rPr>
          <w:spacing w:val="-10"/>
        </w:rPr>
        <w:t> </w:t>
      </w:r>
      <w:r>
        <w:rPr/>
        <w:t>isn’t available</w:t>
      </w:r>
      <w:r>
        <w:rPr>
          <w:spacing w:val="-6"/>
        </w:rPr>
        <w:t> </w:t>
      </w:r>
      <w:r>
        <w:rPr/>
        <w:t>in</w:t>
      </w:r>
      <w:r>
        <w:rPr>
          <w:spacing w:val="-6"/>
        </w:rPr>
        <w:t> </w:t>
      </w:r>
      <w:r>
        <w:rPr/>
        <w:t>rugby</w:t>
      </w:r>
      <w:r>
        <w:rPr>
          <w:spacing w:val="-6"/>
        </w:rPr>
        <w:t> </w:t>
      </w:r>
      <w:r>
        <w:rPr/>
        <w:t>league</w:t>
      </w:r>
      <w:r>
        <w:rPr>
          <w:spacing w:val="-6"/>
        </w:rPr>
        <w:t> </w:t>
      </w:r>
      <w:r>
        <w:rPr/>
        <w:t>where</w:t>
      </w:r>
      <w:r>
        <w:rPr>
          <w:spacing w:val="-6"/>
        </w:rPr>
        <w:t> </w:t>
      </w:r>
      <w:r>
        <w:rPr/>
        <w:t>there</w:t>
      </w:r>
      <w:r>
        <w:rPr>
          <w:spacing w:val="-6"/>
        </w:rPr>
        <w:t> </w:t>
      </w:r>
      <w:r>
        <w:rPr/>
        <w:t>is</w:t>
      </w:r>
      <w:r>
        <w:rPr>
          <w:spacing w:val="-6"/>
        </w:rPr>
        <w:t> </w:t>
      </w:r>
      <w:r>
        <w:rPr/>
        <w:t>no</w:t>
      </w:r>
      <w:r>
        <w:rPr>
          <w:spacing w:val="-6"/>
        </w:rPr>
        <w:t> </w:t>
      </w:r>
      <w:r>
        <w:rPr/>
        <w:t>tracking</w:t>
      </w:r>
      <w:r>
        <w:rPr>
          <w:spacing w:val="-6"/>
        </w:rPr>
        <w:t> </w:t>
      </w:r>
      <w:r>
        <w:rPr/>
        <w:t>data</w:t>
      </w:r>
      <w:r>
        <w:rPr>
          <w:spacing w:val="-6"/>
        </w:rPr>
        <w:t> </w:t>
      </w:r>
      <w:r>
        <w:rPr/>
        <w:t>available</w:t>
      </w:r>
      <w:r>
        <w:rPr>
          <w:spacing w:val="-6"/>
        </w:rPr>
        <w:t> </w:t>
      </w:r>
      <w:r>
        <w:rPr/>
        <w:t>of</w:t>
      </w:r>
      <w:r>
        <w:rPr>
          <w:spacing w:val="-6"/>
        </w:rPr>
        <w:t> </w:t>
      </w:r>
      <w:r>
        <w:rPr/>
        <w:t>any</w:t>
      </w:r>
      <w:r>
        <w:rPr>
          <w:spacing w:val="-6"/>
        </w:rPr>
        <w:t> </w:t>
      </w:r>
      <w:r>
        <w:rPr/>
        <w:t>type</w:t>
      </w:r>
      <w:r>
        <w:rPr>
          <w:spacing w:val="-6"/>
        </w:rPr>
        <w:t> </w:t>
      </w:r>
      <w:r>
        <w:rPr/>
        <w:t>and</w:t>
      </w:r>
      <w:r>
        <w:rPr>
          <w:spacing w:val="-6"/>
        </w:rPr>
        <w:t> </w:t>
      </w:r>
      <w:r>
        <w:rPr/>
        <w:t>action by action location data has only been available for two seasons (totalling 201 matches). As</w:t>
      </w:r>
      <w:r>
        <w:rPr>
          <w:spacing w:val="-5"/>
        </w:rPr>
        <w:t> </w:t>
      </w:r>
      <w:r>
        <w:rPr/>
        <w:t>such,</w:t>
      </w:r>
      <w:r>
        <w:rPr>
          <w:spacing w:val="-5"/>
        </w:rPr>
        <w:t> </w:t>
      </w:r>
      <w:r>
        <w:rPr/>
        <w:t>although</w:t>
      </w:r>
      <w:r>
        <w:rPr>
          <w:spacing w:val="-5"/>
        </w:rPr>
        <w:t> </w:t>
      </w:r>
      <w:r>
        <w:rPr/>
        <w:t>the</w:t>
      </w:r>
      <w:r>
        <w:rPr>
          <w:spacing w:val="-5"/>
        </w:rPr>
        <w:t> </w:t>
      </w:r>
      <w:r>
        <w:rPr/>
        <w:t>work</w:t>
      </w:r>
      <w:r>
        <w:rPr>
          <w:spacing w:val="-5"/>
        </w:rPr>
        <w:t> </w:t>
      </w:r>
      <w:r>
        <w:rPr/>
        <w:t>of</w:t>
      </w:r>
      <w:hyperlink w:history="true" w:anchor="_bookmark243">
        <w:r>
          <w:rPr>
            <w:color w:val="FF0000"/>
          </w:rPr>
          <w:t>Fern</w:t>
        </w:r>
        <w:r>
          <w:rPr>
            <w:color w:val="FF0000"/>
            <w:spacing w:val="-5"/>
          </w:rPr>
          <w:t> </w:t>
        </w:r>
        <w:r>
          <w:rPr>
            <w:color w:val="FF0000"/>
            <w:spacing w:val="-80"/>
          </w:rPr>
          <w:t>a</w:t>
        </w:r>
        <w:r>
          <w:rPr>
            <w:color w:val="FF0000"/>
            <w:spacing w:val="26"/>
          </w:rPr>
          <w:t>´</w:t>
        </w:r>
        <w:r>
          <w:rPr>
            <w:color w:val="FF0000"/>
            <w:spacing w:val="13"/>
          </w:rPr>
          <w:t>ndez</w:t>
        </w:r>
        <w:r>
          <w:rPr>
            <w:color w:val="FF0000"/>
            <w:spacing w:val="-4"/>
          </w:rPr>
          <w:t> </w:t>
        </w:r>
        <w:r>
          <w:rPr>
            <w:color w:val="FF0000"/>
          </w:rPr>
          <w:t>et</w:t>
        </w:r>
        <w:r>
          <w:rPr>
            <w:color w:val="FF0000"/>
            <w:spacing w:val="-5"/>
          </w:rPr>
          <w:t> </w:t>
        </w:r>
        <w:r>
          <w:rPr>
            <w:color w:val="FF0000"/>
          </w:rPr>
          <w:t>al.</w:t>
        </w:r>
      </w:hyperlink>
      <w:r>
        <w:rPr/>
        <w:t>(</w:t>
      </w:r>
      <w:hyperlink w:history="true" w:anchor="_bookmark243">
        <w:r>
          <w:rPr>
            <w:color w:val="FF0000"/>
          </w:rPr>
          <w:t>2021</w:t>
        </w:r>
        <w:r>
          <w:rPr/>
          <w:t>)</w:t>
        </w:r>
      </w:hyperlink>
      <w:r>
        <w:rPr>
          <w:spacing w:val="-5"/>
        </w:rPr>
        <w:t> </w:t>
      </w:r>
      <w:r>
        <w:rPr/>
        <w:t>is</w:t>
      </w:r>
      <w:r>
        <w:rPr>
          <w:spacing w:val="-5"/>
        </w:rPr>
        <w:t> </w:t>
      </w:r>
      <w:r>
        <w:rPr/>
        <w:t>a</w:t>
      </w:r>
      <w:r>
        <w:rPr>
          <w:spacing w:val="-5"/>
        </w:rPr>
        <w:t> </w:t>
      </w:r>
      <w:r>
        <w:rPr/>
        <w:t>gold</w:t>
      </w:r>
      <w:r>
        <w:rPr>
          <w:spacing w:val="-5"/>
        </w:rPr>
        <w:t> </w:t>
      </w:r>
      <w:r>
        <w:rPr/>
        <w:t>standard</w:t>
      </w:r>
      <w:r>
        <w:rPr>
          <w:spacing w:val="-5"/>
        </w:rPr>
        <w:t> </w:t>
      </w:r>
      <w:r>
        <w:rPr/>
        <w:t>to</w:t>
      </w:r>
      <w:r>
        <w:rPr>
          <w:spacing w:val="-5"/>
        </w:rPr>
        <w:t> </w:t>
      </w:r>
      <w:r>
        <w:rPr/>
        <w:t>aspire</w:t>
      </w:r>
      <w:r>
        <w:rPr>
          <w:spacing w:val="-5"/>
        </w:rPr>
        <w:t> </w:t>
      </w:r>
      <w:r>
        <w:rPr/>
        <w:t>to,</w:t>
      </w:r>
      <w:r>
        <w:rPr>
          <w:spacing w:val="-5"/>
        </w:rPr>
        <w:t> </w:t>
      </w:r>
      <w:r>
        <w:rPr/>
        <w:t>it</w:t>
      </w:r>
      <w:r>
        <w:rPr>
          <w:spacing w:val="-5"/>
        </w:rPr>
        <w:t> </w:t>
      </w:r>
      <w:r>
        <w:rPr/>
        <w:t>is not possible to reproduce in rugby league with the current state of data availability.</w:t>
      </w:r>
    </w:p>
    <w:p>
      <w:pPr>
        <w:pStyle w:val="BodyText"/>
        <w:spacing w:line="312" w:lineRule="auto"/>
        <w:ind w:left="610" w:right="389" w:firstLine="351"/>
      </w:pPr>
      <w:hyperlink w:history="true" w:anchor="_bookmark239">
        <w:r>
          <w:rPr>
            <w:color w:val="FF0000"/>
          </w:rPr>
          <w:t>Decroos et al.</w:t>
        </w:r>
      </w:hyperlink>
      <w:r>
        <w:rPr/>
        <w:t>(</w:t>
      </w:r>
      <w:hyperlink w:history="true" w:anchor="_bookmark239">
        <w:r>
          <w:rPr>
            <w:color w:val="FF0000"/>
          </w:rPr>
          <w:t>2019</w:t>
        </w:r>
        <w:r>
          <w:rPr/>
          <w:t>)</w:t>
        </w:r>
      </w:hyperlink>
      <w:r>
        <w:rPr/>
        <w:t> valuing actions by estimating probabilities (VAEP) framework provides an alternative method through which football actions can be evaluated, </w:t>
      </w:r>
      <w:r>
        <w:rPr/>
        <w:t>using</w:t>
      </w:r>
      <w:r>
        <w:rPr>
          <w:spacing w:val="40"/>
        </w:rPr>
        <w:t> </w:t>
      </w:r>
      <w:r>
        <w:rPr/>
        <w:t>match</w:t>
      </w:r>
      <w:r>
        <w:rPr>
          <w:spacing w:val="-8"/>
        </w:rPr>
        <w:t> </w:t>
      </w:r>
      <w:r>
        <w:rPr/>
        <w:t>event</w:t>
      </w:r>
      <w:r>
        <w:rPr>
          <w:spacing w:val="-8"/>
        </w:rPr>
        <w:t> </w:t>
      </w:r>
      <w:r>
        <w:rPr/>
        <w:t>data</w:t>
      </w:r>
      <w:r>
        <w:rPr>
          <w:spacing w:val="-8"/>
        </w:rPr>
        <w:t> </w:t>
      </w:r>
      <w:r>
        <w:rPr/>
        <w:t>only. The</w:t>
      </w:r>
      <w:r>
        <w:rPr>
          <w:spacing w:val="-8"/>
        </w:rPr>
        <w:t> </w:t>
      </w:r>
      <w:r>
        <w:rPr/>
        <w:t>authors</w:t>
      </w:r>
      <w:r>
        <w:rPr>
          <w:spacing w:val="-8"/>
        </w:rPr>
        <w:t> </w:t>
      </w:r>
      <w:r>
        <w:rPr/>
        <w:t>used</w:t>
      </w:r>
      <w:r>
        <w:rPr>
          <w:spacing w:val="-8"/>
        </w:rPr>
        <w:t> </w:t>
      </w:r>
      <w:r>
        <w:rPr/>
        <w:t>11,565</w:t>
      </w:r>
      <w:r>
        <w:rPr>
          <w:spacing w:val="-8"/>
        </w:rPr>
        <w:t> </w:t>
      </w:r>
      <w:r>
        <w:rPr/>
        <w:t>matches</w:t>
      </w:r>
      <w:r>
        <w:rPr>
          <w:spacing w:val="-8"/>
        </w:rPr>
        <w:t> </w:t>
      </w:r>
      <w:r>
        <w:rPr/>
        <w:t>from</w:t>
      </w:r>
      <w:r>
        <w:rPr>
          <w:spacing w:val="-8"/>
        </w:rPr>
        <w:t> </w:t>
      </w:r>
      <w:r>
        <w:rPr/>
        <w:t>five</w:t>
      </w:r>
      <w:r>
        <w:rPr>
          <w:spacing w:val="-8"/>
        </w:rPr>
        <w:t> </w:t>
      </w:r>
      <w:r>
        <w:rPr/>
        <w:t>top</w:t>
      </w:r>
      <w:r>
        <w:rPr>
          <w:spacing w:val="-8"/>
        </w:rPr>
        <w:t> </w:t>
      </w:r>
      <w:r>
        <w:rPr/>
        <w:t>European</w:t>
      </w:r>
      <w:r>
        <w:rPr>
          <w:spacing w:val="-8"/>
        </w:rPr>
        <w:t> </w:t>
      </w:r>
      <w:r>
        <w:rPr/>
        <w:t>football leagues</w:t>
      </w:r>
      <w:r>
        <w:rPr>
          <w:spacing w:val="-2"/>
        </w:rPr>
        <w:t> </w:t>
      </w:r>
      <w:r>
        <w:rPr/>
        <w:t>between</w:t>
      </w:r>
      <w:r>
        <w:rPr>
          <w:spacing w:val="-2"/>
        </w:rPr>
        <w:t> </w:t>
      </w:r>
      <w:r>
        <w:rPr/>
        <w:t>2012-2018</w:t>
      </w:r>
      <w:r>
        <w:rPr>
          <w:spacing w:val="-2"/>
        </w:rPr>
        <w:t> </w:t>
      </w:r>
      <w:r>
        <w:rPr/>
        <w:t>(totalling</w:t>
      </w:r>
      <w:r>
        <w:rPr>
          <w:spacing w:val="-2"/>
        </w:rPr>
        <w:t> </w:t>
      </w:r>
      <w:r>
        <w:rPr/>
        <w:t>14.4</w:t>
      </w:r>
      <w:r>
        <w:rPr>
          <w:spacing w:val="-2"/>
        </w:rPr>
        <w:t> </w:t>
      </w:r>
      <w:r>
        <w:rPr/>
        <w:t>million</w:t>
      </w:r>
      <w:r>
        <w:rPr>
          <w:spacing w:val="-2"/>
        </w:rPr>
        <w:t> </w:t>
      </w:r>
      <w:r>
        <w:rPr/>
        <w:t>actions).</w:t>
      </w:r>
      <w:r>
        <w:rPr>
          <w:spacing w:val="20"/>
        </w:rPr>
        <w:t> </w:t>
      </w:r>
      <w:r>
        <w:rPr/>
        <w:t>The</w:t>
      </w:r>
      <w:r>
        <w:rPr>
          <w:spacing w:val="-2"/>
        </w:rPr>
        <w:t> </w:t>
      </w:r>
      <w:r>
        <w:rPr/>
        <w:t>data</w:t>
      </w:r>
      <w:r>
        <w:rPr>
          <w:spacing w:val="-2"/>
        </w:rPr>
        <w:t> </w:t>
      </w:r>
      <w:r>
        <w:rPr/>
        <w:t>were</w:t>
      </w:r>
      <w:r>
        <w:rPr>
          <w:spacing w:val="-2"/>
        </w:rPr>
        <w:t> </w:t>
      </w:r>
      <w:r>
        <w:rPr/>
        <w:t>preprocessed to</w:t>
      </w:r>
      <w:r>
        <w:rPr>
          <w:spacing w:val="-2"/>
        </w:rPr>
        <w:t> </w:t>
      </w:r>
      <w:r>
        <w:rPr/>
        <w:t>provide</w:t>
      </w:r>
      <w:r>
        <w:rPr>
          <w:spacing w:val="-2"/>
        </w:rPr>
        <w:t> </w:t>
      </w:r>
      <w:r>
        <w:rPr/>
        <w:t>model</w:t>
      </w:r>
      <w:r>
        <w:rPr>
          <w:spacing w:val="-2"/>
        </w:rPr>
        <w:t> </w:t>
      </w:r>
      <w:r>
        <w:rPr/>
        <w:t>features</w:t>
      </w:r>
      <w:r>
        <w:rPr>
          <w:spacing w:val="-2"/>
        </w:rPr>
        <w:t> </w:t>
      </w:r>
      <w:r>
        <w:rPr/>
        <w:t>related</w:t>
      </w:r>
      <w:r>
        <w:rPr>
          <w:spacing w:val="-2"/>
        </w:rPr>
        <w:t> </w:t>
      </w:r>
      <w:r>
        <w:rPr/>
        <w:t>to</w:t>
      </w:r>
      <w:r>
        <w:rPr>
          <w:spacing w:val="-2"/>
        </w:rPr>
        <w:t> </w:t>
      </w:r>
      <w:r>
        <w:rPr/>
        <w:t>the</w:t>
      </w:r>
      <w:r>
        <w:rPr>
          <w:spacing w:val="-2"/>
        </w:rPr>
        <w:t> </w:t>
      </w:r>
      <w:r>
        <w:rPr/>
        <w:t>previous</w:t>
      </w:r>
      <w:r>
        <w:rPr>
          <w:spacing w:val="-2"/>
        </w:rPr>
        <w:t> </w:t>
      </w:r>
      <w:r>
        <w:rPr/>
        <w:t>3</w:t>
      </w:r>
      <w:r>
        <w:rPr>
          <w:spacing w:val="-2"/>
        </w:rPr>
        <w:t> </w:t>
      </w:r>
      <w:r>
        <w:rPr/>
        <w:t>actions.</w:t>
      </w:r>
      <w:r>
        <w:rPr>
          <w:spacing w:val="20"/>
        </w:rPr>
        <w:t> </w:t>
      </w:r>
      <w:r>
        <w:rPr/>
        <w:t>These</w:t>
      </w:r>
      <w:r>
        <w:rPr>
          <w:spacing w:val="-2"/>
        </w:rPr>
        <w:t> </w:t>
      </w:r>
      <w:r>
        <w:rPr/>
        <w:t>features</w:t>
      </w:r>
      <w:r>
        <w:rPr>
          <w:spacing w:val="-2"/>
        </w:rPr>
        <w:t> </w:t>
      </w:r>
      <w:r>
        <w:rPr/>
        <w:t>were</w:t>
      </w:r>
      <w:r>
        <w:rPr>
          <w:spacing w:val="-2"/>
        </w:rPr>
        <w:t> </w:t>
      </w:r>
      <w:r>
        <w:rPr/>
        <w:t>grouped into</w:t>
      </w:r>
      <w:r>
        <w:rPr>
          <w:spacing w:val="-8"/>
        </w:rPr>
        <w:t> </w:t>
      </w:r>
      <w:r>
        <w:rPr/>
        <w:t>descriptive</w:t>
      </w:r>
      <w:r>
        <w:rPr>
          <w:spacing w:val="-8"/>
        </w:rPr>
        <w:t> </w:t>
      </w:r>
      <w:r>
        <w:rPr/>
        <w:t>features</w:t>
      </w:r>
      <w:r>
        <w:rPr>
          <w:spacing w:val="-8"/>
        </w:rPr>
        <w:t> </w:t>
      </w:r>
      <w:r>
        <w:rPr/>
        <w:t>(e.g. type</w:t>
      </w:r>
      <w:r>
        <w:rPr>
          <w:spacing w:val="-8"/>
        </w:rPr>
        <w:t> </w:t>
      </w:r>
      <w:r>
        <w:rPr/>
        <w:t>of</w:t>
      </w:r>
      <w:r>
        <w:rPr>
          <w:spacing w:val="-8"/>
        </w:rPr>
        <w:t> </w:t>
      </w:r>
      <w:r>
        <w:rPr/>
        <w:t>action,</w:t>
      </w:r>
      <w:r>
        <w:rPr>
          <w:spacing w:val="-7"/>
        </w:rPr>
        <w:t> </w:t>
      </w:r>
      <w:r>
        <w:rPr/>
        <w:t>location</w:t>
      </w:r>
      <w:r>
        <w:rPr>
          <w:spacing w:val="-8"/>
        </w:rPr>
        <w:t> </w:t>
      </w:r>
      <w:r>
        <w:rPr/>
        <w:t>of</w:t>
      </w:r>
      <w:r>
        <w:rPr>
          <w:spacing w:val="-8"/>
        </w:rPr>
        <w:t> </w:t>
      </w:r>
      <w:r>
        <w:rPr/>
        <w:t>action,</w:t>
      </w:r>
      <w:r>
        <w:rPr>
          <w:spacing w:val="-7"/>
        </w:rPr>
        <w:t> </w:t>
      </w:r>
      <w:r>
        <w:rPr/>
        <w:t>body</w:t>
      </w:r>
      <w:r>
        <w:rPr>
          <w:spacing w:val="-8"/>
        </w:rPr>
        <w:t> </w:t>
      </w:r>
      <w:r>
        <w:rPr/>
        <w:t>part</w:t>
      </w:r>
      <w:r>
        <w:rPr>
          <w:spacing w:val="-8"/>
        </w:rPr>
        <w:t> </w:t>
      </w:r>
      <w:r>
        <w:rPr/>
        <w:t>used</w:t>
      </w:r>
      <w:r>
        <w:rPr>
          <w:spacing w:val="-8"/>
        </w:rPr>
        <w:t> </w:t>
      </w:r>
      <w:r>
        <w:rPr/>
        <w:t>and</w:t>
      </w:r>
      <w:r>
        <w:rPr>
          <w:spacing w:val="-8"/>
        </w:rPr>
        <w:t> </w:t>
      </w:r>
      <w:r>
        <w:rPr/>
        <w:t>action result),</w:t>
      </w:r>
      <w:r>
        <w:rPr>
          <w:spacing w:val="-7"/>
        </w:rPr>
        <w:t> </w:t>
      </w:r>
      <w:r>
        <w:rPr/>
        <w:t>complex</w:t>
      </w:r>
      <w:r>
        <w:rPr>
          <w:spacing w:val="-7"/>
        </w:rPr>
        <w:t> </w:t>
      </w:r>
      <w:r>
        <w:rPr/>
        <w:t>features</w:t>
      </w:r>
      <w:r>
        <w:rPr>
          <w:spacing w:val="-7"/>
        </w:rPr>
        <w:t> </w:t>
      </w:r>
      <w:r>
        <w:rPr/>
        <w:t>(e.g. the</w:t>
      </w:r>
      <w:r>
        <w:rPr>
          <w:spacing w:val="-7"/>
        </w:rPr>
        <w:t> </w:t>
      </w:r>
      <w:r>
        <w:rPr/>
        <w:t>distance</w:t>
      </w:r>
      <w:r>
        <w:rPr>
          <w:spacing w:val="-7"/>
        </w:rPr>
        <w:t> </w:t>
      </w:r>
      <w:r>
        <w:rPr/>
        <w:t>and</w:t>
      </w:r>
      <w:r>
        <w:rPr>
          <w:spacing w:val="-7"/>
        </w:rPr>
        <w:t> </w:t>
      </w:r>
      <w:r>
        <w:rPr/>
        <w:t>angle</w:t>
      </w:r>
      <w:r>
        <w:rPr>
          <w:spacing w:val="-7"/>
        </w:rPr>
        <w:t> </w:t>
      </w:r>
      <w:r>
        <w:rPr/>
        <w:t>to</w:t>
      </w:r>
      <w:r>
        <w:rPr>
          <w:spacing w:val="-7"/>
        </w:rPr>
        <w:t> </w:t>
      </w:r>
      <w:r>
        <w:rPr/>
        <w:t>the</w:t>
      </w:r>
      <w:r>
        <w:rPr>
          <w:spacing w:val="-7"/>
        </w:rPr>
        <w:t> </w:t>
      </w:r>
      <w:r>
        <w:rPr/>
        <w:t>goal</w:t>
      </w:r>
      <w:r>
        <w:rPr>
          <w:spacing w:val="-7"/>
        </w:rPr>
        <w:t> </w:t>
      </w:r>
      <w:r>
        <w:rPr/>
        <w:t>and</w:t>
      </w:r>
      <w:r>
        <w:rPr>
          <w:spacing w:val="-7"/>
        </w:rPr>
        <w:t> </w:t>
      </w:r>
      <w:r>
        <w:rPr/>
        <w:t>the</w:t>
      </w:r>
      <w:r>
        <w:rPr>
          <w:spacing w:val="-7"/>
        </w:rPr>
        <w:t> </w:t>
      </w:r>
      <w:r>
        <w:rPr/>
        <w:t>distance</w:t>
      </w:r>
      <w:r>
        <w:rPr>
          <w:spacing w:val="-7"/>
        </w:rPr>
        <w:t> </w:t>
      </w:r>
      <w:r>
        <w:rPr/>
        <w:t>covered during</w:t>
      </w:r>
      <w:r>
        <w:rPr>
          <w:spacing w:val="1"/>
        </w:rPr>
        <w:t> </w:t>
      </w:r>
      <w:r>
        <w:rPr/>
        <w:t>the</w:t>
      </w:r>
      <w:r>
        <w:rPr>
          <w:spacing w:val="1"/>
        </w:rPr>
        <w:t> </w:t>
      </w:r>
      <w:r>
        <w:rPr/>
        <w:t>action</w:t>
      </w:r>
      <w:r>
        <w:rPr>
          <w:spacing w:val="2"/>
        </w:rPr>
        <w:t> </w:t>
      </w:r>
      <w:r>
        <w:rPr/>
        <w:t>in</w:t>
      </w:r>
      <w:r>
        <w:rPr>
          <w:spacing w:val="1"/>
        </w:rPr>
        <w:t> </w:t>
      </w:r>
      <w:r>
        <w:rPr>
          <w:rFonts w:ascii="Cambria"/>
        </w:rPr>
        <w:t>x</w:t>
      </w:r>
      <w:r>
        <w:rPr>
          <w:rFonts w:ascii="Cambria"/>
          <w:spacing w:val="9"/>
        </w:rPr>
        <w:t> </w:t>
      </w:r>
      <w:r>
        <w:rPr/>
        <w:t>and</w:t>
      </w:r>
      <w:r>
        <w:rPr>
          <w:spacing w:val="1"/>
        </w:rPr>
        <w:t> </w:t>
      </w:r>
      <w:r>
        <w:rPr>
          <w:rFonts w:ascii="Cambria"/>
        </w:rPr>
        <w:t>y</w:t>
      </w:r>
      <w:r>
        <w:rPr>
          <w:rFonts w:ascii="Cambria"/>
          <w:spacing w:val="16"/>
        </w:rPr>
        <w:t> </w:t>
      </w:r>
      <w:r>
        <w:rPr/>
        <w:t>directions)</w:t>
      </w:r>
      <w:r>
        <w:rPr>
          <w:spacing w:val="2"/>
        </w:rPr>
        <w:t> </w:t>
      </w:r>
      <w:r>
        <w:rPr/>
        <w:t>and</w:t>
      </w:r>
      <w:r>
        <w:rPr>
          <w:spacing w:val="1"/>
        </w:rPr>
        <w:t> </w:t>
      </w:r>
      <w:r>
        <w:rPr/>
        <w:t>game</w:t>
      </w:r>
      <w:r>
        <w:rPr>
          <w:spacing w:val="1"/>
        </w:rPr>
        <w:t> </w:t>
      </w:r>
      <w:r>
        <w:rPr/>
        <w:t>context</w:t>
      </w:r>
      <w:r>
        <w:rPr>
          <w:spacing w:val="1"/>
        </w:rPr>
        <w:t> </w:t>
      </w:r>
      <w:r>
        <w:rPr/>
        <w:t>features</w:t>
      </w:r>
      <w:r>
        <w:rPr>
          <w:spacing w:val="2"/>
        </w:rPr>
        <w:t> </w:t>
      </w:r>
      <w:r>
        <w:rPr/>
        <w:t>(e.g.</w:t>
      </w:r>
      <w:r>
        <w:rPr>
          <w:spacing w:val="26"/>
        </w:rPr>
        <w:t> </w:t>
      </w:r>
      <w:r>
        <w:rPr/>
        <w:t>number</w:t>
      </w:r>
      <w:r>
        <w:rPr>
          <w:spacing w:val="1"/>
        </w:rPr>
        <w:t> </w:t>
      </w:r>
      <w:r>
        <w:rPr/>
        <w:t>of</w:t>
      </w:r>
      <w:r>
        <w:rPr>
          <w:spacing w:val="2"/>
        </w:rPr>
        <w:t> </w:t>
      </w:r>
      <w:r>
        <w:rPr>
          <w:spacing w:val="-2"/>
        </w:rPr>
        <w:t>goals</w:t>
      </w:r>
    </w:p>
    <w:p>
      <w:pPr>
        <w:spacing w:after="0" w:line="312" w:lineRule="auto"/>
        <w:sectPr>
          <w:pgSz w:w="11910" w:h="16840"/>
          <w:pgMar w:header="1961" w:footer="1428" w:top="2260" w:bottom="1620" w:left="1680" w:right="720"/>
        </w:sectPr>
      </w:pPr>
    </w:p>
    <w:p>
      <w:pPr>
        <w:pStyle w:val="BodyText"/>
        <w:rPr>
          <w:sz w:val="20"/>
        </w:rPr>
      </w:pPr>
    </w:p>
    <w:p>
      <w:pPr>
        <w:pStyle w:val="BodyText"/>
        <w:spacing w:before="8"/>
        <w:rPr>
          <w:sz w:val="29"/>
        </w:rPr>
      </w:pPr>
    </w:p>
    <w:p>
      <w:pPr>
        <w:pStyle w:val="BodyText"/>
        <w:ind w:left="777"/>
        <w:rPr>
          <w:sz w:val="20"/>
        </w:rPr>
      </w:pPr>
      <w:r>
        <w:rPr>
          <w:sz w:val="20"/>
        </w:rPr>
        <w:drawing>
          <wp:inline distT="0" distB="0" distL="0" distR="0">
            <wp:extent cx="5152644" cy="3364991"/>
            <wp:effectExtent l="0" t="0" r="0" b="0"/>
            <wp:docPr id="17" name="image9.jpeg"/>
            <wp:cNvGraphicFramePr>
              <a:graphicFrameLocks noChangeAspect="1"/>
            </wp:cNvGraphicFramePr>
            <a:graphic>
              <a:graphicData uri="http://schemas.openxmlformats.org/drawingml/2006/picture">
                <pic:pic>
                  <pic:nvPicPr>
                    <pic:cNvPr id="18" name="image9.jpeg"/>
                    <pic:cNvPicPr/>
                  </pic:nvPicPr>
                  <pic:blipFill>
                    <a:blip r:embed="rId42" cstate="print"/>
                    <a:stretch>
                      <a:fillRect/>
                    </a:stretch>
                  </pic:blipFill>
                  <pic:spPr>
                    <a:xfrm>
                      <a:off x="0" y="0"/>
                      <a:ext cx="5152644" cy="3364991"/>
                    </a:xfrm>
                    <a:prstGeom prst="rect">
                      <a:avLst/>
                    </a:prstGeom>
                  </pic:spPr>
                </pic:pic>
              </a:graphicData>
            </a:graphic>
          </wp:inline>
        </w:drawing>
      </w:r>
      <w:r>
        <w:rPr>
          <w:sz w:val="20"/>
        </w:rPr>
      </w:r>
    </w:p>
    <w:p>
      <w:pPr>
        <w:pStyle w:val="BodyText"/>
        <w:spacing w:before="3"/>
        <w:rPr>
          <w:sz w:val="13"/>
        </w:rPr>
      </w:pPr>
    </w:p>
    <w:p>
      <w:pPr>
        <w:pStyle w:val="BodyText"/>
        <w:spacing w:line="252" w:lineRule="auto" w:before="106"/>
        <w:ind w:left="610" w:right="389"/>
        <w:jc w:val="both"/>
      </w:pPr>
      <w:bookmarkStart w:name="_bookmark26" w:id="51"/>
      <w:bookmarkEnd w:id="51"/>
      <w:r>
        <w:rPr/>
      </w:r>
      <w:r>
        <w:rPr>
          <w:b/>
          <w:spacing w:val="-2"/>
        </w:rPr>
        <w:t>Figure</w:t>
      </w:r>
      <w:r>
        <w:rPr>
          <w:b/>
          <w:spacing w:val="-10"/>
        </w:rPr>
        <w:t> </w:t>
      </w:r>
      <w:r>
        <w:rPr>
          <w:b/>
          <w:spacing w:val="-2"/>
        </w:rPr>
        <w:t>2.8:</w:t>
      </w:r>
      <w:r>
        <w:rPr>
          <w:b/>
          <w:spacing w:val="11"/>
        </w:rPr>
        <w:t> </w:t>
      </w:r>
      <w:hyperlink w:history="true" w:anchor="_bookmark243">
        <w:r>
          <w:rPr>
            <w:color w:val="FF0000"/>
            <w:spacing w:val="6"/>
          </w:rPr>
          <w:t>Fer</w:t>
        </w:r>
        <w:r>
          <w:rPr>
            <w:color w:val="FF0000"/>
            <w:spacing w:val="5"/>
          </w:rPr>
          <w:t>n</w:t>
        </w:r>
        <w:r>
          <w:rPr>
            <w:color w:val="FF0000"/>
            <w:spacing w:val="-87"/>
          </w:rPr>
          <w:t>a</w:t>
        </w:r>
        <w:r>
          <w:rPr>
            <w:color w:val="FF0000"/>
            <w:spacing w:val="19"/>
          </w:rPr>
          <w:t>´</w:t>
        </w:r>
        <w:r>
          <w:rPr>
            <w:color w:val="FF0000"/>
            <w:spacing w:val="6"/>
          </w:rPr>
          <w:t>ndez</w:t>
        </w:r>
        <w:r>
          <w:rPr>
            <w:color w:val="FF0000"/>
            <w:spacing w:val="-9"/>
          </w:rPr>
          <w:t> </w:t>
        </w:r>
        <w:r>
          <w:rPr>
            <w:color w:val="FF0000"/>
            <w:spacing w:val="-2"/>
          </w:rPr>
          <w:t>et</w:t>
        </w:r>
        <w:r>
          <w:rPr>
            <w:color w:val="FF0000"/>
            <w:spacing w:val="-10"/>
          </w:rPr>
          <w:t> </w:t>
        </w:r>
        <w:r>
          <w:rPr>
            <w:color w:val="FF0000"/>
            <w:spacing w:val="-2"/>
          </w:rPr>
          <w:t>al.</w:t>
        </w:r>
      </w:hyperlink>
      <w:r>
        <w:rPr>
          <w:spacing w:val="-2"/>
        </w:rPr>
        <w:t>(</w:t>
      </w:r>
      <w:hyperlink w:history="true" w:anchor="_bookmark243">
        <w:r>
          <w:rPr>
            <w:color w:val="FF0000"/>
            <w:spacing w:val="-2"/>
          </w:rPr>
          <w:t>2021</w:t>
        </w:r>
        <w:r>
          <w:rPr>
            <w:spacing w:val="-2"/>
          </w:rPr>
          <w:t>)</w:t>
        </w:r>
      </w:hyperlink>
      <w:r>
        <w:rPr>
          <w:spacing w:val="-10"/>
        </w:rPr>
        <w:t> </w:t>
      </w:r>
      <w:r>
        <w:rPr>
          <w:spacing w:val="-2"/>
        </w:rPr>
        <w:t>evaluation</w:t>
      </w:r>
      <w:r>
        <w:rPr>
          <w:spacing w:val="-11"/>
        </w:rPr>
        <w:t> </w:t>
      </w:r>
      <w:r>
        <w:rPr>
          <w:spacing w:val="-2"/>
        </w:rPr>
        <w:t>of</w:t>
      </w:r>
      <w:r>
        <w:rPr>
          <w:spacing w:val="-10"/>
        </w:rPr>
        <w:t> </w:t>
      </w:r>
      <w:r>
        <w:rPr>
          <w:spacing w:val="-2"/>
        </w:rPr>
        <w:t>single</w:t>
      </w:r>
      <w:r>
        <w:rPr>
          <w:spacing w:val="-10"/>
        </w:rPr>
        <w:t> </w:t>
      </w:r>
      <w:r>
        <w:rPr>
          <w:spacing w:val="-2"/>
        </w:rPr>
        <w:t>player’s</w:t>
      </w:r>
      <w:r>
        <w:rPr>
          <w:spacing w:val="-10"/>
        </w:rPr>
        <w:t> </w:t>
      </w:r>
      <w:r>
        <w:rPr>
          <w:spacing w:val="-2"/>
        </w:rPr>
        <w:t>EPV</w:t>
      </w:r>
      <w:r>
        <w:rPr>
          <w:spacing w:val="-10"/>
        </w:rPr>
        <w:t> </w:t>
      </w:r>
      <w:r>
        <w:rPr>
          <w:spacing w:val="-2"/>
        </w:rPr>
        <w:t>added</w:t>
      </w:r>
      <w:r>
        <w:rPr>
          <w:spacing w:val="-10"/>
        </w:rPr>
        <w:t> </w:t>
      </w:r>
      <w:r>
        <w:rPr>
          <w:spacing w:val="-2"/>
        </w:rPr>
        <w:t>when</w:t>
      </w:r>
      <w:r>
        <w:rPr>
          <w:spacing w:val="-10"/>
        </w:rPr>
        <w:t> </w:t>
      </w:r>
      <w:r>
        <w:rPr>
          <w:spacing w:val="-2"/>
        </w:rPr>
        <w:t>passing </w:t>
      </w:r>
      <w:r>
        <w:rPr/>
        <w:t>(left)</w:t>
      </w:r>
      <w:r>
        <w:rPr>
          <w:spacing w:val="-9"/>
        </w:rPr>
        <w:t> </w:t>
      </w:r>
      <w:r>
        <w:rPr/>
        <w:t>and</w:t>
      </w:r>
      <w:r>
        <w:rPr>
          <w:spacing w:val="-9"/>
        </w:rPr>
        <w:t> </w:t>
      </w:r>
      <w:r>
        <w:rPr/>
        <w:t>receiving</w:t>
      </w:r>
      <w:r>
        <w:rPr>
          <w:spacing w:val="-9"/>
        </w:rPr>
        <w:t> </w:t>
      </w:r>
      <w:r>
        <w:rPr/>
        <w:t>(right)</w:t>
      </w:r>
      <w:r>
        <w:rPr>
          <w:spacing w:val="-9"/>
        </w:rPr>
        <w:t> </w:t>
      </w:r>
      <w:r>
        <w:rPr/>
        <w:t>passes</w:t>
      </w:r>
      <w:r>
        <w:rPr>
          <w:spacing w:val="-9"/>
        </w:rPr>
        <w:t> </w:t>
      </w:r>
      <w:r>
        <w:rPr/>
        <w:t>from</w:t>
      </w:r>
      <w:r>
        <w:rPr>
          <w:spacing w:val="-9"/>
        </w:rPr>
        <w:t> </w:t>
      </w:r>
      <w:r>
        <w:rPr/>
        <w:t>different</w:t>
      </w:r>
      <w:r>
        <w:rPr>
          <w:spacing w:val="-9"/>
        </w:rPr>
        <w:t> </w:t>
      </w:r>
      <w:r>
        <w:rPr/>
        <w:t>players. Plot</w:t>
      </w:r>
      <w:r>
        <w:rPr>
          <w:spacing w:val="-9"/>
        </w:rPr>
        <w:t> </w:t>
      </w:r>
      <w:r>
        <w:rPr/>
        <w:t>shows</w:t>
      </w:r>
      <w:r>
        <w:rPr>
          <w:spacing w:val="-9"/>
        </w:rPr>
        <w:t> </w:t>
      </w:r>
      <w:r>
        <w:rPr/>
        <w:t>probability</w:t>
      </w:r>
      <w:r>
        <w:rPr>
          <w:spacing w:val="-9"/>
        </w:rPr>
        <w:t> </w:t>
      </w:r>
      <w:r>
        <w:rPr/>
        <w:t>of</w:t>
      </w:r>
      <w:r>
        <w:rPr>
          <w:spacing w:val="-9"/>
        </w:rPr>
        <w:t> </w:t>
      </w:r>
      <w:r>
        <w:rPr/>
        <w:t>passes being</w:t>
      </w:r>
      <w:r>
        <w:rPr>
          <w:spacing w:val="-14"/>
        </w:rPr>
        <w:t> </w:t>
      </w:r>
      <w:r>
        <w:rPr/>
        <w:t>selected</w:t>
      </w:r>
      <w:r>
        <w:rPr>
          <w:spacing w:val="-14"/>
        </w:rPr>
        <w:t> </w:t>
      </w:r>
      <w:r>
        <w:rPr/>
        <w:t>by</w:t>
      </w:r>
      <w:r>
        <w:rPr>
          <w:spacing w:val="-14"/>
        </w:rPr>
        <w:t> </w:t>
      </w:r>
      <w:r>
        <w:rPr/>
        <w:t>size</w:t>
      </w:r>
      <w:r>
        <w:rPr>
          <w:spacing w:val="-15"/>
        </w:rPr>
        <w:t> </w:t>
      </w:r>
      <w:r>
        <w:rPr/>
        <w:t>of</w:t>
      </w:r>
      <w:r>
        <w:rPr>
          <w:spacing w:val="-14"/>
        </w:rPr>
        <w:t> </w:t>
      </w:r>
      <w:r>
        <w:rPr/>
        <w:t>player</w:t>
      </w:r>
      <w:r>
        <w:rPr>
          <w:spacing w:val="-14"/>
        </w:rPr>
        <w:t> </w:t>
      </w:r>
      <w:r>
        <w:rPr/>
        <w:t>circle</w:t>
      </w:r>
      <w:r>
        <w:rPr>
          <w:spacing w:val="-14"/>
        </w:rPr>
        <w:t> </w:t>
      </w:r>
      <w:r>
        <w:rPr/>
        <w:t>and</w:t>
      </w:r>
      <w:r>
        <w:rPr>
          <w:spacing w:val="-14"/>
        </w:rPr>
        <w:t> </w:t>
      </w:r>
      <w:r>
        <w:rPr/>
        <w:t>value</w:t>
      </w:r>
      <w:r>
        <w:rPr>
          <w:spacing w:val="-14"/>
        </w:rPr>
        <w:t> </w:t>
      </w:r>
      <w:r>
        <w:rPr/>
        <w:t>of</w:t>
      </w:r>
      <w:r>
        <w:rPr>
          <w:spacing w:val="-14"/>
        </w:rPr>
        <w:t> </w:t>
      </w:r>
      <w:r>
        <w:rPr/>
        <w:t>pass</w:t>
      </w:r>
      <w:r>
        <w:rPr>
          <w:spacing w:val="-14"/>
        </w:rPr>
        <w:t> </w:t>
      </w:r>
      <w:r>
        <w:rPr/>
        <w:t>through</w:t>
      </w:r>
      <w:r>
        <w:rPr>
          <w:spacing w:val="-15"/>
        </w:rPr>
        <w:t> </w:t>
      </w:r>
      <w:r>
        <w:rPr/>
        <w:t>the</w:t>
      </w:r>
      <w:r>
        <w:rPr>
          <w:spacing w:val="-14"/>
        </w:rPr>
        <w:t> </w:t>
      </w:r>
      <w:r>
        <w:rPr/>
        <w:t>arrow</w:t>
      </w:r>
      <w:r>
        <w:rPr>
          <w:spacing w:val="-14"/>
        </w:rPr>
        <w:t> </w:t>
      </w:r>
      <w:r>
        <w:rPr/>
        <w:t>size</w:t>
      </w:r>
      <w:r>
        <w:rPr>
          <w:spacing w:val="-14"/>
        </w:rPr>
        <w:t> </w:t>
      </w:r>
      <w:r>
        <w:rPr/>
        <w:t>and</w:t>
      </w:r>
      <w:r>
        <w:rPr>
          <w:spacing w:val="-14"/>
        </w:rPr>
        <w:t> </w:t>
      </w:r>
      <w:r>
        <w:rPr/>
        <w:t>colour. Metrics</w:t>
      </w:r>
      <w:r>
        <w:rPr>
          <w:spacing w:val="-4"/>
        </w:rPr>
        <w:t> </w:t>
      </w:r>
      <w:r>
        <w:rPr/>
        <w:t>are</w:t>
      </w:r>
      <w:r>
        <w:rPr>
          <w:spacing w:val="-4"/>
        </w:rPr>
        <w:t> </w:t>
      </w:r>
      <w:r>
        <w:rPr/>
        <w:t>normalised</w:t>
      </w:r>
      <w:r>
        <w:rPr>
          <w:spacing w:val="-4"/>
        </w:rPr>
        <w:t> </w:t>
      </w:r>
      <w:r>
        <w:rPr/>
        <w:t>by</w:t>
      </w:r>
      <w:r>
        <w:rPr>
          <w:spacing w:val="-4"/>
        </w:rPr>
        <w:t> </w:t>
      </w:r>
      <w:r>
        <w:rPr/>
        <w:t>the</w:t>
      </w:r>
      <w:r>
        <w:rPr>
          <w:spacing w:val="-4"/>
        </w:rPr>
        <w:t> </w:t>
      </w:r>
      <w:r>
        <w:rPr/>
        <w:t>minutes</w:t>
      </w:r>
      <w:r>
        <w:rPr>
          <w:spacing w:val="-4"/>
        </w:rPr>
        <w:t> </w:t>
      </w:r>
      <w:r>
        <w:rPr/>
        <w:t>the</w:t>
      </w:r>
      <w:r>
        <w:rPr>
          <w:spacing w:val="-4"/>
        </w:rPr>
        <w:t> </w:t>
      </w:r>
      <w:r>
        <w:rPr/>
        <w:t>two</w:t>
      </w:r>
      <w:r>
        <w:rPr>
          <w:spacing w:val="-4"/>
        </w:rPr>
        <w:t> </w:t>
      </w:r>
      <w:r>
        <w:rPr/>
        <w:t>players</w:t>
      </w:r>
      <w:r>
        <w:rPr>
          <w:spacing w:val="-4"/>
        </w:rPr>
        <w:t> </w:t>
      </w:r>
      <w:r>
        <w:rPr/>
        <w:t>played</w:t>
      </w:r>
      <w:r>
        <w:rPr>
          <w:spacing w:val="-4"/>
        </w:rPr>
        <w:t> </w:t>
      </w:r>
      <w:r>
        <w:rPr/>
        <w:t>together</w:t>
      </w:r>
      <w:r>
        <w:rPr>
          <w:spacing w:val="-4"/>
        </w:rPr>
        <w:t> </w:t>
      </w:r>
      <w:r>
        <w:rPr/>
        <w:t>and</w:t>
      </w:r>
      <w:r>
        <w:rPr>
          <w:spacing w:val="-4"/>
        </w:rPr>
        <w:t> </w:t>
      </w:r>
      <w:r>
        <w:rPr/>
        <w:t>multiplied</w:t>
      </w:r>
      <w:r>
        <w:rPr>
          <w:spacing w:val="-4"/>
        </w:rPr>
        <w:t> </w:t>
      </w:r>
      <w:r>
        <w:rPr/>
        <w:t>by 90 minutes to provide a match value.</w:t>
      </w:r>
    </w:p>
    <w:p>
      <w:pPr>
        <w:pStyle w:val="BodyText"/>
        <w:rPr>
          <w:sz w:val="28"/>
        </w:rPr>
      </w:pPr>
    </w:p>
    <w:p>
      <w:pPr>
        <w:pStyle w:val="BodyText"/>
        <w:rPr>
          <w:sz w:val="32"/>
        </w:rPr>
      </w:pPr>
    </w:p>
    <w:p>
      <w:pPr>
        <w:pStyle w:val="BodyText"/>
        <w:spacing w:line="312" w:lineRule="auto"/>
        <w:ind w:left="610" w:right="389"/>
        <w:jc w:val="both"/>
      </w:pPr>
      <w:r>
        <w:rPr/>
        <w:t>scored</w:t>
      </w:r>
      <w:r>
        <w:rPr>
          <w:spacing w:val="-12"/>
        </w:rPr>
        <w:t> </w:t>
      </w:r>
      <w:r>
        <w:rPr/>
        <w:t>by</w:t>
      </w:r>
      <w:r>
        <w:rPr>
          <w:spacing w:val="-12"/>
        </w:rPr>
        <w:t> </w:t>
      </w:r>
      <w:r>
        <w:rPr/>
        <w:t>the</w:t>
      </w:r>
      <w:r>
        <w:rPr>
          <w:spacing w:val="-12"/>
        </w:rPr>
        <w:t> </w:t>
      </w:r>
      <w:r>
        <w:rPr/>
        <w:t>player’s</w:t>
      </w:r>
      <w:r>
        <w:rPr>
          <w:spacing w:val="-12"/>
        </w:rPr>
        <w:t> </w:t>
      </w:r>
      <w:r>
        <w:rPr/>
        <w:t>team</w:t>
      </w:r>
      <w:r>
        <w:rPr>
          <w:spacing w:val="-12"/>
        </w:rPr>
        <w:t> </w:t>
      </w:r>
      <w:r>
        <w:rPr/>
        <w:t>and</w:t>
      </w:r>
      <w:r>
        <w:rPr>
          <w:spacing w:val="-12"/>
        </w:rPr>
        <w:t> </w:t>
      </w:r>
      <w:r>
        <w:rPr/>
        <w:t>opponent</w:t>
      </w:r>
      <w:r>
        <w:rPr>
          <w:spacing w:val="-12"/>
        </w:rPr>
        <w:t> </w:t>
      </w:r>
      <w:r>
        <w:rPr/>
        <w:t>in</w:t>
      </w:r>
      <w:r>
        <w:rPr>
          <w:spacing w:val="-12"/>
        </w:rPr>
        <w:t> </w:t>
      </w:r>
      <w:r>
        <w:rPr/>
        <w:t>the</w:t>
      </w:r>
      <w:r>
        <w:rPr>
          <w:spacing w:val="-12"/>
        </w:rPr>
        <w:t> </w:t>
      </w:r>
      <w:r>
        <w:rPr/>
        <w:t>game</w:t>
      </w:r>
      <w:r>
        <w:rPr>
          <w:spacing w:val="-12"/>
        </w:rPr>
        <w:t> </w:t>
      </w:r>
      <w:r>
        <w:rPr/>
        <w:t>after</w:t>
      </w:r>
      <w:r>
        <w:rPr>
          <w:spacing w:val="-12"/>
        </w:rPr>
        <w:t> </w:t>
      </w:r>
      <w:r>
        <w:rPr/>
        <w:t>a</w:t>
      </w:r>
      <w:r>
        <w:rPr>
          <w:spacing w:val="-12"/>
        </w:rPr>
        <w:t> </w:t>
      </w:r>
      <w:r>
        <w:rPr/>
        <w:t>specific</w:t>
      </w:r>
      <w:r>
        <w:rPr>
          <w:spacing w:val="-12"/>
        </w:rPr>
        <w:t> </w:t>
      </w:r>
      <w:r>
        <w:rPr/>
        <w:t>action). A</w:t>
      </w:r>
      <w:r>
        <w:rPr>
          <w:spacing w:val="-12"/>
        </w:rPr>
        <w:t> </w:t>
      </w:r>
      <w:r>
        <w:rPr/>
        <w:t>CatBoost algorithm was used to evaluate the probability of scoring and conceding within the </w:t>
      </w:r>
      <w:r>
        <w:rPr/>
        <w:t>next 10 actions in separate models.</w:t>
      </w:r>
      <w:r>
        <w:rPr>
          <w:spacing w:val="40"/>
        </w:rPr>
        <w:t> </w:t>
      </w:r>
      <w:r>
        <w:rPr/>
        <w:t>The results were not visualised on a pitch due to the context</w:t>
      </w:r>
      <w:r>
        <w:rPr>
          <w:spacing w:val="-15"/>
        </w:rPr>
        <w:t> </w:t>
      </w:r>
      <w:r>
        <w:rPr/>
        <w:t>features</w:t>
      </w:r>
      <w:r>
        <w:rPr>
          <w:spacing w:val="-15"/>
        </w:rPr>
        <w:t> </w:t>
      </w:r>
      <w:r>
        <w:rPr/>
        <w:t>involved,</w:t>
      </w:r>
      <w:r>
        <w:rPr>
          <w:spacing w:val="-15"/>
        </w:rPr>
        <w:t> </w:t>
      </w:r>
      <w:r>
        <w:rPr/>
        <w:t>but</w:t>
      </w:r>
      <w:r>
        <w:rPr>
          <w:spacing w:val="-15"/>
        </w:rPr>
        <w:t> </w:t>
      </w:r>
      <w:r>
        <w:rPr/>
        <w:t>the</w:t>
      </w:r>
      <w:r>
        <w:rPr>
          <w:spacing w:val="-15"/>
        </w:rPr>
        <w:t> </w:t>
      </w:r>
      <w:r>
        <w:rPr/>
        <w:t>authors</w:t>
      </w:r>
      <w:r>
        <w:rPr>
          <w:spacing w:val="-15"/>
        </w:rPr>
        <w:t> </w:t>
      </w:r>
      <w:r>
        <w:rPr/>
        <w:t>showed</w:t>
      </w:r>
      <w:r>
        <w:rPr>
          <w:spacing w:val="-15"/>
        </w:rPr>
        <w:t> </w:t>
      </w:r>
      <w:r>
        <w:rPr/>
        <w:t>how</w:t>
      </w:r>
      <w:r>
        <w:rPr>
          <w:spacing w:val="-15"/>
        </w:rPr>
        <w:t> </w:t>
      </w:r>
      <w:r>
        <w:rPr/>
        <w:t>the</w:t>
      </w:r>
      <w:r>
        <w:rPr>
          <w:spacing w:val="-15"/>
        </w:rPr>
        <w:t> </w:t>
      </w:r>
      <w:r>
        <w:rPr/>
        <w:t>model</w:t>
      </w:r>
      <w:r>
        <w:rPr>
          <w:spacing w:val="-15"/>
        </w:rPr>
        <w:t> </w:t>
      </w:r>
      <w:r>
        <w:rPr/>
        <w:t>could</w:t>
      </w:r>
      <w:r>
        <w:rPr>
          <w:spacing w:val="-15"/>
        </w:rPr>
        <w:t> </w:t>
      </w:r>
      <w:r>
        <w:rPr/>
        <w:t>be</w:t>
      </w:r>
      <w:r>
        <w:rPr>
          <w:spacing w:val="-15"/>
        </w:rPr>
        <w:t> </w:t>
      </w:r>
      <w:r>
        <w:rPr/>
        <w:t>used</w:t>
      </w:r>
      <w:r>
        <w:rPr>
          <w:spacing w:val="-15"/>
        </w:rPr>
        <w:t> </w:t>
      </w:r>
      <w:r>
        <w:rPr/>
        <w:t>to</w:t>
      </w:r>
      <w:r>
        <w:rPr>
          <w:spacing w:val="-15"/>
        </w:rPr>
        <w:t> </w:t>
      </w:r>
      <w:r>
        <w:rPr/>
        <w:t>identify potentially</w:t>
      </w:r>
      <w:r>
        <w:rPr>
          <w:spacing w:val="-1"/>
        </w:rPr>
        <w:t> </w:t>
      </w:r>
      <w:r>
        <w:rPr/>
        <w:t>undervalued</w:t>
      </w:r>
      <w:r>
        <w:rPr>
          <w:spacing w:val="-1"/>
        </w:rPr>
        <w:t> </w:t>
      </w:r>
      <w:r>
        <w:rPr/>
        <w:t>player.</w:t>
      </w:r>
      <w:r>
        <w:rPr>
          <w:spacing w:val="26"/>
        </w:rPr>
        <w:t> </w:t>
      </w:r>
      <w:r>
        <w:rPr/>
        <w:t>Furthermore, they</w:t>
      </w:r>
      <w:r>
        <w:rPr>
          <w:spacing w:val="-1"/>
        </w:rPr>
        <w:t> </w:t>
      </w:r>
      <w:r>
        <w:rPr/>
        <w:t>showed</w:t>
      </w:r>
      <w:r>
        <w:rPr>
          <w:spacing w:val="-1"/>
        </w:rPr>
        <w:t> </w:t>
      </w:r>
      <w:r>
        <w:rPr/>
        <w:t>how</w:t>
      </w:r>
      <w:r>
        <w:rPr>
          <w:spacing w:val="-1"/>
        </w:rPr>
        <w:t> </w:t>
      </w:r>
      <w:r>
        <w:rPr/>
        <w:t>the</w:t>
      </w:r>
      <w:r>
        <w:rPr>
          <w:spacing w:val="-1"/>
        </w:rPr>
        <w:t> </w:t>
      </w:r>
      <w:r>
        <w:rPr/>
        <w:t>model</w:t>
      </w:r>
      <w:r>
        <w:rPr>
          <w:spacing w:val="-1"/>
        </w:rPr>
        <w:t> </w:t>
      </w:r>
      <w:r>
        <w:rPr/>
        <w:t>could</w:t>
      </w:r>
      <w:r>
        <w:rPr>
          <w:spacing w:val="-1"/>
        </w:rPr>
        <w:t> </w:t>
      </w:r>
      <w:r>
        <w:rPr/>
        <w:t>be</w:t>
      </w:r>
      <w:r>
        <w:rPr>
          <w:spacing w:val="-1"/>
        </w:rPr>
        <w:t> </w:t>
      </w:r>
      <w:r>
        <w:rPr/>
        <w:t>used </w:t>
      </w:r>
      <w:r>
        <w:rPr>
          <w:spacing w:val="-2"/>
        </w:rPr>
        <w:t>to</w:t>
      </w:r>
      <w:r>
        <w:rPr>
          <w:spacing w:val="-6"/>
        </w:rPr>
        <w:t> </w:t>
      </w:r>
      <w:r>
        <w:rPr>
          <w:spacing w:val="-2"/>
        </w:rPr>
        <w:t>provide</w:t>
      </w:r>
      <w:r>
        <w:rPr>
          <w:spacing w:val="-6"/>
        </w:rPr>
        <w:t> </w:t>
      </w:r>
      <w:r>
        <w:rPr>
          <w:spacing w:val="-2"/>
        </w:rPr>
        <w:t>a</w:t>
      </w:r>
      <w:r>
        <w:rPr>
          <w:spacing w:val="-6"/>
        </w:rPr>
        <w:t> </w:t>
      </w:r>
      <w:r>
        <w:rPr>
          <w:spacing w:val="-2"/>
        </w:rPr>
        <w:t>deeper</w:t>
      </w:r>
      <w:r>
        <w:rPr>
          <w:spacing w:val="-6"/>
        </w:rPr>
        <w:t> </w:t>
      </w:r>
      <w:r>
        <w:rPr>
          <w:spacing w:val="-2"/>
        </w:rPr>
        <w:t>understanding</w:t>
      </w:r>
      <w:r>
        <w:rPr>
          <w:spacing w:val="-6"/>
        </w:rPr>
        <w:t> </w:t>
      </w:r>
      <w:r>
        <w:rPr>
          <w:spacing w:val="-2"/>
        </w:rPr>
        <w:t>of</w:t>
      </w:r>
      <w:r>
        <w:rPr>
          <w:spacing w:val="-6"/>
        </w:rPr>
        <w:t> </w:t>
      </w:r>
      <w:r>
        <w:rPr>
          <w:spacing w:val="-2"/>
        </w:rPr>
        <w:t>players’</w:t>
      </w:r>
      <w:r>
        <w:rPr>
          <w:spacing w:val="-6"/>
        </w:rPr>
        <w:t> </w:t>
      </w:r>
      <w:r>
        <w:rPr>
          <w:spacing w:val="-2"/>
        </w:rPr>
        <w:t>ability</w:t>
      </w:r>
      <w:r>
        <w:rPr>
          <w:spacing w:val="-5"/>
        </w:rPr>
        <w:t> </w:t>
      </w:r>
      <w:r>
        <w:rPr>
          <w:spacing w:val="-2"/>
        </w:rPr>
        <w:t>to</w:t>
      </w:r>
      <w:r>
        <w:rPr>
          <w:spacing w:val="-6"/>
        </w:rPr>
        <w:t> </w:t>
      </w:r>
      <w:r>
        <w:rPr>
          <w:spacing w:val="-2"/>
        </w:rPr>
        <w:t>provide</w:t>
      </w:r>
      <w:r>
        <w:rPr>
          <w:spacing w:val="-6"/>
        </w:rPr>
        <w:t> </w:t>
      </w:r>
      <w:r>
        <w:rPr>
          <w:spacing w:val="-2"/>
        </w:rPr>
        <w:t>value</w:t>
      </w:r>
      <w:r>
        <w:rPr>
          <w:spacing w:val="-6"/>
        </w:rPr>
        <w:t> </w:t>
      </w:r>
      <w:r>
        <w:rPr>
          <w:spacing w:val="-2"/>
        </w:rPr>
        <w:t>through</w:t>
      </w:r>
      <w:r>
        <w:rPr>
          <w:spacing w:val="-6"/>
        </w:rPr>
        <w:t> </w:t>
      </w:r>
      <w:r>
        <w:rPr>
          <w:spacing w:val="-2"/>
        </w:rPr>
        <w:t>the</w:t>
      </w:r>
      <w:r>
        <w:rPr>
          <w:spacing w:val="-6"/>
        </w:rPr>
        <w:t> </w:t>
      </w:r>
      <w:r>
        <w:rPr>
          <w:spacing w:val="-2"/>
        </w:rPr>
        <w:t>different </w:t>
      </w:r>
      <w:r>
        <w:rPr/>
        <w:t>actions they attempt (Figure</w:t>
      </w:r>
      <w:hyperlink w:history="true" w:anchor="_bookmark28">
        <w:r>
          <w:rPr>
            <w:color w:val="0000FF"/>
          </w:rPr>
          <w:t>2.10</w:t>
        </w:r>
      </w:hyperlink>
      <w:r>
        <w:rPr/>
        <w:t>).</w:t>
      </w:r>
    </w:p>
    <w:p>
      <w:pPr>
        <w:pStyle w:val="BodyText"/>
        <w:spacing w:line="312" w:lineRule="auto"/>
        <w:ind w:left="610" w:right="389" w:firstLine="351"/>
        <w:jc w:val="both"/>
      </w:pPr>
      <w:r>
        <w:rPr/>
        <w:t>Recently, the model has been extended to show how the VAEP framework can </w:t>
      </w:r>
      <w:r>
        <w:rPr/>
        <w:t>be used to provide player ratings based on the pressure experienced by a player within a game state by manipulating the context features (</w:t>
      </w:r>
      <w:hyperlink w:history="true" w:anchor="_bookmark229">
        <w:r>
          <w:rPr>
            <w:color w:val="FF0000"/>
          </w:rPr>
          <w:t>Bransen et al.</w:t>
        </w:r>
      </w:hyperlink>
      <w:r>
        <w:rPr/>
        <w:t>,</w:t>
      </w:r>
      <w:hyperlink w:history="true" w:anchor="_bookmark229">
        <w:r>
          <w:rPr>
            <w:color w:val="FF0000"/>
          </w:rPr>
          <w:t>2019</w:t>
        </w:r>
        <w:r>
          <w:rPr/>
          <w:t>)</w:t>
        </w:r>
      </w:hyperlink>
      <w:r>
        <w:rPr/>
        <w:t> and to provide an understanding</w:t>
      </w:r>
      <w:r>
        <w:rPr>
          <w:spacing w:val="15"/>
        </w:rPr>
        <w:t> </w:t>
      </w:r>
      <w:r>
        <w:rPr/>
        <w:t>of</w:t>
      </w:r>
      <w:r>
        <w:rPr>
          <w:spacing w:val="16"/>
        </w:rPr>
        <w:t> </w:t>
      </w:r>
      <w:r>
        <w:rPr/>
        <w:t>the</w:t>
      </w:r>
      <w:r>
        <w:rPr>
          <w:spacing w:val="16"/>
        </w:rPr>
        <w:t> </w:t>
      </w:r>
      <w:r>
        <w:rPr/>
        <w:t>chemistry</w:t>
      </w:r>
      <w:r>
        <w:rPr>
          <w:spacing w:val="16"/>
        </w:rPr>
        <w:t> </w:t>
      </w:r>
      <w:r>
        <w:rPr/>
        <w:t>between</w:t>
      </w:r>
      <w:r>
        <w:rPr>
          <w:spacing w:val="16"/>
        </w:rPr>
        <w:t> </w:t>
      </w:r>
      <w:r>
        <w:rPr/>
        <w:t>players</w:t>
      </w:r>
      <w:r>
        <w:rPr>
          <w:spacing w:val="15"/>
        </w:rPr>
        <w:t> </w:t>
      </w:r>
      <w:r>
        <w:rPr/>
        <w:t>on</w:t>
      </w:r>
      <w:r>
        <w:rPr>
          <w:spacing w:val="16"/>
        </w:rPr>
        <w:t> </w:t>
      </w:r>
      <w:r>
        <w:rPr/>
        <w:t>the</w:t>
      </w:r>
      <w:r>
        <w:rPr>
          <w:spacing w:val="16"/>
        </w:rPr>
        <w:t> </w:t>
      </w:r>
      <w:r>
        <w:rPr/>
        <w:t>same</w:t>
      </w:r>
      <w:r>
        <w:rPr>
          <w:spacing w:val="16"/>
        </w:rPr>
        <w:t> </w:t>
      </w:r>
      <w:r>
        <w:rPr/>
        <w:t>team,</w:t>
      </w:r>
      <w:r>
        <w:rPr>
          <w:spacing w:val="21"/>
        </w:rPr>
        <w:t> </w:t>
      </w:r>
      <w:r>
        <w:rPr/>
        <w:t>where</w:t>
      </w:r>
      <w:r>
        <w:rPr>
          <w:spacing w:val="16"/>
        </w:rPr>
        <w:t> </w:t>
      </w:r>
      <w:r>
        <w:rPr/>
        <w:t>chemistry</w:t>
      </w:r>
      <w:r>
        <w:rPr>
          <w:spacing w:val="16"/>
        </w:rPr>
        <w:t> </w:t>
      </w:r>
      <w:r>
        <w:rPr>
          <w:spacing w:val="-5"/>
        </w:rPr>
        <w:t>is</w:t>
      </w:r>
    </w:p>
    <w:p>
      <w:pPr>
        <w:spacing w:after="0" w:line="312" w:lineRule="auto"/>
        <w:jc w:val="both"/>
        <w:sectPr>
          <w:pgSz w:w="11910" w:h="16840"/>
          <w:pgMar w:header="1961" w:footer="1428" w:top="2260" w:bottom="1620" w:left="1680" w:right="720"/>
        </w:sectPr>
      </w:pPr>
    </w:p>
    <w:p>
      <w:pPr>
        <w:pStyle w:val="BodyText"/>
        <w:rPr>
          <w:sz w:val="20"/>
        </w:rPr>
      </w:pPr>
    </w:p>
    <w:p>
      <w:pPr>
        <w:pStyle w:val="BodyText"/>
        <w:spacing w:before="8"/>
        <w:rPr>
          <w:sz w:val="29"/>
        </w:rPr>
      </w:pPr>
    </w:p>
    <w:p>
      <w:pPr>
        <w:pStyle w:val="BodyText"/>
        <w:ind w:left="1518"/>
        <w:rPr>
          <w:sz w:val="20"/>
        </w:rPr>
      </w:pPr>
      <w:r>
        <w:rPr>
          <w:sz w:val="20"/>
        </w:rPr>
        <w:drawing>
          <wp:inline distT="0" distB="0" distL="0" distR="0">
            <wp:extent cx="4248807" cy="2340864"/>
            <wp:effectExtent l="0" t="0" r="0" b="0"/>
            <wp:docPr id="19" name="image10.jpeg"/>
            <wp:cNvGraphicFramePr>
              <a:graphicFrameLocks noChangeAspect="1"/>
            </wp:cNvGraphicFramePr>
            <a:graphic>
              <a:graphicData uri="http://schemas.openxmlformats.org/drawingml/2006/picture">
                <pic:pic>
                  <pic:nvPicPr>
                    <pic:cNvPr id="20" name="image10.jpeg"/>
                    <pic:cNvPicPr/>
                  </pic:nvPicPr>
                  <pic:blipFill>
                    <a:blip r:embed="rId43" cstate="print"/>
                    <a:stretch>
                      <a:fillRect/>
                    </a:stretch>
                  </pic:blipFill>
                  <pic:spPr>
                    <a:xfrm>
                      <a:off x="0" y="0"/>
                      <a:ext cx="4248807" cy="2340864"/>
                    </a:xfrm>
                    <a:prstGeom prst="rect">
                      <a:avLst/>
                    </a:prstGeom>
                  </pic:spPr>
                </pic:pic>
              </a:graphicData>
            </a:graphic>
          </wp:inline>
        </w:drawing>
      </w:r>
      <w:r>
        <w:rPr>
          <w:sz w:val="20"/>
        </w:rPr>
      </w:r>
    </w:p>
    <w:p>
      <w:pPr>
        <w:pStyle w:val="BodyText"/>
        <w:spacing w:before="4"/>
        <w:rPr>
          <w:sz w:val="7"/>
        </w:rPr>
      </w:pPr>
    </w:p>
    <w:p>
      <w:pPr>
        <w:pStyle w:val="BodyText"/>
        <w:spacing w:line="252" w:lineRule="auto" w:before="105"/>
        <w:ind w:left="610"/>
      </w:pPr>
      <w:bookmarkStart w:name="_bookmark27" w:id="52"/>
      <w:bookmarkEnd w:id="52"/>
      <w:r>
        <w:rPr/>
      </w:r>
      <w:r>
        <w:rPr>
          <w:b/>
        </w:rPr>
        <w:t>Figure</w:t>
      </w:r>
      <w:r>
        <w:rPr>
          <w:b/>
          <w:spacing w:val="-2"/>
        </w:rPr>
        <w:t> </w:t>
      </w:r>
      <w:r>
        <w:rPr>
          <w:b/>
        </w:rPr>
        <w:t>2.9: </w:t>
      </w:r>
      <w:hyperlink w:history="true" w:anchor="_bookmark243">
        <w:r>
          <w:rPr>
            <w:color w:val="FF0000"/>
            <w:spacing w:val="8"/>
          </w:rPr>
          <w:t>Fern</w:t>
        </w:r>
        <w:r>
          <w:rPr>
            <w:color w:val="FF0000"/>
            <w:spacing w:val="-85"/>
          </w:rPr>
          <w:t>a</w:t>
        </w:r>
        <w:r>
          <w:rPr>
            <w:color w:val="FF0000"/>
            <w:spacing w:val="21"/>
          </w:rPr>
          <w:t>´</w:t>
        </w:r>
        <w:r>
          <w:rPr>
            <w:color w:val="FF0000"/>
            <w:spacing w:val="8"/>
          </w:rPr>
          <w:t>ndez</w:t>
        </w:r>
        <w:r>
          <w:rPr>
            <w:color w:val="FF0000"/>
            <w:spacing w:val="-2"/>
          </w:rPr>
          <w:t> </w:t>
        </w:r>
        <w:r>
          <w:rPr>
            <w:color w:val="FF0000"/>
          </w:rPr>
          <w:t>et</w:t>
        </w:r>
        <w:r>
          <w:rPr>
            <w:color w:val="FF0000"/>
            <w:spacing w:val="-2"/>
          </w:rPr>
          <w:t> </w:t>
        </w:r>
        <w:r>
          <w:rPr>
            <w:color w:val="FF0000"/>
          </w:rPr>
          <w:t>al.</w:t>
        </w:r>
      </w:hyperlink>
      <w:r>
        <w:rPr/>
        <w:t>(</w:t>
      </w:r>
      <w:hyperlink w:history="true" w:anchor="_bookmark243">
        <w:r>
          <w:rPr>
            <w:color w:val="FF0000"/>
          </w:rPr>
          <w:t>2021</w:t>
        </w:r>
        <w:r>
          <w:rPr/>
          <w:t>)</w:t>
        </w:r>
      </w:hyperlink>
      <w:r>
        <w:rPr>
          <w:spacing w:val="-2"/>
        </w:rPr>
        <w:t> </w:t>
      </w:r>
      <w:r>
        <w:rPr/>
        <w:t>plot</w:t>
      </w:r>
      <w:r>
        <w:rPr>
          <w:spacing w:val="-2"/>
        </w:rPr>
        <w:t> </w:t>
      </w:r>
      <w:r>
        <w:rPr/>
        <w:t>identifying</w:t>
      </w:r>
      <w:r>
        <w:rPr>
          <w:spacing w:val="-2"/>
        </w:rPr>
        <w:t> </w:t>
      </w:r>
      <w:r>
        <w:rPr/>
        <w:t>the</w:t>
      </w:r>
      <w:r>
        <w:rPr>
          <w:spacing w:val="-2"/>
        </w:rPr>
        <w:t> </w:t>
      </w:r>
      <w:r>
        <w:rPr/>
        <w:t>EPV</w:t>
      </w:r>
      <w:r>
        <w:rPr>
          <w:spacing w:val="-2"/>
        </w:rPr>
        <w:t> </w:t>
      </w:r>
      <w:r>
        <w:rPr/>
        <w:t>generated</w:t>
      </w:r>
      <w:r>
        <w:rPr>
          <w:spacing w:val="-2"/>
        </w:rPr>
        <w:t> </w:t>
      </w:r>
      <w:r>
        <w:rPr/>
        <w:t>by</w:t>
      </w:r>
      <w:r>
        <w:rPr>
          <w:spacing w:val="-2"/>
        </w:rPr>
        <w:t> </w:t>
      </w:r>
      <w:r>
        <w:rPr/>
        <w:t>teams</w:t>
      </w:r>
      <w:r>
        <w:rPr>
          <w:spacing w:val="-2"/>
        </w:rPr>
        <w:t> </w:t>
      </w:r>
      <w:r>
        <w:rPr/>
        <w:t>in</w:t>
      </w:r>
      <w:r>
        <w:rPr>
          <w:spacing w:val="-2"/>
        </w:rPr>
        <w:t> </w:t>
      </w:r>
      <w:r>
        <w:rPr/>
        <w:t>dif- ferent formations against a specific team. The green circle represents the ball location.</w:t>
      </w:r>
    </w:p>
    <w:p>
      <w:pPr>
        <w:pStyle w:val="BodyText"/>
        <w:rPr>
          <w:sz w:val="20"/>
        </w:rPr>
      </w:pPr>
    </w:p>
    <w:p>
      <w:pPr>
        <w:pStyle w:val="BodyText"/>
        <w:rPr>
          <w:sz w:val="23"/>
        </w:rPr>
      </w:pPr>
      <w:r>
        <w:rPr/>
        <w:drawing>
          <wp:anchor distT="0" distB="0" distL="0" distR="0" allowOverlap="1" layoutInCell="1" locked="0" behindDoc="0" simplePos="0" relativeHeight="6">
            <wp:simplePos x="0" y="0"/>
            <wp:positionH relativeFrom="page">
              <wp:posOffset>3123158</wp:posOffset>
            </wp:positionH>
            <wp:positionV relativeFrom="paragraph">
              <wp:posOffset>183409</wp:posOffset>
            </wp:positionV>
            <wp:extent cx="2095463" cy="2535936"/>
            <wp:effectExtent l="0" t="0" r="0" b="0"/>
            <wp:wrapTopAndBottom/>
            <wp:docPr id="21" name="image11.jpeg"/>
            <wp:cNvGraphicFramePr>
              <a:graphicFrameLocks noChangeAspect="1"/>
            </wp:cNvGraphicFramePr>
            <a:graphic>
              <a:graphicData uri="http://schemas.openxmlformats.org/drawingml/2006/picture">
                <pic:pic>
                  <pic:nvPicPr>
                    <pic:cNvPr id="22" name="image11.jpeg"/>
                    <pic:cNvPicPr/>
                  </pic:nvPicPr>
                  <pic:blipFill>
                    <a:blip r:embed="rId44" cstate="print"/>
                    <a:stretch>
                      <a:fillRect/>
                    </a:stretch>
                  </pic:blipFill>
                  <pic:spPr>
                    <a:xfrm>
                      <a:off x="0" y="0"/>
                      <a:ext cx="2095463" cy="2535936"/>
                    </a:xfrm>
                    <a:prstGeom prst="rect">
                      <a:avLst/>
                    </a:prstGeom>
                  </pic:spPr>
                </pic:pic>
              </a:graphicData>
            </a:graphic>
          </wp:anchor>
        </w:drawing>
      </w:r>
    </w:p>
    <w:p>
      <w:pPr>
        <w:pStyle w:val="BodyText"/>
        <w:spacing w:before="7"/>
        <w:rPr>
          <w:sz w:val="9"/>
        </w:rPr>
      </w:pPr>
    </w:p>
    <w:p>
      <w:pPr>
        <w:pStyle w:val="BodyText"/>
        <w:spacing w:line="252" w:lineRule="auto" w:before="106"/>
        <w:ind w:left="610" w:right="389"/>
      </w:pPr>
      <w:bookmarkStart w:name="_bookmark28" w:id="53"/>
      <w:bookmarkEnd w:id="53"/>
      <w:r>
        <w:rPr/>
      </w:r>
      <w:r>
        <w:rPr>
          <w:b/>
        </w:rPr>
        <w:t>Figure 2.10:</w:t>
      </w:r>
      <w:r>
        <w:rPr>
          <w:b/>
          <w:spacing w:val="40"/>
        </w:rPr>
        <w:t> </w:t>
      </w:r>
      <w:hyperlink w:history="true" w:anchor="_bookmark239">
        <w:r>
          <w:rPr>
            <w:color w:val="FF0000"/>
          </w:rPr>
          <w:t>Decroos et al.</w:t>
        </w:r>
      </w:hyperlink>
      <w:r>
        <w:rPr/>
        <w:t>(</w:t>
      </w:r>
      <w:hyperlink w:history="true" w:anchor="_bookmark239">
        <w:r>
          <w:rPr>
            <w:color w:val="FF0000"/>
          </w:rPr>
          <w:t>2019</w:t>
        </w:r>
        <w:r>
          <w:rPr/>
          <w:t>)</w:t>
        </w:r>
      </w:hyperlink>
      <w:r>
        <w:rPr/>
        <w:t> plot of VAEP for different actions.</w:t>
      </w:r>
      <w:r>
        <w:rPr>
          <w:spacing w:val="40"/>
        </w:rPr>
        <w:t> </w:t>
      </w:r>
      <w:r>
        <w:rPr/>
        <w:t>Plot shows an</w:t>
      </w:r>
      <w:r>
        <w:rPr>
          <w:spacing w:val="80"/>
        </w:rPr>
        <w:t> </w:t>
      </w:r>
      <w:r>
        <w:rPr>
          <w:spacing w:val="-2"/>
        </w:rPr>
        <w:t>overview</w:t>
      </w:r>
      <w:r>
        <w:rPr>
          <w:spacing w:val="-7"/>
        </w:rPr>
        <w:t> </w:t>
      </w:r>
      <w:r>
        <w:rPr>
          <w:spacing w:val="-2"/>
        </w:rPr>
        <w:t>of</w:t>
      </w:r>
      <w:r>
        <w:rPr>
          <w:spacing w:val="-8"/>
        </w:rPr>
        <w:t> </w:t>
      </w:r>
      <w:r>
        <w:rPr>
          <w:spacing w:val="-2"/>
        </w:rPr>
        <w:t>the</w:t>
      </w:r>
      <w:r>
        <w:rPr>
          <w:spacing w:val="-7"/>
        </w:rPr>
        <w:t> </w:t>
      </w:r>
      <w:r>
        <w:rPr>
          <w:spacing w:val="-2"/>
        </w:rPr>
        <w:t>total</w:t>
      </w:r>
      <w:r>
        <w:rPr>
          <w:spacing w:val="-7"/>
        </w:rPr>
        <w:t> </w:t>
      </w:r>
      <w:r>
        <w:rPr>
          <w:spacing w:val="-2"/>
        </w:rPr>
        <w:t>contribution</w:t>
      </w:r>
      <w:r>
        <w:rPr>
          <w:spacing w:val="-7"/>
        </w:rPr>
        <w:t> </w:t>
      </w:r>
      <w:r>
        <w:rPr>
          <w:spacing w:val="-2"/>
        </w:rPr>
        <w:t>per</w:t>
      </w:r>
      <w:r>
        <w:rPr>
          <w:spacing w:val="-7"/>
        </w:rPr>
        <w:t> </w:t>
      </w:r>
      <w:r>
        <w:rPr>
          <w:spacing w:val="-2"/>
        </w:rPr>
        <w:t>90</w:t>
      </w:r>
      <w:r>
        <w:rPr>
          <w:spacing w:val="-8"/>
        </w:rPr>
        <w:t> </w:t>
      </w:r>
      <w:r>
        <w:rPr>
          <w:spacing w:val="-2"/>
        </w:rPr>
        <w:t>minutes</w:t>
      </w:r>
      <w:r>
        <w:rPr>
          <w:spacing w:val="-7"/>
        </w:rPr>
        <w:t> </w:t>
      </w:r>
      <w:r>
        <w:rPr>
          <w:spacing w:val="-2"/>
        </w:rPr>
        <w:t>for</w:t>
      </w:r>
      <w:r>
        <w:rPr>
          <w:spacing w:val="-7"/>
        </w:rPr>
        <w:t> </w:t>
      </w:r>
      <w:r>
        <w:rPr>
          <w:spacing w:val="-2"/>
        </w:rPr>
        <w:t>different</w:t>
      </w:r>
      <w:r>
        <w:rPr>
          <w:spacing w:val="-8"/>
        </w:rPr>
        <w:t> </w:t>
      </w:r>
      <w:r>
        <w:rPr>
          <w:spacing w:val="-2"/>
        </w:rPr>
        <w:t>types</w:t>
      </w:r>
      <w:r>
        <w:rPr>
          <w:spacing w:val="-7"/>
        </w:rPr>
        <w:t> </w:t>
      </w:r>
      <w:r>
        <w:rPr>
          <w:spacing w:val="-2"/>
        </w:rPr>
        <w:t>of</w:t>
      </w:r>
      <w:r>
        <w:rPr>
          <w:spacing w:val="-7"/>
        </w:rPr>
        <w:t> </w:t>
      </w:r>
      <w:r>
        <w:rPr>
          <w:spacing w:val="-2"/>
        </w:rPr>
        <w:t>actions</w:t>
      </w:r>
      <w:r>
        <w:rPr>
          <w:spacing w:val="-8"/>
        </w:rPr>
        <w:t> </w:t>
      </w:r>
      <w:r>
        <w:rPr>
          <w:spacing w:val="-2"/>
        </w:rPr>
        <w:t>for</w:t>
      </w:r>
      <w:r>
        <w:rPr>
          <w:spacing w:val="-7"/>
        </w:rPr>
        <w:t> </w:t>
      </w:r>
      <w:r>
        <w:rPr>
          <w:spacing w:val="-2"/>
        </w:rPr>
        <w:t>different </w:t>
      </w:r>
      <w:r>
        <w:rPr/>
        <w:t>players in the 2016/17 (a) and 2017/18 (b) seasons.</w:t>
      </w:r>
    </w:p>
    <w:p>
      <w:pPr>
        <w:pStyle w:val="BodyText"/>
        <w:rPr>
          <w:sz w:val="28"/>
        </w:rPr>
      </w:pPr>
    </w:p>
    <w:p>
      <w:pPr>
        <w:pStyle w:val="BodyText"/>
        <w:spacing w:before="2"/>
        <w:rPr>
          <w:sz w:val="32"/>
        </w:rPr>
      </w:pPr>
    </w:p>
    <w:p>
      <w:pPr>
        <w:pStyle w:val="BodyText"/>
        <w:spacing w:line="312" w:lineRule="auto"/>
        <w:ind w:left="610" w:right="389"/>
      </w:pPr>
      <w:r>
        <w:rPr/>
        <w:t>defined as the joint-value generated between two players (</w:t>
      </w:r>
      <w:hyperlink w:history="true" w:anchor="_bookmark228">
        <w:r>
          <w:rPr>
            <w:color w:val="FF0000"/>
          </w:rPr>
          <w:t>Bransen and Haaren</w:t>
        </w:r>
      </w:hyperlink>
      <w:r>
        <w:rPr/>
        <w:t>,</w:t>
      </w:r>
      <w:hyperlink w:history="true" w:anchor="_bookmark228">
        <w:r>
          <w:rPr>
            <w:color w:val="FF0000"/>
          </w:rPr>
          <w:t>2020</w:t>
        </w:r>
      </w:hyperlink>
      <w:r>
        <w:rPr/>
        <w:t>). Figure</w:t>
      </w:r>
      <w:hyperlink w:history="true" w:anchor="_bookmark29">
        <w:r>
          <w:rPr>
            <w:color w:val="0000FF"/>
          </w:rPr>
          <w:t>2.11</w:t>
        </w:r>
      </w:hyperlink>
      <w:r>
        <w:rPr/>
        <w:t>depicts an attacking chemistry plot provided by</w:t>
      </w:r>
      <w:hyperlink w:history="true" w:anchor="_bookmark228">
        <w:r>
          <w:rPr>
            <w:color w:val="FF0000"/>
          </w:rPr>
          <w:t>Bransen and Haaren</w:t>
        </w:r>
        <w:r>
          <w:rPr/>
          <w:t>(</w:t>
        </w:r>
      </w:hyperlink>
      <w:r>
        <w:rPr>
          <w:color w:val="FF0000"/>
        </w:rPr>
        <w:t>2020</w:t>
      </w:r>
      <w:hyperlink w:history="true" w:anchor="_bookmark228">
        <w:r>
          <w:rPr/>
          <w:t>).</w:t>
        </w:r>
      </w:hyperlink>
      <w:r>
        <w:rPr/>
        <w:t> The</w:t>
      </w:r>
      <w:r>
        <w:rPr>
          <w:spacing w:val="-9"/>
        </w:rPr>
        <w:t> </w:t>
      </w:r>
      <w:r>
        <w:rPr/>
        <w:t>VAEP</w:t>
      </w:r>
      <w:r>
        <w:rPr>
          <w:spacing w:val="-10"/>
        </w:rPr>
        <w:t> </w:t>
      </w:r>
      <w:r>
        <w:rPr/>
        <w:t>is</w:t>
      </w:r>
      <w:r>
        <w:rPr>
          <w:spacing w:val="-9"/>
        </w:rPr>
        <w:t> </w:t>
      </w:r>
      <w:r>
        <w:rPr/>
        <w:t>an</w:t>
      </w:r>
      <w:r>
        <w:rPr>
          <w:spacing w:val="-9"/>
        </w:rPr>
        <w:t> </w:t>
      </w:r>
      <w:r>
        <w:rPr/>
        <w:t>interesting</w:t>
      </w:r>
      <w:r>
        <w:rPr>
          <w:spacing w:val="-9"/>
        </w:rPr>
        <w:t> </w:t>
      </w:r>
      <w:r>
        <w:rPr/>
        <w:t>approach,</w:t>
      </w:r>
      <w:r>
        <w:rPr>
          <w:spacing w:val="-9"/>
        </w:rPr>
        <w:t> </w:t>
      </w:r>
      <w:r>
        <w:rPr/>
        <w:t>which</w:t>
      </w:r>
      <w:r>
        <w:rPr>
          <w:spacing w:val="-9"/>
        </w:rPr>
        <w:t> </w:t>
      </w:r>
      <w:r>
        <w:rPr/>
        <w:t>accounts</w:t>
      </w:r>
      <w:r>
        <w:rPr>
          <w:spacing w:val="-10"/>
        </w:rPr>
        <w:t> </w:t>
      </w:r>
      <w:r>
        <w:rPr/>
        <w:t>for</w:t>
      </w:r>
      <w:r>
        <w:rPr>
          <w:spacing w:val="-9"/>
        </w:rPr>
        <w:t> </w:t>
      </w:r>
      <w:r>
        <w:rPr/>
        <w:t>a</w:t>
      </w:r>
      <w:r>
        <w:rPr>
          <w:spacing w:val="-9"/>
        </w:rPr>
        <w:t> </w:t>
      </w:r>
      <w:r>
        <w:rPr/>
        <w:t>wide</w:t>
      </w:r>
      <w:r>
        <w:rPr>
          <w:spacing w:val="-9"/>
        </w:rPr>
        <w:t> </w:t>
      </w:r>
      <w:r>
        <w:rPr/>
        <w:t>variety</w:t>
      </w:r>
      <w:r>
        <w:rPr>
          <w:spacing w:val="-10"/>
        </w:rPr>
        <w:t> </w:t>
      </w:r>
      <w:r>
        <w:rPr/>
        <w:t>of</w:t>
      </w:r>
      <w:r>
        <w:rPr>
          <w:spacing w:val="-9"/>
        </w:rPr>
        <w:t> </w:t>
      </w:r>
      <w:r>
        <w:rPr/>
        <w:t>action</w:t>
      </w:r>
      <w:r>
        <w:rPr>
          <w:spacing w:val="-9"/>
        </w:rPr>
        <w:t> </w:t>
      </w:r>
      <w:r>
        <w:rPr/>
        <w:t>details,</w:t>
      </w:r>
    </w:p>
    <w:p>
      <w:pPr>
        <w:spacing w:after="0" w:line="312" w:lineRule="auto"/>
        <w:sectPr>
          <w:pgSz w:w="11910" w:h="16840"/>
          <w:pgMar w:header="1961" w:footer="1428" w:top="2260" w:bottom="1620" w:left="1680" w:right="720"/>
        </w:sectPr>
      </w:pPr>
    </w:p>
    <w:p>
      <w:pPr>
        <w:pStyle w:val="BodyText"/>
        <w:rPr>
          <w:sz w:val="20"/>
        </w:rPr>
      </w:pPr>
    </w:p>
    <w:p>
      <w:pPr>
        <w:pStyle w:val="BodyText"/>
        <w:spacing w:before="8"/>
        <w:rPr>
          <w:sz w:val="29"/>
        </w:rPr>
      </w:pPr>
    </w:p>
    <w:p>
      <w:pPr>
        <w:pStyle w:val="BodyText"/>
        <w:ind w:left="1614"/>
        <w:rPr>
          <w:sz w:val="20"/>
        </w:rPr>
      </w:pPr>
      <w:r>
        <w:rPr>
          <w:sz w:val="20"/>
        </w:rPr>
        <w:drawing>
          <wp:inline distT="0" distB="0" distL="0" distR="0">
            <wp:extent cx="4189101" cy="2883407"/>
            <wp:effectExtent l="0" t="0" r="0" b="0"/>
            <wp:docPr id="23" name="image12.jpeg"/>
            <wp:cNvGraphicFramePr>
              <a:graphicFrameLocks noChangeAspect="1"/>
            </wp:cNvGraphicFramePr>
            <a:graphic>
              <a:graphicData uri="http://schemas.openxmlformats.org/drawingml/2006/picture">
                <pic:pic>
                  <pic:nvPicPr>
                    <pic:cNvPr id="24" name="image12.jpeg"/>
                    <pic:cNvPicPr/>
                  </pic:nvPicPr>
                  <pic:blipFill>
                    <a:blip r:embed="rId45" cstate="print"/>
                    <a:stretch>
                      <a:fillRect/>
                    </a:stretch>
                  </pic:blipFill>
                  <pic:spPr>
                    <a:xfrm>
                      <a:off x="0" y="0"/>
                      <a:ext cx="4189101" cy="2883407"/>
                    </a:xfrm>
                    <a:prstGeom prst="rect">
                      <a:avLst/>
                    </a:prstGeom>
                  </pic:spPr>
                </pic:pic>
              </a:graphicData>
            </a:graphic>
          </wp:inline>
        </w:drawing>
      </w:r>
      <w:r>
        <w:rPr>
          <w:sz w:val="20"/>
        </w:rPr>
      </w:r>
    </w:p>
    <w:p>
      <w:pPr>
        <w:pStyle w:val="BodyText"/>
        <w:spacing w:before="6"/>
        <w:rPr>
          <w:sz w:val="6"/>
        </w:rPr>
      </w:pPr>
    </w:p>
    <w:p>
      <w:pPr>
        <w:pStyle w:val="BodyText"/>
        <w:spacing w:line="252" w:lineRule="auto" w:before="105"/>
        <w:ind w:left="610" w:right="389"/>
      </w:pPr>
      <w:bookmarkStart w:name="_bookmark29" w:id="54"/>
      <w:bookmarkEnd w:id="54"/>
      <w:r>
        <w:rPr/>
      </w:r>
      <w:r>
        <w:rPr>
          <w:b/>
        </w:rPr>
        <w:t>Figure 2.11:</w:t>
      </w:r>
      <w:r>
        <w:rPr>
          <w:b/>
          <w:spacing w:val="40"/>
        </w:rPr>
        <w:t> </w:t>
      </w:r>
      <w:hyperlink w:history="true" w:anchor="_bookmark228">
        <w:r>
          <w:rPr>
            <w:color w:val="FF0000"/>
          </w:rPr>
          <w:t>Bransen and Haaren</w:t>
        </w:r>
      </w:hyperlink>
      <w:r>
        <w:rPr/>
        <w:t>(</w:t>
      </w:r>
      <w:hyperlink w:history="true" w:anchor="_bookmark228">
        <w:r>
          <w:rPr>
            <w:color w:val="FF0000"/>
          </w:rPr>
          <w:t>2020</w:t>
        </w:r>
        <w:r>
          <w:rPr/>
          <w:t>)</w:t>
        </w:r>
      </w:hyperlink>
      <w:r>
        <w:rPr/>
        <w:t> joint chemistry plot showing value generated between</w:t>
      </w:r>
      <w:r>
        <w:rPr>
          <w:spacing w:val="-15"/>
        </w:rPr>
        <w:t> </w:t>
      </w:r>
      <w:r>
        <w:rPr/>
        <w:t>pairs</w:t>
      </w:r>
      <w:r>
        <w:rPr>
          <w:spacing w:val="-15"/>
        </w:rPr>
        <w:t> </w:t>
      </w:r>
      <w:r>
        <w:rPr/>
        <w:t>of</w:t>
      </w:r>
      <w:r>
        <w:rPr>
          <w:spacing w:val="-15"/>
        </w:rPr>
        <w:t> </w:t>
      </w:r>
      <w:r>
        <w:rPr/>
        <w:t>players</w:t>
      </w:r>
      <w:r>
        <w:rPr>
          <w:spacing w:val="-15"/>
        </w:rPr>
        <w:t> </w:t>
      </w:r>
      <w:r>
        <w:rPr/>
        <w:t>on</w:t>
      </w:r>
      <w:r>
        <w:rPr>
          <w:spacing w:val="-15"/>
        </w:rPr>
        <w:t> </w:t>
      </w:r>
      <w:r>
        <w:rPr/>
        <w:t>the</w:t>
      </w:r>
      <w:r>
        <w:rPr>
          <w:spacing w:val="-15"/>
        </w:rPr>
        <w:t> </w:t>
      </w:r>
      <w:r>
        <w:rPr/>
        <w:t>same</w:t>
      </w:r>
      <w:r>
        <w:rPr>
          <w:spacing w:val="-15"/>
        </w:rPr>
        <w:t> </w:t>
      </w:r>
      <w:r>
        <w:rPr/>
        <w:t>team.</w:t>
      </w:r>
      <w:r>
        <w:rPr>
          <w:spacing w:val="-13"/>
        </w:rPr>
        <w:t> </w:t>
      </w:r>
      <w:r>
        <w:rPr/>
        <w:t>Green</w:t>
      </w:r>
      <w:r>
        <w:rPr>
          <w:spacing w:val="-15"/>
        </w:rPr>
        <w:t> </w:t>
      </w:r>
      <w:r>
        <w:rPr/>
        <w:t>lines</w:t>
      </w:r>
      <w:r>
        <w:rPr>
          <w:spacing w:val="-15"/>
        </w:rPr>
        <w:t> </w:t>
      </w:r>
      <w:r>
        <w:rPr/>
        <w:t>represent</w:t>
      </w:r>
      <w:r>
        <w:rPr>
          <w:spacing w:val="-15"/>
        </w:rPr>
        <w:t> </w:t>
      </w:r>
      <w:r>
        <w:rPr/>
        <w:t>high</w:t>
      </w:r>
      <w:r>
        <w:rPr>
          <w:spacing w:val="-15"/>
        </w:rPr>
        <w:t> </w:t>
      </w:r>
      <w:r>
        <w:rPr/>
        <w:t>attacking</w:t>
      </w:r>
      <w:r>
        <w:rPr>
          <w:spacing w:val="-15"/>
        </w:rPr>
        <w:t> </w:t>
      </w:r>
      <w:r>
        <w:rPr/>
        <w:t>chemistry links, dark red lines reflect low attacking chemistry links.</w:t>
      </w:r>
    </w:p>
    <w:p>
      <w:pPr>
        <w:pStyle w:val="BodyText"/>
        <w:rPr>
          <w:sz w:val="28"/>
        </w:rPr>
      </w:pPr>
    </w:p>
    <w:p>
      <w:pPr>
        <w:pStyle w:val="BodyText"/>
        <w:spacing w:before="2"/>
        <w:rPr>
          <w:sz w:val="32"/>
        </w:rPr>
      </w:pPr>
    </w:p>
    <w:p>
      <w:pPr>
        <w:pStyle w:val="BodyText"/>
        <w:spacing w:line="312" w:lineRule="auto"/>
        <w:ind w:left="610" w:right="389"/>
        <w:jc w:val="both"/>
      </w:pPr>
      <w:r>
        <w:rPr/>
        <w:t>including the context of the match.</w:t>
      </w:r>
      <w:r>
        <w:rPr>
          <w:spacing w:val="40"/>
        </w:rPr>
        <w:t> </w:t>
      </w:r>
      <w:r>
        <w:rPr/>
        <w:t>These context features could provide interesting in- sight</w:t>
      </w:r>
      <w:r>
        <w:rPr>
          <w:spacing w:val="-8"/>
        </w:rPr>
        <w:t> </w:t>
      </w:r>
      <w:r>
        <w:rPr/>
        <w:t>if</w:t>
      </w:r>
      <w:r>
        <w:rPr>
          <w:spacing w:val="-8"/>
        </w:rPr>
        <w:t> </w:t>
      </w:r>
      <w:r>
        <w:rPr/>
        <w:t>used</w:t>
      </w:r>
      <w:r>
        <w:rPr>
          <w:spacing w:val="-8"/>
        </w:rPr>
        <w:t> </w:t>
      </w:r>
      <w:r>
        <w:rPr/>
        <w:t>within</w:t>
      </w:r>
      <w:r>
        <w:rPr>
          <w:spacing w:val="-8"/>
        </w:rPr>
        <w:t> </w:t>
      </w:r>
      <w:r>
        <w:rPr/>
        <w:t>rugby</w:t>
      </w:r>
      <w:r>
        <w:rPr>
          <w:spacing w:val="-8"/>
        </w:rPr>
        <w:t> </w:t>
      </w:r>
      <w:r>
        <w:rPr/>
        <w:t>league. However,</w:t>
      </w:r>
      <w:r>
        <w:rPr>
          <w:spacing w:val="-8"/>
        </w:rPr>
        <w:t> </w:t>
      </w:r>
      <w:r>
        <w:rPr/>
        <w:t>in</w:t>
      </w:r>
      <w:r>
        <w:rPr>
          <w:spacing w:val="-8"/>
        </w:rPr>
        <w:t> </w:t>
      </w:r>
      <w:r>
        <w:rPr/>
        <w:t>the</w:t>
      </w:r>
      <w:r>
        <w:rPr>
          <w:spacing w:val="-8"/>
        </w:rPr>
        <w:t> </w:t>
      </w:r>
      <w:r>
        <w:rPr/>
        <w:t>model’s</w:t>
      </w:r>
      <w:r>
        <w:rPr>
          <w:spacing w:val="-8"/>
        </w:rPr>
        <w:t> </w:t>
      </w:r>
      <w:r>
        <w:rPr/>
        <w:t>current</w:t>
      </w:r>
      <w:r>
        <w:rPr>
          <w:spacing w:val="-8"/>
        </w:rPr>
        <w:t> </w:t>
      </w:r>
      <w:r>
        <w:rPr/>
        <w:t>form,</w:t>
      </w:r>
      <w:r>
        <w:rPr>
          <w:spacing w:val="-8"/>
        </w:rPr>
        <w:t> </w:t>
      </w:r>
      <w:r>
        <w:rPr/>
        <w:t>it</w:t>
      </w:r>
      <w:r>
        <w:rPr>
          <w:spacing w:val="-8"/>
        </w:rPr>
        <w:t> </w:t>
      </w:r>
      <w:r>
        <w:rPr/>
        <w:t>would</w:t>
      </w:r>
      <w:r>
        <w:rPr>
          <w:spacing w:val="-8"/>
        </w:rPr>
        <w:t> </w:t>
      </w:r>
      <w:r>
        <w:rPr/>
        <w:t>require an impractical eight models to be calculated based on the points which can be scored </w:t>
      </w:r>
      <w:r>
        <w:rPr/>
        <w:t>in rugby league:</w:t>
      </w:r>
      <w:r>
        <w:rPr>
          <w:spacing w:val="40"/>
        </w:rPr>
        <w:t> </w:t>
      </w:r>
      <w:r>
        <w:rPr/>
        <w:t>two each for converted try; unconverted try; penalty goal and drop goal (one for the possession team and one for the opposition team).</w:t>
      </w:r>
      <w:r>
        <w:rPr>
          <w:spacing w:val="25"/>
        </w:rPr>
        <w:t> </w:t>
      </w:r>
      <w:r>
        <w:rPr/>
        <w:t>Furthermore, the amount data</w:t>
      </w:r>
      <w:r>
        <w:rPr>
          <w:spacing w:val="-3"/>
        </w:rPr>
        <w:t> </w:t>
      </w:r>
      <w:r>
        <w:rPr/>
        <w:t>used</w:t>
      </w:r>
      <w:r>
        <w:rPr>
          <w:spacing w:val="-3"/>
        </w:rPr>
        <w:t> </w:t>
      </w:r>
      <w:r>
        <w:rPr/>
        <w:t>by</w:t>
      </w:r>
      <w:r>
        <w:rPr>
          <w:spacing w:val="-3"/>
        </w:rPr>
        <w:t> </w:t>
      </w:r>
      <w:r>
        <w:rPr/>
        <w:t>the</w:t>
      </w:r>
      <w:r>
        <w:rPr>
          <w:spacing w:val="-3"/>
        </w:rPr>
        <w:t> </w:t>
      </w:r>
      <w:r>
        <w:rPr/>
        <w:t>authors</w:t>
      </w:r>
      <w:r>
        <w:rPr>
          <w:spacing w:val="-3"/>
        </w:rPr>
        <w:t> </w:t>
      </w:r>
      <w:r>
        <w:rPr/>
        <w:t>to</w:t>
      </w:r>
      <w:r>
        <w:rPr>
          <w:spacing w:val="-3"/>
        </w:rPr>
        <w:t> </w:t>
      </w:r>
      <w:r>
        <w:rPr/>
        <w:t>calculate</w:t>
      </w:r>
      <w:r>
        <w:rPr>
          <w:spacing w:val="-3"/>
        </w:rPr>
        <w:t> </w:t>
      </w:r>
      <w:r>
        <w:rPr/>
        <w:t>this</w:t>
      </w:r>
      <w:r>
        <w:rPr>
          <w:spacing w:val="-3"/>
        </w:rPr>
        <w:t> </w:t>
      </w:r>
      <w:r>
        <w:rPr/>
        <w:t>model</w:t>
      </w:r>
      <w:r>
        <w:rPr>
          <w:spacing w:val="-3"/>
        </w:rPr>
        <w:t> </w:t>
      </w:r>
      <w:r>
        <w:rPr/>
        <w:t>was</w:t>
      </w:r>
      <w:r>
        <w:rPr>
          <w:spacing w:val="-3"/>
        </w:rPr>
        <w:t> </w:t>
      </w:r>
      <w:r>
        <w:rPr/>
        <w:t>more</w:t>
      </w:r>
      <w:r>
        <w:rPr>
          <w:spacing w:val="-3"/>
        </w:rPr>
        <w:t> </w:t>
      </w:r>
      <w:r>
        <w:rPr/>
        <w:t>than</w:t>
      </w:r>
      <w:r>
        <w:rPr>
          <w:spacing w:val="-3"/>
        </w:rPr>
        <w:t> </w:t>
      </w:r>
      <w:r>
        <w:rPr/>
        <w:t>10</w:t>
      </w:r>
      <w:r>
        <w:rPr>
          <w:spacing w:val="-3"/>
        </w:rPr>
        <w:t> </w:t>
      </w:r>
      <w:r>
        <w:rPr/>
        <w:t>times</w:t>
      </w:r>
      <w:r>
        <w:rPr>
          <w:spacing w:val="-3"/>
        </w:rPr>
        <w:t> </w:t>
      </w:r>
      <w:r>
        <w:rPr/>
        <w:t>greater</w:t>
      </w:r>
      <w:r>
        <w:rPr>
          <w:spacing w:val="-3"/>
        </w:rPr>
        <w:t> </w:t>
      </w:r>
      <w:r>
        <w:rPr/>
        <w:t>than</w:t>
      </w:r>
      <w:r>
        <w:rPr>
          <w:spacing w:val="-3"/>
        </w:rPr>
        <w:t> </w:t>
      </w:r>
      <w:r>
        <w:rPr/>
        <w:t>that available in rugby league, limiting the ability to replicate the method in the sport.</w:t>
      </w:r>
    </w:p>
    <w:p>
      <w:pPr>
        <w:pStyle w:val="BodyText"/>
        <w:spacing w:line="312" w:lineRule="auto"/>
        <w:ind w:left="610" w:right="389" w:firstLine="351"/>
      </w:pPr>
      <w:hyperlink w:history="true" w:anchor="_bookmark287">
        <w:r>
          <w:rPr>
            <w:color w:val="FF0000"/>
          </w:rPr>
          <w:t>Routley and Schulte</w:t>
        </w:r>
      </w:hyperlink>
      <w:r>
        <w:rPr/>
        <w:t>(</w:t>
      </w:r>
      <w:hyperlink w:history="true" w:anchor="_bookmark287">
        <w:r>
          <w:rPr>
            <w:color w:val="FF0000"/>
          </w:rPr>
          <w:t>2015</w:t>
        </w:r>
        <w:r>
          <w:rPr/>
          <w:t>)</w:t>
        </w:r>
      </w:hyperlink>
      <w:r>
        <w:rPr/>
        <w:t> utilised a Markov Game model (</w:t>
      </w:r>
      <w:hyperlink w:history="true" w:anchor="_bookmark291">
        <w:r>
          <w:rPr>
            <w:color w:val="FF0000"/>
          </w:rPr>
          <w:t>Shapley</w:t>
        </w:r>
        <w:r>
          <w:rPr/>
          <w:t>,</w:t>
        </w:r>
      </w:hyperlink>
      <w:hyperlink w:history="true" w:anchor="_bookmark291">
        <w:r>
          <w:rPr>
            <w:color w:val="FF0000"/>
          </w:rPr>
          <w:t>1953</w:t>
        </w:r>
        <w:r>
          <w:rPr/>
          <w:t>)</w:t>
        </w:r>
      </w:hyperlink>
      <w:r>
        <w:rPr/>
        <w:t> approach to determine the value of each action within an ice hockey match by estimating its </w:t>
      </w:r>
      <w:r>
        <w:rPr/>
        <w:t>con- tribution</w:t>
      </w:r>
      <w:r>
        <w:rPr>
          <w:spacing w:val="24"/>
        </w:rPr>
        <w:t> </w:t>
      </w:r>
      <w:r>
        <w:rPr/>
        <w:t>to</w:t>
      </w:r>
      <w:r>
        <w:rPr>
          <w:spacing w:val="24"/>
        </w:rPr>
        <w:t> </w:t>
      </w:r>
      <w:r>
        <w:rPr/>
        <w:t>the</w:t>
      </w:r>
      <w:r>
        <w:rPr>
          <w:spacing w:val="24"/>
        </w:rPr>
        <w:t> </w:t>
      </w:r>
      <w:r>
        <w:rPr/>
        <w:t>probability</w:t>
      </w:r>
      <w:r>
        <w:rPr>
          <w:spacing w:val="24"/>
        </w:rPr>
        <w:t> </w:t>
      </w:r>
      <w:r>
        <w:rPr/>
        <w:t>of</w:t>
      </w:r>
      <w:r>
        <w:rPr>
          <w:spacing w:val="24"/>
        </w:rPr>
        <w:t> </w:t>
      </w:r>
      <w:r>
        <w:rPr/>
        <w:t>either</w:t>
      </w:r>
      <w:r>
        <w:rPr>
          <w:spacing w:val="24"/>
        </w:rPr>
        <w:t> </w:t>
      </w:r>
      <w:r>
        <w:rPr/>
        <w:t>team</w:t>
      </w:r>
      <w:r>
        <w:rPr>
          <w:spacing w:val="24"/>
        </w:rPr>
        <w:t> </w:t>
      </w:r>
      <w:r>
        <w:rPr/>
        <w:t>scoring</w:t>
      </w:r>
      <w:r>
        <w:rPr>
          <w:spacing w:val="24"/>
        </w:rPr>
        <w:t> </w:t>
      </w:r>
      <w:r>
        <w:rPr/>
        <w:t>the</w:t>
      </w:r>
      <w:r>
        <w:rPr>
          <w:spacing w:val="24"/>
        </w:rPr>
        <w:t> </w:t>
      </w:r>
      <w:r>
        <w:rPr/>
        <w:t>next</w:t>
      </w:r>
      <w:r>
        <w:rPr>
          <w:spacing w:val="24"/>
        </w:rPr>
        <w:t> </w:t>
      </w:r>
      <w:r>
        <w:rPr/>
        <w:t>goal</w:t>
      </w:r>
      <w:r>
        <w:rPr>
          <w:spacing w:val="24"/>
        </w:rPr>
        <w:t> </w:t>
      </w:r>
      <w:r>
        <w:rPr/>
        <w:t>or</w:t>
      </w:r>
      <w:r>
        <w:rPr>
          <w:spacing w:val="24"/>
        </w:rPr>
        <w:t> </w:t>
      </w:r>
      <w:r>
        <w:rPr/>
        <w:t>conceding</w:t>
      </w:r>
      <w:r>
        <w:rPr>
          <w:spacing w:val="24"/>
        </w:rPr>
        <w:t> </w:t>
      </w:r>
      <w:r>
        <w:rPr/>
        <w:t>the</w:t>
      </w:r>
      <w:r>
        <w:rPr>
          <w:spacing w:val="24"/>
        </w:rPr>
        <w:t> </w:t>
      </w:r>
      <w:r>
        <w:rPr/>
        <w:t>next penalty.</w:t>
      </w:r>
      <w:r>
        <w:rPr>
          <w:spacing w:val="40"/>
        </w:rPr>
        <w:t> </w:t>
      </w:r>
      <w:r>
        <w:rPr/>
        <w:t>They used 2.8 million actions from the 2006/07 NHL season.</w:t>
      </w:r>
      <w:r>
        <w:rPr>
          <w:spacing w:val="40"/>
        </w:rPr>
        <w:t> </w:t>
      </w:r>
      <w:r>
        <w:rPr/>
        <w:t>In order to con- vert the event level data into an MDP framework, a significant amount of preprocessing occurred.</w:t>
      </w:r>
      <w:r>
        <w:rPr>
          <w:spacing w:val="22"/>
        </w:rPr>
        <w:t> </w:t>
      </w:r>
      <w:r>
        <w:rPr/>
        <w:t>Episodes</w:t>
      </w:r>
      <w:r>
        <w:rPr>
          <w:spacing w:val="-1"/>
        </w:rPr>
        <w:t> </w:t>
      </w:r>
      <w:r>
        <w:rPr/>
        <w:t>were</w:t>
      </w:r>
      <w:r>
        <w:rPr>
          <w:spacing w:val="-1"/>
        </w:rPr>
        <w:t> </w:t>
      </w:r>
      <w:r>
        <w:rPr/>
        <w:t>defined</w:t>
      </w:r>
      <w:r>
        <w:rPr>
          <w:spacing w:val="-1"/>
        </w:rPr>
        <w:t> </w:t>
      </w:r>
      <w:r>
        <w:rPr/>
        <w:t>as</w:t>
      </w:r>
      <w:r>
        <w:rPr>
          <w:spacing w:val="-1"/>
        </w:rPr>
        <w:t> </w:t>
      </w:r>
      <w:r>
        <w:rPr/>
        <w:t>the</w:t>
      </w:r>
      <w:r>
        <w:rPr>
          <w:spacing w:val="-1"/>
        </w:rPr>
        <w:t> </w:t>
      </w:r>
      <w:r>
        <w:rPr/>
        <w:t>period</w:t>
      </w:r>
      <w:r>
        <w:rPr>
          <w:spacing w:val="-1"/>
        </w:rPr>
        <w:t> </w:t>
      </w:r>
      <w:r>
        <w:rPr/>
        <w:t>of</w:t>
      </w:r>
      <w:r>
        <w:rPr>
          <w:spacing w:val="-1"/>
        </w:rPr>
        <w:t> </w:t>
      </w:r>
      <w:r>
        <w:rPr/>
        <w:t>match</w:t>
      </w:r>
      <w:r>
        <w:rPr>
          <w:spacing w:val="-1"/>
        </w:rPr>
        <w:t> </w:t>
      </w:r>
      <w:r>
        <w:rPr/>
        <w:t>play</w:t>
      </w:r>
      <w:r>
        <w:rPr>
          <w:spacing w:val="-1"/>
        </w:rPr>
        <w:t> </w:t>
      </w:r>
      <w:r>
        <w:rPr/>
        <w:t>between</w:t>
      </w:r>
      <w:r>
        <w:rPr>
          <w:spacing w:val="-1"/>
        </w:rPr>
        <w:t> </w:t>
      </w:r>
      <w:r>
        <w:rPr/>
        <w:t>goals, penalties</w:t>
      </w:r>
      <w:r>
        <w:rPr>
          <w:spacing w:val="-1"/>
        </w:rPr>
        <w:t> </w:t>
      </w:r>
      <w:r>
        <w:rPr/>
        <w:t>or stoppages and were described by three contextual features (goal differential, manpower (i.e.</w:t>
      </w:r>
      <w:r>
        <w:rPr>
          <w:spacing w:val="67"/>
        </w:rPr>
        <w:t> </w:t>
      </w:r>
      <w:r>
        <w:rPr/>
        <w:t>number</w:t>
      </w:r>
      <w:r>
        <w:rPr>
          <w:spacing w:val="15"/>
        </w:rPr>
        <w:t> </w:t>
      </w:r>
      <w:r>
        <w:rPr/>
        <w:t>of</w:t>
      </w:r>
      <w:r>
        <w:rPr>
          <w:spacing w:val="15"/>
        </w:rPr>
        <w:t> </w:t>
      </w:r>
      <w:r>
        <w:rPr/>
        <w:t>players</w:t>
      </w:r>
      <w:r>
        <w:rPr>
          <w:spacing w:val="15"/>
        </w:rPr>
        <w:t> </w:t>
      </w:r>
      <w:r>
        <w:rPr/>
        <w:t>on</w:t>
      </w:r>
      <w:r>
        <w:rPr>
          <w:spacing w:val="15"/>
        </w:rPr>
        <w:t> </w:t>
      </w:r>
      <w:r>
        <w:rPr/>
        <w:t>each</w:t>
      </w:r>
      <w:r>
        <w:rPr>
          <w:spacing w:val="15"/>
        </w:rPr>
        <w:t> </w:t>
      </w:r>
      <w:r>
        <w:rPr/>
        <w:t>team)</w:t>
      </w:r>
      <w:r>
        <w:rPr>
          <w:spacing w:val="14"/>
        </w:rPr>
        <w:t> </w:t>
      </w:r>
      <w:r>
        <w:rPr/>
        <w:t>differential</w:t>
      </w:r>
      <w:r>
        <w:rPr>
          <w:spacing w:val="15"/>
        </w:rPr>
        <w:t> </w:t>
      </w:r>
      <w:r>
        <w:rPr/>
        <w:t>and</w:t>
      </w:r>
      <w:r>
        <w:rPr>
          <w:spacing w:val="15"/>
        </w:rPr>
        <w:t> </w:t>
      </w:r>
      <w:r>
        <w:rPr/>
        <w:t>period</w:t>
      </w:r>
      <w:r>
        <w:rPr>
          <w:spacing w:val="15"/>
        </w:rPr>
        <w:t> </w:t>
      </w:r>
      <w:r>
        <w:rPr/>
        <w:t>of</w:t>
      </w:r>
      <w:r>
        <w:rPr>
          <w:spacing w:val="15"/>
        </w:rPr>
        <w:t> </w:t>
      </w:r>
      <w:r>
        <w:rPr/>
        <w:t>match).</w:t>
      </w:r>
      <w:r>
        <w:rPr>
          <w:spacing w:val="68"/>
        </w:rPr>
        <w:t> </w:t>
      </w:r>
      <w:r>
        <w:rPr/>
        <w:t>Eight</w:t>
      </w:r>
      <w:r>
        <w:rPr>
          <w:spacing w:val="15"/>
        </w:rPr>
        <w:t> </w:t>
      </w:r>
      <w:r>
        <w:rPr>
          <w:spacing w:val="-2"/>
        </w:rPr>
        <w:t>actions</w:t>
      </w:r>
    </w:p>
    <w:p>
      <w:pPr>
        <w:spacing w:after="0" w:line="312" w:lineRule="auto"/>
        <w:sectPr>
          <w:pgSz w:w="11910" w:h="16840"/>
          <w:pgMar w:header="1961" w:footer="1428" w:top="2260" w:bottom="1620" w:left="1680" w:right="720"/>
        </w:sectPr>
      </w:pPr>
    </w:p>
    <w:p>
      <w:pPr>
        <w:pStyle w:val="BodyText"/>
        <w:rPr>
          <w:sz w:val="20"/>
        </w:rPr>
      </w:pPr>
    </w:p>
    <w:p>
      <w:pPr>
        <w:pStyle w:val="BodyText"/>
        <w:spacing w:before="8"/>
        <w:rPr>
          <w:sz w:val="29"/>
        </w:rPr>
      </w:pPr>
    </w:p>
    <w:p>
      <w:pPr>
        <w:pStyle w:val="BodyText"/>
        <w:ind w:left="1460"/>
        <w:rPr>
          <w:sz w:val="20"/>
        </w:rPr>
      </w:pPr>
      <w:r>
        <w:rPr>
          <w:sz w:val="20"/>
        </w:rPr>
        <w:drawing>
          <wp:inline distT="0" distB="0" distL="0" distR="0">
            <wp:extent cx="4296016" cy="1853183"/>
            <wp:effectExtent l="0" t="0" r="0" b="0"/>
            <wp:docPr id="25" name="image13.jpeg"/>
            <wp:cNvGraphicFramePr>
              <a:graphicFrameLocks noChangeAspect="1"/>
            </wp:cNvGraphicFramePr>
            <a:graphic>
              <a:graphicData uri="http://schemas.openxmlformats.org/drawingml/2006/picture">
                <pic:pic>
                  <pic:nvPicPr>
                    <pic:cNvPr id="26" name="image13.jpeg"/>
                    <pic:cNvPicPr/>
                  </pic:nvPicPr>
                  <pic:blipFill>
                    <a:blip r:embed="rId46" cstate="print"/>
                    <a:stretch>
                      <a:fillRect/>
                    </a:stretch>
                  </pic:blipFill>
                  <pic:spPr>
                    <a:xfrm>
                      <a:off x="0" y="0"/>
                      <a:ext cx="4296016" cy="1853183"/>
                    </a:xfrm>
                    <a:prstGeom prst="rect">
                      <a:avLst/>
                    </a:prstGeom>
                  </pic:spPr>
                </pic:pic>
              </a:graphicData>
            </a:graphic>
          </wp:inline>
        </w:drawing>
      </w:r>
      <w:r>
        <w:rPr>
          <w:sz w:val="20"/>
        </w:rPr>
      </w:r>
    </w:p>
    <w:p>
      <w:pPr>
        <w:pStyle w:val="BodyText"/>
        <w:spacing w:before="5"/>
        <w:rPr>
          <w:sz w:val="7"/>
        </w:rPr>
      </w:pPr>
    </w:p>
    <w:p>
      <w:pPr>
        <w:pStyle w:val="BodyText"/>
        <w:spacing w:line="252" w:lineRule="auto" w:before="106"/>
        <w:ind w:left="610" w:right="389"/>
        <w:jc w:val="both"/>
      </w:pPr>
      <w:bookmarkStart w:name="_bookmark30" w:id="55"/>
      <w:bookmarkEnd w:id="55"/>
      <w:r>
        <w:rPr/>
      </w:r>
      <w:r>
        <w:rPr>
          <w:b/>
        </w:rPr>
        <w:t>Figure</w:t>
      </w:r>
      <w:r>
        <w:rPr>
          <w:b/>
          <w:spacing w:val="-11"/>
        </w:rPr>
        <w:t> </w:t>
      </w:r>
      <w:r>
        <w:rPr>
          <w:b/>
        </w:rPr>
        <w:t>2.12: </w:t>
      </w:r>
      <w:hyperlink w:history="true" w:anchor="_bookmark287">
        <w:r>
          <w:rPr>
            <w:color w:val="FF0000"/>
          </w:rPr>
          <w:t>Routley</w:t>
        </w:r>
        <w:r>
          <w:rPr>
            <w:color w:val="FF0000"/>
            <w:spacing w:val="-11"/>
          </w:rPr>
          <w:t> </w:t>
        </w:r>
        <w:r>
          <w:rPr>
            <w:color w:val="FF0000"/>
          </w:rPr>
          <w:t>and</w:t>
        </w:r>
        <w:r>
          <w:rPr>
            <w:color w:val="FF0000"/>
            <w:spacing w:val="-10"/>
          </w:rPr>
          <w:t> </w:t>
        </w:r>
        <w:r>
          <w:rPr>
            <w:color w:val="FF0000"/>
          </w:rPr>
          <w:t>Schulte</w:t>
        </w:r>
      </w:hyperlink>
      <w:r>
        <w:rPr/>
        <w:t>(</w:t>
      </w:r>
      <w:hyperlink w:history="true" w:anchor="_bookmark287">
        <w:r>
          <w:rPr>
            <w:color w:val="FF0000"/>
          </w:rPr>
          <w:t>2015</w:t>
        </w:r>
        <w:r>
          <w:rPr/>
          <w:t>)</w:t>
        </w:r>
      </w:hyperlink>
      <w:r>
        <w:rPr>
          <w:spacing w:val="-10"/>
        </w:rPr>
        <w:t> </w:t>
      </w:r>
      <w:r>
        <w:rPr/>
        <w:t>box</w:t>
      </w:r>
      <w:r>
        <w:rPr>
          <w:spacing w:val="-10"/>
        </w:rPr>
        <w:t> </w:t>
      </w:r>
      <w:r>
        <w:rPr/>
        <w:t>plot</w:t>
      </w:r>
      <w:r>
        <w:rPr>
          <w:spacing w:val="-11"/>
        </w:rPr>
        <w:t> </w:t>
      </w:r>
      <w:r>
        <w:rPr/>
        <w:t>of</w:t>
      </w:r>
      <w:r>
        <w:rPr>
          <w:spacing w:val="-10"/>
        </w:rPr>
        <w:t> </w:t>
      </w:r>
      <w:r>
        <w:rPr/>
        <w:t>action</w:t>
      </w:r>
      <w:r>
        <w:rPr>
          <w:spacing w:val="-11"/>
        </w:rPr>
        <w:t> </w:t>
      </w:r>
      <w:r>
        <w:rPr/>
        <w:t>impact</w:t>
      </w:r>
      <w:r>
        <w:rPr>
          <w:spacing w:val="-10"/>
        </w:rPr>
        <w:t> </w:t>
      </w:r>
      <w:r>
        <w:rPr/>
        <w:t>values</w:t>
      </w:r>
      <w:r>
        <w:rPr>
          <w:spacing w:val="-11"/>
        </w:rPr>
        <w:t> </w:t>
      </w:r>
      <w:r>
        <w:rPr/>
        <w:t>across</w:t>
      </w:r>
      <w:r>
        <w:rPr>
          <w:spacing w:val="-10"/>
        </w:rPr>
        <w:t> </w:t>
      </w:r>
      <w:r>
        <w:rPr/>
        <w:t>different contexts.</w:t>
      </w:r>
      <w:r>
        <w:rPr>
          <w:spacing w:val="34"/>
        </w:rPr>
        <w:t> </w:t>
      </w:r>
      <w:r>
        <w:rPr/>
        <w:t>Left shows the action impact values for goals, where a high value is better </w:t>
      </w:r>
      <w:r>
        <w:rPr/>
        <w:t>for the</w:t>
      </w:r>
      <w:r>
        <w:rPr>
          <w:spacing w:val="-8"/>
        </w:rPr>
        <w:t> </w:t>
      </w:r>
      <w:r>
        <w:rPr/>
        <w:t>team. Right</w:t>
      </w:r>
      <w:r>
        <w:rPr>
          <w:spacing w:val="-8"/>
        </w:rPr>
        <w:t> </w:t>
      </w:r>
      <w:r>
        <w:rPr/>
        <w:t>shows</w:t>
      </w:r>
      <w:r>
        <w:rPr>
          <w:spacing w:val="-8"/>
        </w:rPr>
        <w:t> </w:t>
      </w:r>
      <w:r>
        <w:rPr/>
        <w:t>the</w:t>
      </w:r>
      <w:r>
        <w:rPr>
          <w:spacing w:val="-8"/>
        </w:rPr>
        <w:t> </w:t>
      </w:r>
      <w:r>
        <w:rPr/>
        <w:t>action</w:t>
      </w:r>
      <w:r>
        <w:rPr>
          <w:spacing w:val="-8"/>
        </w:rPr>
        <w:t> </w:t>
      </w:r>
      <w:r>
        <w:rPr/>
        <w:t>impact</w:t>
      </w:r>
      <w:r>
        <w:rPr>
          <w:spacing w:val="-8"/>
        </w:rPr>
        <w:t> </w:t>
      </w:r>
      <w:r>
        <w:rPr/>
        <w:t>values</w:t>
      </w:r>
      <w:r>
        <w:rPr>
          <w:spacing w:val="-8"/>
        </w:rPr>
        <w:t> </w:t>
      </w:r>
      <w:r>
        <w:rPr/>
        <w:t>for</w:t>
      </w:r>
      <w:r>
        <w:rPr>
          <w:spacing w:val="-8"/>
        </w:rPr>
        <w:t> </w:t>
      </w:r>
      <w:r>
        <w:rPr/>
        <w:t>penalties,</w:t>
      </w:r>
      <w:r>
        <w:rPr>
          <w:spacing w:val="-8"/>
        </w:rPr>
        <w:t> </w:t>
      </w:r>
      <w:r>
        <w:rPr/>
        <w:t>where</w:t>
      </w:r>
      <w:r>
        <w:rPr>
          <w:spacing w:val="-8"/>
        </w:rPr>
        <w:t> </w:t>
      </w:r>
      <w:r>
        <w:rPr/>
        <w:t>a</w:t>
      </w:r>
      <w:r>
        <w:rPr>
          <w:spacing w:val="-8"/>
        </w:rPr>
        <w:t> </w:t>
      </w:r>
      <w:r>
        <w:rPr/>
        <w:t>high</w:t>
      </w:r>
      <w:r>
        <w:rPr>
          <w:spacing w:val="-8"/>
        </w:rPr>
        <w:t> </w:t>
      </w:r>
      <w:r>
        <w:rPr/>
        <w:t>value</w:t>
      </w:r>
      <w:r>
        <w:rPr>
          <w:spacing w:val="-8"/>
        </w:rPr>
        <w:t> </w:t>
      </w:r>
      <w:r>
        <w:rPr/>
        <w:t>is</w:t>
      </w:r>
      <w:r>
        <w:rPr>
          <w:spacing w:val="-8"/>
        </w:rPr>
        <w:t> </w:t>
      </w:r>
      <w:r>
        <w:rPr/>
        <w:t>worse for</w:t>
      </w:r>
      <w:r>
        <w:rPr>
          <w:spacing w:val="-6"/>
        </w:rPr>
        <w:t> </w:t>
      </w:r>
      <w:r>
        <w:rPr/>
        <w:t>the</w:t>
      </w:r>
      <w:r>
        <w:rPr>
          <w:spacing w:val="-6"/>
        </w:rPr>
        <w:t> </w:t>
      </w:r>
      <w:r>
        <w:rPr/>
        <w:t>team. Central</w:t>
      </w:r>
      <w:r>
        <w:rPr>
          <w:spacing w:val="-6"/>
        </w:rPr>
        <w:t> </w:t>
      </w:r>
      <w:r>
        <w:rPr/>
        <w:t>mark</w:t>
      </w:r>
      <w:r>
        <w:rPr>
          <w:spacing w:val="-6"/>
        </w:rPr>
        <w:t> </w:t>
      </w:r>
      <w:r>
        <w:rPr/>
        <w:t>of</w:t>
      </w:r>
      <w:r>
        <w:rPr>
          <w:spacing w:val="-6"/>
        </w:rPr>
        <w:t> </w:t>
      </w:r>
      <w:r>
        <w:rPr/>
        <w:t>the</w:t>
      </w:r>
      <w:r>
        <w:rPr>
          <w:spacing w:val="-6"/>
        </w:rPr>
        <w:t> </w:t>
      </w:r>
      <w:r>
        <w:rPr/>
        <w:t>box</w:t>
      </w:r>
      <w:r>
        <w:rPr>
          <w:spacing w:val="-6"/>
        </w:rPr>
        <w:t> </w:t>
      </w:r>
      <w:r>
        <w:rPr/>
        <w:t>plot</w:t>
      </w:r>
      <w:r>
        <w:rPr>
          <w:spacing w:val="-6"/>
        </w:rPr>
        <w:t> </w:t>
      </w:r>
      <w:r>
        <w:rPr/>
        <w:t>is</w:t>
      </w:r>
      <w:r>
        <w:rPr>
          <w:spacing w:val="-6"/>
        </w:rPr>
        <w:t> </w:t>
      </w:r>
      <w:r>
        <w:rPr/>
        <w:t>the</w:t>
      </w:r>
      <w:r>
        <w:rPr>
          <w:spacing w:val="-5"/>
        </w:rPr>
        <w:t> </w:t>
      </w:r>
      <w:r>
        <w:rPr/>
        <w:t>median,</w:t>
      </w:r>
      <w:r>
        <w:rPr>
          <w:spacing w:val="-5"/>
        </w:rPr>
        <w:t> </w:t>
      </w:r>
      <w:r>
        <w:rPr/>
        <w:t>the</w:t>
      </w:r>
      <w:r>
        <w:rPr>
          <w:spacing w:val="-6"/>
        </w:rPr>
        <w:t> </w:t>
      </w:r>
      <w:r>
        <w:rPr/>
        <w:t>edges</w:t>
      </w:r>
      <w:r>
        <w:rPr>
          <w:spacing w:val="-5"/>
        </w:rPr>
        <w:t> </w:t>
      </w:r>
      <w:r>
        <w:rPr/>
        <w:t>represent</w:t>
      </w:r>
      <w:r>
        <w:rPr>
          <w:spacing w:val="-5"/>
        </w:rPr>
        <w:t> </w:t>
      </w:r>
      <w:r>
        <w:rPr/>
        <w:t>the</w:t>
      </w:r>
      <w:r>
        <w:rPr>
          <w:spacing w:val="-6"/>
        </w:rPr>
        <w:t> </w:t>
      </w:r>
      <w:r>
        <w:rPr/>
        <w:t>25th</w:t>
      </w:r>
      <w:r>
        <w:rPr>
          <w:spacing w:val="-6"/>
        </w:rPr>
        <w:t> </w:t>
      </w:r>
      <w:r>
        <w:rPr/>
        <w:t>and 75th percentiles and the whiskers are at approximately 2.7 standard deviations.</w:t>
      </w:r>
    </w:p>
    <w:p>
      <w:pPr>
        <w:pStyle w:val="BodyText"/>
        <w:rPr>
          <w:sz w:val="28"/>
        </w:rPr>
      </w:pPr>
    </w:p>
    <w:p>
      <w:pPr>
        <w:pStyle w:val="BodyText"/>
        <w:rPr>
          <w:sz w:val="32"/>
        </w:rPr>
      </w:pPr>
    </w:p>
    <w:p>
      <w:pPr>
        <w:pStyle w:val="BodyText"/>
        <w:spacing w:line="312" w:lineRule="auto"/>
        <w:ind w:left="610" w:right="389"/>
      </w:pPr>
      <w:r>
        <w:rPr/>
        <w:t>were isolated and provided with two markers (the team performing the action and the</w:t>
      </w:r>
      <w:r>
        <w:rPr>
          <w:spacing w:val="80"/>
          <w:w w:val="150"/>
        </w:rPr>
        <w:t> </w:t>
      </w:r>
      <w:r>
        <w:rPr/>
        <w:t>zone in which it occurred).</w:t>
      </w:r>
      <w:r>
        <w:rPr>
          <w:spacing w:val="40"/>
        </w:rPr>
        <w:t> </w:t>
      </w:r>
      <w:r>
        <w:rPr/>
        <w:t>A state was then described by the contextual features and a playing history (i.e.</w:t>
      </w:r>
      <w:r>
        <w:rPr>
          <w:spacing w:val="40"/>
        </w:rPr>
        <w:t> </w:t>
      </w:r>
      <w:r>
        <w:rPr/>
        <w:t>each action that took place within the game state).</w:t>
      </w:r>
      <w:r>
        <w:rPr>
          <w:spacing w:val="40"/>
        </w:rPr>
        <w:t> </w:t>
      </w:r>
      <w:r>
        <w:rPr/>
        <w:t>Consequently,</w:t>
      </w:r>
      <w:r>
        <w:rPr>
          <w:spacing w:val="40"/>
        </w:rPr>
        <w:t> </w:t>
      </w:r>
      <w:r>
        <w:rPr/>
        <w:t>each state essentially played the role of an episode within their model, as all the actions taken</w:t>
      </w:r>
      <w:r>
        <w:rPr>
          <w:spacing w:val="-4"/>
        </w:rPr>
        <w:t> </w:t>
      </w:r>
      <w:r>
        <w:rPr/>
        <w:t>within</w:t>
      </w:r>
      <w:r>
        <w:rPr>
          <w:spacing w:val="-3"/>
        </w:rPr>
        <w:t> </w:t>
      </w:r>
      <w:r>
        <w:rPr/>
        <w:t>the</w:t>
      </w:r>
      <w:r>
        <w:rPr>
          <w:spacing w:val="-4"/>
        </w:rPr>
        <w:t> </w:t>
      </w:r>
      <w:r>
        <w:rPr/>
        <w:t>episode</w:t>
      </w:r>
      <w:r>
        <w:rPr>
          <w:spacing w:val="-4"/>
        </w:rPr>
        <w:t> </w:t>
      </w:r>
      <w:r>
        <w:rPr/>
        <w:t>were</w:t>
      </w:r>
      <w:r>
        <w:rPr>
          <w:spacing w:val="-3"/>
        </w:rPr>
        <w:t> </w:t>
      </w:r>
      <w:r>
        <w:rPr/>
        <w:t>described</w:t>
      </w:r>
      <w:r>
        <w:rPr>
          <w:spacing w:val="-4"/>
        </w:rPr>
        <w:t> </w:t>
      </w:r>
      <w:r>
        <w:rPr/>
        <w:t>in</w:t>
      </w:r>
      <w:r>
        <w:rPr>
          <w:spacing w:val="-4"/>
        </w:rPr>
        <w:t> </w:t>
      </w:r>
      <w:r>
        <w:rPr/>
        <w:t>the</w:t>
      </w:r>
      <w:r>
        <w:rPr>
          <w:spacing w:val="-3"/>
        </w:rPr>
        <w:t> </w:t>
      </w:r>
      <w:r>
        <w:rPr/>
        <w:t>state. A</w:t>
      </w:r>
      <w:r>
        <w:rPr>
          <w:spacing w:val="-4"/>
        </w:rPr>
        <w:t> </w:t>
      </w:r>
      <w:r>
        <w:rPr/>
        <w:t>reward</w:t>
      </w:r>
      <w:r>
        <w:rPr>
          <w:spacing w:val="-4"/>
        </w:rPr>
        <w:t> </w:t>
      </w:r>
      <w:r>
        <w:rPr/>
        <w:t>of</w:t>
      </w:r>
      <w:r>
        <w:rPr>
          <w:spacing w:val="-3"/>
        </w:rPr>
        <w:t> </w:t>
      </w:r>
      <w:r>
        <w:rPr/>
        <w:t>1</w:t>
      </w:r>
      <w:r>
        <w:rPr>
          <w:spacing w:val="-4"/>
        </w:rPr>
        <w:t> </w:t>
      </w:r>
      <w:r>
        <w:rPr/>
        <w:t>was</w:t>
      </w:r>
      <w:r>
        <w:rPr>
          <w:spacing w:val="-4"/>
        </w:rPr>
        <w:t> </w:t>
      </w:r>
      <w:r>
        <w:rPr/>
        <w:t>provided</w:t>
      </w:r>
      <w:r>
        <w:rPr>
          <w:spacing w:val="-3"/>
        </w:rPr>
        <w:t> </w:t>
      </w:r>
      <w:r>
        <w:rPr/>
        <w:t>when</w:t>
      </w:r>
      <w:r>
        <w:rPr>
          <w:spacing w:val="-4"/>
        </w:rPr>
        <w:t> </w:t>
      </w:r>
      <w:r>
        <w:rPr/>
        <w:t>a goal was scored or a penalty was received.</w:t>
      </w:r>
      <w:r>
        <w:rPr>
          <w:spacing w:val="33"/>
        </w:rPr>
        <w:t> </w:t>
      </w:r>
      <w:r>
        <w:rPr/>
        <w:t>The authors used dynamic programming via the</w:t>
      </w:r>
      <w:r>
        <w:rPr>
          <w:spacing w:val="-6"/>
        </w:rPr>
        <w:t> </w:t>
      </w:r>
      <w:r>
        <w:rPr/>
        <w:t>value</w:t>
      </w:r>
      <w:r>
        <w:rPr>
          <w:spacing w:val="-6"/>
        </w:rPr>
        <w:t> </w:t>
      </w:r>
      <w:r>
        <w:rPr/>
        <w:t>iteration</w:t>
      </w:r>
      <w:r>
        <w:rPr>
          <w:spacing w:val="-6"/>
        </w:rPr>
        <w:t> </w:t>
      </w:r>
      <w:r>
        <w:rPr/>
        <w:t>algorithm</w:t>
      </w:r>
      <w:r>
        <w:rPr>
          <w:spacing w:val="-6"/>
        </w:rPr>
        <w:t> </w:t>
      </w:r>
      <w:r>
        <w:rPr/>
        <w:t>to</w:t>
      </w:r>
      <w:r>
        <w:rPr>
          <w:spacing w:val="-6"/>
        </w:rPr>
        <w:t> </w:t>
      </w:r>
      <w:r>
        <w:rPr/>
        <w:t>calculate</w:t>
      </w:r>
      <w:r>
        <w:rPr>
          <w:spacing w:val="-6"/>
        </w:rPr>
        <w:t> </w:t>
      </w:r>
      <w:r>
        <w:rPr/>
        <w:t>the</w:t>
      </w:r>
      <w:r>
        <w:rPr>
          <w:spacing w:val="-6"/>
        </w:rPr>
        <w:t> </w:t>
      </w:r>
      <w:r>
        <w:rPr/>
        <w:t>values</w:t>
      </w:r>
      <w:r>
        <w:rPr>
          <w:spacing w:val="-6"/>
        </w:rPr>
        <w:t> </w:t>
      </w:r>
      <w:r>
        <w:rPr/>
        <w:t>of</w:t>
      </w:r>
      <w:r>
        <w:rPr>
          <w:spacing w:val="-6"/>
        </w:rPr>
        <w:t> </w:t>
      </w:r>
      <w:r>
        <w:rPr/>
        <w:t>different</w:t>
      </w:r>
      <w:r>
        <w:rPr>
          <w:spacing w:val="-6"/>
        </w:rPr>
        <w:t> </w:t>
      </w:r>
      <w:r>
        <w:rPr/>
        <w:t>actions</w:t>
      </w:r>
      <w:r>
        <w:rPr>
          <w:spacing w:val="-6"/>
        </w:rPr>
        <w:t> </w:t>
      </w:r>
      <w:r>
        <w:rPr/>
        <w:t>within</w:t>
      </w:r>
      <w:r>
        <w:rPr>
          <w:spacing w:val="-6"/>
        </w:rPr>
        <w:t> </w:t>
      </w:r>
      <w:r>
        <w:rPr/>
        <w:t>the</w:t>
      </w:r>
      <w:r>
        <w:rPr>
          <w:spacing w:val="-6"/>
        </w:rPr>
        <w:t> </w:t>
      </w:r>
      <w:r>
        <w:rPr/>
        <w:t>model. They</w:t>
      </w:r>
      <w:r>
        <w:rPr>
          <w:spacing w:val="-14"/>
        </w:rPr>
        <w:t> </w:t>
      </w:r>
      <w:r>
        <w:rPr/>
        <w:t>then</w:t>
      </w:r>
      <w:r>
        <w:rPr>
          <w:spacing w:val="-14"/>
        </w:rPr>
        <w:t> </w:t>
      </w:r>
      <w:r>
        <w:rPr/>
        <w:t>produced</w:t>
      </w:r>
      <w:r>
        <w:rPr>
          <w:spacing w:val="-14"/>
        </w:rPr>
        <w:t> </w:t>
      </w:r>
      <w:r>
        <w:rPr/>
        <w:t>box</w:t>
      </w:r>
      <w:r>
        <w:rPr>
          <w:spacing w:val="-14"/>
        </w:rPr>
        <w:t> </w:t>
      </w:r>
      <w:r>
        <w:rPr/>
        <w:t>plots</w:t>
      </w:r>
      <w:r>
        <w:rPr>
          <w:spacing w:val="-14"/>
        </w:rPr>
        <w:t> </w:t>
      </w:r>
      <w:r>
        <w:rPr/>
        <w:t>of</w:t>
      </w:r>
      <w:r>
        <w:rPr>
          <w:spacing w:val="-14"/>
        </w:rPr>
        <w:t> </w:t>
      </w:r>
      <w:r>
        <w:rPr/>
        <w:t>action</w:t>
      </w:r>
      <w:r>
        <w:rPr>
          <w:spacing w:val="-14"/>
        </w:rPr>
        <w:t> </w:t>
      </w:r>
      <w:r>
        <w:rPr/>
        <w:t>impact</w:t>
      </w:r>
      <w:r>
        <w:rPr>
          <w:spacing w:val="-14"/>
        </w:rPr>
        <w:t> </w:t>
      </w:r>
      <w:r>
        <w:rPr/>
        <w:t>values</w:t>
      </w:r>
      <w:r>
        <w:rPr>
          <w:spacing w:val="-14"/>
        </w:rPr>
        <w:t> </w:t>
      </w:r>
      <w:r>
        <w:rPr/>
        <w:t>(Figure</w:t>
      </w:r>
      <w:hyperlink w:history="true" w:anchor="_bookmark30">
        <w:r>
          <w:rPr>
            <w:color w:val="0000FF"/>
          </w:rPr>
          <w:t>2.12</w:t>
        </w:r>
        <w:r>
          <w:rPr/>
          <w:t>)</w:t>
        </w:r>
      </w:hyperlink>
      <w:r>
        <w:rPr>
          <w:spacing w:val="-14"/>
        </w:rPr>
        <w:t> </w:t>
      </w:r>
      <w:r>
        <w:rPr/>
        <w:t>to</w:t>
      </w:r>
      <w:r>
        <w:rPr>
          <w:spacing w:val="-14"/>
        </w:rPr>
        <w:t> </w:t>
      </w:r>
      <w:r>
        <w:rPr/>
        <w:t>show</w:t>
      </w:r>
      <w:r>
        <w:rPr>
          <w:spacing w:val="-14"/>
        </w:rPr>
        <w:t> </w:t>
      </w:r>
      <w:r>
        <w:rPr/>
        <w:t>their</w:t>
      </w:r>
      <w:r>
        <w:rPr>
          <w:spacing w:val="-14"/>
        </w:rPr>
        <w:t> </w:t>
      </w:r>
      <w:r>
        <w:rPr/>
        <w:t>variation across</w:t>
      </w:r>
      <w:r>
        <w:rPr>
          <w:spacing w:val="-6"/>
        </w:rPr>
        <w:t> </w:t>
      </w:r>
      <w:r>
        <w:rPr/>
        <w:t>different</w:t>
      </w:r>
      <w:r>
        <w:rPr>
          <w:spacing w:val="-6"/>
        </w:rPr>
        <w:t> </w:t>
      </w:r>
      <w:r>
        <w:rPr/>
        <w:t>contexts. Players</w:t>
      </w:r>
      <w:r>
        <w:rPr>
          <w:spacing w:val="-6"/>
        </w:rPr>
        <w:t> </w:t>
      </w:r>
      <w:r>
        <w:rPr/>
        <w:t>were</w:t>
      </w:r>
      <w:r>
        <w:rPr>
          <w:spacing w:val="-6"/>
        </w:rPr>
        <w:t> </w:t>
      </w:r>
      <w:r>
        <w:rPr/>
        <w:t>rated</w:t>
      </w:r>
      <w:r>
        <w:rPr>
          <w:spacing w:val="-6"/>
        </w:rPr>
        <w:t> </w:t>
      </w:r>
      <w:r>
        <w:rPr/>
        <w:t>by</w:t>
      </w:r>
      <w:r>
        <w:rPr>
          <w:spacing w:val="-6"/>
        </w:rPr>
        <w:t> </w:t>
      </w:r>
      <w:r>
        <w:rPr/>
        <w:t>comparing</w:t>
      </w:r>
      <w:r>
        <w:rPr>
          <w:spacing w:val="-6"/>
        </w:rPr>
        <w:t> </w:t>
      </w:r>
      <w:r>
        <w:rPr/>
        <w:t>the</w:t>
      </w:r>
      <w:r>
        <w:rPr>
          <w:spacing w:val="-6"/>
        </w:rPr>
        <w:t> </w:t>
      </w:r>
      <w:r>
        <w:rPr/>
        <w:t>action</w:t>
      </w:r>
      <w:r>
        <w:rPr>
          <w:spacing w:val="-6"/>
        </w:rPr>
        <w:t> </w:t>
      </w:r>
      <w:r>
        <w:rPr/>
        <w:t>impact</w:t>
      </w:r>
      <w:r>
        <w:rPr>
          <w:spacing w:val="-6"/>
        </w:rPr>
        <w:t> </w:t>
      </w:r>
      <w:r>
        <w:rPr/>
        <w:t>value</w:t>
      </w:r>
      <w:r>
        <w:rPr>
          <w:spacing w:val="-6"/>
        </w:rPr>
        <w:t> </w:t>
      </w:r>
      <w:r>
        <w:rPr/>
        <w:t>of</w:t>
      </w:r>
      <w:r>
        <w:rPr>
          <w:spacing w:val="-6"/>
        </w:rPr>
        <w:t> </w:t>
      </w:r>
      <w:r>
        <w:rPr/>
        <w:t>the action taken by a player to the state value. The Markov Game approach used by</w:t>
      </w:r>
      <w:hyperlink w:history="true" w:anchor="_bookmark287">
        <w:r>
          <w:rPr>
            <w:color w:val="FF0000"/>
          </w:rPr>
          <w:t>Routley</w:t>
        </w:r>
      </w:hyperlink>
      <w:r>
        <w:rPr>
          <w:color w:val="FF0000"/>
        </w:rPr>
        <w:t> </w:t>
      </w:r>
      <w:hyperlink w:history="true" w:anchor="_bookmark287">
        <w:r>
          <w:rPr>
            <w:color w:val="FF0000"/>
          </w:rPr>
          <w:t>and Schulte</w:t>
        </w:r>
      </w:hyperlink>
      <w:r>
        <w:rPr/>
        <w:t>(</w:t>
      </w:r>
      <w:hyperlink w:history="true" w:anchor="_bookmark287">
        <w:r>
          <w:rPr>
            <w:color w:val="FF0000"/>
          </w:rPr>
          <w:t>2015</w:t>
        </w:r>
        <w:r>
          <w:rPr/>
          <w:t>)</w:t>
        </w:r>
      </w:hyperlink>
      <w:r>
        <w:rPr/>
        <w:t> is not suitable for rugby league because a tackle by the opposition</w:t>
      </w:r>
      <w:r>
        <w:rPr>
          <w:spacing w:val="40"/>
        </w:rPr>
        <w:t> </w:t>
      </w:r>
      <w:r>
        <w:rPr/>
        <w:t>team does not mean they will receive possession of the ball.</w:t>
      </w:r>
      <w:r>
        <w:rPr>
          <w:spacing w:val="40"/>
        </w:rPr>
        <w:t> </w:t>
      </w:r>
      <w:r>
        <w:rPr/>
        <w:t>However, as with</w:t>
      </w:r>
      <w:hyperlink w:history="true" w:anchor="_bookmark239">
        <w:r>
          <w:rPr>
            <w:color w:val="FF0000"/>
          </w:rPr>
          <w:t>Decroos</w:t>
        </w:r>
      </w:hyperlink>
      <w:r>
        <w:rPr>
          <w:color w:val="FF0000"/>
        </w:rPr>
        <w:t> </w:t>
      </w:r>
      <w:hyperlink w:history="true" w:anchor="_bookmark239">
        <w:r>
          <w:rPr>
            <w:color w:val="FF0000"/>
          </w:rPr>
          <w:t>et</w:t>
        </w:r>
        <w:r>
          <w:rPr>
            <w:color w:val="FF0000"/>
            <w:spacing w:val="-4"/>
          </w:rPr>
          <w:t> </w:t>
        </w:r>
        <w:r>
          <w:rPr>
            <w:color w:val="FF0000"/>
          </w:rPr>
          <w:t>al.</w:t>
        </w:r>
      </w:hyperlink>
      <w:r>
        <w:rPr/>
        <w:t>(</w:t>
      </w:r>
      <w:hyperlink w:history="true" w:anchor="_bookmark239">
        <w:r>
          <w:rPr>
            <w:color w:val="FF0000"/>
          </w:rPr>
          <w:t>2019</w:t>
        </w:r>
      </w:hyperlink>
      <w:r>
        <w:rPr/>
        <w:t>),</w:t>
      </w:r>
      <w:r>
        <w:rPr>
          <w:spacing w:val="-3"/>
        </w:rPr>
        <w:t> </w:t>
      </w:r>
      <w:r>
        <w:rPr/>
        <w:t>the</w:t>
      </w:r>
      <w:r>
        <w:rPr>
          <w:spacing w:val="-4"/>
        </w:rPr>
        <w:t> </w:t>
      </w:r>
      <w:r>
        <w:rPr/>
        <w:t>use</w:t>
      </w:r>
      <w:r>
        <w:rPr>
          <w:spacing w:val="-4"/>
        </w:rPr>
        <w:t> </w:t>
      </w:r>
      <w:r>
        <w:rPr/>
        <w:t>of</w:t>
      </w:r>
      <w:r>
        <w:rPr>
          <w:spacing w:val="-4"/>
        </w:rPr>
        <w:t> </w:t>
      </w:r>
      <w:r>
        <w:rPr/>
        <w:t>context</w:t>
      </w:r>
      <w:r>
        <w:rPr>
          <w:spacing w:val="-4"/>
        </w:rPr>
        <w:t> </w:t>
      </w:r>
      <w:r>
        <w:rPr/>
        <w:t>nodes</w:t>
      </w:r>
      <w:r>
        <w:rPr>
          <w:spacing w:val="-4"/>
        </w:rPr>
        <w:t> </w:t>
      </w:r>
      <w:r>
        <w:rPr/>
        <w:t>to</w:t>
      </w:r>
      <w:r>
        <w:rPr>
          <w:spacing w:val="-4"/>
        </w:rPr>
        <w:t> </w:t>
      </w:r>
      <w:r>
        <w:rPr/>
        <w:t>identify</w:t>
      </w:r>
      <w:r>
        <w:rPr>
          <w:spacing w:val="-4"/>
        </w:rPr>
        <w:t> </w:t>
      </w:r>
      <w:r>
        <w:rPr/>
        <w:t>match</w:t>
      </w:r>
      <w:r>
        <w:rPr>
          <w:spacing w:val="-4"/>
        </w:rPr>
        <w:t> </w:t>
      </w:r>
      <w:r>
        <w:rPr/>
        <w:t>situation</w:t>
      </w:r>
      <w:r>
        <w:rPr>
          <w:spacing w:val="-4"/>
        </w:rPr>
        <w:t> </w:t>
      </w:r>
      <w:r>
        <w:rPr/>
        <w:t>and</w:t>
      </w:r>
      <w:r>
        <w:rPr>
          <w:spacing w:val="-4"/>
        </w:rPr>
        <w:t> </w:t>
      </w:r>
      <w:r>
        <w:rPr/>
        <w:t>value</w:t>
      </w:r>
      <w:r>
        <w:rPr>
          <w:spacing w:val="-4"/>
        </w:rPr>
        <w:t> </w:t>
      </w:r>
      <w:r>
        <w:rPr/>
        <w:t>player</w:t>
      </w:r>
      <w:r>
        <w:rPr>
          <w:spacing w:val="-4"/>
        </w:rPr>
        <w:t> </w:t>
      </w:r>
      <w:r>
        <w:rPr/>
        <w:t>actions is a particularly interesting concept, which could be used within rugby league.</w:t>
      </w:r>
    </w:p>
    <w:p>
      <w:pPr>
        <w:pStyle w:val="BodyText"/>
        <w:spacing w:line="312" w:lineRule="auto"/>
        <w:ind w:left="610" w:right="389" w:firstLine="351"/>
      </w:pPr>
      <w:hyperlink w:history="true" w:anchor="_bookmark270">
        <w:r>
          <w:rPr>
            <w:color w:val="FF0000"/>
          </w:rPr>
          <w:t>Liu</w:t>
        </w:r>
        <w:r>
          <w:rPr>
            <w:color w:val="FF0000"/>
            <w:spacing w:val="-9"/>
          </w:rPr>
          <w:t> </w:t>
        </w:r>
        <w:r>
          <w:rPr>
            <w:color w:val="FF0000"/>
          </w:rPr>
          <w:t>and</w:t>
        </w:r>
        <w:r>
          <w:rPr>
            <w:color w:val="FF0000"/>
            <w:spacing w:val="-9"/>
          </w:rPr>
          <w:t> </w:t>
        </w:r>
        <w:r>
          <w:rPr>
            <w:color w:val="FF0000"/>
          </w:rPr>
          <w:t>Schulte</w:t>
        </w:r>
      </w:hyperlink>
      <w:r>
        <w:rPr/>
        <w:t>(</w:t>
      </w:r>
      <w:hyperlink w:history="true" w:anchor="_bookmark270">
        <w:r>
          <w:rPr>
            <w:color w:val="FF0000"/>
          </w:rPr>
          <w:t>2018</w:t>
        </w:r>
        <w:r>
          <w:rPr/>
          <w:t>)</w:t>
        </w:r>
      </w:hyperlink>
      <w:r>
        <w:rPr>
          <w:spacing w:val="-9"/>
        </w:rPr>
        <w:t> </w:t>
      </w:r>
      <w:r>
        <w:rPr/>
        <w:t>advanced</w:t>
      </w:r>
      <w:r>
        <w:rPr>
          <w:spacing w:val="-9"/>
        </w:rPr>
        <w:t> </w:t>
      </w:r>
      <w:r>
        <w:rPr/>
        <w:t>the</w:t>
      </w:r>
      <w:r>
        <w:rPr>
          <w:spacing w:val="-9"/>
        </w:rPr>
        <w:t> </w:t>
      </w:r>
      <w:r>
        <w:rPr/>
        <w:t>work</w:t>
      </w:r>
      <w:r>
        <w:rPr>
          <w:spacing w:val="-9"/>
        </w:rPr>
        <w:t> </w:t>
      </w:r>
      <w:r>
        <w:rPr/>
        <w:t>of</w:t>
      </w:r>
      <w:hyperlink w:history="true" w:anchor="_bookmark287">
        <w:r>
          <w:rPr>
            <w:color w:val="FF0000"/>
          </w:rPr>
          <w:t>Routley</w:t>
        </w:r>
        <w:r>
          <w:rPr>
            <w:color w:val="FF0000"/>
            <w:spacing w:val="-9"/>
          </w:rPr>
          <w:t> </w:t>
        </w:r>
        <w:r>
          <w:rPr>
            <w:color w:val="FF0000"/>
          </w:rPr>
          <w:t>and</w:t>
        </w:r>
        <w:r>
          <w:rPr>
            <w:color w:val="FF0000"/>
            <w:spacing w:val="-9"/>
          </w:rPr>
          <w:t> </w:t>
        </w:r>
        <w:r>
          <w:rPr>
            <w:color w:val="FF0000"/>
          </w:rPr>
          <w:t>Schulte</w:t>
        </w:r>
        <w:r>
          <w:rPr/>
          <w:t>(</w:t>
        </w:r>
      </w:hyperlink>
      <w:hyperlink w:history="true" w:anchor="_bookmark287">
        <w:r>
          <w:rPr>
            <w:color w:val="FF0000"/>
          </w:rPr>
          <w:t>2015</w:t>
        </w:r>
        <w:r>
          <w:rPr/>
          <w:t>)</w:t>
        </w:r>
      </w:hyperlink>
      <w:r>
        <w:rPr>
          <w:spacing w:val="-9"/>
        </w:rPr>
        <w:t> </w:t>
      </w:r>
      <w:r>
        <w:rPr/>
        <w:t>in</w:t>
      </w:r>
      <w:r>
        <w:rPr>
          <w:spacing w:val="-9"/>
        </w:rPr>
        <w:t> </w:t>
      </w:r>
      <w:r>
        <w:rPr/>
        <w:t>ice</w:t>
      </w:r>
      <w:r>
        <w:rPr>
          <w:spacing w:val="-9"/>
        </w:rPr>
        <w:t> </w:t>
      </w:r>
      <w:r>
        <w:rPr/>
        <w:t>hockey by using a deep reinforcement learning algorithm (</w:t>
      </w:r>
      <w:hyperlink w:history="true" w:anchor="_bookmark301">
        <w:r>
          <w:rPr>
            <w:color w:val="FF0000"/>
          </w:rPr>
          <w:t>Sutton and Barto</w:t>
        </w:r>
      </w:hyperlink>
      <w:r>
        <w:rPr/>
        <w:t>,</w:t>
      </w:r>
      <w:hyperlink w:history="true" w:anchor="_bookmark301">
        <w:r>
          <w:rPr>
            <w:color w:val="FF0000"/>
          </w:rPr>
          <w:t>2018</w:t>
        </w:r>
        <w:r>
          <w:rPr/>
          <w:t>)</w:t>
        </w:r>
      </w:hyperlink>
      <w:r>
        <w:rPr/>
        <w:t> to learn the model’s</w:t>
      </w:r>
      <w:r>
        <w:rPr>
          <w:spacing w:val="24"/>
        </w:rPr>
        <w:t> </w:t>
      </w:r>
      <w:r>
        <w:rPr/>
        <w:t>action</w:t>
      </w:r>
      <w:r>
        <w:rPr>
          <w:spacing w:val="24"/>
        </w:rPr>
        <w:t> </w:t>
      </w:r>
      <w:r>
        <w:rPr/>
        <w:t>values.</w:t>
      </w:r>
      <w:r>
        <w:rPr>
          <w:spacing w:val="80"/>
        </w:rPr>
        <w:t> </w:t>
      </w:r>
      <w:r>
        <w:rPr/>
        <w:t>They</w:t>
      </w:r>
      <w:r>
        <w:rPr>
          <w:spacing w:val="24"/>
        </w:rPr>
        <w:t> </w:t>
      </w:r>
      <w:r>
        <w:rPr/>
        <w:t>used</w:t>
      </w:r>
      <w:r>
        <w:rPr>
          <w:spacing w:val="24"/>
        </w:rPr>
        <w:t> </w:t>
      </w:r>
      <w:r>
        <w:rPr/>
        <w:t>3.3</w:t>
      </w:r>
      <w:r>
        <w:rPr>
          <w:spacing w:val="24"/>
        </w:rPr>
        <w:t> </w:t>
      </w:r>
      <w:r>
        <w:rPr/>
        <w:t>million</w:t>
      </w:r>
      <w:r>
        <w:rPr>
          <w:spacing w:val="24"/>
        </w:rPr>
        <w:t> </w:t>
      </w:r>
      <w:r>
        <w:rPr/>
        <w:t>actions</w:t>
      </w:r>
      <w:r>
        <w:rPr>
          <w:spacing w:val="24"/>
        </w:rPr>
        <w:t> </w:t>
      </w:r>
      <w:r>
        <w:rPr/>
        <w:t>from</w:t>
      </w:r>
      <w:r>
        <w:rPr>
          <w:spacing w:val="24"/>
        </w:rPr>
        <w:t> </w:t>
      </w:r>
      <w:r>
        <w:rPr/>
        <w:t>the</w:t>
      </w:r>
      <w:r>
        <w:rPr>
          <w:spacing w:val="24"/>
        </w:rPr>
        <w:t> </w:t>
      </w:r>
      <w:r>
        <w:rPr/>
        <w:t>2015/16</w:t>
      </w:r>
      <w:r>
        <w:rPr>
          <w:spacing w:val="24"/>
        </w:rPr>
        <w:t> </w:t>
      </w:r>
      <w:r>
        <w:rPr/>
        <w:t>NHL</w:t>
      </w:r>
      <w:r>
        <w:rPr>
          <w:spacing w:val="24"/>
        </w:rPr>
        <w:t> </w:t>
      </w:r>
      <w:r>
        <w:rPr/>
        <w:t>season. A similar,</w:t>
      </w:r>
      <w:r>
        <w:rPr>
          <w:spacing w:val="36"/>
        </w:rPr>
        <w:t> </w:t>
      </w:r>
      <w:r>
        <w:rPr/>
        <w:t>but more comprehensive,</w:t>
      </w:r>
      <w:r>
        <w:rPr>
          <w:spacing w:val="36"/>
        </w:rPr>
        <w:t> </w:t>
      </w:r>
      <w:r>
        <w:rPr/>
        <w:t>set of features to</w:t>
      </w:r>
      <w:hyperlink w:history="true" w:anchor="_bookmark287">
        <w:r>
          <w:rPr>
            <w:color w:val="FF0000"/>
          </w:rPr>
          <w:t>Routley and Schulte</w:t>
        </w:r>
        <w:r>
          <w:rPr/>
          <w:t>(</w:t>
        </w:r>
      </w:hyperlink>
      <w:r>
        <w:rPr>
          <w:color w:val="FF0000"/>
        </w:rPr>
        <w:t>2015</w:t>
      </w:r>
      <w:hyperlink w:history="true" w:anchor="_bookmark287">
        <w:r>
          <w:rPr/>
          <w:t>)</w:t>
        </w:r>
      </w:hyperlink>
      <w:r>
        <w:rPr/>
        <w:t> was</w:t>
      </w:r>
    </w:p>
    <w:p>
      <w:pPr>
        <w:spacing w:after="0" w:line="312" w:lineRule="auto"/>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jc w:val="both"/>
      </w:pPr>
      <w:r>
        <w:rPr/>
        <w:t>produced during preprocessing.</w:t>
      </w:r>
      <w:r>
        <w:rPr>
          <w:spacing w:val="40"/>
        </w:rPr>
        <w:t> </w:t>
      </w:r>
      <w:r>
        <w:rPr/>
        <w:t>The reinforcement learning approach allowed </w:t>
      </w:r>
      <w:r>
        <w:rPr/>
        <w:t>thirteen actions</w:t>
      </w:r>
      <w:r>
        <w:rPr>
          <w:spacing w:val="-1"/>
        </w:rPr>
        <w:t> </w:t>
      </w:r>
      <w:r>
        <w:rPr/>
        <w:t>to</w:t>
      </w:r>
      <w:r>
        <w:rPr>
          <w:spacing w:val="-1"/>
        </w:rPr>
        <w:t> </w:t>
      </w:r>
      <w:r>
        <w:rPr/>
        <w:t>be considered</w:t>
      </w:r>
      <w:r>
        <w:rPr>
          <w:spacing w:val="-1"/>
        </w:rPr>
        <w:t> </w:t>
      </w:r>
      <w:r>
        <w:rPr/>
        <w:t>(rather</w:t>
      </w:r>
      <w:r>
        <w:rPr>
          <w:spacing w:val="-1"/>
        </w:rPr>
        <w:t> </w:t>
      </w:r>
      <w:r>
        <w:rPr/>
        <w:t>than</w:t>
      </w:r>
      <w:r>
        <w:rPr>
          <w:spacing w:val="-1"/>
        </w:rPr>
        <w:t> </w:t>
      </w:r>
      <w:r>
        <w:rPr/>
        <w:t>eight), alongside</w:t>
      </w:r>
      <w:r>
        <w:rPr>
          <w:spacing w:val="-1"/>
        </w:rPr>
        <w:t> </w:t>
      </w:r>
      <w:r>
        <w:rPr/>
        <w:t>ten</w:t>
      </w:r>
      <w:r>
        <w:rPr>
          <w:spacing w:val="-1"/>
        </w:rPr>
        <w:t> </w:t>
      </w:r>
      <w:r>
        <w:rPr/>
        <w:t>features (including</w:t>
      </w:r>
      <w:r>
        <w:rPr>
          <w:spacing w:val="-1"/>
        </w:rPr>
        <w:t> </w:t>
      </w:r>
      <w:r>
        <w:rPr/>
        <w:t>continuous </w:t>
      </w:r>
      <w:r>
        <w:rPr>
          <w:rFonts w:ascii="Cambria"/>
        </w:rPr>
        <w:t>x </w:t>
      </w:r>
      <w:r>
        <w:rPr/>
        <w:t>and</w:t>
      </w:r>
      <w:r>
        <w:rPr>
          <w:spacing w:val="-3"/>
        </w:rPr>
        <w:t> </w:t>
      </w:r>
      <w:r>
        <w:rPr>
          <w:rFonts w:ascii="Cambria"/>
        </w:rPr>
        <w:t>y </w:t>
      </w:r>
      <w:r>
        <w:rPr/>
        <w:t>co-ordinates,</w:t>
      </w:r>
      <w:r>
        <w:rPr>
          <w:spacing w:val="-3"/>
        </w:rPr>
        <w:t> </w:t>
      </w:r>
      <w:r>
        <w:rPr/>
        <w:t>rather</w:t>
      </w:r>
      <w:r>
        <w:rPr>
          <w:spacing w:val="-3"/>
        </w:rPr>
        <w:t> </w:t>
      </w:r>
      <w:r>
        <w:rPr/>
        <w:t>than</w:t>
      </w:r>
      <w:r>
        <w:rPr>
          <w:spacing w:val="-3"/>
        </w:rPr>
        <w:t> </w:t>
      </w:r>
      <w:r>
        <w:rPr/>
        <w:t>zones,</w:t>
      </w:r>
      <w:r>
        <w:rPr>
          <w:spacing w:val="-3"/>
        </w:rPr>
        <w:t> </w:t>
      </w:r>
      <w:r>
        <w:rPr/>
        <w:t>an</w:t>
      </w:r>
      <w:r>
        <w:rPr>
          <w:spacing w:val="-3"/>
        </w:rPr>
        <w:t> </w:t>
      </w:r>
      <w:r>
        <w:rPr/>
        <w:t>infinite</w:t>
      </w:r>
      <w:r>
        <w:rPr>
          <w:spacing w:val="-3"/>
        </w:rPr>
        <w:t> </w:t>
      </w:r>
      <w:r>
        <w:rPr/>
        <w:t>score</w:t>
      </w:r>
      <w:r>
        <w:rPr>
          <w:spacing w:val="-3"/>
        </w:rPr>
        <w:t> </w:t>
      </w:r>
      <w:r>
        <w:rPr/>
        <w:t>differential</w:t>
      </w:r>
      <w:r>
        <w:rPr>
          <w:spacing w:val="-3"/>
        </w:rPr>
        <w:t> </w:t>
      </w:r>
      <w:r>
        <w:rPr/>
        <w:t>(rather</w:t>
      </w:r>
      <w:r>
        <w:rPr>
          <w:spacing w:val="-3"/>
        </w:rPr>
        <w:t> </w:t>
      </w:r>
      <w:r>
        <w:rPr/>
        <w:t>than</w:t>
      </w:r>
      <w:r>
        <w:rPr>
          <w:spacing w:val="-3"/>
        </w:rPr>
        <w:t> </w:t>
      </w:r>
      <w:r>
        <w:rPr/>
        <w:t>-8</w:t>
      </w:r>
      <w:r>
        <w:rPr>
          <w:spacing w:val="-3"/>
        </w:rPr>
        <w:t> </w:t>
      </w:r>
      <w:r>
        <w:rPr/>
        <w:t>to</w:t>
      </w:r>
      <w:r>
        <w:rPr>
          <w:spacing w:val="-3"/>
        </w:rPr>
        <w:t> </w:t>
      </w:r>
      <w:r>
        <w:rPr/>
        <w:t>+8 values) and other elements such as the angle between the puck and goal and the velocity of the puck).</w:t>
      </w:r>
      <w:r>
        <w:rPr>
          <w:spacing w:val="40"/>
        </w:rPr>
        <w:t> </w:t>
      </w:r>
      <w:r>
        <w:rPr/>
        <w:t>Unlike their previous work, the authors focused solely on goals scored/- conceded for their rewards in this study, with 1, 0 or -1 being the reward for the home, neither or away team scoring.</w:t>
      </w:r>
      <w:r>
        <w:rPr>
          <w:spacing w:val="40"/>
        </w:rPr>
        <w:t> </w:t>
      </w:r>
      <w:r>
        <w:rPr/>
        <w:t>Episodes were defined as starting at the beginning of the game or immediately after a goal and finished with a goal or the end of the game.</w:t>
      </w:r>
      <w:r>
        <w:rPr>
          <w:spacing w:val="40"/>
        </w:rPr>
        <w:t> </w:t>
      </w:r>
      <w:r>
        <w:rPr/>
        <w:t>To estimate the action values, the authors used a long-short term memory neural network. The Sarsa on-policy temporal difference prediction method was used to train the neural network weights.</w:t>
      </w:r>
      <w:r>
        <w:rPr>
          <w:spacing w:val="40"/>
        </w:rPr>
        <w:t> </w:t>
      </w:r>
      <w:r>
        <w:rPr/>
        <w:t>A goal impact metric was calculated for players and correlated well with success measures currently used in ice hockey (e.g.</w:t>
      </w:r>
      <w:r>
        <w:rPr>
          <w:spacing w:val="27"/>
        </w:rPr>
        <w:t> </w:t>
      </w:r>
      <w:r>
        <w:rPr/>
        <w:t>goals and assists).</w:t>
      </w:r>
      <w:r>
        <w:rPr>
          <w:spacing w:val="27"/>
        </w:rPr>
        <w:t> </w:t>
      </w:r>
      <w:r>
        <w:rPr/>
        <w:t>The authors also showed how the model could be correlated with current salaries to identify players who produced the best (or worst) value for the money they are paid.</w:t>
      </w:r>
      <w:r>
        <w:rPr>
          <w:spacing w:val="27"/>
        </w:rPr>
        <w:t> </w:t>
      </w:r>
      <w:r>
        <w:rPr/>
        <w:t>The study provides an informative model, but cannot be applied to rugby league due to the data availability and Markov Game application issues described above.</w:t>
      </w:r>
    </w:p>
    <w:p>
      <w:pPr>
        <w:pStyle w:val="BodyText"/>
        <w:spacing w:line="312" w:lineRule="auto"/>
        <w:ind w:left="610" w:right="389" w:firstLine="351"/>
      </w:pPr>
      <w:hyperlink w:history="true" w:anchor="_bookmark269">
        <w:r>
          <w:rPr>
            <w:color w:val="FF0000"/>
          </w:rPr>
          <w:t>Liu et al.</w:t>
        </w:r>
      </w:hyperlink>
      <w:r>
        <w:rPr/>
        <w:t>(</w:t>
      </w:r>
      <w:hyperlink w:history="true" w:anchor="_bookmark269">
        <w:r>
          <w:rPr>
            <w:color w:val="FF0000"/>
          </w:rPr>
          <w:t>2020</w:t>
        </w:r>
        <w:r>
          <w:rPr/>
          <w:t>)</w:t>
        </w:r>
      </w:hyperlink>
      <w:r>
        <w:rPr/>
        <w:t> adopted a more advanced model free deep reinforcement learning approach with their work in football.</w:t>
      </w:r>
      <w:r>
        <w:rPr>
          <w:spacing w:val="28"/>
        </w:rPr>
        <w:t> </w:t>
      </w:r>
      <w:r>
        <w:rPr/>
        <w:t>Their model learnt from 4.6 million actions across ten European leagues from the 2017/18 season.</w:t>
      </w:r>
      <w:r>
        <w:rPr>
          <w:spacing w:val="35"/>
        </w:rPr>
        <w:t> </w:t>
      </w:r>
      <w:r>
        <w:rPr/>
        <w:t>The data was preprocessed to provide </w:t>
      </w:r>
      <w:r>
        <w:rPr/>
        <w:t>a similar set of features to</w:t>
      </w:r>
      <w:hyperlink w:history="true" w:anchor="_bookmark270">
        <w:r>
          <w:rPr>
            <w:color w:val="FF0000"/>
          </w:rPr>
          <w:t>Liu and Schulte</w:t>
        </w:r>
        <w:r>
          <w:rPr/>
          <w:t>(</w:t>
        </w:r>
      </w:hyperlink>
      <w:hyperlink w:history="true" w:anchor="_bookmark270">
        <w:r>
          <w:rPr>
            <w:color w:val="FF0000"/>
          </w:rPr>
          <w:t>2018</w:t>
        </w:r>
        <w:r>
          <w:rPr/>
          <w:t>),</w:t>
        </w:r>
      </w:hyperlink>
      <w:r>
        <w:rPr/>
        <w:t> however continuous features were used rather than zones for location information, to allow the model to generalise findings to areas of the pitch not visited in the training process.</w:t>
      </w:r>
      <w:r>
        <w:rPr>
          <w:spacing w:val="33"/>
        </w:rPr>
        <w:t> </w:t>
      </w:r>
      <w:r>
        <w:rPr/>
        <w:t>The states were again composed of this</w:t>
      </w:r>
      <w:r>
        <w:rPr>
          <w:spacing w:val="-13"/>
        </w:rPr>
        <w:t> </w:t>
      </w:r>
      <w:r>
        <w:rPr/>
        <w:t>set</w:t>
      </w:r>
      <w:r>
        <w:rPr>
          <w:spacing w:val="-14"/>
        </w:rPr>
        <w:t> </w:t>
      </w:r>
      <w:r>
        <w:rPr/>
        <w:t>of</w:t>
      </w:r>
      <w:r>
        <w:rPr>
          <w:spacing w:val="-13"/>
        </w:rPr>
        <w:t> </w:t>
      </w:r>
      <w:r>
        <w:rPr/>
        <w:t>features</w:t>
      </w:r>
      <w:r>
        <w:rPr>
          <w:spacing w:val="-14"/>
        </w:rPr>
        <w:t> </w:t>
      </w:r>
      <w:r>
        <w:rPr/>
        <w:t>and</w:t>
      </w:r>
      <w:r>
        <w:rPr>
          <w:spacing w:val="-13"/>
        </w:rPr>
        <w:t> </w:t>
      </w:r>
      <w:r>
        <w:rPr/>
        <w:t>an</w:t>
      </w:r>
      <w:r>
        <w:rPr>
          <w:spacing w:val="-13"/>
        </w:rPr>
        <w:t> </w:t>
      </w:r>
      <w:r>
        <w:rPr/>
        <w:t>action</w:t>
      </w:r>
      <w:r>
        <w:rPr>
          <w:spacing w:val="-14"/>
        </w:rPr>
        <w:t> </w:t>
      </w:r>
      <w:r>
        <w:rPr/>
        <w:t>history. The</w:t>
      </w:r>
      <w:r>
        <w:rPr>
          <w:spacing w:val="-13"/>
        </w:rPr>
        <w:t> </w:t>
      </w:r>
      <w:r>
        <w:rPr/>
        <w:t>reward</w:t>
      </w:r>
      <w:r>
        <w:rPr>
          <w:spacing w:val="-14"/>
        </w:rPr>
        <w:t> </w:t>
      </w:r>
      <w:r>
        <w:rPr/>
        <w:t>used</w:t>
      </w:r>
      <w:r>
        <w:rPr>
          <w:spacing w:val="-13"/>
        </w:rPr>
        <w:t> </w:t>
      </w:r>
      <w:r>
        <w:rPr/>
        <w:t>was</w:t>
      </w:r>
      <w:r>
        <w:rPr>
          <w:spacing w:val="-14"/>
        </w:rPr>
        <w:t> </w:t>
      </w:r>
      <w:r>
        <w:rPr/>
        <w:t>also</w:t>
      </w:r>
      <w:r>
        <w:rPr>
          <w:spacing w:val="-13"/>
        </w:rPr>
        <w:t> </w:t>
      </w:r>
      <w:r>
        <w:rPr/>
        <w:t>the</w:t>
      </w:r>
      <w:r>
        <w:rPr>
          <w:spacing w:val="-13"/>
        </w:rPr>
        <w:t> </w:t>
      </w:r>
      <w:r>
        <w:rPr/>
        <w:t>same</w:t>
      </w:r>
      <w:r>
        <w:rPr>
          <w:spacing w:val="-14"/>
        </w:rPr>
        <w:t> </w:t>
      </w:r>
      <w:r>
        <w:rPr/>
        <w:t>as</w:t>
      </w:r>
      <w:r>
        <w:rPr>
          <w:spacing w:val="-13"/>
        </w:rPr>
        <w:t> </w:t>
      </w:r>
      <w:r>
        <w:rPr/>
        <w:t>previously (+1 for home goal, -1 for away goal, 0 for no goal).</w:t>
      </w:r>
      <w:r>
        <w:rPr>
          <w:spacing w:val="40"/>
        </w:rPr>
        <w:t> </w:t>
      </w:r>
      <w:r>
        <w:rPr/>
        <w:t>Rather than solving the model as a single agent, the authors employed a two-tower design (one for the home team and one for</w:t>
      </w:r>
      <w:r>
        <w:rPr>
          <w:spacing w:val="-1"/>
        </w:rPr>
        <w:t> </w:t>
      </w:r>
      <w:r>
        <w:rPr/>
        <w:t>the</w:t>
      </w:r>
      <w:r>
        <w:rPr>
          <w:spacing w:val="-1"/>
        </w:rPr>
        <w:t> </w:t>
      </w:r>
      <w:r>
        <w:rPr/>
        <w:t>away</w:t>
      </w:r>
      <w:r>
        <w:rPr>
          <w:spacing w:val="-1"/>
        </w:rPr>
        <w:t> </w:t>
      </w:r>
      <w:r>
        <w:rPr/>
        <w:t>team)</w:t>
      </w:r>
      <w:r>
        <w:rPr>
          <w:spacing w:val="-1"/>
        </w:rPr>
        <w:t> </w:t>
      </w:r>
      <w:r>
        <w:rPr/>
        <w:t>to</w:t>
      </w:r>
      <w:r>
        <w:rPr>
          <w:spacing w:val="-1"/>
        </w:rPr>
        <w:t> </w:t>
      </w:r>
      <w:r>
        <w:rPr/>
        <w:t>generate</w:t>
      </w:r>
      <w:r>
        <w:rPr>
          <w:spacing w:val="-1"/>
        </w:rPr>
        <w:t> </w:t>
      </w:r>
      <w:r>
        <w:rPr/>
        <w:t>the</w:t>
      </w:r>
      <w:r>
        <w:rPr>
          <w:spacing w:val="-1"/>
        </w:rPr>
        <w:t> </w:t>
      </w:r>
      <w:r>
        <w:rPr/>
        <w:t>action</w:t>
      </w:r>
      <w:r>
        <w:rPr>
          <w:spacing w:val="-1"/>
        </w:rPr>
        <w:t> </w:t>
      </w:r>
      <w:r>
        <w:rPr/>
        <w:t>values.</w:t>
      </w:r>
      <w:r>
        <w:rPr>
          <w:spacing w:val="22"/>
        </w:rPr>
        <w:t> </w:t>
      </w:r>
      <w:r>
        <w:rPr/>
        <w:t>This</w:t>
      </w:r>
      <w:r>
        <w:rPr>
          <w:spacing w:val="-1"/>
        </w:rPr>
        <w:t> </w:t>
      </w:r>
      <w:r>
        <w:rPr/>
        <w:t>allowed</w:t>
      </w:r>
      <w:r>
        <w:rPr>
          <w:spacing w:val="-1"/>
        </w:rPr>
        <w:t> </w:t>
      </w:r>
      <w:r>
        <w:rPr/>
        <w:t>them</w:t>
      </w:r>
      <w:r>
        <w:rPr>
          <w:spacing w:val="-1"/>
        </w:rPr>
        <w:t> </w:t>
      </w:r>
      <w:r>
        <w:rPr/>
        <w:t>to</w:t>
      </w:r>
      <w:r>
        <w:rPr>
          <w:spacing w:val="-1"/>
        </w:rPr>
        <w:t> </w:t>
      </w:r>
      <w:r>
        <w:rPr/>
        <w:t>fit</w:t>
      </w:r>
      <w:r>
        <w:rPr>
          <w:spacing w:val="-1"/>
        </w:rPr>
        <w:t> </w:t>
      </w:r>
      <w:r>
        <w:rPr/>
        <w:t>the</w:t>
      </w:r>
      <w:r>
        <w:rPr>
          <w:spacing w:val="-1"/>
        </w:rPr>
        <w:t> </w:t>
      </w:r>
      <w:r>
        <w:rPr/>
        <w:t>data</w:t>
      </w:r>
      <w:r>
        <w:rPr>
          <w:spacing w:val="-1"/>
        </w:rPr>
        <w:t> </w:t>
      </w:r>
      <w:r>
        <w:rPr/>
        <w:t>of</w:t>
      </w:r>
      <w:r>
        <w:rPr>
          <w:spacing w:val="-1"/>
        </w:rPr>
        <w:t> </w:t>
      </w:r>
      <w:r>
        <w:rPr/>
        <w:t>the home</w:t>
      </w:r>
      <w:r>
        <w:rPr>
          <w:spacing w:val="-6"/>
        </w:rPr>
        <w:t> </w:t>
      </w:r>
      <w:r>
        <w:rPr/>
        <w:t>and</w:t>
      </w:r>
      <w:r>
        <w:rPr>
          <w:spacing w:val="-6"/>
        </w:rPr>
        <w:t> </w:t>
      </w:r>
      <w:r>
        <w:rPr/>
        <w:t>away</w:t>
      </w:r>
      <w:r>
        <w:rPr>
          <w:spacing w:val="-6"/>
        </w:rPr>
        <w:t> </w:t>
      </w:r>
      <w:r>
        <w:rPr/>
        <w:t>teams</w:t>
      </w:r>
      <w:r>
        <w:rPr>
          <w:spacing w:val="-6"/>
        </w:rPr>
        <w:t> </w:t>
      </w:r>
      <w:r>
        <w:rPr/>
        <w:t>separately. Each</w:t>
      </w:r>
      <w:r>
        <w:rPr>
          <w:spacing w:val="-6"/>
        </w:rPr>
        <w:t> </w:t>
      </w:r>
      <w:r>
        <w:rPr/>
        <w:t>tower</w:t>
      </w:r>
      <w:r>
        <w:rPr>
          <w:spacing w:val="-6"/>
        </w:rPr>
        <w:t> </w:t>
      </w:r>
      <w:r>
        <w:rPr/>
        <w:t>used</w:t>
      </w:r>
      <w:r>
        <w:rPr>
          <w:spacing w:val="-6"/>
        </w:rPr>
        <w:t> </w:t>
      </w:r>
      <w:r>
        <w:rPr/>
        <w:t>a</w:t>
      </w:r>
      <w:r>
        <w:rPr>
          <w:spacing w:val="-6"/>
        </w:rPr>
        <w:t> </w:t>
      </w:r>
      <w:r>
        <w:rPr/>
        <w:t>long</w:t>
      </w:r>
      <w:r>
        <w:rPr>
          <w:spacing w:val="-6"/>
        </w:rPr>
        <w:t> </w:t>
      </w:r>
      <w:r>
        <w:rPr/>
        <w:t>short-term</w:t>
      </w:r>
      <w:r>
        <w:rPr>
          <w:spacing w:val="-6"/>
        </w:rPr>
        <w:t> </w:t>
      </w:r>
      <w:r>
        <w:rPr/>
        <w:t>memory</w:t>
      </w:r>
      <w:r>
        <w:rPr>
          <w:spacing w:val="-6"/>
        </w:rPr>
        <w:t> </w:t>
      </w:r>
      <w:r>
        <w:rPr/>
        <w:t>neural</w:t>
      </w:r>
      <w:r>
        <w:rPr>
          <w:spacing w:val="-6"/>
        </w:rPr>
        <w:t> </w:t>
      </w:r>
      <w:r>
        <w:rPr/>
        <w:t>net- work, whose weights were trained via the Sarsa temporal difference prediction method. Figure</w:t>
      </w:r>
      <w:hyperlink w:history="true" w:anchor="_bookmark31">
        <w:r>
          <w:rPr>
            <w:color w:val="0000FF"/>
          </w:rPr>
          <w:t>2.13</w:t>
        </w:r>
      </w:hyperlink>
      <w:r>
        <w:rPr/>
        <w:t>provides</w:t>
      </w:r>
      <w:r>
        <w:rPr>
          <w:spacing w:val="-3"/>
        </w:rPr>
        <w:t> </w:t>
      </w:r>
      <w:r>
        <w:rPr/>
        <w:t>a</w:t>
      </w:r>
      <w:r>
        <w:rPr>
          <w:spacing w:val="-3"/>
        </w:rPr>
        <w:t> </w:t>
      </w:r>
      <w:r>
        <w:rPr/>
        <w:t>plot</w:t>
      </w:r>
      <w:r>
        <w:rPr>
          <w:spacing w:val="-3"/>
        </w:rPr>
        <w:t> </w:t>
      </w:r>
      <w:r>
        <w:rPr/>
        <w:t>of</w:t>
      </w:r>
      <w:r>
        <w:rPr>
          <w:spacing w:val="-3"/>
        </w:rPr>
        <w:t> </w:t>
      </w:r>
      <w:r>
        <w:rPr/>
        <w:t>different</w:t>
      </w:r>
      <w:r>
        <w:rPr>
          <w:spacing w:val="-3"/>
        </w:rPr>
        <w:t> </w:t>
      </w:r>
      <w:r>
        <w:rPr/>
        <w:t>action</w:t>
      </w:r>
      <w:r>
        <w:rPr>
          <w:spacing w:val="-3"/>
        </w:rPr>
        <w:t> </w:t>
      </w:r>
      <w:r>
        <w:rPr/>
        <w:t>values</w:t>
      </w:r>
      <w:r>
        <w:rPr>
          <w:spacing w:val="-3"/>
        </w:rPr>
        <w:t> </w:t>
      </w:r>
      <w:r>
        <w:rPr/>
        <w:t>across</w:t>
      </w:r>
      <w:r>
        <w:rPr>
          <w:spacing w:val="-3"/>
        </w:rPr>
        <w:t> </w:t>
      </w:r>
      <w:r>
        <w:rPr/>
        <w:t>the</w:t>
      </w:r>
      <w:r>
        <w:rPr>
          <w:spacing w:val="-3"/>
        </w:rPr>
        <w:t> </w:t>
      </w:r>
      <w:r>
        <w:rPr/>
        <w:t>pitch,</w:t>
      </w:r>
      <w:r>
        <w:rPr>
          <w:spacing w:val="-2"/>
        </w:rPr>
        <w:t> </w:t>
      </w:r>
      <w:r>
        <w:rPr/>
        <w:t>some</w:t>
      </w:r>
      <w:r>
        <w:rPr>
          <w:spacing w:val="-3"/>
        </w:rPr>
        <w:t> </w:t>
      </w:r>
      <w:r>
        <w:rPr/>
        <w:t>of</w:t>
      </w:r>
      <w:r>
        <w:rPr>
          <w:spacing w:val="-3"/>
        </w:rPr>
        <w:t> </w:t>
      </w:r>
      <w:r>
        <w:rPr/>
        <w:t>which</w:t>
      </w:r>
      <w:r>
        <w:rPr>
          <w:spacing w:val="-3"/>
        </w:rPr>
        <w:t> </w:t>
      </w:r>
      <w:r>
        <w:rPr/>
        <w:t>may not have been visited in the training process.</w:t>
      </w:r>
      <w:r>
        <w:rPr>
          <w:spacing w:val="40"/>
        </w:rPr>
        <w:t> </w:t>
      </w:r>
      <w:r>
        <w:rPr/>
        <w:t>The authors created a goal impact rating, similar to their work in ice hockey (</w:t>
      </w:r>
      <w:hyperlink w:history="true" w:anchor="_bookmark270">
        <w:r>
          <w:rPr>
            <w:color w:val="FF0000"/>
          </w:rPr>
          <w:t>Liu and Schulte</w:t>
        </w:r>
      </w:hyperlink>
      <w:r>
        <w:rPr/>
        <w:t>,</w:t>
      </w:r>
      <w:hyperlink w:history="true" w:anchor="_bookmark270">
        <w:r>
          <w:rPr>
            <w:color w:val="FF0000"/>
          </w:rPr>
          <w:t>2018</w:t>
        </w:r>
      </w:hyperlink>
      <w:r>
        <w:rPr/>
        <w:t>), to rank player performances and</w:t>
      </w:r>
      <w:r>
        <w:rPr>
          <w:spacing w:val="-6"/>
        </w:rPr>
        <w:t> </w:t>
      </w:r>
      <w:r>
        <w:rPr/>
        <w:t>showed</w:t>
      </w:r>
      <w:r>
        <w:rPr>
          <w:spacing w:val="-6"/>
        </w:rPr>
        <w:t> </w:t>
      </w:r>
      <w:r>
        <w:rPr/>
        <w:t>that</w:t>
      </w:r>
      <w:r>
        <w:rPr>
          <w:spacing w:val="-6"/>
        </w:rPr>
        <w:t> </w:t>
      </w:r>
      <w:r>
        <w:rPr/>
        <w:t>it</w:t>
      </w:r>
      <w:r>
        <w:rPr>
          <w:spacing w:val="-6"/>
        </w:rPr>
        <w:t> </w:t>
      </w:r>
      <w:r>
        <w:rPr/>
        <w:t>correlated</w:t>
      </w:r>
      <w:r>
        <w:rPr>
          <w:spacing w:val="-6"/>
        </w:rPr>
        <w:t> </w:t>
      </w:r>
      <w:r>
        <w:rPr/>
        <w:t>well</w:t>
      </w:r>
      <w:r>
        <w:rPr>
          <w:spacing w:val="-6"/>
        </w:rPr>
        <w:t> </w:t>
      </w:r>
      <w:r>
        <w:rPr/>
        <w:t>with</w:t>
      </w:r>
      <w:r>
        <w:rPr>
          <w:spacing w:val="-6"/>
        </w:rPr>
        <w:t> </w:t>
      </w:r>
      <w:r>
        <w:rPr/>
        <w:t>future</w:t>
      </w:r>
      <w:r>
        <w:rPr>
          <w:spacing w:val="-6"/>
        </w:rPr>
        <w:t> </w:t>
      </w:r>
      <w:r>
        <w:rPr/>
        <w:t>performances</w:t>
      </w:r>
      <w:r>
        <w:rPr>
          <w:spacing w:val="-6"/>
        </w:rPr>
        <w:t> </w:t>
      </w:r>
      <w:r>
        <w:rPr/>
        <w:t>at</w:t>
      </w:r>
      <w:r>
        <w:rPr>
          <w:spacing w:val="-6"/>
        </w:rPr>
        <w:t> </w:t>
      </w:r>
      <w:r>
        <w:rPr/>
        <w:t>a</w:t>
      </w:r>
      <w:r>
        <w:rPr>
          <w:spacing w:val="-6"/>
        </w:rPr>
        <w:t> </w:t>
      </w:r>
      <w:r>
        <w:rPr/>
        <w:t>global</w:t>
      </w:r>
      <w:r>
        <w:rPr>
          <w:spacing w:val="-6"/>
        </w:rPr>
        <w:t> </w:t>
      </w:r>
      <w:r>
        <w:rPr/>
        <w:t>level</w:t>
      </w:r>
      <w:r>
        <w:rPr>
          <w:spacing w:val="-6"/>
        </w:rPr>
        <w:t> </w:t>
      </w:r>
      <w:r>
        <w:rPr/>
        <w:t>but</w:t>
      </w:r>
      <w:r>
        <w:rPr>
          <w:spacing w:val="-6"/>
        </w:rPr>
        <w:t> </w:t>
      </w:r>
      <w:r>
        <w:rPr/>
        <w:t>required fine</w:t>
      </w:r>
      <w:r>
        <w:rPr>
          <w:spacing w:val="18"/>
        </w:rPr>
        <w:t> </w:t>
      </w:r>
      <w:r>
        <w:rPr/>
        <w:t>tuning</w:t>
      </w:r>
      <w:r>
        <w:rPr>
          <w:spacing w:val="18"/>
        </w:rPr>
        <w:t> </w:t>
      </w:r>
      <w:r>
        <w:rPr/>
        <w:t>when</w:t>
      </w:r>
      <w:r>
        <w:rPr>
          <w:spacing w:val="18"/>
        </w:rPr>
        <w:t> </w:t>
      </w:r>
      <w:r>
        <w:rPr/>
        <w:t>attempting</w:t>
      </w:r>
      <w:r>
        <w:rPr>
          <w:spacing w:val="18"/>
        </w:rPr>
        <w:t> </w:t>
      </w:r>
      <w:r>
        <w:rPr/>
        <w:t>to</w:t>
      </w:r>
      <w:r>
        <w:rPr>
          <w:spacing w:val="18"/>
        </w:rPr>
        <w:t> </w:t>
      </w:r>
      <w:r>
        <w:rPr/>
        <w:t>generalise</w:t>
      </w:r>
      <w:r>
        <w:rPr>
          <w:spacing w:val="18"/>
        </w:rPr>
        <w:t> </w:t>
      </w:r>
      <w:r>
        <w:rPr/>
        <w:t>to</w:t>
      </w:r>
      <w:r>
        <w:rPr>
          <w:spacing w:val="18"/>
        </w:rPr>
        <w:t> </w:t>
      </w:r>
      <w:r>
        <w:rPr/>
        <w:t>a</w:t>
      </w:r>
      <w:r>
        <w:rPr>
          <w:spacing w:val="18"/>
        </w:rPr>
        <w:t> </w:t>
      </w:r>
      <w:r>
        <w:rPr/>
        <w:t>single</w:t>
      </w:r>
      <w:r>
        <w:rPr>
          <w:spacing w:val="18"/>
        </w:rPr>
        <w:t> </w:t>
      </w:r>
      <w:r>
        <w:rPr/>
        <w:t>league</w:t>
      </w:r>
      <w:r>
        <w:rPr>
          <w:spacing w:val="18"/>
        </w:rPr>
        <w:t> </w:t>
      </w:r>
      <w:r>
        <w:rPr/>
        <w:t>(e.g.</w:t>
      </w:r>
      <w:r>
        <w:rPr>
          <w:spacing w:val="76"/>
        </w:rPr>
        <w:t> </w:t>
      </w:r>
      <w:r>
        <w:rPr/>
        <w:t>performances</w:t>
      </w:r>
      <w:r>
        <w:rPr>
          <w:spacing w:val="18"/>
        </w:rPr>
        <w:t> </w:t>
      </w:r>
      <w:r>
        <w:rPr/>
        <w:t>at</w:t>
      </w:r>
      <w:r>
        <w:rPr>
          <w:spacing w:val="18"/>
        </w:rPr>
        <w:t> </w:t>
      </w:r>
      <w:r>
        <w:rPr>
          <w:spacing w:val="-5"/>
        </w:rPr>
        <w:t>the</w:t>
      </w:r>
    </w:p>
    <w:p>
      <w:pPr>
        <w:spacing w:after="0" w:line="312" w:lineRule="auto"/>
        <w:sectPr>
          <w:pgSz w:w="11910" w:h="16840"/>
          <w:pgMar w:header="1961" w:footer="1428" w:top="2260" w:bottom="1620" w:left="1680" w:right="720"/>
        </w:sectPr>
      </w:pPr>
    </w:p>
    <w:p>
      <w:pPr>
        <w:pStyle w:val="BodyText"/>
        <w:rPr>
          <w:sz w:val="20"/>
        </w:rPr>
      </w:pPr>
    </w:p>
    <w:p>
      <w:pPr>
        <w:pStyle w:val="BodyText"/>
        <w:spacing w:before="8"/>
        <w:rPr>
          <w:sz w:val="29"/>
        </w:rPr>
      </w:pPr>
    </w:p>
    <w:p>
      <w:pPr>
        <w:pStyle w:val="BodyText"/>
        <w:ind w:left="1035"/>
        <w:rPr>
          <w:sz w:val="20"/>
        </w:rPr>
      </w:pPr>
      <w:r>
        <w:rPr>
          <w:sz w:val="20"/>
        </w:rPr>
        <w:drawing>
          <wp:inline distT="0" distB="0" distL="0" distR="0">
            <wp:extent cx="4856496" cy="2724912"/>
            <wp:effectExtent l="0" t="0" r="0" b="0"/>
            <wp:docPr id="27" name="image14.jpeg"/>
            <wp:cNvGraphicFramePr>
              <a:graphicFrameLocks noChangeAspect="1"/>
            </wp:cNvGraphicFramePr>
            <a:graphic>
              <a:graphicData uri="http://schemas.openxmlformats.org/drawingml/2006/picture">
                <pic:pic>
                  <pic:nvPicPr>
                    <pic:cNvPr id="28" name="image14.jpeg"/>
                    <pic:cNvPicPr/>
                  </pic:nvPicPr>
                  <pic:blipFill>
                    <a:blip r:embed="rId47" cstate="print"/>
                    <a:stretch>
                      <a:fillRect/>
                    </a:stretch>
                  </pic:blipFill>
                  <pic:spPr>
                    <a:xfrm>
                      <a:off x="0" y="0"/>
                      <a:ext cx="4856496" cy="2724912"/>
                    </a:xfrm>
                    <a:prstGeom prst="rect">
                      <a:avLst/>
                    </a:prstGeom>
                  </pic:spPr>
                </pic:pic>
              </a:graphicData>
            </a:graphic>
          </wp:inline>
        </w:drawing>
      </w:r>
      <w:r>
        <w:rPr>
          <w:sz w:val="20"/>
        </w:rPr>
      </w:r>
    </w:p>
    <w:p>
      <w:pPr>
        <w:pStyle w:val="BodyText"/>
        <w:spacing w:before="5"/>
        <w:rPr>
          <w:sz w:val="6"/>
        </w:rPr>
      </w:pPr>
    </w:p>
    <w:p>
      <w:pPr>
        <w:pStyle w:val="BodyText"/>
        <w:spacing w:line="252" w:lineRule="auto" w:before="106"/>
        <w:ind w:left="610" w:right="464"/>
        <w:jc w:val="both"/>
      </w:pPr>
      <w:bookmarkStart w:name="_bookmark31" w:id="56"/>
      <w:bookmarkEnd w:id="56"/>
      <w:r>
        <w:rPr/>
      </w:r>
      <w:r>
        <w:rPr>
          <w:b/>
        </w:rPr>
        <w:t>Figure 2.13:</w:t>
      </w:r>
      <w:r>
        <w:rPr>
          <w:b/>
          <w:spacing w:val="37"/>
        </w:rPr>
        <w:t> </w:t>
      </w:r>
      <w:hyperlink w:history="true" w:anchor="_bookmark269">
        <w:r>
          <w:rPr>
            <w:color w:val="FF0000"/>
          </w:rPr>
          <w:t>Liu et al.</w:t>
        </w:r>
      </w:hyperlink>
      <w:r>
        <w:rPr/>
        <w:t>(</w:t>
      </w:r>
      <w:hyperlink w:history="true" w:anchor="_bookmark269">
        <w:r>
          <w:rPr>
            <w:color w:val="FF0000"/>
          </w:rPr>
          <w:t>2020</w:t>
        </w:r>
        <w:r>
          <w:rPr/>
          <w:t>)</w:t>
        </w:r>
      </w:hyperlink>
      <w:r>
        <w:rPr/>
        <w:t> action values for four different actions (shot, pass, cross and tackle) across the pitch.</w:t>
      </w:r>
    </w:p>
    <w:p>
      <w:pPr>
        <w:pStyle w:val="BodyText"/>
        <w:rPr>
          <w:sz w:val="28"/>
        </w:rPr>
      </w:pPr>
    </w:p>
    <w:p>
      <w:pPr>
        <w:pStyle w:val="BodyText"/>
        <w:spacing w:before="2"/>
        <w:rPr>
          <w:sz w:val="32"/>
        </w:rPr>
      </w:pPr>
    </w:p>
    <w:p>
      <w:pPr>
        <w:pStyle w:val="BodyText"/>
        <w:spacing w:line="312" w:lineRule="auto"/>
        <w:ind w:left="610" w:right="389"/>
        <w:jc w:val="both"/>
      </w:pPr>
      <w:r>
        <w:rPr/>
        <w:t>Championship level were poorly correlated with the global model).</w:t>
      </w:r>
      <w:r>
        <w:rPr>
          <w:spacing w:val="27"/>
        </w:rPr>
        <w:t> </w:t>
      </w:r>
      <w:r>
        <w:rPr/>
        <w:t>The model </w:t>
      </w:r>
      <w:r>
        <w:rPr/>
        <w:t>provides an</w:t>
      </w:r>
      <w:r>
        <w:rPr>
          <w:spacing w:val="-1"/>
        </w:rPr>
        <w:t> </w:t>
      </w:r>
      <w:r>
        <w:rPr/>
        <w:t>extensive</w:t>
      </w:r>
      <w:r>
        <w:rPr>
          <w:spacing w:val="-1"/>
        </w:rPr>
        <w:t> </w:t>
      </w:r>
      <w:r>
        <w:rPr/>
        <w:t>set</w:t>
      </w:r>
      <w:r>
        <w:rPr>
          <w:spacing w:val="-1"/>
        </w:rPr>
        <w:t> </w:t>
      </w:r>
      <w:r>
        <w:rPr/>
        <w:t>of</w:t>
      </w:r>
      <w:r>
        <w:rPr>
          <w:spacing w:val="-1"/>
        </w:rPr>
        <w:t> </w:t>
      </w:r>
      <w:r>
        <w:rPr/>
        <w:t>useful</w:t>
      </w:r>
      <w:r>
        <w:rPr>
          <w:spacing w:val="-1"/>
        </w:rPr>
        <w:t> </w:t>
      </w:r>
      <w:r>
        <w:rPr/>
        <w:t>results</w:t>
      </w:r>
      <w:r>
        <w:rPr>
          <w:spacing w:val="-1"/>
        </w:rPr>
        <w:t> </w:t>
      </w:r>
      <w:r>
        <w:rPr/>
        <w:t>and</w:t>
      </w:r>
      <w:r>
        <w:rPr>
          <w:spacing w:val="-1"/>
        </w:rPr>
        <w:t> </w:t>
      </w:r>
      <w:r>
        <w:rPr/>
        <w:t>the</w:t>
      </w:r>
      <w:r>
        <w:rPr>
          <w:spacing w:val="-1"/>
        </w:rPr>
        <w:t> </w:t>
      </w:r>
      <w:r>
        <w:rPr/>
        <w:t>two-tower</w:t>
      </w:r>
      <w:r>
        <w:rPr>
          <w:spacing w:val="-1"/>
        </w:rPr>
        <w:t> </w:t>
      </w:r>
      <w:r>
        <w:rPr/>
        <w:t>design</w:t>
      </w:r>
      <w:r>
        <w:rPr>
          <w:spacing w:val="-1"/>
        </w:rPr>
        <w:t> </w:t>
      </w:r>
      <w:r>
        <w:rPr/>
        <w:t>employed</w:t>
      </w:r>
      <w:r>
        <w:rPr>
          <w:spacing w:val="-1"/>
        </w:rPr>
        <w:t> </w:t>
      </w:r>
      <w:r>
        <w:rPr/>
        <w:t>in</w:t>
      </w:r>
      <w:r>
        <w:rPr>
          <w:spacing w:val="-1"/>
        </w:rPr>
        <w:t> </w:t>
      </w:r>
      <w:r>
        <w:rPr/>
        <w:t>the</w:t>
      </w:r>
      <w:r>
        <w:rPr>
          <w:spacing w:val="-1"/>
        </w:rPr>
        <w:t> </w:t>
      </w:r>
      <w:r>
        <w:rPr/>
        <w:t>training</w:t>
      </w:r>
      <w:r>
        <w:rPr>
          <w:spacing w:val="-1"/>
        </w:rPr>
        <w:t> </w:t>
      </w:r>
      <w:r>
        <w:rPr/>
        <w:t>pro- cess</w:t>
      </w:r>
      <w:r>
        <w:rPr>
          <w:spacing w:val="-12"/>
        </w:rPr>
        <w:t> </w:t>
      </w:r>
      <w:r>
        <w:rPr/>
        <w:t>ensures</w:t>
      </w:r>
      <w:r>
        <w:rPr>
          <w:spacing w:val="-12"/>
        </w:rPr>
        <w:t> </w:t>
      </w:r>
      <w:r>
        <w:rPr/>
        <w:t>that</w:t>
      </w:r>
      <w:r>
        <w:rPr>
          <w:spacing w:val="-12"/>
        </w:rPr>
        <w:t> </w:t>
      </w:r>
      <w:r>
        <w:rPr/>
        <w:t>it</w:t>
      </w:r>
      <w:r>
        <w:rPr>
          <w:spacing w:val="-12"/>
        </w:rPr>
        <w:t> </w:t>
      </w:r>
      <w:r>
        <w:rPr/>
        <w:t>could</w:t>
      </w:r>
      <w:r>
        <w:rPr>
          <w:spacing w:val="-12"/>
        </w:rPr>
        <w:t> </w:t>
      </w:r>
      <w:r>
        <w:rPr/>
        <w:t>be</w:t>
      </w:r>
      <w:r>
        <w:rPr>
          <w:spacing w:val="-12"/>
        </w:rPr>
        <w:t> </w:t>
      </w:r>
      <w:r>
        <w:rPr/>
        <w:t>possible</w:t>
      </w:r>
      <w:r>
        <w:rPr>
          <w:spacing w:val="-12"/>
        </w:rPr>
        <w:t> </w:t>
      </w:r>
      <w:r>
        <w:rPr/>
        <w:t>to</w:t>
      </w:r>
      <w:r>
        <w:rPr>
          <w:spacing w:val="-12"/>
        </w:rPr>
        <w:t> </w:t>
      </w:r>
      <w:r>
        <w:rPr/>
        <w:t>apply</w:t>
      </w:r>
      <w:r>
        <w:rPr>
          <w:spacing w:val="-12"/>
        </w:rPr>
        <w:t> </w:t>
      </w:r>
      <w:r>
        <w:rPr/>
        <w:t>the</w:t>
      </w:r>
      <w:r>
        <w:rPr>
          <w:spacing w:val="-12"/>
        </w:rPr>
        <w:t> </w:t>
      </w:r>
      <w:r>
        <w:rPr/>
        <w:t>methods</w:t>
      </w:r>
      <w:r>
        <w:rPr>
          <w:spacing w:val="-12"/>
        </w:rPr>
        <w:t> </w:t>
      </w:r>
      <w:r>
        <w:rPr/>
        <w:t>to</w:t>
      </w:r>
      <w:r>
        <w:rPr>
          <w:spacing w:val="-12"/>
        </w:rPr>
        <w:t> </w:t>
      </w:r>
      <w:r>
        <w:rPr/>
        <w:t>a</w:t>
      </w:r>
      <w:r>
        <w:rPr>
          <w:spacing w:val="-12"/>
        </w:rPr>
        <w:t> </w:t>
      </w:r>
      <w:r>
        <w:rPr/>
        <w:t>rugby</w:t>
      </w:r>
      <w:r>
        <w:rPr>
          <w:spacing w:val="-12"/>
        </w:rPr>
        <w:t> </w:t>
      </w:r>
      <w:r>
        <w:rPr/>
        <w:t>league</w:t>
      </w:r>
      <w:r>
        <w:rPr>
          <w:spacing w:val="-12"/>
        </w:rPr>
        <w:t> </w:t>
      </w:r>
      <w:r>
        <w:rPr/>
        <w:t>environment. Unfortunately</w:t>
      </w:r>
      <w:r>
        <w:rPr>
          <w:spacing w:val="-10"/>
        </w:rPr>
        <w:t> </w:t>
      </w:r>
      <w:r>
        <w:rPr/>
        <w:t>data</w:t>
      </w:r>
      <w:r>
        <w:rPr>
          <w:spacing w:val="-10"/>
        </w:rPr>
        <w:t> </w:t>
      </w:r>
      <w:r>
        <w:rPr/>
        <w:t>availability</w:t>
      </w:r>
      <w:r>
        <w:rPr>
          <w:spacing w:val="-10"/>
        </w:rPr>
        <w:t> </w:t>
      </w:r>
      <w:r>
        <w:rPr/>
        <w:t>issues</w:t>
      </w:r>
      <w:r>
        <w:rPr>
          <w:spacing w:val="-10"/>
        </w:rPr>
        <w:t> </w:t>
      </w:r>
      <w:r>
        <w:rPr/>
        <w:t>within</w:t>
      </w:r>
      <w:r>
        <w:rPr>
          <w:spacing w:val="-10"/>
        </w:rPr>
        <w:t> </w:t>
      </w:r>
      <w:r>
        <w:rPr/>
        <w:t>rugby</w:t>
      </w:r>
      <w:r>
        <w:rPr>
          <w:spacing w:val="-10"/>
        </w:rPr>
        <w:t> </w:t>
      </w:r>
      <w:r>
        <w:rPr/>
        <w:t>league</w:t>
      </w:r>
      <w:r>
        <w:rPr>
          <w:spacing w:val="-10"/>
        </w:rPr>
        <w:t> </w:t>
      </w:r>
      <w:r>
        <w:rPr/>
        <w:t>ensure</w:t>
      </w:r>
      <w:r>
        <w:rPr>
          <w:spacing w:val="-10"/>
        </w:rPr>
        <w:t> </w:t>
      </w:r>
      <w:r>
        <w:rPr/>
        <w:t>that</w:t>
      </w:r>
      <w:r>
        <w:rPr>
          <w:spacing w:val="-10"/>
        </w:rPr>
        <w:t> </w:t>
      </w:r>
      <w:r>
        <w:rPr/>
        <w:t>this</w:t>
      </w:r>
      <w:r>
        <w:rPr>
          <w:spacing w:val="-10"/>
        </w:rPr>
        <w:t> </w:t>
      </w:r>
      <w:r>
        <w:rPr/>
        <w:t>is</w:t>
      </w:r>
      <w:r>
        <w:rPr>
          <w:spacing w:val="-10"/>
        </w:rPr>
        <w:t> </w:t>
      </w:r>
      <w:r>
        <w:rPr/>
        <w:t>not</w:t>
      </w:r>
      <w:r>
        <w:rPr>
          <w:spacing w:val="-10"/>
        </w:rPr>
        <w:t> </w:t>
      </w:r>
      <w:r>
        <w:rPr/>
        <w:t>currently </w:t>
      </w:r>
      <w:r>
        <w:rPr>
          <w:spacing w:val="-2"/>
        </w:rPr>
        <w:t>possible.</w:t>
      </w:r>
    </w:p>
    <w:p>
      <w:pPr>
        <w:pStyle w:val="BodyText"/>
        <w:spacing w:line="312" w:lineRule="auto"/>
        <w:ind w:left="610" w:right="389" w:firstLine="351"/>
      </w:pPr>
      <w:hyperlink w:history="true" w:anchor="_bookmark294">
        <w:r>
          <w:rPr>
            <w:color w:val="FF0000"/>
          </w:rPr>
          <w:t>Singh</w:t>
        </w:r>
      </w:hyperlink>
      <w:r>
        <w:rPr/>
        <w:t>(</w:t>
      </w:r>
      <w:hyperlink w:history="true" w:anchor="_bookmark294">
        <w:r>
          <w:rPr>
            <w:color w:val="FF0000"/>
          </w:rPr>
          <w:t>n.d.</w:t>
        </w:r>
        <w:r>
          <w:rPr/>
          <w:t>)</w:t>
        </w:r>
      </w:hyperlink>
      <w:r>
        <w:rPr/>
        <w:t> utilised Markovian principles (</w:t>
      </w:r>
      <w:hyperlink w:history="true" w:anchor="_bookmark256">
        <w:r>
          <w:rPr>
            <w:color w:val="FF0000"/>
          </w:rPr>
          <w:t>Howard</w:t>
        </w:r>
        <w:r>
          <w:rPr/>
          <w:t>,</w:t>
        </w:r>
      </w:hyperlink>
      <w:hyperlink w:history="true" w:anchor="_bookmark256">
        <w:r>
          <w:rPr>
            <w:color w:val="FF0000"/>
          </w:rPr>
          <w:t>1971</w:t>
        </w:r>
        <w:r>
          <w:rPr/>
          <w:t>)</w:t>
        </w:r>
      </w:hyperlink>
      <w:r>
        <w:rPr/>
        <w:t> to provide EPV values for a</w:t>
      </w:r>
      <w:r>
        <w:rPr>
          <w:spacing w:val="22"/>
        </w:rPr>
        <w:t> </w:t>
      </w:r>
      <w:r>
        <w:rPr/>
        <w:t>set</w:t>
      </w:r>
      <w:r>
        <w:rPr>
          <w:spacing w:val="22"/>
        </w:rPr>
        <w:t> </w:t>
      </w:r>
      <w:r>
        <w:rPr/>
        <w:t>of</w:t>
      </w:r>
      <w:r>
        <w:rPr>
          <w:spacing w:val="21"/>
        </w:rPr>
        <w:t> </w:t>
      </w:r>
      <w:r>
        <w:rPr/>
        <w:t>192</w:t>
      </w:r>
      <w:r>
        <w:rPr>
          <w:spacing w:val="22"/>
        </w:rPr>
        <w:t> </w:t>
      </w:r>
      <w:r>
        <w:rPr/>
        <w:t>zones</w:t>
      </w:r>
      <w:r>
        <w:rPr>
          <w:spacing w:val="22"/>
        </w:rPr>
        <w:t> </w:t>
      </w:r>
      <w:r>
        <w:rPr/>
        <w:t>across</w:t>
      </w:r>
      <w:r>
        <w:rPr>
          <w:spacing w:val="22"/>
        </w:rPr>
        <w:t> </w:t>
      </w:r>
      <w:r>
        <w:rPr/>
        <w:t>a</w:t>
      </w:r>
      <w:r>
        <w:rPr>
          <w:spacing w:val="21"/>
        </w:rPr>
        <w:t> </w:t>
      </w:r>
      <w:r>
        <w:rPr/>
        <w:t>football</w:t>
      </w:r>
      <w:r>
        <w:rPr>
          <w:spacing w:val="22"/>
        </w:rPr>
        <w:t> </w:t>
      </w:r>
      <w:r>
        <w:rPr/>
        <w:t>pitch,</w:t>
      </w:r>
      <w:r>
        <w:rPr>
          <w:spacing w:val="27"/>
        </w:rPr>
        <w:t> </w:t>
      </w:r>
      <w:r>
        <w:rPr/>
        <w:t>which</w:t>
      </w:r>
      <w:r>
        <w:rPr>
          <w:spacing w:val="22"/>
        </w:rPr>
        <w:t> </w:t>
      </w:r>
      <w:r>
        <w:rPr/>
        <w:t>he</w:t>
      </w:r>
      <w:r>
        <w:rPr>
          <w:spacing w:val="22"/>
        </w:rPr>
        <w:t> </w:t>
      </w:r>
      <w:r>
        <w:rPr/>
        <w:t>called</w:t>
      </w:r>
      <w:r>
        <w:rPr>
          <w:spacing w:val="22"/>
        </w:rPr>
        <w:t> </w:t>
      </w:r>
      <w:r>
        <w:rPr/>
        <w:t>”expected</w:t>
      </w:r>
      <w:r>
        <w:rPr>
          <w:spacing w:val="21"/>
        </w:rPr>
        <w:t> </w:t>
      </w:r>
      <w:r>
        <w:rPr/>
        <w:t>threat”</w:t>
      </w:r>
      <w:r>
        <w:rPr>
          <w:spacing w:val="22"/>
        </w:rPr>
        <w:t> </w:t>
      </w:r>
      <w:r>
        <w:rPr/>
        <w:t>(xT).</w:t>
      </w:r>
      <w:r>
        <w:rPr>
          <w:spacing w:val="22"/>
        </w:rPr>
        <w:t> </w:t>
      </w:r>
      <w:r>
        <w:rPr/>
        <w:t>He used match event data from the 2017/18 English Premier League season.</w:t>
      </w:r>
      <w:r>
        <w:rPr>
          <w:spacing w:val="30"/>
        </w:rPr>
        <w:t> </w:t>
      </w:r>
      <w:r>
        <w:rPr/>
        <w:t>The data were preprocessed</w:t>
      </w:r>
      <w:r>
        <w:rPr>
          <w:spacing w:val="-10"/>
        </w:rPr>
        <w:t> </w:t>
      </w:r>
      <w:r>
        <w:rPr/>
        <w:t>so</w:t>
      </w:r>
      <w:r>
        <w:rPr>
          <w:spacing w:val="-10"/>
        </w:rPr>
        <w:t> </w:t>
      </w:r>
      <w:r>
        <w:rPr/>
        <w:t>that</w:t>
      </w:r>
      <w:r>
        <w:rPr>
          <w:spacing w:val="-10"/>
        </w:rPr>
        <w:t> </w:t>
      </w:r>
      <w:r>
        <w:rPr/>
        <w:t>only</w:t>
      </w:r>
      <w:r>
        <w:rPr>
          <w:spacing w:val="-10"/>
        </w:rPr>
        <w:t> </w:t>
      </w:r>
      <w:r>
        <w:rPr/>
        <w:t>the</w:t>
      </w:r>
      <w:r>
        <w:rPr>
          <w:spacing w:val="-10"/>
        </w:rPr>
        <w:t> </w:t>
      </w:r>
      <w:r>
        <w:rPr/>
        <w:t>zone</w:t>
      </w:r>
      <w:r>
        <w:rPr>
          <w:spacing w:val="-10"/>
        </w:rPr>
        <w:t> </w:t>
      </w:r>
      <w:r>
        <w:rPr/>
        <w:t>for</w:t>
      </w:r>
      <w:r>
        <w:rPr>
          <w:spacing w:val="-10"/>
        </w:rPr>
        <w:t> </w:t>
      </w:r>
      <w:r>
        <w:rPr/>
        <w:t>the</w:t>
      </w:r>
      <w:r>
        <w:rPr>
          <w:spacing w:val="-10"/>
        </w:rPr>
        <w:t> </w:t>
      </w:r>
      <w:r>
        <w:rPr/>
        <w:t>action</w:t>
      </w:r>
      <w:r>
        <w:rPr>
          <w:spacing w:val="-10"/>
        </w:rPr>
        <w:t> </w:t>
      </w:r>
      <w:r>
        <w:rPr/>
        <w:t>and</w:t>
      </w:r>
      <w:r>
        <w:rPr>
          <w:spacing w:val="-10"/>
        </w:rPr>
        <w:t> </w:t>
      </w:r>
      <w:r>
        <w:rPr/>
        <w:t>its</w:t>
      </w:r>
      <w:r>
        <w:rPr>
          <w:spacing w:val="-10"/>
        </w:rPr>
        <w:t> </w:t>
      </w:r>
      <w:r>
        <w:rPr/>
        <w:t>descriptor</w:t>
      </w:r>
      <w:r>
        <w:rPr>
          <w:spacing w:val="-10"/>
        </w:rPr>
        <w:t> </w:t>
      </w:r>
      <w:r>
        <w:rPr/>
        <w:t>from</w:t>
      </w:r>
      <w:r>
        <w:rPr>
          <w:spacing w:val="-10"/>
        </w:rPr>
        <w:t> </w:t>
      </w:r>
      <w:r>
        <w:rPr/>
        <w:t>the</w:t>
      </w:r>
      <w:r>
        <w:rPr>
          <w:spacing w:val="-10"/>
        </w:rPr>
        <w:t> </w:t>
      </w:r>
      <w:r>
        <w:rPr/>
        <w:t>set</w:t>
      </w:r>
      <w:r>
        <w:rPr>
          <w:spacing w:val="-10"/>
        </w:rPr>
        <w:t> </w:t>
      </w:r>
      <w:r>
        <w:rPr/>
        <w:t>of</w:t>
      </w:r>
      <w:r>
        <w:rPr>
          <w:spacing w:val="-10"/>
        </w:rPr>
        <w:t> </w:t>
      </w:r>
      <w:r>
        <w:rPr/>
        <w:t>”move” (i.e.</w:t>
      </w:r>
      <w:r>
        <w:rPr>
          <w:spacing w:val="-15"/>
        </w:rPr>
        <w:t> </w:t>
      </w:r>
      <w:r>
        <w:rPr/>
        <w:t>run</w:t>
      </w:r>
      <w:r>
        <w:rPr>
          <w:spacing w:val="-15"/>
        </w:rPr>
        <w:t> </w:t>
      </w:r>
      <w:r>
        <w:rPr/>
        <w:t>with</w:t>
      </w:r>
      <w:r>
        <w:rPr>
          <w:spacing w:val="-15"/>
        </w:rPr>
        <w:t> </w:t>
      </w:r>
      <w:r>
        <w:rPr/>
        <w:t>ball</w:t>
      </w:r>
      <w:r>
        <w:rPr>
          <w:spacing w:val="-15"/>
        </w:rPr>
        <w:t> </w:t>
      </w:r>
      <w:r>
        <w:rPr/>
        <w:t>or</w:t>
      </w:r>
      <w:r>
        <w:rPr>
          <w:spacing w:val="-15"/>
        </w:rPr>
        <w:t> </w:t>
      </w:r>
      <w:r>
        <w:rPr/>
        <w:t>pass)</w:t>
      </w:r>
      <w:r>
        <w:rPr>
          <w:spacing w:val="-15"/>
        </w:rPr>
        <w:t> </w:t>
      </w:r>
      <w:r>
        <w:rPr/>
        <w:t>or</w:t>
      </w:r>
      <w:r>
        <w:rPr>
          <w:spacing w:val="-15"/>
        </w:rPr>
        <w:t> </w:t>
      </w:r>
      <w:r>
        <w:rPr/>
        <w:t>”shoot”</w:t>
      </w:r>
      <w:r>
        <w:rPr>
          <w:spacing w:val="-15"/>
        </w:rPr>
        <w:t> </w:t>
      </w:r>
      <w:r>
        <w:rPr/>
        <w:t>were</w:t>
      </w:r>
      <w:r>
        <w:rPr>
          <w:spacing w:val="-15"/>
        </w:rPr>
        <w:t> </w:t>
      </w:r>
      <w:r>
        <w:rPr/>
        <w:t>considered.</w:t>
      </w:r>
      <w:r>
        <w:rPr>
          <w:spacing w:val="-2"/>
        </w:rPr>
        <w:t> </w:t>
      </w:r>
      <w:r>
        <w:rPr/>
        <w:t>The</w:t>
      </w:r>
      <w:r>
        <w:rPr>
          <w:spacing w:val="-15"/>
        </w:rPr>
        <w:t> </w:t>
      </w:r>
      <w:r>
        <w:rPr/>
        <w:t>only</w:t>
      </w:r>
      <w:r>
        <w:rPr>
          <w:spacing w:val="-15"/>
        </w:rPr>
        <w:t> </w:t>
      </w:r>
      <w:r>
        <w:rPr/>
        <w:t>reward</w:t>
      </w:r>
      <w:r>
        <w:rPr>
          <w:spacing w:val="-15"/>
        </w:rPr>
        <w:t> </w:t>
      </w:r>
      <w:r>
        <w:rPr/>
        <w:t>utilised</w:t>
      </w:r>
      <w:r>
        <w:rPr>
          <w:spacing w:val="-15"/>
        </w:rPr>
        <w:t> </w:t>
      </w:r>
      <w:r>
        <w:rPr/>
        <w:t>was</w:t>
      </w:r>
      <w:r>
        <w:rPr>
          <w:spacing w:val="-15"/>
        </w:rPr>
        <w:t> </w:t>
      </w:r>
      <w:r>
        <w:rPr/>
        <w:t>a</w:t>
      </w:r>
      <w:r>
        <w:rPr>
          <w:spacing w:val="-15"/>
        </w:rPr>
        <w:t> </w:t>
      </w:r>
      <w:r>
        <w:rPr/>
        <w:t>goal being</w:t>
      </w:r>
      <w:r>
        <w:rPr>
          <w:spacing w:val="-12"/>
        </w:rPr>
        <w:t> </w:t>
      </w:r>
      <w:r>
        <w:rPr/>
        <w:t>scored,</w:t>
      </w:r>
      <w:r>
        <w:rPr>
          <w:spacing w:val="-10"/>
        </w:rPr>
        <w:t> </w:t>
      </w:r>
      <w:r>
        <w:rPr/>
        <w:t>valued</w:t>
      </w:r>
      <w:r>
        <w:rPr>
          <w:spacing w:val="-12"/>
        </w:rPr>
        <w:t> </w:t>
      </w:r>
      <w:r>
        <w:rPr/>
        <w:t>as</w:t>
      </w:r>
      <w:r>
        <w:rPr>
          <w:spacing w:val="-12"/>
        </w:rPr>
        <w:t> </w:t>
      </w:r>
      <w:r>
        <w:rPr/>
        <w:t>1.</w:t>
      </w:r>
      <w:r>
        <w:rPr>
          <w:spacing w:val="8"/>
        </w:rPr>
        <w:t> </w:t>
      </w:r>
      <w:r>
        <w:rPr/>
        <w:t>Dynamic</w:t>
      </w:r>
      <w:r>
        <w:rPr>
          <w:spacing w:val="-12"/>
        </w:rPr>
        <w:t> </w:t>
      </w:r>
      <w:r>
        <w:rPr/>
        <w:t>programming</w:t>
      </w:r>
      <w:r>
        <w:rPr>
          <w:spacing w:val="-12"/>
        </w:rPr>
        <w:t> </w:t>
      </w:r>
      <w:r>
        <w:rPr/>
        <w:t>(</w:t>
      </w:r>
      <w:hyperlink w:history="true" w:anchor="_bookmark225">
        <w:r>
          <w:rPr>
            <w:color w:val="FF0000"/>
          </w:rPr>
          <w:t>Bellman</w:t>
        </w:r>
      </w:hyperlink>
      <w:r>
        <w:rPr/>
        <w:t>,</w:t>
      </w:r>
      <w:hyperlink w:history="true" w:anchor="_bookmark225">
        <w:r>
          <w:rPr>
            <w:color w:val="FF0000"/>
          </w:rPr>
          <w:t>1954</w:t>
        </w:r>
        <w:r>
          <w:rPr/>
          <w:t>)</w:t>
        </w:r>
      </w:hyperlink>
      <w:r>
        <w:rPr>
          <w:spacing w:val="-12"/>
        </w:rPr>
        <w:t> </w:t>
      </w:r>
      <w:r>
        <w:rPr/>
        <w:t>was</w:t>
      </w:r>
      <w:r>
        <w:rPr>
          <w:spacing w:val="-12"/>
        </w:rPr>
        <w:t> </w:t>
      </w:r>
      <w:r>
        <w:rPr/>
        <w:t>used</w:t>
      </w:r>
      <w:r>
        <w:rPr>
          <w:spacing w:val="-12"/>
        </w:rPr>
        <w:t> </w:t>
      </w:r>
      <w:r>
        <w:rPr/>
        <w:t>to</w:t>
      </w:r>
      <w:r>
        <w:rPr>
          <w:spacing w:val="-12"/>
        </w:rPr>
        <w:t> </w:t>
      </w:r>
      <w:r>
        <w:rPr/>
        <w:t>iteratively evaluate</w:t>
      </w:r>
      <w:r>
        <w:rPr>
          <w:spacing w:val="-13"/>
        </w:rPr>
        <w:t> </w:t>
      </w:r>
      <w:r>
        <w:rPr/>
        <w:t>the</w:t>
      </w:r>
      <w:r>
        <w:rPr>
          <w:spacing w:val="-13"/>
        </w:rPr>
        <w:t> </w:t>
      </w:r>
      <w:r>
        <w:rPr/>
        <w:t>xT</w:t>
      </w:r>
      <w:r>
        <w:rPr>
          <w:spacing w:val="-13"/>
        </w:rPr>
        <w:t> </w:t>
      </w:r>
      <w:r>
        <w:rPr/>
        <w:t>for</w:t>
      </w:r>
      <w:r>
        <w:rPr>
          <w:spacing w:val="-13"/>
        </w:rPr>
        <w:t> </w:t>
      </w:r>
      <w:r>
        <w:rPr/>
        <w:t>each</w:t>
      </w:r>
      <w:r>
        <w:rPr>
          <w:spacing w:val="-13"/>
        </w:rPr>
        <w:t> </w:t>
      </w:r>
      <w:r>
        <w:rPr/>
        <w:t>zone,</w:t>
      </w:r>
      <w:r>
        <w:rPr>
          <w:spacing w:val="-12"/>
        </w:rPr>
        <w:t> </w:t>
      </w:r>
      <w:r>
        <w:rPr/>
        <w:t>starting</w:t>
      </w:r>
      <w:r>
        <w:rPr>
          <w:spacing w:val="-13"/>
        </w:rPr>
        <w:t> </w:t>
      </w:r>
      <w:r>
        <w:rPr/>
        <w:t>with</w:t>
      </w:r>
      <w:r>
        <w:rPr>
          <w:spacing w:val="-13"/>
        </w:rPr>
        <w:t> </w:t>
      </w:r>
      <w:r>
        <w:rPr/>
        <w:t>a</w:t>
      </w:r>
      <w:r>
        <w:rPr>
          <w:spacing w:val="-13"/>
        </w:rPr>
        <w:t> </w:t>
      </w:r>
      <w:r>
        <w:rPr/>
        <w:t>value</w:t>
      </w:r>
      <w:r>
        <w:rPr>
          <w:spacing w:val="-13"/>
        </w:rPr>
        <w:t> </w:t>
      </w:r>
      <w:r>
        <w:rPr/>
        <w:t>of</w:t>
      </w:r>
      <w:r>
        <w:rPr>
          <w:spacing w:val="-13"/>
        </w:rPr>
        <w:t> </w:t>
      </w:r>
      <w:r>
        <w:rPr/>
        <w:t>0</w:t>
      </w:r>
      <w:r>
        <w:rPr>
          <w:spacing w:val="-13"/>
        </w:rPr>
        <w:t> </w:t>
      </w:r>
      <w:r>
        <w:rPr/>
        <w:t>for</w:t>
      </w:r>
      <w:r>
        <w:rPr>
          <w:spacing w:val="-13"/>
        </w:rPr>
        <w:t> </w:t>
      </w:r>
      <w:r>
        <w:rPr/>
        <w:t>all</w:t>
      </w:r>
      <w:r>
        <w:rPr>
          <w:spacing w:val="-13"/>
        </w:rPr>
        <w:t> </w:t>
      </w:r>
      <w:r>
        <w:rPr/>
        <w:t>zones.</w:t>
      </w:r>
      <w:r>
        <w:rPr>
          <w:spacing w:val="5"/>
        </w:rPr>
        <w:t> </w:t>
      </w:r>
      <w:r>
        <w:rPr/>
        <w:t>The</w:t>
      </w:r>
      <w:r>
        <w:rPr>
          <w:spacing w:val="-13"/>
        </w:rPr>
        <w:t> </w:t>
      </w:r>
      <w:r>
        <w:rPr/>
        <w:t>author</w:t>
      </w:r>
      <w:r>
        <w:rPr>
          <w:spacing w:val="-13"/>
        </w:rPr>
        <w:t> </w:t>
      </w:r>
      <w:r>
        <w:rPr/>
        <w:t>provided a</w:t>
      </w:r>
      <w:r>
        <w:rPr>
          <w:spacing w:val="-15"/>
        </w:rPr>
        <w:t> </w:t>
      </w:r>
      <w:r>
        <w:rPr/>
        <w:t>heat</w:t>
      </w:r>
      <w:r>
        <w:rPr>
          <w:spacing w:val="-15"/>
        </w:rPr>
        <w:t> </w:t>
      </w:r>
      <w:r>
        <w:rPr/>
        <w:t>map</w:t>
      </w:r>
      <w:r>
        <w:rPr>
          <w:spacing w:val="-15"/>
        </w:rPr>
        <w:t> </w:t>
      </w:r>
      <w:r>
        <w:rPr/>
        <w:t>style</w:t>
      </w:r>
      <w:r>
        <w:rPr>
          <w:spacing w:val="-15"/>
        </w:rPr>
        <w:t> </w:t>
      </w:r>
      <w:r>
        <w:rPr/>
        <w:t>interactive</w:t>
      </w:r>
      <w:r>
        <w:rPr>
          <w:spacing w:val="-15"/>
        </w:rPr>
        <w:t> </w:t>
      </w:r>
      <w:r>
        <w:rPr/>
        <w:t>plot</w:t>
      </w:r>
      <w:r>
        <w:rPr>
          <w:spacing w:val="-15"/>
        </w:rPr>
        <w:t> </w:t>
      </w:r>
      <w:r>
        <w:rPr/>
        <w:t>of</w:t>
      </w:r>
      <w:r>
        <w:rPr>
          <w:spacing w:val="-15"/>
        </w:rPr>
        <w:t> </w:t>
      </w:r>
      <w:r>
        <w:rPr/>
        <w:t>the</w:t>
      </w:r>
      <w:r>
        <w:rPr>
          <w:spacing w:val="-15"/>
        </w:rPr>
        <w:t> </w:t>
      </w:r>
      <w:r>
        <w:rPr/>
        <w:t>completed</w:t>
      </w:r>
      <w:r>
        <w:rPr>
          <w:spacing w:val="-15"/>
        </w:rPr>
        <w:t> </w:t>
      </w:r>
      <w:r>
        <w:rPr/>
        <w:t>model</w:t>
      </w:r>
      <w:r>
        <w:rPr>
          <w:spacing w:val="-15"/>
        </w:rPr>
        <w:t> </w:t>
      </w:r>
      <w:r>
        <w:rPr/>
        <w:t>(Figure</w:t>
      </w:r>
      <w:hyperlink w:history="true" w:anchor="_bookmark32">
        <w:r>
          <w:rPr>
            <w:color w:val="0000FF"/>
          </w:rPr>
          <w:t>2.14</w:t>
        </w:r>
        <w:r>
          <w:rPr/>
          <w:t>)</w:t>
        </w:r>
      </w:hyperlink>
      <w:r>
        <w:rPr>
          <w:spacing w:val="-15"/>
        </w:rPr>
        <w:t> </w:t>
      </w:r>
      <w:r>
        <w:rPr/>
        <w:t>and</w:t>
      </w:r>
      <w:r>
        <w:rPr>
          <w:spacing w:val="-15"/>
        </w:rPr>
        <w:t> </w:t>
      </w:r>
      <w:r>
        <w:rPr/>
        <w:t>showed</w:t>
      </w:r>
      <w:r>
        <w:rPr>
          <w:spacing w:val="-15"/>
        </w:rPr>
        <w:t> </w:t>
      </w:r>
      <w:r>
        <w:rPr/>
        <w:t>how</w:t>
      </w:r>
      <w:r>
        <w:rPr>
          <w:spacing w:val="-15"/>
        </w:rPr>
        <w:t> </w:t>
      </w:r>
      <w:r>
        <w:rPr/>
        <w:t>the values</w:t>
      </w:r>
      <w:r>
        <w:rPr>
          <w:spacing w:val="-8"/>
        </w:rPr>
        <w:t> </w:t>
      </w:r>
      <w:r>
        <w:rPr/>
        <w:t>could</w:t>
      </w:r>
      <w:r>
        <w:rPr>
          <w:spacing w:val="-8"/>
        </w:rPr>
        <w:t> </w:t>
      </w:r>
      <w:r>
        <w:rPr/>
        <w:t>be</w:t>
      </w:r>
      <w:r>
        <w:rPr>
          <w:spacing w:val="-8"/>
        </w:rPr>
        <w:t> </w:t>
      </w:r>
      <w:r>
        <w:rPr/>
        <w:t>used</w:t>
      </w:r>
      <w:r>
        <w:rPr>
          <w:spacing w:val="-9"/>
        </w:rPr>
        <w:t> </w:t>
      </w:r>
      <w:r>
        <w:rPr/>
        <w:t>to</w:t>
      </w:r>
      <w:r>
        <w:rPr>
          <w:spacing w:val="-8"/>
        </w:rPr>
        <w:t> </w:t>
      </w:r>
      <w:r>
        <w:rPr/>
        <w:t>identify</w:t>
      </w:r>
      <w:r>
        <w:rPr>
          <w:spacing w:val="-8"/>
        </w:rPr>
        <w:t> </w:t>
      </w:r>
      <w:r>
        <w:rPr/>
        <w:t>threatening</w:t>
      </w:r>
      <w:r>
        <w:rPr>
          <w:spacing w:val="-8"/>
        </w:rPr>
        <w:t> </w:t>
      </w:r>
      <w:r>
        <w:rPr/>
        <w:t>players</w:t>
      </w:r>
      <w:r>
        <w:rPr>
          <w:spacing w:val="-8"/>
        </w:rPr>
        <w:t> </w:t>
      </w:r>
      <w:r>
        <w:rPr/>
        <w:t>by</w:t>
      </w:r>
      <w:r>
        <w:rPr>
          <w:spacing w:val="-8"/>
        </w:rPr>
        <w:t> </w:t>
      </w:r>
      <w:r>
        <w:rPr/>
        <w:t>taking</w:t>
      </w:r>
      <w:r>
        <w:rPr>
          <w:spacing w:val="-9"/>
        </w:rPr>
        <w:t> </w:t>
      </w:r>
      <w:r>
        <w:rPr/>
        <w:t>the</w:t>
      </w:r>
      <w:r>
        <w:rPr>
          <w:spacing w:val="-8"/>
        </w:rPr>
        <w:t> </w:t>
      </w:r>
      <w:r>
        <w:rPr/>
        <w:t>difference</w:t>
      </w:r>
      <w:r>
        <w:rPr>
          <w:spacing w:val="-8"/>
        </w:rPr>
        <w:t> </w:t>
      </w:r>
      <w:r>
        <w:rPr/>
        <w:t>in</w:t>
      </w:r>
      <w:r>
        <w:rPr>
          <w:spacing w:val="-8"/>
        </w:rPr>
        <w:t> </w:t>
      </w:r>
      <w:r>
        <w:rPr/>
        <w:t>the</w:t>
      </w:r>
      <w:r>
        <w:rPr>
          <w:spacing w:val="-8"/>
        </w:rPr>
        <w:t> </w:t>
      </w:r>
      <w:r>
        <w:rPr/>
        <w:t>team’s expected threat before and after the player performed an action.</w:t>
      </w:r>
      <w:r>
        <w:rPr>
          <w:spacing w:val="40"/>
        </w:rPr>
        <w:t> </w:t>
      </w:r>
      <w:r>
        <w:rPr/>
        <w:t>Similarly, he showed</w:t>
      </w:r>
      <w:r>
        <w:rPr>
          <w:spacing w:val="40"/>
        </w:rPr>
        <w:t> </w:t>
      </w:r>
      <w:r>
        <w:rPr/>
        <w:t>how it could be used to evaluate the locations through which teams generated value and whether</w:t>
      </w:r>
      <w:r>
        <w:rPr>
          <w:spacing w:val="13"/>
        </w:rPr>
        <w:t> </w:t>
      </w:r>
      <w:r>
        <w:rPr/>
        <w:t>this</w:t>
      </w:r>
      <w:r>
        <w:rPr>
          <w:spacing w:val="13"/>
        </w:rPr>
        <w:t> </w:t>
      </w:r>
      <w:r>
        <w:rPr/>
        <w:t>occurred</w:t>
      </w:r>
      <w:r>
        <w:rPr>
          <w:spacing w:val="13"/>
        </w:rPr>
        <w:t> </w:t>
      </w:r>
      <w:r>
        <w:rPr/>
        <w:t>via</w:t>
      </w:r>
      <w:r>
        <w:rPr>
          <w:spacing w:val="13"/>
        </w:rPr>
        <w:t> </w:t>
      </w:r>
      <w:r>
        <w:rPr/>
        <w:t>passing</w:t>
      </w:r>
      <w:r>
        <w:rPr>
          <w:spacing w:val="13"/>
        </w:rPr>
        <w:t> </w:t>
      </w:r>
      <w:r>
        <w:rPr/>
        <w:t>or</w:t>
      </w:r>
      <w:r>
        <w:rPr>
          <w:spacing w:val="13"/>
        </w:rPr>
        <w:t> </w:t>
      </w:r>
      <w:r>
        <w:rPr/>
        <w:t>shooting</w:t>
      </w:r>
      <w:r>
        <w:rPr>
          <w:spacing w:val="13"/>
        </w:rPr>
        <w:t> </w:t>
      </w:r>
      <w:r>
        <w:rPr/>
        <w:t>in</w:t>
      </w:r>
      <w:r>
        <w:rPr>
          <w:spacing w:val="14"/>
        </w:rPr>
        <w:t> </w:t>
      </w:r>
      <w:r>
        <w:rPr/>
        <w:t>an</w:t>
      </w:r>
      <w:r>
        <w:rPr>
          <w:spacing w:val="13"/>
        </w:rPr>
        <w:t> </w:t>
      </w:r>
      <w:r>
        <w:rPr/>
        <w:t>interactive</w:t>
      </w:r>
      <w:r>
        <w:rPr>
          <w:spacing w:val="13"/>
        </w:rPr>
        <w:t> </w:t>
      </w:r>
      <w:r>
        <w:rPr/>
        <w:t>plot</w:t>
      </w:r>
      <w:r>
        <w:rPr>
          <w:spacing w:val="13"/>
        </w:rPr>
        <w:t> </w:t>
      </w:r>
      <w:r>
        <w:rPr/>
        <w:t>for</w:t>
      </w:r>
      <w:r>
        <w:rPr>
          <w:spacing w:val="13"/>
        </w:rPr>
        <w:t> </w:t>
      </w:r>
      <w:r>
        <w:rPr/>
        <w:t>the</w:t>
      </w:r>
      <w:r>
        <w:rPr>
          <w:spacing w:val="13"/>
        </w:rPr>
        <w:t> </w:t>
      </w:r>
      <w:r>
        <w:rPr/>
        <w:t>purposes</w:t>
      </w:r>
      <w:r>
        <w:rPr>
          <w:spacing w:val="13"/>
        </w:rPr>
        <w:t> </w:t>
      </w:r>
      <w:r>
        <w:rPr>
          <w:spacing w:val="-5"/>
        </w:rPr>
        <w:t>of</w:t>
      </w:r>
    </w:p>
    <w:p>
      <w:pPr>
        <w:spacing w:after="0" w:line="312" w:lineRule="auto"/>
        <w:sectPr>
          <w:pgSz w:w="11910" w:h="16840"/>
          <w:pgMar w:header="1961" w:footer="1428" w:top="2260" w:bottom="1620" w:left="1680" w:right="720"/>
        </w:sectPr>
      </w:pPr>
    </w:p>
    <w:p>
      <w:pPr>
        <w:pStyle w:val="BodyText"/>
        <w:rPr>
          <w:sz w:val="20"/>
        </w:rPr>
      </w:pPr>
    </w:p>
    <w:p>
      <w:pPr>
        <w:pStyle w:val="BodyText"/>
        <w:rPr>
          <w:sz w:val="20"/>
        </w:rPr>
      </w:pPr>
    </w:p>
    <w:p>
      <w:pPr>
        <w:pStyle w:val="BodyText"/>
        <w:spacing w:before="1"/>
        <w:rPr>
          <w:sz w:val="10"/>
        </w:rPr>
      </w:pPr>
    </w:p>
    <w:p>
      <w:pPr>
        <w:pStyle w:val="BodyText"/>
        <w:ind w:left="1750"/>
        <w:rPr>
          <w:sz w:val="20"/>
        </w:rPr>
      </w:pPr>
      <w:r>
        <w:rPr>
          <w:sz w:val="20"/>
        </w:rPr>
        <w:drawing>
          <wp:inline distT="0" distB="0" distL="0" distR="0">
            <wp:extent cx="3944921" cy="1743455"/>
            <wp:effectExtent l="0" t="0" r="0" b="0"/>
            <wp:docPr id="29" name="image15.jpeg"/>
            <wp:cNvGraphicFramePr>
              <a:graphicFrameLocks noChangeAspect="1"/>
            </wp:cNvGraphicFramePr>
            <a:graphic>
              <a:graphicData uri="http://schemas.openxmlformats.org/drawingml/2006/picture">
                <pic:pic>
                  <pic:nvPicPr>
                    <pic:cNvPr id="30" name="image15.jpeg"/>
                    <pic:cNvPicPr/>
                  </pic:nvPicPr>
                  <pic:blipFill>
                    <a:blip r:embed="rId48" cstate="print"/>
                    <a:stretch>
                      <a:fillRect/>
                    </a:stretch>
                  </pic:blipFill>
                  <pic:spPr>
                    <a:xfrm>
                      <a:off x="0" y="0"/>
                      <a:ext cx="3944921" cy="1743455"/>
                    </a:xfrm>
                    <a:prstGeom prst="rect">
                      <a:avLst/>
                    </a:prstGeom>
                  </pic:spPr>
                </pic:pic>
              </a:graphicData>
            </a:graphic>
          </wp:inline>
        </w:drawing>
      </w:r>
      <w:r>
        <w:rPr>
          <w:sz w:val="20"/>
        </w:rPr>
      </w:r>
    </w:p>
    <w:p>
      <w:pPr>
        <w:pStyle w:val="BodyText"/>
        <w:spacing w:before="6"/>
        <w:rPr>
          <w:sz w:val="6"/>
        </w:rPr>
      </w:pPr>
    </w:p>
    <w:p>
      <w:pPr>
        <w:spacing w:before="105"/>
        <w:ind w:left="737" w:right="578" w:firstLine="0"/>
        <w:jc w:val="center"/>
        <w:rPr>
          <w:sz w:val="24"/>
        </w:rPr>
      </w:pPr>
      <w:bookmarkStart w:name="_bookmark32" w:id="57"/>
      <w:bookmarkEnd w:id="57"/>
      <w:r>
        <w:rPr/>
      </w:r>
      <w:r>
        <w:rPr>
          <w:b/>
          <w:sz w:val="24"/>
        </w:rPr>
        <w:t>Figure</w:t>
      </w:r>
      <w:r>
        <w:rPr>
          <w:b/>
          <w:spacing w:val="-8"/>
          <w:sz w:val="24"/>
        </w:rPr>
        <w:t> </w:t>
      </w:r>
      <w:r>
        <w:rPr>
          <w:b/>
          <w:sz w:val="24"/>
        </w:rPr>
        <w:t>2.14:</w:t>
      </w:r>
      <w:r>
        <w:rPr>
          <w:b/>
          <w:spacing w:val="5"/>
          <w:sz w:val="24"/>
        </w:rPr>
        <w:t> </w:t>
      </w:r>
      <w:hyperlink w:history="true" w:anchor="_bookmark294">
        <w:r>
          <w:rPr>
            <w:color w:val="FF0000"/>
            <w:sz w:val="24"/>
          </w:rPr>
          <w:t>Singh</w:t>
        </w:r>
      </w:hyperlink>
      <w:r>
        <w:rPr>
          <w:sz w:val="24"/>
        </w:rPr>
        <w:t>(</w:t>
      </w:r>
      <w:hyperlink w:history="true" w:anchor="_bookmark294">
        <w:r>
          <w:rPr>
            <w:color w:val="FF0000"/>
            <w:sz w:val="24"/>
          </w:rPr>
          <w:t>n.d.</w:t>
        </w:r>
        <w:r>
          <w:rPr>
            <w:sz w:val="24"/>
          </w:rPr>
          <w:t>)</w:t>
        </w:r>
      </w:hyperlink>
      <w:r>
        <w:rPr>
          <w:spacing w:val="6"/>
          <w:sz w:val="24"/>
        </w:rPr>
        <w:t> </w:t>
      </w:r>
      <w:r>
        <w:rPr>
          <w:sz w:val="24"/>
        </w:rPr>
        <w:t>xT</w:t>
      </w:r>
      <w:r>
        <w:rPr>
          <w:spacing w:val="-8"/>
          <w:sz w:val="24"/>
        </w:rPr>
        <w:t> </w:t>
      </w:r>
      <w:r>
        <w:rPr>
          <w:spacing w:val="-4"/>
          <w:sz w:val="24"/>
        </w:rPr>
        <w:t>plot</w:t>
      </w:r>
    </w:p>
    <w:p>
      <w:pPr>
        <w:pStyle w:val="BodyText"/>
        <w:rPr>
          <w:sz w:val="30"/>
        </w:rPr>
      </w:pPr>
    </w:p>
    <w:p>
      <w:pPr>
        <w:pStyle w:val="BodyText"/>
        <w:spacing w:before="6"/>
        <w:rPr>
          <w:sz w:val="31"/>
        </w:rPr>
      </w:pPr>
    </w:p>
    <w:p>
      <w:pPr>
        <w:pStyle w:val="BodyText"/>
        <w:spacing w:line="312" w:lineRule="auto"/>
        <w:ind w:left="610" w:right="389"/>
        <w:jc w:val="both"/>
      </w:pPr>
      <w:r>
        <w:rPr/>
        <w:t>future tactical preparations.</w:t>
      </w:r>
      <w:r>
        <w:rPr>
          <w:spacing w:val="40"/>
        </w:rPr>
        <w:t> </w:t>
      </w:r>
      <w:r>
        <w:rPr/>
        <w:t>Although the xT model provides interesting insights into player and team performances, it is not clear whether the zones used were </w:t>
      </w:r>
      <w:r>
        <w:rPr/>
        <w:t>empirically</w:t>
      </w:r>
      <w:r>
        <w:rPr>
          <w:spacing w:val="80"/>
        </w:rPr>
        <w:t> </w:t>
      </w:r>
      <w:r>
        <w:rPr/>
        <w:t>or</w:t>
      </w:r>
      <w:r>
        <w:rPr>
          <w:spacing w:val="-6"/>
        </w:rPr>
        <w:t> </w:t>
      </w:r>
      <w:r>
        <w:rPr/>
        <w:t>arbitrarily</w:t>
      </w:r>
      <w:r>
        <w:rPr>
          <w:spacing w:val="-6"/>
        </w:rPr>
        <w:t> </w:t>
      </w:r>
      <w:r>
        <w:rPr/>
        <w:t>chosen. Similarly,</w:t>
      </w:r>
      <w:r>
        <w:rPr>
          <w:spacing w:val="-5"/>
        </w:rPr>
        <w:t> </w:t>
      </w:r>
      <w:r>
        <w:rPr/>
        <w:t>the</w:t>
      </w:r>
      <w:r>
        <w:rPr>
          <w:spacing w:val="-6"/>
        </w:rPr>
        <w:t> </w:t>
      </w:r>
      <w:r>
        <w:rPr/>
        <w:t>dynamic</w:t>
      </w:r>
      <w:r>
        <w:rPr>
          <w:spacing w:val="-6"/>
        </w:rPr>
        <w:t> </w:t>
      </w:r>
      <w:r>
        <w:rPr/>
        <w:t>programming</w:t>
      </w:r>
      <w:r>
        <w:rPr>
          <w:spacing w:val="-6"/>
        </w:rPr>
        <w:t> </w:t>
      </w:r>
      <w:r>
        <w:rPr/>
        <w:t>approach</w:t>
      </w:r>
      <w:r>
        <w:rPr>
          <w:spacing w:val="-6"/>
        </w:rPr>
        <w:t> </w:t>
      </w:r>
      <w:r>
        <w:rPr/>
        <w:t>requires</w:t>
      </w:r>
      <w:r>
        <w:rPr>
          <w:spacing w:val="-6"/>
        </w:rPr>
        <w:t> </w:t>
      </w:r>
      <w:r>
        <w:rPr/>
        <w:t>a</w:t>
      </w:r>
      <w:r>
        <w:rPr>
          <w:spacing w:val="-6"/>
        </w:rPr>
        <w:t> </w:t>
      </w:r>
      <w:r>
        <w:rPr/>
        <w:t>complete specification</w:t>
      </w:r>
      <w:r>
        <w:rPr>
          <w:spacing w:val="-4"/>
        </w:rPr>
        <w:t> </w:t>
      </w:r>
      <w:r>
        <w:rPr/>
        <w:t>of</w:t>
      </w:r>
      <w:r>
        <w:rPr>
          <w:spacing w:val="-4"/>
        </w:rPr>
        <w:t> </w:t>
      </w:r>
      <w:r>
        <w:rPr/>
        <w:t>the</w:t>
      </w:r>
      <w:r>
        <w:rPr>
          <w:spacing w:val="-4"/>
        </w:rPr>
        <w:t> </w:t>
      </w:r>
      <w:r>
        <w:rPr/>
        <w:t>transition</w:t>
      </w:r>
      <w:r>
        <w:rPr>
          <w:spacing w:val="-4"/>
        </w:rPr>
        <w:t> </w:t>
      </w:r>
      <w:r>
        <w:rPr/>
        <w:t>matrix,</w:t>
      </w:r>
      <w:r>
        <w:rPr>
          <w:spacing w:val="-3"/>
        </w:rPr>
        <w:t> </w:t>
      </w:r>
      <w:r>
        <w:rPr/>
        <w:t>which</w:t>
      </w:r>
      <w:r>
        <w:rPr>
          <w:spacing w:val="-4"/>
        </w:rPr>
        <w:t> </w:t>
      </w:r>
      <w:r>
        <w:rPr/>
        <w:t>may</w:t>
      </w:r>
      <w:r>
        <w:rPr>
          <w:spacing w:val="-4"/>
        </w:rPr>
        <w:t> </w:t>
      </w:r>
      <w:r>
        <w:rPr/>
        <w:t>not</w:t>
      </w:r>
      <w:r>
        <w:rPr>
          <w:spacing w:val="-4"/>
        </w:rPr>
        <w:t> </w:t>
      </w:r>
      <w:r>
        <w:rPr/>
        <w:t>be</w:t>
      </w:r>
      <w:r>
        <w:rPr>
          <w:spacing w:val="-4"/>
        </w:rPr>
        <w:t> </w:t>
      </w:r>
      <w:r>
        <w:rPr/>
        <w:t>computationally</w:t>
      </w:r>
      <w:r>
        <w:rPr>
          <w:spacing w:val="-4"/>
        </w:rPr>
        <w:t> </w:t>
      </w:r>
      <w:r>
        <w:rPr/>
        <w:t>feasible</w:t>
      </w:r>
      <w:r>
        <w:rPr>
          <w:spacing w:val="-4"/>
        </w:rPr>
        <w:t> </w:t>
      </w:r>
      <w:r>
        <w:rPr/>
        <w:t>if</w:t>
      </w:r>
      <w:r>
        <w:rPr>
          <w:spacing w:val="-4"/>
        </w:rPr>
        <w:t> </w:t>
      </w:r>
      <w:r>
        <w:rPr/>
        <w:t>more than</w:t>
      </w:r>
      <w:r>
        <w:rPr>
          <w:spacing w:val="-1"/>
        </w:rPr>
        <w:t> </w:t>
      </w:r>
      <w:r>
        <w:rPr/>
        <w:t>two actions</w:t>
      </w:r>
      <w:r>
        <w:rPr>
          <w:spacing w:val="-1"/>
        </w:rPr>
        <w:t> </w:t>
      </w:r>
      <w:r>
        <w:rPr/>
        <w:t>are evaluated.</w:t>
      </w:r>
      <w:r>
        <w:rPr>
          <w:spacing w:val="26"/>
        </w:rPr>
        <w:t> </w:t>
      </w:r>
      <w:r>
        <w:rPr/>
        <w:t>However, the study</w:t>
      </w:r>
      <w:r>
        <w:rPr>
          <w:spacing w:val="-1"/>
        </w:rPr>
        <w:t> </w:t>
      </w:r>
      <w:r>
        <w:rPr/>
        <w:t>provides a</w:t>
      </w:r>
      <w:r>
        <w:rPr>
          <w:spacing w:val="-1"/>
        </w:rPr>
        <w:t> </w:t>
      </w:r>
      <w:r>
        <w:rPr/>
        <w:t>baseline approach, which could be adapted to the needs of rugby league.</w:t>
      </w:r>
    </w:p>
    <w:p>
      <w:pPr>
        <w:pStyle w:val="BodyText"/>
        <w:spacing w:line="312" w:lineRule="auto"/>
        <w:ind w:left="610" w:right="389" w:firstLine="351"/>
      </w:pPr>
      <w:hyperlink w:history="true" w:anchor="_bookmark275">
        <w:r>
          <w:rPr>
            <w:color w:val="FF0000"/>
          </w:rPr>
          <w:t>Merhej et al.</w:t>
        </w:r>
      </w:hyperlink>
      <w:r>
        <w:rPr/>
        <w:t>(</w:t>
      </w:r>
      <w:hyperlink w:history="true" w:anchor="_bookmark275">
        <w:r>
          <w:rPr>
            <w:color w:val="FF0000"/>
          </w:rPr>
          <w:t>2021</w:t>
        </w:r>
        <w:r>
          <w:rPr/>
          <w:t>)</w:t>
        </w:r>
      </w:hyperlink>
      <w:r>
        <w:rPr/>
        <w:t> extended the work of</w:t>
      </w:r>
      <w:hyperlink w:history="true" w:anchor="_bookmark294">
        <w:r>
          <w:rPr>
            <w:color w:val="FF0000"/>
          </w:rPr>
          <w:t>Singh</w:t>
        </w:r>
        <w:r>
          <w:rPr/>
          <w:t>(</w:t>
        </w:r>
      </w:hyperlink>
      <w:r>
        <w:rPr>
          <w:color w:val="FF0000"/>
        </w:rPr>
        <w:t>n.d.</w:t>
      </w:r>
      <w:hyperlink w:history="true" w:anchor="_bookmark294">
        <w:r>
          <w:rPr/>
          <w:t>)</w:t>
        </w:r>
      </w:hyperlink>
      <w:r>
        <w:rPr/>
        <w:t> by using deep learning to eval- uate</w:t>
      </w:r>
      <w:r>
        <w:rPr>
          <w:spacing w:val="-2"/>
        </w:rPr>
        <w:t> </w:t>
      </w:r>
      <w:r>
        <w:rPr/>
        <w:t>defensive</w:t>
      </w:r>
      <w:r>
        <w:rPr>
          <w:spacing w:val="-2"/>
        </w:rPr>
        <w:t> </w:t>
      </w:r>
      <w:r>
        <w:rPr/>
        <w:t>actions</w:t>
      </w:r>
      <w:r>
        <w:rPr>
          <w:spacing w:val="-2"/>
        </w:rPr>
        <w:t> </w:t>
      </w:r>
      <w:r>
        <w:rPr/>
        <w:t>using</w:t>
      </w:r>
      <w:r>
        <w:rPr>
          <w:spacing w:val="-2"/>
        </w:rPr>
        <w:t> </w:t>
      </w:r>
      <w:r>
        <w:rPr/>
        <w:t>only</w:t>
      </w:r>
      <w:r>
        <w:rPr>
          <w:spacing w:val="-2"/>
        </w:rPr>
        <w:t> </w:t>
      </w:r>
      <w:r>
        <w:rPr/>
        <w:t>event</w:t>
      </w:r>
      <w:r>
        <w:rPr>
          <w:spacing w:val="-2"/>
        </w:rPr>
        <w:t> </w:t>
      </w:r>
      <w:r>
        <w:rPr/>
        <w:t>level</w:t>
      </w:r>
      <w:r>
        <w:rPr>
          <w:spacing w:val="-2"/>
        </w:rPr>
        <w:t> </w:t>
      </w:r>
      <w:r>
        <w:rPr/>
        <w:t>football</w:t>
      </w:r>
      <w:r>
        <w:rPr>
          <w:spacing w:val="-2"/>
        </w:rPr>
        <w:t> </w:t>
      </w:r>
      <w:r>
        <w:rPr/>
        <w:t>data.</w:t>
      </w:r>
      <w:r>
        <w:rPr>
          <w:spacing w:val="22"/>
        </w:rPr>
        <w:t> </w:t>
      </w:r>
      <w:r>
        <w:rPr/>
        <w:t>They</w:t>
      </w:r>
      <w:r>
        <w:rPr>
          <w:spacing w:val="-2"/>
        </w:rPr>
        <w:t> </w:t>
      </w:r>
      <w:r>
        <w:rPr/>
        <w:t>used</w:t>
      </w:r>
      <w:r>
        <w:rPr>
          <w:spacing w:val="-2"/>
        </w:rPr>
        <w:t> </w:t>
      </w:r>
      <w:r>
        <w:rPr/>
        <w:t>760</w:t>
      </w:r>
      <w:r>
        <w:rPr>
          <w:spacing w:val="-2"/>
        </w:rPr>
        <w:t> </w:t>
      </w:r>
      <w:r>
        <w:rPr/>
        <w:t>matches</w:t>
      </w:r>
      <w:r>
        <w:rPr>
          <w:spacing w:val="-2"/>
        </w:rPr>
        <w:t> </w:t>
      </w:r>
      <w:r>
        <w:rPr/>
        <w:t>from 2</w:t>
      </w:r>
      <w:r>
        <w:rPr>
          <w:spacing w:val="-4"/>
        </w:rPr>
        <w:t> </w:t>
      </w:r>
      <w:r>
        <w:rPr/>
        <w:t>seasons</w:t>
      </w:r>
      <w:r>
        <w:rPr>
          <w:spacing w:val="-4"/>
        </w:rPr>
        <w:t> </w:t>
      </w:r>
      <w:r>
        <w:rPr/>
        <w:t>of</w:t>
      </w:r>
      <w:r>
        <w:rPr>
          <w:spacing w:val="-4"/>
        </w:rPr>
        <w:t> </w:t>
      </w:r>
      <w:r>
        <w:rPr/>
        <w:t>English</w:t>
      </w:r>
      <w:r>
        <w:rPr>
          <w:spacing w:val="-4"/>
        </w:rPr>
        <w:t> </w:t>
      </w:r>
      <w:r>
        <w:rPr/>
        <w:t>Premier</w:t>
      </w:r>
      <w:r>
        <w:rPr>
          <w:spacing w:val="-4"/>
        </w:rPr>
        <w:t> </w:t>
      </w:r>
      <w:r>
        <w:rPr/>
        <w:t>League</w:t>
      </w:r>
      <w:r>
        <w:rPr>
          <w:spacing w:val="-4"/>
        </w:rPr>
        <w:t> </w:t>
      </w:r>
      <w:r>
        <w:rPr/>
        <w:t>football</w:t>
      </w:r>
      <w:r>
        <w:rPr>
          <w:spacing w:val="-4"/>
        </w:rPr>
        <w:t> </w:t>
      </w:r>
      <w:r>
        <w:rPr/>
        <w:t>data</w:t>
      </w:r>
      <w:r>
        <w:rPr>
          <w:spacing w:val="-4"/>
        </w:rPr>
        <w:t> </w:t>
      </w:r>
      <w:r>
        <w:rPr/>
        <w:t>(2017-2019). First,</w:t>
      </w:r>
      <w:r>
        <w:rPr>
          <w:spacing w:val="-3"/>
        </w:rPr>
        <w:t> </w:t>
      </w:r>
      <w:r>
        <w:rPr/>
        <w:t>they</w:t>
      </w:r>
      <w:r>
        <w:rPr>
          <w:spacing w:val="-4"/>
        </w:rPr>
        <w:t> </w:t>
      </w:r>
      <w:r>
        <w:rPr/>
        <w:t>preprocessed their</w:t>
      </w:r>
      <w:r>
        <w:rPr>
          <w:spacing w:val="-4"/>
        </w:rPr>
        <w:t> </w:t>
      </w:r>
      <w:r>
        <w:rPr/>
        <w:t>data</w:t>
      </w:r>
      <w:r>
        <w:rPr>
          <w:spacing w:val="-4"/>
        </w:rPr>
        <w:t> </w:t>
      </w:r>
      <w:r>
        <w:rPr/>
        <w:t>and</w:t>
      </w:r>
      <w:r>
        <w:rPr>
          <w:spacing w:val="-4"/>
        </w:rPr>
        <w:t> </w:t>
      </w:r>
      <w:r>
        <w:rPr/>
        <w:t>produced</w:t>
      </w:r>
      <w:r>
        <w:rPr>
          <w:spacing w:val="-4"/>
        </w:rPr>
        <w:t> </w:t>
      </w:r>
      <w:r>
        <w:rPr/>
        <w:t>an</w:t>
      </w:r>
      <w:r>
        <w:rPr>
          <w:spacing w:val="-4"/>
        </w:rPr>
        <w:t> </w:t>
      </w:r>
      <w:r>
        <w:rPr/>
        <w:t>xT</w:t>
      </w:r>
      <w:r>
        <w:rPr>
          <w:spacing w:val="-4"/>
        </w:rPr>
        <w:t> </w:t>
      </w:r>
      <w:r>
        <w:rPr/>
        <w:t>model</w:t>
      </w:r>
      <w:r>
        <w:rPr>
          <w:spacing w:val="-4"/>
        </w:rPr>
        <w:t> </w:t>
      </w:r>
      <w:r>
        <w:rPr/>
        <w:t>specific</w:t>
      </w:r>
      <w:r>
        <w:rPr>
          <w:spacing w:val="-4"/>
        </w:rPr>
        <w:t> </w:t>
      </w:r>
      <w:r>
        <w:rPr/>
        <w:t>to</w:t>
      </w:r>
      <w:r>
        <w:rPr>
          <w:spacing w:val="-4"/>
        </w:rPr>
        <w:t> </w:t>
      </w:r>
      <w:r>
        <w:rPr/>
        <w:t>their</w:t>
      </w:r>
      <w:r>
        <w:rPr>
          <w:spacing w:val="-4"/>
        </w:rPr>
        <w:t> </w:t>
      </w:r>
      <w:r>
        <w:rPr/>
        <w:t>data,</w:t>
      </w:r>
      <w:r>
        <w:rPr>
          <w:spacing w:val="-3"/>
        </w:rPr>
        <w:t> </w:t>
      </w:r>
      <w:r>
        <w:rPr/>
        <w:t>following</w:t>
      </w:r>
      <w:r>
        <w:rPr>
          <w:spacing w:val="-4"/>
        </w:rPr>
        <w:t> </w:t>
      </w:r>
      <w:r>
        <w:rPr/>
        <w:t>the</w:t>
      </w:r>
      <w:r>
        <w:rPr>
          <w:spacing w:val="-4"/>
        </w:rPr>
        <w:t> </w:t>
      </w:r>
      <w:r>
        <w:rPr/>
        <w:t>previously</w:t>
      </w:r>
      <w:r>
        <w:rPr>
          <w:spacing w:val="-4"/>
        </w:rPr>
        <w:t> </w:t>
      </w:r>
      <w:r>
        <w:rPr/>
        <w:t>pub- lished methodology (</w:t>
      </w:r>
      <w:hyperlink w:history="true" w:anchor="_bookmark294">
        <w:r>
          <w:rPr>
            <w:color w:val="FF0000"/>
          </w:rPr>
          <w:t>Singh</w:t>
        </w:r>
      </w:hyperlink>
      <w:r>
        <w:rPr/>
        <w:t>,</w:t>
      </w:r>
      <w:hyperlink w:history="true" w:anchor="_bookmark294">
        <w:r>
          <w:rPr>
            <w:color w:val="FF0000"/>
          </w:rPr>
          <w:t>n.d.</w:t>
        </w:r>
      </w:hyperlink>
      <w:r>
        <w:rPr/>
        <w:t>).</w:t>
      </w:r>
      <w:r>
        <w:rPr>
          <w:spacing w:val="28"/>
        </w:rPr>
        <w:t> </w:t>
      </w:r>
      <w:r>
        <w:rPr/>
        <w:t>Next, the authors produced a simple feature dataset of two previous actions, providing their </w:t>
      </w:r>
      <w:r>
        <w:rPr>
          <w:rFonts w:ascii="Cambria" w:hAnsi="Cambria"/>
        </w:rPr>
        <w:t>x </w:t>
      </w:r>
      <w:r>
        <w:rPr/>
        <w:t>and </w:t>
      </w:r>
      <w:r>
        <w:rPr>
          <w:rFonts w:ascii="Cambria" w:hAnsi="Cambria"/>
        </w:rPr>
        <w:t>y</w:t>
      </w:r>
      <w:r>
        <w:rPr>
          <w:rFonts w:ascii="Cambria" w:hAnsi="Cambria"/>
          <w:spacing w:val="23"/>
        </w:rPr>
        <w:t> </w:t>
      </w:r>
      <w:r>
        <w:rPr/>
        <w:t>co-ordinates and their xT value.</w:t>
      </w:r>
      <w:r>
        <w:rPr>
          <w:spacing w:val="40"/>
        </w:rPr>
        <w:t> </w:t>
      </w:r>
      <w:r>
        <w:rPr/>
        <w:t>A multi- layer</w:t>
      </w:r>
      <w:r>
        <w:rPr>
          <w:spacing w:val="-5"/>
        </w:rPr>
        <w:t> </w:t>
      </w:r>
      <w:r>
        <w:rPr/>
        <w:t>perceptron</w:t>
      </w:r>
      <w:r>
        <w:rPr>
          <w:spacing w:val="-5"/>
        </w:rPr>
        <w:t> </w:t>
      </w:r>
      <w:r>
        <w:rPr/>
        <w:t>model</w:t>
      </w:r>
      <w:r>
        <w:rPr>
          <w:spacing w:val="-5"/>
        </w:rPr>
        <w:t> </w:t>
      </w:r>
      <w:r>
        <w:rPr/>
        <w:t>was</w:t>
      </w:r>
      <w:r>
        <w:rPr>
          <w:spacing w:val="-5"/>
        </w:rPr>
        <w:t> </w:t>
      </w:r>
      <w:r>
        <w:rPr/>
        <w:t>used</w:t>
      </w:r>
      <w:r>
        <w:rPr>
          <w:spacing w:val="-5"/>
        </w:rPr>
        <w:t> </w:t>
      </w:r>
      <w:r>
        <w:rPr/>
        <w:t>to</w:t>
      </w:r>
      <w:r>
        <w:rPr>
          <w:spacing w:val="-5"/>
        </w:rPr>
        <w:t> </w:t>
      </w:r>
      <w:r>
        <w:rPr/>
        <w:t>predict</w:t>
      </w:r>
      <w:r>
        <w:rPr>
          <w:spacing w:val="-5"/>
        </w:rPr>
        <w:t> </w:t>
      </w:r>
      <w:r>
        <w:rPr/>
        <w:t>the</w:t>
      </w:r>
      <w:r>
        <w:rPr>
          <w:spacing w:val="-5"/>
        </w:rPr>
        <w:t> </w:t>
      </w:r>
      <w:r>
        <w:rPr/>
        <w:t>xT,</w:t>
      </w:r>
      <w:r>
        <w:rPr>
          <w:spacing w:val="-5"/>
        </w:rPr>
        <w:t> </w:t>
      </w:r>
      <w:r>
        <w:rPr/>
        <w:t>which</w:t>
      </w:r>
      <w:r>
        <w:rPr>
          <w:spacing w:val="-5"/>
        </w:rPr>
        <w:t> </w:t>
      </w:r>
      <w:r>
        <w:rPr/>
        <w:t>an</w:t>
      </w:r>
      <w:r>
        <w:rPr>
          <w:spacing w:val="-5"/>
        </w:rPr>
        <w:t> </w:t>
      </w:r>
      <w:r>
        <w:rPr/>
        <w:t>action</w:t>
      </w:r>
      <w:r>
        <w:rPr>
          <w:spacing w:val="-5"/>
        </w:rPr>
        <w:t> </w:t>
      </w:r>
      <w:r>
        <w:rPr/>
        <w:t>would</w:t>
      </w:r>
      <w:r>
        <w:rPr>
          <w:spacing w:val="-5"/>
        </w:rPr>
        <w:t> </w:t>
      </w:r>
      <w:r>
        <w:rPr/>
        <w:t>have</w:t>
      </w:r>
      <w:r>
        <w:rPr>
          <w:spacing w:val="-5"/>
        </w:rPr>
        <w:t> </w:t>
      </w:r>
      <w:r>
        <w:rPr/>
        <w:t>achieved if</w:t>
      </w:r>
      <w:r>
        <w:rPr>
          <w:spacing w:val="-6"/>
        </w:rPr>
        <w:t> </w:t>
      </w:r>
      <w:r>
        <w:rPr/>
        <w:t>a</w:t>
      </w:r>
      <w:r>
        <w:rPr>
          <w:spacing w:val="-5"/>
        </w:rPr>
        <w:t> </w:t>
      </w:r>
      <w:r>
        <w:rPr/>
        <w:t>tackle</w:t>
      </w:r>
      <w:r>
        <w:rPr>
          <w:spacing w:val="-6"/>
        </w:rPr>
        <w:t> </w:t>
      </w:r>
      <w:r>
        <w:rPr/>
        <w:t>or</w:t>
      </w:r>
      <w:r>
        <w:rPr>
          <w:spacing w:val="-6"/>
        </w:rPr>
        <w:t> </w:t>
      </w:r>
      <w:r>
        <w:rPr/>
        <w:t>interception</w:t>
      </w:r>
      <w:r>
        <w:rPr>
          <w:spacing w:val="-5"/>
        </w:rPr>
        <w:t> </w:t>
      </w:r>
      <w:r>
        <w:rPr/>
        <w:t>had</w:t>
      </w:r>
      <w:r>
        <w:rPr>
          <w:spacing w:val="-6"/>
        </w:rPr>
        <w:t> </w:t>
      </w:r>
      <w:r>
        <w:rPr/>
        <w:t>not</w:t>
      </w:r>
      <w:r>
        <w:rPr>
          <w:spacing w:val="-6"/>
        </w:rPr>
        <w:t> </w:t>
      </w:r>
      <w:r>
        <w:rPr/>
        <w:t>been</w:t>
      </w:r>
      <w:r>
        <w:rPr>
          <w:spacing w:val="-5"/>
        </w:rPr>
        <w:t> </w:t>
      </w:r>
      <w:r>
        <w:rPr/>
        <w:t>made</w:t>
      </w:r>
      <w:r>
        <w:rPr>
          <w:spacing w:val="-6"/>
        </w:rPr>
        <w:t> </w:t>
      </w:r>
      <w:r>
        <w:rPr/>
        <w:t>by</w:t>
      </w:r>
      <w:r>
        <w:rPr>
          <w:spacing w:val="-6"/>
        </w:rPr>
        <w:t> </w:t>
      </w:r>
      <w:r>
        <w:rPr/>
        <w:t>the</w:t>
      </w:r>
      <w:r>
        <w:rPr>
          <w:spacing w:val="-5"/>
        </w:rPr>
        <w:t> </w:t>
      </w:r>
      <w:r>
        <w:rPr/>
        <w:t>opposition. The</w:t>
      </w:r>
      <w:r>
        <w:rPr>
          <w:spacing w:val="-6"/>
        </w:rPr>
        <w:t> </w:t>
      </w:r>
      <w:r>
        <w:rPr/>
        <w:t>authors</w:t>
      </w:r>
      <w:r>
        <w:rPr>
          <w:spacing w:val="-5"/>
        </w:rPr>
        <w:t> </w:t>
      </w:r>
      <w:r>
        <w:rPr/>
        <w:t>showed</w:t>
      </w:r>
      <w:r>
        <w:rPr>
          <w:spacing w:val="-6"/>
        </w:rPr>
        <w:t> </w:t>
      </w:r>
      <w:r>
        <w:rPr/>
        <w:t>how these</w:t>
      </w:r>
      <w:r>
        <w:rPr>
          <w:spacing w:val="-10"/>
        </w:rPr>
        <w:t> </w:t>
      </w:r>
      <w:r>
        <w:rPr/>
        <w:t>predicted</w:t>
      </w:r>
      <w:r>
        <w:rPr>
          <w:spacing w:val="-10"/>
        </w:rPr>
        <w:t> </w:t>
      </w:r>
      <w:r>
        <w:rPr/>
        <w:t>xTs</w:t>
      </w:r>
      <w:r>
        <w:rPr>
          <w:spacing w:val="-10"/>
        </w:rPr>
        <w:t> </w:t>
      </w:r>
      <w:r>
        <w:rPr/>
        <w:t>could</w:t>
      </w:r>
      <w:r>
        <w:rPr>
          <w:spacing w:val="-10"/>
        </w:rPr>
        <w:t> </w:t>
      </w:r>
      <w:r>
        <w:rPr/>
        <w:t>be</w:t>
      </w:r>
      <w:r>
        <w:rPr>
          <w:spacing w:val="-10"/>
        </w:rPr>
        <w:t> </w:t>
      </w:r>
      <w:r>
        <w:rPr/>
        <w:t>used</w:t>
      </w:r>
      <w:r>
        <w:rPr>
          <w:spacing w:val="-10"/>
        </w:rPr>
        <w:t> </w:t>
      </w:r>
      <w:r>
        <w:rPr/>
        <w:t>to</w:t>
      </w:r>
      <w:r>
        <w:rPr>
          <w:spacing w:val="-10"/>
        </w:rPr>
        <w:t> </w:t>
      </w:r>
      <w:r>
        <w:rPr/>
        <w:t>value</w:t>
      </w:r>
      <w:r>
        <w:rPr>
          <w:spacing w:val="-10"/>
        </w:rPr>
        <w:t> </w:t>
      </w:r>
      <w:r>
        <w:rPr/>
        <w:t>individual</w:t>
      </w:r>
      <w:r>
        <w:rPr>
          <w:spacing w:val="-10"/>
        </w:rPr>
        <w:t> </w:t>
      </w:r>
      <w:r>
        <w:rPr/>
        <w:t>players’</w:t>
      </w:r>
      <w:r>
        <w:rPr>
          <w:spacing w:val="-10"/>
        </w:rPr>
        <w:t> </w:t>
      </w:r>
      <w:r>
        <w:rPr/>
        <w:t>defensive</w:t>
      </w:r>
      <w:r>
        <w:rPr>
          <w:spacing w:val="-10"/>
        </w:rPr>
        <w:t> </w:t>
      </w:r>
      <w:r>
        <w:rPr/>
        <w:t>performances</w:t>
      </w:r>
      <w:r>
        <w:rPr>
          <w:spacing w:val="-10"/>
        </w:rPr>
        <w:t> </w:t>
      </w:r>
      <w:r>
        <w:rPr/>
        <w:t>by summing them and normalising to a 0-100 score.</w:t>
      </w:r>
      <w:r>
        <w:rPr>
          <w:spacing w:val="24"/>
        </w:rPr>
        <w:t> </w:t>
      </w:r>
      <w:r>
        <w:rPr/>
        <w:t>The study provides a practical method </w:t>
      </w:r>
      <w:r>
        <w:rPr>
          <w:spacing w:val="-2"/>
        </w:rPr>
        <w:t>through</w:t>
      </w:r>
      <w:r>
        <w:rPr>
          <w:spacing w:val="-11"/>
        </w:rPr>
        <w:t> </w:t>
      </w:r>
      <w:r>
        <w:rPr>
          <w:spacing w:val="-2"/>
        </w:rPr>
        <w:t>which</w:t>
      </w:r>
      <w:r>
        <w:rPr>
          <w:spacing w:val="-11"/>
        </w:rPr>
        <w:t> </w:t>
      </w:r>
      <w:r>
        <w:rPr>
          <w:spacing w:val="-2"/>
        </w:rPr>
        <w:t>defensive</w:t>
      </w:r>
      <w:r>
        <w:rPr>
          <w:spacing w:val="-11"/>
        </w:rPr>
        <w:t> </w:t>
      </w:r>
      <w:r>
        <w:rPr>
          <w:spacing w:val="-2"/>
        </w:rPr>
        <w:t>actions</w:t>
      </w:r>
      <w:r>
        <w:rPr>
          <w:spacing w:val="-11"/>
        </w:rPr>
        <w:t> </w:t>
      </w:r>
      <w:r>
        <w:rPr>
          <w:spacing w:val="-2"/>
        </w:rPr>
        <w:t>can</w:t>
      </w:r>
      <w:r>
        <w:rPr>
          <w:spacing w:val="-11"/>
        </w:rPr>
        <w:t> </w:t>
      </w:r>
      <w:r>
        <w:rPr>
          <w:spacing w:val="-2"/>
        </w:rPr>
        <w:t>be</w:t>
      </w:r>
      <w:r>
        <w:rPr>
          <w:spacing w:val="-11"/>
        </w:rPr>
        <w:t> </w:t>
      </w:r>
      <w:r>
        <w:rPr>
          <w:spacing w:val="-2"/>
        </w:rPr>
        <w:t>evaluated</w:t>
      </w:r>
      <w:r>
        <w:rPr>
          <w:spacing w:val="-11"/>
        </w:rPr>
        <w:t> </w:t>
      </w:r>
      <w:r>
        <w:rPr>
          <w:spacing w:val="-2"/>
        </w:rPr>
        <w:t>and</w:t>
      </w:r>
      <w:r>
        <w:rPr>
          <w:spacing w:val="-11"/>
        </w:rPr>
        <w:t> </w:t>
      </w:r>
      <w:r>
        <w:rPr>
          <w:spacing w:val="-2"/>
        </w:rPr>
        <w:t>only</w:t>
      </w:r>
      <w:r>
        <w:rPr>
          <w:spacing w:val="-11"/>
        </w:rPr>
        <w:t> </w:t>
      </w:r>
      <w:r>
        <w:rPr>
          <w:spacing w:val="-2"/>
        </w:rPr>
        <w:t>requires</w:t>
      </w:r>
      <w:r>
        <w:rPr>
          <w:spacing w:val="-11"/>
        </w:rPr>
        <w:t> </w:t>
      </w:r>
      <w:r>
        <w:rPr>
          <w:spacing w:val="-2"/>
        </w:rPr>
        <w:t>event</w:t>
      </w:r>
      <w:r>
        <w:rPr>
          <w:spacing w:val="-11"/>
        </w:rPr>
        <w:t> </w:t>
      </w:r>
      <w:r>
        <w:rPr>
          <w:spacing w:val="-2"/>
        </w:rPr>
        <w:t>level</w:t>
      </w:r>
      <w:r>
        <w:rPr>
          <w:spacing w:val="-11"/>
        </w:rPr>
        <w:t> </w:t>
      </w:r>
      <w:r>
        <w:rPr>
          <w:spacing w:val="-2"/>
        </w:rPr>
        <w:t>data.</w:t>
      </w:r>
      <w:r>
        <w:rPr>
          <w:spacing w:val="14"/>
        </w:rPr>
        <w:t> </w:t>
      </w:r>
      <w:r>
        <w:rPr>
          <w:spacing w:val="-2"/>
        </w:rPr>
        <w:t>How- </w:t>
      </w:r>
      <w:r>
        <w:rPr/>
        <w:t>ever,</w:t>
      </w:r>
      <w:r>
        <w:rPr>
          <w:spacing w:val="-6"/>
        </w:rPr>
        <w:t> </w:t>
      </w:r>
      <w:r>
        <w:rPr/>
        <w:t>it</w:t>
      </w:r>
      <w:r>
        <w:rPr>
          <w:spacing w:val="-6"/>
        </w:rPr>
        <w:t> </w:t>
      </w:r>
      <w:r>
        <w:rPr/>
        <w:t>relies</w:t>
      </w:r>
      <w:r>
        <w:rPr>
          <w:spacing w:val="-6"/>
        </w:rPr>
        <w:t> </w:t>
      </w:r>
      <w:r>
        <w:rPr/>
        <w:t>on</w:t>
      </w:r>
      <w:r>
        <w:rPr>
          <w:spacing w:val="-6"/>
        </w:rPr>
        <w:t> </w:t>
      </w:r>
      <w:r>
        <w:rPr/>
        <w:t>a</w:t>
      </w:r>
      <w:r>
        <w:rPr>
          <w:spacing w:val="-6"/>
        </w:rPr>
        <w:t> </w:t>
      </w:r>
      <w:r>
        <w:rPr/>
        <w:t>version</w:t>
      </w:r>
      <w:r>
        <w:rPr>
          <w:spacing w:val="-6"/>
        </w:rPr>
        <w:t> </w:t>
      </w:r>
      <w:r>
        <w:rPr/>
        <w:t>of</w:t>
      </w:r>
      <w:r>
        <w:rPr>
          <w:spacing w:val="-6"/>
        </w:rPr>
        <w:t> </w:t>
      </w:r>
      <w:r>
        <w:rPr/>
        <w:t>an</w:t>
      </w:r>
      <w:r>
        <w:rPr>
          <w:spacing w:val="-6"/>
        </w:rPr>
        <w:t> </w:t>
      </w:r>
      <w:r>
        <w:rPr/>
        <w:t>EPV</w:t>
      </w:r>
      <w:r>
        <w:rPr>
          <w:spacing w:val="-6"/>
        </w:rPr>
        <w:t> </w:t>
      </w:r>
      <w:r>
        <w:rPr/>
        <w:t>or</w:t>
      </w:r>
      <w:r>
        <w:rPr>
          <w:spacing w:val="-6"/>
        </w:rPr>
        <w:t> </w:t>
      </w:r>
      <w:r>
        <w:rPr/>
        <w:t>xT</w:t>
      </w:r>
      <w:r>
        <w:rPr>
          <w:spacing w:val="-6"/>
        </w:rPr>
        <w:t> </w:t>
      </w:r>
      <w:r>
        <w:rPr/>
        <w:t>model,</w:t>
      </w:r>
      <w:r>
        <w:rPr>
          <w:spacing w:val="-6"/>
        </w:rPr>
        <w:t> </w:t>
      </w:r>
      <w:r>
        <w:rPr/>
        <w:t>which</w:t>
      </w:r>
      <w:r>
        <w:rPr>
          <w:spacing w:val="-6"/>
        </w:rPr>
        <w:t> </w:t>
      </w:r>
      <w:r>
        <w:rPr/>
        <w:t>can</w:t>
      </w:r>
      <w:r>
        <w:rPr>
          <w:spacing w:val="-6"/>
        </w:rPr>
        <w:t> </w:t>
      </w:r>
      <w:r>
        <w:rPr/>
        <w:t>be</w:t>
      </w:r>
      <w:r>
        <w:rPr>
          <w:spacing w:val="-6"/>
        </w:rPr>
        <w:t> </w:t>
      </w:r>
      <w:r>
        <w:rPr/>
        <w:t>applied</w:t>
      </w:r>
      <w:r>
        <w:rPr>
          <w:spacing w:val="-6"/>
        </w:rPr>
        <w:t> </w:t>
      </w:r>
      <w:r>
        <w:rPr/>
        <w:t>to</w:t>
      </w:r>
      <w:r>
        <w:rPr>
          <w:spacing w:val="-6"/>
        </w:rPr>
        <w:t> </w:t>
      </w:r>
      <w:r>
        <w:rPr/>
        <w:t>player</w:t>
      </w:r>
      <w:r>
        <w:rPr>
          <w:spacing w:val="-6"/>
        </w:rPr>
        <w:t> </w:t>
      </w:r>
      <w:r>
        <w:rPr/>
        <w:t>perfor- mances. Such</w:t>
      </w:r>
      <w:r>
        <w:rPr>
          <w:spacing w:val="-8"/>
        </w:rPr>
        <w:t> </w:t>
      </w:r>
      <w:r>
        <w:rPr/>
        <w:t>a</w:t>
      </w:r>
      <w:r>
        <w:rPr>
          <w:spacing w:val="-8"/>
        </w:rPr>
        <w:t> </w:t>
      </w:r>
      <w:r>
        <w:rPr/>
        <w:t>model</w:t>
      </w:r>
      <w:r>
        <w:rPr>
          <w:spacing w:val="-8"/>
        </w:rPr>
        <w:t> </w:t>
      </w:r>
      <w:r>
        <w:rPr/>
        <w:t>is</w:t>
      </w:r>
      <w:r>
        <w:rPr>
          <w:spacing w:val="-8"/>
        </w:rPr>
        <w:t> </w:t>
      </w:r>
      <w:r>
        <w:rPr/>
        <w:t>not</w:t>
      </w:r>
      <w:r>
        <w:rPr>
          <w:spacing w:val="-8"/>
        </w:rPr>
        <w:t> </w:t>
      </w:r>
      <w:r>
        <w:rPr/>
        <w:t>currently</w:t>
      </w:r>
      <w:r>
        <w:rPr>
          <w:spacing w:val="-8"/>
        </w:rPr>
        <w:t> </w:t>
      </w:r>
      <w:r>
        <w:rPr/>
        <w:t>available</w:t>
      </w:r>
      <w:r>
        <w:rPr>
          <w:spacing w:val="-8"/>
        </w:rPr>
        <w:t> </w:t>
      </w:r>
      <w:r>
        <w:rPr/>
        <w:t>within</w:t>
      </w:r>
      <w:r>
        <w:rPr>
          <w:spacing w:val="-8"/>
        </w:rPr>
        <w:t> </w:t>
      </w:r>
      <w:r>
        <w:rPr/>
        <w:t>rugby</w:t>
      </w:r>
      <w:r>
        <w:rPr>
          <w:spacing w:val="-8"/>
        </w:rPr>
        <w:t> </w:t>
      </w:r>
      <w:r>
        <w:rPr/>
        <w:t>league,</w:t>
      </w:r>
      <w:r>
        <w:rPr>
          <w:spacing w:val="-8"/>
        </w:rPr>
        <w:t> </w:t>
      </w:r>
      <w:r>
        <w:rPr/>
        <w:t>so</w:t>
      </w:r>
      <w:r>
        <w:rPr>
          <w:spacing w:val="-8"/>
        </w:rPr>
        <w:t> </w:t>
      </w:r>
      <w:r>
        <w:rPr/>
        <w:t>it</w:t>
      </w:r>
      <w:r>
        <w:rPr>
          <w:spacing w:val="-8"/>
        </w:rPr>
        <w:t> </w:t>
      </w:r>
      <w:r>
        <w:rPr/>
        <w:t>will</w:t>
      </w:r>
      <w:r>
        <w:rPr>
          <w:spacing w:val="-8"/>
        </w:rPr>
        <w:t> </w:t>
      </w:r>
      <w:r>
        <w:rPr/>
        <w:t>need</w:t>
      </w:r>
      <w:r>
        <w:rPr>
          <w:spacing w:val="-8"/>
        </w:rPr>
        <w:t> </w:t>
      </w:r>
      <w:r>
        <w:rPr/>
        <w:t>to</w:t>
      </w:r>
      <w:r>
        <w:rPr>
          <w:spacing w:val="-8"/>
        </w:rPr>
        <w:t> </w:t>
      </w:r>
      <w:r>
        <w:rPr/>
        <w:t>be developed before the concepts of this study can be applied to the sport.</w:t>
      </w:r>
    </w:p>
    <w:p>
      <w:pPr>
        <w:pStyle w:val="BodyText"/>
        <w:spacing w:line="312" w:lineRule="auto"/>
        <w:ind w:left="610" w:right="389" w:firstLine="351"/>
      </w:pPr>
      <w:hyperlink w:history="true" w:anchor="_bookmark232">
        <w:r>
          <w:rPr>
            <w:color w:val="FF0000"/>
          </w:rPr>
          <w:t>Chan</w:t>
        </w:r>
        <w:r>
          <w:rPr>
            <w:color w:val="FF0000"/>
            <w:spacing w:val="40"/>
          </w:rPr>
          <w:t> </w:t>
        </w:r>
        <w:r>
          <w:rPr>
            <w:color w:val="FF0000"/>
          </w:rPr>
          <w:t>et</w:t>
        </w:r>
        <w:r>
          <w:rPr>
            <w:color w:val="FF0000"/>
            <w:spacing w:val="40"/>
          </w:rPr>
          <w:t> </w:t>
        </w:r>
        <w:r>
          <w:rPr>
            <w:color w:val="FF0000"/>
          </w:rPr>
          <w:t>al.</w:t>
        </w:r>
      </w:hyperlink>
      <w:r>
        <w:rPr/>
        <w:t>(</w:t>
      </w:r>
      <w:hyperlink w:history="true" w:anchor="_bookmark232">
        <w:r>
          <w:rPr>
            <w:color w:val="FF0000"/>
          </w:rPr>
          <w:t>2021</w:t>
        </w:r>
        <w:r>
          <w:rPr/>
          <w:t>)</w:t>
        </w:r>
      </w:hyperlink>
      <w:r>
        <w:rPr>
          <w:spacing w:val="40"/>
        </w:rPr>
        <w:t> </w:t>
      </w:r>
      <w:r>
        <w:rPr/>
        <w:t>adopted</w:t>
      </w:r>
      <w:r>
        <w:rPr>
          <w:spacing w:val="40"/>
        </w:rPr>
        <w:t> </w:t>
      </w:r>
      <w:r>
        <w:rPr/>
        <w:t>a</w:t>
      </w:r>
      <w:r>
        <w:rPr>
          <w:spacing w:val="40"/>
        </w:rPr>
        <w:t> </w:t>
      </w:r>
      <w:r>
        <w:rPr/>
        <w:t>Markov</w:t>
      </w:r>
      <w:r>
        <w:rPr>
          <w:spacing w:val="40"/>
        </w:rPr>
        <w:t> </w:t>
      </w:r>
      <w:r>
        <w:rPr/>
        <w:t>Reward</w:t>
      </w:r>
      <w:r>
        <w:rPr>
          <w:spacing w:val="40"/>
        </w:rPr>
        <w:t> </w:t>
      </w:r>
      <w:r>
        <w:rPr/>
        <w:t>Process</w:t>
      </w:r>
      <w:r>
        <w:rPr>
          <w:spacing w:val="40"/>
        </w:rPr>
        <w:t> </w:t>
      </w:r>
      <w:r>
        <w:rPr/>
        <w:t>approach</w:t>
      </w:r>
      <w:r>
        <w:rPr>
          <w:spacing w:val="40"/>
        </w:rPr>
        <w:t> </w:t>
      </w:r>
      <w:r>
        <w:rPr/>
        <w:t>to</w:t>
      </w:r>
      <w:r>
        <w:rPr>
          <w:spacing w:val="40"/>
        </w:rPr>
        <w:t> </w:t>
      </w:r>
      <w:r>
        <w:rPr/>
        <w:t>evaluate</w:t>
      </w:r>
      <w:r>
        <w:rPr>
          <w:spacing w:val="40"/>
        </w:rPr>
        <w:t> </w:t>
      </w:r>
      <w:r>
        <w:rPr/>
        <w:t>team performances</w:t>
      </w:r>
      <w:r>
        <w:rPr>
          <w:spacing w:val="19"/>
        </w:rPr>
        <w:t> </w:t>
      </w:r>
      <w:r>
        <w:rPr/>
        <w:t>in</w:t>
      </w:r>
      <w:r>
        <w:rPr>
          <w:spacing w:val="19"/>
        </w:rPr>
        <w:t> </w:t>
      </w:r>
      <w:r>
        <w:rPr/>
        <w:t>American</w:t>
      </w:r>
      <w:r>
        <w:rPr>
          <w:spacing w:val="19"/>
        </w:rPr>
        <w:t> </w:t>
      </w:r>
      <w:r>
        <w:rPr/>
        <w:t>football.</w:t>
      </w:r>
      <w:r>
        <w:rPr>
          <w:spacing w:val="80"/>
        </w:rPr>
        <w:t> </w:t>
      </w:r>
      <w:r>
        <w:rPr/>
        <w:t>They</w:t>
      </w:r>
      <w:r>
        <w:rPr>
          <w:spacing w:val="19"/>
        </w:rPr>
        <w:t> </w:t>
      </w:r>
      <w:r>
        <w:rPr/>
        <w:t>used</w:t>
      </w:r>
      <w:r>
        <w:rPr>
          <w:spacing w:val="19"/>
        </w:rPr>
        <w:t> </w:t>
      </w:r>
      <w:r>
        <w:rPr/>
        <w:t>play-by-play</w:t>
      </w:r>
      <w:r>
        <w:rPr>
          <w:spacing w:val="19"/>
        </w:rPr>
        <w:t> </w:t>
      </w:r>
      <w:r>
        <w:rPr/>
        <w:t>data</w:t>
      </w:r>
      <w:r>
        <w:rPr>
          <w:spacing w:val="19"/>
        </w:rPr>
        <w:t> </w:t>
      </w:r>
      <w:r>
        <w:rPr/>
        <w:t>from</w:t>
      </w:r>
      <w:r>
        <w:rPr>
          <w:spacing w:val="19"/>
        </w:rPr>
        <w:t> </w:t>
      </w:r>
      <w:r>
        <w:rPr/>
        <w:t>the</w:t>
      </w:r>
      <w:r>
        <w:rPr>
          <w:spacing w:val="19"/>
        </w:rPr>
        <w:t> </w:t>
      </w:r>
      <w:r>
        <w:rPr/>
        <w:t>2013/14</w:t>
      </w:r>
      <w:r>
        <w:rPr>
          <w:spacing w:val="19"/>
        </w:rPr>
        <w:t> </w:t>
      </w:r>
      <w:r>
        <w:rPr/>
        <w:t>to</w:t>
      </w:r>
    </w:p>
    <w:p>
      <w:pPr>
        <w:spacing w:after="0" w:line="312" w:lineRule="auto"/>
        <w:sectPr>
          <w:pgSz w:w="11910" w:h="16840"/>
          <w:pgMar w:header="1961" w:footer="1428" w:top="226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2016/17 National Football League seasons, totalling 164,299 plays.</w:t>
      </w:r>
      <w:r>
        <w:rPr>
          <w:spacing w:val="40"/>
        </w:rPr>
        <w:t> </w:t>
      </w:r>
      <w:r>
        <w:rPr/>
        <w:t>During </w:t>
      </w:r>
      <w:r>
        <w:rPr/>
        <w:t>preprocess- ing,</w:t>
      </w:r>
      <w:r>
        <w:rPr>
          <w:spacing w:val="26"/>
        </w:rPr>
        <w:t> </w:t>
      </w:r>
      <w:r>
        <w:rPr/>
        <w:t>the</w:t>
      </w:r>
      <w:r>
        <w:rPr>
          <w:spacing w:val="20"/>
        </w:rPr>
        <w:t> </w:t>
      </w:r>
      <w:r>
        <w:rPr/>
        <w:t>authors</w:t>
      </w:r>
      <w:r>
        <w:rPr>
          <w:spacing w:val="20"/>
        </w:rPr>
        <w:t> </w:t>
      </w:r>
      <w:r>
        <w:rPr/>
        <w:t>extracted</w:t>
      </w:r>
      <w:r>
        <w:rPr>
          <w:spacing w:val="20"/>
        </w:rPr>
        <w:t> </w:t>
      </w:r>
      <w:r>
        <w:rPr/>
        <w:t>the</w:t>
      </w:r>
      <w:r>
        <w:rPr>
          <w:spacing w:val="21"/>
        </w:rPr>
        <w:t> </w:t>
      </w:r>
      <w:r>
        <w:rPr/>
        <w:t>yard</w:t>
      </w:r>
      <w:r>
        <w:rPr>
          <w:spacing w:val="20"/>
        </w:rPr>
        <w:t> </w:t>
      </w:r>
      <w:r>
        <w:rPr/>
        <w:t>line</w:t>
      </w:r>
      <w:r>
        <w:rPr>
          <w:spacing w:val="20"/>
        </w:rPr>
        <w:t> </w:t>
      </w:r>
      <w:r>
        <w:rPr/>
        <w:t>and</w:t>
      </w:r>
      <w:r>
        <w:rPr>
          <w:spacing w:val="21"/>
        </w:rPr>
        <w:t> </w:t>
      </w:r>
      <w:r>
        <w:rPr/>
        <w:t>down</w:t>
      </w:r>
      <w:r>
        <w:rPr>
          <w:spacing w:val="20"/>
        </w:rPr>
        <w:t> </w:t>
      </w:r>
      <w:r>
        <w:rPr/>
        <w:t>to</w:t>
      </w:r>
      <w:r>
        <w:rPr>
          <w:spacing w:val="20"/>
        </w:rPr>
        <w:t> </w:t>
      </w:r>
      <w:r>
        <w:rPr/>
        <w:t>form</w:t>
      </w:r>
      <w:r>
        <w:rPr>
          <w:spacing w:val="20"/>
        </w:rPr>
        <w:t> </w:t>
      </w:r>
      <w:r>
        <w:rPr/>
        <w:t>the</w:t>
      </w:r>
      <w:r>
        <w:rPr>
          <w:spacing w:val="21"/>
        </w:rPr>
        <w:t> </w:t>
      </w:r>
      <w:r>
        <w:rPr/>
        <w:t>state</w:t>
      </w:r>
      <w:r>
        <w:rPr>
          <w:spacing w:val="20"/>
        </w:rPr>
        <w:t> </w:t>
      </w:r>
      <w:r>
        <w:rPr/>
        <w:t>space</w:t>
      </w:r>
      <w:r>
        <w:rPr>
          <w:spacing w:val="20"/>
        </w:rPr>
        <w:t> </w:t>
      </w:r>
      <w:r>
        <w:rPr/>
        <w:t>and</w:t>
      </w:r>
      <w:r>
        <w:rPr>
          <w:spacing w:val="21"/>
        </w:rPr>
        <w:t> </w:t>
      </w:r>
      <w:r>
        <w:rPr/>
        <w:t>the</w:t>
      </w:r>
      <w:r>
        <w:rPr>
          <w:spacing w:val="20"/>
        </w:rPr>
        <w:t> </w:t>
      </w:r>
      <w:r>
        <w:rPr/>
        <w:t>next play’s</w:t>
      </w:r>
      <w:r>
        <w:rPr>
          <w:spacing w:val="-2"/>
        </w:rPr>
        <w:t> </w:t>
      </w:r>
      <w:r>
        <w:rPr/>
        <w:t>down</w:t>
      </w:r>
      <w:r>
        <w:rPr>
          <w:spacing w:val="-2"/>
        </w:rPr>
        <w:t> </w:t>
      </w:r>
      <w:r>
        <w:rPr/>
        <w:t>and</w:t>
      </w:r>
      <w:r>
        <w:rPr>
          <w:spacing w:val="-2"/>
        </w:rPr>
        <w:t> </w:t>
      </w:r>
      <w:r>
        <w:rPr/>
        <w:t>yard</w:t>
      </w:r>
      <w:r>
        <w:rPr>
          <w:spacing w:val="-2"/>
        </w:rPr>
        <w:t> </w:t>
      </w:r>
      <w:r>
        <w:rPr/>
        <w:t>line</w:t>
      </w:r>
      <w:r>
        <w:rPr>
          <w:spacing w:val="-2"/>
        </w:rPr>
        <w:t> </w:t>
      </w:r>
      <w:r>
        <w:rPr/>
        <w:t>for</w:t>
      </w:r>
      <w:r>
        <w:rPr>
          <w:spacing w:val="-2"/>
        </w:rPr>
        <w:t> </w:t>
      </w:r>
      <w:r>
        <w:rPr/>
        <w:t>the</w:t>
      </w:r>
      <w:r>
        <w:rPr>
          <w:spacing w:val="-2"/>
        </w:rPr>
        <w:t> </w:t>
      </w:r>
      <w:r>
        <w:rPr/>
        <w:t>transition</w:t>
      </w:r>
      <w:r>
        <w:rPr>
          <w:spacing w:val="-2"/>
        </w:rPr>
        <w:t> </w:t>
      </w:r>
      <w:r>
        <w:rPr/>
        <w:t>matrix</w:t>
      </w:r>
      <w:r>
        <w:rPr>
          <w:spacing w:val="-2"/>
        </w:rPr>
        <w:t> </w:t>
      </w:r>
      <w:r>
        <w:rPr/>
        <w:t>estimation.</w:t>
      </w:r>
      <w:r>
        <w:rPr>
          <w:spacing w:val="22"/>
        </w:rPr>
        <w:t> </w:t>
      </w:r>
      <w:r>
        <w:rPr/>
        <w:t>Four</w:t>
      </w:r>
      <w:r>
        <w:rPr>
          <w:spacing w:val="-2"/>
        </w:rPr>
        <w:t> </w:t>
      </w:r>
      <w:r>
        <w:rPr/>
        <w:t>rewards</w:t>
      </w:r>
      <w:r>
        <w:rPr>
          <w:spacing w:val="-2"/>
        </w:rPr>
        <w:t> </w:t>
      </w:r>
      <w:r>
        <w:rPr/>
        <w:t>were</w:t>
      </w:r>
      <w:r>
        <w:rPr>
          <w:spacing w:val="-2"/>
        </w:rPr>
        <w:t> </w:t>
      </w:r>
      <w:r>
        <w:rPr/>
        <w:t>calcu- lated from the perspective of the attacking team: field goal (3 points); safety (-2 points); touchdown</w:t>
      </w:r>
      <w:r>
        <w:rPr>
          <w:spacing w:val="-8"/>
        </w:rPr>
        <w:t> </w:t>
      </w:r>
      <w:r>
        <w:rPr/>
        <w:t>(6.97</w:t>
      </w:r>
      <w:r>
        <w:rPr>
          <w:spacing w:val="-8"/>
        </w:rPr>
        <w:t> </w:t>
      </w:r>
      <w:r>
        <w:rPr/>
        <w:t>points);</w:t>
      </w:r>
      <w:r>
        <w:rPr>
          <w:spacing w:val="-7"/>
        </w:rPr>
        <w:t> </w:t>
      </w:r>
      <w:r>
        <w:rPr/>
        <w:t>and</w:t>
      </w:r>
      <w:r>
        <w:rPr>
          <w:spacing w:val="-8"/>
        </w:rPr>
        <w:t> </w:t>
      </w:r>
      <w:r>
        <w:rPr/>
        <w:t>opposition</w:t>
      </w:r>
      <w:r>
        <w:rPr>
          <w:spacing w:val="-8"/>
        </w:rPr>
        <w:t> </w:t>
      </w:r>
      <w:r>
        <w:rPr/>
        <w:t>scoring</w:t>
      </w:r>
      <w:r>
        <w:rPr>
          <w:spacing w:val="-8"/>
        </w:rPr>
        <w:t> </w:t>
      </w:r>
      <w:r>
        <w:rPr/>
        <w:t>turnover</w:t>
      </w:r>
      <w:r>
        <w:rPr>
          <w:spacing w:val="-8"/>
        </w:rPr>
        <w:t> </w:t>
      </w:r>
      <w:r>
        <w:rPr/>
        <w:t>touchdown</w:t>
      </w:r>
      <w:r>
        <w:rPr>
          <w:spacing w:val="-8"/>
        </w:rPr>
        <w:t> </w:t>
      </w:r>
      <w:r>
        <w:rPr/>
        <w:t>(-6.97</w:t>
      </w:r>
      <w:r>
        <w:rPr>
          <w:spacing w:val="-8"/>
        </w:rPr>
        <w:t> </w:t>
      </w:r>
      <w:r>
        <w:rPr/>
        <w:t>points). Dy- namic</w:t>
      </w:r>
      <w:r>
        <w:rPr>
          <w:spacing w:val="27"/>
        </w:rPr>
        <w:t> </w:t>
      </w:r>
      <w:r>
        <w:rPr/>
        <w:t>programming</w:t>
      </w:r>
      <w:r>
        <w:rPr>
          <w:spacing w:val="27"/>
        </w:rPr>
        <w:t> </w:t>
      </w:r>
      <w:r>
        <w:rPr/>
        <w:t>was</w:t>
      </w:r>
      <w:r>
        <w:rPr>
          <w:spacing w:val="27"/>
        </w:rPr>
        <w:t> </w:t>
      </w:r>
      <w:r>
        <w:rPr/>
        <w:t>used</w:t>
      </w:r>
      <w:r>
        <w:rPr>
          <w:spacing w:val="27"/>
        </w:rPr>
        <w:t> </w:t>
      </w:r>
      <w:r>
        <w:rPr/>
        <w:t>to</w:t>
      </w:r>
      <w:r>
        <w:rPr>
          <w:spacing w:val="27"/>
        </w:rPr>
        <w:t> </w:t>
      </w:r>
      <w:r>
        <w:rPr/>
        <w:t>estimate</w:t>
      </w:r>
      <w:r>
        <w:rPr>
          <w:spacing w:val="27"/>
        </w:rPr>
        <w:t> </w:t>
      </w:r>
      <w:r>
        <w:rPr/>
        <w:t>the</w:t>
      </w:r>
      <w:r>
        <w:rPr>
          <w:spacing w:val="27"/>
        </w:rPr>
        <w:t> </w:t>
      </w:r>
      <w:r>
        <w:rPr/>
        <w:t>transition</w:t>
      </w:r>
      <w:r>
        <w:rPr>
          <w:spacing w:val="27"/>
        </w:rPr>
        <w:t> </w:t>
      </w:r>
      <w:r>
        <w:rPr/>
        <w:t>matrix</w:t>
      </w:r>
      <w:r>
        <w:rPr>
          <w:spacing w:val="27"/>
        </w:rPr>
        <w:t> </w:t>
      </w:r>
      <w:r>
        <w:rPr/>
        <w:t>and</w:t>
      </w:r>
      <w:r>
        <w:rPr>
          <w:spacing w:val="27"/>
        </w:rPr>
        <w:t> </w:t>
      </w:r>
      <w:r>
        <w:rPr/>
        <w:t>solve</w:t>
      </w:r>
      <w:r>
        <w:rPr>
          <w:spacing w:val="27"/>
        </w:rPr>
        <w:t> </w:t>
      </w:r>
      <w:r>
        <w:rPr/>
        <w:t>the</w:t>
      </w:r>
      <w:r>
        <w:rPr>
          <w:spacing w:val="27"/>
        </w:rPr>
        <w:t> </w:t>
      </w:r>
      <w:r>
        <w:rPr/>
        <w:t>Markov Reward</w:t>
      </w:r>
      <w:r>
        <w:rPr>
          <w:spacing w:val="-11"/>
        </w:rPr>
        <w:t> </w:t>
      </w:r>
      <w:r>
        <w:rPr/>
        <w:t>Process. A</w:t>
      </w:r>
      <w:r>
        <w:rPr>
          <w:spacing w:val="-11"/>
        </w:rPr>
        <w:t> </w:t>
      </w:r>
      <w:r>
        <w:rPr/>
        <w:t>points</w:t>
      </w:r>
      <w:r>
        <w:rPr>
          <w:spacing w:val="-11"/>
        </w:rPr>
        <w:t> </w:t>
      </w:r>
      <w:r>
        <w:rPr/>
        <w:t>gained</w:t>
      </w:r>
      <w:r>
        <w:rPr>
          <w:spacing w:val="-11"/>
        </w:rPr>
        <w:t> </w:t>
      </w:r>
      <w:r>
        <w:rPr/>
        <w:t>metric</w:t>
      </w:r>
      <w:r>
        <w:rPr>
          <w:spacing w:val="-11"/>
        </w:rPr>
        <w:t> </w:t>
      </w:r>
      <w:r>
        <w:rPr/>
        <w:t>was</w:t>
      </w:r>
      <w:r>
        <w:rPr>
          <w:spacing w:val="-11"/>
        </w:rPr>
        <w:t> </w:t>
      </w:r>
      <w:r>
        <w:rPr/>
        <w:t>identified</w:t>
      </w:r>
      <w:r>
        <w:rPr>
          <w:spacing w:val="-11"/>
        </w:rPr>
        <w:t> </w:t>
      </w:r>
      <w:r>
        <w:rPr/>
        <w:t>as</w:t>
      </w:r>
      <w:r>
        <w:rPr>
          <w:spacing w:val="-11"/>
        </w:rPr>
        <w:t> </w:t>
      </w:r>
      <w:r>
        <w:rPr/>
        <w:t>the</w:t>
      </w:r>
      <w:r>
        <w:rPr>
          <w:spacing w:val="-11"/>
        </w:rPr>
        <w:t> </w:t>
      </w:r>
      <w:r>
        <w:rPr/>
        <w:t>difference</w:t>
      </w:r>
      <w:r>
        <w:rPr>
          <w:spacing w:val="-11"/>
        </w:rPr>
        <w:t> </w:t>
      </w:r>
      <w:r>
        <w:rPr/>
        <w:t>in</w:t>
      </w:r>
      <w:r>
        <w:rPr>
          <w:spacing w:val="-11"/>
        </w:rPr>
        <w:t> </w:t>
      </w:r>
      <w:r>
        <w:rPr/>
        <w:t>value</w:t>
      </w:r>
      <w:r>
        <w:rPr>
          <w:spacing w:val="-11"/>
        </w:rPr>
        <w:t> </w:t>
      </w:r>
      <w:r>
        <w:rPr/>
        <w:t>between the</w:t>
      </w:r>
      <w:r>
        <w:rPr>
          <w:spacing w:val="-15"/>
        </w:rPr>
        <w:t> </w:t>
      </w:r>
      <w:r>
        <w:rPr/>
        <w:t>beginning</w:t>
      </w:r>
      <w:r>
        <w:rPr>
          <w:spacing w:val="-15"/>
        </w:rPr>
        <w:t> </w:t>
      </w:r>
      <w:r>
        <w:rPr/>
        <w:t>and</w:t>
      </w:r>
      <w:r>
        <w:rPr>
          <w:spacing w:val="-15"/>
        </w:rPr>
        <w:t> </w:t>
      </w:r>
      <w:r>
        <w:rPr/>
        <w:t>end</w:t>
      </w:r>
      <w:r>
        <w:rPr>
          <w:spacing w:val="-15"/>
        </w:rPr>
        <w:t> </w:t>
      </w:r>
      <w:r>
        <w:rPr/>
        <w:t>of</w:t>
      </w:r>
      <w:r>
        <w:rPr>
          <w:spacing w:val="-15"/>
        </w:rPr>
        <w:t> </w:t>
      </w:r>
      <w:r>
        <w:rPr/>
        <w:t>the</w:t>
      </w:r>
      <w:r>
        <w:rPr>
          <w:spacing w:val="-15"/>
        </w:rPr>
        <w:t> </w:t>
      </w:r>
      <w:r>
        <w:rPr/>
        <w:t>play.</w:t>
      </w:r>
      <w:r>
        <w:rPr>
          <w:spacing w:val="-15"/>
        </w:rPr>
        <w:t> </w:t>
      </w:r>
      <w:r>
        <w:rPr/>
        <w:t>It</w:t>
      </w:r>
      <w:r>
        <w:rPr>
          <w:spacing w:val="-15"/>
        </w:rPr>
        <w:t> </w:t>
      </w:r>
      <w:r>
        <w:rPr/>
        <w:t>was</w:t>
      </w:r>
      <w:r>
        <w:rPr>
          <w:spacing w:val="-15"/>
        </w:rPr>
        <w:t> </w:t>
      </w:r>
      <w:r>
        <w:rPr/>
        <w:t>used</w:t>
      </w:r>
      <w:r>
        <w:rPr>
          <w:spacing w:val="-15"/>
        </w:rPr>
        <w:t> </w:t>
      </w:r>
      <w:r>
        <w:rPr/>
        <w:t>to</w:t>
      </w:r>
      <w:r>
        <w:rPr>
          <w:spacing w:val="-15"/>
        </w:rPr>
        <w:t> </w:t>
      </w:r>
      <w:r>
        <w:rPr/>
        <w:t>evaluate</w:t>
      </w:r>
      <w:r>
        <w:rPr>
          <w:spacing w:val="-15"/>
        </w:rPr>
        <w:t> </w:t>
      </w:r>
      <w:r>
        <w:rPr/>
        <w:t>team</w:t>
      </w:r>
      <w:r>
        <w:rPr>
          <w:spacing w:val="-15"/>
        </w:rPr>
        <w:t> </w:t>
      </w:r>
      <w:r>
        <w:rPr/>
        <w:t>performances</w:t>
      </w:r>
      <w:r>
        <w:rPr>
          <w:spacing w:val="-15"/>
        </w:rPr>
        <w:t> </w:t>
      </w:r>
      <w:r>
        <w:rPr/>
        <w:t>and</w:t>
      </w:r>
      <w:r>
        <w:rPr>
          <w:spacing w:val="-15"/>
        </w:rPr>
        <w:t> </w:t>
      </w:r>
      <w:r>
        <w:rPr/>
        <w:t>different play</w:t>
      </w:r>
      <w:r>
        <w:rPr>
          <w:spacing w:val="-15"/>
        </w:rPr>
        <w:t> </w:t>
      </w:r>
      <w:r>
        <w:rPr/>
        <w:t>types.</w:t>
      </w:r>
      <w:r>
        <w:rPr>
          <w:spacing w:val="-15"/>
        </w:rPr>
        <w:t> </w:t>
      </w:r>
      <w:r>
        <w:rPr/>
        <w:t>The</w:t>
      </w:r>
      <w:r>
        <w:rPr>
          <w:spacing w:val="-15"/>
        </w:rPr>
        <w:t> </w:t>
      </w:r>
      <w:r>
        <w:rPr/>
        <w:t>results</w:t>
      </w:r>
      <w:r>
        <w:rPr>
          <w:spacing w:val="-15"/>
        </w:rPr>
        <w:t> </w:t>
      </w:r>
      <w:r>
        <w:rPr/>
        <w:t>showed</w:t>
      </w:r>
      <w:r>
        <w:rPr>
          <w:spacing w:val="-15"/>
        </w:rPr>
        <w:t> </w:t>
      </w:r>
      <w:r>
        <w:rPr/>
        <w:t>that</w:t>
      </w:r>
      <w:r>
        <w:rPr>
          <w:spacing w:val="-15"/>
        </w:rPr>
        <w:t> </w:t>
      </w:r>
      <w:r>
        <w:rPr/>
        <w:t>better</w:t>
      </w:r>
      <w:r>
        <w:rPr>
          <w:spacing w:val="-15"/>
        </w:rPr>
        <w:t> </w:t>
      </w:r>
      <w:r>
        <w:rPr/>
        <w:t>teams</w:t>
      </w:r>
      <w:r>
        <w:rPr>
          <w:spacing w:val="-15"/>
        </w:rPr>
        <w:t> </w:t>
      </w:r>
      <w:r>
        <w:rPr/>
        <w:t>performed</w:t>
      </w:r>
      <w:r>
        <w:rPr>
          <w:spacing w:val="-15"/>
        </w:rPr>
        <w:t> </w:t>
      </w:r>
      <w:r>
        <w:rPr/>
        <w:t>better</w:t>
      </w:r>
      <w:r>
        <w:rPr>
          <w:spacing w:val="-15"/>
        </w:rPr>
        <w:t> </w:t>
      </w:r>
      <w:r>
        <w:rPr/>
        <w:t>in</w:t>
      </w:r>
      <w:r>
        <w:rPr>
          <w:spacing w:val="-15"/>
        </w:rPr>
        <w:t> </w:t>
      </w:r>
      <w:r>
        <w:rPr/>
        <w:t>the</w:t>
      </w:r>
      <w:r>
        <w:rPr>
          <w:spacing w:val="-15"/>
        </w:rPr>
        <w:t> </w:t>
      </w:r>
      <w:r>
        <w:rPr/>
        <w:t>middle</w:t>
      </w:r>
      <w:r>
        <w:rPr>
          <w:spacing w:val="-15"/>
        </w:rPr>
        <w:t> </w:t>
      </w:r>
      <w:r>
        <w:rPr/>
        <w:t>of</w:t>
      </w:r>
      <w:r>
        <w:rPr>
          <w:spacing w:val="-15"/>
        </w:rPr>
        <w:t> </w:t>
      </w:r>
      <w:r>
        <w:rPr/>
        <w:t>the</w:t>
      </w:r>
      <w:r>
        <w:rPr>
          <w:spacing w:val="-15"/>
        </w:rPr>
        <w:t> </w:t>
      </w:r>
      <w:r>
        <w:rPr/>
        <w:t>field and were able to use short pass plays more effectively than worse teams.</w:t>
      </w:r>
      <w:r>
        <w:rPr>
          <w:spacing w:val="28"/>
        </w:rPr>
        <w:t> </w:t>
      </w:r>
      <w:r>
        <w:rPr/>
        <w:t>Although only using</w:t>
      </w:r>
      <w:r>
        <w:rPr>
          <w:spacing w:val="-8"/>
        </w:rPr>
        <w:t> </w:t>
      </w:r>
      <w:r>
        <w:rPr/>
        <w:t>data</w:t>
      </w:r>
      <w:r>
        <w:rPr>
          <w:spacing w:val="-8"/>
        </w:rPr>
        <w:t> </w:t>
      </w:r>
      <w:r>
        <w:rPr/>
        <w:t>at</w:t>
      </w:r>
      <w:r>
        <w:rPr>
          <w:spacing w:val="-8"/>
        </w:rPr>
        <w:t> </w:t>
      </w:r>
      <w:r>
        <w:rPr/>
        <w:t>a</w:t>
      </w:r>
      <w:r>
        <w:rPr>
          <w:spacing w:val="-8"/>
        </w:rPr>
        <w:t> </w:t>
      </w:r>
      <w:r>
        <w:rPr/>
        <w:t>play</w:t>
      </w:r>
      <w:r>
        <w:rPr>
          <w:spacing w:val="-8"/>
        </w:rPr>
        <w:t> </w:t>
      </w:r>
      <w:r>
        <w:rPr/>
        <w:t>by</w:t>
      </w:r>
      <w:r>
        <w:rPr>
          <w:spacing w:val="-8"/>
        </w:rPr>
        <w:t> </w:t>
      </w:r>
      <w:r>
        <w:rPr/>
        <w:t>play</w:t>
      </w:r>
      <w:r>
        <w:rPr>
          <w:spacing w:val="-8"/>
        </w:rPr>
        <w:t> </w:t>
      </w:r>
      <w:r>
        <w:rPr/>
        <w:t>rather</w:t>
      </w:r>
      <w:r>
        <w:rPr>
          <w:spacing w:val="-8"/>
        </w:rPr>
        <w:t> </w:t>
      </w:r>
      <w:r>
        <w:rPr/>
        <w:t>than</w:t>
      </w:r>
      <w:r>
        <w:rPr>
          <w:spacing w:val="-8"/>
        </w:rPr>
        <w:t> </w:t>
      </w:r>
      <w:r>
        <w:rPr/>
        <w:t>at</w:t>
      </w:r>
      <w:r>
        <w:rPr>
          <w:spacing w:val="-8"/>
        </w:rPr>
        <w:t> </w:t>
      </w:r>
      <w:r>
        <w:rPr/>
        <w:t>the</w:t>
      </w:r>
      <w:r>
        <w:rPr>
          <w:spacing w:val="-8"/>
        </w:rPr>
        <w:t> </w:t>
      </w:r>
      <w:r>
        <w:rPr/>
        <w:t>action</w:t>
      </w:r>
      <w:r>
        <w:rPr>
          <w:spacing w:val="-8"/>
        </w:rPr>
        <w:t> </w:t>
      </w:r>
      <w:r>
        <w:rPr/>
        <w:t>by</w:t>
      </w:r>
      <w:r>
        <w:rPr>
          <w:spacing w:val="-8"/>
        </w:rPr>
        <w:t> </w:t>
      </w:r>
      <w:r>
        <w:rPr/>
        <w:t>action</w:t>
      </w:r>
      <w:r>
        <w:rPr>
          <w:spacing w:val="-8"/>
        </w:rPr>
        <w:t> </w:t>
      </w:r>
      <w:r>
        <w:rPr/>
        <w:t>level,</w:t>
      </w:r>
      <w:r>
        <w:rPr>
          <w:spacing w:val="-7"/>
        </w:rPr>
        <w:t> </w:t>
      </w:r>
      <w:r>
        <w:rPr/>
        <w:t>the</w:t>
      </w:r>
      <w:r>
        <w:rPr>
          <w:spacing w:val="-8"/>
        </w:rPr>
        <w:t> </w:t>
      </w:r>
      <w:r>
        <w:rPr/>
        <w:t>methodology</w:t>
      </w:r>
      <w:r>
        <w:rPr>
          <w:spacing w:val="-8"/>
        </w:rPr>
        <w:t> </w:t>
      </w:r>
      <w:r>
        <w:rPr/>
        <w:t>em- ployed</w:t>
      </w:r>
      <w:r>
        <w:rPr>
          <w:spacing w:val="-3"/>
        </w:rPr>
        <w:t> </w:t>
      </w:r>
      <w:r>
        <w:rPr/>
        <w:t>by</w:t>
      </w:r>
      <w:hyperlink w:history="true" w:anchor="_bookmark232">
        <w:r>
          <w:rPr>
            <w:color w:val="FF0000"/>
          </w:rPr>
          <w:t>Chan</w:t>
        </w:r>
        <w:r>
          <w:rPr>
            <w:color w:val="FF0000"/>
            <w:spacing w:val="-3"/>
          </w:rPr>
          <w:t> </w:t>
        </w:r>
        <w:r>
          <w:rPr>
            <w:color w:val="FF0000"/>
          </w:rPr>
          <w:t>et</w:t>
        </w:r>
        <w:r>
          <w:rPr>
            <w:color w:val="FF0000"/>
            <w:spacing w:val="-3"/>
          </w:rPr>
          <w:t> </w:t>
        </w:r>
        <w:r>
          <w:rPr>
            <w:color w:val="FF0000"/>
          </w:rPr>
          <w:t>al.</w:t>
        </w:r>
        <w:r>
          <w:rPr/>
          <w:t>(</w:t>
        </w:r>
      </w:hyperlink>
      <w:hyperlink w:history="true" w:anchor="_bookmark232">
        <w:r>
          <w:rPr>
            <w:color w:val="FF0000"/>
          </w:rPr>
          <w:t>2021</w:t>
        </w:r>
        <w:r>
          <w:rPr/>
          <w:t>)</w:t>
        </w:r>
      </w:hyperlink>
      <w:r>
        <w:rPr>
          <w:spacing w:val="-3"/>
        </w:rPr>
        <w:t> </w:t>
      </w:r>
      <w:r>
        <w:rPr/>
        <w:t>can</w:t>
      </w:r>
      <w:r>
        <w:rPr>
          <w:spacing w:val="-3"/>
        </w:rPr>
        <w:t> </w:t>
      </w:r>
      <w:r>
        <w:rPr/>
        <w:t>be</w:t>
      </w:r>
      <w:r>
        <w:rPr>
          <w:spacing w:val="-3"/>
        </w:rPr>
        <w:t> </w:t>
      </w:r>
      <w:r>
        <w:rPr/>
        <w:t>directly</w:t>
      </w:r>
      <w:r>
        <w:rPr>
          <w:spacing w:val="-3"/>
        </w:rPr>
        <w:t> </w:t>
      </w:r>
      <w:r>
        <w:rPr/>
        <w:t>related</w:t>
      </w:r>
      <w:r>
        <w:rPr>
          <w:spacing w:val="-3"/>
        </w:rPr>
        <w:t> </w:t>
      </w:r>
      <w:r>
        <w:rPr/>
        <w:t>to</w:t>
      </w:r>
      <w:r>
        <w:rPr>
          <w:spacing w:val="-3"/>
        </w:rPr>
        <w:t> </w:t>
      </w:r>
      <w:r>
        <w:rPr/>
        <w:t>a</w:t>
      </w:r>
      <w:r>
        <w:rPr>
          <w:spacing w:val="-3"/>
        </w:rPr>
        <w:t> </w:t>
      </w:r>
      <w:r>
        <w:rPr/>
        <w:t>rugby</w:t>
      </w:r>
      <w:r>
        <w:rPr>
          <w:spacing w:val="-3"/>
        </w:rPr>
        <w:t> </w:t>
      </w:r>
      <w:r>
        <w:rPr/>
        <w:t>league</w:t>
      </w:r>
      <w:r>
        <w:rPr>
          <w:spacing w:val="-3"/>
        </w:rPr>
        <w:t> </w:t>
      </w:r>
      <w:r>
        <w:rPr/>
        <w:t>environment: rather than four downs, rugby league would use six plays; and rather than the rewards used in this study, rugby league would use the five possession outcomes (no try, converted try, unconverted try, penalty goal and drop goal).</w:t>
      </w:r>
      <w:r>
        <w:rPr>
          <w:spacing w:val="40"/>
        </w:rPr>
        <w:t> </w:t>
      </w:r>
      <w:r>
        <w:rPr/>
        <w:t>Unlike American football though, a play can begin anywhere across the pitch in rugby league so rather than only considering the distance</w:t>
      </w:r>
      <w:r>
        <w:rPr>
          <w:spacing w:val="-14"/>
        </w:rPr>
        <w:t> </w:t>
      </w:r>
      <w:r>
        <w:rPr/>
        <w:t>from</w:t>
      </w:r>
      <w:r>
        <w:rPr>
          <w:spacing w:val="-15"/>
        </w:rPr>
        <w:t> </w:t>
      </w:r>
      <w:r>
        <w:rPr/>
        <w:t>the</w:t>
      </w:r>
      <w:r>
        <w:rPr>
          <w:spacing w:val="-14"/>
        </w:rPr>
        <w:t> </w:t>
      </w:r>
      <w:r>
        <w:rPr/>
        <w:t>opposition</w:t>
      </w:r>
      <w:r>
        <w:rPr>
          <w:spacing w:val="-14"/>
        </w:rPr>
        <w:t> </w:t>
      </w:r>
      <w:r>
        <w:rPr/>
        <w:t>try</w:t>
      </w:r>
      <w:r>
        <w:rPr>
          <w:spacing w:val="-15"/>
        </w:rPr>
        <w:t> </w:t>
      </w:r>
      <w:r>
        <w:rPr/>
        <w:t>line,</w:t>
      </w:r>
      <w:r>
        <w:rPr>
          <w:spacing w:val="-13"/>
        </w:rPr>
        <w:t> </w:t>
      </w:r>
      <w:r>
        <w:rPr/>
        <w:t>rugby</w:t>
      </w:r>
      <w:r>
        <w:rPr>
          <w:spacing w:val="-14"/>
        </w:rPr>
        <w:t> </w:t>
      </w:r>
      <w:r>
        <w:rPr/>
        <w:t>league</w:t>
      </w:r>
      <w:r>
        <w:rPr>
          <w:spacing w:val="-14"/>
        </w:rPr>
        <w:t> </w:t>
      </w:r>
      <w:r>
        <w:rPr/>
        <w:t>would</w:t>
      </w:r>
      <w:r>
        <w:rPr>
          <w:spacing w:val="-15"/>
        </w:rPr>
        <w:t> </w:t>
      </w:r>
      <w:r>
        <w:rPr/>
        <w:t>have</w:t>
      </w:r>
      <w:r>
        <w:rPr>
          <w:spacing w:val="-14"/>
        </w:rPr>
        <w:t> </w:t>
      </w:r>
      <w:r>
        <w:rPr/>
        <w:t>to</w:t>
      </w:r>
      <w:r>
        <w:rPr>
          <w:spacing w:val="-14"/>
        </w:rPr>
        <w:t> </w:t>
      </w:r>
      <w:r>
        <w:rPr/>
        <w:t>create</w:t>
      </w:r>
      <w:r>
        <w:rPr>
          <w:spacing w:val="-15"/>
        </w:rPr>
        <w:t> </w:t>
      </w:r>
      <w:r>
        <w:rPr/>
        <w:t>zones,</w:t>
      </w:r>
      <w:r>
        <w:rPr>
          <w:spacing w:val="-13"/>
        </w:rPr>
        <w:t> </w:t>
      </w:r>
      <w:r>
        <w:rPr/>
        <w:t>which</w:t>
      </w:r>
      <w:r>
        <w:rPr>
          <w:spacing w:val="-14"/>
        </w:rPr>
        <w:t> </w:t>
      </w:r>
      <w:r>
        <w:rPr/>
        <w:t>also consider how central or wide on the pitch the play begins.</w:t>
      </w:r>
    </w:p>
    <w:p>
      <w:pPr>
        <w:pStyle w:val="BodyText"/>
        <w:spacing w:before="5"/>
        <w:rPr>
          <w:sz w:val="40"/>
        </w:rPr>
      </w:pPr>
    </w:p>
    <w:p>
      <w:pPr>
        <w:pStyle w:val="Heading2"/>
        <w:numPr>
          <w:ilvl w:val="1"/>
          <w:numId w:val="17"/>
        </w:numPr>
        <w:tabs>
          <w:tab w:pos="1385" w:val="left" w:leader="none"/>
          <w:tab w:pos="1386" w:val="left" w:leader="none"/>
        </w:tabs>
        <w:spacing w:line="240" w:lineRule="auto" w:before="0" w:after="0"/>
        <w:ind w:left="1385" w:right="0" w:hanging="776"/>
        <w:jc w:val="left"/>
      </w:pPr>
      <w:bookmarkStart w:name="_TOC_250055" w:id="58"/>
      <w:bookmarkStart w:name="2.3 Rugby League" w:id="59"/>
      <w:r>
        <w:rPr>
          <w:b w:val="0"/>
        </w:rPr>
      </w:r>
      <w:bookmarkStart w:name="_bookmark33" w:id="60"/>
      <w:bookmarkEnd w:id="60"/>
      <w:r>
        <w:rPr/>
        <w:t>Rugby</w:t>
      </w:r>
      <w:r>
        <w:rPr>
          <w:spacing w:val="10"/>
        </w:rPr>
        <w:t> </w:t>
      </w:r>
      <w:bookmarkEnd w:id="58"/>
      <w:r>
        <w:rPr>
          <w:spacing w:val="-2"/>
        </w:rPr>
        <w:t>League</w:t>
      </w:r>
    </w:p>
    <w:p>
      <w:pPr>
        <w:pStyle w:val="Heading3"/>
        <w:numPr>
          <w:ilvl w:val="2"/>
          <w:numId w:val="17"/>
        </w:numPr>
        <w:tabs>
          <w:tab w:pos="1471" w:val="left" w:leader="none"/>
          <w:tab w:pos="1472" w:val="left" w:leader="none"/>
        </w:tabs>
        <w:spacing w:line="240" w:lineRule="auto" w:before="358" w:after="0"/>
        <w:ind w:left="1471" w:right="0" w:hanging="862"/>
        <w:jc w:val="left"/>
      </w:pPr>
      <w:bookmarkStart w:name="_TOC_250054" w:id="61"/>
      <w:bookmarkStart w:name="2.3.1 Overview" w:id="62"/>
      <w:r>
        <w:rPr>
          <w:b w:val="0"/>
        </w:rPr>
      </w:r>
      <w:bookmarkStart w:name="_bookmark34" w:id="63"/>
      <w:bookmarkEnd w:id="63"/>
      <w:r>
        <w:rPr>
          <w:spacing w:val="-2"/>
        </w:rPr>
        <w:t>O</w:t>
      </w:r>
      <w:bookmarkEnd w:id="61"/>
      <w:r>
        <w:rPr>
          <w:spacing w:val="-2"/>
        </w:rPr>
        <w:t>verview</w:t>
      </w:r>
    </w:p>
    <w:p>
      <w:pPr>
        <w:pStyle w:val="BodyText"/>
        <w:spacing w:line="312" w:lineRule="auto" w:before="235"/>
        <w:ind w:left="610" w:right="389"/>
      </w:pPr>
      <w:r>
        <w:rPr/>
        <w:t>Rugby League is a field-based collision sport,</w:t>
      </w:r>
      <w:r>
        <w:rPr>
          <w:spacing w:val="25"/>
        </w:rPr>
        <w:t> </w:t>
      </w:r>
      <w:r>
        <w:rPr/>
        <w:t>where 13 players on each team </w:t>
      </w:r>
      <w:r>
        <w:rPr/>
        <w:t>attempt</w:t>
      </w:r>
      <w:r>
        <w:rPr>
          <w:spacing w:val="80"/>
        </w:rPr>
        <w:t> </w:t>
      </w:r>
      <w:r>
        <w:rPr/>
        <w:t>to score more points than the opposition in a match played across two 40 minute halves. Matches</w:t>
      </w:r>
      <w:r>
        <w:rPr>
          <w:spacing w:val="-12"/>
        </w:rPr>
        <w:t> </w:t>
      </w:r>
      <w:r>
        <w:rPr/>
        <w:t>are</w:t>
      </w:r>
      <w:r>
        <w:rPr>
          <w:spacing w:val="-12"/>
        </w:rPr>
        <w:t> </w:t>
      </w:r>
      <w:r>
        <w:rPr/>
        <w:t>played</w:t>
      </w:r>
      <w:r>
        <w:rPr>
          <w:spacing w:val="-12"/>
        </w:rPr>
        <w:t> </w:t>
      </w:r>
      <w:r>
        <w:rPr/>
        <w:t>on</w:t>
      </w:r>
      <w:r>
        <w:rPr>
          <w:spacing w:val="-12"/>
        </w:rPr>
        <w:t> </w:t>
      </w:r>
      <w:r>
        <w:rPr/>
        <w:t>a</w:t>
      </w:r>
      <w:r>
        <w:rPr>
          <w:spacing w:val="-12"/>
        </w:rPr>
        <w:t> </w:t>
      </w:r>
      <w:r>
        <w:rPr/>
        <w:t>pitch</w:t>
      </w:r>
      <w:r>
        <w:rPr>
          <w:spacing w:val="-12"/>
        </w:rPr>
        <w:t> </w:t>
      </w:r>
      <w:r>
        <w:rPr/>
        <w:t>with</w:t>
      </w:r>
      <w:r>
        <w:rPr>
          <w:spacing w:val="-12"/>
        </w:rPr>
        <w:t> </w:t>
      </w:r>
      <w:r>
        <w:rPr/>
        <w:t>dimensions</w:t>
      </w:r>
      <w:r>
        <w:rPr>
          <w:spacing w:val="-12"/>
        </w:rPr>
        <w:t> </w:t>
      </w:r>
      <w:r>
        <w:rPr/>
        <w:t>68m</w:t>
      </w:r>
      <w:r>
        <w:rPr>
          <w:spacing w:val="-12"/>
        </w:rPr>
        <w:t> </w:t>
      </w:r>
      <w:r>
        <w:rPr/>
        <w:t>x</w:t>
      </w:r>
      <w:r>
        <w:rPr>
          <w:spacing w:val="-12"/>
        </w:rPr>
        <w:t> </w:t>
      </w:r>
      <w:r>
        <w:rPr/>
        <w:t>120m.</w:t>
      </w:r>
      <w:r>
        <w:rPr>
          <w:spacing w:val="7"/>
        </w:rPr>
        <w:t> </w:t>
      </w:r>
      <w:r>
        <w:rPr/>
        <w:t>The</w:t>
      </w:r>
      <w:r>
        <w:rPr>
          <w:spacing w:val="-12"/>
        </w:rPr>
        <w:t> </w:t>
      </w:r>
      <w:r>
        <w:rPr/>
        <w:t>end</w:t>
      </w:r>
      <w:r>
        <w:rPr>
          <w:spacing w:val="-12"/>
        </w:rPr>
        <w:t> </w:t>
      </w:r>
      <w:r>
        <w:rPr/>
        <w:t>10m</w:t>
      </w:r>
      <w:r>
        <w:rPr>
          <w:spacing w:val="-12"/>
        </w:rPr>
        <w:t> </w:t>
      </w:r>
      <w:r>
        <w:rPr/>
        <w:t>at</w:t>
      </w:r>
      <w:r>
        <w:rPr>
          <w:spacing w:val="-12"/>
        </w:rPr>
        <w:t> </w:t>
      </w:r>
      <w:r>
        <w:rPr/>
        <w:t>both</w:t>
      </w:r>
      <w:r>
        <w:rPr>
          <w:spacing w:val="-12"/>
        </w:rPr>
        <w:t> </w:t>
      </w:r>
      <w:r>
        <w:rPr/>
        <w:t>ends</w:t>
      </w:r>
      <w:r>
        <w:rPr>
          <w:spacing w:val="-12"/>
        </w:rPr>
        <w:t> </w:t>
      </w:r>
      <w:r>
        <w:rPr/>
        <w:t>of the </w:t>
      </w:r>
      <w:r>
        <w:rPr>
          <w:rFonts w:ascii="Cambria"/>
        </w:rPr>
        <w:t>y</w:t>
      </w:r>
      <w:r>
        <w:rPr/>
        <w:t>-axis are designated as try areas, where the highest value points are scored.</w:t>
      </w:r>
      <w:r>
        <w:rPr>
          <w:spacing w:val="31"/>
        </w:rPr>
        <w:t> </w:t>
      </w:r>
      <w:r>
        <w:rPr/>
        <w:t>Conse- quently,</w:t>
      </w:r>
      <w:r>
        <w:rPr>
          <w:spacing w:val="-2"/>
        </w:rPr>
        <w:t> </w:t>
      </w:r>
      <w:r>
        <w:rPr/>
        <w:t>few</w:t>
      </w:r>
      <w:r>
        <w:rPr>
          <w:spacing w:val="-3"/>
        </w:rPr>
        <w:t> </w:t>
      </w:r>
      <w:r>
        <w:rPr/>
        <w:t>actions</w:t>
      </w:r>
      <w:r>
        <w:rPr>
          <w:spacing w:val="-3"/>
        </w:rPr>
        <w:t> </w:t>
      </w:r>
      <w:r>
        <w:rPr/>
        <w:t>occur</w:t>
      </w:r>
      <w:r>
        <w:rPr>
          <w:spacing w:val="-3"/>
        </w:rPr>
        <w:t> </w:t>
      </w:r>
      <w:r>
        <w:rPr/>
        <w:t>in</w:t>
      </w:r>
      <w:r>
        <w:rPr>
          <w:spacing w:val="-3"/>
        </w:rPr>
        <w:t> </w:t>
      </w:r>
      <w:r>
        <w:rPr/>
        <w:t>the</w:t>
      </w:r>
      <w:r>
        <w:rPr>
          <w:spacing w:val="-3"/>
        </w:rPr>
        <w:t> </w:t>
      </w:r>
      <w:r>
        <w:rPr/>
        <w:t>opposition</w:t>
      </w:r>
      <w:r>
        <w:rPr>
          <w:spacing w:val="-3"/>
        </w:rPr>
        <w:t> </w:t>
      </w:r>
      <w:r>
        <w:rPr/>
        <w:t>try</w:t>
      </w:r>
      <w:r>
        <w:rPr>
          <w:spacing w:val="-3"/>
        </w:rPr>
        <w:t> </w:t>
      </w:r>
      <w:r>
        <w:rPr/>
        <w:t>area</w:t>
      </w:r>
      <w:r>
        <w:rPr>
          <w:spacing w:val="-3"/>
        </w:rPr>
        <w:t> </w:t>
      </w:r>
      <w:r>
        <w:rPr/>
        <w:t>when</w:t>
      </w:r>
      <w:r>
        <w:rPr>
          <w:spacing w:val="-3"/>
        </w:rPr>
        <w:t> </w:t>
      </w:r>
      <w:r>
        <w:rPr/>
        <w:t>a</w:t>
      </w:r>
      <w:r>
        <w:rPr>
          <w:spacing w:val="-3"/>
        </w:rPr>
        <w:t> </w:t>
      </w:r>
      <w:r>
        <w:rPr/>
        <w:t>team</w:t>
      </w:r>
      <w:r>
        <w:rPr>
          <w:spacing w:val="-3"/>
        </w:rPr>
        <w:t> </w:t>
      </w:r>
      <w:r>
        <w:rPr/>
        <w:t>is</w:t>
      </w:r>
      <w:r>
        <w:rPr>
          <w:spacing w:val="-3"/>
        </w:rPr>
        <w:t> </w:t>
      </w:r>
      <w:r>
        <w:rPr/>
        <w:t>attacking</w:t>
      </w:r>
      <w:r>
        <w:rPr>
          <w:spacing w:val="-3"/>
        </w:rPr>
        <w:t> </w:t>
      </w:r>
      <w:r>
        <w:rPr/>
        <w:t>because</w:t>
      </w:r>
      <w:r>
        <w:rPr>
          <w:spacing w:val="-3"/>
        </w:rPr>
        <w:t> </w:t>
      </w:r>
      <w:r>
        <w:rPr/>
        <w:t>as soon</w:t>
      </w:r>
      <w:r>
        <w:rPr>
          <w:spacing w:val="-9"/>
        </w:rPr>
        <w:t> </w:t>
      </w:r>
      <w:r>
        <w:rPr/>
        <w:t>as</w:t>
      </w:r>
      <w:r>
        <w:rPr>
          <w:spacing w:val="-9"/>
        </w:rPr>
        <w:t> </w:t>
      </w:r>
      <w:r>
        <w:rPr/>
        <w:t>the</w:t>
      </w:r>
      <w:r>
        <w:rPr>
          <w:spacing w:val="-9"/>
        </w:rPr>
        <w:t> </w:t>
      </w:r>
      <w:r>
        <w:rPr/>
        <w:t>attacking</w:t>
      </w:r>
      <w:r>
        <w:rPr>
          <w:spacing w:val="-9"/>
        </w:rPr>
        <w:t> </w:t>
      </w:r>
      <w:r>
        <w:rPr/>
        <w:t>team</w:t>
      </w:r>
      <w:r>
        <w:rPr>
          <w:spacing w:val="-9"/>
        </w:rPr>
        <w:t> </w:t>
      </w:r>
      <w:r>
        <w:rPr/>
        <w:t>is</w:t>
      </w:r>
      <w:r>
        <w:rPr>
          <w:spacing w:val="-9"/>
        </w:rPr>
        <w:t> </w:t>
      </w:r>
      <w:r>
        <w:rPr/>
        <w:t>in</w:t>
      </w:r>
      <w:r>
        <w:rPr>
          <w:spacing w:val="-9"/>
        </w:rPr>
        <w:t> </w:t>
      </w:r>
      <w:r>
        <w:rPr/>
        <w:t>control</w:t>
      </w:r>
      <w:r>
        <w:rPr>
          <w:spacing w:val="-9"/>
        </w:rPr>
        <w:t> </w:t>
      </w:r>
      <w:r>
        <w:rPr/>
        <w:t>of</w:t>
      </w:r>
      <w:r>
        <w:rPr>
          <w:spacing w:val="-9"/>
        </w:rPr>
        <w:t> </w:t>
      </w:r>
      <w:r>
        <w:rPr/>
        <w:t>the</w:t>
      </w:r>
      <w:r>
        <w:rPr>
          <w:spacing w:val="-9"/>
        </w:rPr>
        <w:t> </w:t>
      </w:r>
      <w:r>
        <w:rPr/>
        <w:t>ball</w:t>
      </w:r>
      <w:r>
        <w:rPr>
          <w:spacing w:val="-9"/>
        </w:rPr>
        <w:t> </w:t>
      </w:r>
      <w:r>
        <w:rPr/>
        <w:t>in</w:t>
      </w:r>
      <w:r>
        <w:rPr>
          <w:spacing w:val="-9"/>
        </w:rPr>
        <w:t> </w:t>
      </w:r>
      <w:r>
        <w:rPr/>
        <w:t>this</w:t>
      </w:r>
      <w:r>
        <w:rPr>
          <w:spacing w:val="-9"/>
        </w:rPr>
        <w:t> </w:t>
      </w:r>
      <w:r>
        <w:rPr/>
        <w:t>area,</w:t>
      </w:r>
      <w:r>
        <w:rPr>
          <w:spacing w:val="-8"/>
        </w:rPr>
        <w:t> </w:t>
      </w:r>
      <w:r>
        <w:rPr/>
        <w:t>they</w:t>
      </w:r>
      <w:r>
        <w:rPr>
          <w:spacing w:val="-9"/>
        </w:rPr>
        <w:t> </w:t>
      </w:r>
      <w:r>
        <w:rPr/>
        <w:t>will</w:t>
      </w:r>
      <w:r>
        <w:rPr>
          <w:spacing w:val="-9"/>
        </w:rPr>
        <w:t> </w:t>
      </w:r>
      <w:r>
        <w:rPr/>
        <w:t>attempt</w:t>
      </w:r>
      <w:r>
        <w:rPr>
          <w:spacing w:val="-9"/>
        </w:rPr>
        <w:t> </w:t>
      </w:r>
      <w:r>
        <w:rPr/>
        <w:t>to</w:t>
      </w:r>
      <w:r>
        <w:rPr>
          <w:spacing w:val="-9"/>
        </w:rPr>
        <w:t> </w:t>
      </w:r>
      <w:r>
        <w:rPr/>
        <w:t>ground it for a try. Figure</w:t>
      </w:r>
      <w:hyperlink w:history="true" w:anchor="_bookmark35">
        <w:r>
          <w:rPr>
            <w:color w:val="0000FF"/>
          </w:rPr>
          <w:t>2.15</w:t>
        </w:r>
      </w:hyperlink>
      <w:r>
        <w:rPr/>
        <w:t>provides a representation of the rugby league pitch. The try lines represent</w:t>
      </w:r>
      <w:r>
        <w:rPr>
          <w:spacing w:val="-6"/>
        </w:rPr>
        <w:t> </w:t>
      </w:r>
      <w:r>
        <w:rPr/>
        <w:t>the</w:t>
      </w:r>
      <w:r>
        <w:rPr>
          <w:spacing w:val="-6"/>
        </w:rPr>
        <w:t> </w:t>
      </w:r>
      <w:r>
        <w:rPr/>
        <w:t>beginning</w:t>
      </w:r>
      <w:r>
        <w:rPr>
          <w:spacing w:val="-6"/>
        </w:rPr>
        <w:t> </w:t>
      </w:r>
      <w:r>
        <w:rPr/>
        <w:t>of</w:t>
      </w:r>
      <w:r>
        <w:rPr>
          <w:spacing w:val="-6"/>
        </w:rPr>
        <w:t> </w:t>
      </w:r>
      <w:r>
        <w:rPr/>
        <w:t>the</w:t>
      </w:r>
      <w:r>
        <w:rPr>
          <w:spacing w:val="-6"/>
        </w:rPr>
        <w:t> </w:t>
      </w:r>
      <w:r>
        <w:rPr/>
        <w:t>try</w:t>
      </w:r>
      <w:r>
        <w:rPr>
          <w:spacing w:val="-6"/>
        </w:rPr>
        <w:t> </w:t>
      </w:r>
      <w:r>
        <w:rPr/>
        <w:t>areas,</w:t>
      </w:r>
      <w:r>
        <w:rPr>
          <w:spacing w:val="-6"/>
        </w:rPr>
        <w:t> </w:t>
      </w:r>
      <w:r>
        <w:rPr/>
        <w:t>which</w:t>
      </w:r>
      <w:r>
        <w:rPr>
          <w:spacing w:val="-6"/>
        </w:rPr>
        <w:t> </w:t>
      </w:r>
      <w:r>
        <w:rPr/>
        <w:t>extend</w:t>
      </w:r>
      <w:r>
        <w:rPr>
          <w:spacing w:val="-6"/>
        </w:rPr>
        <w:t> </w:t>
      </w:r>
      <w:r>
        <w:rPr/>
        <w:t>to</w:t>
      </w:r>
      <w:r>
        <w:rPr>
          <w:spacing w:val="-6"/>
        </w:rPr>
        <w:t> </w:t>
      </w:r>
      <w:r>
        <w:rPr/>
        <w:t>the</w:t>
      </w:r>
      <w:r>
        <w:rPr>
          <w:spacing w:val="-6"/>
        </w:rPr>
        <w:t> </w:t>
      </w:r>
      <w:r>
        <w:rPr/>
        <w:t>end</w:t>
      </w:r>
      <w:r>
        <w:rPr>
          <w:spacing w:val="-6"/>
        </w:rPr>
        <w:t> </w:t>
      </w:r>
      <w:r>
        <w:rPr/>
        <w:t>of</w:t>
      </w:r>
      <w:r>
        <w:rPr>
          <w:spacing w:val="-6"/>
        </w:rPr>
        <w:t> </w:t>
      </w:r>
      <w:r>
        <w:rPr/>
        <w:t>the</w:t>
      </w:r>
      <w:r>
        <w:rPr>
          <w:spacing w:val="-6"/>
        </w:rPr>
        <w:t> </w:t>
      </w:r>
      <w:r>
        <w:rPr/>
        <w:t>pitch. On</w:t>
      </w:r>
      <w:r>
        <w:rPr>
          <w:spacing w:val="-6"/>
        </w:rPr>
        <w:t> </w:t>
      </w:r>
      <w:r>
        <w:rPr/>
        <w:t>each</w:t>
      </w:r>
      <w:r>
        <w:rPr>
          <w:spacing w:val="-6"/>
        </w:rPr>
        <w:t> </w:t>
      </w:r>
      <w:r>
        <w:rPr/>
        <w:t>try line</w:t>
      </w:r>
      <w:r>
        <w:rPr>
          <w:spacing w:val="-3"/>
        </w:rPr>
        <w:t> </w:t>
      </w:r>
      <w:r>
        <w:rPr/>
        <w:t>there</w:t>
      </w:r>
      <w:r>
        <w:rPr>
          <w:spacing w:val="-3"/>
        </w:rPr>
        <w:t> </w:t>
      </w:r>
      <w:r>
        <w:rPr/>
        <w:t>is</w:t>
      </w:r>
      <w:r>
        <w:rPr>
          <w:spacing w:val="-3"/>
        </w:rPr>
        <w:t> </w:t>
      </w:r>
      <w:r>
        <w:rPr/>
        <w:t>a</w:t>
      </w:r>
      <w:r>
        <w:rPr>
          <w:spacing w:val="-3"/>
        </w:rPr>
        <w:t> </w:t>
      </w:r>
      <w:r>
        <w:rPr/>
        <w:t>6m</w:t>
      </w:r>
      <w:r>
        <w:rPr>
          <w:spacing w:val="-3"/>
        </w:rPr>
        <w:t> </w:t>
      </w:r>
      <w:r>
        <w:rPr/>
        <w:t>wide</w:t>
      </w:r>
      <w:r>
        <w:rPr>
          <w:spacing w:val="-3"/>
        </w:rPr>
        <w:t> </w:t>
      </w:r>
      <w:r>
        <w:rPr/>
        <w:t>goal. Teams</w:t>
      </w:r>
      <w:r>
        <w:rPr>
          <w:spacing w:val="-3"/>
        </w:rPr>
        <w:t> </w:t>
      </w:r>
      <w:r>
        <w:rPr/>
        <w:t>are</w:t>
      </w:r>
      <w:r>
        <w:rPr>
          <w:spacing w:val="-3"/>
        </w:rPr>
        <w:t> </w:t>
      </w:r>
      <w:r>
        <w:rPr/>
        <w:t>able</w:t>
      </w:r>
      <w:r>
        <w:rPr>
          <w:spacing w:val="-3"/>
        </w:rPr>
        <w:t> </w:t>
      </w:r>
      <w:r>
        <w:rPr/>
        <w:t>to</w:t>
      </w:r>
      <w:r>
        <w:rPr>
          <w:spacing w:val="-3"/>
        </w:rPr>
        <w:t> </w:t>
      </w:r>
      <w:r>
        <w:rPr/>
        <w:t>score</w:t>
      </w:r>
      <w:r>
        <w:rPr>
          <w:spacing w:val="-3"/>
        </w:rPr>
        <w:t> </w:t>
      </w:r>
      <w:r>
        <w:rPr/>
        <w:t>points</w:t>
      </w:r>
      <w:r>
        <w:rPr>
          <w:spacing w:val="-3"/>
        </w:rPr>
        <w:t> </w:t>
      </w:r>
      <w:r>
        <w:rPr/>
        <w:t>if</w:t>
      </w:r>
      <w:r>
        <w:rPr>
          <w:spacing w:val="-3"/>
        </w:rPr>
        <w:t> </w:t>
      </w:r>
      <w:r>
        <w:rPr/>
        <w:t>they</w:t>
      </w:r>
      <w:r>
        <w:rPr>
          <w:spacing w:val="-3"/>
        </w:rPr>
        <w:t> </w:t>
      </w:r>
      <w:r>
        <w:rPr/>
        <w:t>kick</w:t>
      </w:r>
      <w:r>
        <w:rPr>
          <w:spacing w:val="-3"/>
        </w:rPr>
        <w:t> </w:t>
      </w:r>
      <w:r>
        <w:rPr/>
        <w:t>the</w:t>
      </w:r>
      <w:r>
        <w:rPr>
          <w:spacing w:val="-3"/>
        </w:rPr>
        <w:t> </w:t>
      </w:r>
      <w:r>
        <w:rPr/>
        <w:t>ball</w:t>
      </w:r>
      <w:r>
        <w:rPr>
          <w:spacing w:val="-3"/>
        </w:rPr>
        <w:t> </w:t>
      </w:r>
      <w:r>
        <w:rPr/>
        <w:t>over</w:t>
      </w:r>
      <w:r>
        <w:rPr>
          <w:spacing w:val="-3"/>
        </w:rPr>
        <w:t> </w:t>
      </w:r>
      <w:r>
        <w:rPr/>
        <w:t>this goal</w:t>
      </w:r>
      <w:r>
        <w:rPr>
          <w:spacing w:val="-5"/>
        </w:rPr>
        <w:t> </w:t>
      </w:r>
      <w:r>
        <w:rPr/>
        <w:t>for</w:t>
      </w:r>
      <w:r>
        <w:rPr>
          <w:spacing w:val="-4"/>
        </w:rPr>
        <w:t> </w:t>
      </w:r>
      <w:r>
        <w:rPr/>
        <w:t>either</w:t>
      </w:r>
      <w:r>
        <w:rPr>
          <w:spacing w:val="-4"/>
        </w:rPr>
        <w:t> </w:t>
      </w:r>
      <w:r>
        <w:rPr/>
        <w:t>a</w:t>
      </w:r>
      <w:r>
        <w:rPr>
          <w:spacing w:val="-4"/>
        </w:rPr>
        <w:t> </w:t>
      </w:r>
      <w:r>
        <w:rPr/>
        <w:t>drop</w:t>
      </w:r>
      <w:r>
        <w:rPr>
          <w:spacing w:val="-5"/>
        </w:rPr>
        <w:t> </w:t>
      </w:r>
      <w:r>
        <w:rPr/>
        <w:t>goal,</w:t>
      </w:r>
      <w:r>
        <w:rPr>
          <w:spacing w:val="-3"/>
        </w:rPr>
        <w:t> </w:t>
      </w:r>
      <w:r>
        <w:rPr/>
        <w:t>penalty</w:t>
      </w:r>
      <w:r>
        <w:rPr>
          <w:spacing w:val="-4"/>
        </w:rPr>
        <w:t> </w:t>
      </w:r>
      <w:r>
        <w:rPr/>
        <w:t>kick</w:t>
      </w:r>
      <w:r>
        <w:rPr>
          <w:spacing w:val="-4"/>
        </w:rPr>
        <w:t> </w:t>
      </w:r>
      <w:r>
        <w:rPr/>
        <w:t>or</w:t>
      </w:r>
      <w:r>
        <w:rPr>
          <w:spacing w:val="-5"/>
        </w:rPr>
        <w:t> </w:t>
      </w:r>
      <w:r>
        <w:rPr/>
        <w:t>conversion</w:t>
      </w:r>
      <w:r>
        <w:rPr>
          <w:spacing w:val="-4"/>
        </w:rPr>
        <w:t> </w:t>
      </w:r>
      <w:r>
        <w:rPr/>
        <w:t>kick.</w:t>
      </w:r>
      <w:r>
        <w:rPr>
          <w:spacing w:val="13"/>
        </w:rPr>
        <w:t> </w:t>
      </w:r>
      <w:r>
        <w:rPr/>
        <w:t>At</w:t>
      </w:r>
      <w:r>
        <w:rPr>
          <w:spacing w:val="-4"/>
        </w:rPr>
        <w:t> </w:t>
      </w:r>
      <w:r>
        <w:rPr/>
        <w:t>the</w:t>
      </w:r>
      <w:r>
        <w:rPr>
          <w:spacing w:val="-4"/>
        </w:rPr>
        <w:t> </w:t>
      </w:r>
      <w:r>
        <w:rPr/>
        <w:t>beginning</w:t>
      </w:r>
      <w:r>
        <w:rPr>
          <w:spacing w:val="-5"/>
        </w:rPr>
        <w:t> </w:t>
      </w:r>
      <w:r>
        <w:rPr/>
        <w:t>of</w:t>
      </w:r>
      <w:r>
        <w:rPr>
          <w:spacing w:val="-4"/>
        </w:rPr>
        <w:t> </w:t>
      </w:r>
      <w:r>
        <w:rPr/>
        <w:t>a</w:t>
      </w:r>
      <w:r>
        <w:rPr>
          <w:spacing w:val="-4"/>
        </w:rPr>
        <w:t> </w:t>
      </w:r>
      <w:r>
        <w:rPr/>
        <w:t>half</w:t>
      </w:r>
      <w:r>
        <w:rPr>
          <w:spacing w:val="-4"/>
        </w:rPr>
        <w:t> </w:t>
      </w:r>
      <w:r>
        <w:rPr>
          <w:spacing w:val="-5"/>
        </w:rPr>
        <w:t>of</w:t>
      </w:r>
    </w:p>
    <w:p>
      <w:pPr>
        <w:spacing w:after="0" w:line="312" w:lineRule="auto"/>
        <w:sectPr>
          <w:headerReference w:type="default" r:id="rId49"/>
          <w:footerReference w:type="default" r:id="rId50"/>
          <w:pgSz w:w="11910" w:h="16840"/>
          <w:pgMar w:header="1961" w:footer="1428" w:top="2280" w:bottom="1620" w:left="1680" w:right="720"/>
        </w:sectPr>
      </w:pPr>
    </w:p>
    <w:p>
      <w:pPr>
        <w:pStyle w:val="BodyText"/>
        <w:rPr>
          <w:sz w:val="20"/>
        </w:rPr>
      </w:pPr>
    </w:p>
    <w:p>
      <w:pPr>
        <w:pStyle w:val="BodyText"/>
        <w:spacing w:before="5"/>
        <w:rPr>
          <w:sz w:val="28"/>
        </w:rPr>
      </w:pPr>
    </w:p>
    <w:p>
      <w:pPr>
        <w:pStyle w:val="BodyText"/>
        <w:ind w:left="3161"/>
        <w:rPr>
          <w:sz w:val="20"/>
        </w:rPr>
      </w:pPr>
      <w:r>
        <w:rPr>
          <w:sz w:val="20"/>
        </w:rPr>
        <w:drawing>
          <wp:inline distT="0" distB="0" distL="0" distR="0">
            <wp:extent cx="2146685" cy="2974848"/>
            <wp:effectExtent l="0" t="0" r="0" b="0"/>
            <wp:docPr id="31" name="image16.png"/>
            <wp:cNvGraphicFramePr>
              <a:graphicFrameLocks noChangeAspect="1"/>
            </wp:cNvGraphicFramePr>
            <a:graphic>
              <a:graphicData uri="http://schemas.openxmlformats.org/drawingml/2006/picture">
                <pic:pic>
                  <pic:nvPicPr>
                    <pic:cNvPr id="32" name="image16.png"/>
                    <pic:cNvPicPr/>
                  </pic:nvPicPr>
                  <pic:blipFill>
                    <a:blip r:embed="rId51" cstate="print"/>
                    <a:stretch>
                      <a:fillRect/>
                    </a:stretch>
                  </pic:blipFill>
                  <pic:spPr>
                    <a:xfrm>
                      <a:off x="0" y="0"/>
                      <a:ext cx="2146685" cy="2974848"/>
                    </a:xfrm>
                    <a:prstGeom prst="rect">
                      <a:avLst/>
                    </a:prstGeom>
                  </pic:spPr>
                </pic:pic>
              </a:graphicData>
            </a:graphic>
          </wp:inline>
        </w:drawing>
      </w:r>
      <w:r>
        <w:rPr>
          <w:sz w:val="20"/>
        </w:rPr>
      </w:r>
    </w:p>
    <w:p>
      <w:pPr>
        <w:pStyle w:val="BodyText"/>
        <w:spacing w:before="8"/>
        <w:rPr>
          <w:sz w:val="9"/>
        </w:rPr>
      </w:pPr>
    </w:p>
    <w:p>
      <w:pPr>
        <w:pStyle w:val="BodyText"/>
        <w:spacing w:line="252" w:lineRule="auto" w:before="106"/>
        <w:ind w:left="610" w:right="389"/>
        <w:jc w:val="both"/>
      </w:pPr>
      <w:bookmarkStart w:name="_bookmark35" w:id="64"/>
      <w:bookmarkEnd w:id="64"/>
      <w:r>
        <w:rPr/>
      </w:r>
      <w:r>
        <w:rPr>
          <w:b/>
        </w:rPr>
        <w:t>Figure 2.15:</w:t>
      </w:r>
      <w:r>
        <w:rPr>
          <w:b/>
          <w:spacing w:val="36"/>
        </w:rPr>
        <w:t> </w:t>
      </w:r>
      <w:r>
        <w:rPr/>
        <w:t>Plot of 70m x 120m rugby league pitch.</w:t>
      </w:r>
      <w:r>
        <w:rPr>
          <w:spacing w:val="40"/>
        </w:rPr>
        <w:t> </w:t>
      </w:r>
      <w:r>
        <w:rPr/>
        <w:t>Assumes the team in </w:t>
      </w:r>
      <w:r>
        <w:rPr/>
        <w:t>possession of the ball is attacking in an upwards direction.</w:t>
      </w:r>
      <w:r>
        <w:rPr>
          <w:spacing w:val="30"/>
        </w:rPr>
        <w:t> </w:t>
      </w:r>
      <w:r>
        <w:rPr/>
        <w:t>Own refers to the possession team; Opp refers to the opposition team.</w:t>
      </w:r>
    </w:p>
    <w:p>
      <w:pPr>
        <w:pStyle w:val="BodyText"/>
        <w:rPr>
          <w:sz w:val="28"/>
        </w:rPr>
      </w:pPr>
    </w:p>
    <w:p>
      <w:pPr>
        <w:pStyle w:val="BodyText"/>
        <w:spacing w:before="2"/>
        <w:rPr>
          <w:sz w:val="32"/>
        </w:rPr>
      </w:pPr>
    </w:p>
    <w:p>
      <w:pPr>
        <w:pStyle w:val="BodyText"/>
        <w:spacing w:line="312" w:lineRule="auto"/>
        <w:ind w:left="610" w:right="389"/>
        <w:jc w:val="both"/>
      </w:pPr>
      <w:r>
        <w:rPr/>
        <w:t>match play or after a scoring action, play is restarted at the 50m line.</w:t>
      </w:r>
      <w:r>
        <w:rPr>
          <w:spacing w:val="22"/>
        </w:rPr>
        <w:t> </w:t>
      </w:r>
      <w:r>
        <w:rPr/>
        <w:t>The 20m line is an important visual signpost for players as it signifies a point where coaches typically want them</w:t>
      </w:r>
      <w:r>
        <w:rPr>
          <w:spacing w:val="-9"/>
        </w:rPr>
        <w:t> </w:t>
      </w:r>
      <w:r>
        <w:rPr/>
        <w:t>to</w:t>
      </w:r>
      <w:r>
        <w:rPr>
          <w:spacing w:val="-9"/>
        </w:rPr>
        <w:t> </w:t>
      </w:r>
      <w:r>
        <w:rPr/>
        <w:t>employ</w:t>
      </w:r>
      <w:r>
        <w:rPr>
          <w:spacing w:val="-9"/>
        </w:rPr>
        <w:t> </w:t>
      </w:r>
      <w:r>
        <w:rPr/>
        <w:t>specific</w:t>
      </w:r>
      <w:r>
        <w:rPr>
          <w:spacing w:val="-9"/>
        </w:rPr>
        <w:t> </w:t>
      </w:r>
      <w:r>
        <w:rPr/>
        <w:t>tactical</w:t>
      </w:r>
      <w:r>
        <w:rPr>
          <w:spacing w:val="-9"/>
        </w:rPr>
        <w:t> </w:t>
      </w:r>
      <w:r>
        <w:rPr/>
        <w:t>strategies</w:t>
      </w:r>
      <w:r>
        <w:rPr>
          <w:spacing w:val="-9"/>
        </w:rPr>
        <w:t> </w:t>
      </w:r>
      <w:r>
        <w:rPr/>
        <w:t>(e.g. set</w:t>
      </w:r>
      <w:r>
        <w:rPr>
          <w:spacing w:val="-9"/>
        </w:rPr>
        <w:t> </w:t>
      </w:r>
      <w:r>
        <w:rPr/>
        <w:t>attacking</w:t>
      </w:r>
      <w:r>
        <w:rPr>
          <w:spacing w:val="-9"/>
        </w:rPr>
        <w:t> </w:t>
      </w:r>
      <w:r>
        <w:rPr/>
        <w:t>or</w:t>
      </w:r>
      <w:r>
        <w:rPr>
          <w:spacing w:val="-9"/>
        </w:rPr>
        <w:t> </w:t>
      </w:r>
      <w:r>
        <w:rPr/>
        <w:t>defensive</w:t>
      </w:r>
      <w:r>
        <w:rPr>
          <w:spacing w:val="-9"/>
        </w:rPr>
        <w:t> </w:t>
      </w:r>
      <w:r>
        <w:rPr/>
        <w:t>plays</w:t>
      </w:r>
      <w:r>
        <w:rPr>
          <w:spacing w:val="-9"/>
        </w:rPr>
        <w:t> </w:t>
      </w:r>
      <w:r>
        <w:rPr/>
        <w:t>to</w:t>
      </w:r>
      <w:r>
        <w:rPr>
          <w:spacing w:val="-9"/>
        </w:rPr>
        <w:t> </w:t>
      </w:r>
      <w:r>
        <w:rPr/>
        <w:t>try</w:t>
      </w:r>
      <w:r>
        <w:rPr>
          <w:spacing w:val="-9"/>
        </w:rPr>
        <w:t> </w:t>
      </w:r>
      <w:r>
        <w:rPr/>
        <w:t>and score or prevent points from being scored).</w:t>
      </w:r>
    </w:p>
    <w:p>
      <w:pPr>
        <w:pStyle w:val="BodyText"/>
        <w:spacing w:line="312" w:lineRule="auto"/>
        <w:ind w:left="610" w:right="389" w:firstLine="351"/>
        <w:jc w:val="both"/>
      </w:pPr>
      <w:r>
        <w:rPr/>
        <w:t>There are four methods of scoring points in rugby league:</w:t>
      </w:r>
      <w:r>
        <w:rPr>
          <w:spacing w:val="40"/>
        </w:rPr>
        <w:t> </w:t>
      </w:r>
      <w:r>
        <w:rPr/>
        <w:t>a </w:t>
      </w:r>
      <w:r>
        <w:rPr>
          <w:i/>
        </w:rPr>
        <w:t>try</w:t>
      </w:r>
      <w:r>
        <w:rPr/>
        <w:t>, where the ball is grounded</w:t>
      </w:r>
      <w:r>
        <w:rPr>
          <w:spacing w:val="-15"/>
        </w:rPr>
        <w:t> </w:t>
      </w:r>
      <w:r>
        <w:rPr/>
        <w:t>beyond</w:t>
      </w:r>
      <w:r>
        <w:rPr>
          <w:spacing w:val="-15"/>
        </w:rPr>
        <w:t> </w:t>
      </w:r>
      <w:r>
        <w:rPr/>
        <w:t>the</w:t>
      </w:r>
      <w:r>
        <w:rPr>
          <w:spacing w:val="-15"/>
        </w:rPr>
        <w:t> </w:t>
      </w:r>
      <w:r>
        <w:rPr/>
        <w:t>opposition</w:t>
      </w:r>
      <w:r>
        <w:rPr>
          <w:spacing w:val="-15"/>
        </w:rPr>
        <w:t> </w:t>
      </w:r>
      <w:r>
        <w:rPr/>
        <w:t>try</w:t>
      </w:r>
      <w:r>
        <w:rPr>
          <w:spacing w:val="-15"/>
        </w:rPr>
        <w:t> </w:t>
      </w:r>
      <w:r>
        <w:rPr/>
        <w:t>line;</w:t>
      </w:r>
      <w:r>
        <w:rPr>
          <w:spacing w:val="-15"/>
        </w:rPr>
        <w:t> </w:t>
      </w:r>
      <w:r>
        <w:rPr/>
        <w:t>a</w:t>
      </w:r>
      <w:r>
        <w:rPr>
          <w:spacing w:val="-15"/>
        </w:rPr>
        <w:t> </w:t>
      </w:r>
      <w:r>
        <w:rPr>
          <w:i/>
        </w:rPr>
        <w:t>conversion</w:t>
      </w:r>
      <w:r>
        <w:rPr>
          <w:i/>
          <w:spacing w:val="-15"/>
        </w:rPr>
        <w:t> </w:t>
      </w:r>
      <w:r>
        <w:rPr>
          <w:i/>
        </w:rPr>
        <w:t>kick</w:t>
      </w:r>
      <w:r>
        <w:rPr/>
        <w:t>,</w:t>
      </w:r>
      <w:r>
        <w:rPr>
          <w:spacing w:val="-14"/>
        </w:rPr>
        <w:t> </w:t>
      </w:r>
      <w:r>
        <w:rPr/>
        <w:t>which</w:t>
      </w:r>
      <w:r>
        <w:rPr>
          <w:spacing w:val="-15"/>
        </w:rPr>
        <w:t> </w:t>
      </w:r>
      <w:r>
        <w:rPr/>
        <w:t>is</w:t>
      </w:r>
      <w:r>
        <w:rPr>
          <w:spacing w:val="-15"/>
        </w:rPr>
        <w:t> </w:t>
      </w:r>
      <w:r>
        <w:rPr/>
        <w:t>attempted</w:t>
      </w:r>
      <w:r>
        <w:rPr>
          <w:spacing w:val="-15"/>
        </w:rPr>
        <w:t> </w:t>
      </w:r>
      <w:r>
        <w:rPr/>
        <w:t>after</w:t>
      </w:r>
      <w:r>
        <w:rPr>
          <w:spacing w:val="-15"/>
        </w:rPr>
        <w:t> </w:t>
      </w:r>
      <w:r>
        <w:rPr/>
        <w:t>every try and is successful when the ball is kicked from the floor between the goal posts; a </w:t>
      </w:r>
      <w:r>
        <w:rPr>
          <w:i/>
        </w:rPr>
        <w:t>penalty kick</w:t>
      </w:r>
      <w:r>
        <w:rPr/>
        <w:t>, which is also successful when the ball is kicked from the floor between the goal posts, but is offered as a result of an opposition foul rather than a try being </w:t>
      </w:r>
      <w:r>
        <w:rPr/>
        <w:t>scored; and</w:t>
      </w:r>
      <w:r>
        <w:rPr>
          <w:spacing w:val="-4"/>
        </w:rPr>
        <w:t> </w:t>
      </w:r>
      <w:r>
        <w:rPr/>
        <w:t>a</w:t>
      </w:r>
      <w:r>
        <w:rPr>
          <w:spacing w:val="-4"/>
        </w:rPr>
        <w:t> </w:t>
      </w:r>
      <w:r>
        <w:rPr>
          <w:i/>
        </w:rPr>
        <w:t>drop</w:t>
      </w:r>
      <w:r>
        <w:rPr>
          <w:i/>
          <w:spacing w:val="-4"/>
        </w:rPr>
        <w:t> </w:t>
      </w:r>
      <w:r>
        <w:rPr>
          <w:i/>
        </w:rPr>
        <w:t>goal</w:t>
      </w:r>
      <w:r>
        <w:rPr/>
        <w:t>,</w:t>
      </w:r>
      <w:r>
        <w:rPr>
          <w:spacing w:val="-4"/>
        </w:rPr>
        <w:t> </w:t>
      </w:r>
      <w:r>
        <w:rPr/>
        <w:t>which</w:t>
      </w:r>
      <w:r>
        <w:rPr>
          <w:spacing w:val="-4"/>
        </w:rPr>
        <w:t> </w:t>
      </w:r>
      <w:r>
        <w:rPr/>
        <w:t>is</w:t>
      </w:r>
      <w:r>
        <w:rPr>
          <w:spacing w:val="-4"/>
        </w:rPr>
        <w:t> </w:t>
      </w:r>
      <w:r>
        <w:rPr/>
        <w:t>successful</w:t>
      </w:r>
      <w:r>
        <w:rPr>
          <w:spacing w:val="-4"/>
        </w:rPr>
        <w:t> </w:t>
      </w:r>
      <w:r>
        <w:rPr/>
        <w:t>when</w:t>
      </w:r>
      <w:r>
        <w:rPr>
          <w:spacing w:val="-4"/>
        </w:rPr>
        <w:t> </w:t>
      </w:r>
      <w:r>
        <w:rPr/>
        <w:t>the</w:t>
      </w:r>
      <w:r>
        <w:rPr>
          <w:spacing w:val="-4"/>
        </w:rPr>
        <w:t> </w:t>
      </w:r>
      <w:r>
        <w:rPr/>
        <w:t>ball</w:t>
      </w:r>
      <w:r>
        <w:rPr>
          <w:spacing w:val="-4"/>
        </w:rPr>
        <w:t> </w:t>
      </w:r>
      <w:r>
        <w:rPr/>
        <w:t>is</w:t>
      </w:r>
      <w:r>
        <w:rPr>
          <w:spacing w:val="-4"/>
        </w:rPr>
        <w:t> </w:t>
      </w:r>
      <w:r>
        <w:rPr/>
        <w:t>kicked</w:t>
      </w:r>
      <w:r>
        <w:rPr>
          <w:spacing w:val="-4"/>
        </w:rPr>
        <w:t> </w:t>
      </w:r>
      <w:r>
        <w:rPr/>
        <w:t>between</w:t>
      </w:r>
      <w:r>
        <w:rPr>
          <w:spacing w:val="-4"/>
        </w:rPr>
        <w:t> </w:t>
      </w:r>
      <w:r>
        <w:rPr/>
        <w:t>the</w:t>
      </w:r>
      <w:r>
        <w:rPr>
          <w:spacing w:val="-4"/>
        </w:rPr>
        <w:t> </w:t>
      </w:r>
      <w:r>
        <w:rPr/>
        <w:t>goal</w:t>
      </w:r>
      <w:r>
        <w:rPr>
          <w:spacing w:val="-4"/>
        </w:rPr>
        <w:t> </w:t>
      </w:r>
      <w:r>
        <w:rPr/>
        <w:t>posts</w:t>
      </w:r>
      <w:r>
        <w:rPr>
          <w:spacing w:val="-4"/>
        </w:rPr>
        <w:t> </w:t>
      </w:r>
      <w:r>
        <w:rPr/>
        <w:t>from the attacking</w:t>
      </w:r>
      <w:r>
        <w:rPr>
          <w:spacing w:val="-1"/>
        </w:rPr>
        <w:t> </w:t>
      </w:r>
      <w:r>
        <w:rPr/>
        <w:t>players hands.</w:t>
      </w:r>
      <w:r>
        <w:rPr>
          <w:spacing w:val="26"/>
        </w:rPr>
        <w:t> </w:t>
      </w:r>
      <w:r>
        <w:rPr/>
        <w:t>A converted try</w:t>
      </w:r>
      <w:r>
        <w:rPr>
          <w:spacing w:val="-1"/>
        </w:rPr>
        <w:t> </w:t>
      </w:r>
      <w:r>
        <w:rPr/>
        <w:t>(try scored and conversion</w:t>
      </w:r>
      <w:r>
        <w:rPr>
          <w:spacing w:val="-1"/>
        </w:rPr>
        <w:t> </w:t>
      </w:r>
      <w:r>
        <w:rPr/>
        <w:t>kick successful) is worth 6 points, an unconverted try (try scored, but conversion kick unsuccessful) is worth 4 points, a penalty goal is worth 2 points and a drop goal is worth 1 point.</w:t>
      </w:r>
      <w:r>
        <w:rPr>
          <w:spacing w:val="40"/>
        </w:rPr>
        <w:t> </w:t>
      </w:r>
      <w:r>
        <w:rPr/>
        <w:t>Table </w:t>
      </w:r>
      <w:hyperlink w:history="true" w:anchor="_bookmark36">
        <w:r>
          <w:rPr>
            <w:color w:val="0000FF"/>
          </w:rPr>
          <w:t>2.1</w:t>
        </w:r>
      </w:hyperlink>
      <w:r>
        <w:rPr/>
        <w:t>outlines the potential possession outcomes in rugby league.</w:t>
      </w:r>
      <w:r>
        <w:rPr>
          <w:spacing w:val="30"/>
        </w:rPr>
        <w:t> </w:t>
      </w:r>
      <w:r>
        <w:rPr/>
        <w:t>If the teams have scored equal</w:t>
      </w:r>
      <w:r>
        <w:rPr>
          <w:spacing w:val="-11"/>
        </w:rPr>
        <w:t> </w:t>
      </w:r>
      <w:r>
        <w:rPr/>
        <w:t>points</w:t>
      </w:r>
      <w:r>
        <w:rPr>
          <w:spacing w:val="-11"/>
        </w:rPr>
        <w:t> </w:t>
      </w:r>
      <w:r>
        <w:rPr/>
        <w:t>after</w:t>
      </w:r>
      <w:r>
        <w:rPr>
          <w:spacing w:val="-11"/>
        </w:rPr>
        <w:t> </w:t>
      </w:r>
      <w:r>
        <w:rPr/>
        <w:t>80</w:t>
      </w:r>
      <w:r>
        <w:rPr>
          <w:spacing w:val="-11"/>
        </w:rPr>
        <w:t> </w:t>
      </w:r>
      <w:r>
        <w:rPr/>
        <w:t>minutes</w:t>
      </w:r>
      <w:r>
        <w:rPr>
          <w:spacing w:val="-11"/>
        </w:rPr>
        <w:t> </w:t>
      </w:r>
      <w:r>
        <w:rPr/>
        <w:t>of</w:t>
      </w:r>
      <w:r>
        <w:rPr>
          <w:spacing w:val="-11"/>
        </w:rPr>
        <w:t> </w:t>
      </w:r>
      <w:r>
        <w:rPr/>
        <w:t>match</w:t>
      </w:r>
      <w:r>
        <w:rPr>
          <w:spacing w:val="-11"/>
        </w:rPr>
        <w:t> </w:t>
      </w:r>
      <w:r>
        <w:rPr/>
        <w:t>play,</w:t>
      </w:r>
      <w:r>
        <w:rPr>
          <w:spacing w:val="-10"/>
        </w:rPr>
        <w:t> </w:t>
      </w:r>
      <w:r>
        <w:rPr/>
        <w:t>two</w:t>
      </w:r>
      <w:r>
        <w:rPr>
          <w:spacing w:val="-11"/>
        </w:rPr>
        <w:t> </w:t>
      </w:r>
      <w:r>
        <w:rPr/>
        <w:t>additional</w:t>
      </w:r>
      <w:r>
        <w:rPr>
          <w:spacing w:val="-11"/>
        </w:rPr>
        <w:t> </w:t>
      </w:r>
      <w:r>
        <w:rPr/>
        <w:t>periods</w:t>
      </w:r>
      <w:r>
        <w:rPr>
          <w:spacing w:val="-11"/>
        </w:rPr>
        <w:t> </w:t>
      </w:r>
      <w:r>
        <w:rPr/>
        <w:t>of</w:t>
      </w:r>
      <w:r>
        <w:rPr>
          <w:spacing w:val="-11"/>
        </w:rPr>
        <w:t> </w:t>
      </w:r>
      <w:r>
        <w:rPr/>
        <w:t>5</w:t>
      </w:r>
      <w:r>
        <w:rPr>
          <w:spacing w:val="-11"/>
        </w:rPr>
        <w:t> </w:t>
      </w:r>
      <w:r>
        <w:rPr/>
        <w:t>minutes</w:t>
      </w:r>
      <w:r>
        <w:rPr>
          <w:spacing w:val="-11"/>
        </w:rPr>
        <w:t> </w:t>
      </w:r>
      <w:r>
        <w:rPr/>
        <w:t>is</w:t>
      </w:r>
      <w:r>
        <w:rPr>
          <w:spacing w:val="-11"/>
        </w:rPr>
        <w:t> </w:t>
      </w:r>
      <w:r>
        <w:rPr>
          <w:spacing w:val="-2"/>
        </w:rPr>
        <w:t>played</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spacing w:before="105"/>
        <w:ind w:left="757" w:right="538" w:firstLine="0"/>
        <w:jc w:val="center"/>
        <w:rPr>
          <w:sz w:val="24"/>
        </w:rPr>
      </w:pPr>
      <w:bookmarkStart w:name="_bookmark36" w:id="65"/>
      <w:bookmarkEnd w:id="65"/>
      <w:r>
        <w:rPr/>
      </w:r>
      <w:r>
        <w:rPr>
          <w:b/>
          <w:sz w:val="24"/>
        </w:rPr>
        <w:t>Table</w:t>
      </w:r>
      <w:r>
        <w:rPr>
          <w:b/>
          <w:spacing w:val="-11"/>
          <w:sz w:val="24"/>
        </w:rPr>
        <w:t> </w:t>
      </w:r>
      <w:r>
        <w:rPr>
          <w:b/>
          <w:sz w:val="24"/>
        </w:rPr>
        <w:t>2.1:</w:t>
      </w:r>
      <w:r>
        <w:rPr>
          <w:b/>
          <w:spacing w:val="2"/>
          <w:sz w:val="24"/>
        </w:rPr>
        <w:t> </w:t>
      </w:r>
      <w:r>
        <w:rPr>
          <w:sz w:val="24"/>
        </w:rPr>
        <w:t>Possession</w:t>
      </w:r>
      <w:r>
        <w:rPr>
          <w:spacing w:val="-10"/>
          <w:sz w:val="24"/>
        </w:rPr>
        <w:t> </w:t>
      </w:r>
      <w:r>
        <w:rPr>
          <w:sz w:val="24"/>
        </w:rPr>
        <w:t>outcomes</w:t>
      </w:r>
      <w:r>
        <w:rPr>
          <w:spacing w:val="-10"/>
          <w:sz w:val="24"/>
        </w:rPr>
        <w:t> </w:t>
      </w:r>
      <w:r>
        <w:rPr>
          <w:sz w:val="24"/>
        </w:rPr>
        <w:t>in</w:t>
      </w:r>
      <w:r>
        <w:rPr>
          <w:spacing w:val="-11"/>
          <w:sz w:val="24"/>
        </w:rPr>
        <w:t> </w:t>
      </w:r>
      <w:r>
        <w:rPr>
          <w:sz w:val="24"/>
        </w:rPr>
        <w:t>rugby</w:t>
      </w:r>
      <w:r>
        <w:rPr>
          <w:spacing w:val="-10"/>
          <w:sz w:val="24"/>
        </w:rPr>
        <w:t> </w:t>
      </w:r>
      <w:r>
        <w:rPr>
          <w:spacing w:val="-2"/>
          <w:sz w:val="24"/>
        </w:rPr>
        <w:t>league</w:t>
      </w:r>
    </w:p>
    <w:p>
      <w:pPr>
        <w:pStyle w:val="BodyText"/>
        <w:rPr>
          <w:sz w:val="20"/>
        </w:rPr>
      </w:pPr>
    </w:p>
    <w:p>
      <w:pPr>
        <w:pStyle w:val="BodyText"/>
        <w:spacing w:before="3"/>
        <w:rPr>
          <w:sz w:val="23"/>
        </w:rPr>
      </w:pPr>
    </w:p>
    <w:tbl>
      <w:tblPr>
        <w:tblW w:w="0" w:type="auto"/>
        <w:jc w:val="left"/>
        <w:tblInd w:w="31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786"/>
        <w:gridCol w:w="1561"/>
      </w:tblGrid>
      <w:tr>
        <w:trPr>
          <w:trHeight w:val="272" w:hRule="atLeast"/>
        </w:trPr>
        <w:tc>
          <w:tcPr>
            <w:tcW w:w="1786" w:type="dxa"/>
            <w:tcBorders>
              <w:top w:val="single" w:sz="4" w:space="0" w:color="000000"/>
              <w:bottom w:val="single" w:sz="4" w:space="0" w:color="000000"/>
            </w:tcBorders>
          </w:tcPr>
          <w:p>
            <w:pPr>
              <w:pStyle w:val="TableParagraph"/>
              <w:spacing w:line="253" w:lineRule="exact"/>
              <w:ind w:left="111" w:right="111"/>
              <w:rPr>
                <w:sz w:val="24"/>
              </w:rPr>
            </w:pPr>
            <w:r>
              <w:rPr>
                <w:spacing w:val="-2"/>
                <w:sz w:val="24"/>
              </w:rPr>
              <w:t>Action</w:t>
            </w:r>
          </w:p>
        </w:tc>
        <w:tc>
          <w:tcPr>
            <w:tcW w:w="1561" w:type="dxa"/>
            <w:tcBorders>
              <w:top w:val="single" w:sz="4" w:space="0" w:color="000000"/>
              <w:bottom w:val="single" w:sz="4" w:space="0" w:color="000000"/>
            </w:tcBorders>
          </w:tcPr>
          <w:p>
            <w:pPr>
              <w:pStyle w:val="TableParagraph"/>
              <w:spacing w:line="253" w:lineRule="exact"/>
              <w:ind w:left="107" w:right="107"/>
              <w:rPr>
                <w:sz w:val="24"/>
              </w:rPr>
            </w:pPr>
            <w:r>
              <w:rPr>
                <w:sz w:val="24"/>
              </w:rPr>
              <w:t>Points</w:t>
            </w:r>
            <w:r>
              <w:rPr>
                <w:spacing w:val="-9"/>
                <w:sz w:val="24"/>
              </w:rPr>
              <w:t> </w:t>
            </w:r>
            <w:r>
              <w:rPr>
                <w:spacing w:val="-2"/>
                <w:sz w:val="24"/>
              </w:rPr>
              <w:t>Scored</w:t>
            </w:r>
          </w:p>
        </w:tc>
      </w:tr>
      <w:tr>
        <w:trPr>
          <w:trHeight w:val="283" w:hRule="atLeast"/>
        </w:trPr>
        <w:tc>
          <w:tcPr>
            <w:tcW w:w="1786" w:type="dxa"/>
            <w:tcBorders>
              <w:top w:val="single" w:sz="4" w:space="0" w:color="000000"/>
            </w:tcBorders>
          </w:tcPr>
          <w:p>
            <w:pPr>
              <w:pStyle w:val="TableParagraph"/>
              <w:spacing w:line="249" w:lineRule="exact"/>
              <w:ind w:left="111" w:right="111"/>
              <w:rPr>
                <w:sz w:val="24"/>
              </w:rPr>
            </w:pPr>
            <w:r>
              <w:rPr>
                <w:spacing w:val="-2"/>
                <w:sz w:val="24"/>
              </w:rPr>
              <w:t>Converted</w:t>
            </w:r>
            <w:r>
              <w:rPr>
                <w:spacing w:val="-7"/>
                <w:sz w:val="24"/>
              </w:rPr>
              <w:t> </w:t>
            </w:r>
            <w:r>
              <w:rPr>
                <w:spacing w:val="-5"/>
                <w:sz w:val="24"/>
              </w:rPr>
              <w:t>try</w:t>
            </w:r>
          </w:p>
        </w:tc>
        <w:tc>
          <w:tcPr>
            <w:tcW w:w="1561" w:type="dxa"/>
            <w:tcBorders>
              <w:top w:val="single" w:sz="4" w:space="0" w:color="000000"/>
            </w:tcBorders>
          </w:tcPr>
          <w:p>
            <w:pPr>
              <w:pStyle w:val="TableParagraph"/>
              <w:spacing w:line="249" w:lineRule="exact"/>
              <w:rPr>
                <w:sz w:val="24"/>
              </w:rPr>
            </w:pPr>
            <w:r>
              <w:rPr>
                <w:w w:val="99"/>
                <w:sz w:val="24"/>
              </w:rPr>
              <w:t>6</w:t>
            </w:r>
          </w:p>
        </w:tc>
      </w:tr>
      <w:tr>
        <w:trPr>
          <w:trHeight w:val="288" w:hRule="atLeast"/>
        </w:trPr>
        <w:tc>
          <w:tcPr>
            <w:tcW w:w="1786" w:type="dxa"/>
          </w:tcPr>
          <w:p>
            <w:pPr>
              <w:pStyle w:val="TableParagraph"/>
              <w:ind w:left="111" w:right="111"/>
              <w:rPr>
                <w:sz w:val="24"/>
              </w:rPr>
            </w:pPr>
            <w:r>
              <w:rPr>
                <w:spacing w:val="-2"/>
                <w:sz w:val="24"/>
              </w:rPr>
              <w:t>Unconverted</w:t>
            </w:r>
            <w:r>
              <w:rPr>
                <w:spacing w:val="-6"/>
                <w:sz w:val="24"/>
              </w:rPr>
              <w:t> </w:t>
            </w:r>
            <w:r>
              <w:rPr>
                <w:spacing w:val="-5"/>
                <w:sz w:val="24"/>
              </w:rPr>
              <w:t>try</w:t>
            </w:r>
          </w:p>
        </w:tc>
        <w:tc>
          <w:tcPr>
            <w:tcW w:w="1561" w:type="dxa"/>
          </w:tcPr>
          <w:p>
            <w:pPr>
              <w:pStyle w:val="TableParagraph"/>
              <w:rPr>
                <w:sz w:val="24"/>
              </w:rPr>
            </w:pPr>
            <w:r>
              <w:rPr>
                <w:w w:val="99"/>
                <w:sz w:val="24"/>
              </w:rPr>
              <w:t>4</w:t>
            </w:r>
          </w:p>
        </w:tc>
      </w:tr>
      <w:tr>
        <w:trPr>
          <w:trHeight w:val="288" w:hRule="atLeast"/>
        </w:trPr>
        <w:tc>
          <w:tcPr>
            <w:tcW w:w="1786" w:type="dxa"/>
          </w:tcPr>
          <w:p>
            <w:pPr>
              <w:pStyle w:val="TableParagraph"/>
              <w:ind w:left="111" w:right="111"/>
              <w:rPr>
                <w:sz w:val="24"/>
              </w:rPr>
            </w:pPr>
            <w:r>
              <w:rPr>
                <w:sz w:val="24"/>
              </w:rPr>
              <w:t>Penalty</w:t>
            </w:r>
            <w:r>
              <w:rPr>
                <w:spacing w:val="-9"/>
                <w:sz w:val="24"/>
              </w:rPr>
              <w:t> </w:t>
            </w:r>
            <w:r>
              <w:rPr>
                <w:spacing w:val="-4"/>
                <w:sz w:val="24"/>
              </w:rPr>
              <w:t>Goal</w:t>
            </w:r>
          </w:p>
        </w:tc>
        <w:tc>
          <w:tcPr>
            <w:tcW w:w="1561" w:type="dxa"/>
          </w:tcPr>
          <w:p>
            <w:pPr>
              <w:pStyle w:val="TableParagraph"/>
              <w:rPr>
                <w:sz w:val="24"/>
              </w:rPr>
            </w:pPr>
            <w:r>
              <w:rPr>
                <w:w w:val="99"/>
                <w:sz w:val="24"/>
              </w:rPr>
              <w:t>2</w:t>
            </w:r>
          </w:p>
        </w:tc>
      </w:tr>
      <w:tr>
        <w:trPr>
          <w:trHeight w:val="288" w:hRule="atLeast"/>
        </w:trPr>
        <w:tc>
          <w:tcPr>
            <w:tcW w:w="1786" w:type="dxa"/>
          </w:tcPr>
          <w:p>
            <w:pPr>
              <w:pStyle w:val="TableParagraph"/>
              <w:ind w:left="111" w:right="111"/>
              <w:rPr>
                <w:sz w:val="24"/>
              </w:rPr>
            </w:pPr>
            <w:r>
              <w:rPr>
                <w:sz w:val="24"/>
              </w:rPr>
              <w:t>Drop</w:t>
            </w:r>
            <w:r>
              <w:rPr>
                <w:spacing w:val="-6"/>
                <w:sz w:val="24"/>
              </w:rPr>
              <w:t> </w:t>
            </w:r>
            <w:r>
              <w:rPr>
                <w:spacing w:val="-4"/>
                <w:sz w:val="24"/>
              </w:rPr>
              <w:t>Goal</w:t>
            </w:r>
          </w:p>
        </w:tc>
        <w:tc>
          <w:tcPr>
            <w:tcW w:w="1561" w:type="dxa"/>
          </w:tcPr>
          <w:p>
            <w:pPr>
              <w:pStyle w:val="TableParagraph"/>
              <w:rPr>
                <w:sz w:val="24"/>
              </w:rPr>
            </w:pPr>
            <w:r>
              <w:rPr>
                <w:w w:val="99"/>
                <w:sz w:val="24"/>
              </w:rPr>
              <w:t>1</w:t>
            </w:r>
          </w:p>
        </w:tc>
      </w:tr>
      <w:tr>
        <w:trPr>
          <w:trHeight w:val="306" w:hRule="atLeast"/>
        </w:trPr>
        <w:tc>
          <w:tcPr>
            <w:tcW w:w="1786" w:type="dxa"/>
            <w:tcBorders>
              <w:bottom w:val="single" w:sz="4" w:space="0" w:color="000000"/>
            </w:tcBorders>
          </w:tcPr>
          <w:p>
            <w:pPr>
              <w:pStyle w:val="TableParagraph"/>
              <w:spacing w:line="273" w:lineRule="exact"/>
              <w:ind w:left="111" w:right="111"/>
              <w:rPr>
                <w:sz w:val="24"/>
              </w:rPr>
            </w:pPr>
            <w:r>
              <w:rPr>
                <w:sz w:val="24"/>
              </w:rPr>
              <w:t>No</w:t>
            </w:r>
            <w:r>
              <w:rPr>
                <w:spacing w:val="-4"/>
                <w:sz w:val="24"/>
              </w:rPr>
              <w:t> </w:t>
            </w:r>
            <w:r>
              <w:rPr>
                <w:spacing w:val="-2"/>
                <w:sz w:val="24"/>
              </w:rPr>
              <w:t>score</w:t>
            </w:r>
          </w:p>
        </w:tc>
        <w:tc>
          <w:tcPr>
            <w:tcW w:w="1561" w:type="dxa"/>
            <w:tcBorders>
              <w:bottom w:val="single" w:sz="4" w:space="0" w:color="000000"/>
            </w:tcBorders>
          </w:tcPr>
          <w:p>
            <w:pPr>
              <w:pStyle w:val="TableParagraph"/>
              <w:spacing w:line="273" w:lineRule="exact"/>
              <w:rPr>
                <w:sz w:val="24"/>
              </w:rPr>
            </w:pPr>
            <w:r>
              <w:rPr>
                <w:w w:val="99"/>
                <w:sz w:val="24"/>
              </w:rPr>
              <w:t>0</w:t>
            </w:r>
          </w:p>
        </w:tc>
      </w:tr>
    </w:tbl>
    <w:p>
      <w:pPr>
        <w:pStyle w:val="BodyText"/>
        <w:rPr>
          <w:sz w:val="20"/>
        </w:rPr>
      </w:pPr>
    </w:p>
    <w:p>
      <w:pPr>
        <w:pStyle w:val="BodyText"/>
        <w:spacing w:before="10"/>
        <w:rPr>
          <w:sz w:val="29"/>
        </w:rPr>
      </w:pPr>
    </w:p>
    <w:p>
      <w:pPr>
        <w:pStyle w:val="BodyText"/>
        <w:spacing w:line="312" w:lineRule="auto" w:before="97"/>
        <w:ind w:left="610" w:right="389"/>
        <w:jc w:val="both"/>
      </w:pPr>
      <w:r>
        <w:rPr/>
        <w:t>to</w:t>
      </w:r>
      <w:r>
        <w:rPr>
          <w:spacing w:val="-12"/>
        </w:rPr>
        <w:t> </w:t>
      </w:r>
      <w:r>
        <w:rPr/>
        <w:t>enable</w:t>
      </w:r>
      <w:r>
        <w:rPr>
          <w:spacing w:val="-11"/>
        </w:rPr>
        <w:t> </w:t>
      </w:r>
      <w:r>
        <w:rPr/>
        <w:t>a</w:t>
      </w:r>
      <w:r>
        <w:rPr>
          <w:spacing w:val="-12"/>
        </w:rPr>
        <w:t> </w:t>
      </w:r>
      <w:r>
        <w:rPr/>
        <w:t>’golden</w:t>
      </w:r>
      <w:r>
        <w:rPr>
          <w:spacing w:val="-12"/>
        </w:rPr>
        <w:t> </w:t>
      </w:r>
      <w:r>
        <w:rPr/>
        <w:t>point’</w:t>
      </w:r>
      <w:r>
        <w:rPr>
          <w:spacing w:val="-11"/>
        </w:rPr>
        <w:t> </w:t>
      </w:r>
      <w:r>
        <w:rPr/>
        <w:t>to</w:t>
      </w:r>
      <w:r>
        <w:rPr>
          <w:spacing w:val="-12"/>
        </w:rPr>
        <w:t> </w:t>
      </w:r>
      <w:r>
        <w:rPr/>
        <w:t>be</w:t>
      </w:r>
      <w:r>
        <w:rPr>
          <w:spacing w:val="-12"/>
        </w:rPr>
        <w:t> </w:t>
      </w:r>
      <w:r>
        <w:rPr/>
        <w:t>scored. A</w:t>
      </w:r>
      <w:r>
        <w:rPr>
          <w:spacing w:val="-12"/>
        </w:rPr>
        <w:t> </w:t>
      </w:r>
      <w:r>
        <w:rPr/>
        <w:t>’golden</w:t>
      </w:r>
      <w:r>
        <w:rPr>
          <w:spacing w:val="-12"/>
        </w:rPr>
        <w:t> </w:t>
      </w:r>
      <w:r>
        <w:rPr/>
        <w:t>point’</w:t>
      </w:r>
      <w:r>
        <w:rPr>
          <w:spacing w:val="-11"/>
        </w:rPr>
        <w:t> </w:t>
      </w:r>
      <w:r>
        <w:rPr/>
        <w:t>is</w:t>
      </w:r>
      <w:r>
        <w:rPr>
          <w:spacing w:val="-12"/>
        </w:rPr>
        <w:t> </w:t>
      </w:r>
      <w:r>
        <w:rPr/>
        <w:t>any</w:t>
      </w:r>
      <w:r>
        <w:rPr>
          <w:spacing w:val="-12"/>
        </w:rPr>
        <w:t> </w:t>
      </w:r>
      <w:r>
        <w:rPr/>
        <w:t>point</w:t>
      </w:r>
      <w:r>
        <w:rPr>
          <w:spacing w:val="-11"/>
        </w:rPr>
        <w:t> </w:t>
      </w:r>
      <w:r>
        <w:rPr/>
        <w:t>scoring</w:t>
      </w:r>
      <w:r>
        <w:rPr>
          <w:spacing w:val="-12"/>
        </w:rPr>
        <w:t> </w:t>
      </w:r>
      <w:r>
        <w:rPr/>
        <w:t>event,</w:t>
      </w:r>
      <w:r>
        <w:rPr>
          <w:spacing w:val="-11"/>
        </w:rPr>
        <w:t> </w:t>
      </w:r>
      <w:r>
        <w:rPr/>
        <w:t>which in this additional time wins the match for the team who scores it.</w:t>
      </w:r>
    </w:p>
    <w:p>
      <w:pPr>
        <w:pStyle w:val="BodyText"/>
        <w:spacing w:line="312" w:lineRule="auto"/>
        <w:ind w:left="610" w:right="389" w:firstLine="351"/>
        <w:jc w:val="both"/>
      </w:pPr>
      <w:r>
        <w:rPr/>
        <w:t>Rugby league is a sport which follows an episodic pattern.</w:t>
      </w:r>
      <w:r>
        <w:rPr>
          <w:spacing w:val="40"/>
        </w:rPr>
        <w:t> </w:t>
      </w:r>
      <w:r>
        <w:rPr/>
        <w:t>The first action of any match is a kick from the halfway line.</w:t>
      </w:r>
      <w:r>
        <w:rPr>
          <w:spacing w:val="24"/>
        </w:rPr>
        <w:t> </w:t>
      </w:r>
      <w:r>
        <w:rPr/>
        <w:t>The successful receipt of this kick begins a </w:t>
      </w:r>
      <w:r>
        <w:rPr/>
        <w:t>phase of attacking possession for the ball catcher’s team and a phase of defensive possession for the kicker’s team.</w:t>
      </w:r>
      <w:r>
        <w:rPr>
          <w:spacing w:val="78"/>
        </w:rPr>
        <w:t> </w:t>
      </w:r>
      <w:r>
        <w:rPr/>
        <w:t>In an attacking possession,</w:t>
      </w:r>
      <w:r>
        <w:rPr>
          <w:spacing w:val="24"/>
        </w:rPr>
        <w:t> </w:t>
      </w:r>
      <w:r>
        <w:rPr/>
        <w:t>a team attempts to progress the ball</w:t>
      </w:r>
      <w:r>
        <w:rPr>
          <w:spacing w:val="80"/>
        </w:rPr>
        <w:t> </w:t>
      </w:r>
      <w:r>
        <w:rPr/>
        <w:t>as far as possible towards the opposition try line to increase their chances of scoring points.</w:t>
      </w:r>
      <w:r>
        <w:rPr>
          <w:spacing w:val="21"/>
        </w:rPr>
        <w:t> </w:t>
      </w:r>
      <w:r>
        <w:rPr/>
        <w:t>Conversely,</w:t>
      </w:r>
      <w:r>
        <w:rPr>
          <w:spacing w:val="-1"/>
        </w:rPr>
        <w:t> </w:t>
      </w:r>
      <w:r>
        <w:rPr/>
        <w:t>in</w:t>
      </w:r>
      <w:r>
        <w:rPr>
          <w:spacing w:val="-3"/>
        </w:rPr>
        <w:t> </w:t>
      </w:r>
      <w:r>
        <w:rPr/>
        <w:t>the</w:t>
      </w:r>
      <w:r>
        <w:rPr>
          <w:spacing w:val="-3"/>
        </w:rPr>
        <w:t> </w:t>
      </w:r>
      <w:r>
        <w:rPr/>
        <w:t>defensive</w:t>
      </w:r>
      <w:r>
        <w:rPr>
          <w:spacing w:val="-3"/>
        </w:rPr>
        <w:t> </w:t>
      </w:r>
      <w:r>
        <w:rPr/>
        <w:t>phase</w:t>
      </w:r>
      <w:r>
        <w:rPr>
          <w:spacing w:val="-3"/>
        </w:rPr>
        <w:t> </w:t>
      </w:r>
      <w:r>
        <w:rPr/>
        <w:t>of</w:t>
      </w:r>
      <w:r>
        <w:rPr>
          <w:spacing w:val="-3"/>
        </w:rPr>
        <w:t> </w:t>
      </w:r>
      <w:r>
        <w:rPr/>
        <w:t>possession,</w:t>
      </w:r>
      <w:r>
        <w:rPr>
          <w:spacing w:val="-1"/>
        </w:rPr>
        <w:t> </w:t>
      </w:r>
      <w:r>
        <w:rPr/>
        <w:t>the</w:t>
      </w:r>
      <w:r>
        <w:rPr>
          <w:spacing w:val="-3"/>
        </w:rPr>
        <w:t> </w:t>
      </w:r>
      <w:r>
        <w:rPr/>
        <w:t>defending</w:t>
      </w:r>
      <w:r>
        <w:rPr>
          <w:spacing w:val="-3"/>
        </w:rPr>
        <w:t> </w:t>
      </w:r>
      <w:r>
        <w:rPr/>
        <w:t>team</w:t>
      </w:r>
      <w:r>
        <w:rPr>
          <w:spacing w:val="-3"/>
        </w:rPr>
        <w:t> </w:t>
      </w:r>
      <w:r>
        <w:rPr/>
        <w:t>attempts</w:t>
      </w:r>
      <w:r>
        <w:rPr>
          <w:spacing w:val="-3"/>
        </w:rPr>
        <w:t> </w:t>
      </w:r>
      <w:r>
        <w:rPr/>
        <w:t>to stop</w:t>
      </w:r>
      <w:r>
        <w:rPr>
          <w:spacing w:val="-8"/>
        </w:rPr>
        <w:t> </w:t>
      </w:r>
      <w:r>
        <w:rPr/>
        <w:t>the</w:t>
      </w:r>
      <w:r>
        <w:rPr>
          <w:spacing w:val="-8"/>
        </w:rPr>
        <w:t> </w:t>
      </w:r>
      <w:r>
        <w:rPr/>
        <w:t>progression</w:t>
      </w:r>
      <w:r>
        <w:rPr>
          <w:spacing w:val="-8"/>
        </w:rPr>
        <w:t> </w:t>
      </w:r>
      <w:r>
        <w:rPr/>
        <w:t>of</w:t>
      </w:r>
      <w:r>
        <w:rPr>
          <w:spacing w:val="-8"/>
        </w:rPr>
        <w:t> </w:t>
      </w:r>
      <w:r>
        <w:rPr/>
        <w:t>the</w:t>
      </w:r>
      <w:r>
        <w:rPr>
          <w:spacing w:val="-8"/>
        </w:rPr>
        <w:t> </w:t>
      </w:r>
      <w:r>
        <w:rPr/>
        <w:t>opposition</w:t>
      </w:r>
      <w:r>
        <w:rPr>
          <w:spacing w:val="-8"/>
        </w:rPr>
        <w:t> </w:t>
      </w:r>
      <w:r>
        <w:rPr/>
        <w:t>team</w:t>
      </w:r>
      <w:r>
        <w:rPr>
          <w:spacing w:val="-8"/>
        </w:rPr>
        <w:t> </w:t>
      </w:r>
      <w:r>
        <w:rPr/>
        <w:t>towards</w:t>
      </w:r>
      <w:r>
        <w:rPr>
          <w:spacing w:val="-8"/>
        </w:rPr>
        <w:t> </w:t>
      </w:r>
      <w:r>
        <w:rPr/>
        <w:t>their</w:t>
      </w:r>
      <w:r>
        <w:rPr>
          <w:spacing w:val="-8"/>
        </w:rPr>
        <w:t> </w:t>
      </w:r>
      <w:r>
        <w:rPr/>
        <w:t>try</w:t>
      </w:r>
      <w:r>
        <w:rPr>
          <w:spacing w:val="-8"/>
        </w:rPr>
        <w:t> </w:t>
      </w:r>
      <w:r>
        <w:rPr/>
        <w:t>line. Typically,</w:t>
      </w:r>
      <w:r>
        <w:rPr>
          <w:spacing w:val="-8"/>
        </w:rPr>
        <w:t> </w:t>
      </w:r>
      <w:r>
        <w:rPr/>
        <w:t>an</w:t>
      </w:r>
      <w:r>
        <w:rPr>
          <w:spacing w:val="-8"/>
        </w:rPr>
        <w:t> </w:t>
      </w:r>
      <w:r>
        <w:rPr>
          <w:i/>
        </w:rPr>
        <w:t>attacking</w:t>
      </w:r>
      <w:r>
        <w:rPr>
          <w:i/>
        </w:rPr>
        <w:t> possession </w:t>
      </w:r>
      <w:r>
        <w:rPr/>
        <w:t>consists of a </w:t>
      </w:r>
      <w:r>
        <w:rPr>
          <w:i/>
        </w:rPr>
        <w:t>set </w:t>
      </w:r>
      <w:r>
        <w:rPr/>
        <w:t>of six plays as per the rules of rugby league.</w:t>
      </w:r>
      <w:r>
        <w:rPr>
          <w:spacing w:val="40"/>
        </w:rPr>
        <w:t> </w:t>
      </w:r>
      <w:r>
        <w:rPr/>
        <w:t>A </w:t>
      </w:r>
      <w:r>
        <w:rPr>
          <w:i/>
        </w:rPr>
        <w:t>play </w:t>
      </w:r>
      <w:r>
        <w:rPr/>
        <w:t>begins when the ball is taken from the opposition (e.g.</w:t>
      </w:r>
      <w:r>
        <w:rPr>
          <w:spacing w:val="36"/>
        </w:rPr>
        <w:t> </w:t>
      </w:r>
      <w:r>
        <w:rPr/>
        <w:t>by catching one of their kicks) or when the</w:t>
      </w:r>
      <w:r>
        <w:rPr>
          <w:spacing w:val="-5"/>
        </w:rPr>
        <w:t> </w:t>
      </w:r>
      <w:r>
        <w:rPr/>
        <w:t>ball</w:t>
      </w:r>
      <w:r>
        <w:rPr>
          <w:spacing w:val="-5"/>
        </w:rPr>
        <w:t> </w:t>
      </w:r>
      <w:r>
        <w:rPr/>
        <w:t>is</w:t>
      </w:r>
      <w:r>
        <w:rPr>
          <w:spacing w:val="-5"/>
        </w:rPr>
        <w:t> </w:t>
      </w:r>
      <w:r>
        <w:rPr/>
        <w:t>rolled</w:t>
      </w:r>
      <w:r>
        <w:rPr>
          <w:spacing w:val="-5"/>
        </w:rPr>
        <w:t> </w:t>
      </w:r>
      <w:r>
        <w:rPr/>
        <w:t>between</w:t>
      </w:r>
      <w:r>
        <w:rPr>
          <w:spacing w:val="-5"/>
        </w:rPr>
        <w:t> </w:t>
      </w:r>
      <w:r>
        <w:rPr/>
        <w:t>the</w:t>
      </w:r>
      <w:r>
        <w:rPr>
          <w:spacing w:val="-5"/>
        </w:rPr>
        <w:t> </w:t>
      </w:r>
      <w:r>
        <w:rPr/>
        <w:t>attacking</w:t>
      </w:r>
      <w:r>
        <w:rPr>
          <w:spacing w:val="-5"/>
        </w:rPr>
        <w:t> </w:t>
      </w:r>
      <w:r>
        <w:rPr/>
        <w:t>player’s</w:t>
      </w:r>
      <w:r>
        <w:rPr>
          <w:spacing w:val="-5"/>
        </w:rPr>
        <w:t> </w:t>
      </w:r>
      <w:r>
        <w:rPr/>
        <w:t>legs</w:t>
      </w:r>
      <w:r>
        <w:rPr>
          <w:spacing w:val="-5"/>
        </w:rPr>
        <w:t> </w:t>
      </w:r>
      <w:r>
        <w:rPr/>
        <w:t>after</w:t>
      </w:r>
      <w:r>
        <w:rPr>
          <w:spacing w:val="-5"/>
        </w:rPr>
        <w:t> </w:t>
      </w:r>
      <w:r>
        <w:rPr/>
        <w:t>a</w:t>
      </w:r>
      <w:r>
        <w:rPr>
          <w:spacing w:val="-5"/>
        </w:rPr>
        <w:t> </w:t>
      </w:r>
      <w:r>
        <w:rPr/>
        <w:t>tackle</w:t>
      </w:r>
      <w:r>
        <w:rPr>
          <w:spacing w:val="-5"/>
        </w:rPr>
        <w:t> </w:t>
      </w:r>
      <w:r>
        <w:rPr/>
        <w:t>has</w:t>
      </w:r>
      <w:r>
        <w:rPr>
          <w:spacing w:val="-5"/>
        </w:rPr>
        <w:t> </w:t>
      </w:r>
      <w:r>
        <w:rPr/>
        <w:t>been</w:t>
      </w:r>
      <w:r>
        <w:rPr>
          <w:spacing w:val="-5"/>
        </w:rPr>
        <w:t> </w:t>
      </w:r>
      <w:r>
        <w:rPr/>
        <w:t>completed</w:t>
      </w:r>
      <w:r>
        <w:rPr>
          <w:spacing w:val="-5"/>
        </w:rPr>
        <w:t> </w:t>
      </w:r>
      <w:r>
        <w:rPr/>
        <w:t>by the opposition (a play-the-ball).</w:t>
      </w:r>
      <w:r>
        <w:rPr>
          <w:spacing w:val="31"/>
        </w:rPr>
        <w:t> </w:t>
      </w:r>
      <w:r>
        <w:rPr/>
        <w:t>If a team is tackled for the sixth time within their set of six</w:t>
      </w:r>
      <w:r>
        <w:rPr>
          <w:spacing w:val="-5"/>
        </w:rPr>
        <w:t> </w:t>
      </w:r>
      <w:r>
        <w:rPr/>
        <w:t>plays,</w:t>
      </w:r>
      <w:r>
        <w:rPr>
          <w:spacing w:val="-5"/>
        </w:rPr>
        <w:t> </w:t>
      </w:r>
      <w:r>
        <w:rPr/>
        <w:t>the</w:t>
      </w:r>
      <w:r>
        <w:rPr>
          <w:spacing w:val="-5"/>
        </w:rPr>
        <w:t> </w:t>
      </w:r>
      <w:r>
        <w:rPr/>
        <w:t>ball</w:t>
      </w:r>
      <w:r>
        <w:rPr>
          <w:spacing w:val="-5"/>
        </w:rPr>
        <w:t> </w:t>
      </w:r>
      <w:r>
        <w:rPr/>
        <w:t>is</w:t>
      </w:r>
      <w:r>
        <w:rPr>
          <w:spacing w:val="-5"/>
        </w:rPr>
        <w:t> </w:t>
      </w:r>
      <w:r>
        <w:rPr/>
        <w:t>handed</w:t>
      </w:r>
      <w:r>
        <w:rPr>
          <w:spacing w:val="-5"/>
        </w:rPr>
        <w:t> </w:t>
      </w:r>
      <w:r>
        <w:rPr/>
        <w:t>to</w:t>
      </w:r>
      <w:r>
        <w:rPr>
          <w:spacing w:val="-5"/>
        </w:rPr>
        <w:t> </w:t>
      </w:r>
      <w:r>
        <w:rPr/>
        <w:t>the</w:t>
      </w:r>
      <w:r>
        <w:rPr>
          <w:spacing w:val="-5"/>
        </w:rPr>
        <w:t> </w:t>
      </w:r>
      <w:r>
        <w:rPr/>
        <w:t>defending</w:t>
      </w:r>
      <w:r>
        <w:rPr>
          <w:spacing w:val="-5"/>
        </w:rPr>
        <w:t> </w:t>
      </w:r>
      <w:r>
        <w:rPr/>
        <w:t>team</w:t>
      </w:r>
      <w:r>
        <w:rPr>
          <w:spacing w:val="-5"/>
        </w:rPr>
        <w:t> </w:t>
      </w:r>
      <w:r>
        <w:rPr/>
        <w:t>to</w:t>
      </w:r>
      <w:r>
        <w:rPr>
          <w:spacing w:val="-5"/>
        </w:rPr>
        <w:t> </w:t>
      </w:r>
      <w:r>
        <w:rPr/>
        <w:t>begin</w:t>
      </w:r>
      <w:r>
        <w:rPr>
          <w:spacing w:val="-5"/>
        </w:rPr>
        <w:t> </w:t>
      </w:r>
      <w:r>
        <w:rPr/>
        <w:t>their</w:t>
      </w:r>
      <w:r>
        <w:rPr>
          <w:spacing w:val="-5"/>
        </w:rPr>
        <w:t> </w:t>
      </w:r>
      <w:r>
        <w:rPr/>
        <w:t>attacking</w:t>
      </w:r>
      <w:r>
        <w:rPr>
          <w:spacing w:val="-5"/>
        </w:rPr>
        <w:t> </w:t>
      </w:r>
      <w:r>
        <w:rPr/>
        <w:t>set</w:t>
      </w:r>
      <w:r>
        <w:rPr>
          <w:spacing w:val="-5"/>
        </w:rPr>
        <w:t> </w:t>
      </w:r>
      <w:r>
        <w:rPr/>
        <w:t>at</w:t>
      </w:r>
      <w:r>
        <w:rPr>
          <w:spacing w:val="-5"/>
        </w:rPr>
        <w:t> </w:t>
      </w:r>
      <w:r>
        <w:rPr/>
        <w:t>the</w:t>
      </w:r>
      <w:r>
        <w:rPr>
          <w:spacing w:val="-5"/>
        </w:rPr>
        <w:t> </w:t>
      </w:r>
      <w:r>
        <w:rPr/>
        <w:t>point where the tackle took place (a handover).</w:t>
      </w:r>
      <w:r>
        <w:rPr>
          <w:spacing w:val="40"/>
        </w:rPr>
        <w:t> </w:t>
      </w:r>
      <w:r>
        <w:rPr/>
        <w:t>Consequently, a team will normally kick the ball as far down the pitch as possible, or into the try area to try and score points, before the sixth tackle happens.</w:t>
      </w:r>
      <w:r>
        <w:rPr>
          <w:spacing w:val="40"/>
        </w:rPr>
        <w:t> </w:t>
      </w:r>
      <w:r>
        <w:rPr/>
        <w:t>In this situation, the defending team’s attacking possession begins at the point where they catch the ball.</w:t>
      </w:r>
      <w:r>
        <w:rPr>
          <w:spacing w:val="40"/>
        </w:rPr>
        <w:t> </w:t>
      </w:r>
      <w:r>
        <w:rPr/>
        <w:t>Throughout this thesis, the term attacking possession is used.</w:t>
      </w:r>
      <w:r>
        <w:rPr>
          <w:spacing w:val="38"/>
        </w:rPr>
        <w:t> </w:t>
      </w:r>
      <w:r>
        <w:rPr/>
        <w:t>An attacking possession can consist of multiple consecutive sets for the same team.</w:t>
      </w:r>
      <w:r>
        <w:rPr>
          <w:spacing w:val="40"/>
        </w:rPr>
        <w:t> </w:t>
      </w:r>
      <w:r>
        <w:rPr/>
        <w:t>Such a situation typically occurs when the defending team fouls the attacking team, resulting in a new set of six plays beginning for the attacking team.</w:t>
      </w:r>
      <w:r>
        <w:rPr>
          <w:spacing w:val="40"/>
        </w:rPr>
        <w:t> </w:t>
      </w:r>
      <w:r>
        <w:rPr/>
        <w:t>An attacking possession could therefore feasibly contain as many as 20, 30 or 40 plays (the equivalent</w:t>
      </w:r>
      <w:r>
        <w:rPr>
          <w:spacing w:val="-3"/>
        </w:rPr>
        <w:t> </w:t>
      </w:r>
      <w:r>
        <w:rPr/>
        <w:t>of</w:t>
      </w:r>
      <w:r>
        <w:rPr>
          <w:spacing w:val="-3"/>
        </w:rPr>
        <w:t> </w:t>
      </w:r>
      <w:r>
        <w:rPr/>
        <w:t>3-7</w:t>
      </w:r>
      <w:r>
        <w:rPr>
          <w:spacing w:val="-3"/>
        </w:rPr>
        <w:t> </w:t>
      </w:r>
      <w:r>
        <w:rPr/>
        <w:t>full</w:t>
      </w:r>
      <w:r>
        <w:rPr>
          <w:spacing w:val="-3"/>
        </w:rPr>
        <w:t> </w:t>
      </w:r>
      <w:r>
        <w:rPr/>
        <w:t>sets)</w:t>
      </w:r>
      <w:r>
        <w:rPr>
          <w:spacing w:val="-3"/>
        </w:rPr>
        <w:t> </w:t>
      </w:r>
      <w:r>
        <w:rPr/>
        <w:t>if</w:t>
      </w:r>
      <w:r>
        <w:rPr>
          <w:spacing w:val="-3"/>
        </w:rPr>
        <w:t> </w:t>
      </w:r>
      <w:r>
        <w:rPr/>
        <w:t>the</w:t>
      </w:r>
      <w:r>
        <w:rPr>
          <w:spacing w:val="-3"/>
        </w:rPr>
        <w:t> </w:t>
      </w:r>
      <w:r>
        <w:rPr/>
        <w:t>opposition</w:t>
      </w:r>
      <w:r>
        <w:rPr>
          <w:spacing w:val="-3"/>
        </w:rPr>
        <w:t> </w:t>
      </w:r>
      <w:r>
        <w:rPr/>
        <w:t>continuously</w:t>
      </w:r>
      <w:r>
        <w:rPr>
          <w:spacing w:val="-3"/>
        </w:rPr>
        <w:t> </w:t>
      </w:r>
      <w:r>
        <w:rPr/>
        <w:t>fouls</w:t>
      </w:r>
      <w:r>
        <w:rPr>
          <w:spacing w:val="-3"/>
        </w:rPr>
        <w:t> </w:t>
      </w:r>
      <w:r>
        <w:rPr/>
        <w:t>the</w:t>
      </w:r>
      <w:r>
        <w:rPr>
          <w:spacing w:val="-3"/>
        </w:rPr>
        <w:t> </w:t>
      </w:r>
      <w:r>
        <w:rPr/>
        <w:t>attacking</w:t>
      </w:r>
      <w:r>
        <w:rPr>
          <w:spacing w:val="-3"/>
        </w:rPr>
        <w:t> </w:t>
      </w:r>
      <w:r>
        <w:rPr/>
        <w:t>team</w:t>
      </w:r>
      <w:r>
        <w:rPr>
          <w:spacing w:val="-3"/>
        </w:rPr>
        <w:t> </w:t>
      </w:r>
      <w:r>
        <w:rPr/>
        <w:t>before their</w:t>
      </w:r>
      <w:r>
        <w:rPr>
          <w:spacing w:val="16"/>
        </w:rPr>
        <w:t> </w:t>
      </w:r>
      <w:r>
        <w:rPr/>
        <w:t>attacking</w:t>
      </w:r>
      <w:r>
        <w:rPr>
          <w:spacing w:val="17"/>
        </w:rPr>
        <w:t> </w:t>
      </w:r>
      <w:r>
        <w:rPr/>
        <w:t>set</w:t>
      </w:r>
      <w:r>
        <w:rPr>
          <w:spacing w:val="17"/>
        </w:rPr>
        <w:t> </w:t>
      </w:r>
      <w:r>
        <w:rPr/>
        <w:t>ends.</w:t>
      </w:r>
      <w:r>
        <w:rPr>
          <w:spacing w:val="75"/>
        </w:rPr>
        <w:t> </w:t>
      </w:r>
      <w:r>
        <w:rPr/>
        <w:t>Combining</w:t>
      </w:r>
      <w:r>
        <w:rPr>
          <w:spacing w:val="17"/>
        </w:rPr>
        <w:t> </w:t>
      </w:r>
      <w:r>
        <w:rPr/>
        <w:t>the</w:t>
      </w:r>
      <w:r>
        <w:rPr>
          <w:spacing w:val="17"/>
        </w:rPr>
        <w:t> </w:t>
      </w:r>
      <w:r>
        <w:rPr/>
        <w:t>results</w:t>
      </w:r>
      <w:r>
        <w:rPr>
          <w:spacing w:val="16"/>
        </w:rPr>
        <w:t> </w:t>
      </w:r>
      <w:r>
        <w:rPr/>
        <w:t>of</w:t>
      </w:r>
      <w:r>
        <w:rPr>
          <w:spacing w:val="17"/>
        </w:rPr>
        <w:t> </w:t>
      </w:r>
      <w:r>
        <w:rPr/>
        <w:t>all</w:t>
      </w:r>
      <w:r>
        <w:rPr>
          <w:spacing w:val="17"/>
        </w:rPr>
        <w:t> </w:t>
      </w:r>
      <w:r>
        <w:rPr/>
        <w:t>the</w:t>
      </w:r>
      <w:r>
        <w:rPr>
          <w:spacing w:val="17"/>
        </w:rPr>
        <w:t> </w:t>
      </w:r>
      <w:r>
        <w:rPr/>
        <w:t>attacking</w:t>
      </w:r>
      <w:r>
        <w:rPr>
          <w:spacing w:val="17"/>
        </w:rPr>
        <w:t> </w:t>
      </w:r>
      <w:r>
        <w:rPr/>
        <w:t>possessions</w:t>
      </w:r>
      <w:r>
        <w:rPr>
          <w:spacing w:val="17"/>
        </w:rPr>
        <w:t> </w:t>
      </w:r>
      <w:r>
        <w:rPr/>
        <w:t>a</w:t>
      </w:r>
      <w:r>
        <w:rPr>
          <w:spacing w:val="17"/>
        </w:rPr>
        <w:t> </w:t>
      </w:r>
      <w:r>
        <w:rPr>
          <w:spacing w:val="-4"/>
        </w:rPr>
        <w:t>team</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pPr>
      <w:bookmarkStart w:name="_bookmark37" w:id="66"/>
      <w:bookmarkEnd w:id="66"/>
      <w:r>
        <w:rPr/>
      </w:r>
      <w:r>
        <w:rPr>
          <w:b/>
        </w:rPr>
        <w:t>Table 2.2:</w:t>
      </w:r>
      <w:r>
        <w:rPr>
          <w:b/>
          <w:spacing w:val="32"/>
        </w:rPr>
        <w:t> </w:t>
      </w:r>
      <w:r>
        <w:rPr/>
        <w:t>Possession terms used in this thesis, ordered from lowest level (i.e.</w:t>
      </w:r>
      <w:r>
        <w:rPr>
          <w:spacing w:val="40"/>
        </w:rPr>
        <w:t> </w:t>
      </w:r>
      <w:r>
        <w:rPr/>
        <w:t>a single action) to highest (i.e. all actions within a specified period of time).</w:t>
      </w:r>
    </w:p>
    <w:p>
      <w:pPr>
        <w:pStyle w:val="BodyText"/>
        <w:rPr>
          <w:sz w:val="20"/>
        </w:rPr>
      </w:pPr>
    </w:p>
    <w:p>
      <w:pPr>
        <w:pStyle w:val="BodyText"/>
        <w:spacing w:before="10"/>
        <w:rPr>
          <w:sz w:val="19"/>
        </w:rPr>
      </w:pPr>
      <w:r>
        <w:rPr/>
        <w:pict>
          <v:shape style="position:absolute;margin-left:123.825996pt;margin-top:12.624072pt;width:406.6pt;height:.1pt;mso-position-horizontal-relative:page;mso-position-vertical-relative:paragraph;z-index:-15725056;mso-wrap-distance-left:0;mso-wrap-distance-right:0" id="docshape34" coordorigin="2477,252" coordsize="8132,0" path="m2477,252l10608,252e" filled="false" stroked="true" strokeweight=".398pt" strokecolor="#000000">
            <v:path arrowok="t"/>
            <v:stroke dashstyle="solid"/>
            <w10:wrap type="topAndBottom"/>
          </v:shape>
        </w:pict>
      </w:r>
    </w:p>
    <w:p>
      <w:pPr>
        <w:pStyle w:val="BodyText"/>
        <w:tabs>
          <w:tab w:pos="2430" w:val="left" w:leader="none"/>
        </w:tabs>
        <w:spacing w:line="255" w:lineRule="exact" w:after="39"/>
        <w:ind w:left="916"/>
      </w:pPr>
      <w:r>
        <w:rPr>
          <w:spacing w:val="-4"/>
        </w:rPr>
        <w:t>Term</w:t>
      </w:r>
      <w:r>
        <w:rPr/>
        <w:tab/>
      </w:r>
      <w:r>
        <w:rPr>
          <w:spacing w:val="-2"/>
        </w:rPr>
        <w:t>Description</w:t>
      </w:r>
    </w:p>
    <w:p>
      <w:pPr>
        <w:pStyle w:val="BodyText"/>
        <w:spacing w:line="20" w:lineRule="exact"/>
        <w:ind w:left="796"/>
        <w:rPr>
          <w:sz w:val="2"/>
        </w:rPr>
      </w:pPr>
      <w:r>
        <w:rPr>
          <w:sz w:val="2"/>
        </w:rPr>
        <w:pict>
          <v:group style="width:406.6pt;height:.4pt;mso-position-horizontal-relative:char;mso-position-vertical-relative:line" id="docshapegroup35" coordorigin="0,0" coordsize="8132,8">
            <v:line style="position:absolute" from="0,4" to="8132,4" stroked="true" strokeweight=".398pt" strokecolor="#000000">
              <v:stroke dashstyle="solid"/>
            </v:line>
          </v:group>
        </w:pict>
      </w:r>
      <w:r>
        <w:rPr>
          <w:sz w:val="2"/>
        </w:rPr>
      </w:r>
    </w:p>
    <w:p>
      <w:pPr>
        <w:pStyle w:val="BodyText"/>
        <w:tabs>
          <w:tab w:pos="2430" w:val="left" w:leader="none"/>
        </w:tabs>
        <w:ind w:left="916"/>
      </w:pPr>
      <w:r>
        <w:rPr>
          <w:spacing w:val="-2"/>
        </w:rPr>
        <w:t>Action</w:t>
      </w:r>
      <w:r>
        <w:rPr/>
        <w:tab/>
        <w:t>Any</w:t>
      </w:r>
      <w:r>
        <w:rPr>
          <w:spacing w:val="-7"/>
        </w:rPr>
        <w:t> </w:t>
      </w:r>
      <w:r>
        <w:rPr/>
        <w:t>action</w:t>
      </w:r>
      <w:r>
        <w:rPr>
          <w:spacing w:val="-6"/>
        </w:rPr>
        <w:t> </w:t>
      </w:r>
      <w:r>
        <w:rPr/>
        <w:t>performed</w:t>
      </w:r>
      <w:r>
        <w:rPr>
          <w:spacing w:val="-6"/>
        </w:rPr>
        <w:t> </w:t>
      </w:r>
      <w:r>
        <w:rPr/>
        <w:t>on</w:t>
      </w:r>
      <w:r>
        <w:rPr>
          <w:spacing w:val="-6"/>
        </w:rPr>
        <w:t> </w:t>
      </w:r>
      <w:r>
        <w:rPr/>
        <w:t>the</w:t>
      </w:r>
      <w:r>
        <w:rPr>
          <w:spacing w:val="-6"/>
        </w:rPr>
        <w:t> </w:t>
      </w:r>
      <w:r>
        <w:rPr/>
        <w:t>pitch</w:t>
      </w:r>
      <w:r>
        <w:rPr>
          <w:spacing w:val="-6"/>
        </w:rPr>
        <w:t> </w:t>
      </w:r>
      <w:r>
        <w:rPr/>
        <w:t>(e.g.</w:t>
      </w:r>
      <w:r>
        <w:rPr>
          <w:spacing w:val="7"/>
        </w:rPr>
        <w:t> </w:t>
      </w:r>
      <w:r>
        <w:rPr/>
        <w:t>pass,</w:t>
      </w:r>
      <w:r>
        <w:rPr>
          <w:spacing w:val="-6"/>
        </w:rPr>
        <w:t> </w:t>
      </w:r>
      <w:r>
        <w:rPr/>
        <w:t>kick,</w:t>
      </w:r>
      <w:r>
        <w:rPr>
          <w:spacing w:val="-6"/>
        </w:rPr>
        <w:t> </w:t>
      </w:r>
      <w:r>
        <w:rPr/>
        <w:t>run,</w:t>
      </w:r>
      <w:r>
        <w:rPr>
          <w:spacing w:val="-6"/>
        </w:rPr>
        <w:t> </w:t>
      </w:r>
      <w:r>
        <w:rPr>
          <w:spacing w:val="-2"/>
        </w:rPr>
        <w:t>foul).</w:t>
      </w:r>
    </w:p>
    <w:p>
      <w:pPr>
        <w:pStyle w:val="BodyText"/>
        <w:spacing w:before="11"/>
        <w:rPr>
          <w:sz w:val="22"/>
        </w:rPr>
      </w:pPr>
    </w:p>
    <w:p>
      <w:pPr>
        <w:pStyle w:val="BodyText"/>
        <w:tabs>
          <w:tab w:pos="2430" w:val="left" w:leader="none"/>
        </w:tabs>
        <w:spacing w:line="252" w:lineRule="auto"/>
        <w:ind w:left="2430" w:right="694" w:hanging="1515"/>
        <w:jc w:val="both"/>
      </w:pPr>
      <w:r>
        <w:rPr>
          <w:spacing w:val="-4"/>
        </w:rPr>
        <w:t>Play</w:t>
      </w:r>
      <w:r>
        <w:rPr/>
        <w:tab/>
        <w:t>A sequence of actions, which ends when a player on the team </w:t>
      </w:r>
      <w:r>
        <w:rPr/>
        <w:t>is tackled. The</w:t>
      </w:r>
      <w:r>
        <w:rPr>
          <w:spacing w:val="-1"/>
        </w:rPr>
        <w:t> </w:t>
      </w:r>
      <w:r>
        <w:rPr/>
        <w:t>number</w:t>
      </w:r>
      <w:r>
        <w:rPr>
          <w:spacing w:val="-1"/>
        </w:rPr>
        <w:t> </w:t>
      </w:r>
      <w:r>
        <w:rPr/>
        <w:t>of</w:t>
      </w:r>
      <w:r>
        <w:rPr>
          <w:spacing w:val="-1"/>
        </w:rPr>
        <w:t> </w:t>
      </w:r>
      <w:r>
        <w:rPr/>
        <w:t>actions</w:t>
      </w:r>
      <w:r>
        <w:rPr>
          <w:spacing w:val="-1"/>
        </w:rPr>
        <w:t> </w:t>
      </w:r>
      <w:r>
        <w:rPr/>
        <w:t>in</w:t>
      </w:r>
      <w:r>
        <w:rPr>
          <w:spacing w:val="-1"/>
        </w:rPr>
        <w:t> </w:t>
      </w:r>
      <w:r>
        <w:rPr/>
        <w:t>a</w:t>
      </w:r>
      <w:r>
        <w:rPr>
          <w:spacing w:val="-1"/>
        </w:rPr>
        <w:t> </w:t>
      </w:r>
      <w:r>
        <w:rPr/>
        <w:t>play</w:t>
      </w:r>
      <w:r>
        <w:rPr>
          <w:spacing w:val="-1"/>
        </w:rPr>
        <w:t> </w:t>
      </w:r>
      <w:r>
        <w:rPr/>
        <w:t>is</w:t>
      </w:r>
      <w:r>
        <w:rPr>
          <w:spacing w:val="-1"/>
        </w:rPr>
        <w:t> </w:t>
      </w:r>
      <w:r>
        <w:rPr/>
        <w:t>unlimited</w:t>
      </w:r>
      <w:r>
        <w:rPr>
          <w:spacing w:val="-1"/>
        </w:rPr>
        <w:t> </w:t>
      </w:r>
      <w:r>
        <w:rPr/>
        <w:t>but</w:t>
      </w:r>
      <w:r>
        <w:rPr>
          <w:spacing w:val="-1"/>
        </w:rPr>
        <w:t> </w:t>
      </w:r>
      <w:r>
        <w:rPr/>
        <w:t>typically does not exceed 20 as a player is usually tackled before then.</w:t>
      </w:r>
    </w:p>
    <w:p>
      <w:pPr>
        <w:pStyle w:val="BodyText"/>
        <w:spacing w:before="10"/>
      </w:pPr>
    </w:p>
    <w:p>
      <w:pPr>
        <w:pStyle w:val="BodyText"/>
        <w:tabs>
          <w:tab w:pos="2430" w:val="left" w:leader="none"/>
        </w:tabs>
        <w:spacing w:line="252" w:lineRule="auto"/>
        <w:ind w:left="2430" w:right="694" w:hanging="1515"/>
        <w:jc w:val="both"/>
      </w:pPr>
      <w:r>
        <w:rPr>
          <w:spacing w:val="-4"/>
        </w:rPr>
        <w:t>Set</w:t>
      </w:r>
      <w:r>
        <w:rPr/>
        <w:tab/>
        <w:t>A</w:t>
      </w:r>
      <w:r>
        <w:rPr>
          <w:spacing w:val="-13"/>
        </w:rPr>
        <w:t> </w:t>
      </w:r>
      <w:r>
        <w:rPr/>
        <w:t>group</w:t>
      </w:r>
      <w:r>
        <w:rPr>
          <w:spacing w:val="-13"/>
        </w:rPr>
        <w:t> </w:t>
      </w:r>
      <w:r>
        <w:rPr/>
        <w:t>of</w:t>
      </w:r>
      <w:r>
        <w:rPr>
          <w:spacing w:val="-13"/>
        </w:rPr>
        <w:t> </w:t>
      </w:r>
      <w:r>
        <w:rPr/>
        <w:t>up</w:t>
      </w:r>
      <w:r>
        <w:rPr>
          <w:spacing w:val="-13"/>
        </w:rPr>
        <w:t> </w:t>
      </w:r>
      <w:r>
        <w:rPr/>
        <w:t>to</w:t>
      </w:r>
      <w:r>
        <w:rPr>
          <w:spacing w:val="-13"/>
        </w:rPr>
        <w:t> </w:t>
      </w:r>
      <w:r>
        <w:rPr/>
        <w:t>six</w:t>
      </w:r>
      <w:r>
        <w:rPr>
          <w:spacing w:val="-13"/>
        </w:rPr>
        <w:t> </w:t>
      </w:r>
      <w:r>
        <w:rPr/>
        <w:t>plays</w:t>
      </w:r>
      <w:r>
        <w:rPr>
          <w:spacing w:val="-13"/>
        </w:rPr>
        <w:t> </w:t>
      </w:r>
      <w:r>
        <w:rPr/>
        <w:t>for</w:t>
      </w:r>
      <w:r>
        <w:rPr>
          <w:spacing w:val="-13"/>
        </w:rPr>
        <w:t> </w:t>
      </w:r>
      <w:r>
        <w:rPr/>
        <w:t>the</w:t>
      </w:r>
      <w:r>
        <w:rPr>
          <w:spacing w:val="-13"/>
        </w:rPr>
        <w:t> </w:t>
      </w:r>
      <w:r>
        <w:rPr/>
        <w:t>same</w:t>
      </w:r>
      <w:r>
        <w:rPr>
          <w:spacing w:val="-13"/>
        </w:rPr>
        <w:t> </w:t>
      </w:r>
      <w:r>
        <w:rPr/>
        <w:t>team.</w:t>
      </w:r>
      <w:r>
        <w:rPr>
          <w:spacing w:val="6"/>
        </w:rPr>
        <w:t> </w:t>
      </w:r>
      <w:r>
        <w:rPr/>
        <w:t>There</w:t>
      </w:r>
      <w:r>
        <w:rPr>
          <w:spacing w:val="-13"/>
        </w:rPr>
        <w:t> </w:t>
      </w:r>
      <w:r>
        <w:rPr/>
        <w:t>cannot</w:t>
      </w:r>
      <w:r>
        <w:rPr>
          <w:spacing w:val="-13"/>
        </w:rPr>
        <w:t> </w:t>
      </w:r>
      <w:r>
        <w:rPr/>
        <w:t>be</w:t>
      </w:r>
      <w:r>
        <w:rPr>
          <w:spacing w:val="-13"/>
        </w:rPr>
        <w:t> </w:t>
      </w:r>
      <w:r>
        <w:rPr/>
        <w:t>more than</w:t>
      </w:r>
      <w:r>
        <w:rPr>
          <w:spacing w:val="-9"/>
        </w:rPr>
        <w:t> </w:t>
      </w:r>
      <w:r>
        <w:rPr/>
        <w:t>six</w:t>
      </w:r>
      <w:r>
        <w:rPr>
          <w:spacing w:val="-9"/>
        </w:rPr>
        <w:t> </w:t>
      </w:r>
      <w:r>
        <w:rPr/>
        <w:t>plays</w:t>
      </w:r>
      <w:r>
        <w:rPr>
          <w:spacing w:val="-9"/>
        </w:rPr>
        <w:t> </w:t>
      </w:r>
      <w:r>
        <w:rPr/>
        <w:t>in</w:t>
      </w:r>
      <w:r>
        <w:rPr>
          <w:spacing w:val="-9"/>
        </w:rPr>
        <w:t> </w:t>
      </w:r>
      <w:r>
        <w:rPr/>
        <w:t>the</w:t>
      </w:r>
      <w:r>
        <w:rPr>
          <w:spacing w:val="-9"/>
        </w:rPr>
        <w:t> </w:t>
      </w:r>
      <w:r>
        <w:rPr/>
        <w:t>same</w:t>
      </w:r>
      <w:r>
        <w:rPr>
          <w:spacing w:val="-9"/>
        </w:rPr>
        <w:t> </w:t>
      </w:r>
      <w:r>
        <w:rPr/>
        <w:t>set,</w:t>
      </w:r>
      <w:r>
        <w:rPr>
          <w:spacing w:val="-9"/>
        </w:rPr>
        <w:t> </w:t>
      </w:r>
      <w:r>
        <w:rPr/>
        <w:t>but</w:t>
      </w:r>
      <w:r>
        <w:rPr>
          <w:spacing w:val="-9"/>
        </w:rPr>
        <w:t> </w:t>
      </w:r>
      <w:r>
        <w:rPr/>
        <w:t>a</w:t>
      </w:r>
      <w:r>
        <w:rPr>
          <w:spacing w:val="-9"/>
        </w:rPr>
        <w:t> </w:t>
      </w:r>
      <w:r>
        <w:rPr/>
        <w:t>team</w:t>
      </w:r>
      <w:r>
        <w:rPr>
          <w:spacing w:val="-9"/>
        </w:rPr>
        <w:t> </w:t>
      </w:r>
      <w:r>
        <w:rPr/>
        <w:t>can</w:t>
      </w:r>
      <w:r>
        <w:rPr>
          <w:spacing w:val="-9"/>
        </w:rPr>
        <w:t> </w:t>
      </w:r>
      <w:r>
        <w:rPr/>
        <w:t>complete</w:t>
      </w:r>
      <w:r>
        <w:rPr>
          <w:spacing w:val="-9"/>
        </w:rPr>
        <w:t> </w:t>
      </w:r>
      <w:r>
        <w:rPr/>
        <w:t>consecutive sets in the same possession if the opposition fouls them.</w:t>
      </w:r>
    </w:p>
    <w:p>
      <w:pPr>
        <w:pStyle w:val="BodyText"/>
        <w:spacing w:before="5"/>
        <w:rPr>
          <w:sz w:val="16"/>
        </w:rPr>
      </w:pPr>
    </w:p>
    <w:p>
      <w:pPr>
        <w:spacing w:after="0"/>
        <w:rPr>
          <w:sz w:val="16"/>
        </w:rPr>
        <w:sectPr>
          <w:pgSz w:w="11910" w:h="16840"/>
          <w:pgMar w:header="1961" w:footer="1428" w:top="2280" w:bottom="1620" w:left="1680" w:right="720"/>
        </w:sectPr>
      </w:pPr>
    </w:p>
    <w:p>
      <w:pPr>
        <w:pStyle w:val="BodyText"/>
        <w:spacing w:line="252" w:lineRule="auto" w:before="97"/>
        <w:ind w:left="916" w:right="-4"/>
      </w:pPr>
      <w:r>
        <w:rPr>
          <w:spacing w:val="-2"/>
        </w:rPr>
        <w:t>Attacking Possession</w:t>
      </w:r>
    </w:p>
    <w:p>
      <w:pPr>
        <w:pStyle w:val="BodyText"/>
        <w:spacing w:line="252" w:lineRule="auto" w:before="97"/>
        <w:ind w:left="438" w:right="694"/>
        <w:jc w:val="both"/>
      </w:pPr>
      <w:r>
        <w:rPr/>
        <w:br w:type="column"/>
      </w:r>
      <w:r>
        <w:rPr/>
        <w:t>A sequence of actions, plays or sets through which a team is in possession of the ball.</w:t>
      </w:r>
      <w:r>
        <w:rPr>
          <w:spacing w:val="25"/>
        </w:rPr>
        <w:t> </w:t>
      </w:r>
      <w:r>
        <w:rPr/>
        <w:t>Typically this will be the same as a set, </w:t>
      </w:r>
      <w:r>
        <w:rPr/>
        <w:t>but in</w:t>
      </w:r>
      <w:r>
        <w:rPr>
          <w:spacing w:val="-3"/>
        </w:rPr>
        <w:t> </w:t>
      </w:r>
      <w:r>
        <w:rPr/>
        <w:t>the</w:t>
      </w:r>
      <w:r>
        <w:rPr>
          <w:spacing w:val="-3"/>
        </w:rPr>
        <w:t> </w:t>
      </w:r>
      <w:r>
        <w:rPr/>
        <w:t>case</w:t>
      </w:r>
      <w:r>
        <w:rPr>
          <w:spacing w:val="-3"/>
        </w:rPr>
        <w:t> </w:t>
      </w:r>
      <w:r>
        <w:rPr/>
        <w:t>of</w:t>
      </w:r>
      <w:r>
        <w:rPr>
          <w:spacing w:val="-3"/>
        </w:rPr>
        <w:t> </w:t>
      </w:r>
      <w:r>
        <w:rPr/>
        <w:t>an</w:t>
      </w:r>
      <w:r>
        <w:rPr>
          <w:spacing w:val="-3"/>
        </w:rPr>
        <w:t> </w:t>
      </w:r>
      <w:r>
        <w:rPr/>
        <w:t>opposition</w:t>
      </w:r>
      <w:r>
        <w:rPr>
          <w:spacing w:val="-3"/>
        </w:rPr>
        <w:t> </w:t>
      </w:r>
      <w:r>
        <w:rPr/>
        <w:t>team</w:t>
      </w:r>
      <w:r>
        <w:rPr>
          <w:spacing w:val="-3"/>
        </w:rPr>
        <w:t> </w:t>
      </w:r>
      <w:r>
        <w:rPr/>
        <w:t>foul,</w:t>
      </w:r>
      <w:r>
        <w:rPr>
          <w:spacing w:val="-2"/>
        </w:rPr>
        <w:t> </w:t>
      </w:r>
      <w:r>
        <w:rPr/>
        <w:t>an</w:t>
      </w:r>
      <w:r>
        <w:rPr>
          <w:spacing w:val="-3"/>
        </w:rPr>
        <w:t> </w:t>
      </w:r>
      <w:r>
        <w:rPr/>
        <w:t>attacking</w:t>
      </w:r>
      <w:r>
        <w:rPr>
          <w:spacing w:val="-3"/>
        </w:rPr>
        <w:t> </w:t>
      </w:r>
      <w:r>
        <w:rPr/>
        <w:t>possession</w:t>
      </w:r>
      <w:r>
        <w:rPr>
          <w:spacing w:val="-3"/>
        </w:rPr>
        <w:t> </w:t>
      </w:r>
      <w:r>
        <w:rPr/>
        <w:t>can contain multiple sets.</w:t>
      </w:r>
    </w:p>
    <w:p>
      <w:pPr>
        <w:spacing w:after="0" w:line="252" w:lineRule="auto"/>
        <w:jc w:val="both"/>
        <w:sectPr>
          <w:type w:val="continuous"/>
          <w:pgSz w:w="11910" w:h="16840"/>
          <w:pgMar w:header="1961" w:footer="1428" w:top="1920" w:bottom="280" w:left="1680" w:right="720"/>
          <w:cols w:num="2" w:equalWidth="0">
            <w:col w:w="1953" w:space="40"/>
            <w:col w:w="7517"/>
          </w:cols>
        </w:sectPr>
      </w:pPr>
    </w:p>
    <w:p>
      <w:pPr>
        <w:pStyle w:val="BodyText"/>
        <w:spacing w:before="5"/>
        <w:rPr>
          <w:sz w:val="16"/>
        </w:rPr>
      </w:pPr>
    </w:p>
    <w:p>
      <w:pPr>
        <w:spacing w:after="0"/>
        <w:rPr>
          <w:sz w:val="16"/>
        </w:rPr>
        <w:sectPr>
          <w:type w:val="continuous"/>
          <w:pgSz w:w="11910" w:h="16840"/>
          <w:pgMar w:header="1961" w:footer="1428" w:top="1920" w:bottom="280" w:left="1680" w:right="720"/>
        </w:sectPr>
      </w:pPr>
    </w:p>
    <w:p>
      <w:pPr>
        <w:pStyle w:val="BodyText"/>
        <w:spacing w:line="252" w:lineRule="auto" w:before="97"/>
        <w:ind w:left="916" w:right="-3"/>
      </w:pPr>
      <w:r>
        <w:rPr>
          <w:spacing w:val="-2"/>
        </w:rPr>
        <w:t>Attacking Performance</w:t>
      </w:r>
    </w:p>
    <w:p>
      <w:pPr>
        <w:pStyle w:val="BodyText"/>
        <w:spacing w:line="252" w:lineRule="auto" w:before="97"/>
        <w:ind w:left="253" w:right="694"/>
        <w:jc w:val="both"/>
      </w:pPr>
      <w:r>
        <w:rPr/>
        <w:br w:type="column"/>
      </w:r>
      <w:r>
        <w:rPr/>
        <w:t>All the attacking possessions a team produces during a </w:t>
      </w:r>
      <w:r>
        <w:rPr/>
        <w:t>specified period of time (e.g.</w:t>
      </w:r>
      <w:r>
        <w:rPr>
          <w:spacing w:val="40"/>
        </w:rPr>
        <w:t> </w:t>
      </w:r>
      <w:r>
        <w:rPr/>
        <w:t>a single match, multiple matches against the same opponent, or across the season).</w:t>
      </w:r>
    </w:p>
    <w:p>
      <w:pPr>
        <w:spacing w:after="0" w:line="252" w:lineRule="auto"/>
        <w:jc w:val="both"/>
        <w:sectPr>
          <w:type w:val="continuous"/>
          <w:pgSz w:w="11910" w:h="16840"/>
          <w:pgMar w:header="1961" w:footer="1428" w:top="1920" w:bottom="280" w:left="1680" w:right="720"/>
          <w:cols w:num="2" w:equalWidth="0">
            <w:col w:w="2138" w:space="40"/>
            <w:col w:w="7332"/>
          </w:cols>
        </w:sectPr>
      </w:pPr>
    </w:p>
    <w:p>
      <w:pPr>
        <w:pStyle w:val="BodyText"/>
        <w:spacing w:line="20" w:lineRule="exact"/>
        <w:ind w:left="796"/>
        <w:rPr>
          <w:sz w:val="2"/>
        </w:rPr>
      </w:pPr>
      <w:r>
        <w:rPr>
          <w:sz w:val="2"/>
        </w:rPr>
        <w:pict>
          <v:group style="width:406.6pt;height:.4pt;mso-position-horizontal-relative:char;mso-position-vertical-relative:line" id="docshapegroup36" coordorigin="0,0" coordsize="8132,8">
            <v:line style="position:absolute" from="0,4" to="8132,4" stroked="true" strokeweight=".398pt" strokecolor="#000000">
              <v:stroke dashstyle="solid"/>
            </v:line>
          </v:group>
        </w:pict>
      </w:r>
      <w:r>
        <w:rPr>
          <w:sz w:val="2"/>
        </w:rPr>
      </w:r>
    </w:p>
    <w:p>
      <w:pPr>
        <w:pStyle w:val="BodyText"/>
        <w:rPr>
          <w:sz w:val="20"/>
        </w:rPr>
      </w:pPr>
    </w:p>
    <w:p>
      <w:pPr>
        <w:pStyle w:val="BodyText"/>
        <w:rPr>
          <w:sz w:val="20"/>
        </w:rPr>
      </w:pPr>
    </w:p>
    <w:p>
      <w:pPr>
        <w:pStyle w:val="BodyText"/>
        <w:spacing w:line="312" w:lineRule="auto" w:before="220"/>
        <w:ind w:left="610" w:right="468"/>
        <w:jc w:val="both"/>
      </w:pPr>
      <w:r>
        <w:rPr/>
        <w:t>produces during a match can be considered a team’s </w:t>
      </w:r>
      <w:r>
        <w:rPr>
          <w:i/>
        </w:rPr>
        <w:t>attacking performance</w:t>
      </w:r>
      <w:r>
        <w:rPr/>
        <w:t>.</w:t>
      </w:r>
      <w:r>
        <w:rPr>
          <w:spacing w:val="40"/>
        </w:rPr>
        <w:t> </w:t>
      </w:r>
      <w:r>
        <w:rPr/>
        <w:t>Table</w:t>
      </w:r>
      <w:hyperlink w:history="true" w:anchor="_bookmark37">
        <w:r>
          <w:rPr>
            <w:color w:val="0000FF"/>
          </w:rPr>
          <w:t>2.2</w:t>
        </w:r>
      </w:hyperlink>
      <w:r>
        <w:rPr>
          <w:color w:val="0000FF"/>
        </w:rPr>
        <w:t> </w:t>
      </w:r>
      <w:r>
        <w:rPr/>
        <w:t>details the possession terms used in this study and their relationship with each other.</w:t>
      </w:r>
    </w:p>
    <w:p>
      <w:pPr>
        <w:pStyle w:val="BodyText"/>
        <w:spacing w:line="312" w:lineRule="auto"/>
        <w:ind w:left="610" w:right="389" w:firstLine="351"/>
        <w:jc w:val="both"/>
      </w:pPr>
      <w:r>
        <w:rPr>
          <w:spacing w:val="-2"/>
        </w:rPr>
        <w:t>From</w:t>
      </w:r>
      <w:r>
        <w:rPr>
          <w:spacing w:val="-8"/>
        </w:rPr>
        <w:t> </w:t>
      </w:r>
      <w:r>
        <w:rPr>
          <w:spacing w:val="-2"/>
        </w:rPr>
        <w:t>an</w:t>
      </w:r>
      <w:r>
        <w:rPr>
          <w:spacing w:val="-8"/>
        </w:rPr>
        <w:t> </w:t>
      </w:r>
      <w:r>
        <w:rPr>
          <w:spacing w:val="-2"/>
        </w:rPr>
        <w:t>attacking</w:t>
      </w:r>
      <w:r>
        <w:rPr>
          <w:spacing w:val="-8"/>
        </w:rPr>
        <w:t> </w:t>
      </w:r>
      <w:r>
        <w:rPr>
          <w:spacing w:val="-2"/>
        </w:rPr>
        <w:t>team</w:t>
      </w:r>
      <w:r>
        <w:rPr>
          <w:spacing w:val="-8"/>
        </w:rPr>
        <w:t> </w:t>
      </w:r>
      <w:r>
        <w:rPr>
          <w:spacing w:val="-2"/>
        </w:rPr>
        <w:t>perspective</w:t>
      </w:r>
      <w:r>
        <w:rPr>
          <w:spacing w:val="-8"/>
        </w:rPr>
        <w:t> </w:t>
      </w:r>
      <w:r>
        <w:rPr>
          <w:spacing w:val="-2"/>
        </w:rPr>
        <w:t>with</w:t>
      </w:r>
      <w:r>
        <w:rPr>
          <w:spacing w:val="-8"/>
        </w:rPr>
        <w:t> </w:t>
      </w:r>
      <w:r>
        <w:rPr>
          <w:spacing w:val="-2"/>
        </w:rPr>
        <w:t>a</w:t>
      </w:r>
      <w:r>
        <w:rPr>
          <w:spacing w:val="-8"/>
        </w:rPr>
        <w:t> </w:t>
      </w:r>
      <w:r>
        <w:rPr>
          <w:spacing w:val="-2"/>
        </w:rPr>
        <w:t>finite</w:t>
      </w:r>
      <w:r>
        <w:rPr>
          <w:spacing w:val="-8"/>
        </w:rPr>
        <w:t> </w:t>
      </w:r>
      <w:r>
        <w:rPr>
          <w:spacing w:val="-2"/>
        </w:rPr>
        <w:t>opportunity</w:t>
      </w:r>
      <w:r>
        <w:rPr>
          <w:spacing w:val="-8"/>
        </w:rPr>
        <w:t> </w:t>
      </w:r>
      <w:r>
        <w:rPr>
          <w:spacing w:val="-2"/>
        </w:rPr>
        <w:t>to</w:t>
      </w:r>
      <w:r>
        <w:rPr>
          <w:spacing w:val="-8"/>
        </w:rPr>
        <w:t> </w:t>
      </w:r>
      <w:r>
        <w:rPr>
          <w:spacing w:val="-2"/>
        </w:rPr>
        <w:t>score</w:t>
      </w:r>
      <w:r>
        <w:rPr>
          <w:spacing w:val="-8"/>
        </w:rPr>
        <w:t> </w:t>
      </w:r>
      <w:r>
        <w:rPr>
          <w:spacing w:val="-2"/>
        </w:rPr>
        <w:t>points</w:t>
      </w:r>
      <w:r>
        <w:rPr>
          <w:spacing w:val="-8"/>
        </w:rPr>
        <w:t> </w:t>
      </w:r>
      <w:r>
        <w:rPr>
          <w:spacing w:val="-2"/>
        </w:rPr>
        <w:t>per</w:t>
      </w:r>
      <w:r>
        <w:rPr>
          <w:spacing w:val="-8"/>
        </w:rPr>
        <w:t> </w:t>
      </w:r>
      <w:r>
        <w:rPr>
          <w:spacing w:val="-2"/>
        </w:rPr>
        <w:t>attack- </w:t>
      </w:r>
      <w:r>
        <w:rPr/>
        <w:t>ing</w:t>
      </w:r>
      <w:r>
        <w:rPr>
          <w:spacing w:val="-10"/>
        </w:rPr>
        <w:t> </w:t>
      </w:r>
      <w:r>
        <w:rPr/>
        <w:t>possession,</w:t>
      </w:r>
      <w:r>
        <w:rPr>
          <w:spacing w:val="-9"/>
        </w:rPr>
        <w:t> </w:t>
      </w:r>
      <w:r>
        <w:rPr/>
        <w:t>it</w:t>
      </w:r>
      <w:r>
        <w:rPr>
          <w:spacing w:val="-10"/>
        </w:rPr>
        <w:t> </w:t>
      </w:r>
      <w:r>
        <w:rPr/>
        <w:t>is</w:t>
      </w:r>
      <w:r>
        <w:rPr>
          <w:spacing w:val="-10"/>
        </w:rPr>
        <w:t> </w:t>
      </w:r>
      <w:r>
        <w:rPr/>
        <w:t>logical</w:t>
      </w:r>
      <w:r>
        <w:rPr>
          <w:spacing w:val="-10"/>
        </w:rPr>
        <w:t> </w:t>
      </w:r>
      <w:r>
        <w:rPr/>
        <w:t>that</w:t>
      </w:r>
      <w:r>
        <w:rPr>
          <w:spacing w:val="-9"/>
        </w:rPr>
        <w:t> </w:t>
      </w:r>
      <w:r>
        <w:rPr/>
        <w:t>teams</w:t>
      </w:r>
      <w:r>
        <w:rPr>
          <w:spacing w:val="-10"/>
        </w:rPr>
        <w:t> </w:t>
      </w:r>
      <w:r>
        <w:rPr/>
        <w:t>will</w:t>
      </w:r>
      <w:r>
        <w:rPr>
          <w:spacing w:val="-10"/>
        </w:rPr>
        <w:t> </w:t>
      </w:r>
      <w:r>
        <w:rPr/>
        <w:t>attempt</w:t>
      </w:r>
      <w:r>
        <w:rPr>
          <w:spacing w:val="-10"/>
        </w:rPr>
        <w:t> </w:t>
      </w:r>
      <w:r>
        <w:rPr/>
        <w:t>to</w:t>
      </w:r>
      <w:r>
        <w:rPr>
          <w:spacing w:val="-9"/>
        </w:rPr>
        <w:t> </w:t>
      </w:r>
      <w:r>
        <w:rPr/>
        <w:t>perform</w:t>
      </w:r>
      <w:r>
        <w:rPr>
          <w:spacing w:val="-10"/>
        </w:rPr>
        <w:t> </w:t>
      </w:r>
      <w:r>
        <w:rPr/>
        <w:t>as</w:t>
      </w:r>
      <w:r>
        <w:rPr>
          <w:spacing w:val="-10"/>
        </w:rPr>
        <w:t> </w:t>
      </w:r>
      <w:r>
        <w:rPr/>
        <w:t>many</w:t>
      </w:r>
      <w:r>
        <w:rPr>
          <w:spacing w:val="-10"/>
        </w:rPr>
        <w:t> </w:t>
      </w:r>
      <w:r>
        <w:rPr/>
        <w:t>actions</w:t>
      </w:r>
      <w:r>
        <w:rPr>
          <w:spacing w:val="-9"/>
        </w:rPr>
        <w:t> </w:t>
      </w:r>
      <w:r>
        <w:rPr/>
        <w:t>as</w:t>
      </w:r>
      <w:r>
        <w:rPr>
          <w:spacing w:val="-10"/>
        </w:rPr>
        <w:t> </w:t>
      </w:r>
      <w:r>
        <w:rPr/>
        <w:t>possible with their best players, or perform as many actions as possible targeting the weaknesses of their opposition.</w:t>
      </w:r>
      <w:r>
        <w:rPr>
          <w:spacing w:val="40"/>
        </w:rPr>
        <w:t> </w:t>
      </w:r>
      <w:r>
        <w:rPr/>
        <w:t>Whilst such tactics provide attacking teams with the best </w:t>
      </w:r>
      <w:r>
        <w:rPr/>
        <w:t>opportu- nity</w:t>
      </w:r>
      <w:r>
        <w:rPr>
          <w:spacing w:val="20"/>
        </w:rPr>
        <w:t> </w:t>
      </w:r>
      <w:r>
        <w:rPr/>
        <w:t>to</w:t>
      </w:r>
      <w:r>
        <w:rPr>
          <w:spacing w:val="20"/>
        </w:rPr>
        <w:t> </w:t>
      </w:r>
      <w:r>
        <w:rPr/>
        <w:t>score</w:t>
      </w:r>
      <w:r>
        <w:rPr>
          <w:spacing w:val="20"/>
        </w:rPr>
        <w:t> </w:t>
      </w:r>
      <w:r>
        <w:rPr/>
        <w:t>points</w:t>
      </w:r>
      <w:r>
        <w:rPr>
          <w:spacing w:val="20"/>
        </w:rPr>
        <w:t> </w:t>
      </w:r>
      <w:r>
        <w:rPr/>
        <w:t>in</w:t>
      </w:r>
      <w:r>
        <w:rPr>
          <w:spacing w:val="20"/>
        </w:rPr>
        <w:t> </w:t>
      </w:r>
      <w:r>
        <w:rPr/>
        <w:t>matches,</w:t>
      </w:r>
      <w:r>
        <w:rPr>
          <w:spacing w:val="27"/>
        </w:rPr>
        <w:t> </w:t>
      </w:r>
      <w:r>
        <w:rPr/>
        <w:t>they</w:t>
      </w:r>
      <w:r>
        <w:rPr>
          <w:spacing w:val="20"/>
        </w:rPr>
        <w:t> </w:t>
      </w:r>
      <w:r>
        <w:rPr/>
        <w:t>also</w:t>
      </w:r>
      <w:r>
        <w:rPr>
          <w:spacing w:val="20"/>
        </w:rPr>
        <w:t> </w:t>
      </w:r>
      <w:r>
        <w:rPr/>
        <w:t>provide</w:t>
      </w:r>
      <w:r>
        <w:rPr>
          <w:spacing w:val="20"/>
        </w:rPr>
        <w:t> </w:t>
      </w:r>
      <w:r>
        <w:rPr/>
        <w:t>an</w:t>
      </w:r>
      <w:r>
        <w:rPr>
          <w:spacing w:val="20"/>
        </w:rPr>
        <w:t> </w:t>
      </w:r>
      <w:r>
        <w:rPr/>
        <w:t>opportunity</w:t>
      </w:r>
      <w:r>
        <w:rPr>
          <w:spacing w:val="20"/>
        </w:rPr>
        <w:t> </w:t>
      </w:r>
      <w:r>
        <w:rPr/>
        <w:t>for</w:t>
      </w:r>
      <w:r>
        <w:rPr>
          <w:spacing w:val="20"/>
        </w:rPr>
        <w:t> </w:t>
      </w:r>
      <w:r>
        <w:rPr/>
        <w:t>opposition</w:t>
      </w:r>
      <w:r>
        <w:rPr>
          <w:spacing w:val="20"/>
        </w:rPr>
        <w:t> </w:t>
      </w:r>
      <w:r>
        <w:rPr/>
        <w:t>teams to understand the tactical strategies a team may employ before the match based on their previous</w:t>
      </w:r>
      <w:r>
        <w:rPr>
          <w:spacing w:val="-4"/>
        </w:rPr>
        <w:t> </w:t>
      </w:r>
      <w:r>
        <w:rPr/>
        <w:t>performances. Such</w:t>
      </w:r>
      <w:r>
        <w:rPr>
          <w:spacing w:val="-4"/>
        </w:rPr>
        <w:t> </w:t>
      </w:r>
      <w:r>
        <w:rPr/>
        <w:t>information</w:t>
      </w:r>
      <w:r>
        <w:rPr>
          <w:spacing w:val="-4"/>
        </w:rPr>
        <w:t> </w:t>
      </w:r>
      <w:r>
        <w:rPr/>
        <w:t>could</w:t>
      </w:r>
      <w:r>
        <w:rPr>
          <w:spacing w:val="-4"/>
        </w:rPr>
        <w:t> </w:t>
      </w:r>
      <w:r>
        <w:rPr/>
        <w:t>be</w:t>
      </w:r>
      <w:r>
        <w:rPr>
          <w:spacing w:val="-4"/>
        </w:rPr>
        <w:t> </w:t>
      </w:r>
      <w:r>
        <w:rPr/>
        <w:t>gleaned</w:t>
      </w:r>
      <w:r>
        <w:rPr>
          <w:spacing w:val="-4"/>
        </w:rPr>
        <w:t> </w:t>
      </w:r>
      <w:r>
        <w:rPr/>
        <w:t>either</w:t>
      </w:r>
      <w:r>
        <w:rPr>
          <w:spacing w:val="-4"/>
        </w:rPr>
        <w:t> </w:t>
      </w:r>
      <w:r>
        <w:rPr/>
        <w:t>from</w:t>
      </w:r>
      <w:r>
        <w:rPr>
          <w:spacing w:val="-4"/>
        </w:rPr>
        <w:t> </w:t>
      </w:r>
      <w:r>
        <w:rPr/>
        <w:t>the</w:t>
      </w:r>
      <w:r>
        <w:rPr>
          <w:spacing w:val="-4"/>
        </w:rPr>
        <w:t> </w:t>
      </w:r>
      <w:r>
        <w:rPr/>
        <w:t>proportion</w:t>
      </w:r>
      <w:r>
        <w:rPr>
          <w:spacing w:val="-4"/>
        </w:rPr>
        <w:t> </w:t>
      </w:r>
      <w:r>
        <w:rPr/>
        <w:t>of actions</w:t>
      </w:r>
      <w:r>
        <w:rPr>
          <w:spacing w:val="-9"/>
        </w:rPr>
        <w:t> </w:t>
      </w:r>
      <w:r>
        <w:rPr/>
        <w:t>occurring</w:t>
      </w:r>
      <w:r>
        <w:rPr>
          <w:spacing w:val="-8"/>
        </w:rPr>
        <w:t> </w:t>
      </w:r>
      <w:r>
        <w:rPr/>
        <w:t>within</w:t>
      </w:r>
      <w:r>
        <w:rPr>
          <w:spacing w:val="-9"/>
        </w:rPr>
        <w:t> </w:t>
      </w:r>
      <w:r>
        <w:rPr/>
        <w:t>a</w:t>
      </w:r>
      <w:r>
        <w:rPr>
          <w:spacing w:val="-9"/>
        </w:rPr>
        <w:t> </w:t>
      </w:r>
      <w:r>
        <w:rPr/>
        <w:t>specific</w:t>
      </w:r>
      <w:r>
        <w:rPr>
          <w:spacing w:val="-9"/>
        </w:rPr>
        <w:t> </w:t>
      </w:r>
      <w:r>
        <w:rPr/>
        <w:t>area,</w:t>
      </w:r>
      <w:r>
        <w:rPr>
          <w:spacing w:val="-8"/>
        </w:rPr>
        <w:t> </w:t>
      </w:r>
      <w:r>
        <w:rPr/>
        <w:t>or</w:t>
      </w:r>
      <w:r>
        <w:rPr>
          <w:spacing w:val="-8"/>
        </w:rPr>
        <w:t> </w:t>
      </w:r>
      <w:r>
        <w:rPr>
          <w:i/>
        </w:rPr>
        <w:t>zone</w:t>
      </w:r>
      <w:r>
        <w:rPr/>
        <w:t>,</w:t>
      </w:r>
      <w:r>
        <w:rPr>
          <w:spacing w:val="-8"/>
        </w:rPr>
        <w:t> </w:t>
      </w:r>
      <w:r>
        <w:rPr/>
        <w:t>or</w:t>
      </w:r>
      <w:r>
        <w:rPr>
          <w:spacing w:val="-9"/>
        </w:rPr>
        <w:t> </w:t>
      </w:r>
      <w:r>
        <w:rPr/>
        <w:t>the</w:t>
      </w:r>
      <w:r>
        <w:rPr>
          <w:spacing w:val="-8"/>
        </w:rPr>
        <w:t> </w:t>
      </w:r>
      <w:r>
        <w:rPr/>
        <w:t>total/proportional</w:t>
      </w:r>
      <w:r>
        <w:rPr>
          <w:spacing w:val="-8"/>
        </w:rPr>
        <w:t> </w:t>
      </w:r>
      <w:r>
        <w:rPr/>
        <w:t>value</w:t>
      </w:r>
      <w:r>
        <w:rPr>
          <w:spacing w:val="-9"/>
        </w:rPr>
        <w:t> </w:t>
      </w:r>
      <w:r>
        <w:rPr/>
        <w:t>of</w:t>
      </w:r>
      <w:r>
        <w:rPr>
          <w:spacing w:val="-9"/>
        </w:rPr>
        <w:t> </w:t>
      </w:r>
      <w:r>
        <w:rPr/>
        <w:t>actions completed</w:t>
      </w:r>
      <w:r>
        <w:rPr>
          <w:spacing w:val="-10"/>
        </w:rPr>
        <w:t> </w:t>
      </w:r>
      <w:r>
        <w:rPr/>
        <w:t>within</w:t>
      </w:r>
      <w:r>
        <w:rPr>
          <w:spacing w:val="-10"/>
        </w:rPr>
        <w:t> </w:t>
      </w:r>
      <w:r>
        <w:rPr/>
        <w:t>that</w:t>
      </w:r>
      <w:r>
        <w:rPr>
          <w:spacing w:val="-10"/>
        </w:rPr>
        <w:t> </w:t>
      </w:r>
      <w:r>
        <w:rPr/>
        <w:t>zone. In</w:t>
      </w:r>
      <w:r>
        <w:rPr>
          <w:spacing w:val="-10"/>
        </w:rPr>
        <w:t> </w:t>
      </w:r>
      <w:r>
        <w:rPr/>
        <w:t>practice,</w:t>
      </w:r>
      <w:r>
        <w:rPr>
          <w:spacing w:val="-9"/>
        </w:rPr>
        <w:t> </w:t>
      </w:r>
      <w:r>
        <w:rPr/>
        <w:t>performance</w:t>
      </w:r>
      <w:r>
        <w:rPr>
          <w:spacing w:val="-10"/>
        </w:rPr>
        <w:t> </w:t>
      </w:r>
      <w:r>
        <w:rPr/>
        <w:t>analysts</w:t>
      </w:r>
      <w:r>
        <w:rPr>
          <w:spacing w:val="-10"/>
        </w:rPr>
        <w:t> </w:t>
      </w:r>
      <w:r>
        <w:rPr/>
        <w:t>do</w:t>
      </w:r>
      <w:r>
        <w:rPr>
          <w:spacing w:val="-10"/>
        </w:rPr>
        <w:t> </w:t>
      </w:r>
      <w:r>
        <w:rPr/>
        <w:t>not</w:t>
      </w:r>
      <w:r>
        <w:rPr>
          <w:spacing w:val="-10"/>
        </w:rPr>
        <w:t> </w:t>
      </w:r>
      <w:r>
        <w:rPr/>
        <w:t>currently</w:t>
      </w:r>
      <w:r>
        <w:rPr>
          <w:spacing w:val="-10"/>
        </w:rPr>
        <w:t> </w:t>
      </w:r>
      <w:r>
        <w:rPr/>
        <w:t>obtain</w:t>
      </w:r>
      <w:r>
        <w:rPr>
          <w:spacing w:val="-10"/>
        </w:rPr>
        <w:t> </w:t>
      </w:r>
      <w:r>
        <w:rPr/>
        <w:t>this </w:t>
      </w:r>
      <w:r>
        <w:rPr>
          <w:spacing w:val="-2"/>
        </w:rPr>
        <w:t>information</w:t>
      </w:r>
      <w:r>
        <w:rPr>
          <w:spacing w:val="-7"/>
        </w:rPr>
        <w:t> </w:t>
      </w:r>
      <w:r>
        <w:rPr>
          <w:spacing w:val="-2"/>
        </w:rPr>
        <w:t>via</w:t>
      </w:r>
      <w:r>
        <w:rPr>
          <w:spacing w:val="-7"/>
        </w:rPr>
        <w:t> </w:t>
      </w:r>
      <w:r>
        <w:rPr>
          <w:spacing w:val="-2"/>
        </w:rPr>
        <w:t>data-driven</w:t>
      </w:r>
      <w:r>
        <w:rPr>
          <w:spacing w:val="-7"/>
        </w:rPr>
        <w:t> </w:t>
      </w:r>
      <w:r>
        <w:rPr>
          <w:spacing w:val="-2"/>
        </w:rPr>
        <w:t>processes.</w:t>
      </w:r>
      <w:r>
        <w:rPr>
          <w:spacing w:val="19"/>
        </w:rPr>
        <w:t> </w:t>
      </w:r>
      <w:r>
        <w:rPr>
          <w:spacing w:val="-2"/>
        </w:rPr>
        <w:t>Instead,</w:t>
      </w:r>
      <w:r>
        <w:rPr>
          <w:spacing w:val="-4"/>
        </w:rPr>
        <w:t> </w:t>
      </w:r>
      <w:r>
        <w:rPr>
          <w:spacing w:val="-2"/>
        </w:rPr>
        <w:t>they</w:t>
      </w:r>
      <w:r>
        <w:rPr>
          <w:spacing w:val="-7"/>
        </w:rPr>
        <w:t> </w:t>
      </w:r>
      <w:r>
        <w:rPr>
          <w:spacing w:val="-2"/>
        </w:rPr>
        <w:t>watch</w:t>
      </w:r>
      <w:r>
        <w:rPr>
          <w:spacing w:val="-7"/>
        </w:rPr>
        <w:t> </w:t>
      </w:r>
      <w:r>
        <w:rPr>
          <w:spacing w:val="-2"/>
        </w:rPr>
        <w:t>videos</w:t>
      </w:r>
      <w:r>
        <w:rPr>
          <w:spacing w:val="-7"/>
        </w:rPr>
        <w:t> </w:t>
      </w:r>
      <w:r>
        <w:rPr>
          <w:spacing w:val="-2"/>
        </w:rPr>
        <w:t>of</w:t>
      </w:r>
      <w:r>
        <w:rPr>
          <w:spacing w:val="-7"/>
        </w:rPr>
        <w:t> </w:t>
      </w:r>
      <w:r>
        <w:rPr>
          <w:spacing w:val="-2"/>
        </w:rPr>
        <w:t>the</w:t>
      </w:r>
      <w:r>
        <w:rPr>
          <w:spacing w:val="-7"/>
        </w:rPr>
        <w:t> </w:t>
      </w:r>
      <w:r>
        <w:rPr>
          <w:spacing w:val="-2"/>
        </w:rPr>
        <w:t>opposition</w:t>
      </w:r>
      <w:r>
        <w:rPr>
          <w:spacing w:val="-7"/>
        </w:rPr>
        <w:t> </w:t>
      </w:r>
      <w:r>
        <w:rPr>
          <w:spacing w:val="-2"/>
        </w:rPr>
        <w:t>team’s </w:t>
      </w:r>
      <w:r>
        <w:rPr/>
        <w:t>previous</w:t>
      </w:r>
      <w:r>
        <w:rPr>
          <w:spacing w:val="-14"/>
        </w:rPr>
        <w:t> </w:t>
      </w:r>
      <w:r>
        <w:rPr/>
        <w:t>performances</w:t>
      </w:r>
      <w:r>
        <w:rPr>
          <w:spacing w:val="-13"/>
        </w:rPr>
        <w:t> </w:t>
      </w:r>
      <w:r>
        <w:rPr/>
        <w:t>prior</w:t>
      </w:r>
      <w:r>
        <w:rPr>
          <w:spacing w:val="-13"/>
        </w:rPr>
        <w:t> </w:t>
      </w:r>
      <w:r>
        <w:rPr/>
        <w:t>to</w:t>
      </w:r>
      <w:r>
        <w:rPr>
          <w:spacing w:val="-14"/>
        </w:rPr>
        <w:t> </w:t>
      </w:r>
      <w:r>
        <w:rPr/>
        <w:t>a</w:t>
      </w:r>
      <w:r>
        <w:rPr>
          <w:spacing w:val="-13"/>
        </w:rPr>
        <w:t> </w:t>
      </w:r>
      <w:r>
        <w:rPr/>
        <w:t>match</w:t>
      </w:r>
      <w:r>
        <w:rPr>
          <w:spacing w:val="-13"/>
        </w:rPr>
        <w:t> </w:t>
      </w:r>
      <w:r>
        <w:rPr/>
        <w:t>and</w:t>
      </w:r>
      <w:r>
        <w:rPr>
          <w:spacing w:val="-14"/>
        </w:rPr>
        <w:t> </w:t>
      </w:r>
      <w:r>
        <w:rPr/>
        <w:t>evaluate</w:t>
      </w:r>
      <w:r>
        <w:rPr>
          <w:spacing w:val="-13"/>
        </w:rPr>
        <w:t> </w:t>
      </w:r>
      <w:r>
        <w:rPr/>
        <w:t>their</w:t>
      </w:r>
      <w:r>
        <w:rPr>
          <w:spacing w:val="-13"/>
        </w:rPr>
        <w:t> </w:t>
      </w:r>
      <w:r>
        <w:rPr/>
        <w:t>attacking</w:t>
      </w:r>
      <w:r>
        <w:rPr>
          <w:spacing w:val="-14"/>
        </w:rPr>
        <w:t> </w:t>
      </w:r>
      <w:r>
        <w:rPr/>
        <w:t>performances</w:t>
      </w:r>
      <w:r>
        <w:rPr>
          <w:spacing w:val="-13"/>
        </w:rPr>
        <w:t> </w:t>
      </w:r>
      <w:r>
        <w:rPr>
          <w:spacing w:val="-2"/>
        </w:rPr>
        <w:t>subjec-</w:t>
      </w:r>
    </w:p>
    <w:p>
      <w:pPr>
        <w:spacing w:after="0" w:line="312" w:lineRule="auto"/>
        <w:jc w:val="both"/>
        <w:sectPr>
          <w:type w:val="continuous"/>
          <w:pgSz w:w="11910" w:h="16840"/>
          <w:pgMar w:header="1961" w:footer="1428" w:top="1920" w:bottom="28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tively.</w:t>
      </w:r>
      <w:r>
        <w:rPr>
          <w:spacing w:val="23"/>
        </w:rPr>
        <w:t> </w:t>
      </w:r>
      <w:r>
        <w:rPr/>
        <w:t>This</w:t>
      </w:r>
      <w:r>
        <w:rPr>
          <w:spacing w:val="-1"/>
        </w:rPr>
        <w:t> </w:t>
      </w:r>
      <w:r>
        <w:rPr/>
        <w:t>information</w:t>
      </w:r>
      <w:r>
        <w:rPr>
          <w:spacing w:val="-1"/>
        </w:rPr>
        <w:t> </w:t>
      </w:r>
      <w:r>
        <w:rPr/>
        <w:t>is</w:t>
      </w:r>
      <w:r>
        <w:rPr>
          <w:spacing w:val="-1"/>
        </w:rPr>
        <w:t> </w:t>
      </w:r>
      <w:r>
        <w:rPr/>
        <w:t>then</w:t>
      </w:r>
      <w:r>
        <w:rPr>
          <w:spacing w:val="-1"/>
        </w:rPr>
        <w:t> </w:t>
      </w:r>
      <w:r>
        <w:rPr/>
        <w:t>relayed</w:t>
      </w:r>
      <w:r>
        <w:rPr>
          <w:spacing w:val="-1"/>
        </w:rPr>
        <w:t> </w:t>
      </w:r>
      <w:r>
        <w:rPr/>
        <w:t>to</w:t>
      </w:r>
      <w:r>
        <w:rPr>
          <w:spacing w:val="-1"/>
        </w:rPr>
        <w:t> </w:t>
      </w:r>
      <w:r>
        <w:rPr/>
        <w:t>the</w:t>
      </w:r>
      <w:r>
        <w:rPr>
          <w:spacing w:val="-1"/>
        </w:rPr>
        <w:t> </w:t>
      </w:r>
      <w:r>
        <w:rPr/>
        <w:t>head</w:t>
      </w:r>
      <w:r>
        <w:rPr>
          <w:spacing w:val="-1"/>
        </w:rPr>
        <w:t> </w:t>
      </w:r>
      <w:r>
        <w:rPr/>
        <w:t>coach</w:t>
      </w:r>
      <w:r>
        <w:rPr>
          <w:spacing w:val="-1"/>
        </w:rPr>
        <w:t> </w:t>
      </w:r>
      <w:r>
        <w:rPr/>
        <w:t>who</w:t>
      </w:r>
      <w:r>
        <w:rPr>
          <w:spacing w:val="-1"/>
        </w:rPr>
        <w:t> </w:t>
      </w:r>
      <w:r>
        <w:rPr/>
        <w:t>will</w:t>
      </w:r>
      <w:r>
        <w:rPr>
          <w:spacing w:val="-1"/>
        </w:rPr>
        <w:t> </w:t>
      </w:r>
      <w:r>
        <w:rPr/>
        <w:t>produce</w:t>
      </w:r>
      <w:r>
        <w:rPr>
          <w:spacing w:val="-1"/>
        </w:rPr>
        <w:t> </w:t>
      </w:r>
      <w:r>
        <w:rPr/>
        <w:t>a</w:t>
      </w:r>
      <w:r>
        <w:rPr>
          <w:spacing w:val="-1"/>
        </w:rPr>
        <w:t> </w:t>
      </w:r>
      <w:r>
        <w:rPr/>
        <w:t>strategy</w:t>
      </w:r>
      <w:r>
        <w:rPr>
          <w:spacing w:val="-1"/>
        </w:rPr>
        <w:t> </w:t>
      </w:r>
      <w:r>
        <w:rPr/>
        <w:t>to try and beat the opposition.</w:t>
      </w:r>
      <w:r>
        <w:rPr>
          <w:spacing w:val="27"/>
        </w:rPr>
        <w:t> </w:t>
      </w:r>
      <w:r>
        <w:rPr/>
        <w:t>This process is both subjective (and open to individual bias, which</w:t>
      </w:r>
      <w:r>
        <w:rPr>
          <w:spacing w:val="-15"/>
        </w:rPr>
        <w:t> </w:t>
      </w:r>
      <w:r>
        <w:rPr/>
        <w:t>can</w:t>
      </w:r>
      <w:r>
        <w:rPr>
          <w:spacing w:val="-15"/>
        </w:rPr>
        <w:t> </w:t>
      </w:r>
      <w:r>
        <w:rPr/>
        <w:t>have</w:t>
      </w:r>
      <w:r>
        <w:rPr>
          <w:spacing w:val="-15"/>
        </w:rPr>
        <w:t> </w:t>
      </w:r>
      <w:r>
        <w:rPr/>
        <w:t>positive</w:t>
      </w:r>
      <w:r>
        <w:rPr>
          <w:spacing w:val="-15"/>
        </w:rPr>
        <w:t> </w:t>
      </w:r>
      <w:r>
        <w:rPr/>
        <w:t>or</w:t>
      </w:r>
      <w:r>
        <w:rPr>
          <w:spacing w:val="-15"/>
        </w:rPr>
        <w:t> </w:t>
      </w:r>
      <w:r>
        <w:rPr/>
        <w:t>negative</w:t>
      </w:r>
      <w:r>
        <w:rPr>
          <w:spacing w:val="-15"/>
        </w:rPr>
        <w:t> </w:t>
      </w:r>
      <w:r>
        <w:rPr/>
        <w:t>results)</w:t>
      </w:r>
      <w:r>
        <w:rPr>
          <w:spacing w:val="-15"/>
        </w:rPr>
        <w:t> </w:t>
      </w:r>
      <w:r>
        <w:rPr/>
        <w:t>and</w:t>
      </w:r>
      <w:r>
        <w:rPr>
          <w:spacing w:val="-15"/>
        </w:rPr>
        <w:t> </w:t>
      </w:r>
      <w:r>
        <w:rPr/>
        <w:t>time</w:t>
      </w:r>
      <w:r>
        <w:rPr>
          <w:spacing w:val="-15"/>
        </w:rPr>
        <w:t> </w:t>
      </w:r>
      <w:r>
        <w:rPr/>
        <w:t>consuming. Therefore,</w:t>
      </w:r>
      <w:r>
        <w:rPr>
          <w:spacing w:val="-14"/>
        </w:rPr>
        <w:t> </w:t>
      </w:r>
      <w:r>
        <w:rPr/>
        <w:t>an</w:t>
      </w:r>
      <w:r>
        <w:rPr>
          <w:spacing w:val="-15"/>
        </w:rPr>
        <w:t> </w:t>
      </w:r>
      <w:r>
        <w:rPr/>
        <w:t>objective, data-driven</w:t>
      </w:r>
      <w:r>
        <w:rPr>
          <w:spacing w:val="-6"/>
        </w:rPr>
        <w:t> </w:t>
      </w:r>
      <w:r>
        <w:rPr/>
        <w:t>method</w:t>
      </w:r>
      <w:r>
        <w:rPr>
          <w:spacing w:val="-6"/>
        </w:rPr>
        <w:t> </w:t>
      </w:r>
      <w:r>
        <w:rPr/>
        <w:t>of</w:t>
      </w:r>
      <w:r>
        <w:rPr>
          <w:spacing w:val="-7"/>
        </w:rPr>
        <w:t> </w:t>
      </w:r>
      <w:r>
        <w:rPr/>
        <w:t>understanding</w:t>
      </w:r>
      <w:r>
        <w:rPr>
          <w:spacing w:val="-6"/>
        </w:rPr>
        <w:t> </w:t>
      </w:r>
      <w:r>
        <w:rPr/>
        <w:t>team</w:t>
      </w:r>
      <w:r>
        <w:rPr>
          <w:spacing w:val="-6"/>
        </w:rPr>
        <w:t> </w:t>
      </w:r>
      <w:r>
        <w:rPr/>
        <w:t>attacking</w:t>
      </w:r>
      <w:r>
        <w:rPr>
          <w:spacing w:val="-6"/>
        </w:rPr>
        <w:t> </w:t>
      </w:r>
      <w:r>
        <w:rPr/>
        <w:t>performances</w:t>
      </w:r>
      <w:r>
        <w:rPr>
          <w:spacing w:val="-7"/>
        </w:rPr>
        <w:t> </w:t>
      </w:r>
      <w:r>
        <w:rPr/>
        <w:t>in</w:t>
      </w:r>
      <w:r>
        <w:rPr>
          <w:spacing w:val="-6"/>
        </w:rPr>
        <w:t> </w:t>
      </w:r>
      <w:r>
        <w:rPr/>
        <w:t>rugby</w:t>
      </w:r>
      <w:r>
        <w:rPr>
          <w:spacing w:val="-6"/>
        </w:rPr>
        <w:t> </w:t>
      </w:r>
      <w:r>
        <w:rPr/>
        <w:t>league</w:t>
      </w:r>
      <w:r>
        <w:rPr>
          <w:spacing w:val="-6"/>
        </w:rPr>
        <w:t> </w:t>
      </w:r>
      <w:r>
        <w:rPr/>
        <w:t>could be beneficial from the perspective of preparing tactical strategies to try and beat future </w:t>
      </w:r>
      <w:r>
        <w:rPr>
          <w:spacing w:val="-2"/>
        </w:rPr>
        <w:t>opponents.</w:t>
      </w:r>
    </w:p>
    <w:p>
      <w:pPr>
        <w:pStyle w:val="BodyText"/>
        <w:spacing w:line="312" w:lineRule="auto"/>
        <w:ind w:left="610" w:right="389" w:firstLine="351"/>
      </w:pPr>
      <w:r>
        <w:rPr/>
        <w:t>Table</w:t>
      </w:r>
      <w:hyperlink w:history="true" w:anchor="_bookmark38">
        <w:r>
          <w:rPr>
            <w:color w:val="0000FF"/>
          </w:rPr>
          <w:t>2.3</w:t>
        </w:r>
      </w:hyperlink>
      <w:r>
        <w:rPr/>
        <w:t>provides</w:t>
      </w:r>
      <w:r>
        <w:rPr>
          <w:spacing w:val="-5"/>
        </w:rPr>
        <w:t> </w:t>
      </w:r>
      <w:r>
        <w:rPr/>
        <w:t>an</w:t>
      </w:r>
      <w:r>
        <w:rPr>
          <w:spacing w:val="-5"/>
        </w:rPr>
        <w:t> </w:t>
      </w:r>
      <w:r>
        <w:rPr/>
        <w:t>overview</w:t>
      </w:r>
      <w:r>
        <w:rPr>
          <w:spacing w:val="-5"/>
        </w:rPr>
        <w:t> </w:t>
      </w:r>
      <w:r>
        <w:rPr/>
        <w:t>of</w:t>
      </w:r>
      <w:r>
        <w:rPr>
          <w:spacing w:val="-5"/>
        </w:rPr>
        <w:t> </w:t>
      </w:r>
      <w:r>
        <w:rPr/>
        <w:t>the</w:t>
      </w:r>
      <w:r>
        <w:rPr>
          <w:spacing w:val="-5"/>
        </w:rPr>
        <w:t> </w:t>
      </w:r>
      <w:r>
        <w:rPr/>
        <w:t>roles</w:t>
      </w:r>
      <w:r>
        <w:rPr>
          <w:spacing w:val="-5"/>
        </w:rPr>
        <w:t> </w:t>
      </w:r>
      <w:r>
        <w:rPr/>
        <w:t>and</w:t>
      </w:r>
      <w:r>
        <w:rPr>
          <w:spacing w:val="-5"/>
        </w:rPr>
        <w:t> </w:t>
      </w:r>
      <w:r>
        <w:rPr/>
        <w:t>responsibilities</w:t>
      </w:r>
      <w:r>
        <w:rPr>
          <w:spacing w:val="-5"/>
        </w:rPr>
        <w:t> </w:t>
      </w:r>
      <w:r>
        <w:rPr/>
        <w:t>of</w:t>
      </w:r>
      <w:r>
        <w:rPr>
          <w:spacing w:val="-5"/>
        </w:rPr>
        <w:t> </w:t>
      </w:r>
      <w:r>
        <w:rPr/>
        <w:t>different</w:t>
      </w:r>
      <w:r>
        <w:rPr>
          <w:spacing w:val="-5"/>
        </w:rPr>
        <w:t> </w:t>
      </w:r>
      <w:r>
        <w:rPr/>
        <w:t>players</w:t>
      </w:r>
      <w:r>
        <w:rPr>
          <w:spacing w:val="-5"/>
        </w:rPr>
        <w:t> </w:t>
      </w:r>
      <w:r>
        <w:rPr/>
        <w:t>on the pitch (</w:t>
      </w:r>
      <w:hyperlink w:history="true" w:anchor="_bookmark237">
        <w:r>
          <w:rPr>
            <w:color w:val="FF0000"/>
          </w:rPr>
          <w:t>Dalton-Barron et al.</w:t>
        </w:r>
      </w:hyperlink>
      <w:r>
        <w:rPr/>
        <w:t>,</w:t>
      </w:r>
      <w:hyperlink w:history="true" w:anchor="_bookmark237">
        <w:r>
          <w:rPr>
            <w:color w:val="FF0000"/>
          </w:rPr>
          <w:t>2022</w:t>
        </w:r>
      </w:hyperlink>
      <w:r>
        <w:rPr/>
        <w:t>).</w:t>
      </w:r>
      <w:r>
        <w:rPr>
          <w:spacing w:val="40"/>
        </w:rPr>
        <w:t> </w:t>
      </w:r>
      <w:r>
        <w:rPr/>
        <w:t>In brief, there are three main elements to rugby league:</w:t>
      </w:r>
      <w:r>
        <w:rPr>
          <w:spacing w:val="33"/>
        </w:rPr>
        <w:t> </w:t>
      </w:r>
      <w:r>
        <w:rPr>
          <w:i/>
        </w:rPr>
        <w:t>gaining metres</w:t>
      </w:r>
      <w:r>
        <w:rPr/>
        <w:t>, </w:t>
      </w:r>
      <w:r>
        <w:rPr>
          <w:i/>
        </w:rPr>
        <w:t>scoring tries </w:t>
      </w:r>
      <w:r>
        <w:rPr/>
        <w:t>and </w:t>
      </w:r>
      <w:r>
        <w:rPr>
          <w:i/>
        </w:rPr>
        <w:t>linking play together</w:t>
      </w:r>
      <w:r>
        <w:rPr/>
        <w:t>.</w:t>
      </w:r>
      <w:r>
        <w:rPr>
          <w:spacing w:val="40"/>
        </w:rPr>
        <w:t> </w:t>
      </w:r>
      <w:r>
        <w:rPr/>
        <w:t>Props and second </w:t>
      </w:r>
      <w:r>
        <w:rPr/>
        <w:t>rows typically</w:t>
      </w:r>
      <w:r>
        <w:rPr>
          <w:spacing w:val="-14"/>
        </w:rPr>
        <w:t> </w:t>
      </w:r>
      <w:r>
        <w:rPr/>
        <w:t>attempt</w:t>
      </w:r>
      <w:r>
        <w:rPr>
          <w:spacing w:val="-14"/>
        </w:rPr>
        <w:t> </w:t>
      </w:r>
      <w:r>
        <w:rPr/>
        <w:t>to</w:t>
      </w:r>
      <w:r>
        <w:rPr>
          <w:spacing w:val="-14"/>
        </w:rPr>
        <w:t> </w:t>
      </w:r>
      <w:r>
        <w:rPr/>
        <w:t>gain</w:t>
      </w:r>
      <w:r>
        <w:rPr>
          <w:spacing w:val="-14"/>
        </w:rPr>
        <w:t> </w:t>
      </w:r>
      <w:r>
        <w:rPr/>
        <w:t>metres</w:t>
      </w:r>
      <w:r>
        <w:rPr>
          <w:spacing w:val="-14"/>
        </w:rPr>
        <w:t> </w:t>
      </w:r>
      <w:r>
        <w:rPr/>
        <w:t>in</w:t>
      </w:r>
      <w:r>
        <w:rPr>
          <w:spacing w:val="-14"/>
        </w:rPr>
        <w:t> </w:t>
      </w:r>
      <w:r>
        <w:rPr/>
        <w:t>their</w:t>
      </w:r>
      <w:r>
        <w:rPr>
          <w:spacing w:val="-14"/>
        </w:rPr>
        <w:t> </w:t>
      </w:r>
      <w:r>
        <w:rPr/>
        <w:t>own</w:t>
      </w:r>
      <w:r>
        <w:rPr>
          <w:spacing w:val="-14"/>
        </w:rPr>
        <w:t> </w:t>
      </w:r>
      <w:r>
        <w:rPr/>
        <w:t>half</w:t>
      </w:r>
      <w:r>
        <w:rPr>
          <w:spacing w:val="-14"/>
        </w:rPr>
        <w:t> </w:t>
      </w:r>
      <w:r>
        <w:rPr/>
        <w:t>of</w:t>
      </w:r>
      <w:r>
        <w:rPr>
          <w:spacing w:val="-14"/>
        </w:rPr>
        <w:t> </w:t>
      </w:r>
      <w:r>
        <w:rPr/>
        <w:t>the</w:t>
      </w:r>
      <w:r>
        <w:rPr>
          <w:spacing w:val="-14"/>
        </w:rPr>
        <w:t> </w:t>
      </w:r>
      <w:r>
        <w:rPr/>
        <w:t>pitch</w:t>
      </w:r>
      <w:r>
        <w:rPr>
          <w:spacing w:val="-14"/>
        </w:rPr>
        <w:t> </w:t>
      </w:r>
      <w:r>
        <w:rPr/>
        <w:t>to</w:t>
      </w:r>
      <w:r>
        <w:rPr>
          <w:spacing w:val="-14"/>
        </w:rPr>
        <w:t> </w:t>
      </w:r>
      <w:r>
        <w:rPr/>
        <w:t>set</w:t>
      </w:r>
      <w:r>
        <w:rPr>
          <w:spacing w:val="-14"/>
        </w:rPr>
        <w:t> </w:t>
      </w:r>
      <w:r>
        <w:rPr/>
        <w:t>up</w:t>
      </w:r>
      <w:r>
        <w:rPr>
          <w:spacing w:val="-14"/>
        </w:rPr>
        <w:t> </w:t>
      </w:r>
      <w:r>
        <w:rPr/>
        <w:t>promising</w:t>
      </w:r>
      <w:r>
        <w:rPr>
          <w:spacing w:val="-14"/>
        </w:rPr>
        <w:t> </w:t>
      </w:r>
      <w:r>
        <w:rPr/>
        <w:t>attacking positions</w:t>
      </w:r>
      <w:r>
        <w:rPr>
          <w:spacing w:val="-12"/>
        </w:rPr>
        <w:t> </w:t>
      </w:r>
      <w:r>
        <w:rPr/>
        <w:t>for</w:t>
      </w:r>
      <w:r>
        <w:rPr>
          <w:spacing w:val="-12"/>
        </w:rPr>
        <w:t> </w:t>
      </w:r>
      <w:r>
        <w:rPr/>
        <w:t>the</w:t>
      </w:r>
      <w:r>
        <w:rPr>
          <w:spacing w:val="-12"/>
        </w:rPr>
        <w:t> </w:t>
      </w:r>
      <w:r>
        <w:rPr/>
        <w:t>team;</w:t>
      </w:r>
      <w:r>
        <w:rPr>
          <w:spacing w:val="-9"/>
        </w:rPr>
        <w:t> </w:t>
      </w:r>
      <w:r>
        <w:rPr/>
        <w:t>centres,</w:t>
      </w:r>
      <w:r>
        <w:rPr>
          <w:spacing w:val="-10"/>
        </w:rPr>
        <w:t> </w:t>
      </w:r>
      <w:r>
        <w:rPr/>
        <w:t>wingers</w:t>
      </w:r>
      <w:r>
        <w:rPr>
          <w:spacing w:val="-12"/>
        </w:rPr>
        <w:t> </w:t>
      </w:r>
      <w:r>
        <w:rPr/>
        <w:t>and</w:t>
      </w:r>
      <w:r>
        <w:rPr>
          <w:spacing w:val="-12"/>
        </w:rPr>
        <w:t> </w:t>
      </w:r>
      <w:r>
        <w:rPr/>
        <w:t>full</w:t>
      </w:r>
      <w:r>
        <w:rPr>
          <w:spacing w:val="-12"/>
        </w:rPr>
        <w:t> </w:t>
      </w:r>
      <w:r>
        <w:rPr/>
        <w:t>backs</w:t>
      </w:r>
      <w:r>
        <w:rPr>
          <w:spacing w:val="-12"/>
        </w:rPr>
        <w:t> </w:t>
      </w:r>
      <w:r>
        <w:rPr/>
        <w:t>attempt</w:t>
      </w:r>
      <w:r>
        <w:rPr>
          <w:spacing w:val="-12"/>
        </w:rPr>
        <w:t> </w:t>
      </w:r>
      <w:r>
        <w:rPr/>
        <w:t>to</w:t>
      </w:r>
      <w:r>
        <w:rPr>
          <w:spacing w:val="-12"/>
        </w:rPr>
        <w:t> </w:t>
      </w:r>
      <w:r>
        <w:rPr/>
        <w:t>score</w:t>
      </w:r>
      <w:r>
        <w:rPr>
          <w:spacing w:val="-12"/>
        </w:rPr>
        <w:t> </w:t>
      </w:r>
      <w:r>
        <w:rPr/>
        <w:t>points</w:t>
      </w:r>
      <w:r>
        <w:rPr>
          <w:spacing w:val="-12"/>
        </w:rPr>
        <w:t> </w:t>
      </w:r>
      <w:r>
        <w:rPr/>
        <w:t>by</w:t>
      </w:r>
      <w:r>
        <w:rPr>
          <w:spacing w:val="-12"/>
        </w:rPr>
        <w:t> </w:t>
      </w:r>
      <w:r>
        <w:rPr/>
        <w:t>perform- ing</w:t>
      </w:r>
      <w:r>
        <w:rPr>
          <w:spacing w:val="-6"/>
        </w:rPr>
        <w:t> </w:t>
      </w:r>
      <w:r>
        <w:rPr/>
        <w:t>the</w:t>
      </w:r>
      <w:r>
        <w:rPr>
          <w:spacing w:val="-6"/>
        </w:rPr>
        <w:t> </w:t>
      </w:r>
      <w:r>
        <w:rPr/>
        <w:t>last</w:t>
      </w:r>
      <w:r>
        <w:rPr>
          <w:spacing w:val="-6"/>
        </w:rPr>
        <w:t> </w:t>
      </w:r>
      <w:r>
        <w:rPr/>
        <w:t>actions</w:t>
      </w:r>
      <w:r>
        <w:rPr>
          <w:spacing w:val="-6"/>
        </w:rPr>
        <w:t> </w:t>
      </w:r>
      <w:r>
        <w:rPr/>
        <w:t>of</w:t>
      </w:r>
      <w:r>
        <w:rPr>
          <w:spacing w:val="-6"/>
        </w:rPr>
        <w:t> </w:t>
      </w:r>
      <w:r>
        <w:rPr/>
        <w:t>the</w:t>
      </w:r>
      <w:r>
        <w:rPr>
          <w:spacing w:val="-6"/>
        </w:rPr>
        <w:t> </w:t>
      </w:r>
      <w:r>
        <w:rPr/>
        <w:t>team’s</w:t>
      </w:r>
      <w:r>
        <w:rPr>
          <w:spacing w:val="-6"/>
        </w:rPr>
        <w:t> </w:t>
      </w:r>
      <w:r>
        <w:rPr/>
        <w:t>attacking</w:t>
      </w:r>
      <w:r>
        <w:rPr>
          <w:spacing w:val="-6"/>
        </w:rPr>
        <w:t> </w:t>
      </w:r>
      <w:r>
        <w:rPr/>
        <w:t>plays</w:t>
      </w:r>
      <w:r>
        <w:rPr>
          <w:spacing w:val="-6"/>
        </w:rPr>
        <w:t> </w:t>
      </w:r>
      <w:r>
        <w:rPr/>
        <w:t>and</w:t>
      </w:r>
      <w:r>
        <w:rPr>
          <w:spacing w:val="-6"/>
        </w:rPr>
        <w:t> </w:t>
      </w:r>
      <w:r>
        <w:rPr/>
        <w:t>usually</w:t>
      </w:r>
      <w:r>
        <w:rPr>
          <w:spacing w:val="-6"/>
        </w:rPr>
        <w:t> </w:t>
      </w:r>
      <w:r>
        <w:rPr/>
        <w:t>perform</w:t>
      </w:r>
      <w:r>
        <w:rPr>
          <w:spacing w:val="-6"/>
        </w:rPr>
        <w:t> </w:t>
      </w:r>
      <w:r>
        <w:rPr/>
        <w:t>the</w:t>
      </w:r>
      <w:r>
        <w:rPr>
          <w:spacing w:val="-6"/>
        </w:rPr>
        <w:t> </w:t>
      </w:r>
      <w:r>
        <w:rPr/>
        <w:t>first</w:t>
      </w:r>
      <w:r>
        <w:rPr>
          <w:spacing w:val="-6"/>
        </w:rPr>
        <w:t> </w:t>
      </w:r>
      <w:r>
        <w:rPr/>
        <w:t>action</w:t>
      </w:r>
      <w:r>
        <w:rPr>
          <w:spacing w:val="-6"/>
        </w:rPr>
        <w:t> </w:t>
      </w:r>
      <w:r>
        <w:rPr/>
        <w:t>after an</w:t>
      </w:r>
      <w:r>
        <w:rPr>
          <w:spacing w:val="-8"/>
        </w:rPr>
        <w:t> </w:t>
      </w:r>
      <w:r>
        <w:rPr/>
        <w:t>opposition</w:t>
      </w:r>
      <w:r>
        <w:rPr>
          <w:spacing w:val="-8"/>
        </w:rPr>
        <w:t> </w:t>
      </w:r>
      <w:r>
        <w:rPr/>
        <w:t>team</w:t>
      </w:r>
      <w:r>
        <w:rPr>
          <w:spacing w:val="-8"/>
        </w:rPr>
        <w:t> </w:t>
      </w:r>
      <w:r>
        <w:rPr/>
        <w:t>has</w:t>
      </w:r>
      <w:r>
        <w:rPr>
          <w:spacing w:val="-9"/>
        </w:rPr>
        <w:t> </w:t>
      </w:r>
      <w:r>
        <w:rPr/>
        <w:t>kicked</w:t>
      </w:r>
      <w:r>
        <w:rPr>
          <w:spacing w:val="-8"/>
        </w:rPr>
        <w:t> </w:t>
      </w:r>
      <w:r>
        <w:rPr/>
        <w:t>the</w:t>
      </w:r>
      <w:r>
        <w:rPr>
          <w:spacing w:val="-9"/>
        </w:rPr>
        <w:t> </w:t>
      </w:r>
      <w:r>
        <w:rPr/>
        <w:t>ball</w:t>
      </w:r>
      <w:r>
        <w:rPr>
          <w:spacing w:val="-8"/>
        </w:rPr>
        <w:t> </w:t>
      </w:r>
      <w:r>
        <w:rPr/>
        <w:t>to</w:t>
      </w:r>
      <w:r>
        <w:rPr>
          <w:spacing w:val="-9"/>
        </w:rPr>
        <w:t> </w:t>
      </w:r>
      <w:r>
        <w:rPr/>
        <w:t>counter</w:t>
      </w:r>
      <w:r>
        <w:rPr>
          <w:spacing w:val="-8"/>
        </w:rPr>
        <w:t> </w:t>
      </w:r>
      <w:r>
        <w:rPr/>
        <w:t>attack;</w:t>
      </w:r>
      <w:r>
        <w:rPr>
          <w:spacing w:val="-7"/>
        </w:rPr>
        <w:t> </w:t>
      </w:r>
      <w:r>
        <w:rPr/>
        <w:t>and</w:t>
      </w:r>
      <w:r>
        <w:rPr>
          <w:spacing w:val="-9"/>
        </w:rPr>
        <w:t> </w:t>
      </w:r>
      <w:r>
        <w:rPr/>
        <w:t>the</w:t>
      </w:r>
      <w:r>
        <w:rPr>
          <w:spacing w:val="-8"/>
        </w:rPr>
        <w:t> </w:t>
      </w:r>
      <w:r>
        <w:rPr/>
        <w:t>half</w:t>
      </w:r>
      <w:r>
        <w:rPr>
          <w:spacing w:val="-9"/>
        </w:rPr>
        <w:t> </w:t>
      </w:r>
      <w:r>
        <w:rPr/>
        <w:t>pair</w:t>
      </w:r>
      <w:r>
        <w:rPr>
          <w:spacing w:val="-8"/>
        </w:rPr>
        <w:t> </w:t>
      </w:r>
      <w:r>
        <w:rPr/>
        <w:t>and</w:t>
      </w:r>
      <w:r>
        <w:rPr>
          <w:spacing w:val="-9"/>
        </w:rPr>
        <w:t> </w:t>
      </w:r>
      <w:r>
        <w:rPr/>
        <w:t>hooker</w:t>
      </w:r>
      <w:r>
        <w:rPr>
          <w:spacing w:val="-8"/>
        </w:rPr>
        <w:t> </w:t>
      </w:r>
      <w:r>
        <w:rPr/>
        <w:t>link play together by playing the first actions at the beginning of most plays.</w:t>
      </w:r>
      <w:r>
        <w:rPr>
          <w:spacing w:val="40"/>
        </w:rPr>
        <w:t> </w:t>
      </w:r>
      <w:r>
        <w:rPr/>
        <w:t>With different roles and responsibilities, the players are evaluated at an individual level by coaches in different</w:t>
      </w:r>
      <w:r>
        <w:rPr>
          <w:spacing w:val="-2"/>
        </w:rPr>
        <w:t> </w:t>
      </w:r>
      <w:r>
        <w:rPr/>
        <w:t>ways.</w:t>
      </w:r>
      <w:r>
        <w:rPr>
          <w:spacing w:val="19"/>
        </w:rPr>
        <w:t> </w:t>
      </w:r>
      <w:r>
        <w:rPr/>
        <w:t>For</w:t>
      </w:r>
      <w:r>
        <w:rPr>
          <w:spacing w:val="-1"/>
        </w:rPr>
        <w:t> </w:t>
      </w:r>
      <w:r>
        <w:rPr/>
        <w:t>example,</w:t>
      </w:r>
      <w:r>
        <w:rPr>
          <w:spacing w:val="-1"/>
        </w:rPr>
        <w:t> </w:t>
      </w:r>
      <w:r>
        <w:rPr/>
        <w:t>the</w:t>
      </w:r>
      <w:r>
        <w:rPr>
          <w:spacing w:val="-1"/>
        </w:rPr>
        <w:t> </w:t>
      </w:r>
      <w:r>
        <w:rPr/>
        <w:t>main</w:t>
      </w:r>
      <w:r>
        <w:rPr>
          <w:spacing w:val="-2"/>
        </w:rPr>
        <w:t> </w:t>
      </w:r>
      <w:r>
        <w:rPr/>
        <w:t>role</w:t>
      </w:r>
      <w:r>
        <w:rPr>
          <w:spacing w:val="-2"/>
        </w:rPr>
        <w:t> </w:t>
      </w:r>
      <w:r>
        <w:rPr/>
        <w:t>of</w:t>
      </w:r>
      <w:r>
        <w:rPr>
          <w:spacing w:val="-1"/>
        </w:rPr>
        <w:t> </w:t>
      </w:r>
      <w:r>
        <w:rPr/>
        <w:t>the</w:t>
      </w:r>
      <w:r>
        <w:rPr>
          <w:spacing w:val="-2"/>
        </w:rPr>
        <w:t> </w:t>
      </w:r>
      <w:r>
        <w:rPr/>
        <w:t>hooker</w:t>
      </w:r>
      <w:r>
        <w:rPr>
          <w:spacing w:val="-2"/>
        </w:rPr>
        <w:t> </w:t>
      </w:r>
      <w:r>
        <w:rPr/>
        <w:t>is</w:t>
      </w:r>
      <w:r>
        <w:rPr>
          <w:spacing w:val="-1"/>
        </w:rPr>
        <w:t> </w:t>
      </w:r>
      <w:r>
        <w:rPr/>
        <w:t>to</w:t>
      </w:r>
      <w:r>
        <w:rPr>
          <w:spacing w:val="-2"/>
        </w:rPr>
        <w:t> </w:t>
      </w:r>
      <w:r>
        <w:rPr/>
        <w:t>link</w:t>
      </w:r>
      <w:r>
        <w:rPr>
          <w:spacing w:val="-1"/>
        </w:rPr>
        <w:t> </w:t>
      </w:r>
      <w:r>
        <w:rPr/>
        <w:t>play</w:t>
      </w:r>
      <w:r>
        <w:rPr>
          <w:spacing w:val="-2"/>
        </w:rPr>
        <w:t> </w:t>
      </w:r>
      <w:r>
        <w:rPr/>
        <w:t>together, as</w:t>
      </w:r>
      <w:r>
        <w:rPr>
          <w:spacing w:val="-2"/>
        </w:rPr>
        <w:t> </w:t>
      </w:r>
      <w:r>
        <w:rPr/>
        <w:t>such it wouldn’t be useful to rate these players based on the number of tackles they make or the number of tries they score.</w:t>
      </w:r>
      <w:r>
        <w:rPr>
          <w:spacing w:val="25"/>
        </w:rPr>
        <w:t> </w:t>
      </w:r>
      <w:r>
        <w:rPr/>
        <w:t>The ability to evaluate players is pivotal though as rugby league operates under a salary cap, which limits the amount of money teams can spend on</w:t>
      </w:r>
      <w:r>
        <w:rPr>
          <w:spacing w:val="-9"/>
        </w:rPr>
        <w:t> </w:t>
      </w:r>
      <w:r>
        <w:rPr/>
        <w:t>player</w:t>
      </w:r>
      <w:r>
        <w:rPr>
          <w:spacing w:val="-9"/>
        </w:rPr>
        <w:t> </w:t>
      </w:r>
      <w:r>
        <w:rPr/>
        <w:t>salaries. Therefore,</w:t>
      </w:r>
      <w:r>
        <w:rPr>
          <w:spacing w:val="-9"/>
        </w:rPr>
        <w:t> </w:t>
      </w:r>
      <w:r>
        <w:rPr/>
        <w:t>in</w:t>
      </w:r>
      <w:r>
        <w:rPr>
          <w:spacing w:val="-9"/>
        </w:rPr>
        <w:t> </w:t>
      </w:r>
      <w:r>
        <w:rPr/>
        <w:t>order</w:t>
      </w:r>
      <w:r>
        <w:rPr>
          <w:spacing w:val="-9"/>
        </w:rPr>
        <w:t> </w:t>
      </w:r>
      <w:r>
        <w:rPr/>
        <w:t>to</w:t>
      </w:r>
      <w:r>
        <w:rPr>
          <w:spacing w:val="-9"/>
        </w:rPr>
        <w:t> </w:t>
      </w:r>
      <w:r>
        <w:rPr/>
        <w:t>remain</w:t>
      </w:r>
      <w:r>
        <w:rPr>
          <w:spacing w:val="-9"/>
        </w:rPr>
        <w:t> </w:t>
      </w:r>
      <w:r>
        <w:rPr/>
        <w:t>competitive,</w:t>
      </w:r>
      <w:r>
        <w:rPr>
          <w:spacing w:val="-9"/>
        </w:rPr>
        <w:t> </w:t>
      </w:r>
      <w:r>
        <w:rPr/>
        <w:t>teams</w:t>
      </w:r>
      <w:r>
        <w:rPr>
          <w:spacing w:val="-9"/>
        </w:rPr>
        <w:t> </w:t>
      </w:r>
      <w:r>
        <w:rPr/>
        <w:t>must</w:t>
      </w:r>
      <w:r>
        <w:rPr>
          <w:spacing w:val="-9"/>
        </w:rPr>
        <w:t> </w:t>
      </w:r>
      <w:r>
        <w:rPr/>
        <w:t>always</w:t>
      </w:r>
      <w:r>
        <w:rPr>
          <w:spacing w:val="-9"/>
        </w:rPr>
        <w:t> </w:t>
      </w:r>
      <w:r>
        <w:rPr/>
        <w:t>seek</w:t>
      </w:r>
      <w:r>
        <w:rPr>
          <w:spacing w:val="-9"/>
        </w:rPr>
        <w:t> </w:t>
      </w:r>
      <w:r>
        <w:rPr/>
        <w:t>out either</w:t>
      </w:r>
      <w:r>
        <w:rPr>
          <w:spacing w:val="-7"/>
        </w:rPr>
        <w:t> </w:t>
      </w:r>
      <w:r>
        <w:rPr/>
        <w:t>the</w:t>
      </w:r>
      <w:r>
        <w:rPr>
          <w:spacing w:val="-7"/>
        </w:rPr>
        <w:t> </w:t>
      </w:r>
      <w:r>
        <w:rPr/>
        <w:t>best</w:t>
      </w:r>
      <w:r>
        <w:rPr>
          <w:spacing w:val="-7"/>
        </w:rPr>
        <w:t> </w:t>
      </w:r>
      <w:r>
        <w:rPr/>
        <w:t>quality</w:t>
      </w:r>
      <w:r>
        <w:rPr>
          <w:spacing w:val="-7"/>
        </w:rPr>
        <w:t> </w:t>
      </w:r>
      <w:r>
        <w:rPr/>
        <w:t>players</w:t>
      </w:r>
      <w:r>
        <w:rPr>
          <w:spacing w:val="-7"/>
        </w:rPr>
        <w:t> </w:t>
      </w:r>
      <w:r>
        <w:rPr/>
        <w:t>in</w:t>
      </w:r>
      <w:r>
        <w:rPr>
          <w:spacing w:val="-7"/>
        </w:rPr>
        <w:t> </w:t>
      </w:r>
      <w:r>
        <w:rPr/>
        <w:t>their</w:t>
      </w:r>
      <w:r>
        <w:rPr>
          <w:spacing w:val="-7"/>
        </w:rPr>
        <w:t> </w:t>
      </w:r>
      <w:r>
        <w:rPr/>
        <w:t>position,</w:t>
      </w:r>
      <w:r>
        <w:rPr>
          <w:spacing w:val="-7"/>
        </w:rPr>
        <w:t> </w:t>
      </w:r>
      <w:r>
        <w:rPr/>
        <w:t>or</w:t>
      </w:r>
      <w:r>
        <w:rPr>
          <w:spacing w:val="-7"/>
        </w:rPr>
        <w:t> </w:t>
      </w:r>
      <w:r>
        <w:rPr/>
        <w:t>those</w:t>
      </w:r>
      <w:r>
        <w:rPr>
          <w:spacing w:val="-7"/>
        </w:rPr>
        <w:t> </w:t>
      </w:r>
      <w:r>
        <w:rPr/>
        <w:t>who</w:t>
      </w:r>
      <w:r>
        <w:rPr>
          <w:spacing w:val="-7"/>
        </w:rPr>
        <w:t> </w:t>
      </w:r>
      <w:r>
        <w:rPr/>
        <w:t>are</w:t>
      </w:r>
      <w:r>
        <w:rPr>
          <w:spacing w:val="-7"/>
        </w:rPr>
        <w:t> </w:t>
      </w:r>
      <w:r>
        <w:rPr/>
        <w:t>most</w:t>
      </w:r>
      <w:r>
        <w:rPr>
          <w:spacing w:val="-7"/>
        </w:rPr>
        <w:t> </w:t>
      </w:r>
      <w:r>
        <w:rPr/>
        <w:t>underrated</w:t>
      </w:r>
      <w:r>
        <w:rPr>
          <w:spacing w:val="-7"/>
        </w:rPr>
        <w:t> </w:t>
      </w:r>
      <w:r>
        <w:rPr/>
        <w:t>in</w:t>
      </w:r>
      <w:r>
        <w:rPr>
          <w:spacing w:val="-7"/>
        </w:rPr>
        <w:t> </w:t>
      </w:r>
      <w:r>
        <w:rPr/>
        <w:t>terms of their salary cost.</w:t>
      </w:r>
    </w:p>
    <w:p>
      <w:pPr>
        <w:pStyle w:val="BodyText"/>
        <w:spacing w:line="312" w:lineRule="auto"/>
        <w:ind w:left="610" w:right="389" w:firstLine="351"/>
      </w:pPr>
      <w:r>
        <w:rPr/>
        <w:t>To help coaches evaluate rugby league players, some basic </w:t>
      </w:r>
      <w:r>
        <w:rPr>
          <w:i/>
        </w:rPr>
        <w:t>performance indicators</w:t>
      </w:r>
      <w:r>
        <w:rPr>
          <w:i/>
        </w:rPr>
        <w:t> </w:t>
      </w:r>
      <w:r>
        <w:rPr/>
        <w:t>are provided by data providers (</w:t>
      </w:r>
      <w:hyperlink w:history="true" w:anchor="_bookmark277">
        <w:r>
          <w:rPr>
            <w:color w:val="FF0000"/>
          </w:rPr>
          <w:t>Opta</w:t>
        </w:r>
      </w:hyperlink>
      <w:r>
        <w:rPr/>
        <w:t>,</w:t>
      </w:r>
      <w:hyperlink w:history="true" w:anchor="_bookmark277">
        <w:r>
          <w:rPr>
            <w:color w:val="FF0000"/>
          </w:rPr>
          <w:t>n.d.</w:t>
        </w:r>
      </w:hyperlink>
      <w:r>
        <w:rPr/>
        <w:t>).</w:t>
      </w:r>
      <w:r>
        <w:rPr>
          <w:spacing w:val="40"/>
        </w:rPr>
        <w:t> </w:t>
      </w:r>
      <w:r>
        <w:rPr/>
        <w:t>These include number of tries scored, pass statistics (number of try assists and offloads), run statistics (number of carries, </w:t>
      </w:r>
      <w:r>
        <w:rPr/>
        <w:t>metres, </w:t>
      </w:r>
      <w:r>
        <w:rPr>
          <w:spacing w:val="-2"/>
        </w:rPr>
        <w:t>tackle</w:t>
      </w:r>
      <w:r>
        <w:rPr>
          <w:spacing w:val="-6"/>
        </w:rPr>
        <w:t> </w:t>
      </w:r>
      <w:r>
        <w:rPr>
          <w:spacing w:val="-2"/>
        </w:rPr>
        <w:t>busts</w:t>
      </w:r>
      <w:r>
        <w:rPr>
          <w:spacing w:val="-6"/>
        </w:rPr>
        <w:t> </w:t>
      </w:r>
      <w:r>
        <w:rPr>
          <w:spacing w:val="-2"/>
        </w:rPr>
        <w:t>and</w:t>
      </w:r>
      <w:r>
        <w:rPr>
          <w:spacing w:val="-6"/>
        </w:rPr>
        <w:t> </w:t>
      </w:r>
      <w:r>
        <w:rPr>
          <w:spacing w:val="-2"/>
        </w:rPr>
        <w:t>clean</w:t>
      </w:r>
      <w:r>
        <w:rPr>
          <w:spacing w:val="-6"/>
        </w:rPr>
        <w:t> </w:t>
      </w:r>
      <w:r>
        <w:rPr>
          <w:spacing w:val="-2"/>
        </w:rPr>
        <w:t>breaks</w:t>
      </w:r>
      <w:r>
        <w:rPr>
          <w:spacing w:val="-6"/>
        </w:rPr>
        <w:t> </w:t>
      </w:r>
      <w:r>
        <w:rPr>
          <w:spacing w:val="-2"/>
        </w:rPr>
        <w:t>made,</w:t>
      </w:r>
      <w:r>
        <w:rPr>
          <w:spacing w:val="-4"/>
        </w:rPr>
        <w:t> </w:t>
      </w:r>
      <w:r>
        <w:rPr>
          <w:spacing w:val="-2"/>
        </w:rPr>
        <w:t>average</w:t>
      </w:r>
      <w:r>
        <w:rPr>
          <w:spacing w:val="-6"/>
        </w:rPr>
        <w:t> </w:t>
      </w:r>
      <w:r>
        <w:rPr>
          <w:spacing w:val="-2"/>
        </w:rPr>
        <w:t>metres</w:t>
      </w:r>
      <w:r>
        <w:rPr>
          <w:spacing w:val="-6"/>
        </w:rPr>
        <w:t> </w:t>
      </w:r>
      <w:r>
        <w:rPr>
          <w:spacing w:val="-2"/>
        </w:rPr>
        <w:t>gained</w:t>
      </w:r>
      <w:r>
        <w:rPr>
          <w:spacing w:val="-6"/>
        </w:rPr>
        <w:t> </w:t>
      </w:r>
      <w:r>
        <w:rPr>
          <w:spacing w:val="-2"/>
        </w:rPr>
        <w:t>per</w:t>
      </w:r>
      <w:r>
        <w:rPr>
          <w:spacing w:val="-6"/>
        </w:rPr>
        <w:t> </w:t>
      </w:r>
      <w:r>
        <w:rPr>
          <w:spacing w:val="-2"/>
        </w:rPr>
        <w:t>carry),</w:t>
      </w:r>
      <w:r>
        <w:rPr>
          <w:spacing w:val="-4"/>
        </w:rPr>
        <w:t> </w:t>
      </w:r>
      <w:r>
        <w:rPr>
          <w:spacing w:val="-2"/>
        </w:rPr>
        <w:t>kick</w:t>
      </w:r>
      <w:r>
        <w:rPr>
          <w:spacing w:val="-6"/>
        </w:rPr>
        <w:t> </w:t>
      </w:r>
      <w:r>
        <w:rPr>
          <w:spacing w:val="-2"/>
        </w:rPr>
        <w:t>statistics</w:t>
      </w:r>
      <w:r>
        <w:rPr>
          <w:spacing w:val="-6"/>
        </w:rPr>
        <w:t> </w:t>
      </w:r>
      <w:r>
        <w:rPr>
          <w:spacing w:val="-2"/>
        </w:rPr>
        <w:t>(num- </w:t>
      </w:r>
      <w:r>
        <w:rPr/>
        <w:t>ber of attacking kicks and forty-twenties made, drop goals and penalty/conversion goals scored,</w:t>
      </w:r>
      <w:r>
        <w:rPr>
          <w:spacing w:val="-9"/>
        </w:rPr>
        <w:t> </w:t>
      </w:r>
      <w:r>
        <w:rPr/>
        <w:t>missed</w:t>
      </w:r>
      <w:r>
        <w:rPr>
          <w:spacing w:val="-9"/>
        </w:rPr>
        <w:t> </w:t>
      </w:r>
      <w:r>
        <w:rPr/>
        <w:t>goals),</w:t>
      </w:r>
      <w:r>
        <w:rPr>
          <w:spacing w:val="-8"/>
        </w:rPr>
        <w:t> </w:t>
      </w:r>
      <w:r>
        <w:rPr/>
        <w:t>defensive</w:t>
      </w:r>
      <w:r>
        <w:rPr>
          <w:spacing w:val="-9"/>
        </w:rPr>
        <w:t> </w:t>
      </w:r>
      <w:r>
        <w:rPr/>
        <w:t>statistics</w:t>
      </w:r>
      <w:r>
        <w:rPr>
          <w:spacing w:val="-9"/>
        </w:rPr>
        <w:t> </w:t>
      </w:r>
      <w:r>
        <w:rPr/>
        <w:t>(number</w:t>
      </w:r>
      <w:r>
        <w:rPr>
          <w:spacing w:val="-9"/>
        </w:rPr>
        <w:t> </w:t>
      </w:r>
      <w:r>
        <w:rPr/>
        <w:t>of</w:t>
      </w:r>
      <w:r>
        <w:rPr>
          <w:spacing w:val="-9"/>
        </w:rPr>
        <w:t> </w:t>
      </w:r>
      <w:r>
        <w:rPr/>
        <w:t>tackles</w:t>
      </w:r>
      <w:r>
        <w:rPr>
          <w:spacing w:val="-9"/>
        </w:rPr>
        <w:t> </w:t>
      </w:r>
      <w:r>
        <w:rPr/>
        <w:t>made</w:t>
      </w:r>
      <w:r>
        <w:rPr>
          <w:spacing w:val="-9"/>
        </w:rPr>
        <w:t> </w:t>
      </w:r>
      <w:r>
        <w:rPr/>
        <w:t>or</w:t>
      </w:r>
      <w:r>
        <w:rPr>
          <w:spacing w:val="-9"/>
        </w:rPr>
        <w:t> </w:t>
      </w:r>
      <w:r>
        <w:rPr/>
        <w:t>missed)</w:t>
      </w:r>
      <w:r>
        <w:rPr>
          <w:spacing w:val="-9"/>
        </w:rPr>
        <w:t> </w:t>
      </w:r>
      <w:r>
        <w:rPr/>
        <w:t>and</w:t>
      </w:r>
      <w:r>
        <w:rPr>
          <w:spacing w:val="-9"/>
        </w:rPr>
        <w:t> </w:t>
      </w:r>
      <w:r>
        <w:rPr/>
        <w:t>error/- foul statistics (number of errors made, penalties conceded, red and yellow cards).</w:t>
      </w:r>
      <w:r>
        <w:rPr>
          <w:spacing w:val="40"/>
        </w:rPr>
        <w:t> </w:t>
      </w:r>
      <w:r>
        <w:rPr/>
        <w:t>Al-</w:t>
      </w:r>
      <w:r>
        <w:rPr>
          <w:spacing w:val="80"/>
        </w:rPr>
        <w:t> </w:t>
      </w:r>
      <w:r>
        <w:rPr/>
        <w:t>though</w:t>
      </w:r>
      <w:r>
        <w:rPr>
          <w:spacing w:val="-12"/>
        </w:rPr>
        <w:t> </w:t>
      </w:r>
      <w:r>
        <w:rPr/>
        <w:t>useful,</w:t>
      </w:r>
      <w:r>
        <w:rPr>
          <w:spacing w:val="-12"/>
        </w:rPr>
        <w:t> </w:t>
      </w:r>
      <w:r>
        <w:rPr/>
        <w:t>these</w:t>
      </w:r>
      <w:r>
        <w:rPr>
          <w:spacing w:val="-12"/>
        </w:rPr>
        <w:t> </w:t>
      </w:r>
      <w:r>
        <w:rPr/>
        <w:t>elements</w:t>
      </w:r>
      <w:r>
        <w:rPr>
          <w:spacing w:val="-12"/>
        </w:rPr>
        <w:t> </w:t>
      </w:r>
      <w:r>
        <w:rPr/>
        <w:t>are</w:t>
      </w:r>
      <w:r>
        <w:rPr>
          <w:spacing w:val="-12"/>
        </w:rPr>
        <w:t> </w:t>
      </w:r>
      <w:r>
        <w:rPr/>
        <w:t>usually</w:t>
      </w:r>
      <w:r>
        <w:rPr>
          <w:spacing w:val="-13"/>
        </w:rPr>
        <w:t> </w:t>
      </w:r>
      <w:r>
        <w:rPr/>
        <w:t>provided</w:t>
      </w:r>
      <w:r>
        <w:rPr>
          <w:spacing w:val="-12"/>
        </w:rPr>
        <w:t> </w:t>
      </w:r>
      <w:r>
        <w:rPr/>
        <w:t>as</w:t>
      </w:r>
      <w:r>
        <w:rPr>
          <w:spacing w:val="-13"/>
        </w:rPr>
        <w:t> </w:t>
      </w:r>
      <w:r>
        <w:rPr>
          <w:i/>
        </w:rPr>
        <w:t>accumulated</w:t>
      </w:r>
      <w:r>
        <w:rPr>
          <w:i/>
          <w:spacing w:val="-12"/>
        </w:rPr>
        <w:t> </w:t>
      </w:r>
      <w:r>
        <w:rPr>
          <w:i/>
        </w:rPr>
        <w:t>counts</w:t>
      </w:r>
      <w:r>
        <w:rPr>
          <w:i/>
          <w:spacing w:val="-13"/>
        </w:rPr>
        <w:t> </w:t>
      </w:r>
      <w:r>
        <w:rPr/>
        <w:t>across</w:t>
      </w:r>
      <w:r>
        <w:rPr>
          <w:spacing w:val="-12"/>
        </w:rPr>
        <w:t> </w:t>
      </w:r>
      <w:r>
        <w:rPr/>
        <w:t>fixtures, opponents</w:t>
      </w:r>
      <w:r>
        <w:rPr>
          <w:spacing w:val="-7"/>
        </w:rPr>
        <w:t> </w:t>
      </w:r>
      <w:r>
        <w:rPr/>
        <w:t>or</w:t>
      </w:r>
      <w:r>
        <w:rPr>
          <w:spacing w:val="-7"/>
        </w:rPr>
        <w:t> </w:t>
      </w:r>
      <w:r>
        <w:rPr/>
        <w:t>seasons,</w:t>
      </w:r>
      <w:r>
        <w:rPr>
          <w:spacing w:val="-7"/>
        </w:rPr>
        <w:t> </w:t>
      </w:r>
      <w:r>
        <w:rPr/>
        <w:t>which</w:t>
      </w:r>
      <w:r>
        <w:rPr>
          <w:spacing w:val="-7"/>
        </w:rPr>
        <w:t> </w:t>
      </w:r>
      <w:r>
        <w:rPr/>
        <w:t>provide</w:t>
      </w:r>
      <w:r>
        <w:rPr>
          <w:spacing w:val="-7"/>
        </w:rPr>
        <w:t> </w:t>
      </w:r>
      <w:r>
        <w:rPr/>
        <w:t>limited</w:t>
      </w:r>
      <w:r>
        <w:rPr>
          <w:spacing w:val="-7"/>
        </w:rPr>
        <w:t> </w:t>
      </w:r>
      <w:r>
        <w:rPr/>
        <w:t>context</w:t>
      </w:r>
      <w:r>
        <w:rPr>
          <w:spacing w:val="-7"/>
        </w:rPr>
        <w:t> </w:t>
      </w:r>
      <w:r>
        <w:rPr/>
        <w:t>surrounding</w:t>
      </w:r>
      <w:r>
        <w:rPr>
          <w:spacing w:val="-7"/>
        </w:rPr>
        <w:t> </w:t>
      </w:r>
      <w:r>
        <w:rPr/>
        <w:t>the</w:t>
      </w:r>
      <w:r>
        <w:rPr>
          <w:spacing w:val="-7"/>
        </w:rPr>
        <w:t> </w:t>
      </w:r>
      <w:r>
        <w:rPr/>
        <w:t>value</w:t>
      </w:r>
      <w:r>
        <w:rPr>
          <w:spacing w:val="-7"/>
        </w:rPr>
        <w:t> </w:t>
      </w:r>
      <w:r>
        <w:rPr/>
        <w:t>of</w:t>
      </w:r>
      <w:r>
        <w:rPr>
          <w:spacing w:val="-7"/>
        </w:rPr>
        <w:t> </w:t>
      </w:r>
      <w:r>
        <w:rPr/>
        <w:t>the</w:t>
      </w:r>
      <w:r>
        <w:rPr>
          <w:spacing w:val="-7"/>
        </w:rPr>
        <w:t> </w:t>
      </w:r>
      <w:r>
        <w:rPr/>
        <w:t>actions completed</w:t>
      </w:r>
      <w:r>
        <w:rPr>
          <w:spacing w:val="-1"/>
        </w:rPr>
        <w:t> </w:t>
      </w:r>
      <w:r>
        <w:rPr/>
        <w:t>with regards</w:t>
      </w:r>
      <w:r>
        <w:rPr>
          <w:spacing w:val="-1"/>
        </w:rPr>
        <w:t> </w:t>
      </w:r>
      <w:r>
        <w:rPr/>
        <w:t>to how</w:t>
      </w:r>
      <w:r>
        <w:rPr>
          <w:spacing w:val="-1"/>
        </w:rPr>
        <w:t> </w:t>
      </w:r>
      <w:r>
        <w:rPr/>
        <w:t>they</w:t>
      </w:r>
      <w:r>
        <w:rPr>
          <w:spacing w:val="-1"/>
        </w:rPr>
        <w:t> </w:t>
      </w:r>
      <w:r>
        <w:rPr/>
        <w:t>benefit the</w:t>
      </w:r>
      <w:r>
        <w:rPr>
          <w:spacing w:val="-1"/>
        </w:rPr>
        <w:t> </w:t>
      </w:r>
      <w:r>
        <w:rPr/>
        <w:t>team.</w:t>
      </w:r>
      <w:r>
        <w:rPr>
          <w:spacing w:val="26"/>
        </w:rPr>
        <w:t> </w:t>
      </w:r>
      <w:r>
        <w:rPr/>
        <w:t>For example, gaining</w:t>
      </w:r>
      <w:r>
        <w:rPr>
          <w:spacing w:val="-1"/>
        </w:rPr>
        <w:t> </w:t>
      </w:r>
      <w:r>
        <w:rPr/>
        <w:t>10 metres is much</w:t>
      </w:r>
      <w:r>
        <w:rPr>
          <w:spacing w:val="7"/>
        </w:rPr>
        <w:t> </w:t>
      </w:r>
      <w:r>
        <w:rPr/>
        <w:t>more</w:t>
      </w:r>
      <w:r>
        <w:rPr>
          <w:spacing w:val="8"/>
        </w:rPr>
        <w:t> </w:t>
      </w:r>
      <w:r>
        <w:rPr/>
        <w:t>valuable</w:t>
      </w:r>
      <w:r>
        <w:rPr>
          <w:spacing w:val="7"/>
        </w:rPr>
        <w:t> </w:t>
      </w:r>
      <w:r>
        <w:rPr/>
        <w:t>if</w:t>
      </w:r>
      <w:r>
        <w:rPr>
          <w:spacing w:val="8"/>
        </w:rPr>
        <w:t> </w:t>
      </w:r>
      <w:r>
        <w:rPr/>
        <w:t>you</w:t>
      </w:r>
      <w:r>
        <w:rPr>
          <w:spacing w:val="7"/>
        </w:rPr>
        <w:t> </w:t>
      </w:r>
      <w:r>
        <w:rPr/>
        <w:t>are</w:t>
      </w:r>
      <w:r>
        <w:rPr>
          <w:spacing w:val="8"/>
        </w:rPr>
        <w:t> </w:t>
      </w:r>
      <w:r>
        <w:rPr/>
        <w:t>9m</w:t>
      </w:r>
      <w:r>
        <w:rPr>
          <w:spacing w:val="7"/>
        </w:rPr>
        <w:t> </w:t>
      </w:r>
      <w:r>
        <w:rPr/>
        <w:t>away</w:t>
      </w:r>
      <w:r>
        <w:rPr>
          <w:spacing w:val="8"/>
        </w:rPr>
        <w:t> </w:t>
      </w:r>
      <w:r>
        <w:rPr/>
        <w:t>from</w:t>
      </w:r>
      <w:r>
        <w:rPr>
          <w:spacing w:val="8"/>
        </w:rPr>
        <w:t> </w:t>
      </w:r>
      <w:r>
        <w:rPr/>
        <w:t>the</w:t>
      </w:r>
      <w:r>
        <w:rPr>
          <w:spacing w:val="7"/>
        </w:rPr>
        <w:t> </w:t>
      </w:r>
      <w:r>
        <w:rPr/>
        <w:t>opposition</w:t>
      </w:r>
      <w:r>
        <w:rPr>
          <w:spacing w:val="8"/>
        </w:rPr>
        <w:t> </w:t>
      </w:r>
      <w:r>
        <w:rPr/>
        <w:t>try</w:t>
      </w:r>
      <w:r>
        <w:rPr>
          <w:spacing w:val="7"/>
        </w:rPr>
        <w:t> </w:t>
      </w:r>
      <w:r>
        <w:rPr/>
        <w:t>line</w:t>
      </w:r>
      <w:r>
        <w:rPr>
          <w:spacing w:val="8"/>
        </w:rPr>
        <w:t> </w:t>
      </w:r>
      <w:r>
        <w:rPr/>
        <w:t>as</w:t>
      </w:r>
      <w:r>
        <w:rPr>
          <w:spacing w:val="7"/>
        </w:rPr>
        <w:t> </w:t>
      </w:r>
      <w:r>
        <w:rPr/>
        <w:t>it</w:t>
      </w:r>
      <w:r>
        <w:rPr>
          <w:spacing w:val="8"/>
        </w:rPr>
        <w:t> </w:t>
      </w:r>
      <w:r>
        <w:rPr/>
        <w:t>provides</w:t>
      </w:r>
      <w:r>
        <w:rPr>
          <w:spacing w:val="7"/>
        </w:rPr>
        <w:t> </w:t>
      </w:r>
      <w:r>
        <w:rPr>
          <w:spacing w:val="-5"/>
        </w:rPr>
        <w:t>you</w:t>
      </w:r>
    </w:p>
    <w:p>
      <w:pPr>
        <w:spacing w:after="0" w:line="312" w:lineRule="auto"/>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2"/>
        <w:rPr>
          <w:sz w:val="23"/>
        </w:rPr>
      </w:pPr>
    </w:p>
    <w:p>
      <w:pPr>
        <w:pStyle w:val="BodyText"/>
        <w:spacing w:line="252" w:lineRule="auto"/>
        <w:ind w:left="610" w:right="389"/>
      </w:pPr>
      <w:bookmarkStart w:name="_bookmark38" w:id="67"/>
      <w:bookmarkEnd w:id="67"/>
      <w:r>
        <w:rPr/>
      </w:r>
      <w:r>
        <w:rPr>
          <w:b/>
        </w:rPr>
        <w:t>Table 2.3:</w:t>
      </w:r>
      <w:r>
        <w:rPr>
          <w:b/>
          <w:spacing w:val="40"/>
        </w:rPr>
        <w:t> </w:t>
      </w:r>
      <w:r>
        <w:rPr/>
        <w:t>Rugby league player positions and their general responsibilities.</w:t>
      </w:r>
      <w:r>
        <w:rPr>
          <w:spacing w:val="80"/>
        </w:rPr>
        <w:t> </w:t>
      </w:r>
      <w:r>
        <w:rPr/>
        <w:t>Brackets</w:t>
      </w:r>
      <w:r>
        <w:rPr>
          <w:spacing w:val="40"/>
        </w:rPr>
        <w:t> </w:t>
      </w:r>
      <w:r>
        <w:rPr/>
        <w:t>represent number of players in that position on the pitch.</w:t>
      </w:r>
    </w:p>
    <w:p>
      <w:pPr>
        <w:pStyle w:val="BodyText"/>
        <w:rPr>
          <w:sz w:val="20"/>
        </w:rPr>
      </w:pPr>
    </w:p>
    <w:p>
      <w:pPr>
        <w:pStyle w:val="BodyText"/>
        <w:spacing w:before="10"/>
        <w:rPr>
          <w:sz w:val="19"/>
        </w:rPr>
      </w:pPr>
      <w:r>
        <w:rPr/>
        <w:pict>
          <v:shape style="position:absolute;margin-left:123.821999pt;margin-top:12.624072pt;width:406.6pt;height:.1pt;mso-position-horizontal-relative:page;mso-position-vertical-relative:paragraph;z-index:-15723520;mso-wrap-distance-left:0;mso-wrap-distance-right:0" id="docshape37" coordorigin="2476,252" coordsize="8132,0" path="m2476,252l10608,252e" filled="false" stroked="true" strokeweight=".398pt" strokecolor="#000000">
            <v:path arrowok="t"/>
            <v:stroke dashstyle="solid"/>
            <w10:wrap type="topAndBottom"/>
          </v:shape>
        </w:pict>
      </w:r>
    </w:p>
    <w:p>
      <w:pPr>
        <w:pStyle w:val="BodyText"/>
        <w:tabs>
          <w:tab w:pos="2005" w:val="left" w:leader="none"/>
        </w:tabs>
        <w:spacing w:line="255" w:lineRule="exact"/>
        <w:ind w:left="916"/>
      </w:pPr>
      <w:r>
        <w:rPr>
          <w:spacing w:val="-2"/>
        </w:rPr>
        <w:t>Position</w:t>
      </w:r>
      <w:r>
        <w:rPr/>
        <w:tab/>
      </w:r>
      <w:r>
        <w:rPr>
          <w:spacing w:val="-2"/>
        </w:rPr>
        <w:t>Responsibility</w:t>
      </w:r>
    </w:p>
    <w:p>
      <w:pPr>
        <w:spacing w:after="0" w:line="255" w:lineRule="exact"/>
        <w:sectPr>
          <w:pgSz w:w="11910" w:h="16840"/>
          <w:pgMar w:header="1961" w:footer="1428" w:top="2280" w:bottom="1620" w:left="1680" w:right="720"/>
        </w:sectPr>
      </w:pPr>
    </w:p>
    <w:p>
      <w:pPr>
        <w:pStyle w:val="BodyText"/>
        <w:spacing w:line="252" w:lineRule="auto" w:before="21"/>
        <w:ind w:left="580"/>
        <w:jc w:val="right"/>
      </w:pPr>
      <w:r>
        <w:rPr/>
        <w:pict>
          <v:line style="position:absolute;mso-position-horizontal-relative:page;mso-position-vertical-relative:paragraph;z-index:15734784" from="123.821999pt,1.942107pt" to="530.412999pt,1.942107pt" stroked="true" strokeweight=".398pt" strokecolor="#000000">
            <v:stroke dashstyle="solid"/>
            <w10:wrap type="none"/>
          </v:line>
        </w:pict>
      </w:r>
      <w:r>
        <w:rPr>
          <w:spacing w:val="-4"/>
        </w:rPr>
        <w:t>Full back</w:t>
      </w:r>
    </w:p>
    <w:p>
      <w:pPr>
        <w:pStyle w:val="BodyText"/>
        <w:spacing w:line="252" w:lineRule="auto" w:before="19"/>
        <w:ind w:left="598" w:right="694"/>
        <w:jc w:val="both"/>
      </w:pPr>
      <w:r>
        <w:rPr/>
        <w:br w:type="column"/>
      </w:r>
      <w:r>
        <w:rPr/>
        <w:t>The last line of defence, these players stand behind the other </w:t>
      </w:r>
      <w:r>
        <w:rPr/>
        <w:t>defend- ers and must chase down and tackle any attacking player who breaks through</w:t>
      </w:r>
      <w:r>
        <w:rPr>
          <w:spacing w:val="-5"/>
        </w:rPr>
        <w:t> </w:t>
      </w:r>
      <w:r>
        <w:rPr/>
        <w:t>the</w:t>
      </w:r>
      <w:r>
        <w:rPr>
          <w:spacing w:val="-5"/>
        </w:rPr>
        <w:t> </w:t>
      </w:r>
      <w:r>
        <w:rPr/>
        <w:t>first</w:t>
      </w:r>
      <w:r>
        <w:rPr>
          <w:spacing w:val="-5"/>
        </w:rPr>
        <w:t> </w:t>
      </w:r>
      <w:r>
        <w:rPr/>
        <w:t>line</w:t>
      </w:r>
      <w:r>
        <w:rPr>
          <w:spacing w:val="-5"/>
        </w:rPr>
        <w:t> </w:t>
      </w:r>
      <w:r>
        <w:rPr/>
        <w:t>of</w:t>
      </w:r>
      <w:r>
        <w:rPr>
          <w:spacing w:val="-5"/>
        </w:rPr>
        <w:t> </w:t>
      </w:r>
      <w:r>
        <w:rPr/>
        <w:t>defence. In</w:t>
      </w:r>
      <w:r>
        <w:rPr>
          <w:spacing w:val="-5"/>
        </w:rPr>
        <w:t> </w:t>
      </w:r>
      <w:r>
        <w:rPr/>
        <w:t>attack,</w:t>
      </w:r>
      <w:r>
        <w:rPr>
          <w:spacing w:val="-5"/>
        </w:rPr>
        <w:t> </w:t>
      </w:r>
      <w:r>
        <w:rPr/>
        <w:t>they</w:t>
      </w:r>
      <w:r>
        <w:rPr>
          <w:spacing w:val="-5"/>
        </w:rPr>
        <w:t> </w:t>
      </w:r>
      <w:r>
        <w:rPr/>
        <w:t>provide</w:t>
      </w:r>
      <w:r>
        <w:rPr>
          <w:spacing w:val="-5"/>
        </w:rPr>
        <w:t> </w:t>
      </w:r>
      <w:r>
        <w:rPr/>
        <w:t>support</w:t>
      </w:r>
      <w:r>
        <w:rPr>
          <w:spacing w:val="-5"/>
        </w:rPr>
        <w:t> </w:t>
      </w:r>
      <w:r>
        <w:rPr/>
        <w:t>runs</w:t>
      </w:r>
      <w:r>
        <w:rPr>
          <w:spacing w:val="-5"/>
        </w:rPr>
        <w:t> </w:t>
      </w:r>
      <w:r>
        <w:rPr/>
        <w:t>in an</w:t>
      </w:r>
      <w:r>
        <w:rPr>
          <w:spacing w:val="-5"/>
        </w:rPr>
        <w:t> </w:t>
      </w:r>
      <w:r>
        <w:rPr/>
        <w:t>attempt</w:t>
      </w:r>
      <w:r>
        <w:rPr>
          <w:spacing w:val="-5"/>
        </w:rPr>
        <w:t> </w:t>
      </w:r>
      <w:r>
        <w:rPr/>
        <w:t>to</w:t>
      </w:r>
      <w:r>
        <w:rPr>
          <w:spacing w:val="-5"/>
        </w:rPr>
        <w:t> </w:t>
      </w:r>
      <w:r>
        <w:rPr/>
        <w:t>create</w:t>
      </w:r>
      <w:r>
        <w:rPr>
          <w:spacing w:val="-5"/>
        </w:rPr>
        <w:t> </w:t>
      </w:r>
      <w:r>
        <w:rPr/>
        <w:t>’overloads’,</w:t>
      </w:r>
      <w:r>
        <w:rPr>
          <w:spacing w:val="-4"/>
        </w:rPr>
        <w:t> </w:t>
      </w:r>
      <w:r>
        <w:rPr/>
        <w:t>which</w:t>
      </w:r>
      <w:r>
        <w:rPr>
          <w:spacing w:val="-5"/>
        </w:rPr>
        <w:t> </w:t>
      </w:r>
      <w:r>
        <w:rPr/>
        <w:t>provide</w:t>
      </w:r>
      <w:r>
        <w:rPr>
          <w:spacing w:val="-5"/>
        </w:rPr>
        <w:t> </w:t>
      </w:r>
      <w:r>
        <w:rPr/>
        <w:t>better</w:t>
      </w:r>
      <w:r>
        <w:rPr>
          <w:spacing w:val="-5"/>
        </w:rPr>
        <w:t> </w:t>
      </w:r>
      <w:r>
        <w:rPr/>
        <w:t>opportunities</w:t>
      </w:r>
      <w:r>
        <w:rPr>
          <w:spacing w:val="-5"/>
        </w:rPr>
        <w:t> </w:t>
      </w:r>
      <w:r>
        <w:rPr/>
        <w:t>for tries to be scored.</w:t>
      </w:r>
    </w:p>
    <w:p>
      <w:pPr>
        <w:spacing w:after="0" w:line="252" w:lineRule="auto"/>
        <w:jc w:val="both"/>
        <w:sectPr>
          <w:type w:val="continuous"/>
          <w:pgSz w:w="11910" w:h="16840"/>
          <w:pgMar w:header="1961" w:footer="1428" w:top="1920" w:bottom="280" w:left="1680" w:right="720"/>
          <w:cols w:num="2" w:equalWidth="0">
            <w:col w:w="1368" w:space="40"/>
            <w:col w:w="8102"/>
          </w:cols>
        </w:sectPr>
      </w:pPr>
    </w:p>
    <w:p>
      <w:pPr>
        <w:pStyle w:val="BodyText"/>
        <w:spacing w:line="252" w:lineRule="auto"/>
        <w:ind w:left="2005" w:right="694" w:hanging="1090"/>
        <w:jc w:val="both"/>
      </w:pPr>
      <w:r>
        <w:rPr/>
        <w:t>Wingers</w:t>
      </w:r>
      <w:r>
        <w:rPr>
          <w:spacing w:val="80"/>
          <w:w w:val="150"/>
        </w:rPr>
        <w:t> </w:t>
      </w:r>
      <w:r>
        <w:rPr/>
        <w:t>Typically the widest players on the team.</w:t>
      </w:r>
      <w:r>
        <w:rPr>
          <w:spacing w:val="40"/>
        </w:rPr>
        <w:t> </w:t>
      </w:r>
      <w:r>
        <w:rPr/>
        <w:t>In defence, they must </w:t>
      </w:r>
      <w:r>
        <w:rPr/>
        <w:t>catch and</w:t>
      </w:r>
      <w:r>
        <w:rPr>
          <w:spacing w:val="-11"/>
        </w:rPr>
        <w:t> </w:t>
      </w:r>
      <w:r>
        <w:rPr/>
        <w:t>return</w:t>
      </w:r>
      <w:r>
        <w:rPr>
          <w:spacing w:val="-11"/>
        </w:rPr>
        <w:t> </w:t>
      </w:r>
      <w:r>
        <w:rPr/>
        <w:t>high</w:t>
      </w:r>
      <w:r>
        <w:rPr>
          <w:spacing w:val="-11"/>
        </w:rPr>
        <w:t> </w:t>
      </w:r>
      <w:r>
        <w:rPr/>
        <w:t>balls</w:t>
      </w:r>
      <w:r>
        <w:rPr>
          <w:spacing w:val="-11"/>
        </w:rPr>
        <w:t> </w:t>
      </w:r>
      <w:r>
        <w:rPr/>
        <w:t>kicked</w:t>
      </w:r>
      <w:r>
        <w:rPr>
          <w:spacing w:val="-11"/>
        </w:rPr>
        <w:t> </w:t>
      </w:r>
      <w:r>
        <w:rPr/>
        <w:t>into</w:t>
      </w:r>
      <w:r>
        <w:rPr>
          <w:spacing w:val="-11"/>
        </w:rPr>
        <w:t> </w:t>
      </w:r>
      <w:r>
        <w:rPr/>
        <w:t>their</w:t>
      </w:r>
      <w:r>
        <w:rPr>
          <w:spacing w:val="-11"/>
        </w:rPr>
        <w:t> </w:t>
      </w:r>
      <w:r>
        <w:rPr/>
        <w:t>try</w:t>
      </w:r>
      <w:r>
        <w:rPr>
          <w:spacing w:val="-11"/>
        </w:rPr>
        <w:t> </w:t>
      </w:r>
      <w:r>
        <w:rPr/>
        <w:t>area</w:t>
      </w:r>
      <w:r>
        <w:rPr>
          <w:spacing w:val="-11"/>
        </w:rPr>
        <w:t> </w:t>
      </w:r>
      <w:r>
        <w:rPr/>
        <w:t>and</w:t>
      </w:r>
      <w:r>
        <w:rPr>
          <w:spacing w:val="-11"/>
        </w:rPr>
        <w:t> </w:t>
      </w:r>
      <w:r>
        <w:rPr/>
        <w:t>defend</w:t>
      </w:r>
      <w:r>
        <w:rPr>
          <w:spacing w:val="-11"/>
        </w:rPr>
        <w:t> </w:t>
      </w:r>
      <w:r>
        <w:rPr/>
        <w:t>their</w:t>
      </w:r>
      <w:r>
        <w:rPr>
          <w:spacing w:val="-11"/>
        </w:rPr>
        <w:t> </w:t>
      </w:r>
      <w:r>
        <w:rPr/>
        <w:t>opposite winger in open play.</w:t>
      </w:r>
      <w:r>
        <w:rPr>
          <w:spacing w:val="40"/>
        </w:rPr>
        <w:t> </w:t>
      </w:r>
      <w:r>
        <w:rPr/>
        <w:t>They are expected to finish attacking moves by exploiting space generated for them and scoring tries in attack.</w:t>
      </w:r>
    </w:p>
    <w:p>
      <w:pPr>
        <w:pStyle w:val="BodyText"/>
        <w:spacing w:line="252" w:lineRule="auto"/>
        <w:ind w:left="2005" w:right="694" w:hanging="1090"/>
        <w:jc w:val="both"/>
      </w:pPr>
      <w:r>
        <w:rPr/>
        <w:t>Centres</w:t>
      </w:r>
      <w:r>
        <w:rPr>
          <w:spacing w:val="80"/>
        </w:rPr>
        <w:t>  </w:t>
      </w:r>
      <w:r>
        <w:rPr/>
        <w:t>This</w:t>
      </w:r>
      <w:r>
        <w:rPr>
          <w:spacing w:val="19"/>
        </w:rPr>
        <w:t> </w:t>
      </w:r>
      <w:r>
        <w:rPr/>
        <w:t>position</w:t>
      </w:r>
      <w:r>
        <w:rPr>
          <w:spacing w:val="19"/>
        </w:rPr>
        <w:t> </w:t>
      </w:r>
      <w:r>
        <w:rPr/>
        <w:t>is</w:t>
      </w:r>
      <w:r>
        <w:rPr>
          <w:spacing w:val="19"/>
        </w:rPr>
        <w:t> </w:t>
      </w:r>
      <w:r>
        <w:rPr/>
        <w:t>just</w:t>
      </w:r>
      <w:r>
        <w:rPr>
          <w:spacing w:val="19"/>
        </w:rPr>
        <w:t> </w:t>
      </w:r>
      <w:r>
        <w:rPr/>
        <w:t>inside</w:t>
      </w:r>
      <w:r>
        <w:rPr>
          <w:spacing w:val="19"/>
        </w:rPr>
        <w:t> </w:t>
      </w:r>
      <w:r>
        <w:rPr/>
        <w:t>the</w:t>
      </w:r>
      <w:r>
        <w:rPr>
          <w:spacing w:val="19"/>
        </w:rPr>
        <w:t> </w:t>
      </w:r>
      <w:r>
        <w:rPr/>
        <w:t>wingers</w:t>
      </w:r>
      <w:r>
        <w:rPr>
          <w:spacing w:val="19"/>
        </w:rPr>
        <w:t> </w:t>
      </w:r>
      <w:r>
        <w:rPr/>
        <w:t>and</w:t>
      </w:r>
      <w:r>
        <w:rPr>
          <w:spacing w:val="19"/>
        </w:rPr>
        <w:t> </w:t>
      </w:r>
      <w:r>
        <w:rPr/>
        <w:t>holds</w:t>
      </w:r>
      <w:r>
        <w:rPr>
          <w:spacing w:val="19"/>
        </w:rPr>
        <w:t> </w:t>
      </w:r>
      <w:r>
        <w:rPr/>
        <w:t>a</w:t>
      </w:r>
      <w:r>
        <w:rPr>
          <w:spacing w:val="19"/>
        </w:rPr>
        <w:t> </w:t>
      </w:r>
      <w:r>
        <w:rPr/>
        <w:t>very</w:t>
      </w:r>
      <w:r>
        <w:rPr>
          <w:spacing w:val="19"/>
        </w:rPr>
        <w:t> </w:t>
      </w:r>
      <w:r>
        <w:rPr/>
        <w:t>similar</w:t>
      </w:r>
      <w:r>
        <w:rPr>
          <w:spacing w:val="19"/>
        </w:rPr>
        <w:t> </w:t>
      </w:r>
      <w:r>
        <w:rPr/>
        <w:t>role. In</w:t>
      </w:r>
      <w:r>
        <w:rPr>
          <w:spacing w:val="-2"/>
        </w:rPr>
        <w:t> </w:t>
      </w:r>
      <w:r>
        <w:rPr/>
        <w:t>defence,</w:t>
      </w:r>
      <w:r>
        <w:rPr>
          <w:spacing w:val="-1"/>
        </w:rPr>
        <w:t> </w:t>
      </w:r>
      <w:r>
        <w:rPr/>
        <w:t>they</w:t>
      </w:r>
      <w:r>
        <w:rPr>
          <w:spacing w:val="-2"/>
        </w:rPr>
        <w:t> </w:t>
      </w:r>
      <w:r>
        <w:rPr/>
        <w:t>defend</w:t>
      </w:r>
      <w:r>
        <w:rPr>
          <w:spacing w:val="-2"/>
        </w:rPr>
        <w:t> </w:t>
      </w:r>
      <w:r>
        <w:rPr/>
        <w:t>their</w:t>
      </w:r>
      <w:r>
        <w:rPr>
          <w:spacing w:val="-2"/>
        </w:rPr>
        <w:t> </w:t>
      </w:r>
      <w:r>
        <w:rPr/>
        <w:t>opposite</w:t>
      </w:r>
      <w:r>
        <w:rPr>
          <w:spacing w:val="-2"/>
        </w:rPr>
        <w:t> </w:t>
      </w:r>
      <w:r>
        <w:rPr/>
        <w:t>centres</w:t>
      </w:r>
      <w:r>
        <w:rPr>
          <w:spacing w:val="-2"/>
        </w:rPr>
        <w:t> </w:t>
      </w:r>
      <w:r>
        <w:rPr/>
        <w:t>and</w:t>
      </w:r>
      <w:r>
        <w:rPr>
          <w:spacing w:val="-2"/>
        </w:rPr>
        <w:t> </w:t>
      </w:r>
      <w:r>
        <w:rPr/>
        <w:t>in</w:t>
      </w:r>
      <w:r>
        <w:rPr>
          <w:spacing w:val="-2"/>
        </w:rPr>
        <w:t> </w:t>
      </w:r>
      <w:r>
        <w:rPr/>
        <w:t>attack</w:t>
      </w:r>
      <w:r>
        <w:rPr>
          <w:spacing w:val="-2"/>
        </w:rPr>
        <w:t> </w:t>
      </w:r>
      <w:r>
        <w:rPr/>
        <w:t>they</w:t>
      </w:r>
      <w:r>
        <w:rPr>
          <w:spacing w:val="-2"/>
        </w:rPr>
        <w:t> </w:t>
      </w:r>
      <w:r>
        <w:rPr/>
        <w:t>pose</w:t>
      </w:r>
      <w:r>
        <w:rPr>
          <w:spacing w:val="-2"/>
        </w:rPr>
        <w:t> </w:t>
      </w:r>
      <w:r>
        <w:rPr/>
        <w:t>a threat in wide areas, but typically would provide an assist for a winger to score a try, rather than scoring themselves.</w:t>
      </w:r>
      <w:r>
        <w:rPr>
          <w:spacing w:val="40"/>
        </w:rPr>
        <w:t> </w:t>
      </w:r>
      <w:r>
        <w:rPr/>
        <w:t>They are less likely to catch a high ball in defence than wingers or full backs.</w:t>
      </w:r>
    </w:p>
    <w:p>
      <w:pPr>
        <w:pStyle w:val="BodyText"/>
        <w:spacing w:line="252" w:lineRule="auto"/>
        <w:ind w:left="2005" w:right="694" w:hanging="1090"/>
        <w:jc w:val="both"/>
      </w:pPr>
      <w:r>
        <w:rPr/>
        <w:t>Half</w:t>
      </w:r>
      <w:r>
        <w:rPr>
          <w:spacing w:val="-12"/>
        </w:rPr>
        <w:t> </w:t>
      </w:r>
      <w:r>
        <w:rPr/>
        <w:t>pair</w:t>
      </w:r>
      <w:r>
        <w:rPr>
          <w:spacing w:val="80"/>
          <w:w w:val="150"/>
        </w:rPr>
        <w:t> </w:t>
      </w:r>
      <w:r>
        <w:rPr/>
        <w:t>The scrum-half and the stand-off, first and second-receivers of the </w:t>
      </w:r>
      <w:r>
        <w:rPr/>
        <w:t>ball at the start of a play.</w:t>
      </w:r>
      <w:r>
        <w:rPr>
          <w:spacing w:val="40"/>
        </w:rPr>
        <w:t> </w:t>
      </w:r>
      <w:r>
        <w:rPr/>
        <w:t>They are the playmakers of the team and are expected</w:t>
      </w:r>
      <w:r>
        <w:rPr>
          <w:spacing w:val="-4"/>
        </w:rPr>
        <w:t> </w:t>
      </w:r>
      <w:r>
        <w:rPr/>
        <w:t>to</w:t>
      </w:r>
      <w:r>
        <w:rPr>
          <w:spacing w:val="-4"/>
        </w:rPr>
        <w:t> </w:t>
      </w:r>
      <w:r>
        <w:rPr/>
        <w:t>direct</w:t>
      </w:r>
      <w:r>
        <w:rPr>
          <w:spacing w:val="-4"/>
        </w:rPr>
        <w:t> </w:t>
      </w:r>
      <w:r>
        <w:rPr/>
        <w:t>their</w:t>
      </w:r>
      <w:r>
        <w:rPr>
          <w:spacing w:val="-4"/>
        </w:rPr>
        <w:t> </w:t>
      </w:r>
      <w:r>
        <w:rPr/>
        <w:t>team-mates</w:t>
      </w:r>
      <w:r>
        <w:rPr>
          <w:spacing w:val="-4"/>
        </w:rPr>
        <w:t> </w:t>
      </w:r>
      <w:r>
        <w:rPr/>
        <w:t>as</w:t>
      </w:r>
      <w:r>
        <w:rPr>
          <w:spacing w:val="-4"/>
        </w:rPr>
        <w:t> </w:t>
      </w:r>
      <w:r>
        <w:rPr/>
        <w:t>to</w:t>
      </w:r>
      <w:r>
        <w:rPr>
          <w:spacing w:val="-4"/>
        </w:rPr>
        <w:t> </w:t>
      </w:r>
      <w:r>
        <w:rPr/>
        <w:t>the</w:t>
      </w:r>
      <w:r>
        <w:rPr>
          <w:spacing w:val="-4"/>
        </w:rPr>
        <w:t> </w:t>
      </w:r>
      <w:r>
        <w:rPr/>
        <w:t>tactics</w:t>
      </w:r>
      <w:r>
        <w:rPr>
          <w:spacing w:val="-4"/>
        </w:rPr>
        <w:t> </w:t>
      </w:r>
      <w:r>
        <w:rPr/>
        <w:t>that</w:t>
      </w:r>
      <w:r>
        <w:rPr>
          <w:spacing w:val="-4"/>
        </w:rPr>
        <w:t> </w:t>
      </w:r>
      <w:r>
        <w:rPr/>
        <w:t>are</w:t>
      </w:r>
      <w:r>
        <w:rPr>
          <w:spacing w:val="-4"/>
        </w:rPr>
        <w:t> </w:t>
      </w:r>
      <w:r>
        <w:rPr/>
        <w:t>going</w:t>
      </w:r>
      <w:r>
        <w:rPr>
          <w:spacing w:val="-4"/>
        </w:rPr>
        <w:t> </w:t>
      </w:r>
      <w:r>
        <w:rPr/>
        <w:t>to</w:t>
      </w:r>
      <w:r>
        <w:rPr>
          <w:spacing w:val="-4"/>
        </w:rPr>
        <w:t> </w:t>
      </w:r>
      <w:r>
        <w:rPr/>
        <w:t>be used when the team is attacking.</w:t>
      </w:r>
    </w:p>
    <w:p>
      <w:pPr>
        <w:pStyle w:val="BodyText"/>
        <w:spacing w:line="252" w:lineRule="auto"/>
        <w:ind w:left="2005" w:right="694" w:hanging="1090"/>
        <w:jc w:val="both"/>
      </w:pPr>
      <w:r>
        <w:rPr/>
        <w:t>Hooker</w:t>
      </w:r>
      <w:r>
        <w:rPr>
          <w:spacing w:val="80"/>
        </w:rPr>
        <w:t>  </w:t>
      </w:r>
      <w:r>
        <w:rPr/>
        <w:t>Typically</w:t>
      </w:r>
      <w:r>
        <w:rPr>
          <w:spacing w:val="-8"/>
        </w:rPr>
        <w:t> </w:t>
      </w:r>
      <w:r>
        <w:rPr/>
        <w:t>the</w:t>
      </w:r>
      <w:r>
        <w:rPr>
          <w:spacing w:val="-8"/>
        </w:rPr>
        <w:t> </w:t>
      </w:r>
      <w:r>
        <w:rPr/>
        <w:t>player</w:t>
      </w:r>
      <w:r>
        <w:rPr>
          <w:spacing w:val="-8"/>
        </w:rPr>
        <w:t> </w:t>
      </w:r>
      <w:r>
        <w:rPr/>
        <w:t>who</w:t>
      </w:r>
      <w:r>
        <w:rPr>
          <w:spacing w:val="-8"/>
        </w:rPr>
        <w:t> </w:t>
      </w:r>
      <w:r>
        <w:rPr/>
        <w:t>gets</w:t>
      </w:r>
      <w:r>
        <w:rPr>
          <w:spacing w:val="-8"/>
        </w:rPr>
        <w:t> </w:t>
      </w:r>
      <w:r>
        <w:rPr/>
        <w:t>the</w:t>
      </w:r>
      <w:r>
        <w:rPr>
          <w:spacing w:val="-8"/>
        </w:rPr>
        <w:t> </w:t>
      </w:r>
      <w:r>
        <w:rPr/>
        <w:t>ball</w:t>
      </w:r>
      <w:r>
        <w:rPr>
          <w:spacing w:val="-8"/>
        </w:rPr>
        <w:t> </w:t>
      </w:r>
      <w:r>
        <w:rPr/>
        <w:t>from</w:t>
      </w:r>
      <w:r>
        <w:rPr>
          <w:spacing w:val="-8"/>
        </w:rPr>
        <w:t> </w:t>
      </w:r>
      <w:r>
        <w:rPr/>
        <w:t>a</w:t>
      </w:r>
      <w:r>
        <w:rPr>
          <w:spacing w:val="-8"/>
        </w:rPr>
        <w:t> </w:t>
      </w:r>
      <w:r>
        <w:rPr/>
        <w:t>play-the-ball</w:t>
      </w:r>
      <w:r>
        <w:rPr>
          <w:spacing w:val="-8"/>
        </w:rPr>
        <w:t> </w:t>
      </w:r>
      <w:r>
        <w:rPr/>
        <w:t>and</w:t>
      </w:r>
      <w:r>
        <w:rPr>
          <w:spacing w:val="-8"/>
        </w:rPr>
        <w:t> </w:t>
      </w:r>
      <w:r>
        <w:rPr/>
        <w:t>passes</w:t>
      </w:r>
      <w:r>
        <w:rPr>
          <w:spacing w:val="-8"/>
        </w:rPr>
        <w:t> </w:t>
      </w:r>
      <w:r>
        <w:rPr/>
        <w:t>it to</w:t>
      </w:r>
      <w:r>
        <w:rPr>
          <w:spacing w:val="-11"/>
        </w:rPr>
        <w:t> </w:t>
      </w:r>
      <w:r>
        <w:rPr/>
        <w:t>the</w:t>
      </w:r>
      <w:r>
        <w:rPr>
          <w:spacing w:val="-11"/>
        </w:rPr>
        <w:t> </w:t>
      </w:r>
      <w:r>
        <w:rPr/>
        <w:t>half-pair. They</w:t>
      </w:r>
      <w:r>
        <w:rPr>
          <w:spacing w:val="-11"/>
        </w:rPr>
        <w:t> </w:t>
      </w:r>
      <w:r>
        <w:rPr/>
        <w:t>are</w:t>
      </w:r>
      <w:r>
        <w:rPr>
          <w:spacing w:val="-11"/>
        </w:rPr>
        <w:t> </w:t>
      </w:r>
      <w:r>
        <w:rPr/>
        <w:t>similarly</w:t>
      </w:r>
      <w:r>
        <w:rPr>
          <w:spacing w:val="-11"/>
        </w:rPr>
        <w:t> </w:t>
      </w:r>
      <w:r>
        <w:rPr/>
        <w:t>creative</w:t>
      </w:r>
      <w:r>
        <w:rPr>
          <w:spacing w:val="-11"/>
        </w:rPr>
        <w:t> </w:t>
      </w:r>
      <w:r>
        <w:rPr/>
        <w:t>to</w:t>
      </w:r>
      <w:r>
        <w:rPr>
          <w:spacing w:val="-11"/>
        </w:rPr>
        <w:t> </w:t>
      </w:r>
      <w:r>
        <w:rPr/>
        <w:t>the</w:t>
      </w:r>
      <w:r>
        <w:rPr>
          <w:spacing w:val="-11"/>
        </w:rPr>
        <w:t> </w:t>
      </w:r>
      <w:r>
        <w:rPr/>
        <w:t>half-pair</w:t>
      </w:r>
      <w:r>
        <w:rPr>
          <w:spacing w:val="-11"/>
        </w:rPr>
        <w:t> </w:t>
      </w:r>
      <w:r>
        <w:rPr/>
        <w:t>and</w:t>
      </w:r>
      <w:r>
        <w:rPr>
          <w:spacing w:val="-11"/>
        </w:rPr>
        <w:t> </w:t>
      </w:r>
      <w:r>
        <w:rPr/>
        <w:t>have</w:t>
      </w:r>
      <w:r>
        <w:rPr>
          <w:spacing w:val="-11"/>
        </w:rPr>
        <w:t> </w:t>
      </w:r>
      <w:r>
        <w:rPr/>
        <w:t>the opportunity to</w:t>
      </w:r>
      <w:r>
        <w:rPr>
          <w:spacing w:val="-1"/>
        </w:rPr>
        <w:t> </w:t>
      </w:r>
      <w:r>
        <w:rPr/>
        <w:t>run with</w:t>
      </w:r>
      <w:r>
        <w:rPr>
          <w:spacing w:val="-1"/>
        </w:rPr>
        <w:t> </w:t>
      </w:r>
      <w:r>
        <w:rPr/>
        <w:t>the ball</w:t>
      </w:r>
      <w:r>
        <w:rPr>
          <w:spacing w:val="-1"/>
        </w:rPr>
        <w:t> </w:t>
      </w:r>
      <w:r>
        <w:rPr/>
        <w:t>when they receive it if</w:t>
      </w:r>
      <w:r>
        <w:rPr>
          <w:spacing w:val="-1"/>
        </w:rPr>
        <w:t> </w:t>
      </w:r>
      <w:r>
        <w:rPr/>
        <w:t>they think</w:t>
      </w:r>
      <w:r>
        <w:rPr>
          <w:spacing w:val="-1"/>
        </w:rPr>
        <w:t> </w:t>
      </w:r>
      <w:r>
        <w:rPr/>
        <w:t>it’s a better attacking option than passing.</w:t>
      </w:r>
    </w:p>
    <w:p>
      <w:pPr>
        <w:pStyle w:val="BodyText"/>
        <w:spacing w:line="252" w:lineRule="auto"/>
        <w:ind w:left="2005" w:right="694" w:hanging="1090"/>
        <w:jc w:val="both"/>
      </w:pPr>
      <w:r>
        <w:rPr/>
        <w:t>Props</w:t>
      </w:r>
      <w:r>
        <w:rPr>
          <w:spacing w:val="80"/>
        </w:rPr>
        <w:t>   </w:t>
      </w:r>
      <w:r>
        <w:rPr/>
        <w:t>Typically</w:t>
      </w:r>
      <w:r>
        <w:rPr>
          <w:spacing w:val="29"/>
        </w:rPr>
        <w:t> </w:t>
      </w:r>
      <w:r>
        <w:rPr/>
        <w:t>the</w:t>
      </w:r>
      <w:r>
        <w:rPr>
          <w:spacing w:val="29"/>
        </w:rPr>
        <w:t> </w:t>
      </w:r>
      <w:r>
        <w:rPr/>
        <w:t>biggest</w:t>
      </w:r>
      <w:r>
        <w:rPr>
          <w:spacing w:val="29"/>
        </w:rPr>
        <w:t> </w:t>
      </w:r>
      <w:r>
        <w:rPr/>
        <w:t>and</w:t>
      </w:r>
      <w:r>
        <w:rPr>
          <w:spacing w:val="29"/>
        </w:rPr>
        <w:t> </w:t>
      </w:r>
      <w:r>
        <w:rPr/>
        <w:t>heaviest</w:t>
      </w:r>
      <w:r>
        <w:rPr>
          <w:spacing w:val="29"/>
        </w:rPr>
        <w:t> </w:t>
      </w:r>
      <w:r>
        <w:rPr/>
        <w:t>players</w:t>
      </w:r>
      <w:r>
        <w:rPr>
          <w:spacing w:val="29"/>
        </w:rPr>
        <w:t> </w:t>
      </w:r>
      <w:r>
        <w:rPr/>
        <w:t>on</w:t>
      </w:r>
      <w:r>
        <w:rPr>
          <w:spacing w:val="29"/>
        </w:rPr>
        <w:t> </w:t>
      </w:r>
      <w:r>
        <w:rPr/>
        <w:t>the</w:t>
      </w:r>
      <w:r>
        <w:rPr>
          <w:spacing w:val="29"/>
        </w:rPr>
        <w:t> </w:t>
      </w:r>
      <w:r>
        <w:rPr/>
        <w:t>team,</w:t>
      </w:r>
      <w:r>
        <w:rPr>
          <w:spacing w:val="37"/>
        </w:rPr>
        <w:t> </w:t>
      </w:r>
      <w:r>
        <w:rPr/>
        <w:t>they</w:t>
      </w:r>
      <w:r>
        <w:rPr>
          <w:spacing w:val="29"/>
        </w:rPr>
        <w:t> </w:t>
      </w:r>
      <w:r>
        <w:rPr/>
        <w:t>tend</w:t>
      </w:r>
      <w:r>
        <w:rPr>
          <w:spacing w:val="29"/>
        </w:rPr>
        <w:t> </w:t>
      </w:r>
      <w:r>
        <w:rPr/>
        <w:t>to be used as ”battering rams” who run directly at the opposition to </w:t>
      </w:r>
      <w:r>
        <w:rPr/>
        <w:t>gain metres. This</w:t>
      </w:r>
      <w:r>
        <w:rPr>
          <w:spacing w:val="-12"/>
        </w:rPr>
        <w:t> </w:t>
      </w:r>
      <w:r>
        <w:rPr/>
        <w:t>tactic</w:t>
      </w:r>
      <w:r>
        <w:rPr>
          <w:spacing w:val="-11"/>
        </w:rPr>
        <w:t> </w:t>
      </w:r>
      <w:r>
        <w:rPr/>
        <w:t>is</w:t>
      </w:r>
      <w:r>
        <w:rPr>
          <w:spacing w:val="-11"/>
        </w:rPr>
        <w:t> </w:t>
      </w:r>
      <w:r>
        <w:rPr/>
        <w:t>used</w:t>
      </w:r>
      <w:r>
        <w:rPr>
          <w:spacing w:val="-12"/>
        </w:rPr>
        <w:t> </w:t>
      </w:r>
      <w:r>
        <w:rPr/>
        <w:t>particularly</w:t>
      </w:r>
      <w:r>
        <w:rPr>
          <w:spacing w:val="-11"/>
        </w:rPr>
        <w:t> </w:t>
      </w:r>
      <w:r>
        <w:rPr/>
        <w:t>when</w:t>
      </w:r>
      <w:r>
        <w:rPr>
          <w:spacing w:val="-12"/>
        </w:rPr>
        <w:t> </w:t>
      </w:r>
      <w:r>
        <w:rPr/>
        <w:t>the</w:t>
      </w:r>
      <w:r>
        <w:rPr>
          <w:spacing w:val="-11"/>
        </w:rPr>
        <w:t> </w:t>
      </w:r>
      <w:r>
        <w:rPr/>
        <w:t>team</w:t>
      </w:r>
      <w:r>
        <w:rPr>
          <w:spacing w:val="-11"/>
        </w:rPr>
        <w:t> </w:t>
      </w:r>
      <w:r>
        <w:rPr/>
        <w:t>is</w:t>
      </w:r>
      <w:r>
        <w:rPr>
          <w:spacing w:val="-12"/>
        </w:rPr>
        <w:t> </w:t>
      </w:r>
      <w:r>
        <w:rPr/>
        <w:t>close</w:t>
      </w:r>
      <w:r>
        <w:rPr>
          <w:spacing w:val="-11"/>
        </w:rPr>
        <w:t> </w:t>
      </w:r>
      <w:r>
        <w:rPr/>
        <w:t>to</w:t>
      </w:r>
      <w:r>
        <w:rPr>
          <w:spacing w:val="-12"/>
        </w:rPr>
        <w:t> </w:t>
      </w:r>
      <w:r>
        <w:rPr/>
        <w:t>its</w:t>
      </w:r>
      <w:r>
        <w:rPr>
          <w:spacing w:val="-11"/>
        </w:rPr>
        <w:t> </w:t>
      </w:r>
      <w:r>
        <w:rPr/>
        <w:t>own try line.</w:t>
      </w:r>
      <w:r>
        <w:rPr>
          <w:spacing w:val="35"/>
        </w:rPr>
        <w:t> </w:t>
      </w:r>
      <w:r>
        <w:rPr/>
        <w:t>Defensively, they attempt to stop their opposing prop gaining metres when they try the same tactic.</w:t>
      </w:r>
    </w:p>
    <w:p>
      <w:pPr>
        <w:spacing w:after="0" w:line="252" w:lineRule="auto"/>
        <w:jc w:val="both"/>
        <w:sectPr>
          <w:type w:val="continuous"/>
          <w:pgSz w:w="11910" w:h="16840"/>
          <w:pgMar w:header="1961" w:footer="1428" w:top="1920" w:bottom="280" w:left="1680" w:right="720"/>
        </w:sectPr>
      </w:pPr>
    </w:p>
    <w:p>
      <w:pPr>
        <w:pStyle w:val="BodyText"/>
        <w:spacing w:line="255" w:lineRule="exact"/>
        <w:ind w:left="916"/>
      </w:pPr>
      <w:r>
        <w:rPr>
          <w:spacing w:val="-2"/>
        </w:rPr>
        <w:t>Second</w:t>
      </w:r>
    </w:p>
    <w:p>
      <w:pPr>
        <w:pStyle w:val="BodyText"/>
        <w:spacing w:before="13"/>
        <w:ind w:left="916"/>
      </w:pPr>
      <w:r>
        <w:rPr>
          <w:spacing w:val="-5"/>
        </w:rPr>
        <w:t>Row</w:t>
      </w:r>
    </w:p>
    <w:p>
      <w:pPr>
        <w:pStyle w:val="BodyText"/>
        <w:rPr>
          <w:sz w:val="28"/>
        </w:rPr>
      </w:pPr>
    </w:p>
    <w:p>
      <w:pPr>
        <w:pStyle w:val="BodyText"/>
        <w:spacing w:before="4"/>
        <w:rPr>
          <w:sz w:val="23"/>
        </w:rPr>
      </w:pPr>
    </w:p>
    <w:p>
      <w:pPr>
        <w:pStyle w:val="BodyText"/>
        <w:spacing w:line="252" w:lineRule="auto"/>
        <w:ind w:left="916" w:right="-1"/>
      </w:pPr>
      <w:r>
        <w:rPr>
          <w:spacing w:val="-2"/>
        </w:rPr>
        <w:t>Loose </w:t>
      </w:r>
      <w:r>
        <w:rPr>
          <w:spacing w:val="-4"/>
        </w:rPr>
        <w:t>Forward</w:t>
      </w:r>
    </w:p>
    <w:p>
      <w:pPr>
        <w:pStyle w:val="BodyText"/>
        <w:spacing w:line="255" w:lineRule="exact"/>
        <w:ind w:left="245"/>
        <w:jc w:val="both"/>
      </w:pPr>
      <w:r>
        <w:rPr/>
        <w:br w:type="column"/>
      </w:r>
      <w:r>
        <w:rPr/>
        <w:t>Similar</w:t>
      </w:r>
      <w:r>
        <w:rPr>
          <w:spacing w:val="2"/>
        </w:rPr>
        <w:t> </w:t>
      </w:r>
      <w:r>
        <w:rPr/>
        <w:t>to</w:t>
      </w:r>
      <w:r>
        <w:rPr>
          <w:spacing w:val="3"/>
        </w:rPr>
        <w:t> </w:t>
      </w:r>
      <w:r>
        <w:rPr/>
        <w:t>the</w:t>
      </w:r>
      <w:r>
        <w:rPr>
          <w:spacing w:val="2"/>
        </w:rPr>
        <w:t> </w:t>
      </w:r>
      <w:r>
        <w:rPr/>
        <w:t>props,</w:t>
      </w:r>
      <w:r>
        <w:rPr>
          <w:spacing w:val="4"/>
        </w:rPr>
        <w:t> </w:t>
      </w:r>
      <w:r>
        <w:rPr/>
        <w:t>but</w:t>
      </w:r>
      <w:r>
        <w:rPr>
          <w:spacing w:val="2"/>
        </w:rPr>
        <w:t> </w:t>
      </w:r>
      <w:r>
        <w:rPr/>
        <w:t>placed</w:t>
      </w:r>
      <w:r>
        <w:rPr>
          <w:spacing w:val="2"/>
        </w:rPr>
        <w:t> </w:t>
      </w:r>
      <w:r>
        <w:rPr/>
        <w:t>wider</w:t>
      </w:r>
      <w:r>
        <w:rPr>
          <w:spacing w:val="3"/>
        </w:rPr>
        <w:t> </w:t>
      </w:r>
      <w:r>
        <w:rPr/>
        <w:t>on</w:t>
      </w:r>
      <w:r>
        <w:rPr>
          <w:spacing w:val="3"/>
        </w:rPr>
        <w:t> </w:t>
      </w:r>
      <w:r>
        <w:rPr/>
        <w:t>the</w:t>
      </w:r>
      <w:r>
        <w:rPr>
          <w:spacing w:val="2"/>
        </w:rPr>
        <w:t> </w:t>
      </w:r>
      <w:r>
        <w:rPr/>
        <w:t>pitch,</w:t>
      </w:r>
      <w:r>
        <w:rPr>
          <w:spacing w:val="5"/>
        </w:rPr>
        <w:t> </w:t>
      </w:r>
      <w:r>
        <w:rPr/>
        <w:t>these</w:t>
      </w:r>
      <w:r>
        <w:rPr>
          <w:spacing w:val="2"/>
        </w:rPr>
        <w:t> </w:t>
      </w:r>
      <w:r>
        <w:rPr/>
        <w:t>players</w:t>
      </w:r>
      <w:r>
        <w:rPr>
          <w:spacing w:val="3"/>
        </w:rPr>
        <w:t> </w:t>
      </w:r>
      <w:r>
        <w:rPr>
          <w:spacing w:val="-4"/>
        </w:rPr>
        <w:t>work</w:t>
      </w:r>
    </w:p>
    <w:p>
      <w:pPr>
        <w:pStyle w:val="BodyText"/>
        <w:spacing w:line="252" w:lineRule="auto" w:before="13"/>
        <w:ind w:left="245" w:right="694"/>
        <w:jc w:val="both"/>
      </w:pPr>
      <w:r>
        <w:rPr/>
        <w:t>in conjunction with their centre and wing to try and make metres.</w:t>
      </w:r>
      <w:r>
        <w:rPr>
          <w:spacing w:val="32"/>
        </w:rPr>
        <w:t> </w:t>
      </w:r>
      <w:r>
        <w:rPr/>
        <w:t>De- fensively,</w:t>
      </w:r>
      <w:r>
        <w:rPr>
          <w:spacing w:val="-6"/>
        </w:rPr>
        <w:t> </w:t>
      </w:r>
      <w:r>
        <w:rPr/>
        <w:t>they</w:t>
      </w:r>
      <w:r>
        <w:rPr>
          <w:spacing w:val="-7"/>
        </w:rPr>
        <w:t> </w:t>
      </w:r>
      <w:r>
        <w:rPr/>
        <w:t>perform</w:t>
      </w:r>
      <w:r>
        <w:rPr>
          <w:spacing w:val="-7"/>
        </w:rPr>
        <w:t> </w:t>
      </w:r>
      <w:r>
        <w:rPr/>
        <w:t>a</w:t>
      </w:r>
      <w:r>
        <w:rPr>
          <w:spacing w:val="-7"/>
        </w:rPr>
        <w:t> </w:t>
      </w:r>
      <w:r>
        <w:rPr/>
        <w:t>larger</w:t>
      </w:r>
      <w:r>
        <w:rPr>
          <w:spacing w:val="-7"/>
        </w:rPr>
        <w:t> </w:t>
      </w:r>
      <w:r>
        <w:rPr/>
        <w:t>number</w:t>
      </w:r>
      <w:r>
        <w:rPr>
          <w:spacing w:val="-7"/>
        </w:rPr>
        <w:t> </w:t>
      </w:r>
      <w:r>
        <w:rPr/>
        <w:t>of</w:t>
      </w:r>
      <w:r>
        <w:rPr>
          <w:spacing w:val="-7"/>
        </w:rPr>
        <w:t> </w:t>
      </w:r>
      <w:r>
        <w:rPr/>
        <w:t>tackles</w:t>
      </w:r>
      <w:r>
        <w:rPr>
          <w:spacing w:val="-7"/>
        </w:rPr>
        <w:t> </w:t>
      </w:r>
      <w:r>
        <w:rPr/>
        <w:t>across</w:t>
      </w:r>
      <w:r>
        <w:rPr>
          <w:spacing w:val="-7"/>
        </w:rPr>
        <w:t> </w:t>
      </w:r>
      <w:r>
        <w:rPr/>
        <w:t>a</w:t>
      </w:r>
      <w:r>
        <w:rPr>
          <w:spacing w:val="-7"/>
        </w:rPr>
        <w:t> </w:t>
      </w:r>
      <w:r>
        <w:rPr/>
        <w:t>wider</w:t>
      </w:r>
      <w:r>
        <w:rPr>
          <w:spacing w:val="-7"/>
        </w:rPr>
        <w:t> </w:t>
      </w:r>
      <w:r>
        <w:rPr/>
        <w:t>range of locations than other players.</w:t>
      </w:r>
    </w:p>
    <w:p>
      <w:pPr>
        <w:pStyle w:val="BodyText"/>
        <w:spacing w:line="252" w:lineRule="auto"/>
        <w:ind w:left="245" w:right="694"/>
        <w:jc w:val="both"/>
      </w:pPr>
      <w:r>
        <w:rPr/>
        <w:t>A</w:t>
      </w:r>
      <w:r>
        <w:rPr>
          <w:spacing w:val="-2"/>
        </w:rPr>
        <w:t> </w:t>
      </w:r>
      <w:r>
        <w:rPr/>
        <w:t>more</w:t>
      </w:r>
      <w:r>
        <w:rPr>
          <w:spacing w:val="-2"/>
        </w:rPr>
        <w:t> </w:t>
      </w:r>
      <w:r>
        <w:rPr/>
        <w:t>free</w:t>
      </w:r>
      <w:r>
        <w:rPr>
          <w:spacing w:val="-2"/>
        </w:rPr>
        <w:t> </w:t>
      </w:r>
      <w:r>
        <w:rPr/>
        <w:t>position,</w:t>
      </w:r>
      <w:r>
        <w:rPr>
          <w:spacing w:val="-1"/>
        </w:rPr>
        <w:t> </w:t>
      </w:r>
      <w:r>
        <w:rPr/>
        <w:t>which</w:t>
      </w:r>
      <w:r>
        <w:rPr>
          <w:spacing w:val="-2"/>
        </w:rPr>
        <w:t> </w:t>
      </w:r>
      <w:r>
        <w:rPr/>
        <w:t>varies</w:t>
      </w:r>
      <w:r>
        <w:rPr>
          <w:spacing w:val="-2"/>
        </w:rPr>
        <w:t> </w:t>
      </w:r>
      <w:r>
        <w:rPr/>
        <w:t>between</w:t>
      </w:r>
      <w:r>
        <w:rPr>
          <w:spacing w:val="-2"/>
        </w:rPr>
        <w:t> </w:t>
      </w:r>
      <w:r>
        <w:rPr/>
        <w:t>teams. Can</w:t>
      </w:r>
      <w:r>
        <w:rPr>
          <w:spacing w:val="-2"/>
        </w:rPr>
        <w:t> </w:t>
      </w:r>
      <w:r>
        <w:rPr/>
        <w:t>play</w:t>
      </w:r>
      <w:r>
        <w:rPr>
          <w:spacing w:val="-2"/>
        </w:rPr>
        <w:t> </w:t>
      </w:r>
      <w:r>
        <w:rPr/>
        <w:t>more</w:t>
      </w:r>
      <w:r>
        <w:rPr>
          <w:spacing w:val="-2"/>
        </w:rPr>
        <w:t> </w:t>
      </w:r>
      <w:r>
        <w:rPr/>
        <w:t>like a prop (i.e.</w:t>
      </w:r>
      <w:r>
        <w:rPr>
          <w:spacing w:val="40"/>
        </w:rPr>
        <w:t> </w:t>
      </w:r>
      <w:r>
        <w:rPr/>
        <w:t>battering ram) or a hooker (i.e.</w:t>
      </w:r>
      <w:r>
        <w:rPr>
          <w:spacing w:val="40"/>
        </w:rPr>
        <w:t> </w:t>
      </w:r>
      <w:r>
        <w:rPr/>
        <w:t>playmaker) depending on the requirements of the coach.</w:t>
      </w:r>
    </w:p>
    <w:p>
      <w:pPr>
        <w:spacing w:after="0" w:line="252" w:lineRule="auto"/>
        <w:jc w:val="both"/>
        <w:sectPr>
          <w:type w:val="continuous"/>
          <w:pgSz w:w="11910" w:h="16840"/>
          <w:pgMar w:header="1961" w:footer="1428" w:top="1920" w:bottom="280" w:left="1680" w:right="720"/>
          <w:cols w:num="2" w:equalWidth="0">
            <w:col w:w="1721" w:space="40"/>
            <w:col w:w="7749"/>
          </w:cols>
        </w:sectPr>
      </w:pPr>
    </w:p>
    <w:p>
      <w:pPr>
        <w:pStyle w:val="BodyText"/>
        <w:spacing w:line="20" w:lineRule="exact"/>
        <w:ind w:left="796"/>
        <w:rPr>
          <w:sz w:val="2"/>
        </w:rPr>
      </w:pPr>
      <w:r>
        <w:rPr>
          <w:sz w:val="2"/>
        </w:rPr>
        <w:pict>
          <v:group style="width:406.6pt;height:.4pt;mso-position-horizontal-relative:char;mso-position-vertical-relative:line" id="docshapegroup38" coordorigin="0,0" coordsize="8132,8">
            <v:line style="position:absolute" from="0,4" to="8132,4" stroked="true" strokeweight=".398pt" strokecolor="#000000">
              <v:stroke dashstyle="solid"/>
            </v:line>
          </v:group>
        </w:pict>
      </w:r>
      <w:r>
        <w:rPr>
          <w:sz w:val="2"/>
        </w:rPr>
      </w:r>
    </w:p>
    <w:p>
      <w:pPr>
        <w:spacing w:after="0" w:line="20" w:lineRule="exact"/>
        <w:rPr>
          <w:sz w:val="2"/>
        </w:rPr>
        <w:sectPr>
          <w:type w:val="continuous"/>
          <w:pgSz w:w="11910" w:h="16840"/>
          <w:pgMar w:header="1961" w:footer="1428" w:top="1920" w:bottom="280" w:left="1680" w:right="720"/>
        </w:sectPr>
      </w:pPr>
    </w:p>
    <w:p>
      <w:pPr>
        <w:pStyle w:val="BodyText"/>
        <w:rPr>
          <w:sz w:val="20"/>
        </w:rPr>
      </w:pPr>
    </w:p>
    <w:p>
      <w:pPr>
        <w:pStyle w:val="BodyText"/>
        <w:spacing w:before="3"/>
        <w:rPr>
          <w:sz w:val="21"/>
        </w:rPr>
      </w:pPr>
    </w:p>
    <w:p>
      <w:pPr>
        <w:pStyle w:val="BodyText"/>
        <w:spacing w:line="309" w:lineRule="auto" w:before="97"/>
        <w:ind w:left="610" w:right="389"/>
        <w:jc w:val="both"/>
      </w:pPr>
      <w:r>
        <w:rPr/>
        <w:t>with the opportunity to ground the ball for a try, than it is if you are stood on your own 20m</w:t>
      </w:r>
      <w:r>
        <w:rPr>
          <w:spacing w:val="-6"/>
        </w:rPr>
        <w:t> </w:t>
      </w:r>
      <w:r>
        <w:rPr/>
        <w:t>line,</w:t>
      </w:r>
      <w:r>
        <w:rPr>
          <w:spacing w:val="-5"/>
        </w:rPr>
        <w:t> </w:t>
      </w:r>
      <w:r>
        <w:rPr/>
        <w:t>where</w:t>
      </w:r>
      <w:r>
        <w:rPr>
          <w:spacing w:val="-5"/>
        </w:rPr>
        <w:t> </w:t>
      </w:r>
      <w:r>
        <w:rPr/>
        <w:t>running</w:t>
      </w:r>
      <w:r>
        <w:rPr>
          <w:spacing w:val="-6"/>
        </w:rPr>
        <w:t> </w:t>
      </w:r>
      <w:r>
        <w:rPr/>
        <w:t>10</w:t>
      </w:r>
      <w:r>
        <w:rPr>
          <w:spacing w:val="-5"/>
        </w:rPr>
        <w:t> </w:t>
      </w:r>
      <w:r>
        <w:rPr/>
        <w:t>metres</w:t>
      </w:r>
      <w:r>
        <w:rPr>
          <w:spacing w:val="-6"/>
        </w:rPr>
        <w:t> </w:t>
      </w:r>
      <w:r>
        <w:rPr/>
        <w:t>does</w:t>
      </w:r>
      <w:r>
        <w:rPr>
          <w:spacing w:val="-5"/>
        </w:rPr>
        <w:t> </w:t>
      </w:r>
      <w:r>
        <w:rPr/>
        <w:t>not</w:t>
      </w:r>
      <w:r>
        <w:rPr>
          <w:spacing w:val="-6"/>
        </w:rPr>
        <w:t> </w:t>
      </w:r>
      <w:r>
        <w:rPr/>
        <w:t>provide</w:t>
      </w:r>
      <w:r>
        <w:rPr>
          <w:spacing w:val="-6"/>
        </w:rPr>
        <w:t> </w:t>
      </w:r>
      <w:r>
        <w:rPr/>
        <w:t>the</w:t>
      </w:r>
      <w:r>
        <w:rPr>
          <w:spacing w:val="-5"/>
        </w:rPr>
        <w:t> </w:t>
      </w:r>
      <w:r>
        <w:rPr/>
        <w:t>same</w:t>
      </w:r>
      <w:r>
        <w:rPr>
          <w:spacing w:val="-6"/>
        </w:rPr>
        <w:t> </w:t>
      </w:r>
      <w:r>
        <w:rPr/>
        <w:t>opportunity</w:t>
      </w:r>
      <w:r>
        <w:rPr>
          <w:spacing w:val="-5"/>
        </w:rPr>
        <w:t> </w:t>
      </w:r>
      <w:r>
        <w:rPr/>
        <w:t>to</w:t>
      </w:r>
      <w:r>
        <w:rPr>
          <w:spacing w:val="-6"/>
        </w:rPr>
        <w:t> </w:t>
      </w:r>
      <w:r>
        <w:rPr/>
        <w:t>score</w:t>
      </w:r>
      <w:r>
        <w:rPr>
          <w:spacing w:val="-6"/>
        </w:rPr>
        <w:t> </w:t>
      </w:r>
      <w:r>
        <w:rPr/>
        <w:t>a</w:t>
      </w:r>
      <w:r>
        <w:rPr>
          <w:spacing w:val="-5"/>
        </w:rPr>
        <w:t> </w:t>
      </w:r>
      <w:r>
        <w:rPr/>
        <w:t>try). Recently,</w:t>
      </w:r>
      <w:r>
        <w:rPr>
          <w:spacing w:val="-1"/>
        </w:rPr>
        <w:t> </w:t>
      </w:r>
      <w:r>
        <w:rPr/>
        <w:t>action</w:t>
      </w:r>
      <w:r>
        <w:rPr>
          <w:spacing w:val="-1"/>
        </w:rPr>
        <w:t> </w:t>
      </w:r>
      <w:r>
        <w:rPr/>
        <w:t>by</w:t>
      </w:r>
      <w:r>
        <w:rPr>
          <w:spacing w:val="-1"/>
        </w:rPr>
        <w:t> </w:t>
      </w:r>
      <w:r>
        <w:rPr/>
        <w:t>action</w:t>
      </w:r>
      <w:r>
        <w:rPr>
          <w:spacing w:val="-1"/>
        </w:rPr>
        <w:t> </w:t>
      </w:r>
      <w:r>
        <w:rPr>
          <w:i/>
        </w:rPr>
        <w:t>spatial</w:t>
      </w:r>
      <w:r>
        <w:rPr>
          <w:i/>
          <w:spacing w:val="-1"/>
        </w:rPr>
        <w:t> </w:t>
      </w:r>
      <w:r>
        <w:rPr>
          <w:i/>
        </w:rPr>
        <w:t>data</w:t>
      </w:r>
      <w:r>
        <w:rPr>
          <w:i/>
          <w:spacing w:val="-1"/>
        </w:rPr>
        <w:t> </w:t>
      </w:r>
      <w:r>
        <w:rPr/>
        <w:t>(i.e. </w:t>
      </w:r>
      <w:r>
        <w:rPr>
          <w:rFonts w:ascii="Cambria"/>
        </w:rPr>
        <w:t>x,</w:t>
      </w:r>
      <w:r>
        <w:rPr>
          <w:rFonts w:ascii="Cambria"/>
          <w:spacing w:val="-14"/>
        </w:rPr>
        <w:t> </w:t>
      </w:r>
      <w:r>
        <w:rPr>
          <w:rFonts w:ascii="Cambria"/>
        </w:rPr>
        <w:t>y </w:t>
      </w:r>
      <w:r>
        <w:rPr/>
        <w:t>coordinates</w:t>
      </w:r>
      <w:r>
        <w:rPr>
          <w:spacing w:val="-1"/>
        </w:rPr>
        <w:t> </w:t>
      </w:r>
      <w:r>
        <w:rPr/>
        <w:t>for</w:t>
      </w:r>
      <w:r>
        <w:rPr>
          <w:spacing w:val="-1"/>
        </w:rPr>
        <w:t> </w:t>
      </w:r>
      <w:r>
        <w:rPr/>
        <w:t>each</w:t>
      </w:r>
      <w:r>
        <w:rPr>
          <w:spacing w:val="-1"/>
        </w:rPr>
        <w:t> </w:t>
      </w:r>
      <w:r>
        <w:rPr/>
        <w:t>action)</w:t>
      </w:r>
      <w:r>
        <w:rPr>
          <w:spacing w:val="-1"/>
        </w:rPr>
        <w:t> </w:t>
      </w:r>
      <w:r>
        <w:rPr/>
        <w:t>has</w:t>
      </w:r>
      <w:r>
        <w:rPr>
          <w:spacing w:val="-1"/>
        </w:rPr>
        <w:t> </w:t>
      </w:r>
      <w:r>
        <w:rPr/>
        <w:t>become available,</w:t>
      </w:r>
      <w:r>
        <w:rPr>
          <w:spacing w:val="-15"/>
        </w:rPr>
        <w:t> </w:t>
      </w:r>
      <w:r>
        <w:rPr/>
        <w:t>which</w:t>
      </w:r>
      <w:r>
        <w:rPr>
          <w:spacing w:val="-15"/>
        </w:rPr>
        <w:t> </w:t>
      </w:r>
      <w:r>
        <w:rPr/>
        <w:t>could</w:t>
      </w:r>
      <w:r>
        <w:rPr>
          <w:spacing w:val="-15"/>
        </w:rPr>
        <w:t> </w:t>
      </w:r>
      <w:r>
        <w:rPr/>
        <w:t>help</w:t>
      </w:r>
      <w:r>
        <w:rPr>
          <w:spacing w:val="-15"/>
        </w:rPr>
        <w:t> </w:t>
      </w:r>
      <w:r>
        <w:rPr/>
        <w:t>to</w:t>
      </w:r>
      <w:r>
        <w:rPr>
          <w:spacing w:val="-15"/>
        </w:rPr>
        <w:t> </w:t>
      </w:r>
      <w:r>
        <w:rPr/>
        <w:t>provide</w:t>
      </w:r>
      <w:r>
        <w:rPr>
          <w:spacing w:val="-15"/>
        </w:rPr>
        <w:t> </w:t>
      </w:r>
      <w:r>
        <w:rPr/>
        <w:t>an</w:t>
      </w:r>
      <w:r>
        <w:rPr>
          <w:spacing w:val="-15"/>
        </w:rPr>
        <w:t> </w:t>
      </w:r>
      <w:r>
        <w:rPr/>
        <w:t>understanding</w:t>
      </w:r>
      <w:r>
        <w:rPr>
          <w:spacing w:val="-15"/>
        </w:rPr>
        <w:t> </w:t>
      </w:r>
      <w:r>
        <w:rPr/>
        <w:t>of</w:t>
      </w:r>
      <w:r>
        <w:rPr>
          <w:spacing w:val="-15"/>
        </w:rPr>
        <w:t> </w:t>
      </w:r>
      <w:r>
        <w:rPr/>
        <w:t>this</w:t>
      </w:r>
      <w:r>
        <w:rPr>
          <w:spacing w:val="-15"/>
        </w:rPr>
        <w:t> </w:t>
      </w:r>
      <w:r>
        <w:rPr/>
        <w:t>context.</w:t>
      </w:r>
      <w:r>
        <w:rPr>
          <w:spacing w:val="3"/>
        </w:rPr>
        <w:t> </w:t>
      </w:r>
      <w:r>
        <w:rPr/>
        <w:t>There</w:t>
      </w:r>
      <w:r>
        <w:rPr>
          <w:spacing w:val="-15"/>
        </w:rPr>
        <w:t> </w:t>
      </w:r>
      <w:r>
        <w:rPr/>
        <w:t>is</w:t>
      </w:r>
      <w:r>
        <w:rPr>
          <w:spacing w:val="-15"/>
        </w:rPr>
        <w:t> </w:t>
      </w:r>
      <w:r>
        <w:rPr/>
        <w:t>therefore scope for research, which can objectively rate player performances based on the actions they take and the locations in which they take them.</w:t>
      </w:r>
    </w:p>
    <w:p>
      <w:pPr>
        <w:pStyle w:val="BodyText"/>
        <w:spacing w:before="5"/>
        <w:rPr>
          <w:sz w:val="35"/>
        </w:rPr>
      </w:pPr>
    </w:p>
    <w:p>
      <w:pPr>
        <w:pStyle w:val="Heading3"/>
        <w:numPr>
          <w:ilvl w:val="2"/>
          <w:numId w:val="17"/>
        </w:numPr>
        <w:tabs>
          <w:tab w:pos="1471" w:val="left" w:leader="none"/>
          <w:tab w:pos="1472" w:val="left" w:leader="none"/>
        </w:tabs>
        <w:spacing w:line="240" w:lineRule="auto" w:before="0" w:after="0"/>
        <w:ind w:left="1471" w:right="0" w:hanging="862"/>
        <w:jc w:val="left"/>
      </w:pPr>
      <w:bookmarkStart w:name="_TOC_250053" w:id="68"/>
      <w:bookmarkStart w:name="2.3.2 Team and Player Performance Analys" w:id="69"/>
      <w:r>
        <w:rPr>
          <w:b w:val="0"/>
        </w:rPr>
      </w:r>
      <w:bookmarkStart w:name="_bookmark39" w:id="70"/>
      <w:bookmarkEnd w:id="70"/>
      <w:r>
        <w:rPr/>
        <w:t>T</w:t>
      </w:r>
      <w:r>
        <w:rPr/>
        <w:t>eam</w:t>
      </w:r>
      <w:r>
        <w:rPr>
          <w:spacing w:val="10"/>
        </w:rPr>
        <w:t> </w:t>
      </w:r>
      <w:r>
        <w:rPr/>
        <w:t>and</w:t>
      </w:r>
      <w:r>
        <w:rPr>
          <w:spacing w:val="10"/>
        </w:rPr>
        <w:t> </w:t>
      </w:r>
      <w:r>
        <w:rPr/>
        <w:t>Player</w:t>
      </w:r>
      <w:r>
        <w:rPr>
          <w:spacing w:val="11"/>
        </w:rPr>
        <w:t> </w:t>
      </w:r>
      <w:r>
        <w:rPr/>
        <w:t>Performance</w:t>
      </w:r>
      <w:r>
        <w:rPr>
          <w:spacing w:val="10"/>
        </w:rPr>
        <w:t> </w:t>
      </w:r>
      <w:r>
        <w:rPr/>
        <w:t>Analysis</w:t>
      </w:r>
      <w:r>
        <w:rPr>
          <w:spacing w:val="11"/>
        </w:rPr>
        <w:t> </w:t>
      </w:r>
      <w:r>
        <w:rPr/>
        <w:t>in</w:t>
      </w:r>
      <w:r>
        <w:rPr>
          <w:spacing w:val="10"/>
        </w:rPr>
        <w:t> </w:t>
      </w:r>
      <w:r>
        <w:rPr/>
        <w:t>Rugby</w:t>
      </w:r>
      <w:r>
        <w:rPr>
          <w:spacing w:val="11"/>
        </w:rPr>
        <w:t> </w:t>
      </w:r>
      <w:bookmarkEnd w:id="68"/>
      <w:r>
        <w:rPr>
          <w:spacing w:val="-2"/>
        </w:rPr>
        <w:t>League</w:t>
      </w:r>
    </w:p>
    <w:p>
      <w:pPr>
        <w:pStyle w:val="BodyText"/>
        <w:spacing w:line="312" w:lineRule="auto" w:before="235"/>
        <w:ind w:left="610" w:right="389"/>
      </w:pPr>
      <w:r>
        <w:rPr/>
        <w:t>Unlike the sports mentioned in Section</w:t>
      </w:r>
      <w:hyperlink w:history="true" w:anchor="_bookmark10">
        <w:r>
          <w:rPr>
            <w:color w:val="0000FF"/>
          </w:rPr>
          <w:t>2.2</w:t>
        </w:r>
        <w:r>
          <w:rPr/>
          <w:t>,</w:t>
        </w:r>
      </w:hyperlink>
      <w:r>
        <w:rPr/>
        <w:t> rugby league is an example of a sport with poor data availability.</w:t>
      </w:r>
      <w:r>
        <w:rPr>
          <w:spacing w:val="31"/>
        </w:rPr>
        <w:t> </w:t>
      </w:r>
      <w:r>
        <w:rPr/>
        <w:t>Indeed, action by action spatial data only became available in the Super League in 2020.</w:t>
      </w:r>
      <w:r>
        <w:rPr>
          <w:spacing w:val="40"/>
        </w:rPr>
        <w:t> </w:t>
      </w:r>
      <w:r>
        <w:rPr/>
        <w:t>As a result of this poor data availability, no study has </w:t>
      </w:r>
      <w:r>
        <w:rPr/>
        <w:t>analysed action by action data in rugby league.</w:t>
      </w:r>
      <w:r>
        <w:rPr>
          <w:spacing w:val="40"/>
        </w:rPr>
        <w:t> </w:t>
      </w:r>
      <w:r>
        <w:rPr/>
        <w:t>Prior to 2020,</w:t>
      </w:r>
      <w:r>
        <w:rPr>
          <w:spacing w:val="20"/>
        </w:rPr>
        <w:t> </w:t>
      </w:r>
      <w:r>
        <w:rPr/>
        <w:t>only the first action of each play</w:t>
      </w:r>
      <w:r>
        <w:rPr>
          <w:spacing w:val="80"/>
        </w:rPr>
        <w:t> </w:t>
      </w:r>
      <w:r>
        <w:rPr/>
        <w:t>was</w:t>
      </w:r>
      <w:r>
        <w:rPr>
          <w:spacing w:val="-1"/>
        </w:rPr>
        <w:t> </w:t>
      </w:r>
      <w:r>
        <w:rPr/>
        <w:t>coded</w:t>
      </w:r>
      <w:r>
        <w:rPr>
          <w:spacing w:val="-1"/>
        </w:rPr>
        <w:t> </w:t>
      </w:r>
      <w:r>
        <w:rPr/>
        <w:t>with</w:t>
      </w:r>
      <w:r>
        <w:rPr>
          <w:spacing w:val="-1"/>
        </w:rPr>
        <w:t> </w:t>
      </w:r>
      <w:r>
        <w:rPr/>
        <w:t>spatial</w:t>
      </w:r>
      <w:r>
        <w:rPr>
          <w:spacing w:val="-1"/>
        </w:rPr>
        <w:t> </w:t>
      </w:r>
      <w:r>
        <w:rPr/>
        <w:t>information, which</w:t>
      </w:r>
      <w:r>
        <w:rPr>
          <w:spacing w:val="-1"/>
        </w:rPr>
        <w:t> </w:t>
      </w:r>
      <w:r>
        <w:rPr/>
        <w:t>meant</w:t>
      </w:r>
      <w:r>
        <w:rPr>
          <w:spacing w:val="-1"/>
        </w:rPr>
        <w:t> </w:t>
      </w:r>
      <w:r>
        <w:rPr/>
        <w:t>that</w:t>
      </w:r>
      <w:r>
        <w:rPr>
          <w:spacing w:val="-1"/>
        </w:rPr>
        <w:t> </w:t>
      </w:r>
      <w:r>
        <w:rPr/>
        <w:t>only</w:t>
      </w:r>
      <w:r>
        <w:rPr>
          <w:spacing w:val="-1"/>
        </w:rPr>
        <w:t> </w:t>
      </w:r>
      <w:r>
        <w:rPr/>
        <w:t>play</w:t>
      </w:r>
      <w:r>
        <w:rPr>
          <w:spacing w:val="-1"/>
        </w:rPr>
        <w:t> </w:t>
      </w:r>
      <w:r>
        <w:rPr/>
        <w:t>by</w:t>
      </w:r>
      <w:r>
        <w:rPr>
          <w:spacing w:val="-1"/>
        </w:rPr>
        <w:t> </w:t>
      </w:r>
      <w:r>
        <w:rPr/>
        <w:t>play</w:t>
      </w:r>
      <w:r>
        <w:rPr>
          <w:spacing w:val="-1"/>
        </w:rPr>
        <w:t> </w:t>
      </w:r>
      <w:r>
        <w:rPr/>
        <w:t>analyses</w:t>
      </w:r>
      <w:r>
        <w:rPr>
          <w:spacing w:val="-1"/>
        </w:rPr>
        <w:t> </w:t>
      </w:r>
      <w:r>
        <w:rPr/>
        <w:t>similar to that of</w:t>
      </w:r>
      <w:hyperlink w:history="true" w:anchor="_bookmark232">
        <w:r>
          <w:rPr>
            <w:color w:val="FF0000"/>
          </w:rPr>
          <w:t>Chan et al.</w:t>
        </w:r>
        <w:r>
          <w:rPr/>
          <w:t>(</w:t>
        </w:r>
      </w:hyperlink>
      <w:r>
        <w:rPr>
          <w:color w:val="FF0000"/>
        </w:rPr>
        <w:t>2021</w:t>
      </w:r>
      <w:hyperlink w:history="true" w:anchor="_bookmark232">
        <w:r>
          <w:rPr/>
          <w:t>)</w:t>
        </w:r>
      </w:hyperlink>
      <w:r>
        <w:rPr/>
        <w:t> could be conducted (</w:t>
      </w:r>
      <w:hyperlink w:history="true" w:anchor="_bookmark254">
        <w:r>
          <w:rPr>
            <w:color w:val="FF0000"/>
          </w:rPr>
          <w:t>Holbrook et al.</w:t>
        </w:r>
        <w:r>
          <w:rPr/>
          <w:t>,</w:t>
        </w:r>
      </w:hyperlink>
      <w:r>
        <w:rPr>
          <w:color w:val="FF0000"/>
        </w:rPr>
        <w:t>2019</w:t>
      </w:r>
      <w:hyperlink w:history="true" w:anchor="_bookmark254">
        <w:r>
          <w:rPr/>
          <w:t>;</w:t>
        </w:r>
        <w:r>
          <w:rPr>
            <w:color w:val="FF0000"/>
          </w:rPr>
          <w:t>K</w:t>
        </w:r>
      </w:hyperlink>
      <w:hyperlink w:history="true" w:anchor="_bookmark263">
        <w:r>
          <w:rPr>
            <w:color w:val="FF0000"/>
          </w:rPr>
          <w:t>empton et al.</w:t>
        </w:r>
        <w:r>
          <w:rPr/>
          <w:t>,</w:t>
        </w:r>
      </w:hyperlink>
      <w:r>
        <w:rPr/>
        <w:t> </w:t>
      </w:r>
      <w:hyperlink w:history="true" w:anchor="_bookmark263">
        <w:r>
          <w:rPr>
            <w:color w:val="FF0000"/>
          </w:rPr>
          <w:t>2016</w:t>
        </w:r>
      </w:hyperlink>
      <w:r>
        <w:rPr/>
        <w:t>). Consequently,</w:t>
      </w:r>
      <w:r>
        <w:rPr>
          <w:spacing w:val="-9"/>
        </w:rPr>
        <w:t> </w:t>
      </w:r>
      <w:r>
        <w:rPr/>
        <w:t>the</w:t>
      </w:r>
      <w:r>
        <w:rPr>
          <w:spacing w:val="-10"/>
        </w:rPr>
        <w:t> </w:t>
      </w:r>
      <w:r>
        <w:rPr/>
        <w:t>majority</w:t>
      </w:r>
      <w:r>
        <w:rPr>
          <w:spacing w:val="-9"/>
        </w:rPr>
        <w:t> </w:t>
      </w:r>
      <w:r>
        <w:rPr/>
        <w:t>of</w:t>
      </w:r>
      <w:r>
        <w:rPr>
          <w:spacing w:val="-10"/>
        </w:rPr>
        <w:t> </w:t>
      </w:r>
      <w:r>
        <w:rPr/>
        <w:t>research</w:t>
      </w:r>
      <w:r>
        <w:rPr>
          <w:spacing w:val="-9"/>
        </w:rPr>
        <w:t> </w:t>
      </w:r>
      <w:r>
        <w:rPr/>
        <w:t>considering</w:t>
      </w:r>
      <w:r>
        <w:rPr>
          <w:spacing w:val="-10"/>
        </w:rPr>
        <w:t> </w:t>
      </w:r>
      <w:r>
        <w:rPr/>
        <w:t>team</w:t>
      </w:r>
      <w:r>
        <w:rPr>
          <w:spacing w:val="-9"/>
        </w:rPr>
        <w:t> </w:t>
      </w:r>
      <w:r>
        <w:rPr/>
        <w:t>and</w:t>
      </w:r>
      <w:r>
        <w:rPr>
          <w:spacing w:val="-10"/>
        </w:rPr>
        <w:t> </w:t>
      </w:r>
      <w:r>
        <w:rPr/>
        <w:t>player</w:t>
      </w:r>
      <w:r>
        <w:rPr>
          <w:spacing w:val="-9"/>
        </w:rPr>
        <w:t> </w:t>
      </w:r>
      <w:r>
        <w:rPr/>
        <w:t>performances in</w:t>
      </w:r>
      <w:r>
        <w:rPr>
          <w:spacing w:val="-7"/>
        </w:rPr>
        <w:t> </w:t>
      </w:r>
      <w:r>
        <w:rPr/>
        <w:t>rugby</w:t>
      </w:r>
      <w:r>
        <w:rPr>
          <w:spacing w:val="-7"/>
        </w:rPr>
        <w:t> </w:t>
      </w:r>
      <w:r>
        <w:rPr/>
        <w:t>league</w:t>
      </w:r>
      <w:r>
        <w:rPr>
          <w:spacing w:val="-7"/>
        </w:rPr>
        <w:t> </w:t>
      </w:r>
      <w:r>
        <w:rPr/>
        <w:t>is</w:t>
      </w:r>
      <w:r>
        <w:rPr>
          <w:spacing w:val="-7"/>
        </w:rPr>
        <w:t> </w:t>
      </w:r>
      <w:r>
        <w:rPr/>
        <w:t>limited</w:t>
      </w:r>
      <w:r>
        <w:rPr>
          <w:spacing w:val="-7"/>
        </w:rPr>
        <w:t> </w:t>
      </w:r>
      <w:r>
        <w:rPr/>
        <w:t>to</w:t>
      </w:r>
      <w:r>
        <w:rPr>
          <w:spacing w:val="-7"/>
        </w:rPr>
        <w:t> </w:t>
      </w:r>
      <w:r>
        <w:rPr/>
        <w:t>the</w:t>
      </w:r>
      <w:r>
        <w:rPr>
          <w:spacing w:val="-7"/>
        </w:rPr>
        <w:t> </w:t>
      </w:r>
      <w:r>
        <w:rPr/>
        <w:t>use</w:t>
      </w:r>
      <w:r>
        <w:rPr>
          <w:spacing w:val="-7"/>
        </w:rPr>
        <w:t> </w:t>
      </w:r>
      <w:r>
        <w:rPr/>
        <w:t>of</w:t>
      </w:r>
      <w:r>
        <w:rPr>
          <w:spacing w:val="-7"/>
        </w:rPr>
        <w:t> </w:t>
      </w:r>
      <w:r>
        <w:rPr/>
        <w:t>accumulated</w:t>
      </w:r>
      <w:r>
        <w:rPr>
          <w:spacing w:val="-7"/>
        </w:rPr>
        <w:t> </w:t>
      </w:r>
      <w:r>
        <w:rPr/>
        <w:t>count</w:t>
      </w:r>
      <w:r>
        <w:rPr>
          <w:spacing w:val="-7"/>
        </w:rPr>
        <w:t> </w:t>
      </w:r>
      <w:r>
        <w:rPr/>
        <w:t>data</w:t>
      </w:r>
      <w:r>
        <w:rPr>
          <w:spacing w:val="-7"/>
        </w:rPr>
        <w:t> </w:t>
      </w:r>
      <w:r>
        <w:rPr/>
        <w:t>as</w:t>
      </w:r>
      <w:r>
        <w:rPr>
          <w:spacing w:val="-7"/>
        </w:rPr>
        <w:t> </w:t>
      </w:r>
      <w:r>
        <w:rPr/>
        <w:t>performance</w:t>
      </w:r>
      <w:r>
        <w:rPr>
          <w:spacing w:val="-7"/>
        </w:rPr>
        <w:t> </w:t>
      </w:r>
      <w:r>
        <w:rPr/>
        <w:t>indicators (</w:t>
      </w:r>
      <w:hyperlink w:history="true" w:anchor="_bookmark281">
        <w:r>
          <w:rPr>
            <w:color w:val="FF0000"/>
          </w:rPr>
          <w:t>Parmar et al.</w:t>
        </w:r>
      </w:hyperlink>
      <w:r>
        <w:rPr/>
        <w:t>,</w:t>
      </w:r>
      <w:hyperlink w:history="true" w:anchor="_bookmark281">
        <w:r>
          <w:rPr>
            <w:color w:val="FF0000"/>
          </w:rPr>
          <w:t>2018</w:t>
        </w:r>
        <w:r>
          <w:rPr/>
          <w:t>;</w:t>
        </w:r>
      </w:hyperlink>
      <w:r>
        <w:rPr>
          <w:color w:val="FF0000"/>
        </w:rPr>
        <w:t>W</w:t>
      </w:r>
      <w:hyperlink w:history="true" w:anchor="_bookmark308">
        <w:r>
          <w:rPr>
            <w:color w:val="FF0000"/>
          </w:rPr>
          <w:t>edding et al.</w:t>
        </w:r>
        <w:r>
          <w:rPr/>
          <w:t>,</w:t>
        </w:r>
      </w:hyperlink>
      <w:r>
        <w:rPr>
          <w:color w:val="FF0000"/>
        </w:rPr>
        <w:t>2020</w:t>
      </w:r>
      <w:hyperlink w:history="true" w:anchor="_bookmark308">
        <w:r>
          <w:rPr/>
          <w:t>;</w:t>
        </w:r>
        <w:r>
          <w:rPr>
            <w:color w:val="FF0000"/>
          </w:rPr>
          <w:t>W</w:t>
        </w:r>
      </w:hyperlink>
      <w:hyperlink w:history="true" w:anchor="_bookmark312">
        <w:r>
          <w:rPr>
            <w:color w:val="FF0000"/>
          </w:rPr>
          <w:t>oods et al.</w:t>
        </w:r>
        <w:r>
          <w:rPr/>
          <w:t>,</w:t>
        </w:r>
      </w:hyperlink>
      <w:r>
        <w:rPr>
          <w:color w:val="FF0000"/>
        </w:rPr>
        <w:t>2017</w:t>
      </w:r>
      <w:hyperlink w:history="true" w:anchor="_bookmark312">
        <w:r>
          <w:rPr/>
          <w:t>).</w:t>
        </w:r>
      </w:hyperlink>
      <w:r>
        <w:rPr>
          <w:spacing w:val="40"/>
        </w:rPr>
        <w:t> </w:t>
      </w:r>
      <w:r>
        <w:rPr/>
        <w:t>This section highlights</w:t>
      </w:r>
    </w:p>
    <w:p>
      <w:pPr>
        <w:pStyle w:val="BodyText"/>
        <w:spacing w:line="312" w:lineRule="auto"/>
        <w:ind w:left="610" w:right="389"/>
        <w:jc w:val="both"/>
      </w:pPr>
      <w:r>
        <w:rPr/>
        <w:t>the elements of both types of analysis (i.e.</w:t>
      </w:r>
      <w:r>
        <w:rPr>
          <w:spacing w:val="40"/>
        </w:rPr>
        <w:t> </w:t>
      </w:r>
      <w:r>
        <w:rPr/>
        <w:t>using accumulated counts as </w:t>
      </w:r>
      <w:r>
        <w:rPr/>
        <w:t>performance indicators and play by play data), which aim to enhance the coaches’ ability to evaluate player and team performances in rugby league.</w:t>
      </w:r>
    </w:p>
    <w:p>
      <w:pPr>
        <w:pStyle w:val="BodyText"/>
        <w:spacing w:before="2"/>
        <w:rPr>
          <w:sz w:val="30"/>
        </w:rPr>
      </w:pPr>
    </w:p>
    <w:p>
      <w:pPr>
        <w:pStyle w:val="Heading4"/>
        <w:numPr>
          <w:ilvl w:val="3"/>
          <w:numId w:val="17"/>
        </w:numPr>
        <w:tabs>
          <w:tab w:pos="1506" w:val="left" w:leader="none"/>
          <w:tab w:pos="1508" w:val="left" w:leader="none"/>
        </w:tabs>
        <w:spacing w:line="240" w:lineRule="auto" w:before="0" w:after="0"/>
        <w:ind w:left="1507" w:right="0" w:hanging="898"/>
        <w:jc w:val="left"/>
      </w:pPr>
      <w:bookmarkStart w:name="_TOC_250052" w:id="71"/>
      <w:bookmarkStart w:name="2.3.2.1 Accumulated Count Data Analysis " w:id="72"/>
      <w:r>
        <w:rPr>
          <w:b w:val="0"/>
        </w:rPr>
      </w:r>
      <w:bookmarkStart w:name="_bookmark40" w:id="73"/>
      <w:bookmarkEnd w:id="73"/>
      <w:r>
        <w:rPr/>
        <w:t>Accumulated</w:t>
      </w:r>
      <w:r>
        <w:rPr>
          <w:spacing w:val="-9"/>
        </w:rPr>
        <w:t> </w:t>
      </w:r>
      <w:r>
        <w:rPr/>
        <w:t>Count</w:t>
      </w:r>
      <w:r>
        <w:rPr>
          <w:spacing w:val="-8"/>
        </w:rPr>
        <w:t> </w:t>
      </w:r>
      <w:r>
        <w:rPr/>
        <w:t>Data</w:t>
      </w:r>
      <w:r>
        <w:rPr>
          <w:spacing w:val="-8"/>
        </w:rPr>
        <w:t> </w:t>
      </w:r>
      <w:r>
        <w:rPr/>
        <w:t>Analysis</w:t>
      </w:r>
      <w:r>
        <w:rPr>
          <w:spacing w:val="-8"/>
        </w:rPr>
        <w:t> </w:t>
      </w:r>
      <w:r>
        <w:rPr/>
        <w:t>in</w:t>
      </w:r>
      <w:r>
        <w:rPr>
          <w:spacing w:val="-8"/>
        </w:rPr>
        <w:t> </w:t>
      </w:r>
      <w:r>
        <w:rPr/>
        <w:t>Rugby</w:t>
      </w:r>
      <w:r>
        <w:rPr>
          <w:spacing w:val="-8"/>
        </w:rPr>
        <w:t> </w:t>
      </w:r>
      <w:bookmarkEnd w:id="71"/>
      <w:r>
        <w:rPr>
          <w:spacing w:val="-2"/>
        </w:rPr>
        <w:t>League</w:t>
      </w:r>
    </w:p>
    <w:p>
      <w:pPr>
        <w:pStyle w:val="BodyText"/>
        <w:spacing w:line="312" w:lineRule="auto" w:before="244"/>
        <w:ind w:left="610" w:right="389"/>
      </w:pPr>
      <w:hyperlink w:history="true" w:anchor="_bookmark312">
        <w:r>
          <w:rPr>
            <w:color w:val="FF0000"/>
          </w:rPr>
          <w:t>Woods et al.</w:t>
        </w:r>
      </w:hyperlink>
      <w:r>
        <w:rPr/>
        <w:t>(</w:t>
      </w:r>
      <w:hyperlink w:history="true" w:anchor="_bookmark312">
        <w:r>
          <w:rPr>
            <w:color w:val="FF0000"/>
          </w:rPr>
          <w:t>2017</w:t>
        </w:r>
        <w:r>
          <w:rPr/>
          <w:t>)</w:t>
        </w:r>
      </w:hyperlink>
      <w:r>
        <w:rPr/>
        <w:t> analysed the relationship between 14 author selected performance indicator variables and the win/lose dichotomous match outcome and team league </w:t>
      </w:r>
      <w:r>
        <w:rPr/>
        <w:t>posi- tion at</w:t>
      </w:r>
      <w:r>
        <w:rPr>
          <w:spacing w:val="-1"/>
        </w:rPr>
        <w:t> </w:t>
      </w:r>
      <w:r>
        <w:rPr/>
        <w:t>the end of the season.</w:t>
      </w:r>
      <w:r>
        <w:rPr>
          <w:spacing w:val="23"/>
        </w:rPr>
        <w:t> </w:t>
      </w:r>
      <w:r>
        <w:rPr/>
        <w:t>The authors used</w:t>
      </w:r>
      <w:r>
        <w:rPr>
          <w:spacing w:val="-1"/>
        </w:rPr>
        <w:t> </w:t>
      </w:r>
      <w:r>
        <w:rPr/>
        <w:t>376 observations from</w:t>
      </w:r>
      <w:r>
        <w:rPr>
          <w:spacing w:val="-1"/>
        </w:rPr>
        <w:t> </w:t>
      </w:r>
      <w:r>
        <w:rPr/>
        <w:t>the 2016 National Rugby League season, from which 2 drawn matches were removed.</w:t>
      </w:r>
      <w:r>
        <w:rPr>
          <w:spacing w:val="40"/>
        </w:rPr>
        <w:t> </w:t>
      </w:r>
      <w:r>
        <w:rPr/>
        <w:t>The performance</w:t>
      </w:r>
      <w:r>
        <w:rPr>
          <w:spacing w:val="40"/>
        </w:rPr>
        <w:t> </w:t>
      </w:r>
      <w:r>
        <w:rPr/>
        <w:t>indicators were accumulated at the fixture level (i.e.</w:t>
      </w:r>
      <w:r>
        <w:rPr>
          <w:spacing w:val="40"/>
        </w:rPr>
        <w:t> </w:t>
      </w:r>
      <w:r>
        <w:rPr/>
        <w:t>counts of the performance indica- tors per match) for the match outcome analysis and the season level (i.e.</w:t>
      </w:r>
      <w:r>
        <w:rPr>
          <w:spacing w:val="40"/>
        </w:rPr>
        <w:t> </w:t>
      </w:r>
      <w:r>
        <w:rPr/>
        <w:t>counts of the performance indicators per season) for the league position analysis.</w:t>
      </w:r>
      <w:r>
        <w:rPr>
          <w:spacing w:val="26"/>
        </w:rPr>
        <w:t> </w:t>
      </w:r>
      <w:r>
        <w:rPr/>
        <w:t>A conditional infer- ence classification tree (</w:t>
      </w:r>
      <w:hyperlink w:history="true" w:anchor="_bookmark255">
        <w:r>
          <w:rPr>
            <w:color w:val="FF0000"/>
          </w:rPr>
          <w:t>Hothorn et al.</w:t>
        </w:r>
      </w:hyperlink>
      <w:r>
        <w:rPr/>
        <w:t>,</w:t>
      </w:r>
      <w:hyperlink w:history="true" w:anchor="_bookmark255">
        <w:r>
          <w:rPr>
            <w:color w:val="FF0000"/>
          </w:rPr>
          <w:t>2006</w:t>
        </w:r>
        <w:r>
          <w:rPr/>
          <w:t>)</w:t>
        </w:r>
      </w:hyperlink>
      <w:r>
        <w:rPr/>
        <w:t> was used to establish the extent to which the 14 selected team performance indicators could be used to explain individual match outcomes.</w:t>
      </w:r>
      <w:r>
        <w:rPr>
          <w:spacing w:val="53"/>
        </w:rPr>
        <w:t> </w:t>
      </w:r>
      <w:r>
        <w:rPr/>
        <w:t>Ordinal</w:t>
      </w:r>
      <w:r>
        <w:rPr>
          <w:spacing w:val="9"/>
        </w:rPr>
        <w:t> </w:t>
      </w:r>
      <w:r>
        <w:rPr/>
        <w:t>regression,</w:t>
      </w:r>
      <w:r>
        <w:rPr>
          <w:spacing w:val="13"/>
        </w:rPr>
        <w:t> </w:t>
      </w:r>
      <w:r>
        <w:rPr/>
        <w:t>via</w:t>
      </w:r>
      <w:r>
        <w:rPr>
          <w:spacing w:val="10"/>
        </w:rPr>
        <w:t> </w:t>
      </w:r>
      <w:r>
        <w:rPr/>
        <w:t>cumulative</w:t>
      </w:r>
      <w:r>
        <w:rPr>
          <w:spacing w:val="9"/>
        </w:rPr>
        <w:t> </w:t>
      </w:r>
      <w:r>
        <w:rPr/>
        <w:t>link</w:t>
      </w:r>
      <w:r>
        <w:rPr>
          <w:spacing w:val="10"/>
        </w:rPr>
        <w:t> </w:t>
      </w:r>
      <w:r>
        <w:rPr/>
        <w:t>mixed</w:t>
      </w:r>
      <w:r>
        <w:rPr>
          <w:spacing w:val="9"/>
        </w:rPr>
        <w:t> </w:t>
      </w:r>
      <w:r>
        <w:rPr/>
        <w:t>models,</w:t>
      </w:r>
      <w:r>
        <w:rPr>
          <w:spacing w:val="13"/>
        </w:rPr>
        <w:t> </w:t>
      </w:r>
      <w:r>
        <w:rPr/>
        <w:t>was</w:t>
      </w:r>
      <w:r>
        <w:rPr>
          <w:spacing w:val="9"/>
        </w:rPr>
        <w:t> </w:t>
      </w:r>
      <w:r>
        <w:rPr/>
        <w:t>used</w:t>
      </w:r>
      <w:r>
        <w:rPr>
          <w:spacing w:val="10"/>
        </w:rPr>
        <w:t> </w:t>
      </w:r>
      <w:r>
        <w:rPr/>
        <w:t>to</w:t>
      </w:r>
      <w:r>
        <w:rPr>
          <w:spacing w:val="9"/>
        </w:rPr>
        <w:t> </w:t>
      </w:r>
      <w:r>
        <w:rPr>
          <w:spacing w:val="-2"/>
        </w:rPr>
        <w:t>estimate</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the</w:t>
      </w:r>
      <w:r>
        <w:rPr>
          <w:spacing w:val="-15"/>
        </w:rPr>
        <w:t> </w:t>
      </w:r>
      <w:r>
        <w:rPr/>
        <w:t>relationship</w:t>
      </w:r>
      <w:r>
        <w:rPr>
          <w:spacing w:val="-15"/>
        </w:rPr>
        <w:t> </w:t>
      </w:r>
      <w:r>
        <w:rPr/>
        <w:t>between</w:t>
      </w:r>
      <w:r>
        <w:rPr>
          <w:spacing w:val="-15"/>
        </w:rPr>
        <w:t> </w:t>
      </w:r>
      <w:r>
        <w:rPr/>
        <w:t>performance</w:t>
      </w:r>
      <w:r>
        <w:rPr>
          <w:spacing w:val="-15"/>
        </w:rPr>
        <w:t> </w:t>
      </w:r>
      <w:r>
        <w:rPr/>
        <w:t>indicators</w:t>
      </w:r>
      <w:r>
        <w:rPr>
          <w:spacing w:val="-15"/>
        </w:rPr>
        <w:t> </w:t>
      </w:r>
      <w:r>
        <w:rPr/>
        <w:t>and</w:t>
      </w:r>
      <w:r>
        <w:rPr>
          <w:spacing w:val="-15"/>
        </w:rPr>
        <w:t> </w:t>
      </w:r>
      <w:r>
        <w:rPr/>
        <w:t>the</w:t>
      </w:r>
      <w:r>
        <w:rPr>
          <w:spacing w:val="-15"/>
        </w:rPr>
        <w:t> </w:t>
      </w:r>
      <w:r>
        <w:rPr/>
        <w:t>team’s</w:t>
      </w:r>
      <w:r>
        <w:rPr>
          <w:spacing w:val="-15"/>
        </w:rPr>
        <w:t> </w:t>
      </w:r>
      <w:r>
        <w:rPr/>
        <w:t>final</w:t>
      </w:r>
      <w:r>
        <w:rPr>
          <w:spacing w:val="-15"/>
        </w:rPr>
        <w:t> </w:t>
      </w:r>
      <w:r>
        <w:rPr/>
        <w:t>league</w:t>
      </w:r>
      <w:r>
        <w:rPr>
          <w:spacing w:val="-15"/>
        </w:rPr>
        <w:t> </w:t>
      </w:r>
      <w:r>
        <w:rPr/>
        <w:t>position.</w:t>
      </w:r>
      <w:r>
        <w:rPr>
          <w:spacing w:val="-15"/>
        </w:rPr>
        <w:t> </w:t>
      </w:r>
      <w:r>
        <w:rPr/>
        <w:t>Five team performance indicators were used to predict match outcome by the conditional </w:t>
      </w:r>
      <w:r>
        <w:rPr/>
        <w:t>in- ference classification tree:</w:t>
      </w:r>
      <w:r>
        <w:rPr>
          <w:spacing w:val="38"/>
        </w:rPr>
        <w:t> </w:t>
      </w:r>
      <w:r>
        <w:rPr/>
        <w:t>try assists, all run metres, line breaks, dummy half runs and offloads.</w:t>
      </w:r>
      <w:r>
        <w:rPr>
          <w:spacing w:val="40"/>
        </w:rPr>
        <w:t> </w:t>
      </w:r>
      <w:r>
        <w:rPr/>
        <w:t>The model was able to accurately classify 91% of wins and 66% of losses in the</w:t>
      </w:r>
      <w:r>
        <w:rPr>
          <w:spacing w:val="-7"/>
        </w:rPr>
        <w:t> </w:t>
      </w:r>
      <w:r>
        <w:rPr/>
        <w:t>data</w:t>
      </w:r>
      <w:r>
        <w:rPr>
          <w:spacing w:val="-7"/>
        </w:rPr>
        <w:t> </w:t>
      </w:r>
      <w:r>
        <w:rPr/>
        <w:t>set. The</w:t>
      </w:r>
      <w:r>
        <w:rPr>
          <w:spacing w:val="-7"/>
        </w:rPr>
        <w:t> </w:t>
      </w:r>
      <w:r>
        <w:rPr/>
        <w:t>authors</w:t>
      </w:r>
      <w:r>
        <w:rPr>
          <w:spacing w:val="-7"/>
        </w:rPr>
        <w:t> </w:t>
      </w:r>
      <w:r>
        <w:rPr/>
        <w:t>showed</w:t>
      </w:r>
      <w:r>
        <w:rPr>
          <w:spacing w:val="-7"/>
        </w:rPr>
        <w:t> </w:t>
      </w:r>
      <w:r>
        <w:rPr/>
        <w:t>that</w:t>
      </w:r>
      <w:r>
        <w:rPr>
          <w:spacing w:val="-7"/>
        </w:rPr>
        <w:t> </w:t>
      </w:r>
      <w:r>
        <w:rPr/>
        <w:t>missed</w:t>
      </w:r>
      <w:r>
        <w:rPr>
          <w:spacing w:val="-7"/>
        </w:rPr>
        <w:t> </w:t>
      </w:r>
      <w:r>
        <w:rPr/>
        <w:t>tackles</w:t>
      </w:r>
      <w:r>
        <w:rPr>
          <w:spacing w:val="-7"/>
        </w:rPr>
        <w:t> </w:t>
      </w:r>
      <w:r>
        <w:rPr/>
        <w:t>were</w:t>
      </w:r>
      <w:r>
        <w:rPr>
          <w:spacing w:val="-7"/>
        </w:rPr>
        <w:t> </w:t>
      </w:r>
      <w:r>
        <w:rPr/>
        <w:t>significantly</w:t>
      </w:r>
      <w:r>
        <w:rPr>
          <w:spacing w:val="-7"/>
        </w:rPr>
        <w:t> </w:t>
      </w:r>
      <w:r>
        <w:rPr/>
        <w:t>related</w:t>
      </w:r>
      <w:r>
        <w:rPr>
          <w:spacing w:val="-7"/>
        </w:rPr>
        <w:t> </w:t>
      </w:r>
      <w:r>
        <w:rPr/>
        <w:t>to</w:t>
      </w:r>
      <w:r>
        <w:rPr>
          <w:spacing w:val="-7"/>
        </w:rPr>
        <w:t> </w:t>
      </w:r>
      <w:r>
        <w:rPr/>
        <w:t>a</w:t>
      </w:r>
      <w:r>
        <w:rPr>
          <w:spacing w:val="-7"/>
        </w:rPr>
        <w:t> </w:t>
      </w:r>
      <w:r>
        <w:rPr/>
        <w:t>worse final</w:t>
      </w:r>
      <w:r>
        <w:rPr>
          <w:spacing w:val="-9"/>
        </w:rPr>
        <w:t> </w:t>
      </w:r>
      <w:r>
        <w:rPr/>
        <w:t>league</w:t>
      </w:r>
      <w:r>
        <w:rPr>
          <w:spacing w:val="-9"/>
        </w:rPr>
        <w:t> </w:t>
      </w:r>
      <w:r>
        <w:rPr/>
        <w:t>position</w:t>
      </w:r>
      <w:r>
        <w:rPr>
          <w:spacing w:val="-9"/>
        </w:rPr>
        <w:t> </w:t>
      </w:r>
      <w:r>
        <w:rPr/>
        <w:t>by</w:t>
      </w:r>
      <w:r>
        <w:rPr>
          <w:spacing w:val="-9"/>
        </w:rPr>
        <w:t> </w:t>
      </w:r>
      <w:r>
        <w:rPr/>
        <w:t>the</w:t>
      </w:r>
      <w:r>
        <w:rPr>
          <w:spacing w:val="-9"/>
        </w:rPr>
        <w:t> </w:t>
      </w:r>
      <w:r>
        <w:rPr/>
        <w:t>ordinal</w:t>
      </w:r>
      <w:r>
        <w:rPr>
          <w:spacing w:val="-9"/>
        </w:rPr>
        <w:t> </w:t>
      </w:r>
      <w:r>
        <w:rPr/>
        <w:t>regression,</w:t>
      </w:r>
      <w:r>
        <w:rPr>
          <w:spacing w:val="-9"/>
        </w:rPr>
        <w:t> </w:t>
      </w:r>
      <w:r>
        <w:rPr/>
        <w:t>whereas</w:t>
      </w:r>
      <w:r>
        <w:rPr>
          <w:spacing w:val="-9"/>
        </w:rPr>
        <w:t> </w:t>
      </w:r>
      <w:r>
        <w:rPr/>
        <w:t>kick</w:t>
      </w:r>
      <w:r>
        <w:rPr>
          <w:spacing w:val="-9"/>
        </w:rPr>
        <w:t> </w:t>
      </w:r>
      <w:r>
        <w:rPr/>
        <w:t>metres</w:t>
      </w:r>
      <w:r>
        <w:rPr>
          <w:spacing w:val="-9"/>
        </w:rPr>
        <w:t> </w:t>
      </w:r>
      <w:r>
        <w:rPr/>
        <w:t>and</w:t>
      </w:r>
      <w:r>
        <w:rPr>
          <w:spacing w:val="-9"/>
        </w:rPr>
        <w:t> </w:t>
      </w:r>
      <w:r>
        <w:rPr/>
        <w:t>dummy</w:t>
      </w:r>
      <w:r>
        <w:rPr>
          <w:spacing w:val="-9"/>
        </w:rPr>
        <w:t> </w:t>
      </w:r>
      <w:r>
        <w:rPr/>
        <w:t>half</w:t>
      </w:r>
      <w:r>
        <w:rPr>
          <w:spacing w:val="-9"/>
        </w:rPr>
        <w:t> </w:t>
      </w:r>
      <w:r>
        <w:rPr/>
        <w:t>runs were</w:t>
      </w:r>
      <w:r>
        <w:rPr>
          <w:spacing w:val="-3"/>
        </w:rPr>
        <w:t> </w:t>
      </w:r>
      <w:r>
        <w:rPr/>
        <w:t>associated</w:t>
      </w:r>
      <w:r>
        <w:rPr>
          <w:spacing w:val="-3"/>
        </w:rPr>
        <w:t> </w:t>
      </w:r>
      <w:r>
        <w:rPr/>
        <w:t>with</w:t>
      </w:r>
      <w:r>
        <w:rPr>
          <w:spacing w:val="-3"/>
        </w:rPr>
        <w:t> </w:t>
      </w:r>
      <w:r>
        <w:rPr/>
        <w:t>an</w:t>
      </w:r>
      <w:r>
        <w:rPr>
          <w:spacing w:val="-4"/>
        </w:rPr>
        <w:t> </w:t>
      </w:r>
      <w:r>
        <w:rPr/>
        <w:t>improved</w:t>
      </w:r>
      <w:r>
        <w:rPr>
          <w:spacing w:val="-3"/>
        </w:rPr>
        <w:t> </w:t>
      </w:r>
      <w:r>
        <w:rPr/>
        <w:t>final</w:t>
      </w:r>
      <w:r>
        <w:rPr>
          <w:spacing w:val="-3"/>
        </w:rPr>
        <w:t> </w:t>
      </w:r>
      <w:r>
        <w:rPr/>
        <w:t>league</w:t>
      </w:r>
      <w:r>
        <w:rPr>
          <w:spacing w:val="-3"/>
        </w:rPr>
        <w:t> </w:t>
      </w:r>
      <w:r>
        <w:rPr/>
        <w:t>position. Coaches</w:t>
      </w:r>
      <w:r>
        <w:rPr>
          <w:spacing w:val="-4"/>
        </w:rPr>
        <w:t> </w:t>
      </w:r>
      <w:r>
        <w:rPr/>
        <w:t>could</w:t>
      </w:r>
      <w:r>
        <w:rPr>
          <w:spacing w:val="-3"/>
        </w:rPr>
        <w:t> </w:t>
      </w:r>
      <w:r>
        <w:rPr/>
        <w:t>use</w:t>
      </w:r>
      <w:r>
        <w:rPr>
          <w:spacing w:val="-3"/>
        </w:rPr>
        <w:t> </w:t>
      </w:r>
      <w:r>
        <w:rPr/>
        <w:t>the</w:t>
      </w:r>
      <w:r>
        <w:rPr>
          <w:spacing w:val="-3"/>
        </w:rPr>
        <w:t> </w:t>
      </w:r>
      <w:r>
        <w:rPr/>
        <w:t>results</w:t>
      </w:r>
      <w:r>
        <w:rPr>
          <w:spacing w:val="-3"/>
        </w:rPr>
        <w:t> </w:t>
      </w:r>
      <w:r>
        <w:rPr/>
        <w:t>as performance indicators to measure performance or influence tactical strategies.</w:t>
      </w:r>
    </w:p>
    <w:p>
      <w:pPr>
        <w:pStyle w:val="BodyText"/>
        <w:spacing w:line="312" w:lineRule="auto"/>
        <w:ind w:left="610" w:right="389" w:firstLine="351"/>
      </w:pPr>
      <w:hyperlink w:history="true" w:anchor="_bookmark281">
        <w:r>
          <w:rPr>
            <w:color w:val="FF0000"/>
          </w:rPr>
          <w:t>Parmar et al.</w:t>
        </w:r>
      </w:hyperlink>
      <w:r>
        <w:rPr/>
        <w:t>(</w:t>
      </w:r>
      <w:hyperlink w:history="true" w:anchor="_bookmark281">
        <w:r>
          <w:rPr>
            <w:color w:val="FF0000"/>
          </w:rPr>
          <w:t>2018</w:t>
        </w:r>
        <w:r>
          <w:rPr/>
          <w:t>)</w:t>
        </w:r>
      </w:hyperlink>
      <w:r>
        <w:rPr/>
        <w:t> extended the previous work in rugby league (</w:t>
      </w:r>
      <w:hyperlink w:history="true" w:anchor="_bookmark312">
        <w:r>
          <w:rPr>
            <w:color w:val="FF0000"/>
          </w:rPr>
          <w:t>Woods et al.</w:t>
        </w:r>
        <w:r>
          <w:rPr/>
          <w:t>,</w:t>
        </w:r>
      </w:hyperlink>
      <w:hyperlink w:history="true" w:anchor="_bookmark312">
        <w:r>
          <w:rPr>
            <w:color w:val="FF0000"/>
          </w:rPr>
          <w:t>2017</w:t>
        </w:r>
        <w:r>
          <w:rPr/>
          <w:t>)</w:t>
        </w:r>
      </w:hyperlink>
      <w:r>
        <w:rPr/>
        <w:t> by utilising a more data driven approach within the selection of performance </w:t>
      </w:r>
      <w:r>
        <w:rPr/>
        <w:t>indicators. Their</w:t>
      </w:r>
      <w:r>
        <w:rPr>
          <w:spacing w:val="-3"/>
        </w:rPr>
        <w:t> </w:t>
      </w:r>
      <w:r>
        <w:rPr/>
        <w:t>model</w:t>
      </w:r>
      <w:r>
        <w:rPr>
          <w:spacing w:val="-3"/>
        </w:rPr>
        <w:t> </w:t>
      </w:r>
      <w:r>
        <w:rPr/>
        <w:t>attempted</w:t>
      </w:r>
      <w:r>
        <w:rPr>
          <w:spacing w:val="-3"/>
        </w:rPr>
        <w:t> </w:t>
      </w:r>
      <w:r>
        <w:rPr/>
        <w:t>to</w:t>
      </w:r>
      <w:r>
        <w:rPr>
          <w:spacing w:val="-3"/>
        </w:rPr>
        <w:t> </w:t>
      </w:r>
      <w:r>
        <w:rPr/>
        <w:t>predict</w:t>
      </w:r>
      <w:r>
        <w:rPr>
          <w:spacing w:val="-3"/>
        </w:rPr>
        <w:t> </w:t>
      </w:r>
      <w:r>
        <w:rPr/>
        <w:t>match</w:t>
      </w:r>
      <w:r>
        <w:rPr>
          <w:spacing w:val="-3"/>
        </w:rPr>
        <w:t> </w:t>
      </w:r>
      <w:r>
        <w:rPr/>
        <w:t>outcome</w:t>
      </w:r>
      <w:r>
        <w:rPr>
          <w:spacing w:val="-3"/>
        </w:rPr>
        <w:t> </w:t>
      </w:r>
      <w:r>
        <w:rPr/>
        <w:t>using</w:t>
      </w:r>
      <w:r>
        <w:rPr>
          <w:spacing w:val="-3"/>
        </w:rPr>
        <w:t> </w:t>
      </w:r>
      <w:r>
        <w:rPr/>
        <w:t>performance</w:t>
      </w:r>
      <w:r>
        <w:rPr>
          <w:spacing w:val="-3"/>
        </w:rPr>
        <w:t> </w:t>
      </w:r>
      <w:r>
        <w:rPr/>
        <w:t>indicator</w:t>
      </w:r>
      <w:r>
        <w:rPr>
          <w:spacing w:val="-3"/>
        </w:rPr>
        <w:t> </w:t>
      </w:r>
      <w:r>
        <w:rPr/>
        <w:t>counts</w:t>
      </w:r>
      <w:r>
        <w:rPr>
          <w:spacing w:val="-3"/>
        </w:rPr>
        <w:t> </w:t>
      </w:r>
      <w:r>
        <w:rPr/>
        <w:t>ac- cumulated at the fixture level.</w:t>
      </w:r>
      <w:r>
        <w:rPr>
          <w:spacing w:val="40"/>
        </w:rPr>
        <w:t> </w:t>
      </w:r>
      <w:r>
        <w:rPr/>
        <w:t>Their data was taken from the 2012-2014 Super League seasons and used a total of 567 matches.</w:t>
      </w:r>
      <w:r>
        <w:rPr>
          <w:spacing w:val="40"/>
        </w:rPr>
        <w:t> </w:t>
      </w:r>
      <w:r>
        <w:rPr/>
        <w:t>45 action variables were used as performance indicator variables by subtracting the away team’s performance from the home team’s performance.</w:t>
      </w:r>
      <w:r>
        <w:rPr>
          <w:spacing w:val="40"/>
        </w:rPr>
        <w:t> </w:t>
      </w:r>
      <w:r>
        <w:rPr/>
        <w:t>The authors used principal component analysis (</w:t>
      </w:r>
      <w:hyperlink w:history="true" w:anchor="_bookmark261">
        <w:r>
          <w:rPr>
            <w:color w:val="FF0000"/>
          </w:rPr>
          <w:t>Jolliffe</w:t>
        </w:r>
      </w:hyperlink>
      <w:r>
        <w:rPr/>
        <w:t>,</w:t>
      </w:r>
      <w:hyperlink w:history="true" w:anchor="_bookmark261">
        <w:r>
          <w:rPr>
            <w:color w:val="FF0000"/>
          </w:rPr>
          <w:t>2002</w:t>
        </w:r>
        <w:r>
          <w:rPr/>
          <w:t>)</w:t>
        </w:r>
      </w:hyperlink>
      <w:r>
        <w:rPr/>
        <w:t> to reduce 45 performance indicators to 10 linear combinations.</w:t>
      </w:r>
      <w:r>
        <w:rPr>
          <w:spacing w:val="35"/>
        </w:rPr>
        <w:t> </w:t>
      </w:r>
      <w:r>
        <w:rPr/>
        <w:t>Logistic regression was used with these</w:t>
      </w:r>
      <w:r>
        <w:rPr>
          <w:spacing w:val="-9"/>
        </w:rPr>
        <w:t> </w:t>
      </w:r>
      <w:r>
        <w:rPr/>
        <w:t>10</w:t>
      </w:r>
      <w:r>
        <w:rPr>
          <w:spacing w:val="-9"/>
        </w:rPr>
        <w:t> </w:t>
      </w:r>
      <w:r>
        <w:rPr/>
        <w:t>performance</w:t>
      </w:r>
      <w:r>
        <w:rPr>
          <w:spacing w:val="-9"/>
        </w:rPr>
        <w:t> </w:t>
      </w:r>
      <w:r>
        <w:rPr/>
        <w:t>indicators</w:t>
      </w:r>
      <w:r>
        <w:rPr>
          <w:spacing w:val="-9"/>
        </w:rPr>
        <w:t> </w:t>
      </w:r>
      <w:r>
        <w:rPr/>
        <w:t>against</w:t>
      </w:r>
      <w:r>
        <w:rPr>
          <w:spacing w:val="-9"/>
        </w:rPr>
        <w:t> </w:t>
      </w:r>
      <w:r>
        <w:rPr/>
        <w:t>a</w:t>
      </w:r>
      <w:r>
        <w:rPr>
          <w:spacing w:val="-9"/>
        </w:rPr>
        <w:t> </w:t>
      </w:r>
      <w:r>
        <w:rPr/>
        <w:t>dichotomous</w:t>
      </w:r>
      <w:r>
        <w:rPr>
          <w:spacing w:val="-9"/>
        </w:rPr>
        <w:t> </w:t>
      </w:r>
      <w:r>
        <w:rPr/>
        <w:t>match</w:t>
      </w:r>
      <w:r>
        <w:rPr>
          <w:spacing w:val="-9"/>
        </w:rPr>
        <w:t> </w:t>
      </w:r>
      <w:r>
        <w:rPr/>
        <w:t>outcome</w:t>
      </w:r>
      <w:r>
        <w:rPr>
          <w:spacing w:val="-9"/>
        </w:rPr>
        <w:t> </w:t>
      </w:r>
      <w:r>
        <w:rPr/>
        <w:t>(win/lose)</w:t>
      </w:r>
      <w:r>
        <w:rPr>
          <w:spacing w:val="-9"/>
        </w:rPr>
        <w:t> </w:t>
      </w:r>
      <w:r>
        <w:rPr/>
        <w:t>depen- dent variable.</w:t>
      </w:r>
      <w:r>
        <w:rPr>
          <w:spacing w:val="40"/>
        </w:rPr>
        <w:t> </w:t>
      </w:r>
      <w:r>
        <w:rPr/>
        <w:t>Exhaustive chi-square automatic interaction decision trees (</w:t>
      </w:r>
      <w:hyperlink w:history="true" w:anchor="_bookmark262">
        <w:r>
          <w:rPr>
            <w:color w:val="FF0000"/>
          </w:rPr>
          <w:t>Kass</w:t>
        </w:r>
      </w:hyperlink>
      <w:r>
        <w:rPr/>
        <w:t>,</w:t>
      </w:r>
      <w:hyperlink w:history="true" w:anchor="_bookmark262">
        <w:r>
          <w:rPr>
            <w:color w:val="FF0000"/>
          </w:rPr>
          <w:t>1980</w:t>
        </w:r>
        <w:r>
          <w:rPr/>
          <w:t>)</w:t>
        </w:r>
      </w:hyperlink>
      <w:r>
        <w:rPr/>
        <w:t> were</w:t>
      </w:r>
      <w:r>
        <w:rPr>
          <w:spacing w:val="-8"/>
        </w:rPr>
        <w:t> </w:t>
      </w:r>
      <w:r>
        <w:rPr/>
        <w:t>used</w:t>
      </w:r>
      <w:r>
        <w:rPr>
          <w:spacing w:val="-8"/>
        </w:rPr>
        <w:t> </w:t>
      </w:r>
      <w:r>
        <w:rPr/>
        <w:t>to</w:t>
      </w:r>
      <w:r>
        <w:rPr>
          <w:spacing w:val="-8"/>
        </w:rPr>
        <w:t> </w:t>
      </w:r>
      <w:r>
        <w:rPr/>
        <w:t>evaluate</w:t>
      </w:r>
      <w:r>
        <w:rPr>
          <w:spacing w:val="-9"/>
        </w:rPr>
        <w:t> </w:t>
      </w:r>
      <w:r>
        <w:rPr/>
        <w:t>the</w:t>
      </w:r>
      <w:r>
        <w:rPr>
          <w:spacing w:val="-8"/>
        </w:rPr>
        <w:t> </w:t>
      </w:r>
      <w:r>
        <w:rPr/>
        <w:t>importance</w:t>
      </w:r>
      <w:r>
        <w:rPr>
          <w:spacing w:val="-8"/>
        </w:rPr>
        <w:t> </w:t>
      </w:r>
      <w:r>
        <w:rPr/>
        <w:t>of</w:t>
      </w:r>
      <w:r>
        <w:rPr>
          <w:spacing w:val="-9"/>
        </w:rPr>
        <w:t> </w:t>
      </w:r>
      <w:r>
        <w:rPr/>
        <w:t>the</w:t>
      </w:r>
      <w:r>
        <w:rPr>
          <w:spacing w:val="-8"/>
        </w:rPr>
        <w:t> </w:t>
      </w:r>
      <w:r>
        <w:rPr/>
        <w:t>principal</w:t>
      </w:r>
      <w:r>
        <w:rPr>
          <w:spacing w:val="-8"/>
        </w:rPr>
        <w:t> </w:t>
      </w:r>
      <w:r>
        <w:rPr/>
        <w:t>components</w:t>
      </w:r>
      <w:r>
        <w:rPr>
          <w:spacing w:val="-8"/>
        </w:rPr>
        <w:t> </w:t>
      </w:r>
      <w:r>
        <w:rPr/>
        <w:t>with</w:t>
      </w:r>
      <w:r>
        <w:rPr>
          <w:spacing w:val="-9"/>
        </w:rPr>
        <w:t> </w:t>
      </w:r>
      <w:r>
        <w:rPr/>
        <w:t>respect</w:t>
      </w:r>
      <w:r>
        <w:rPr>
          <w:spacing w:val="-8"/>
        </w:rPr>
        <w:t> </w:t>
      </w:r>
      <w:r>
        <w:rPr/>
        <w:t>to</w:t>
      </w:r>
      <w:r>
        <w:rPr>
          <w:spacing w:val="-8"/>
        </w:rPr>
        <w:t> </w:t>
      </w:r>
      <w:r>
        <w:rPr/>
        <w:t>the</w:t>
      </w:r>
      <w:r>
        <w:rPr>
          <w:spacing w:val="-8"/>
        </w:rPr>
        <w:t> </w:t>
      </w:r>
      <w:r>
        <w:rPr/>
        <w:t>out- come variable.</w:t>
      </w:r>
      <w:r>
        <w:rPr>
          <w:spacing w:val="40"/>
        </w:rPr>
        <w:t> </w:t>
      </w:r>
      <w:r>
        <w:rPr/>
        <w:t>The model accurately predicted match outcome with 88.3% accuracy in the training data set and 90.5% accuracy in the testing data set.</w:t>
      </w:r>
      <w:r>
        <w:rPr>
          <w:spacing w:val="40"/>
        </w:rPr>
        <w:t> </w:t>
      </w:r>
      <w:r>
        <w:rPr/>
        <w:t>The three most impor- tant performance indicators were identified as “making quick ground” (i.e.</w:t>
      </w:r>
      <w:r>
        <w:rPr>
          <w:spacing w:val="40"/>
        </w:rPr>
        <w:t> </w:t>
      </w:r>
      <w:r>
        <w:rPr/>
        <w:t>progressing quickly towards the opposition try line), “amount of possession” (i.e.</w:t>
      </w:r>
      <w:r>
        <w:rPr>
          <w:spacing w:val="27"/>
        </w:rPr>
        <w:t> </w:t>
      </w:r>
      <w:r>
        <w:rPr/>
        <w:t>how many actions the</w:t>
      </w:r>
      <w:r>
        <w:rPr>
          <w:spacing w:val="-7"/>
        </w:rPr>
        <w:t> </w:t>
      </w:r>
      <w:r>
        <w:rPr/>
        <w:t>team</w:t>
      </w:r>
      <w:r>
        <w:rPr>
          <w:spacing w:val="-8"/>
        </w:rPr>
        <w:t> </w:t>
      </w:r>
      <w:r>
        <w:rPr/>
        <w:t>performs</w:t>
      </w:r>
      <w:r>
        <w:rPr>
          <w:spacing w:val="-7"/>
        </w:rPr>
        <w:t> </w:t>
      </w:r>
      <w:r>
        <w:rPr/>
        <w:t>with</w:t>
      </w:r>
      <w:r>
        <w:rPr>
          <w:spacing w:val="-7"/>
        </w:rPr>
        <w:t> </w:t>
      </w:r>
      <w:r>
        <w:rPr/>
        <w:t>the</w:t>
      </w:r>
      <w:r>
        <w:rPr>
          <w:spacing w:val="-8"/>
        </w:rPr>
        <w:t> </w:t>
      </w:r>
      <w:r>
        <w:rPr/>
        <w:t>ball)</w:t>
      </w:r>
      <w:r>
        <w:rPr>
          <w:spacing w:val="-7"/>
        </w:rPr>
        <w:t> </w:t>
      </w:r>
      <w:r>
        <w:rPr/>
        <w:t>and</w:t>
      </w:r>
      <w:r>
        <w:rPr>
          <w:spacing w:val="-8"/>
        </w:rPr>
        <w:t> </w:t>
      </w:r>
      <w:r>
        <w:rPr/>
        <w:t>“form”</w:t>
      </w:r>
      <w:r>
        <w:rPr>
          <w:spacing w:val="-7"/>
        </w:rPr>
        <w:t> </w:t>
      </w:r>
      <w:r>
        <w:rPr/>
        <w:t>(i.e. whether</w:t>
      </w:r>
      <w:r>
        <w:rPr>
          <w:spacing w:val="-7"/>
        </w:rPr>
        <w:t> </w:t>
      </w:r>
      <w:r>
        <w:rPr/>
        <w:t>the</w:t>
      </w:r>
      <w:r>
        <w:rPr>
          <w:spacing w:val="-7"/>
        </w:rPr>
        <w:t> </w:t>
      </w:r>
      <w:r>
        <w:rPr/>
        <w:t>team</w:t>
      </w:r>
      <w:r>
        <w:rPr>
          <w:spacing w:val="-8"/>
        </w:rPr>
        <w:t> </w:t>
      </w:r>
      <w:r>
        <w:rPr/>
        <w:t>won</w:t>
      </w:r>
      <w:r>
        <w:rPr>
          <w:spacing w:val="-7"/>
        </w:rPr>
        <w:t> </w:t>
      </w:r>
      <w:r>
        <w:rPr/>
        <w:t>or</w:t>
      </w:r>
      <w:r>
        <w:rPr>
          <w:spacing w:val="-7"/>
        </w:rPr>
        <w:t> </w:t>
      </w:r>
      <w:r>
        <w:rPr/>
        <w:t>lost</w:t>
      </w:r>
      <w:r>
        <w:rPr>
          <w:spacing w:val="-8"/>
        </w:rPr>
        <w:t> </w:t>
      </w:r>
      <w:r>
        <w:rPr/>
        <w:t>a</w:t>
      </w:r>
      <w:r>
        <w:rPr>
          <w:spacing w:val="-7"/>
        </w:rPr>
        <w:t> </w:t>
      </w:r>
      <w:r>
        <w:rPr/>
        <w:t>previous set of matches).</w:t>
      </w:r>
      <w:r>
        <w:rPr>
          <w:spacing w:val="35"/>
        </w:rPr>
        <w:t> </w:t>
      </w:r>
      <w:r>
        <w:rPr/>
        <w:t>By utilising a principal component analysis approach, the authors were able to group together different performance indicators and provide two key modifiable elements</w:t>
      </w:r>
      <w:r>
        <w:rPr>
          <w:spacing w:val="-11"/>
        </w:rPr>
        <w:t> </w:t>
      </w:r>
      <w:r>
        <w:rPr/>
        <w:t>(“making</w:t>
      </w:r>
      <w:r>
        <w:rPr>
          <w:spacing w:val="-11"/>
        </w:rPr>
        <w:t> </w:t>
      </w:r>
      <w:r>
        <w:rPr/>
        <w:t>quick</w:t>
      </w:r>
      <w:r>
        <w:rPr>
          <w:spacing w:val="-11"/>
        </w:rPr>
        <w:t> </w:t>
      </w:r>
      <w:r>
        <w:rPr/>
        <w:t>ground”</w:t>
      </w:r>
      <w:r>
        <w:rPr>
          <w:spacing w:val="-11"/>
        </w:rPr>
        <w:t> </w:t>
      </w:r>
      <w:r>
        <w:rPr/>
        <w:t>and</w:t>
      </w:r>
      <w:r>
        <w:rPr>
          <w:spacing w:val="-11"/>
        </w:rPr>
        <w:t> </w:t>
      </w:r>
      <w:r>
        <w:rPr/>
        <w:t>“amount</w:t>
      </w:r>
      <w:r>
        <w:rPr>
          <w:spacing w:val="-11"/>
        </w:rPr>
        <w:t> </w:t>
      </w:r>
      <w:r>
        <w:rPr/>
        <w:t>of</w:t>
      </w:r>
      <w:r>
        <w:rPr>
          <w:spacing w:val="-11"/>
        </w:rPr>
        <w:t> </w:t>
      </w:r>
      <w:r>
        <w:rPr/>
        <w:t>possession”),</w:t>
      </w:r>
      <w:r>
        <w:rPr>
          <w:spacing w:val="-10"/>
        </w:rPr>
        <w:t> </w:t>
      </w:r>
      <w:r>
        <w:rPr/>
        <w:t>which</w:t>
      </w:r>
      <w:r>
        <w:rPr>
          <w:spacing w:val="-11"/>
        </w:rPr>
        <w:t> </w:t>
      </w:r>
      <w:r>
        <w:rPr/>
        <w:t>coaches</w:t>
      </w:r>
      <w:r>
        <w:rPr>
          <w:spacing w:val="-11"/>
        </w:rPr>
        <w:t> </w:t>
      </w:r>
      <w:r>
        <w:rPr/>
        <w:t>could</w:t>
      </w:r>
      <w:r>
        <w:rPr>
          <w:spacing w:val="-11"/>
        </w:rPr>
        <w:t> </w:t>
      </w:r>
      <w:r>
        <w:rPr/>
        <w:t>use to</w:t>
      </w:r>
      <w:r>
        <w:rPr>
          <w:spacing w:val="-7"/>
        </w:rPr>
        <w:t> </w:t>
      </w:r>
      <w:r>
        <w:rPr/>
        <w:t>measure</w:t>
      </w:r>
      <w:r>
        <w:rPr>
          <w:spacing w:val="-7"/>
        </w:rPr>
        <w:t> </w:t>
      </w:r>
      <w:r>
        <w:rPr/>
        <w:t>performance. The</w:t>
      </w:r>
      <w:r>
        <w:rPr>
          <w:spacing w:val="-7"/>
        </w:rPr>
        <w:t> </w:t>
      </w:r>
      <w:r>
        <w:rPr/>
        <w:t>inclusion</w:t>
      </w:r>
      <w:r>
        <w:rPr>
          <w:spacing w:val="-7"/>
        </w:rPr>
        <w:t> </w:t>
      </w:r>
      <w:r>
        <w:rPr/>
        <w:t>of</w:t>
      </w:r>
      <w:r>
        <w:rPr>
          <w:spacing w:val="-7"/>
        </w:rPr>
        <w:t> </w:t>
      </w:r>
      <w:r>
        <w:rPr/>
        <w:t>“form”</w:t>
      </w:r>
      <w:r>
        <w:rPr>
          <w:spacing w:val="-7"/>
        </w:rPr>
        <w:t> </w:t>
      </w:r>
      <w:r>
        <w:rPr/>
        <w:t>provided</w:t>
      </w:r>
      <w:r>
        <w:rPr>
          <w:spacing w:val="-7"/>
        </w:rPr>
        <w:t> </w:t>
      </w:r>
      <w:r>
        <w:rPr/>
        <w:t>little</w:t>
      </w:r>
      <w:r>
        <w:rPr>
          <w:spacing w:val="-7"/>
        </w:rPr>
        <w:t> </w:t>
      </w:r>
      <w:r>
        <w:rPr/>
        <w:t>useful</w:t>
      </w:r>
      <w:r>
        <w:rPr>
          <w:spacing w:val="-7"/>
        </w:rPr>
        <w:t> </w:t>
      </w:r>
      <w:r>
        <w:rPr/>
        <w:t>information</w:t>
      </w:r>
      <w:r>
        <w:rPr>
          <w:spacing w:val="-7"/>
        </w:rPr>
        <w:t> </w:t>
      </w:r>
      <w:r>
        <w:rPr/>
        <w:t>from a practical perspective.</w:t>
      </w:r>
    </w:p>
    <w:p>
      <w:pPr>
        <w:pStyle w:val="BodyText"/>
        <w:spacing w:line="312" w:lineRule="auto"/>
        <w:ind w:left="610" w:right="389" w:firstLine="351"/>
        <w:jc w:val="both"/>
      </w:pPr>
      <w:hyperlink w:history="true" w:anchor="_bookmark308">
        <w:r>
          <w:rPr>
            <w:color w:val="FF0000"/>
          </w:rPr>
          <w:t>Wedding</w:t>
        </w:r>
        <w:r>
          <w:rPr>
            <w:color w:val="FF0000"/>
            <w:spacing w:val="-4"/>
          </w:rPr>
          <w:t> </w:t>
        </w:r>
        <w:r>
          <w:rPr>
            <w:color w:val="FF0000"/>
          </w:rPr>
          <w:t>et</w:t>
        </w:r>
        <w:r>
          <w:rPr>
            <w:color w:val="FF0000"/>
            <w:spacing w:val="-4"/>
          </w:rPr>
          <w:t> </w:t>
        </w:r>
        <w:r>
          <w:rPr>
            <w:color w:val="FF0000"/>
          </w:rPr>
          <w:t>al.</w:t>
        </w:r>
      </w:hyperlink>
      <w:r>
        <w:rPr/>
        <w:t>(</w:t>
      </w:r>
      <w:hyperlink w:history="true" w:anchor="_bookmark308">
        <w:r>
          <w:rPr>
            <w:color w:val="FF0000"/>
          </w:rPr>
          <w:t>2020</w:t>
        </w:r>
        <w:r>
          <w:rPr/>
          <w:t>)</w:t>
        </w:r>
      </w:hyperlink>
      <w:r>
        <w:rPr>
          <w:spacing w:val="-4"/>
        </w:rPr>
        <w:t> </w:t>
      </w:r>
      <w:r>
        <w:rPr/>
        <w:t>followed</w:t>
      </w:r>
      <w:r>
        <w:rPr>
          <w:spacing w:val="-4"/>
        </w:rPr>
        <w:t> </w:t>
      </w:r>
      <w:r>
        <w:rPr/>
        <w:t>a</w:t>
      </w:r>
      <w:r>
        <w:rPr>
          <w:spacing w:val="-4"/>
        </w:rPr>
        <w:t> </w:t>
      </w:r>
      <w:r>
        <w:rPr/>
        <w:t>similar</w:t>
      </w:r>
      <w:r>
        <w:rPr>
          <w:spacing w:val="-4"/>
        </w:rPr>
        <w:t> </w:t>
      </w:r>
      <w:r>
        <w:rPr/>
        <w:t>data</w:t>
      </w:r>
      <w:r>
        <w:rPr>
          <w:spacing w:val="-4"/>
        </w:rPr>
        <w:t> </w:t>
      </w:r>
      <w:r>
        <w:rPr/>
        <w:t>driven</w:t>
      </w:r>
      <w:r>
        <w:rPr>
          <w:spacing w:val="-4"/>
        </w:rPr>
        <w:t> </w:t>
      </w:r>
      <w:r>
        <w:rPr/>
        <w:t>approach</w:t>
      </w:r>
      <w:r>
        <w:rPr>
          <w:spacing w:val="-4"/>
        </w:rPr>
        <w:t> </w:t>
      </w:r>
      <w:r>
        <w:rPr/>
        <w:t>to</w:t>
      </w:r>
      <w:r>
        <w:rPr>
          <w:spacing w:val="-4"/>
        </w:rPr>
        <w:t> </w:t>
      </w:r>
      <w:r>
        <w:rPr/>
        <w:t>understand</w:t>
      </w:r>
      <w:r>
        <w:rPr>
          <w:spacing w:val="-4"/>
        </w:rPr>
        <w:t> </w:t>
      </w:r>
      <w:r>
        <w:rPr/>
        <w:t>seasonal changes in performance indicator variables for different playing positions.</w:t>
      </w:r>
      <w:r>
        <w:rPr>
          <w:spacing w:val="40"/>
        </w:rPr>
        <w:t> </w:t>
      </w:r>
      <w:r>
        <w:rPr/>
        <w:t>They </w:t>
      </w:r>
      <w:r>
        <w:rPr/>
        <w:t>used 34,047 observations from the 2015-2019 seasons.</w:t>
      </w:r>
      <w:r>
        <w:rPr>
          <w:spacing w:val="30"/>
        </w:rPr>
        <w:t> </w:t>
      </w:r>
      <w:r>
        <w:rPr/>
        <w:t>48 performance indicators were iden- tified</w:t>
      </w:r>
      <w:r>
        <w:rPr>
          <w:spacing w:val="-5"/>
        </w:rPr>
        <w:t> </w:t>
      </w:r>
      <w:r>
        <w:rPr/>
        <w:t>at</w:t>
      </w:r>
      <w:r>
        <w:rPr>
          <w:spacing w:val="-5"/>
        </w:rPr>
        <w:t> </w:t>
      </w:r>
      <w:r>
        <w:rPr/>
        <w:t>a</w:t>
      </w:r>
      <w:r>
        <w:rPr>
          <w:spacing w:val="-5"/>
        </w:rPr>
        <w:t> </w:t>
      </w:r>
      <w:r>
        <w:rPr/>
        <w:t>player</w:t>
      </w:r>
      <w:r>
        <w:rPr>
          <w:spacing w:val="-4"/>
        </w:rPr>
        <w:t> </w:t>
      </w:r>
      <w:r>
        <w:rPr/>
        <w:t>level</w:t>
      </w:r>
      <w:r>
        <w:rPr>
          <w:spacing w:val="-5"/>
        </w:rPr>
        <w:t> </w:t>
      </w:r>
      <w:r>
        <w:rPr/>
        <w:t>and</w:t>
      </w:r>
      <w:r>
        <w:rPr>
          <w:spacing w:val="-4"/>
        </w:rPr>
        <w:t> </w:t>
      </w:r>
      <w:r>
        <w:rPr/>
        <w:t>normalised</w:t>
      </w:r>
      <w:r>
        <w:rPr>
          <w:spacing w:val="-5"/>
        </w:rPr>
        <w:t> </w:t>
      </w:r>
      <w:r>
        <w:rPr/>
        <w:t>to</w:t>
      </w:r>
      <w:r>
        <w:rPr>
          <w:spacing w:val="-4"/>
        </w:rPr>
        <w:t> </w:t>
      </w:r>
      <w:r>
        <w:rPr/>
        <w:t>playing</w:t>
      </w:r>
      <w:r>
        <w:rPr>
          <w:spacing w:val="-5"/>
        </w:rPr>
        <w:t> </w:t>
      </w:r>
      <w:r>
        <w:rPr/>
        <w:t>time</w:t>
      </w:r>
      <w:r>
        <w:rPr>
          <w:spacing w:val="-4"/>
        </w:rPr>
        <w:t> </w:t>
      </w:r>
      <w:r>
        <w:rPr/>
        <w:t>prior</w:t>
      </w:r>
      <w:r>
        <w:rPr>
          <w:spacing w:val="-5"/>
        </w:rPr>
        <w:t> </w:t>
      </w:r>
      <w:r>
        <w:rPr/>
        <w:t>to</w:t>
      </w:r>
      <w:r>
        <w:rPr>
          <w:spacing w:val="-4"/>
        </w:rPr>
        <w:t> </w:t>
      </w:r>
      <w:r>
        <w:rPr/>
        <w:t>analysis.</w:t>
      </w:r>
      <w:r>
        <w:rPr>
          <w:spacing w:val="13"/>
        </w:rPr>
        <w:t> </w:t>
      </w:r>
      <w:r>
        <w:rPr/>
        <w:t>The</w:t>
      </w:r>
      <w:r>
        <w:rPr>
          <w:spacing w:val="-5"/>
        </w:rPr>
        <w:t> </w:t>
      </w:r>
      <w:r>
        <w:rPr/>
        <w:t>authors</w:t>
      </w:r>
      <w:r>
        <w:rPr>
          <w:spacing w:val="-4"/>
        </w:rPr>
        <w:t> used</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principal</w:t>
      </w:r>
      <w:r>
        <w:rPr>
          <w:spacing w:val="-10"/>
        </w:rPr>
        <w:t> </w:t>
      </w:r>
      <w:r>
        <w:rPr/>
        <w:t>component</w:t>
      </w:r>
      <w:r>
        <w:rPr>
          <w:spacing w:val="-10"/>
        </w:rPr>
        <w:t> </w:t>
      </w:r>
      <w:r>
        <w:rPr/>
        <w:t>analysis</w:t>
      </w:r>
      <w:r>
        <w:rPr>
          <w:spacing w:val="-10"/>
        </w:rPr>
        <w:t> </w:t>
      </w:r>
      <w:r>
        <w:rPr/>
        <w:t>to</w:t>
      </w:r>
      <w:r>
        <w:rPr>
          <w:spacing w:val="-10"/>
        </w:rPr>
        <w:t> </w:t>
      </w:r>
      <w:r>
        <w:rPr/>
        <w:t>reduce</w:t>
      </w:r>
      <w:r>
        <w:rPr>
          <w:spacing w:val="-10"/>
        </w:rPr>
        <w:t> </w:t>
      </w:r>
      <w:r>
        <w:rPr/>
        <w:t>the</w:t>
      </w:r>
      <w:r>
        <w:rPr>
          <w:spacing w:val="-10"/>
        </w:rPr>
        <w:t> </w:t>
      </w:r>
      <w:r>
        <w:rPr/>
        <w:t>48</w:t>
      </w:r>
      <w:r>
        <w:rPr>
          <w:spacing w:val="-10"/>
        </w:rPr>
        <w:t> </w:t>
      </w:r>
      <w:r>
        <w:rPr/>
        <w:t>performance</w:t>
      </w:r>
      <w:r>
        <w:rPr>
          <w:spacing w:val="-10"/>
        </w:rPr>
        <w:t> </w:t>
      </w:r>
      <w:r>
        <w:rPr/>
        <w:t>indicators</w:t>
      </w:r>
      <w:r>
        <w:rPr>
          <w:spacing w:val="-10"/>
        </w:rPr>
        <w:t> </w:t>
      </w:r>
      <w:r>
        <w:rPr/>
        <w:t>to</w:t>
      </w:r>
      <w:r>
        <w:rPr>
          <w:spacing w:val="-10"/>
        </w:rPr>
        <w:t> </w:t>
      </w:r>
      <w:r>
        <w:rPr/>
        <w:t>14</w:t>
      </w:r>
      <w:r>
        <w:rPr>
          <w:spacing w:val="-10"/>
        </w:rPr>
        <w:t> </w:t>
      </w:r>
      <w:r>
        <w:rPr/>
        <w:t>linear</w:t>
      </w:r>
      <w:r>
        <w:rPr>
          <w:spacing w:val="-10"/>
        </w:rPr>
        <w:t> </w:t>
      </w:r>
      <w:r>
        <w:rPr/>
        <w:t>combi- nations.</w:t>
      </w:r>
      <w:r>
        <w:rPr>
          <w:spacing w:val="27"/>
        </w:rPr>
        <w:t> </w:t>
      </w:r>
      <w:r>
        <w:rPr/>
        <w:t>The 14 performance indicators accounted for 58.5% of the variance in the data. Two-step cluster analysis (</w:t>
      </w:r>
      <w:hyperlink w:history="true" w:anchor="_bookmark234">
        <w:r>
          <w:rPr>
            <w:color w:val="FF0000"/>
          </w:rPr>
          <w:t>Chiu et al.</w:t>
        </w:r>
      </w:hyperlink>
      <w:r>
        <w:rPr/>
        <w:t>,</w:t>
      </w:r>
      <w:hyperlink w:history="true" w:anchor="_bookmark234">
        <w:r>
          <w:rPr>
            <w:color w:val="FF0000"/>
          </w:rPr>
          <w:t>2001</w:t>
        </w:r>
        <w:r>
          <w:rPr/>
          <w:t>)</w:t>
        </w:r>
      </w:hyperlink>
      <w:r>
        <w:rPr/>
        <w:t> was used to group players into positional</w:t>
      </w:r>
      <w:r>
        <w:rPr>
          <w:spacing w:val="40"/>
        </w:rPr>
        <w:t> </w:t>
      </w:r>
      <w:r>
        <w:rPr/>
        <w:t>groups based on their performance indicators.</w:t>
      </w:r>
      <w:r>
        <w:rPr>
          <w:spacing w:val="40"/>
        </w:rPr>
        <w:t> </w:t>
      </w:r>
      <w:r>
        <w:rPr/>
        <w:t>Six positional groups were identified </w:t>
      </w:r>
      <w:r>
        <w:rPr/>
        <w:t>by the authors’ data driven approach, compared to four groups highlighted by previous re- search (</w:t>
      </w:r>
      <w:hyperlink w:history="true" w:anchor="_bookmark295">
        <w:r>
          <w:rPr>
            <w:color w:val="FF0000"/>
          </w:rPr>
          <w:t>Sirotic et al.</w:t>
        </w:r>
      </w:hyperlink>
      <w:r>
        <w:rPr/>
        <w:t>,</w:t>
      </w:r>
      <w:hyperlink w:history="true" w:anchor="_bookmark295">
        <w:r>
          <w:rPr>
            <w:color w:val="FF0000"/>
          </w:rPr>
          <w:t>2011</w:t>
        </w:r>
      </w:hyperlink>
      <w:r>
        <w:rPr/>
        <w:t>).</w:t>
      </w:r>
      <w:r>
        <w:rPr>
          <w:spacing w:val="40"/>
        </w:rPr>
        <w:t> </w:t>
      </w:r>
      <w:r>
        <w:rPr/>
        <w:t>Discriminant analysis showed that players were correctly</w:t>
      </w:r>
      <w:r>
        <w:rPr>
          <w:spacing w:val="40"/>
        </w:rPr>
        <w:t> </w:t>
      </w:r>
      <w:r>
        <w:rPr/>
        <w:t>classified into the six positional groups with 62.9% accuracy using the 14 performance indicators.</w:t>
      </w:r>
      <w:r>
        <w:rPr>
          <w:spacing w:val="40"/>
        </w:rPr>
        <w:t> </w:t>
      </w:r>
      <w:r>
        <w:rPr/>
        <w:t>The authors were able to identify the combinations of performance indica-</w:t>
      </w:r>
      <w:r>
        <w:rPr>
          <w:spacing w:val="40"/>
        </w:rPr>
        <w:t> </w:t>
      </w:r>
      <w:r>
        <w:rPr/>
        <w:t>tors</w:t>
      </w:r>
      <w:r>
        <w:rPr>
          <w:spacing w:val="-10"/>
        </w:rPr>
        <w:t> </w:t>
      </w:r>
      <w:r>
        <w:rPr/>
        <w:t>most</w:t>
      </w:r>
      <w:r>
        <w:rPr>
          <w:spacing w:val="-11"/>
        </w:rPr>
        <w:t> </w:t>
      </w:r>
      <w:r>
        <w:rPr/>
        <w:t>relevant</w:t>
      </w:r>
      <w:r>
        <w:rPr>
          <w:spacing w:val="-10"/>
        </w:rPr>
        <w:t> </w:t>
      </w:r>
      <w:r>
        <w:rPr/>
        <w:t>to</w:t>
      </w:r>
      <w:r>
        <w:rPr>
          <w:spacing w:val="-11"/>
        </w:rPr>
        <w:t> </w:t>
      </w:r>
      <w:r>
        <w:rPr/>
        <w:t>each</w:t>
      </w:r>
      <w:r>
        <w:rPr>
          <w:spacing w:val="-10"/>
        </w:rPr>
        <w:t> </w:t>
      </w:r>
      <w:r>
        <w:rPr/>
        <w:t>positional</w:t>
      </w:r>
      <w:r>
        <w:rPr>
          <w:spacing w:val="-10"/>
        </w:rPr>
        <w:t> </w:t>
      </w:r>
      <w:r>
        <w:rPr/>
        <w:t>group,</w:t>
      </w:r>
      <w:r>
        <w:rPr>
          <w:spacing w:val="-10"/>
        </w:rPr>
        <w:t> </w:t>
      </w:r>
      <w:r>
        <w:rPr/>
        <w:t>providing</w:t>
      </w:r>
      <w:r>
        <w:rPr>
          <w:spacing w:val="-10"/>
        </w:rPr>
        <w:t> </w:t>
      </w:r>
      <w:r>
        <w:rPr/>
        <w:t>a</w:t>
      </w:r>
      <w:r>
        <w:rPr>
          <w:spacing w:val="-10"/>
        </w:rPr>
        <w:t> </w:t>
      </w:r>
      <w:r>
        <w:rPr/>
        <w:t>set</w:t>
      </w:r>
      <w:r>
        <w:rPr>
          <w:spacing w:val="-10"/>
        </w:rPr>
        <w:t> </w:t>
      </w:r>
      <w:r>
        <w:rPr/>
        <w:t>of</w:t>
      </w:r>
      <w:r>
        <w:rPr>
          <w:spacing w:val="-10"/>
        </w:rPr>
        <w:t> </w:t>
      </w:r>
      <w:r>
        <w:rPr/>
        <w:t>performance</w:t>
      </w:r>
      <w:r>
        <w:rPr>
          <w:spacing w:val="-11"/>
        </w:rPr>
        <w:t> </w:t>
      </w:r>
      <w:r>
        <w:rPr/>
        <w:t>indicators</w:t>
      </w:r>
      <w:r>
        <w:rPr>
          <w:spacing w:val="-10"/>
        </w:rPr>
        <w:t> </w:t>
      </w:r>
      <w:r>
        <w:rPr/>
        <w:t>that coaches could use to measure performances at the accumulated count data level.</w:t>
      </w:r>
    </w:p>
    <w:p>
      <w:pPr>
        <w:pStyle w:val="BodyText"/>
        <w:spacing w:before="3"/>
        <w:rPr>
          <w:sz w:val="30"/>
        </w:rPr>
      </w:pPr>
    </w:p>
    <w:p>
      <w:pPr>
        <w:pStyle w:val="Heading4"/>
        <w:numPr>
          <w:ilvl w:val="3"/>
          <w:numId w:val="17"/>
        </w:numPr>
        <w:tabs>
          <w:tab w:pos="1506" w:val="left" w:leader="none"/>
          <w:tab w:pos="1508" w:val="left" w:leader="none"/>
        </w:tabs>
        <w:spacing w:line="240" w:lineRule="auto" w:before="0" w:after="0"/>
        <w:ind w:left="1507" w:right="0" w:hanging="898"/>
        <w:jc w:val="left"/>
      </w:pPr>
      <w:bookmarkStart w:name="_TOC_250051" w:id="74"/>
      <w:bookmarkStart w:name="2.3.2.2 Play by Play Data Analysis in Ru" w:id="75"/>
      <w:r>
        <w:rPr>
          <w:b w:val="0"/>
        </w:rPr>
      </w:r>
      <w:bookmarkStart w:name="_bookmark41" w:id="76"/>
      <w:bookmarkEnd w:id="76"/>
      <w:r>
        <w:rPr/>
        <w:t>Play</w:t>
      </w:r>
      <w:r>
        <w:rPr>
          <w:spacing w:val="-8"/>
        </w:rPr>
        <w:t> </w:t>
      </w:r>
      <w:r>
        <w:rPr/>
        <w:t>by</w:t>
      </w:r>
      <w:r>
        <w:rPr>
          <w:spacing w:val="-6"/>
        </w:rPr>
        <w:t> </w:t>
      </w:r>
      <w:r>
        <w:rPr/>
        <w:t>Play</w:t>
      </w:r>
      <w:r>
        <w:rPr>
          <w:spacing w:val="-6"/>
        </w:rPr>
        <w:t> </w:t>
      </w:r>
      <w:r>
        <w:rPr/>
        <w:t>Data</w:t>
      </w:r>
      <w:r>
        <w:rPr>
          <w:spacing w:val="-6"/>
        </w:rPr>
        <w:t> </w:t>
      </w:r>
      <w:r>
        <w:rPr/>
        <w:t>Analysis</w:t>
      </w:r>
      <w:r>
        <w:rPr>
          <w:spacing w:val="-6"/>
        </w:rPr>
        <w:t> </w:t>
      </w:r>
      <w:r>
        <w:rPr/>
        <w:t>in</w:t>
      </w:r>
      <w:r>
        <w:rPr>
          <w:spacing w:val="-6"/>
        </w:rPr>
        <w:t> </w:t>
      </w:r>
      <w:r>
        <w:rPr/>
        <w:t>Rugby</w:t>
      </w:r>
      <w:r>
        <w:rPr>
          <w:spacing w:val="-5"/>
        </w:rPr>
        <w:t> </w:t>
      </w:r>
      <w:bookmarkEnd w:id="74"/>
      <w:r>
        <w:rPr>
          <w:spacing w:val="-2"/>
        </w:rPr>
        <w:t>League</w:t>
      </w:r>
    </w:p>
    <w:p>
      <w:pPr>
        <w:pStyle w:val="BodyText"/>
        <w:spacing w:line="312" w:lineRule="auto" w:before="244"/>
        <w:ind w:left="610" w:right="389"/>
      </w:pPr>
      <w:r>
        <w:rPr/>
        <w:t>As</w:t>
      </w:r>
      <w:r>
        <w:rPr>
          <w:spacing w:val="-13"/>
        </w:rPr>
        <w:t> </w:t>
      </w:r>
      <w:r>
        <w:rPr/>
        <w:t>mentioned</w:t>
      </w:r>
      <w:r>
        <w:rPr>
          <w:spacing w:val="-13"/>
        </w:rPr>
        <w:t> </w:t>
      </w:r>
      <w:r>
        <w:rPr/>
        <w:t>in</w:t>
      </w:r>
      <w:r>
        <w:rPr>
          <w:spacing w:val="-13"/>
        </w:rPr>
        <w:t> </w:t>
      </w:r>
      <w:r>
        <w:rPr/>
        <w:t>Section</w:t>
      </w:r>
      <w:hyperlink w:history="true" w:anchor="_bookmark16">
        <w:r>
          <w:rPr>
            <w:color w:val="0000FF"/>
          </w:rPr>
          <w:t>2.2.2</w:t>
        </w:r>
        <w:r>
          <w:rPr/>
          <w:t>,</w:t>
        </w:r>
      </w:hyperlink>
      <w:r>
        <w:rPr>
          <w:spacing w:val="-11"/>
        </w:rPr>
        <w:t> </w:t>
      </w:r>
      <w:r>
        <w:rPr/>
        <w:t>although</w:t>
      </w:r>
      <w:r>
        <w:rPr>
          <w:spacing w:val="-13"/>
        </w:rPr>
        <w:t> </w:t>
      </w:r>
      <w:r>
        <w:rPr/>
        <w:t>accumulated</w:t>
      </w:r>
      <w:r>
        <w:rPr>
          <w:spacing w:val="-13"/>
        </w:rPr>
        <w:t> </w:t>
      </w:r>
      <w:r>
        <w:rPr/>
        <w:t>count</w:t>
      </w:r>
      <w:r>
        <w:rPr>
          <w:spacing w:val="-13"/>
        </w:rPr>
        <w:t> </w:t>
      </w:r>
      <w:r>
        <w:rPr/>
        <w:t>data</w:t>
      </w:r>
      <w:r>
        <w:rPr>
          <w:spacing w:val="-13"/>
        </w:rPr>
        <w:t> </w:t>
      </w:r>
      <w:r>
        <w:rPr/>
        <w:t>can</w:t>
      </w:r>
      <w:r>
        <w:rPr>
          <w:spacing w:val="-13"/>
        </w:rPr>
        <w:t> </w:t>
      </w:r>
      <w:r>
        <w:rPr/>
        <w:t>provide</w:t>
      </w:r>
      <w:r>
        <w:rPr>
          <w:spacing w:val="-13"/>
        </w:rPr>
        <w:t> </w:t>
      </w:r>
      <w:r>
        <w:rPr/>
        <w:t>performance indicators which coaches can use to evaluate performances or change tactics, the </w:t>
      </w:r>
      <w:r>
        <w:rPr/>
        <w:t>studies provide few direct insights into the sport on an action by action basis.</w:t>
      </w:r>
      <w:r>
        <w:rPr>
          <w:spacing w:val="40"/>
        </w:rPr>
        <w:t> </w:t>
      </w:r>
      <w:r>
        <w:rPr/>
        <w:t>This is because</w:t>
      </w:r>
      <w:r>
        <w:rPr>
          <w:spacing w:val="40"/>
        </w:rPr>
        <w:t> </w:t>
      </w:r>
      <w:r>
        <w:rPr/>
        <w:t>accumulated counts disregard the context surrounding each individual action.</w:t>
      </w:r>
      <w:r>
        <w:rPr>
          <w:spacing w:val="33"/>
        </w:rPr>
        <w:t> </w:t>
      </w:r>
      <w:r>
        <w:rPr/>
        <w:t>However, whereas</w:t>
      </w:r>
      <w:r>
        <w:rPr>
          <w:spacing w:val="-2"/>
        </w:rPr>
        <w:t> </w:t>
      </w:r>
      <w:r>
        <w:rPr/>
        <w:t>in</w:t>
      </w:r>
      <w:r>
        <w:rPr>
          <w:spacing w:val="-2"/>
        </w:rPr>
        <w:t> </w:t>
      </w:r>
      <w:r>
        <w:rPr/>
        <w:t>other</w:t>
      </w:r>
      <w:r>
        <w:rPr>
          <w:spacing w:val="-2"/>
        </w:rPr>
        <w:t> </w:t>
      </w:r>
      <w:r>
        <w:rPr/>
        <w:t>sports</w:t>
      </w:r>
      <w:r>
        <w:rPr>
          <w:spacing w:val="-2"/>
        </w:rPr>
        <w:t> </w:t>
      </w:r>
      <w:r>
        <w:rPr/>
        <w:t>action</w:t>
      </w:r>
      <w:r>
        <w:rPr>
          <w:spacing w:val="-2"/>
        </w:rPr>
        <w:t> </w:t>
      </w:r>
      <w:r>
        <w:rPr/>
        <w:t>by</w:t>
      </w:r>
      <w:r>
        <w:rPr>
          <w:spacing w:val="-2"/>
        </w:rPr>
        <w:t> </w:t>
      </w:r>
      <w:r>
        <w:rPr/>
        <w:t>action</w:t>
      </w:r>
      <w:r>
        <w:rPr>
          <w:spacing w:val="-2"/>
        </w:rPr>
        <w:t> </w:t>
      </w:r>
      <w:r>
        <w:rPr/>
        <w:t>and</w:t>
      </w:r>
      <w:r>
        <w:rPr>
          <w:spacing w:val="-2"/>
        </w:rPr>
        <w:t> </w:t>
      </w:r>
      <w:r>
        <w:rPr/>
        <w:t>tracking</w:t>
      </w:r>
      <w:r>
        <w:rPr>
          <w:spacing w:val="-2"/>
        </w:rPr>
        <w:t> </w:t>
      </w:r>
      <w:r>
        <w:rPr/>
        <w:t>data</w:t>
      </w:r>
      <w:r>
        <w:rPr>
          <w:spacing w:val="-2"/>
        </w:rPr>
        <w:t> </w:t>
      </w:r>
      <w:r>
        <w:rPr/>
        <w:t>have</w:t>
      </w:r>
      <w:r>
        <w:rPr>
          <w:spacing w:val="-2"/>
        </w:rPr>
        <w:t> </w:t>
      </w:r>
      <w:r>
        <w:rPr/>
        <w:t>become</w:t>
      </w:r>
      <w:r>
        <w:rPr>
          <w:spacing w:val="-2"/>
        </w:rPr>
        <w:t> </w:t>
      </w:r>
      <w:r>
        <w:rPr/>
        <w:t>readily</w:t>
      </w:r>
      <w:r>
        <w:rPr>
          <w:spacing w:val="-2"/>
        </w:rPr>
        <w:t> </w:t>
      </w:r>
      <w:r>
        <w:rPr/>
        <w:t>available and high quality analyses have been conducted </w:t>
      </w:r>
      <w:r>
        <w:rPr>
          <w:spacing w:val="7"/>
        </w:rPr>
        <w:t>(</w:t>
      </w:r>
      <w:hyperlink w:history="true" w:anchor="_bookmark243">
        <w:r>
          <w:rPr>
            <w:color w:val="FF0000"/>
            <w:spacing w:val="7"/>
          </w:rPr>
          <w:t>Fern</w:t>
        </w:r>
        <w:r>
          <w:rPr>
            <w:color w:val="FF0000"/>
            <w:spacing w:val="-86"/>
          </w:rPr>
          <w:t>a</w:t>
        </w:r>
        <w:r>
          <w:rPr>
            <w:color w:val="FF0000"/>
            <w:spacing w:val="20"/>
          </w:rPr>
          <w:t>´</w:t>
        </w:r>
        <w:r>
          <w:rPr>
            <w:color w:val="FF0000"/>
            <w:spacing w:val="7"/>
          </w:rPr>
          <w:t>ndez</w:t>
        </w:r>
        <w:r>
          <w:rPr>
            <w:color w:val="FF0000"/>
            <w:spacing w:val="-1"/>
          </w:rPr>
          <w:t> </w:t>
        </w:r>
        <w:r>
          <w:rPr>
            <w:color w:val="FF0000"/>
          </w:rPr>
          <w:t>et al.</w:t>
        </w:r>
      </w:hyperlink>
      <w:r>
        <w:rPr/>
        <w:t>,</w:t>
      </w:r>
      <w:hyperlink w:history="true" w:anchor="_bookmark243">
        <w:r>
          <w:rPr>
            <w:color w:val="FF0000"/>
          </w:rPr>
          <w:t>2021</w:t>
        </w:r>
        <w:r>
          <w:rPr/>
          <w:t>;</w:t>
        </w:r>
      </w:hyperlink>
      <w:r>
        <w:rPr>
          <w:color w:val="FF0000"/>
        </w:rPr>
        <w:t>Liu </w:t>
      </w:r>
      <w:hyperlink w:history="true" w:anchor="_bookmark269">
        <w:r>
          <w:rPr>
            <w:color w:val="FF0000"/>
          </w:rPr>
          <w:t>et al.</w:t>
        </w:r>
        <w:r>
          <w:rPr/>
          <w:t>,</w:t>
        </w:r>
      </w:hyperlink>
      <w:r>
        <w:rPr>
          <w:color w:val="FF0000"/>
        </w:rPr>
        <w:t>2020</w:t>
      </w:r>
      <w:hyperlink w:history="true" w:anchor="_bookmark269">
        <w:r>
          <w:rPr/>
          <w:t>),</w:t>
        </w:r>
      </w:hyperlink>
      <w:r>
        <w:rPr/>
        <w:t> at</w:t>
      </w:r>
      <w:r>
        <w:rPr>
          <w:spacing w:val="-5"/>
        </w:rPr>
        <w:t> </w:t>
      </w:r>
      <w:r>
        <w:rPr/>
        <w:t>the</w:t>
      </w:r>
      <w:r>
        <w:rPr>
          <w:spacing w:val="-5"/>
        </w:rPr>
        <w:t> </w:t>
      </w:r>
      <w:r>
        <w:rPr/>
        <w:t>onset</w:t>
      </w:r>
      <w:r>
        <w:rPr>
          <w:spacing w:val="-5"/>
        </w:rPr>
        <w:t> </w:t>
      </w:r>
      <w:r>
        <w:rPr/>
        <w:t>of</w:t>
      </w:r>
      <w:r>
        <w:rPr>
          <w:spacing w:val="-5"/>
        </w:rPr>
        <w:t> </w:t>
      </w:r>
      <w:r>
        <w:rPr/>
        <w:t>this</w:t>
      </w:r>
      <w:r>
        <w:rPr>
          <w:spacing w:val="-5"/>
        </w:rPr>
        <w:t> </w:t>
      </w:r>
      <w:r>
        <w:rPr/>
        <w:t>PhD</w:t>
      </w:r>
      <w:r>
        <w:rPr>
          <w:spacing w:val="-5"/>
        </w:rPr>
        <w:t> </w:t>
      </w:r>
      <w:r>
        <w:rPr/>
        <w:t>this</w:t>
      </w:r>
      <w:r>
        <w:rPr>
          <w:spacing w:val="-5"/>
        </w:rPr>
        <w:t> </w:t>
      </w:r>
      <w:r>
        <w:rPr/>
        <w:t>data</w:t>
      </w:r>
      <w:r>
        <w:rPr>
          <w:spacing w:val="-5"/>
        </w:rPr>
        <w:t> </w:t>
      </w:r>
      <w:r>
        <w:rPr/>
        <w:t>was</w:t>
      </w:r>
      <w:r>
        <w:rPr>
          <w:spacing w:val="-5"/>
        </w:rPr>
        <w:t> </w:t>
      </w:r>
      <w:r>
        <w:rPr/>
        <w:t>not</w:t>
      </w:r>
      <w:r>
        <w:rPr>
          <w:spacing w:val="-5"/>
        </w:rPr>
        <w:t> </w:t>
      </w:r>
      <w:r>
        <w:rPr/>
        <w:t>yet</w:t>
      </w:r>
      <w:r>
        <w:rPr>
          <w:spacing w:val="-5"/>
        </w:rPr>
        <w:t> </w:t>
      </w:r>
      <w:r>
        <w:rPr/>
        <w:t>available,</w:t>
      </w:r>
      <w:r>
        <w:rPr>
          <w:spacing w:val="-5"/>
        </w:rPr>
        <w:t> </w:t>
      </w:r>
      <w:r>
        <w:rPr/>
        <w:t>so</w:t>
      </w:r>
      <w:r>
        <w:rPr>
          <w:spacing w:val="-5"/>
        </w:rPr>
        <w:t> </w:t>
      </w:r>
      <w:r>
        <w:rPr/>
        <w:t>these</w:t>
      </w:r>
      <w:r>
        <w:rPr>
          <w:spacing w:val="-5"/>
        </w:rPr>
        <w:t> </w:t>
      </w:r>
      <w:r>
        <w:rPr/>
        <w:t>analyses</w:t>
      </w:r>
      <w:r>
        <w:rPr>
          <w:spacing w:val="-5"/>
        </w:rPr>
        <w:t> </w:t>
      </w:r>
      <w:r>
        <w:rPr/>
        <w:t>could</w:t>
      </w:r>
      <w:r>
        <w:rPr>
          <w:spacing w:val="-5"/>
        </w:rPr>
        <w:t> </w:t>
      </w:r>
      <w:r>
        <w:rPr/>
        <w:t>not</w:t>
      </w:r>
      <w:r>
        <w:rPr>
          <w:spacing w:val="-5"/>
        </w:rPr>
        <w:t> </w:t>
      </w:r>
      <w:r>
        <w:rPr/>
        <w:t>yet</w:t>
      </w:r>
      <w:r>
        <w:rPr>
          <w:spacing w:val="-5"/>
        </w:rPr>
        <w:t> </w:t>
      </w:r>
      <w:r>
        <w:rPr/>
        <w:t>be conducted in rugby league.</w:t>
      </w:r>
      <w:r>
        <w:rPr>
          <w:spacing w:val="40"/>
        </w:rPr>
        <w:t> </w:t>
      </w:r>
      <w:r>
        <w:rPr/>
        <w:t>Indeed, only play by play data (i.e.</w:t>
      </w:r>
      <w:r>
        <w:rPr>
          <w:spacing w:val="40"/>
        </w:rPr>
        <w:t> </w:t>
      </w:r>
      <w:r>
        <w:rPr/>
        <w:t>the location of the first action</w:t>
      </w:r>
      <w:r>
        <w:rPr>
          <w:spacing w:val="-6"/>
        </w:rPr>
        <w:t> </w:t>
      </w:r>
      <w:r>
        <w:rPr/>
        <w:t>of</w:t>
      </w:r>
      <w:r>
        <w:rPr>
          <w:spacing w:val="-5"/>
        </w:rPr>
        <w:t> </w:t>
      </w:r>
      <w:r>
        <w:rPr/>
        <w:t>each</w:t>
      </w:r>
      <w:r>
        <w:rPr>
          <w:spacing w:val="-6"/>
        </w:rPr>
        <w:t> </w:t>
      </w:r>
      <w:r>
        <w:rPr/>
        <w:t>play)</w:t>
      </w:r>
      <w:r>
        <w:rPr>
          <w:spacing w:val="-6"/>
        </w:rPr>
        <w:t> </w:t>
      </w:r>
      <w:r>
        <w:rPr/>
        <w:t>had</w:t>
      </w:r>
      <w:r>
        <w:rPr>
          <w:spacing w:val="-5"/>
        </w:rPr>
        <w:t> </w:t>
      </w:r>
      <w:r>
        <w:rPr/>
        <w:t>been</w:t>
      </w:r>
      <w:r>
        <w:rPr>
          <w:spacing w:val="-6"/>
        </w:rPr>
        <w:t> </w:t>
      </w:r>
      <w:r>
        <w:rPr/>
        <w:t>considered</w:t>
      </w:r>
      <w:r>
        <w:rPr>
          <w:spacing w:val="-6"/>
        </w:rPr>
        <w:t> </w:t>
      </w:r>
      <w:r>
        <w:rPr/>
        <w:t>in</w:t>
      </w:r>
      <w:r>
        <w:rPr>
          <w:spacing w:val="-5"/>
        </w:rPr>
        <w:t> </w:t>
      </w:r>
      <w:r>
        <w:rPr/>
        <w:t>the</w:t>
      </w:r>
      <w:r>
        <w:rPr>
          <w:spacing w:val="-6"/>
        </w:rPr>
        <w:t> </w:t>
      </w:r>
      <w:r>
        <w:rPr/>
        <w:t>literature</w:t>
      </w:r>
      <w:r>
        <w:rPr>
          <w:spacing w:val="-6"/>
        </w:rPr>
        <w:t> </w:t>
      </w:r>
      <w:r>
        <w:rPr/>
        <w:t>(</w:t>
      </w:r>
      <w:hyperlink w:history="true" w:anchor="_bookmark254">
        <w:r>
          <w:rPr>
            <w:color w:val="FF0000"/>
          </w:rPr>
          <w:t>Holbrook</w:t>
        </w:r>
        <w:r>
          <w:rPr>
            <w:color w:val="FF0000"/>
            <w:spacing w:val="-5"/>
          </w:rPr>
          <w:t> </w:t>
        </w:r>
        <w:r>
          <w:rPr>
            <w:color w:val="FF0000"/>
          </w:rPr>
          <w:t>et</w:t>
        </w:r>
        <w:r>
          <w:rPr>
            <w:color w:val="FF0000"/>
            <w:spacing w:val="-6"/>
          </w:rPr>
          <w:t> </w:t>
        </w:r>
        <w:r>
          <w:rPr>
            <w:color w:val="FF0000"/>
          </w:rPr>
          <w:t>al.</w:t>
        </w:r>
      </w:hyperlink>
      <w:r>
        <w:rPr/>
        <w:t>,</w:t>
      </w:r>
      <w:hyperlink w:history="true" w:anchor="_bookmark254">
        <w:r>
          <w:rPr>
            <w:color w:val="FF0000"/>
          </w:rPr>
          <w:t>2019</w:t>
        </w:r>
        <w:r>
          <w:rPr/>
          <w:t>;</w:t>
        </w:r>
      </w:hyperlink>
      <w:r>
        <w:rPr>
          <w:color w:val="FF0000"/>
        </w:rPr>
        <w:t>K</w:t>
      </w:r>
      <w:hyperlink w:history="true" w:anchor="_bookmark263">
        <w:r>
          <w:rPr>
            <w:color w:val="FF0000"/>
          </w:rPr>
          <w:t>empton</w:t>
        </w:r>
      </w:hyperlink>
      <w:r>
        <w:rPr>
          <w:color w:val="FF0000"/>
        </w:rPr>
        <w:t> </w:t>
      </w:r>
      <w:hyperlink w:history="true" w:anchor="_bookmark263">
        <w:r>
          <w:rPr>
            <w:color w:val="FF0000"/>
          </w:rPr>
          <w:t>et al.</w:t>
        </w:r>
      </w:hyperlink>
      <w:r>
        <w:rPr/>
        <w:t>,</w:t>
      </w:r>
      <w:hyperlink w:history="true" w:anchor="_bookmark263">
        <w:r>
          <w:rPr>
            <w:color w:val="FF0000"/>
          </w:rPr>
          <w:t>2016</w:t>
        </w:r>
      </w:hyperlink>
      <w:r>
        <w:rPr/>
        <w:t>).</w:t>
      </w:r>
    </w:p>
    <w:p>
      <w:pPr>
        <w:pStyle w:val="BodyText"/>
        <w:spacing w:line="312" w:lineRule="auto"/>
        <w:ind w:left="610" w:right="389" w:firstLine="351"/>
      </w:pPr>
      <w:hyperlink w:history="true" w:anchor="_bookmark263">
        <w:r>
          <w:rPr>
            <w:color w:val="FF0000"/>
          </w:rPr>
          <w:t>Kempton et al.</w:t>
        </w:r>
      </w:hyperlink>
      <w:r>
        <w:rPr/>
        <w:t>(</w:t>
      </w:r>
      <w:hyperlink w:history="true" w:anchor="_bookmark263">
        <w:r>
          <w:rPr>
            <w:color w:val="FF0000"/>
          </w:rPr>
          <w:t>2016</w:t>
        </w:r>
        <w:r>
          <w:rPr/>
          <w:t>)</w:t>
        </w:r>
      </w:hyperlink>
      <w:r>
        <w:rPr/>
        <w:t> produced the first variation of an EPV model in rugby league based</w:t>
      </w:r>
      <w:r>
        <w:rPr>
          <w:spacing w:val="26"/>
        </w:rPr>
        <w:t> </w:t>
      </w:r>
      <w:r>
        <w:rPr/>
        <w:t>on</w:t>
      </w:r>
      <w:r>
        <w:rPr>
          <w:spacing w:val="26"/>
        </w:rPr>
        <w:t> </w:t>
      </w:r>
      <w:r>
        <w:rPr/>
        <w:t>the</w:t>
      </w:r>
      <w:r>
        <w:rPr>
          <w:spacing w:val="26"/>
        </w:rPr>
        <w:t> </w:t>
      </w:r>
      <w:r>
        <w:rPr/>
        <w:t>location</w:t>
      </w:r>
      <w:r>
        <w:rPr>
          <w:spacing w:val="26"/>
        </w:rPr>
        <w:t> </w:t>
      </w:r>
      <w:r>
        <w:rPr/>
        <w:t>of</w:t>
      </w:r>
      <w:r>
        <w:rPr>
          <w:spacing w:val="26"/>
        </w:rPr>
        <w:t> </w:t>
      </w:r>
      <w:r>
        <w:rPr/>
        <w:t>the</w:t>
      </w:r>
      <w:r>
        <w:rPr>
          <w:spacing w:val="26"/>
        </w:rPr>
        <w:t> </w:t>
      </w:r>
      <w:r>
        <w:rPr/>
        <w:t>play-the-ball</w:t>
      </w:r>
      <w:r>
        <w:rPr>
          <w:spacing w:val="26"/>
        </w:rPr>
        <w:t> </w:t>
      </w:r>
      <w:r>
        <w:rPr/>
        <w:t>(the</w:t>
      </w:r>
      <w:r>
        <w:rPr>
          <w:spacing w:val="26"/>
        </w:rPr>
        <w:t> </w:t>
      </w:r>
      <w:r>
        <w:rPr/>
        <w:t>first</w:t>
      </w:r>
      <w:r>
        <w:rPr>
          <w:spacing w:val="26"/>
        </w:rPr>
        <w:t> </w:t>
      </w:r>
      <w:r>
        <w:rPr/>
        <w:t>action</w:t>
      </w:r>
      <w:r>
        <w:rPr>
          <w:spacing w:val="26"/>
        </w:rPr>
        <w:t> </w:t>
      </w:r>
      <w:r>
        <w:rPr/>
        <w:t>of</w:t>
      </w:r>
      <w:r>
        <w:rPr>
          <w:spacing w:val="26"/>
        </w:rPr>
        <w:t> </w:t>
      </w:r>
      <w:r>
        <w:rPr/>
        <w:t>each</w:t>
      </w:r>
      <w:r>
        <w:rPr>
          <w:spacing w:val="26"/>
        </w:rPr>
        <w:t> </w:t>
      </w:r>
      <w:r>
        <w:rPr/>
        <w:t>play).</w:t>
      </w:r>
      <w:r>
        <w:rPr>
          <w:spacing w:val="80"/>
        </w:rPr>
        <w:t> </w:t>
      </w:r>
      <w:r>
        <w:rPr/>
        <w:t>The</w:t>
      </w:r>
      <w:r>
        <w:rPr>
          <w:spacing w:val="26"/>
        </w:rPr>
        <w:t> </w:t>
      </w:r>
      <w:r>
        <w:rPr/>
        <w:t>authors used 155,352 observations from 768 matches in the 2010-2013 seasons of the National Rugby League.</w:t>
      </w:r>
      <w:r>
        <w:rPr>
          <w:spacing w:val="40"/>
        </w:rPr>
        <w:t> </w:t>
      </w:r>
      <w:r>
        <w:rPr/>
        <w:t>The </w:t>
      </w:r>
      <w:r>
        <w:rPr>
          <w:rFonts w:ascii="Cambria"/>
        </w:rPr>
        <w:t>x</w:t>
      </w:r>
      <w:r>
        <w:rPr/>
        <w:t>, </w:t>
      </w:r>
      <w:r>
        <w:rPr>
          <w:rFonts w:ascii="Cambria"/>
        </w:rPr>
        <w:t>y</w:t>
      </w:r>
      <w:r>
        <w:rPr>
          <w:rFonts w:ascii="Cambria"/>
          <w:spacing w:val="31"/>
        </w:rPr>
        <w:t> </w:t>
      </w:r>
      <w:r>
        <w:rPr/>
        <w:t>coordinates of each play-the-ball were noted and assigned to</w:t>
      </w:r>
      <w:r>
        <w:rPr>
          <w:spacing w:val="40"/>
        </w:rPr>
        <w:t> </w:t>
      </w:r>
      <w:r>
        <w:rPr/>
        <w:t>one of seventy 10m x 10m zones on the pitch.</w:t>
      </w:r>
      <w:r>
        <w:rPr>
          <w:spacing w:val="23"/>
        </w:rPr>
        <w:t> </w:t>
      </w:r>
      <w:r>
        <w:rPr/>
        <w:t>The reward was calculated as the number of points scored by the next try scoring action plus an approximate value for the 2 point conversion kick based on the probability of it being scored.</w:t>
      </w:r>
      <w:r>
        <w:rPr>
          <w:spacing w:val="27"/>
        </w:rPr>
        <w:t> </w:t>
      </w:r>
      <w:r>
        <w:rPr/>
        <w:t>Dynamic programming was used</w:t>
      </w:r>
      <w:r>
        <w:rPr>
          <w:spacing w:val="-15"/>
        </w:rPr>
        <w:t> </w:t>
      </w:r>
      <w:r>
        <w:rPr/>
        <w:t>to</w:t>
      </w:r>
      <w:r>
        <w:rPr>
          <w:spacing w:val="-15"/>
        </w:rPr>
        <w:t> </w:t>
      </w:r>
      <w:r>
        <w:rPr/>
        <w:t>estimate</w:t>
      </w:r>
      <w:r>
        <w:rPr>
          <w:spacing w:val="-15"/>
        </w:rPr>
        <w:t> </w:t>
      </w:r>
      <w:r>
        <w:rPr/>
        <w:t>the</w:t>
      </w:r>
      <w:r>
        <w:rPr>
          <w:spacing w:val="-15"/>
        </w:rPr>
        <w:t> </w:t>
      </w:r>
      <w:r>
        <w:rPr/>
        <w:t>expected</w:t>
      </w:r>
      <w:r>
        <w:rPr>
          <w:spacing w:val="-15"/>
        </w:rPr>
        <w:t> </w:t>
      </w:r>
      <w:r>
        <w:rPr/>
        <w:t>long-run</w:t>
      </w:r>
      <w:r>
        <w:rPr>
          <w:spacing w:val="-15"/>
        </w:rPr>
        <w:t> </w:t>
      </w:r>
      <w:r>
        <w:rPr/>
        <w:t>value</w:t>
      </w:r>
      <w:r>
        <w:rPr>
          <w:spacing w:val="-15"/>
        </w:rPr>
        <w:t> </w:t>
      </w:r>
      <w:r>
        <w:rPr/>
        <w:t>of</w:t>
      </w:r>
      <w:r>
        <w:rPr>
          <w:spacing w:val="-15"/>
        </w:rPr>
        <w:t> </w:t>
      </w:r>
      <w:r>
        <w:rPr/>
        <w:t>the</w:t>
      </w:r>
      <w:r>
        <w:rPr>
          <w:spacing w:val="-15"/>
        </w:rPr>
        <w:t> </w:t>
      </w:r>
      <w:r>
        <w:rPr/>
        <w:t>difference</w:t>
      </w:r>
      <w:r>
        <w:rPr>
          <w:spacing w:val="-15"/>
        </w:rPr>
        <w:t> </w:t>
      </w:r>
      <w:r>
        <w:rPr/>
        <w:t>in</w:t>
      </w:r>
      <w:r>
        <w:rPr>
          <w:spacing w:val="-15"/>
        </w:rPr>
        <w:t> </w:t>
      </w:r>
      <w:r>
        <w:rPr/>
        <w:t>points</w:t>
      </w:r>
      <w:r>
        <w:rPr>
          <w:spacing w:val="-15"/>
        </w:rPr>
        <w:t> </w:t>
      </w:r>
      <w:r>
        <w:rPr/>
        <w:t>scored</w:t>
      </w:r>
      <w:r>
        <w:rPr>
          <w:spacing w:val="-15"/>
        </w:rPr>
        <w:t> </w:t>
      </w:r>
      <w:r>
        <w:rPr/>
        <w:t>by</w:t>
      </w:r>
      <w:r>
        <w:rPr>
          <w:spacing w:val="-15"/>
        </w:rPr>
        <w:t> </w:t>
      </w:r>
      <w:r>
        <w:rPr/>
        <w:t>the</w:t>
      </w:r>
      <w:r>
        <w:rPr>
          <w:spacing w:val="-15"/>
        </w:rPr>
        <w:t> </w:t>
      </w:r>
      <w:r>
        <w:rPr/>
        <w:t>team in</w:t>
      </w:r>
      <w:r>
        <w:rPr>
          <w:spacing w:val="-9"/>
        </w:rPr>
        <w:t> </w:t>
      </w:r>
      <w:r>
        <w:rPr/>
        <w:t>possession</w:t>
      </w:r>
      <w:r>
        <w:rPr>
          <w:spacing w:val="-9"/>
        </w:rPr>
        <w:t> </w:t>
      </w:r>
      <w:r>
        <w:rPr/>
        <w:t>and</w:t>
      </w:r>
      <w:r>
        <w:rPr>
          <w:spacing w:val="-9"/>
        </w:rPr>
        <w:t> </w:t>
      </w:r>
      <w:r>
        <w:rPr/>
        <w:t>its</w:t>
      </w:r>
      <w:r>
        <w:rPr>
          <w:spacing w:val="-9"/>
        </w:rPr>
        <w:t> </w:t>
      </w:r>
      <w:r>
        <w:rPr/>
        <w:t>opposition. The</w:t>
      </w:r>
      <w:r>
        <w:rPr>
          <w:spacing w:val="-9"/>
        </w:rPr>
        <w:t> </w:t>
      </w:r>
      <w:r>
        <w:rPr/>
        <w:t>model</w:t>
      </w:r>
      <w:r>
        <w:rPr>
          <w:spacing w:val="-9"/>
        </w:rPr>
        <w:t> </w:t>
      </w:r>
      <w:r>
        <w:rPr/>
        <w:t>was</w:t>
      </w:r>
      <w:r>
        <w:rPr>
          <w:spacing w:val="-9"/>
        </w:rPr>
        <w:t> </w:t>
      </w:r>
      <w:r>
        <w:rPr/>
        <w:t>run</w:t>
      </w:r>
      <w:r>
        <w:rPr>
          <w:spacing w:val="-9"/>
        </w:rPr>
        <w:t> </w:t>
      </w:r>
      <w:r>
        <w:rPr/>
        <w:t>five</w:t>
      </w:r>
      <w:r>
        <w:rPr>
          <w:spacing w:val="-9"/>
        </w:rPr>
        <w:t> </w:t>
      </w:r>
      <w:r>
        <w:rPr/>
        <w:t>times,</w:t>
      </w:r>
      <w:r>
        <w:rPr>
          <w:spacing w:val="-9"/>
        </w:rPr>
        <w:t> </w:t>
      </w:r>
      <w:r>
        <w:rPr/>
        <w:t>once</w:t>
      </w:r>
      <w:r>
        <w:rPr>
          <w:spacing w:val="-9"/>
        </w:rPr>
        <w:t> </w:t>
      </w:r>
      <w:r>
        <w:rPr/>
        <w:t>for</w:t>
      </w:r>
      <w:r>
        <w:rPr>
          <w:spacing w:val="-9"/>
        </w:rPr>
        <w:t> </w:t>
      </w:r>
      <w:r>
        <w:rPr/>
        <w:t>each</w:t>
      </w:r>
      <w:r>
        <w:rPr>
          <w:spacing w:val="-9"/>
        </w:rPr>
        <w:t> </w:t>
      </w:r>
      <w:r>
        <w:rPr/>
        <w:t>play</w:t>
      </w:r>
      <w:r>
        <w:rPr>
          <w:spacing w:val="-9"/>
        </w:rPr>
        <w:t> </w:t>
      </w:r>
      <w:r>
        <w:rPr/>
        <w:t>within an attacking set.</w:t>
      </w:r>
      <w:r>
        <w:rPr>
          <w:spacing w:val="40"/>
        </w:rPr>
        <w:t> </w:t>
      </w:r>
      <w:r>
        <w:rPr/>
        <w:t>Figure</w:t>
      </w:r>
      <w:hyperlink w:history="true" w:anchor="_bookmark42">
        <w:r>
          <w:rPr>
            <w:color w:val="0000FF"/>
          </w:rPr>
          <w:t>2.16</w:t>
        </w:r>
      </w:hyperlink>
      <w:r>
        <w:rPr/>
        <w:t>provides an EPV plot of the pitch.</w:t>
      </w:r>
      <w:r>
        <w:rPr>
          <w:spacing w:val="40"/>
        </w:rPr>
        <w:t> </w:t>
      </w:r>
      <w:r>
        <w:rPr/>
        <w:t>The results showed that</w:t>
      </w:r>
    </w:p>
    <w:p>
      <w:pPr>
        <w:spacing w:after="0" w:line="312" w:lineRule="auto"/>
        <w:sectPr>
          <w:pgSz w:w="11910" w:h="16840"/>
          <w:pgMar w:header="1961" w:footer="1428" w:top="2280" w:bottom="1620" w:left="1680" w:right="720"/>
        </w:sectPr>
      </w:pPr>
    </w:p>
    <w:p>
      <w:pPr>
        <w:pStyle w:val="BodyText"/>
        <w:rPr>
          <w:sz w:val="20"/>
        </w:rPr>
      </w:pPr>
    </w:p>
    <w:p>
      <w:pPr>
        <w:pStyle w:val="BodyText"/>
        <w:spacing w:before="10"/>
        <w:rPr>
          <w:sz w:val="28"/>
        </w:rPr>
      </w:pPr>
    </w:p>
    <w:p>
      <w:pPr>
        <w:pStyle w:val="BodyText"/>
        <w:ind w:left="1673"/>
        <w:rPr>
          <w:sz w:val="20"/>
        </w:rPr>
      </w:pPr>
      <w:r>
        <w:rPr>
          <w:sz w:val="20"/>
        </w:rPr>
        <w:drawing>
          <wp:inline distT="0" distB="0" distL="0" distR="0">
            <wp:extent cx="3996737" cy="2438400"/>
            <wp:effectExtent l="0" t="0" r="0" b="0"/>
            <wp:docPr id="33" name="image17.jpeg"/>
            <wp:cNvGraphicFramePr>
              <a:graphicFrameLocks noChangeAspect="1"/>
            </wp:cNvGraphicFramePr>
            <a:graphic>
              <a:graphicData uri="http://schemas.openxmlformats.org/drawingml/2006/picture">
                <pic:pic>
                  <pic:nvPicPr>
                    <pic:cNvPr id="34" name="image17.jpeg"/>
                    <pic:cNvPicPr/>
                  </pic:nvPicPr>
                  <pic:blipFill>
                    <a:blip r:embed="rId52" cstate="print"/>
                    <a:stretch>
                      <a:fillRect/>
                    </a:stretch>
                  </pic:blipFill>
                  <pic:spPr>
                    <a:xfrm>
                      <a:off x="0" y="0"/>
                      <a:ext cx="3996737" cy="2438400"/>
                    </a:xfrm>
                    <a:prstGeom prst="rect">
                      <a:avLst/>
                    </a:prstGeom>
                  </pic:spPr>
                </pic:pic>
              </a:graphicData>
            </a:graphic>
          </wp:inline>
        </w:drawing>
      </w:r>
      <w:r>
        <w:rPr>
          <w:sz w:val="20"/>
        </w:rPr>
      </w:r>
    </w:p>
    <w:p>
      <w:pPr>
        <w:pStyle w:val="BodyText"/>
        <w:spacing w:before="3"/>
        <w:rPr>
          <w:sz w:val="8"/>
        </w:rPr>
      </w:pPr>
    </w:p>
    <w:p>
      <w:pPr>
        <w:spacing w:before="106"/>
        <w:ind w:left="737" w:right="578" w:firstLine="0"/>
        <w:jc w:val="center"/>
        <w:rPr>
          <w:sz w:val="24"/>
        </w:rPr>
      </w:pPr>
      <w:bookmarkStart w:name="_bookmark42" w:id="77"/>
      <w:bookmarkEnd w:id="77"/>
      <w:r>
        <w:rPr/>
      </w:r>
      <w:r>
        <w:rPr>
          <w:b/>
          <w:sz w:val="24"/>
        </w:rPr>
        <w:t>Figure</w:t>
      </w:r>
      <w:r>
        <w:rPr>
          <w:b/>
          <w:spacing w:val="-9"/>
          <w:sz w:val="24"/>
        </w:rPr>
        <w:t> </w:t>
      </w:r>
      <w:r>
        <w:rPr>
          <w:b/>
          <w:sz w:val="24"/>
        </w:rPr>
        <w:t>2.16:</w:t>
      </w:r>
      <w:r>
        <w:rPr>
          <w:b/>
          <w:spacing w:val="5"/>
          <w:sz w:val="24"/>
        </w:rPr>
        <w:t> </w:t>
      </w:r>
      <w:hyperlink w:history="true" w:anchor="_bookmark263">
        <w:r>
          <w:rPr>
            <w:color w:val="FF0000"/>
            <w:sz w:val="24"/>
          </w:rPr>
          <w:t>Kempton</w:t>
        </w:r>
        <w:r>
          <w:rPr>
            <w:color w:val="FF0000"/>
            <w:spacing w:val="-9"/>
            <w:sz w:val="24"/>
          </w:rPr>
          <w:t> </w:t>
        </w:r>
        <w:r>
          <w:rPr>
            <w:color w:val="FF0000"/>
            <w:sz w:val="24"/>
          </w:rPr>
          <w:t>et</w:t>
        </w:r>
        <w:r>
          <w:rPr>
            <w:color w:val="FF0000"/>
            <w:spacing w:val="-8"/>
            <w:sz w:val="24"/>
          </w:rPr>
          <w:t> </w:t>
        </w:r>
        <w:r>
          <w:rPr>
            <w:color w:val="FF0000"/>
            <w:sz w:val="24"/>
          </w:rPr>
          <w:t>al.</w:t>
        </w:r>
      </w:hyperlink>
      <w:r>
        <w:rPr>
          <w:sz w:val="24"/>
        </w:rPr>
        <w:t>(</w:t>
      </w:r>
      <w:hyperlink w:history="true" w:anchor="_bookmark263">
        <w:r>
          <w:rPr>
            <w:color w:val="FF0000"/>
            <w:sz w:val="24"/>
          </w:rPr>
          <w:t>2016</w:t>
        </w:r>
        <w:r>
          <w:rPr>
            <w:sz w:val="24"/>
          </w:rPr>
          <w:t>)</w:t>
        </w:r>
      </w:hyperlink>
      <w:r>
        <w:rPr>
          <w:spacing w:val="-9"/>
          <w:sz w:val="24"/>
        </w:rPr>
        <w:t> </w:t>
      </w:r>
      <w:r>
        <w:rPr>
          <w:sz w:val="24"/>
        </w:rPr>
        <w:t>EPV</w:t>
      </w:r>
      <w:r>
        <w:rPr>
          <w:spacing w:val="-8"/>
          <w:sz w:val="24"/>
        </w:rPr>
        <w:t> </w:t>
      </w:r>
      <w:r>
        <w:rPr>
          <w:spacing w:val="-2"/>
          <w:sz w:val="24"/>
        </w:rPr>
        <w:t>plot.</w:t>
      </w:r>
    </w:p>
    <w:p>
      <w:pPr>
        <w:pStyle w:val="BodyText"/>
        <w:rPr>
          <w:sz w:val="30"/>
        </w:rPr>
      </w:pPr>
    </w:p>
    <w:p>
      <w:pPr>
        <w:pStyle w:val="BodyText"/>
        <w:spacing w:before="5"/>
        <w:rPr>
          <w:sz w:val="31"/>
        </w:rPr>
      </w:pPr>
    </w:p>
    <w:p>
      <w:pPr>
        <w:pStyle w:val="BodyText"/>
        <w:spacing w:line="312" w:lineRule="auto" w:before="1"/>
        <w:ind w:left="610" w:right="389"/>
        <w:jc w:val="both"/>
      </w:pPr>
      <w:r>
        <w:rPr/>
        <w:t>the closer a team was to the opposition try line irrespective of play number, the more points they were likely to score.</w:t>
      </w:r>
      <w:r>
        <w:rPr>
          <w:spacing w:val="34"/>
        </w:rPr>
        <w:t> </w:t>
      </w:r>
      <w:r>
        <w:rPr/>
        <w:t>Similarly, the closer the team was to the opposition try line at the start of the attacking set, the more likely they were to score points.</w:t>
      </w:r>
      <w:r>
        <w:rPr>
          <w:spacing w:val="27"/>
        </w:rPr>
        <w:t> </w:t>
      </w:r>
      <w:r>
        <w:rPr/>
        <w:t>The </w:t>
      </w:r>
      <w:r>
        <w:rPr/>
        <w:t>study provides</w:t>
      </w:r>
      <w:r>
        <w:rPr>
          <w:spacing w:val="-8"/>
        </w:rPr>
        <w:t> </w:t>
      </w:r>
      <w:r>
        <w:rPr/>
        <w:t>a</w:t>
      </w:r>
      <w:r>
        <w:rPr>
          <w:spacing w:val="-8"/>
        </w:rPr>
        <w:t> </w:t>
      </w:r>
      <w:r>
        <w:rPr/>
        <w:t>good</w:t>
      </w:r>
      <w:r>
        <w:rPr>
          <w:spacing w:val="-8"/>
        </w:rPr>
        <w:t> </w:t>
      </w:r>
      <w:r>
        <w:rPr/>
        <w:t>introduction</w:t>
      </w:r>
      <w:r>
        <w:rPr>
          <w:spacing w:val="-8"/>
        </w:rPr>
        <w:t> </w:t>
      </w:r>
      <w:r>
        <w:rPr/>
        <w:t>to</w:t>
      </w:r>
      <w:r>
        <w:rPr>
          <w:spacing w:val="-8"/>
        </w:rPr>
        <w:t> </w:t>
      </w:r>
      <w:r>
        <w:rPr/>
        <w:t>the</w:t>
      </w:r>
      <w:r>
        <w:rPr>
          <w:spacing w:val="-8"/>
        </w:rPr>
        <w:t> </w:t>
      </w:r>
      <w:r>
        <w:rPr/>
        <w:t>use</w:t>
      </w:r>
      <w:r>
        <w:rPr>
          <w:spacing w:val="-8"/>
        </w:rPr>
        <w:t> </w:t>
      </w:r>
      <w:r>
        <w:rPr/>
        <w:t>of</w:t>
      </w:r>
      <w:r>
        <w:rPr>
          <w:spacing w:val="-8"/>
        </w:rPr>
        <w:t> </w:t>
      </w:r>
      <w:r>
        <w:rPr/>
        <w:t>Markovian</w:t>
      </w:r>
      <w:r>
        <w:rPr>
          <w:spacing w:val="-8"/>
        </w:rPr>
        <w:t> </w:t>
      </w:r>
      <w:r>
        <w:rPr/>
        <w:t>principles</w:t>
      </w:r>
      <w:r>
        <w:rPr>
          <w:spacing w:val="-8"/>
        </w:rPr>
        <w:t> </w:t>
      </w:r>
      <w:r>
        <w:rPr/>
        <w:t>within</w:t>
      </w:r>
      <w:r>
        <w:rPr>
          <w:spacing w:val="-8"/>
        </w:rPr>
        <w:t> </w:t>
      </w:r>
      <w:r>
        <w:rPr/>
        <w:t>the</w:t>
      </w:r>
      <w:r>
        <w:rPr>
          <w:spacing w:val="-8"/>
        </w:rPr>
        <w:t> </w:t>
      </w:r>
      <w:r>
        <w:rPr/>
        <w:t>sport</w:t>
      </w:r>
      <w:r>
        <w:rPr>
          <w:spacing w:val="-8"/>
        </w:rPr>
        <w:t> </w:t>
      </w:r>
      <w:r>
        <w:rPr/>
        <w:t>of</w:t>
      </w:r>
      <w:r>
        <w:rPr>
          <w:spacing w:val="-8"/>
        </w:rPr>
        <w:t> </w:t>
      </w:r>
      <w:r>
        <w:rPr/>
        <w:t>rugby league</w:t>
      </w:r>
      <w:r>
        <w:rPr>
          <w:spacing w:val="-15"/>
        </w:rPr>
        <w:t> </w:t>
      </w:r>
      <w:r>
        <w:rPr/>
        <w:t>but</w:t>
      </w:r>
      <w:r>
        <w:rPr>
          <w:spacing w:val="-15"/>
        </w:rPr>
        <w:t> </w:t>
      </w:r>
      <w:r>
        <w:rPr/>
        <w:t>provided</w:t>
      </w:r>
      <w:r>
        <w:rPr>
          <w:spacing w:val="-15"/>
        </w:rPr>
        <w:t> </w:t>
      </w:r>
      <w:r>
        <w:rPr/>
        <w:t>very</w:t>
      </w:r>
      <w:r>
        <w:rPr>
          <w:spacing w:val="-15"/>
        </w:rPr>
        <w:t> </w:t>
      </w:r>
      <w:r>
        <w:rPr/>
        <w:t>few</w:t>
      </w:r>
      <w:r>
        <w:rPr>
          <w:spacing w:val="-15"/>
        </w:rPr>
        <w:t> </w:t>
      </w:r>
      <w:r>
        <w:rPr/>
        <w:t>practical</w:t>
      </w:r>
      <w:r>
        <w:rPr>
          <w:spacing w:val="-15"/>
        </w:rPr>
        <w:t> </w:t>
      </w:r>
      <w:r>
        <w:rPr/>
        <w:t>applications. Furthermore,</w:t>
      </w:r>
      <w:r>
        <w:rPr>
          <w:spacing w:val="-14"/>
        </w:rPr>
        <w:t> </w:t>
      </w:r>
      <w:r>
        <w:rPr/>
        <w:t>the</w:t>
      </w:r>
      <w:r>
        <w:rPr>
          <w:spacing w:val="-15"/>
        </w:rPr>
        <w:t> </w:t>
      </w:r>
      <w:r>
        <w:rPr/>
        <w:t>zone</w:t>
      </w:r>
      <w:r>
        <w:rPr>
          <w:spacing w:val="-15"/>
        </w:rPr>
        <w:t> </w:t>
      </w:r>
      <w:r>
        <w:rPr/>
        <w:t>sizes</w:t>
      </w:r>
      <w:r>
        <w:rPr>
          <w:spacing w:val="-15"/>
        </w:rPr>
        <w:t> </w:t>
      </w:r>
      <w:r>
        <w:rPr/>
        <w:t>appeared to be arbitrarily chosen.</w:t>
      </w:r>
      <w:r>
        <w:rPr>
          <w:spacing w:val="40"/>
        </w:rPr>
        <w:t> </w:t>
      </w:r>
      <w:r>
        <w:rPr/>
        <w:t>As such, there is scope for an empirical study which considers different zone sizes and attempts to provide more practical applications, similar to the insights provided in other sports (</w:t>
      </w:r>
      <w:hyperlink w:history="true" w:anchor="_bookmark232">
        <w:r>
          <w:rPr>
            <w:color w:val="FF0000"/>
          </w:rPr>
          <w:t>Chan et al.</w:t>
        </w:r>
      </w:hyperlink>
      <w:r>
        <w:rPr/>
        <w:t>,</w:t>
      </w:r>
      <w:hyperlink w:history="true" w:anchor="_bookmark232">
        <w:r>
          <w:rPr>
            <w:color w:val="FF0000"/>
          </w:rPr>
          <w:t>2021</w:t>
        </w:r>
        <w:r>
          <w:rPr/>
          <w:t>;</w:t>
        </w:r>
      </w:hyperlink>
      <w:hyperlink w:history="true" w:anchor="_bookmark294">
        <w:r>
          <w:rPr>
            <w:color w:val="FF0000"/>
          </w:rPr>
          <w:t>Singh</w:t>
        </w:r>
        <w:r>
          <w:rPr/>
          <w:t>,</w:t>
        </w:r>
      </w:hyperlink>
      <w:r>
        <w:rPr>
          <w:color w:val="FF0000"/>
        </w:rPr>
        <w:t>n.d.</w:t>
      </w:r>
      <w:hyperlink w:history="true" w:anchor="_bookmark294">
        <w:r>
          <w:rPr/>
          <w:t>).</w:t>
        </w:r>
      </w:hyperlink>
    </w:p>
    <w:p>
      <w:pPr>
        <w:pStyle w:val="BodyText"/>
        <w:spacing w:line="309" w:lineRule="auto"/>
        <w:ind w:left="610" w:right="389" w:firstLine="351"/>
      </w:pPr>
      <w:hyperlink w:history="true" w:anchor="_bookmark254">
        <w:r>
          <w:rPr>
            <w:color w:val="FF0000"/>
          </w:rPr>
          <w:t>Holbrook et al.</w:t>
        </w:r>
      </w:hyperlink>
      <w:r>
        <w:rPr/>
        <w:t>(</w:t>
      </w:r>
      <w:hyperlink w:history="true" w:anchor="_bookmark254">
        <w:r>
          <w:rPr>
            <w:color w:val="FF0000"/>
          </w:rPr>
          <w:t>2019</w:t>
        </w:r>
        <w:r>
          <w:rPr/>
          <w:t>)</w:t>
        </w:r>
      </w:hyperlink>
      <w:r>
        <w:rPr/>
        <w:t> also used play-by-play data in rugby league to concurrently predict five possession/match outcomes.</w:t>
      </w:r>
      <w:r>
        <w:rPr>
          <w:spacing w:val="40"/>
        </w:rPr>
        <w:t> </w:t>
      </w:r>
      <w:r>
        <w:rPr/>
        <w:t>The authors used more than 250,000 </w:t>
      </w:r>
      <w:r>
        <w:rPr/>
        <w:t>play-the- </w:t>
      </w:r>
      <w:r>
        <w:rPr>
          <w:spacing w:val="-2"/>
        </w:rPr>
        <w:t>ball</w:t>
      </w:r>
      <w:r>
        <w:rPr>
          <w:spacing w:val="-8"/>
        </w:rPr>
        <w:t> </w:t>
      </w:r>
      <w:r>
        <w:rPr>
          <w:spacing w:val="-2"/>
        </w:rPr>
        <w:t>actions</w:t>
      </w:r>
      <w:r>
        <w:rPr>
          <w:spacing w:val="-8"/>
        </w:rPr>
        <w:t> </w:t>
      </w:r>
      <w:r>
        <w:rPr>
          <w:spacing w:val="-2"/>
        </w:rPr>
        <w:t>from</w:t>
      </w:r>
      <w:r>
        <w:rPr>
          <w:spacing w:val="-8"/>
        </w:rPr>
        <w:t> </w:t>
      </w:r>
      <w:r>
        <w:rPr>
          <w:spacing w:val="-2"/>
        </w:rPr>
        <w:t>over</w:t>
      </w:r>
      <w:r>
        <w:rPr>
          <w:spacing w:val="-8"/>
        </w:rPr>
        <w:t> </w:t>
      </w:r>
      <w:r>
        <w:rPr>
          <w:spacing w:val="-2"/>
        </w:rPr>
        <w:t>750</w:t>
      </w:r>
      <w:r>
        <w:rPr>
          <w:spacing w:val="-8"/>
        </w:rPr>
        <w:t> </w:t>
      </w:r>
      <w:r>
        <w:rPr>
          <w:spacing w:val="-2"/>
        </w:rPr>
        <w:t>games</w:t>
      </w:r>
      <w:r>
        <w:rPr>
          <w:spacing w:val="-8"/>
        </w:rPr>
        <w:t> </w:t>
      </w:r>
      <w:r>
        <w:rPr>
          <w:spacing w:val="-2"/>
        </w:rPr>
        <w:t>in</w:t>
      </w:r>
      <w:r>
        <w:rPr>
          <w:spacing w:val="-8"/>
        </w:rPr>
        <w:t> </w:t>
      </w:r>
      <w:r>
        <w:rPr>
          <w:spacing w:val="-2"/>
        </w:rPr>
        <w:t>the</w:t>
      </w:r>
      <w:r>
        <w:rPr>
          <w:spacing w:val="-7"/>
        </w:rPr>
        <w:t> </w:t>
      </w:r>
      <w:r>
        <w:rPr>
          <w:spacing w:val="-2"/>
        </w:rPr>
        <w:t>2015-2018</w:t>
      </w:r>
      <w:r>
        <w:rPr>
          <w:spacing w:val="-7"/>
        </w:rPr>
        <w:t> </w:t>
      </w:r>
      <w:r>
        <w:rPr>
          <w:spacing w:val="-2"/>
        </w:rPr>
        <w:t>seasons</w:t>
      </w:r>
      <w:r>
        <w:rPr>
          <w:spacing w:val="-8"/>
        </w:rPr>
        <w:t> </w:t>
      </w:r>
      <w:r>
        <w:rPr>
          <w:spacing w:val="-2"/>
        </w:rPr>
        <w:t>of</w:t>
      </w:r>
      <w:r>
        <w:rPr>
          <w:spacing w:val="-8"/>
        </w:rPr>
        <w:t> </w:t>
      </w:r>
      <w:r>
        <w:rPr>
          <w:spacing w:val="-2"/>
        </w:rPr>
        <w:t>the</w:t>
      </w:r>
      <w:r>
        <w:rPr>
          <w:spacing w:val="-8"/>
        </w:rPr>
        <w:t> </w:t>
      </w:r>
      <w:r>
        <w:rPr>
          <w:spacing w:val="-2"/>
        </w:rPr>
        <w:t>National</w:t>
      </w:r>
      <w:r>
        <w:rPr>
          <w:spacing w:val="-8"/>
        </w:rPr>
        <w:t> </w:t>
      </w:r>
      <w:r>
        <w:rPr>
          <w:spacing w:val="-2"/>
        </w:rPr>
        <w:t>Rugby</w:t>
      </w:r>
      <w:r>
        <w:rPr>
          <w:spacing w:val="-8"/>
        </w:rPr>
        <w:t> </w:t>
      </w:r>
      <w:r>
        <w:rPr>
          <w:spacing w:val="-2"/>
        </w:rPr>
        <w:t>League. </w:t>
      </w:r>
      <w:r>
        <w:rPr/>
        <w:t>Rather</w:t>
      </w:r>
      <w:r>
        <w:rPr>
          <w:spacing w:val="-7"/>
        </w:rPr>
        <w:t> </w:t>
      </w:r>
      <w:r>
        <w:rPr/>
        <w:t>than</w:t>
      </w:r>
      <w:r>
        <w:rPr>
          <w:spacing w:val="-7"/>
        </w:rPr>
        <w:t> </w:t>
      </w:r>
      <w:r>
        <w:rPr/>
        <w:t>preprocessing</w:t>
      </w:r>
      <w:r>
        <w:rPr>
          <w:spacing w:val="-7"/>
        </w:rPr>
        <w:t> </w:t>
      </w:r>
      <w:r>
        <w:rPr/>
        <w:t>the</w:t>
      </w:r>
      <w:r>
        <w:rPr>
          <w:spacing w:val="-6"/>
        </w:rPr>
        <w:t> </w:t>
      </w:r>
      <w:r>
        <w:rPr/>
        <w:t>data</w:t>
      </w:r>
      <w:r>
        <w:rPr>
          <w:spacing w:val="-7"/>
        </w:rPr>
        <w:t> </w:t>
      </w:r>
      <w:r>
        <w:rPr/>
        <w:t>in</w:t>
      </w:r>
      <w:r>
        <w:rPr>
          <w:spacing w:val="-7"/>
        </w:rPr>
        <w:t> </w:t>
      </w:r>
      <w:r>
        <w:rPr/>
        <w:t>a</w:t>
      </w:r>
      <w:r>
        <w:rPr>
          <w:spacing w:val="-7"/>
        </w:rPr>
        <w:t> </w:t>
      </w:r>
      <w:r>
        <w:rPr/>
        <w:t>specific</w:t>
      </w:r>
      <w:r>
        <w:rPr>
          <w:spacing w:val="-7"/>
        </w:rPr>
        <w:t> </w:t>
      </w:r>
      <w:r>
        <w:rPr/>
        <w:t>manner,</w:t>
      </w:r>
      <w:r>
        <w:rPr>
          <w:spacing w:val="-7"/>
        </w:rPr>
        <w:t> </w:t>
      </w:r>
      <w:r>
        <w:rPr/>
        <w:t>the</w:t>
      </w:r>
      <w:r>
        <w:rPr>
          <w:spacing w:val="-7"/>
        </w:rPr>
        <w:t> </w:t>
      </w:r>
      <w:r>
        <w:rPr/>
        <w:t>authors</w:t>
      </w:r>
      <w:r>
        <w:rPr>
          <w:spacing w:val="-6"/>
        </w:rPr>
        <w:t> </w:t>
      </w:r>
      <w:r>
        <w:rPr/>
        <w:t>used</w:t>
      </w:r>
      <w:r>
        <w:rPr>
          <w:spacing w:val="-7"/>
        </w:rPr>
        <w:t> </w:t>
      </w:r>
      <w:r>
        <w:rPr/>
        <w:t>embedding</w:t>
      </w:r>
      <w:r>
        <w:rPr>
          <w:spacing w:val="-7"/>
        </w:rPr>
        <w:t> </w:t>
      </w:r>
      <w:r>
        <w:rPr/>
        <w:t>lay- ers</w:t>
      </w:r>
      <w:r>
        <w:rPr>
          <w:spacing w:val="-10"/>
        </w:rPr>
        <w:t> </w:t>
      </w:r>
      <w:r>
        <w:rPr/>
        <w:t>to</w:t>
      </w:r>
      <w:r>
        <w:rPr>
          <w:spacing w:val="-10"/>
        </w:rPr>
        <w:t> </w:t>
      </w:r>
      <w:r>
        <w:rPr/>
        <w:t>obtain</w:t>
      </w:r>
      <w:r>
        <w:rPr>
          <w:spacing w:val="-10"/>
        </w:rPr>
        <w:t> </w:t>
      </w:r>
      <w:r>
        <w:rPr/>
        <w:t>high</w:t>
      </w:r>
      <w:r>
        <w:rPr>
          <w:spacing w:val="-10"/>
        </w:rPr>
        <w:t> </w:t>
      </w:r>
      <w:r>
        <w:rPr/>
        <w:t>level</w:t>
      </w:r>
      <w:r>
        <w:rPr>
          <w:spacing w:val="-10"/>
        </w:rPr>
        <w:t> </w:t>
      </w:r>
      <w:r>
        <w:rPr/>
        <w:t>feature</w:t>
      </w:r>
      <w:r>
        <w:rPr>
          <w:spacing w:val="-10"/>
        </w:rPr>
        <w:t> </w:t>
      </w:r>
      <w:r>
        <w:rPr/>
        <w:t>information</w:t>
      </w:r>
      <w:r>
        <w:rPr>
          <w:spacing w:val="-10"/>
        </w:rPr>
        <w:t> </w:t>
      </w:r>
      <w:r>
        <w:rPr/>
        <w:t>for</w:t>
      </w:r>
      <w:r>
        <w:rPr>
          <w:spacing w:val="-10"/>
        </w:rPr>
        <w:t> </w:t>
      </w:r>
      <w:r>
        <w:rPr/>
        <w:t>specific</w:t>
      </w:r>
      <w:r>
        <w:rPr>
          <w:spacing w:val="-10"/>
        </w:rPr>
        <w:t> </w:t>
      </w:r>
      <w:r>
        <w:rPr/>
        <w:t>elements</w:t>
      </w:r>
      <w:r>
        <w:rPr>
          <w:spacing w:val="-10"/>
        </w:rPr>
        <w:t> </w:t>
      </w:r>
      <w:r>
        <w:rPr/>
        <w:t>of</w:t>
      </w:r>
      <w:r>
        <w:rPr>
          <w:spacing w:val="-10"/>
        </w:rPr>
        <w:t> </w:t>
      </w:r>
      <w:r>
        <w:rPr/>
        <w:t>the</w:t>
      </w:r>
      <w:r>
        <w:rPr>
          <w:spacing w:val="-10"/>
        </w:rPr>
        <w:t> </w:t>
      </w:r>
      <w:r>
        <w:rPr/>
        <w:t>model. The</w:t>
      </w:r>
      <w:r>
        <w:rPr>
          <w:spacing w:val="-10"/>
        </w:rPr>
        <w:t> </w:t>
      </w:r>
      <w:r>
        <w:rPr/>
        <w:t>inputs to the model therefore included the raw values for score difference, time remaining and </w:t>
      </w:r>
      <w:r>
        <w:rPr>
          <w:rFonts w:ascii="Cambria"/>
        </w:rPr>
        <w:t>x</w:t>
      </w:r>
      <w:r>
        <w:rPr/>
        <w:t>,</w:t>
      </w:r>
      <w:r>
        <w:rPr>
          <w:rFonts w:ascii="Cambria"/>
        </w:rPr>
        <w:t>y</w:t>
      </w:r>
      <w:r>
        <w:rPr>
          <w:rFonts w:ascii="Cambria"/>
          <w:spacing w:val="23"/>
        </w:rPr>
        <w:t> </w:t>
      </w:r>
      <w:r>
        <w:rPr/>
        <w:t>co-ordinates of the play-the-ball.</w:t>
      </w:r>
      <w:r>
        <w:rPr>
          <w:spacing w:val="40"/>
        </w:rPr>
        <w:t> </w:t>
      </w:r>
      <w:r>
        <w:rPr/>
        <w:t>Also included were individual embedded features for</w:t>
      </w:r>
      <w:r>
        <w:rPr>
          <w:spacing w:val="-6"/>
        </w:rPr>
        <w:t> </w:t>
      </w:r>
      <w:r>
        <w:rPr/>
        <w:t>the</w:t>
      </w:r>
      <w:r>
        <w:rPr>
          <w:spacing w:val="-6"/>
        </w:rPr>
        <w:t> </w:t>
      </w:r>
      <w:r>
        <w:rPr>
          <w:rFonts w:ascii="Cambria"/>
        </w:rPr>
        <w:t>x</w:t>
      </w:r>
      <w:r>
        <w:rPr/>
        <w:t>,</w:t>
      </w:r>
      <w:r>
        <w:rPr>
          <w:rFonts w:ascii="Cambria"/>
        </w:rPr>
        <w:t>y </w:t>
      </w:r>
      <w:r>
        <w:rPr/>
        <w:t>position</w:t>
      </w:r>
      <w:r>
        <w:rPr>
          <w:spacing w:val="-6"/>
        </w:rPr>
        <w:t> </w:t>
      </w:r>
      <w:r>
        <w:rPr/>
        <w:t>co-ordinates,</w:t>
      </w:r>
      <w:r>
        <w:rPr>
          <w:spacing w:val="-6"/>
        </w:rPr>
        <w:t> </w:t>
      </w:r>
      <w:r>
        <w:rPr/>
        <w:t>tackle</w:t>
      </w:r>
      <w:r>
        <w:rPr>
          <w:spacing w:val="-6"/>
        </w:rPr>
        <w:t> </w:t>
      </w:r>
      <w:r>
        <w:rPr/>
        <w:t>number</w:t>
      </w:r>
      <w:r>
        <w:rPr>
          <w:spacing w:val="-6"/>
        </w:rPr>
        <w:t> </w:t>
      </w:r>
      <w:r>
        <w:rPr/>
        <w:t>with</w:t>
      </w:r>
      <w:r>
        <w:rPr>
          <w:spacing w:val="-6"/>
        </w:rPr>
        <w:t> </w:t>
      </w:r>
      <w:r>
        <w:rPr/>
        <w:t>a</w:t>
      </w:r>
      <w:r>
        <w:rPr>
          <w:spacing w:val="-6"/>
        </w:rPr>
        <w:t> </w:t>
      </w:r>
      <w:r>
        <w:rPr/>
        <w:t>back-to-back</w:t>
      </w:r>
      <w:r>
        <w:rPr>
          <w:spacing w:val="-6"/>
        </w:rPr>
        <w:t> </w:t>
      </w:r>
      <w:r>
        <w:rPr/>
        <w:t>set</w:t>
      </w:r>
      <w:r>
        <w:rPr>
          <w:spacing w:val="-6"/>
        </w:rPr>
        <w:t> </w:t>
      </w:r>
      <w:r>
        <w:rPr/>
        <w:t>dummy</w:t>
      </w:r>
      <w:r>
        <w:rPr>
          <w:spacing w:val="-6"/>
        </w:rPr>
        <w:t> </w:t>
      </w:r>
      <w:r>
        <w:rPr/>
        <w:t>variable, one hot encoded team ID with season ID, and one hot encoded opponent ID with sea-</w:t>
      </w:r>
      <w:r>
        <w:rPr>
          <w:spacing w:val="80"/>
        </w:rPr>
        <w:t> </w:t>
      </w:r>
      <w:r>
        <w:rPr/>
        <w:t>son</w:t>
      </w:r>
      <w:r>
        <w:rPr>
          <w:spacing w:val="-2"/>
        </w:rPr>
        <w:t> </w:t>
      </w:r>
      <w:r>
        <w:rPr/>
        <w:t>ID.</w:t>
      </w:r>
      <w:r>
        <w:rPr>
          <w:spacing w:val="-2"/>
        </w:rPr>
        <w:t> </w:t>
      </w:r>
      <w:r>
        <w:rPr/>
        <w:t>The</w:t>
      </w:r>
      <w:r>
        <w:rPr>
          <w:spacing w:val="-2"/>
        </w:rPr>
        <w:t> </w:t>
      </w:r>
      <w:r>
        <w:rPr/>
        <w:t>authors</w:t>
      </w:r>
      <w:r>
        <w:rPr>
          <w:spacing w:val="-2"/>
        </w:rPr>
        <w:t> </w:t>
      </w:r>
      <w:r>
        <w:rPr/>
        <w:t>used</w:t>
      </w:r>
      <w:r>
        <w:rPr>
          <w:spacing w:val="-2"/>
        </w:rPr>
        <w:t> </w:t>
      </w:r>
      <w:r>
        <w:rPr/>
        <w:t>a</w:t>
      </w:r>
      <w:r>
        <w:rPr>
          <w:spacing w:val="-2"/>
        </w:rPr>
        <w:t> </w:t>
      </w:r>
      <w:r>
        <w:rPr/>
        <w:t>mixture</w:t>
      </w:r>
      <w:r>
        <w:rPr>
          <w:spacing w:val="-2"/>
        </w:rPr>
        <w:t> </w:t>
      </w:r>
      <w:r>
        <w:rPr/>
        <w:t>density</w:t>
      </w:r>
      <w:r>
        <w:rPr>
          <w:spacing w:val="-2"/>
        </w:rPr>
        <w:t> </w:t>
      </w:r>
      <w:r>
        <w:rPr/>
        <w:t>neural</w:t>
      </w:r>
      <w:r>
        <w:rPr>
          <w:spacing w:val="-2"/>
        </w:rPr>
        <w:t> </w:t>
      </w:r>
      <w:r>
        <w:rPr/>
        <w:t>network</w:t>
      </w:r>
      <w:r>
        <w:rPr>
          <w:spacing w:val="-2"/>
        </w:rPr>
        <w:t> </w:t>
      </w:r>
      <w:r>
        <w:rPr/>
        <w:t>(</w:t>
      </w:r>
      <w:hyperlink w:history="true" w:anchor="_bookmark226">
        <w:r>
          <w:rPr>
            <w:color w:val="FF0000"/>
          </w:rPr>
          <w:t>Bishop</w:t>
        </w:r>
      </w:hyperlink>
      <w:r>
        <w:rPr/>
        <w:t>,</w:t>
      </w:r>
      <w:hyperlink w:history="true" w:anchor="_bookmark226">
        <w:r>
          <w:rPr>
            <w:color w:val="FF0000"/>
          </w:rPr>
          <w:t>1994</w:t>
        </w:r>
        <w:r>
          <w:rPr/>
          <w:t>)</w:t>
        </w:r>
      </w:hyperlink>
      <w:r>
        <w:rPr>
          <w:spacing w:val="-2"/>
        </w:rPr>
        <w:t> </w:t>
      </w:r>
      <w:r>
        <w:rPr/>
        <w:t>to</w:t>
      </w:r>
      <w:r>
        <w:rPr>
          <w:spacing w:val="-2"/>
        </w:rPr>
        <w:t> </w:t>
      </w:r>
      <w:r>
        <w:rPr/>
        <w:t>predict</w:t>
      </w:r>
      <w:r>
        <w:rPr>
          <w:spacing w:val="-2"/>
        </w:rPr>
        <w:t> </w:t>
      </w:r>
      <w:r>
        <w:rPr/>
        <w:t>five outcomes on a play-by-play basis.</w:t>
      </w:r>
      <w:r>
        <w:rPr>
          <w:spacing w:val="31"/>
        </w:rPr>
        <w:t> </w:t>
      </w:r>
      <w:r>
        <w:rPr/>
        <w:t>These outcomes were:</w:t>
      </w:r>
      <w:r>
        <w:rPr>
          <w:spacing w:val="23"/>
        </w:rPr>
        <w:t> </w:t>
      </w:r>
      <w:r>
        <w:rPr/>
        <w:t>expected metres gained in the</w:t>
      </w:r>
    </w:p>
    <w:p>
      <w:pPr>
        <w:spacing w:after="0" w:line="309"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next play; expected try during the next play; expected try in this set; win probability for the</w:t>
      </w:r>
      <w:r>
        <w:rPr>
          <w:spacing w:val="-2"/>
        </w:rPr>
        <w:t> </w:t>
      </w:r>
      <w:r>
        <w:rPr/>
        <w:t>match; scoreline</w:t>
      </w:r>
      <w:r>
        <w:rPr>
          <w:spacing w:val="-2"/>
        </w:rPr>
        <w:t> </w:t>
      </w:r>
      <w:r>
        <w:rPr/>
        <w:t>prediction</w:t>
      </w:r>
      <w:r>
        <w:rPr>
          <w:spacing w:val="-2"/>
        </w:rPr>
        <w:t> </w:t>
      </w:r>
      <w:r>
        <w:rPr/>
        <w:t>for</w:t>
      </w:r>
      <w:r>
        <w:rPr>
          <w:spacing w:val="-2"/>
        </w:rPr>
        <w:t> </w:t>
      </w:r>
      <w:r>
        <w:rPr/>
        <w:t>the</w:t>
      </w:r>
      <w:r>
        <w:rPr>
          <w:spacing w:val="-2"/>
        </w:rPr>
        <w:t> </w:t>
      </w:r>
      <w:r>
        <w:rPr/>
        <w:t>match. The</w:t>
      </w:r>
      <w:r>
        <w:rPr>
          <w:spacing w:val="-2"/>
        </w:rPr>
        <w:t> </w:t>
      </w:r>
      <w:r>
        <w:rPr/>
        <w:t>authors</w:t>
      </w:r>
      <w:r>
        <w:rPr>
          <w:spacing w:val="-2"/>
        </w:rPr>
        <w:t> </w:t>
      </w:r>
      <w:r>
        <w:rPr/>
        <w:t>showed</w:t>
      </w:r>
      <w:r>
        <w:rPr>
          <w:spacing w:val="-2"/>
        </w:rPr>
        <w:t> </w:t>
      </w:r>
      <w:r>
        <w:rPr/>
        <w:t>how</w:t>
      </w:r>
      <w:r>
        <w:rPr>
          <w:spacing w:val="-2"/>
        </w:rPr>
        <w:t> </w:t>
      </w:r>
      <w:r>
        <w:rPr/>
        <w:t>the</w:t>
      </w:r>
      <w:r>
        <w:rPr>
          <w:spacing w:val="-2"/>
        </w:rPr>
        <w:t> </w:t>
      </w:r>
      <w:r>
        <w:rPr/>
        <w:t>results</w:t>
      </w:r>
      <w:r>
        <w:rPr>
          <w:spacing w:val="-2"/>
        </w:rPr>
        <w:t> </w:t>
      </w:r>
      <w:r>
        <w:rPr/>
        <w:t>could be used to evaluate team performances both in real-time and post-match.</w:t>
      </w:r>
      <w:r>
        <w:rPr>
          <w:spacing w:val="40"/>
        </w:rPr>
        <w:t> </w:t>
      </w:r>
      <w:r>
        <w:rPr/>
        <w:t>They did this by</w:t>
      </w:r>
      <w:r>
        <w:rPr>
          <w:spacing w:val="-5"/>
        </w:rPr>
        <w:t> </w:t>
      </w:r>
      <w:r>
        <w:rPr/>
        <w:t>considering</w:t>
      </w:r>
      <w:r>
        <w:rPr>
          <w:spacing w:val="-5"/>
        </w:rPr>
        <w:t> </w:t>
      </w:r>
      <w:r>
        <w:rPr/>
        <w:t>the</w:t>
      </w:r>
      <w:r>
        <w:rPr>
          <w:spacing w:val="-5"/>
        </w:rPr>
        <w:t> </w:t>
      </w:r>
      <w:r>
        <w:rPr/>
        <w:t>expected</w:t>
      </w:r>
      <w:r>
        <w:rPr>
          <w:spacing w:val="-6"/>
        </w:rPr>
        <w:t> </w:t>
      </w:r>
      <w:r>
        <w:rPr/>
        <w:t>metres</w:t>
      </w:r>
      <w:r>
        <w:rPr>
          <w:spacing w:val="-5"/>
        </w:rPr>
        <w:t> </w:t>
      </w:r>
      <w:r>
        <w:rPr/>
        <w:t>gained</w:t>
      </w:r>
      <w:r>
        <w:rPr>
          <w:spacing w:val="-6"/>
        </w:rPr>
        <w:t> </w:t>
      </w:r>
      <w:r>
        <w:rPr/>
        <w:t>and</w:t>
      </w:r>
      <w:r>
        <w:rPr>
          <w:spacing w:val="-5"/>
        </w:rPr>
        <w:t> </w:t>
      </w:r>
      <w:r>
        <w:rPr/>
        <w:t>probability</w:t>
      </w:r>
      <w:r>
        <w:rPr>
          <w:spacing w:val="-6"/>
        </w:rPr>
        <w:t> </w:t>
      </w:r>
      <w:r>
        <w:rPr/>
        <w:t>of</w:t>
      </w:r>
      <w:r>
        <w:rPr>
          <w:spacing w:val="-5"/>
        </w:rPr>
        <w:t> </w:t>
      </w:r>
      <w:r>
        <w:rPr/>
        <w:t>scoring</w:t>
      </w:r>
      <w:r>
        <w:rPr>
          <w:spacing w:val="-6"/>
        </w:rPr>
        <w:t> </w:t>
      </w:r>
      <w:r>
        <w:rPr/>
        <w:t>a</w:t>
      </w:r>
      <w:r>
        <w:rPr>
          <w:spacing w:val="-5"/>
        </w:rPr>
        <w:t> </w:t>
      </w:r>
      <w:r>
        <w:rPr/>
        <w:t>try</w:t>
      </w:r>
      <w:r>
        <w:rPr>
          <w:spacing w:val="-6"/>
        </w:rPr>
        <w:t> </w:t>
      </w:r>
      <w:r>
        <w:rPr/>
        <w:t>within</w:t>
      </w:r>
      <w:r>
        <w:rPr>
          <w:spacing w:val="-5"/>
        </w:rPr>
        <w:t> </w:t>
      </w:r>
      <w:r>
        <w:rPr/>
        <w:t>a</w:t>
      </w:r>
      <w:r>
        <w:rPr>
          <w:spacing w:val="-6"/>
        </w:rPr>
        <w:t> </w:t>
      </w:r>
      <w:r>
        <w:rPr/>
        <w:t>set</w:t>
      </w:r>
      <w:r>
        <w:rPr>
          <w:spacing w:val="-5"/>
        </w:rPr>
        <w:t> </w:t>
      </w:r>
      <w:r>
        <w:rPr/>
        <w:t>in real-time. Offensive</w:t>
      </w:r>
      <w:r>
        <w:rPr>
          <w:spacing w:val="-13"/>
        </w:rPr>
        <w:t> </w:t>
      </w:r>
      <w:r>
        <w:rPr/>
        <w:t>and</w:t>
      </w:r>
      <w:r>
        <w:rPr>
          <w:spacing w:val="-13"/>
        </w:rPr>
        <w:t> </w:t>
      </w:r>
      <w:r>
        <w:rPr/>
        <w:t>defensive</w:t>
      </w:r>
      <w:r>
        <w:rPr>
          <w:spacing w:val="-13"/>
        </w:rPr>
        <w:t> </w:t>
      </w:r>
      <w:r>
        <w:rPr/>
        <w:t>value</w:t>
      </w:r>
      <w:r>
        <w:rPr>
          <w:spacing w:val="-13"/>
        </w:rPr>
        <w:t> </w:t>
      </w:r>
      <w:r>
        <w:rPr/>
        <w:t>over</w:t>
      </w:r>
      <w:r>
        <w:rPr>
          <w:spacing w:val="-13"/>
        </w:rPr>
        <w:t> </w:t>
      </w:r>
      <w:r>
        <w:rPr/>
        <w:t>average</w:t>
      </w:r>
      <w:r>
        <w:rPr>
          <w:spacing w:val="-13"/>
        </w:rPr>
        <w:t> </w:t>
      </w:r>
      <w:r>
        <w:rPr/>
        <w:t>metrics</w:t>
      </w:r>
      <w:r>
        <w:rPr>
          <w:spacing w:val="-13"/>
        </w:rPr>
        <w:t> </w:t>
      </w:r>
      <w:r>
        <w:rPr/>
        <w:t>were</w:t>
      </w:r>
      <w:r>
        <w:rPr>
          <w:spacing w:val="-13"/>
        </w:rPr>
        <w:t> </w:t>
      </w:r>
      <w:r>
        <w:rPr/>
        <w:t>also</w:t>
      </w:r>
      <w:r>
        <w:rPr>
          <w:spacing w:val="-13"/>
        </w:rPr>
        <w:t> </w:t>
      </w:r>
      <w:r>
        <w:rPr/>
        <w:t>produced,</w:t>
      </w:r>
      <w:r>
        <w:rPr>
          <w:spacing w:val="-12"/>
        </w:rPr>
        <w:t> </w:t>
      </w:r>
      <w:r>
        <w:rPr/>
        <w:t>which highlighted a team’s ability to attack or defend better than expected measures across the season.</w:t>
      </w:r>
      <w:r>
        <w:rPr>
          <w:spacing w:val="29"/>
        </w:rPr>
        <w:t> </w:t>
      </w:r>
      <w:r>
        <w:rPr/>
        <w:t>These metrics were shown to be well related to the final league position of each team.</w:t>
      </w:r>
      <w:r>
        <w:rPr>
          <w:spacing w:val="40"/>
        </w:rPr>
        <w:t> </w:t>
      </w:r>
      <w:r>
        <w:rPr/>
        <w:t>The results of the study were mainly developed for entertainment purposes (i.e. use on television), but coaches could use them as performance indicators similar to the accumulated count data described above.</w:t>
      </w:r>
    </w:p>
    <w:p>
      <w:pPr>
        <w:pStyle w:val="BodyText"/>
        <w:spacing w:before="7"/>
        <w:rPr>
          <w:sz w:val="40"/>
        </w:rPr>
      </w:pPr>
    </w:p>
    <w:p>
      <w:pPr>
        <w:pStyle w:val="Heading2"/>
        <w:numPr>
          <w:ilvl w:val="1"/>
          <w:numId w:val="17"/>
        </w:numPr>
        <w:tabs>
          <w:tab w:pos="1385" w:val="left" w:leader="none"/>
          <w:tab w:pos="1386" w:val="left" w:leader="none"/>
        </w:tabs>
        <w:spacing w:line="240" w:lineRule="auto" w:before="0" w:after="0"/>
        <w:ind w:left="1385" w:right="0" w:hanging="776"/>
        <w:jc w:val="left"/>
      </w:pPr>
      <w:bookmarkStart w:name="_TOC_250050" w:id="78"/>
      <w:bookmarkStart w:name="2.4 Summary" w:id="79"/>
      <w:r>
        <w:rPr>
          <w:b w:val="0"/>
        </w:rPr>
      </w:r>
      <w:bookmarkStart w:name="_bookmark43" w:id="80"/>
      <w:bookmarkEnd w:id="78"/>
      <w:r>
        <w:rPr>
          <w:spacing w:val="-2"/>
        </w:rPr>
        <w:t>Summary</w:t>
      </w:r>
    </w:p>
    <w:p>
      <w:pPr>
        <w:pStyle w:val="BodyText"/>
        <w:spacing w:line="312" w:lineRule="auto" w:before="308"/>
        <w:ind w:left="610" w:right="389"/>
      </w:pPr>
      <w:r>
        <w:rPr/>
        <w:t>The aim of this PhD is to develop new methodologies to evaluate player and team per- formances</w:t>
      </w:r>
      <w:r>
        <w:rPr>
          <w:spacing w:val="-4"/>
        </w:rPr>
        <w:t> </w:t>
      </w:r>
      <w:r>
        <w:rPr/>
        <w:t>in</w:t>
      </w:r>
      <w:r>
        <w:rPr>
          <w:spacing w:val="-4"/>
        </w:rPr>
        <w:t> </w:t>
      </w:r>
      <w:r>
        <w:rPr/>
        <w:t>rugby</w:t>
      </w:r>
      <w:r>
        <w:rPr>
          <w:spacing w:val="-4"/>
        </w:rPr>
        <w:t> </w:t>
      </w:r>
      <w:r>
        <w:rPr/>
        <w:t>league</w:t>
      </w:r>
      <w:r>
        <w:rPr>
          <w:spacing w:val="-4"/>
        </w:rPr>
        <w:t> </w:t>
      </w:r>
      <w:r>
        <w:rPr/>
        <w:t>using</w:t>
      </w:r>
      <w:r>
        <w:rPr>
          <w:spacing w:val="-4"/>
        </w:rPr>
        <w:t> </w:t>
      </w:r>
      <w:r>
        <w:rPr/>
        <w:t>match</w:t>
      </w:r>
      <w:r>
        <w:rPr>
          <w:spacing w:val="-4"/>
        </w:rPr>
        <w:t> </w:t>
      </w:r>
      <w:r>
        <w:rPr/>
        <w:t>event</w:t>
      </w:r>
      <w:r>
        <w:rPr>
          <w:spacing w:val="-4"/>
        </w:rPr>
        <w:t> </w:t>
      </w:r>
      <w:r>
        <w:rPr/>
        <w:t>level</w:t>
      </w:r>
      <w:r>
        <w:rPr>
          <w:spacing w:val="-4"/>
        </w:rPr>
        <w:t> </w:t>
      </w:r>
      <w:r>
        <w:rPr/>
        <w:t>data. Within</w:t>
      </w:r>
      <w:r>
        <w:rPr>
          <w:spacing w:val="-4"/>
        </w:rPr>
        <w:t> </w:t>
      </w:r>
      <w:r>
        <w:rPr/>
        <w:t>the</w:t>
      </w:r>
      <w:r>
        <w:rPr>
          <w:spacing w:val="-4"/>
        </w:rPr>
        <w:t> </w:t>
      </w:r>
      <w:r>
        <w:rPr/>
        <w:t>literature,</w:t>
      </w:r>
      <w:r>
        <w:rPr>
          <w:spacing w:val="-3"/>
        </w:rPr>
        <w:t> </w:t>
      </w:r>
      <w:r>
        <w:rPr/>
        <w:t>two</w:t>
      </w:r>
      <w:r>
        <w:rPr>
          <w:spacing w:val="-4"/>
        </w:rPr>
        <w:t> </w:t>
      </w:r>
      <w:r>
        <w:rPr/>
        <w:t>broad areas</w:t>
      </w:r>
      <w:r>
        <w:rPr>
          <w:spacing w:val="-8"/>
        </w:rPr>
        <w:t> </w:t>
      </w:r>
      <w:r>
        <w:rPr/>
        <w:t>of</w:t>
      </w:r>
      <w:r>
        <w:rPr>
          <w:spacing w:val="-8"/>
        </w:rPr>
        <w:t> </w:t>
      </w:r>
      <w:r>
        <w:rPr/>
        <w:t>research</w:t>
      </w:r>
      <w:r>
        <w:rPr>
          <w:spacing w:val="-8"/>
        </w:rPr>
        <w:t> </w:t>
      </w:r>
      <w:r>
        <w:rPr/>
        <w:t>were</w:t>
      </w:r>
      <w:r>
        <w:rPr>
          <w:spacing w:val="-8"/>
        </w:rPr>
        <w:t> </w:t>
      </w:r>
      <w:r>
        <w:rPr/>
        <w:t>identified</w:t>
      </w:r>
      <w:r>
        <w:rPr>
          <w:spacing w:val="-8"/>
        </w:rPr>
        <w:t> </w:t>
      </w:r>
      <w:r>
        <w:rPr/>
        <w:t>in</w:t>
      </w:r>
      <w:r>
        <w:rPr>
          <w:spacing w:val="-8"/>
        </w:rPr>
        <w:t> </w:t>
      </w:r>
      <w:r>
        <w:rPr/>
        <w:t>this</w:t>
      </w:r>
      <w:r>
        <w:rPr>
          <w:spacing w:val="-8"/>
        </w:rPr>
        <w:t> </w:t>
      </w:r>
      <w:r>
        <w:rPr/>
        <w:t>area: accumulated</w:t>
      </w:r>
      <w:r>
        <w:rPr>
          <w:spacing w:val="-8"/>
        </w:rPr>
        <w:t> </w:t>
      </w:r>
      <w:r>
        <w:rPr/>
        <w:t>count</w:t>
      </w:r>
      <w:r>
        <w:rPr>
          <w:spacing w:val="-8"/>
        </w:rPr>
        <w:t> </w:t>
      </w:r>
      <w:r>
        <w:rPr/>
        <w:t>data</w:t>
      </w:r>
      <w:r>
        <w:rPr>
          <w:spacing w:val="-8"/>
        </w:rPr>
        <w:t> </w:t>
      </w:r>
      <w:r>
        <w:rPr/>
        <w:t>analyses</w:t>
      </w:r>
      <w:r>
        <w:rPr>
          <w:spacing w:val="-8"/>
        </w:rPr>
        <w:t> </w:t>
      </w:r>
      <w:r>
        <w:rPr/>
        <w:t>and</w:t>
      </w:r>
      <w:r>
        <w:rPr>
          <w:spacing w:val="-8"/>
        </w:rPr>
        <w:t> </w:t>
      </w:r>
      <w:r>
        <w:rPr/>
        <w:t>action by action (or play by play) data analyses.</w:t>
      </w:r>
      <w:r>
        <w:rPr>
          <w:spacing w:val="38"/>
        </w:rPr>
        <w:t> </w:t>
      </w:r>
      <w:r>
        <w:rPr/>
        <w:t>The key limitation of accumulated count data analyses, highlighted at the beginning of Sections</w:t>
      </w:r>
      <w:hyperlink w:history="true" w:anchor="_bookmark16">
        <w:r>
          <w:rPr>
            <w:color w:val="0000FF"/>
          </w:rPr>
          <w:t>2.2.2</w:t>
        </w:r>
      </w:hyperlink>
      <w:r>
        <w:rPr/>
        <w:t>and</w:t>
      </w:r>
      <w:r>
        <w:rPr>
          <w:color w:val="0000FF"/>
        </w:rPr>
        <w:t>2.3.2.2</w:t>
      </w:r>
      <w:hyperlink w:history="true" w:anchor="_bookmark41">
        <w:r>
          <w:rPr/>
          <w:t>,</w:t>
        </w:r>
      </w:hyperlink>
      <w:r>
        <w:rPr/>
        <w:t> is that they do not provide contextual data surrounding the actions completed.</w:t>
      </w:r>
      <w:r>
        <w:rPr>
          <w:spacing w:val="40"/>
        </w:rPr>
        <w:t> </w:t>
      </w:r>
      <w:r>
        <w:rPr/>
        <w:t>For example, a 10m run in rugby league is much more valuable 9m from the opposition try line than 20m from the opposition</w:t>
      </w:r>
      <w:r>
        <w:rPr>
          <w:spacing w:val="-11"/>
        </w:rPr>
        <w:t> </w:t>
      </w:r>
      <w:r>
        <w:rPr/>
        <w:t>try</w:t>
      </w:r>
      <w:r>
        <w:rPr>
          <w:spacing w:val="-11"/>
        </w:rPr>
        <w:t> </w:t>
      </w:r>
      <w:r>
        <w:rPr/>
        <w:t>line</w:t>
      </w:r>
      <w:r>
        <w:rPr>
          <w:spacing w:val="-11"/>
        </w:rPr>
        <w:t> </w:t>
      </w:r>
      <w:r>
        <w:rPr/>
        <w:t>as</w:t>
      </w:r>
      <w:r>
        <w:rPr>
          <w:spacing w:val="-11"/>
        </w:rPr>
        <w:t> </w:t>
      </w:r>
      <w:r>
        <w:rPr/>
        <w:t>running</w:t>
      </w:r>
      <w:r>
        <w:rPr>
          <w:spacing w:val="-11"/>
        </w:rPr>
        <w:t> </w:t>
      </w:r>
      <w:r>
        <w:rPr/>
        <w:t>from</w:t>
      </w:r>
      <w:r>
        <w:rPr>
          <w:spacing w:val="-11"/>
        </w:rPr>
        <w:t> </w:t>
      </w:r>
      <w:r>
        <w:rPr/>
        <w:t>9m</w:t>
      </w:r>
      <w:r>
        <w:rPr>
          <w:spacing w:val="-11"/>
        </w:rPr>
        <w:t> </w:t>
      </w:r>
      <w:r>
        <w:rPr/>
        <w:t>provides</w:t>
      </w:r>
      <w:r>
        <w:rPr>
          <w:spacing w:val="-11"/>
        </w:rPr>
        <w:t> </w:t>
      </w:r>
      <w:r>
        <w:rPr/>
        <w:t>the</w:t>
      </w:r>
      <w:r>
        <w:rPr>
          <w:spacing w:val="-11"/>
        </w:rPr>
        <w:t> </w:t>
      </w:r>
      <w:r>
        <w:rPr/>
        <w:t>possibility</w:t>
      </w:r>
      <w:r>
        <w:rPr>
          <w:spacing w:val="-11"/>
        </w:rPr>
        <w:t> </w:t>
      </w:r>
      <w:r>
        <w:rPr/>
        <w:t>for</w:t>
      </w:r>
      <w:r>
        <w:rPr>
          <w:spacing w:val="-11"/>
        </w:rPr>
        <w:t> </w:t>
      </w:r>
      <w:r>
        <w:rPr/>
        <w:t>the</w:t>
      </w:r>
      <w:r>
        <w:rPr>
          <w:spacing w:val="-11"/>
        </w:rPr>
        <w:t> </w:t>
      </w:r>
      <w:r>
        <w:rPr/>
        <w:t>ball</w:t>
      </w:r>
      <w:r>
        <w:rPr>
          <w:spacing w:val="-11"/>
        </w:rPr>
        <w:t> </w:t>
      </w:r>
      <w:r>
        <w:rPr/>
        <w:t>to</w:t>
      </w:r>
      <w:r>
        <w:rPr>
          <w:spacing w:val="-11"/>
        </w:rPr>
        <w:t> </w:t>
      </w:r>
      <w:r>
        <w:rPr/>
        <w:t>be</w:t>
      </w:r>
      <w:r>
        <w:rPr>
          <w:spacing w:val="-11"/>
        </w:rPr>
        <w:t> </w:t>
      </w:r>
      <w:r>
        <w:rPr/>
        <w:t>grounded for</w:t>
      </w:r>
      <w:r>
        <w:rPr>
          <w:spacing w:val="-4"/>
        </w:rPr>
        <w:t> </w:t>
      </w:r>
      <w:r>
        <w:rPr/>
        <w:t>a</w:t>
      </w:r>
      <w:r>
        <w:rPr>
          <w:spacing w:val="-4"/>
        </w:rPr>
        <w:t> </w:t>
      </w:r>
      <w:r>
        <w:rPr/>
        <w:t>try,</w:t>
      </w:r>
      <w:r>
        <w:rPr>
          <w:spacing w:val="-3"/>
        </w:rPr>
        <w:t> </w:t>
      </w:r>
      <w:r>
        <w:rPr/>
        <w:t>but</w:t>
      </w:r>
      <w:r>
        <w:rPr>
          <w:spacing w:val="-4"/>
        </w:rPr>
        <w:t> </w:t>
      </w:r>
      <w:r>
        <w:rPr/>
        <w:t>running</w:t>
      </w:r>
      <w:r>
        <w:rPr>
          <w:spacing w:val="-4"/>
        </w:rPr>
        <w:t> </w:t>
      </w:r>
      <w:r>
        <w:rPr/>
        <w:t>from</w:t>
      </w:r>
      <w:r>
        <w:rPr>
          <w:spacing w:val="-4"/>
        </w:rPr>
        <w:t> </w:t>
      </w:r>
      <w:r>
        <w:rPr/>
        <w:t>20m</w:t>
      </w:r>
      <w:r>
        <w:rPr>
          <w:spacing w:val="-4"/>
        </w:rPr>
        <w:t> </w:t>
      </w:r>
      <w:r>
        <w:rPr/>
        <w:t>does</w:t>
      </w:r>
      <w:r>
        <w:rPr>
          <w:spacing w:val="-4"/>
        </w:rPr>
        <w:t> </w:t>
      </w:r>
      <w:r>
        <w:rPr/>
        <w:t>not. Similarly,</w:t>
      </w:r>
      <w:r>
        <w:rPr>
          <w:spacing w:val="-3"/>
        </w:rPr>
        <w:t> </w:t>
      </w:r>
      <w:r>
        <w:rPr/>
        <w:t>a</w:t>
      </w:r>
      <w:r>
        <w:rPr>
          <w:spacing w:val="-4"/>
        </w:rPr>
        <w:t> </w:t>
      </w:r>
      <w:r>
        <w:rPr/>
        <w:t>pass</w:t>
      </w:r>
      <w:r>
        <w:rPr>
          <w:spacing w:val="-4"/>
        </w:rPr>
        <w:t> </w:t>
      </w:r>
      <w:r>
        <w:rPr/>
        <w:t>to</w:t>
      </w:r>
      <w:r>
        <w:rPr>
          <w:spacing w:val="-4"/>
        </w:rPr>
        <w:t> </w:t>
      </w:r>
      <w:r>
        <w:rPr/>
        <w:t>a</w:t>
      </w:r>
      <w:r>
        <w:rPr>
          <w:spacing w:val="-4"/>
        </w:rPr>
        <w:t> </w:t>
      </w:r>
      <w:r>
        <w:rPr/>
        <w:t>player</w:t>
      </w:r>
      <w:r>
        <w:rPr>
          <w:spacing w:val="-4"/>
        </w:rPr>
        <w:t> </w:t>
      </w:r>
      <w:r>
        <w:rPr/>
        <w:t>with</w:t>
      </w:r>
      <w:r>
        <w:rPr>
          <w:spacing w:val="-4"/>
        </w:rPr>
        <w:t> </w:t>
      </w:r>
      <w:r>
        <w:rPr/>
        <w:t>no</w:t>
      </w:r>
      <w:r>
        <w:rPr>
          <w:spacing w:val="-4"/>
        </w:rPr>
        <w:t> </w:t>
      </w:r>
      <w:r>
        <w:rPr/>
        <w:t>opponents in</w:t>
      </w:r>
      <w:r>
        <w:rPr>
          <w:spacing w:val="-12"/>
        </w:rPr>
        <w:t> </w:t>
      </w:r>
      <w:r>
        <w:rPr/>
        <w:t>front</w:t>
      </w:r>
      <w:r>
        <w:rPr>
          <w:spacing w:val="-11"/>
        </w:rPr>
        <w:t> </w:t>
      </w:r>
      <w:r>
        <w:rPr/>
        <w:t>of</w:t>
      </w:r>
      <w:r>
        <w:rPr>
          <w:spacing w:val="-12"/>
        </w:rPr>
        <w:t> </w:t>
      </w:r>
      <w:r>
        <w:rPr/>
        <w:t>him</w:t>
      </w:r>
      <w:r>
        <w:rPr>
          <w:spacing w:val="-11"/>
        </w:rPr>
        <w:t> </w:t>
      </w:r>
      <w:r>
        <w:rPr/>
        <w:t>is</w:t>
      </w:r>
      <w:r>
        <w:rPr>
          <w:spacing w:val="-12"/>
        </w:rPr>
        <w:t> </w:t>
      </w:r>
      <w:r>
        <w:rPr/>
        <w:t>more</w:t>
      </w:r>
      <w:r>
        <w:rPr>
          <w:spacing w:val="-11"/>
        </w:rPr>
        <w:t> </w:t>
      </w:r>
      <w:r>
        <w:rPr/>
        <w:t>valuable</w:t>
      </w:r>
      <w:r>
        <w:rPr>
          <w:spacing w:val="-12"/>
        </w:rPr>
        <w:t> </w:t>
      </w:r>
      <w:r>
        <w:rPr/>
        <w:t>than</w:t>
      </w:r>
      <w:r>
        <w:rPr>
          <w:spacing w:val="-11"/>
        </w:rPr>
        <w:t> </w:t>
      </w:r>
      <w:r>
        <w:rPr/>
        <w:t>a</w:t>
      </w:r>
      <w:r>
        <w:rPr>
          <w:spacing w:val="-12"/>
        </w:rPr>
        <w:t> </w:t>
      </w:r>
      <w:r>
        <w:rPr/>
        <w:t>pass</w:t>
      </w:r>
      <w:r>
        <w:rPr>
          <w:spacing w:val="-11"/>
        </w:rPr>
        <w:t> </w:t>
      </w:r>
      <w:r>
        <w:rPr/>
        <w:t>to</w:t>
      </w:r>
      <w:r>
        <w:rPr>
          <w:spacing w:val="-12"/>
        </w:rPr>
        <w:t> </w:t>
      </w:r>
      <w:r>
        <w:rPr/>
        <w:t>a</w:t>
      </w:r>
      <w:r>
        <w:rPr>
          <w:spacing w:val="-11"/>
        </w:rPr>
        <w:t> </w:t>
      </w:r>
      <w:r>
        <w:rPr/>
        <w:t>player</w:t>
      </w:r>
      <w:r>
        <w:rPr>
          <w:spacing w:val="-12"/>
        </w:rPr>
        <w:t> </w:t>
      </w:r>
      <w:r>
        <w:rPr/>
        <w:t>who</w:t>
      </w:r>
      <w:r>
        <w:rPr>
          <w:spacing w:val="-11"/>
        </w:rPr>
        <w:t> </w:t>
      </w:r>
      <w:r>
        <w:rPr/>
        <w:t>has</w:t>
      </w:r>
      <w:r>
        <w:rPr>
          <w:spacing w:val="-12"/>
        </w:rPr>
        <w:t> </w:t>
      </w:r>
      <w:r>
        <w:rPr/>
        <w:t>three</w:t>
      </w:r>
      <w:r>
        <w:rPr>
          <w:spacing w:val="-11"/>
        </w:rPr>
        <w:t> </w:t>
      </w:r>
      <w:r>
        <w:rPr/>
        <w:t>defenders</w:t>
      </w:r>
      <w:r>
        <w:rPr>
          <w:spacing w:val="-12"/>
        </w:rPr>
        <w:t> </w:t>
      </w:r>
      <w:r>
        <w:rPr/>
        <w:t>directly</w:t>
      </w:r>
      <w:r>
        <w:rPr>
          <w:spacing w:val="-11"/>
        </w:rPr>
        <w:t> </w:t>
      </w:r>
      <w:r>
        <w:rPr/>
        <w:t>in front of him, as the player receiving the ball has greater opportunity to progress towards the opposition try line with no opponents in front of him than he does with three oppo- sition players to get through or around.</w:t>
      </w:r>
      <w:r>
        <w:rPr>
          <w:spacing w:val="40"/>
        </w:rPr>
        <w:t> </w:t>
      </w:r>
      <w:r>
        <w:rPr/>
        <w:t>Accumulated count data analyses are unable to account</w:t>
      </w:r>
      <w:r>
        <w:rPr>
          <w:spacing w:val="-8"/>
        </w:rPr>
        <w:t> </w:t>
      </w:r>
      <w:r>
        <w:rPr/>
        <w:t>for</w:t>
      </w:r>
      <w:r>
        <w:rPr>
          <w:spacing w:val="-8"/>
        </w:rPr>
        <w:t> </w:t>
      </w:r>
      <w:r>
        <w:rPr/>
        <w:t>all</w:t>
      </w:r>
      <w:r>
        <w:rPr>
          <w:spacing w:val="-8"/>
        </w:rPr>
        <w:t> </w:t>
      </w:r>
      <w:r>
        <w:rPr/>
        <w:t>of</w:t>
      </w:r>
      <w:r>
        <w:rPr>
          <w:spacing w:val="-8"/>
        </w:rPr>
        <w:t> </w:t>
      </w:r>
      <w:r>
        <w:rPr/>
        <w:t>this</w:t>
      </w:r>
      <w:r>
        <w:rPr>
          <w:spacing w:val="-8"/>
        </w:rPr>
        <w:t> </w:t>
      </w:r>
      <w:r>
        <w:rPr/>
        <w:t>information,</w:t>
      </w:r>
      <w:r>
        <w:rPr>
          <w:spacing w:val="-8"/>
        </w:rPr>
        <w:t> </w:t>
      </w:r>
      <w:r>
        <w:rPr/>
        <w:t>which</w:t>
      </w:r>
      <w:r>
        <w:rPr>
          <w:spacing w:val="-8"/>
        </w:rPr>
        <w:t> </w:t>
      </w:r>
      <w:r>
        <w:rPr/>
        <w:t>reduces</w:t>
      </w:r>
      <w:r>
        <w:rPr>
          <w:spacing w:val="-8"/>
        </w:rPr>
        <w:t> </w:t>
      </w:r>
      <w:r>
        <w:rPr/>
        <w:t>their</w:t>
      </w:r>
      <w:r>
        <w:rPr>
          <w:spacing w:val="-8"/>
        </w:rPr>
        <w:t> </w:t>
      </w:r>
      <w:r>
        <w:rPr/>
        <w:t>validity</w:t>
      </w:r>
      <w:r>
        <w:rPr>
          <w:spacing w:val="-8"/>
        </w:rPr>
        <w:t> </w:t>
      </w:r>
      <w:r>
        <w:rPr/>
        <w:t>with</w:t>
      </w:r>
      <w:r>
        <w:rPr>
          <w:spacing w:val="-8"/>
        </w:rPr>
        <w:t> </w:t>
      </w:r>
      <w:r>
        <w:rPr/>
        <w:t>respect</w:t>
      </w:r>
      <w:r>
        <w:rPr>
          <w:spacing w:val="-8"/>
        </w:rPr>
        <w:t> </w:t>
      </w:r>
      <w:r>
        <w:rPr/>
        <w:t>to</w:t>
      </w:r>
      <w:r>
        <w:rPr>
          <w:spacing w:val="-8"/>
        </w:rPr>
        <w:t> </w:t>
      </w:r>
      <w:r>
        <w:rPr/>
        <w:t>evaluating player and team performances.</w:t>
      </w:r>
      <w:r>
        <w:rPr>
          <w:spacing w:val="37"/>
        </w:rPr>
        <w:t> </w:t>
      </w:r>
      <w:r>
        <w:rPr/>
        <w:t>Consequently, accumulated count data analyses will not be considered within this thesis.</w:t>
      </w:r>
    </w:p>
    <w:p>
      <w:pPr>
        <w:pStyle w:val="BodyText"/>
        <w:spacing w:line="309" w:lineRule="auto"/>
        <w:ind w:left="610" w:right="389" w:firstLine="351"/>
        <w:jc w:val="both"/>
      </w:pPr>
      <w:r>
        <w:rPr/>
        <w:t>Prior to the onset of this PhD, two studies considered play by play data analyses in rugby league (</w:t>
      </w:r>
      <w:hyperlink w:history="true" w:anchor="_bookmark254">
        <w:r>
          <w:rPr>
            <w:color w:val="FF0000"/>
          </w:rPr>
          <w:t>Holbrook et al.</w:t>
        </w:r>
      </w:hyperlink>
      <w:r>
        <w:rPr/>
        <w:t>,</w:t>
      </w:r>
      <w:hyperlink w:history="true" w:anchor="_bookmark254">
        <w:r>
          <w:rPr>
            <w:color w:val="FF0000"/>
          </w:rPr>
          <w:t>2019</w:t>
        </w:r>
        <w:r>
          <w:rPr/>
          <w:t>;</w:t>
        </w:r>
      </w:hyperlink>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spacing w:val="40"/>
        </w:rPr>
        <w:t> </w:t>
      </w:r>
      <w:r>
        <w:rPr/>
        <w:t>These studies used</w:t>
      </w:r>
      <w:r>
        <w:rPr>
          <w:spacing w:val="80"/>
        </w:rPr>
        <w:t> </w:t>
      </w:r>
      <w:r>
        <w:rPr>
          <w:rFonts w:ascii="Cambria"/>
        </w:rPr>
        <w:t>x,</w:t>
      </w:r>
      <w:r>
        <w:rPr>
          <w:rFonts w:ascii="Cambria"/>
          <w:spacing w:val="-14"/>
        </w:rPr>
        <w:t> </w:t>
      </w:r>
      <w:r>
        <w:rPr>
          <w:rFonts w:ascii="Cambria"/>
        </w:rPr>
        <w:t>y </w:t>
      </w:r>
      <w:r>
        <w:rPr/>
        <w:t>coordinate data from the first action of each play (the play-the-ball) to provide some spatial context within their models.</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produced the first EPV model</w:t>
      </w:r>
    </w:p>
    <w:p>
      <w:pPr>
        <w:spacing w:after="0" w:line="309" w:lineRule="auto"/>
        <w:jc w:val="both"/>
        <w:sectPr>
          <w:headerReference w:type="default" r:id="rId53"/>
          <w:footerReference w:type="default" r:id="rId54"/>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in</w:t>
      </w:r>
      <w:r>
        <w:rPr>
          <w:spacing w:val="-11"/>
        </w:rPr>
        <w:t> </w:t>
      </w:r>
      <w:r>
        <w:rPr/>
        <w:t>rugby</w:t>
      </w:r>
      <w:r>
        <w:rPr>
          <w:spacing w:val="-11"/>
        </w:rPr>
        <w:t> </w:t>
      </w:r>
      <w:r>
        <w:rPr/>
        <w:t>league,</w:t>
      </w:r>
      <w:r>
        <w:rPr>
          <w:spacing w:val="-10"/>
        </w:rPr>
        <w:t> </w:t>
      </w:r>
      <w:r>
        <w:rPr/>
        <w:t>which</w:t>
      </w:r>
      <w:r>
        <w:rPr>
          <w:spacing w:val="-11"/>
        </w:rPr>
        <w:t> </w:t>
      </w:r>
      <w:r>
        <w:rPr/>
        <w:t>provided</w:t>
      </w:r>
      <w:r>
        <w:rPr>
          <w:spacing w:val="-11"/>
        </w:rPr>
        <w:t> </w:t>
      </w:r>
      <w:r>
        <w:rPr/>
        <w:t>insights</w:t>
      </w:r>
      <w:r>
        <w:rPr>
          <w:spacing w:val="-11"/>
        </w:rPr>
        <w:t> </w:t>
      </w:r>
      <w:r>
        <w:rPr/>
        <w:t>into</w:t>
      </w:r>
      <w:r>
        <w:rPr>
          <w:spacing w:val="-11"/>
        </w:rPr>
        <w:t> </w:t>
      </w:r>
      <w:r>
        <w:rPr/>
        <w:t>the</w:t>
      </w:r>
      <w:r>
        <w:rPr>
          <w:spacing w:val="-11"/>
        </w:rPr>
        <w:t> </w:t>
      </w:r>
      <w:r>
        <w:rPr/>
        <w:t>value</w:t>
      </w:r>
      <w:r>
        <w:rPr>
          <w:spacing w:val="-11"/>
        </w:rPr>
        <w:t> </w:t>
      </w:r>
      <w:r>
        <w:rPr/>
        <w:t>of</w:t>
      </w:r>
      <w:r>
        <w:rPr>
          <w:spacing w:val="-11"/>
        </w:rPr>
        <w:t> </w:t>
      </w:r>
      <w:r>
        <w:rPr/>
        <w:t>different</w:t>
      </w:r>
      <w:r>
        <w:rPr>
          <w:spacing w:val="-11"/>
        </w:rPr>
        <w:t> </w:t>
      </w:r>
      <w:r>
        <w:rPr/>
        <w:t>locations</w:t>
      </w:r>
      <w:r>
        <w:rPr>
          <w:spacing w:val="-11"/>
        </w:rPr>
        <w:t> </w:t>
      </w:r>
      <w:r>
        <w:rPr/>
        <w:t>on</w:t>
      </w:r>
      <w:r>
        <w:rPr>
          <w:spacing w:val="-11"/>
        </w:rPr>
        <w:t> </w:t>
      </w:r>
      <w:r>
        <w:rPr/>
        <w:t>the</w:t>
      </w:r>
      <w:r>
        <w:rPr>
          <w:spacing w:val="-11"/>
        </w:rPr>
        <w:t> </w:t>
      </w:r>
      <w:r>
        <w:rPr/>
        <w:t>pitch. They used dynamic programming with fixed zone sizes, which allowed greater insights than</w:t>
      </w:r>
      <w:r>
        <w:rPr>
          <w:spacing w:val="-5"/>
        </w:rPr>
        <w:t> </w:t>
      </w:r>
      <w:r>
        <w:rPr/>
        <w:t>previously. However,</w:t>
      </w:r>
      <w:r>
        <w:rPr>
          <w:spacing w:val="-4"/>
        </w:rPr>
        <w:t> </w:t>
      </w:r>
      <w:r>
        <w:rPr/>
        <w:t>they</w:t>
      </w:r>
      <w:r>
        <w:rPr>
          <w:spacing w:val="-5"/>
        </w:rPr>
        <w:t> </w:t>
      </w:r>
      <w:r>
        <w:rPr/>
        <w:t>framed</w:t>
      </w:r>
      <w:r>
        <w:rPr>
          <w:spacing w:val="-5"/>
        </w:rPr>
        <w:t> </w:t>
      </w:r>
      <w:r>
        <w:rPr/>
        <w:t>their</w:t>
      </w:r>
      <w:r>
        <w:rPr>
          <w:spacing w:val="-5"/>
        </w:rPr>
        <w:t> </w:t>
      </w:r>
      <w:r>
        <w:rPr/>
        <w:t>analysis</w:t>
      </w:r>
      <w:r>
        <w:rPr>
          <w:spacing w:val="-5"/>
        </w:rPr>
        <w:t> </w:t>
      </w:r>
      <w:r>
        <w:rPr/>
        <w:t>at</w:t>
      </w:r>
      <w:r>
        <w:rPr>
          <w:spacing w:val="-5"/>
        </w:rPr>
        <w:t> </w:t>
      </w:r>
      <w:r>
        <w:rPr/>
        <w:t>a</w:t>
      </w:r>
      <w:r>
        <w:rPr>
          <w:spacing w:val="-5"/>
        </w:rPr>
        <w:t> </w:t>
      </w:r>
      <w:r>
        <w:rPr/>
        <w:t>global</w:t>
      </w:r>
      <w:r>
        <w:rPr>
          <w:spacing w:val="-5"/>
        </w:rPr>
        <w:t> </w:t>
      </w:r>
      <w:r>
        <w:rPr/>
        <w:t>level</w:t>
      </w:r>
      <w:r>
        <w:rPr>
          <w:spacing w:val="-5"/>
        </w:rPr>
        <w:t> </w:t>
      </w:r>
      <w:r>
        <w:rPr/>
        <w:t>(i.e. what</w:t>
      </w:r>
      <w:r>
        <w:rPr>
          <w:spacing w:val="-5"/>
        </w:rPr>
        <w:t> </w:t>
      </w:r>
      <w:r>
        <w:rPr/>
        <w:t>happens in</w:t>
      </w:r>
      <w:r>
        <w:rPr>
          <w:spacing w:val="-8"/>
        </w:rPr>
        <w:t> </w:t>
      </w:r>
      <w:r>
        <w:rPr/>
        <w:t>the</w:t>
      </w:r>
      <w:r>
        <w:rPr>
          <w:spacing w:val="-8"/>
        </w:rPr>
        <w:t> </w:t>
      </w:r>
      <w:r>
        <w:rPr/>
        <w:t>league,</w:t>
      </w:r>
      <w:r>
        <w:rPr>
          <w:spacing w:val="-8"/>
        </w:rPr>
        <w:t> </w:t>
      </w:r>
      <w:r>
        <w:rPr/>
        <w:t>rather</w:t>
      </w:r>
      <w:r>
        <w:rPr>
          <w:spacing w:val="-8"/>
        </w:rPr>
        <w:t> </w:t>
      </w:r>
      <w:r>
        <w:rPr/>
        <w:t>than</w:t>
      </w:r>
      <w:r>
        <w:rPr>
          <w:spacing w:val="-8"/>
        </w:rPr>
        <w:t> </w:t>
      </w:r>
      <w:r>
        <w:rPr/>
        <w:t>what</w:t>
      </w:r>
      <w:r>
        <w:rPr>
          <w:spacing w:val="-8"/>
        </w:rPr>
        <w:t> </w:t>
      </w:r>
      <w:r>
        <w:rPr/>
        <w:t>specific</w:t>
      </w:r>
      <w:r>
        <w:rPr>
          <w:spacing w:val="-8"/>
        </w:rPr>
        <w:t> </w:t>
      </w:r>
      <w:r>
        <w:rPr/>
        <w:t>teams/players</w:t>
      </w:r>
      <w:r>
        <w:rPr>
          <w:spacing w:val="-8"/>
        </w:rPr>
        <w:t> </w:t>
      </w:r>
      <w:r>
        <w:rPr/>
        <w:t>do)</w:t>
      </w:r>
      <w:r>
        <w:rPr>
          <w:spacing w:val="-8"/>
        </w:rPr>
        <w:t> </w:t>
      </w:r>
      <w:r>
        <w:rPr/>
        <w:t>on</w:t>
      </w:r>
      <w:r>
        <w:rPr>
          <w:spacing w:val="-8"/>
        </w:rPr>
        <w:t> </w:t>
      </w:r>
      <w:r>
        <w:rPr/>
        <w:t>a</w:t>
      </w:r>
      <w:r>
        <w:rPr>
          <w:spacing w:val="-8"/>
        </w:rPr>
        <w:t> </w:t>
      </w:r>
      <w:r>
        <w:rPr/>
        <w:t>play</w:t>
      </w:r>
      <w:r>
        <w:rPr>
          <w:spacing w:val="-8"/>
        </w:rPr>
        <w:t> </w:t>
      </w:r>
      <w:r>
        <w:rPr/>
        <w:t>by</w:t>
      </w:r>
      <w:r>
        <w:rPr>
          <w:spacing w:val="-8"/>
        </w:rPr>
        <w:t> </w:t>
      </w:r>
      <w:r>
        <w:rPr/>
        <w:t>play</w:t>
      </w:r>
      <w:r>
        <w:rPr>
          <w:spacing w:val="-8"/>
        </w:rPr>
        <w:t> </w:t>
      </w:r>
      <w:r>
        <w:rPr/>
        <w:t>level,</w:t>
      </w:r>
      <w:r>
        <w:rPr>
          <w:spacing w:val="-8"/>
        </w:rPr>
        <w:t> </w:t>
      </w:r>
      <w:r>
        <w:rPr/>
        <w:t>limiting the usefulness of the results in practice.</w:t>
      </w:r>
      <w:r>
        <w:rPr>
          <w:spacing w:val="40"/>
        </w:rPr>
        <w:t> </w:t>
      </w:r>
      <w:r>
        <w:rPr/>
        <w:t>Furthermore, the zone sizes were arbitrarily chosen, rather than through data-driven analysis or expert insight (</w:t>
      </w:r>
      <w:hyperlink w:history="true" w:anchor="_bookmark231">
        <w:r>
          <w:rPr>
            <w:color w:val="FF0000"/>
          </w:rPr>
          <w:t>Cervone et al.</w:t>
        </w:r>
      </w:hyperlink>
      <w:r>
        <w:rPr/>
        <w:t>,</w:t>
      </w:r>
      <w:hyperlink w:history="true" w:anchor="_bookmark231">
        <w:r>
          <w:rPr>
            <w:color w:val="FF0000"/>
          </w:rPr>
          <w:t>2016</w:t>
        </w:r>
      </w:hyperlink>
      <w:r>
        <w:rPr/>
        <w:t>), and</w:t>
      </w:r>
      <w:r>
        <w:rPr>
          <w:spacing w:val="-15"/>
        </w:rPr>
        <w:t> </w:t>
      </w:r>
      <w:r>
        <w:rPr/>
        <w:t>it</w:t>
      </w:r>
      <w:r>
        <w:rPr>
          <w:spacing w:val="-15"/>
        </w:rPr>
        <w:t> </w:t>
      </w:r>
      <w:r>
        <w:rPr/>
        <w:t>is</w:t>
      </w:r>
      <w:r>
        <w:rPr>
          <w:spacing w:val="-15"/>
        </w:rPr>
        <w:t> </w:t>
      </w:r>
      <w:r>
        <w:rPr/>
        <w:t>unclear</w:t>
      </w:r>
      <w:r>
        <w:rPr>
          <w:spacing w:val="-15"/>
        </w:rPr>
        <w:t> </w:t>
      </w:r>
      <w:r>
        <w:rPr/>
        <w:t>how</w:t>
      </w:r>
      <w:r>
        <w:rPr>
          <w:spacing w:val="-15"/>
        </w:rPr>
        <w:t> </w:t>
      </w:r>
      <w:r>
        <w:rPr/>
        <w:t>this</w:t>
      </w:r>
      <w:r>
        <w:rPr>
          <w:spacing w:val="-15"/>
        </w:rPr>
        <w:t> </w:t>
      </w:r>
      <w:r>
        <w:rPr/>
        <w:t>affected</w:t>
      </w:r>
      <w:r>
        <w:rPr>
          <w:spacing w:val="-15"/>
        </w:rPr>
        <w:t> </w:t>
      </w:r>
      <w:r>
        <w:rPr/>
        <w:t>the</w:t>
      </w:r>
      <w:r>
        <w:rPr>
          <w:spacing w:val="-15"/>
        </w:rPr>
        <w:t> </w:t>
      </w:r>
      <w:r>
        <w:rPr/>
        <w:t>results</w:t>
      </w:r>
      <w:r>
        <w:rPr>
          <w:spacing w:val="-15"/>
        </w:rPr>
        <w:t> </w:t>
      </w:r>
      <w:r>
        <w:rPr/>
        <w:t>obtained.</w:t>
      </w:r>
      <w:r>
        <w:rPr>
          <w:spacing w:val="3"/>
        </w:rPr>
        <w:t> </w:t>
      </w:r>
      <w:r>
        <w:rPr/>
        <w:t>The</w:t>
      </w:r>
      <w:r>
        <w:rPr>
          <w:spacing w:val="-15"/>
        </w:rPr>
        <w:t> </w:t>
      </w:r>
      <w:r>
        <w:rPr/>
        <w:t>work</w:t>
      </w:r>
      <w:r>
        <w:rPr>
          <w:spacing w:val="-15"/>
        </w:rPr>
        <w:t> </w:t>
      </w:r>
      <w:r>
        <w:rPr/>
        <w:t>provides</w:t>
      </w:r>
      <w:r>
        <w:rPr>
          <w:spacing w:val="-15"/>
        </w:rPr>
        <w:t> </w:t>
      </w:r>
      <w:r>
        <w:rPr/>
        <w:t>a</w:t>
      </w:r>
      <w:r>
        <w:rPr>
          <w:spacing w:val="-15"/>
        </w:rPr>
        <w:t> </w:t>
      </w:r>
      <w:r>
        <w:rPr/>
        <w:t>valuable</w:t>
      </w:r>
      <w:r>
        <w:rPr>
          <w:spacing w:val="-15"/>
        </w:rPr>
        <w:t> </w:t>
      </w:r>
      <w:r>
        <w:rPr/>
        <w:t>basis from</w:t>
      </w:r>
      <w:r>
        <w:rPr>
          <w:spacing w:val="-14"/>
        </w:rPr>
        <w:t> </w:t>
      </w:r>
      <w:r>
        <w:rPr/>
        <w:t>which</w:t>
      </w:r>
      <w:r>
        <w:rPr>
          <w:spacing w:val="-15"/>
        </w:rPr>
        <w:t> </w:t>
      </w:r>
      <w:r>
        <w:rPr/>
        <w:t>future</w:t>
      </w:r>
      <w:r>
        <w:rPr>
          <w:spacing w:val="-14"/>
        </w:rPr>
        <w:t> </w:t>
      </w:r>
      <w:r>
        <w:rPr/>
        <w:t>research</w:t>
      </w:r>
      <w:r>
        <w:rPr>
          <w:spacing w:val="-14"/>
        </w:rPr>
        <w:t> </w:t>
      </w:r>
      <w:r>
        <w:rPr/>
        <w:t>within</w:t>
      </w:r>
      <w:r>
        <w:rPr>
          <w:spacing w:val="-15"/>
        </w:rPr>
        <w:t> </w:t>
      </w:r>
      <w:r>
        <w:rPr/>
        <w:t>the</w:t>
      </w:r>
      <w:r>
        <w:rPr>
          <w:spacing w:val="-14"/>
        </w:rPr>
        <w:t> </w:t>
      </w:r>
      <w:r>
        <w:rPr/>
        <w:t>sport</w:t>
      </w:r>
      <w:r>
        <w:rPr>
          <w:spacing w:val="-14"/>
        </w:rPr>
        <w:t> </w:t>
      </w:r>
      <w:r>
        <w:rPr/>
        <w:t>could</w:t>
      </w:r>
      <w:r>
        <w:rPr>
          <w:spacing w:val="-15"/>
        </w:rPr>
        <w:t> </w:t>
      </w:r>
      <w:r>
        <w:rPr/>
        <w:t>be</w:t>
      </w:r>
      <w:r>
        <w:rPr>
          <w:spacing w:val="-14"/>
        </w:rPr>
        <w:t> </w:t>
      </w:r>
      <w:r>
        <w:rPr/>
        <w:t>conducted</w:t>
      </w:r>
      <w:r>
        <w:rPr>
          <w:spacing w:val="-14"/>
        </w:rPr>
        <w:t> </w:t>
      </w:r>
      <w:r>
        <w:rPr/>
        <w:t>though,</w:t>
      </w:r>
      <w:r>
        <w:rPr>
          <w:spacing w:val="-13"/>
        </w:rPr>
        <w:t> </w:t>
      </w:r>
      <w:r>
        <w:rPr/>
        <w:t>as</w:t>
      </w:r>
      <w:r>
        <w:rPr>
          <w:spacing w:val="-14"/>
        </w:rPr>
        <w:t> </w:t>
      </w:r>
      <w:r>
        <w:rPr/>
        <w:t>they</w:t>
      </w:r>
      <w:r>
        <w:rPr>
          <w:spacing w:val="-14"/>
        </w:rPr>
        <w:t> </w:t>
      </w:r>
      <w:r>
        <w:rPr/>
        <w:t>show</w:t>
      </w:r>
      <w:r>
        <w:rPr>
          <w:spacing w:val="-14"/>
        </w:rPr>
        <w:t> </w:t>
      </w:r>
      <w:r>
        <w:rPr/>
        <w:t>how the episodic nature of rugby league can be harnessed within an MDP framework to gain interesting</w:t>
      </w:r>
      <w:r>
        <w:rPr>
          <w:spacing w:val="-15"/>
        </w:rPr>
        <w:t> </w:t>
      </w:r>
      <w:r>
        <w:rPr/>
        <w:t>results.</w:t>
      </w:r>
      <w:r>
        <w:rPr>
          <w:spacing w:val="7"/>
        </w:rPr>
        <w:t> </w:t>
      </w:r>
      <w:r>
        <w:rPr/>
        <w:t>(</w:t>
      </w:r>
      <w:hyperlink w:history="true" w:anchor="_bookmark254">
        <w:r>
          <w:rPr>
            <w:color w:val="FF0000"/>
          </w:rPr>
          <w:t>Holbrook</w:t>
        </w:r>
        <w:r>
          <w:rPr>
            <w:color w:val="FF0000"/>
            <w:spacing w:val="-15"/>
          </w:rPr>
          <w:t> </w:t>
        </w:r>
        <w:r>
          <w:rPr>
            <w:color w:val="FF0000"/>
          </w:rPr>
          <w:t>et</w:t>
        </w:r>
        <w:r>
          <w:rPr>
            <w:color w:val="FF0000"/>
            <w:spacing w:val="-15"/>
          </w:rPr>
          <w:t> </w:t>
        </w:r>
        <w:r>
          <w:rPr>
            <w:color w:val="FF0000"/>
          </w:rPr>
          <w:t>al.</w:t>
        </w:r>
      </w:hyperlink>
      <w:r>
        <w:rPr/>
        <w:t>,</w:t>
      </w:r>
      <w:hyperlink w:history="true" w:anchor="_bookmark254">
        <w:r>
          <w:rPr>
            <w:color w:val="FF0000"/>
          </w:rPr>
          <w:t>2019</w:t>
        </w:r>
        <w:r>
          <w:rPr/>
          <w:t>)</w:t>
        </w:r>
      </w:hyperlink>
      <w:r>
        <w:rPr>
          <w:spacing w:val="-15"/>
        </w:rPr>
        <w:t> </w:t>
      </w:r>
      <w:r>
        <w:rPr/>
        <w:t>adopted</w:t>
      </w:r>
      <w:r>
        <w:rPr>
          <w:spacing w:val="-15"/>
        </w:rPr>
        <w:t> </w:t>
      </w:r>
      <w:r>
        <w:rPr/>
        <w:t>a</w:t>
      </w:r>
      <w:r>
        <w:rPr>
          <w:spacing w:val="-15"/>
        </w:rPr>
        <w:t> </w:t>
      </w:r>
      <w:r>
        <w:rPr/>
        <w:t>deep</w:t>
      </w:r>
      <w:r>
        <w:rPr>
          <w:spacing w:val="-15"/>
        </w:rPr>
        <w:t> </w:t>
      </w:r>
      <w:r>
        <w:rPr/>
        <w:t>learning</w:t>
      </w:r>
      <w:r>
        <w:rPr>
          <w:spacing w:val="-15"/>
        </w:rPr>
        <w:t> </w:t>
      </w:r>
      <w:r>
        <w:rPr/>
        <w:t>approach</w:t>
      </w:r>
      <w:r>
        <w:rPr>
          <w:spacing w:val="-15"/>
        </w:rPr>
        <w:t> </w:t>
      </w:r>
      <w:r>
        <w:rPr/>
        <w:t>to</w:t>
      </w:r>
      <w:r>
        <w:rPr>
          <w:spacing w:val="-15"/>
        </w:rPr>
        <w:t> </w:t>
      </w:r>
      <w:r>
        <w:rPr/>
        <w:t>understand team</w:t>
      </w:r>
      <w:r>
        <w:rPr>
          <w:spacing w:val="-15"/>
        </w:rPr>
        <w:t> </w:t>
      </w:r>
      <w:r>
        <w:rPr/>
        <w:t>performances</w:t>
      </w:r>
      <w:r>
        <w:rPr>
          <w:spacing w:val="-15"/>
        </w:rPr>
        <w:t> </w:t>
      </w:r>
      <w:r>
        <w:rPr/>
        <w:t>in</w:t>
      </w:r>
      <w:r>
        <w:rPr>
          <w:spacing w:val="-15"/>
        </w:rPr>
        <w:t> </w:t>
      </w:r>
      <w:r>
        <w:rPr/>
        <w:t>rugby</w:t>
      </w:r>
      <w:r>
        <w:rPr>
          <w:spacing w:val="-15"/>
        </w:rPr>
        <w:t> </w:t>
      </w:r>
      <w:r>
        <w:rPr/>
        <w:t>league.</w:t>
      </w:r>
      <w:r>
        <w:rPr>
          <w:spacing w:val="5"/>
        </w:rPr>
        <w:t> </w:t>
      </w:r>
      <w:r>
        <w:rPr/>
        <w:t>They</w:t>
      </w:r>
      <w:r>
        <w:rPr>
          <w:spacing w:val="-15"/>
        </w:rPr>
        <w:t> </w:t>
      </w:r>
      <w:r>
        <w:rPr/>
        <w:t>showed</w:t>
      </w:r>
      <w:r>
        <w:rPr>
          <w:spacing w:val="-15"/>
        </w:rPr>
        <w:t> </w:t>
      </w:r>
      <w:r>
        <w:rPr/>
        <w:t>the</w:t>
      </w:r>
      <w:r>
        <w:rPr>
          <w:spacing w:val="-15"/>
        </w:rPr>
        <w:t> </w:t>
      </w:r>
      <w:r>
        <w:rPr/>
        <w:t>expected</w:t>
      </w:r>
      <w:r>
        <w:rPr>
          <w:spacing w:val="-15"/>
        </w:rPr>
        <w:t> </w:t>
      </w:r>
      <w:r>
        <w:rPr/>
        <w:t>metres</w:t>
      </w:r>
      <w:r>
        <w:rPr>
          <w:spacing w:val="-15"/>
        </w:rPr>
        <w:t> </w:t>
      </w:r>
      <w:r>
        <w:rPr/>
        <w:t>gained</w:t>
      </w:r>
      <w:r>
        <w:rPr>
          <w:spacing w:val="-15"/>
        </w:rPr>
        <w:t> </w:t>
      </w:r>
      <w:r>
        <w:rPr/>
        <w:t>in</w:t>
      </w:r>
      <w:r>
        <w:rPr>
          <w:spacing w:val="-15"/>
        </w:rPr>
        <w:t> </w:t>
      </w:r>
      <w:r>
        <w:rPr/>
        <w:t>a</w:t>
      </w:r>
      <w:r>
        <w:rPr>
          <w:spacing w:val="-15"/>
        </w:rPr>
        <w:t> </w:t>
      </w:r>
      <w:r>
        <w:rPr/>
        <w:t>set</w:t>
      </w:r>
      <w:r>
        <w:rPr>
          <w:spacing w:val="-15"/>
        </w:rPr>
        <w:t> </w:t>
      </w:r>
      <w:r>
        <w:rPr/>
        <w:t>on</w:t>
      </w:r>
      <w:r>
        <w:rPr>
          <w:spacing w:val="-15"/>
        </w:rPr>
        <w:t> </w:t>
      </w:r>
      <w:r>
        <w:rPr/>
        <w:t>a play</w:t>
      </w:r>
      <w:r>
        <w:rPr>
          <w:spacing w:val="-13"/>
        </w:rPr>
        <w:t> </w:t>
      </w:r>
      <w:r>
        <w:rPr/>
        <w:t>by</w:t>
      </w:r>
      <w:r>
        <w:rPr>
          <w:spacing w:val="-13"/>
        </w:rPr>
        <w:t> </w:t>
      </w:r>
      <w:r>
        <w:rPr/>
        <w:t>play</w:t>
      </w:r>
      <w:r>
        <w:rPr>
          <w:spacing w:val="-13"/>
        </w:rPr>
        <w:t> </w:t>
      </w:r>
      <w:r>
        <w:rPr/>
        <w:t>basis,</w:t>
      </w:r>
      <w:r>
        <w:rPr>
          <w:spacing w:val="-12"/>
        </w:rPr>
        <w:t> </w:t>
      </w:r>
      <w:r>
        <w:rPr/>
        <w:t>alongside</w:t>
      </w:r>
      <w:r>
        <w:rPr>
          <w:spacing w:val="-13"/>
        </w:rPr>
        <w:t> </w:t>
      </w:r>
      <w:r>
        <w:rPr/>
        <w:t>the</w:t>
      </w:r>
      <w:r>
        <w:rPr>
          <w:spacing w:val="-13"/>
        </w:rPr>
        <w:t> </w:t>
      </w:r>
      <w:r>
        <w:rPr/>
        <w:t>expected</w:t>
      </w:r>
      <w:r>
        <w:rPr>
          <w:spacing w:val="-13"/>
        </w:rPr>
        <w:t> </w:t>
      </w:r>
      <w:r>
        <w:rPr/>
        <w:t>try</w:t>
      </w:r>
      <w:r>
        <w:rPr>
          <w:spacing w:val="-13"/>
        </w:rPr>
        <w:t> </w:t>
      </w:r>
      <w:r>
        <w:rPr/>
        <w:t>probability. Furthermore,</w:t>
      </w:r>
      <w:r>
        <w:rPr>
          <w:spacing w:val="-12"/>
        </w:rPr>
        <w:t> </w:t>
      </w:r>
      <w:r>
        <w:rPr/>
        <w:t>they</w:t>
      </w:r>
      <w:r>
        <w:rPr>
          <w:spacing w:val="-13"/>
        </w:rPr>
        <w:t> </w:t>
      </w:r>
      <w:r>
        <w:rPr/>
        <w:t>extended</w:t>
      </w:r>
      <w:r>
        <w:rPr>
          <w:spacing w:val="-13"/>
        </w:rPr>
        <w:t> </w:t>
      </w:r>
      <w:r>
        <w:rPr/>
        <w:t>the results to provide metrics evaluating teams’ attacking and defensive performances.</w:t>
      </w:r>
      <w:r>
        <w:rPr>
          <w:spacing w:val="40"/>
        </w:rPr>
        <w:t> </w:t>
      </w:r>
      <w:r>
        <w:rPr/>
        <w:t>The work</w:t>
      </w:r>
      <w:r>
        <w:rPr>
          <w:spacing w:val="-6"/>
        </w:rPr>
        <w:t> </w:t>
      </w:r>
      <w:r>
        <w:rPr/>
        <w:t>provides</w:t>
      </w:r>
      <w:r>
        <w:rPr>
          <w:spacing w:val="-7"/>
        </w:rPr>
        <w:t> </w:t>
      </w:r>
      <w:r>
        <w:rPr/>
        <w:t>useful</w:t>
      </w:r>
      <w:r>
        <w:rPr>
          <w:spacing w:val="-6"/>
        </w:rPr>
        <w:t> </w:t>
      </w:r>
      <w:r>
        <w:rPr/>
        <w:t>information</w:t>
      </w:r>
      <w:r>
        <w:rPr>
          <w:spacing w:val="-6"/>
        </w:rPr>
        <w:t> </w:t>
      </w:r>
      <w:r>
        <w:rPr/>
        <w:t>to</w:t>
      </w:r>
      <w:r>
        <w:rPr>
          <w:spacing w:val="-7"/>
        </w:rPr>
        <w:t> </w:t>
      </w:r>
      <w:r>
        <w:rPr/>
        <w:t>practitioners</w:t>
      </w:r>
      <w:r>
        <w:rPr>
          <w:spacing w:val="-6"/>
        </w:rPr>
        <w:t> </w:t>
      </w:r>
      <w:r>
        <w:rPr/>
        <w:t>in</w:t>
      </w:r>
      <w:r>
        <w:rPr>
          <w:spacing w:val="-6"/>
        </w:rPr>
        <w:t> </w:t>
      </w:r>
      <w:r>
        <w:rPr/>
        <w:t>the</w:t>
      </w:r>
      <w:r>
        <w:rPr>
          <w:spacing w:val="-7"/>
        </w:rPr>
        <w:t> </w:t>
      </w:r>
      <w:r>
        <w:rPr/>
        <w:t>National</w:t>
      </w:r>
      <w:r>
        <w:rPr>
          <w:spacing w:val="-6"/>
        </w:rPr>
        <w:t> </w:t>
      </w:r>
      <w:r>
        <w:rPr/>
        <w:t>Rugby</w:t>
      </w:r>
      <w:r>
        <w:rPr>
          <w:spacing w:val="-6"/>
        </w:rPr>
        <w:t> </w:t>
      </w:r>
      <w:r>
        <w:rPr/>
        <w:t>League</w:t>
      </w:r>
      <w:r>
        <w:rPr>
          <w:spacing w:val="-7"/>
        </w:rPr>
        <w:t> </w:t>
      </w:r>
      <w:r>
        <w:rPr/>
        <w:t>at</w:t>
      </w:r>
      <w:r>
        <w:rPr>
          <w:spacing w:val="-6"/>
        </w:rPr>
        <w:t> </w:t>
      </w:r>
      <w:r>
        <w:rPr/>
        <w:t>a</w:t>
      </w:r>
      <w:r>
        <w:rPr>
          <w:spacing w:val="-6"/>
        </w:rPr>
        <w:t> </w:t>
      </w:r>
      <w:r>
        <w:rPr/>
        <w:t>play by</w:t>
      </w:r>
      <w:r>
        <w:rPr>
          <w:spacing w:val="-1"/>
        </w:rPr>
        <w:t> </w:t>
      </w:r>
      <w:r>
        <w:rPr/>
        <w:t>play</w:t>
      </w:r>
      <w:r>
        <w:rPr>
          <w:spacing w:val="-1"/>
        </w:rPr>
        <w:t> </w:t>
      </w:r>
      <w:r>
        <w:rPr/>
        <w:t>level, but</w:t>
      </w:r>
      <w:r>
        <w:rPr>
          <w:spacing w:val="-1"/>
        </w:rPr>
        <w:t> </w:t>
      </w:r>
      <w:r>
        <w:rPr/>
        <w:t>it</w:t>
      </w:r>
      <w:r>
        <w:rPr>
          <w:spacing w:val="-1"/>
        </w:rPr>
        <w:t> </w:t>
      </w:r>
      <w:r>
        <w:rPr/>
        <w:t>does</w:t>
      </w:r>
      <w:r>
        <w:rPr>
          <w:spacing w:val="-1"/>
        </w:rPr>
        <w:t> </w:t>
      </w:r>
      <w:r>
        <w:rPr/>
        <w:t>not</w:t>
      </w:r>
      <w:r>
        <w:rPr>
          <w:spacing w:val="-1"/>
        </w:rPr>
        <w:t> </w:t>
      </w:r>
      <w:r>
        <w:rPr/>
        <w:t>consider</w:t>
      </w:r>
      <w:r>
        <w:rPr>
          <w:spacing w:val="-1"/>
        </w:rPr>
        <w:t> </w:t>
      </w:r>
      <w:r>
        <w:rPr/>
        <w:t>individual</w:t>
      </w:r>
      <w:r>
        <w:rPr>
          <w:spacing w:val="-1"/>
        </w:rPr>
        <w:t> </w:t>
      </w:r>
      <w:r>
        <w:rPr/>
        <w:t>action</w:t>
      </w:r>
      <w:r>
        <w:rPr>
          <w:spacing w:val="-1"/>
        </w:rPr>
        <w:t> </w:t>
      </w:r>
      <w:r>
        <w:rPr/>
        <w:t>data</w:t>
      </w:r>
      <w:r>
        <w:rPr>
          <w:spacing w:val="-1"/>
        </w:rPr>
        <w:t> </w:t>
      </w:r>
      <w:r>
        <w:rPr/>
        <w:t>or</w:t>
      </w:r>
      <w:r>
        <w:rPr>
          <w:spacing w:val="-1"/>
        </w:rPr>
        <w:t> </w:t>
      </w:r>
      <w:r>
        <w:rPr/>
        <w:t>the</w:t>
      </w:r>
      <w:r>
        <w:rPr>
          <w:spacing w:val="-1"/>
        </w:rPr>
        <w:t> </w:t>
      </w:r>
      <w:r>
        <w:rPr/>
        <w:t>actions</w:t>
      </w:r>
      <w:r>
        <w:rPr>
          <w:spacing w:val="-1"/>
        </w:rPr>
        <w:t> </w:t>
      </w:r>
      <w:r>
        <w:rPr/>
        <w:t>taken</w:t>
      </w:r>
      <w:r>
        <w:rPr>
          <w:spacing w:val="-1"/>
        </w:rPr>
        <w:t> </w:t>
      </w:r>
      <w:r>
        <w:rPr/>
        <w:t>by</w:t>
      </w:r>
      <w:r>
        <w:rPr>
          <w:spacing w:val="-1"/>
        </w:rPr>
        <w:t> </w:t>
      </w:r>
      <w:r>
        <w:rPr/>
        <w:t>each team</w:t>
      </w:r>
      <w:r>
        <w:rPr>
          <w:spacing w:val="-3"/>
        </w:rPr>
        <w:t> </w:t>
      </w:r>
      <w:r>
        <w:rPr/>
        <w:t>to</w:t>
      </w:r>
      <w:r>
        <w:rPr>
          <w:spacing w:val="-3"/>
        </w:rPr>
        <w:t> </w:t>
      </w:r>
      <w:r>
        <w:rPr/>
        <w:t>achieve</w:t>
      </w:r>
      <w:r>
        <w:rPr>
          <w:spacing w:val="-3"/>
        </w:rPr>
        <w:t> </w:t>
      </w:r>
      <w:r>
        <w:rPr/>
        <w:t>the</w:t>
      </w:r>
      <w:r>
        <w:rPr>
          <w:spacing w:val="-3"/>
        </w:rPr>
        <w:t> </w:t>
      </w:r>
      <w:r>
        <w:rPr/>
        <w:t>success</w:t>
      </w:r>
      <w:r>
        <w:rPr>
          <w:spacing w:val="-3"/>
        </w:rPr>
        <w:t> </w:t>
      </w:r>
      <w:r>
        <w:rPr/>
        <w:t>they</w:t>
      </w:r>
      <w:r>
        <w:rPr>
          <w:spacing w:val="-3"/>
        </w:rPr>
        <w:t> </w:t>
      </w:r>
      <w:r>
        <w:rPr/>
        <w:t>did. As</w:t>
      </w:r>
      <w:r>
        <w:rPr>
          <w:spacing w:val="-3"/>
        </w:rPr>
        <w:t> </w:t>
      </w:r>
      <w:r>
        <w:rPr/>
        <w:t>such,</w:t>
      </w:r>
      <w:r>
        <w:rPr>
          <w:spacing w:val="-3"/>
        </w:rPr>
        <w:t> </w:t>
      </w:r>
      <w:r>
        <w:rPr/>
        <w:t>the</w:t>
      </w:r>
      <w:r>
        <w:rPr>
          <w:spacing w:val="-3"/>
        </w:rPr>
        <w:t> </w:t>
      </w:r>
      <w:r>
        <w:rPr/>
        <w:t>insights</w:t>
      </w:r>
      <w:r>
        <w:rPr>
          <w:spacing w:val="-3"/>
        </w:rPr>
        <w:t> </w:t>
      </w:r>
      <w:r>
        <w:rPr/>
        <w:t>it</w:t>
      </w:r>
      <w:r>
        <w:rPr>
          <w:spacing w:val="-3"/>
        </w:rPr>
        <w:t> </w:t>
      </w:r>
      <w:r>
        <w:rPr/>
        <w:t>provides</w:t>
      </w:r>
      <w:r>
        <w:rPr>
          <w:spacing w:val="-3"/>
        </w:rPr>
        <w:t> </w:t>
      </w:r>
      <w:r>
        <w:rPr/>
        <w:t>with</w:t>
      </w:r>
      <w:r>
        <w:rPr>
          <w:spacing w:val="-3"/>
        </w:rPr>
        <w:t> </w:t>
      </w:r>
      <w:r>
        <w:rPr/>
        <w:t>respect</w:t>
      </w:r>
      <w:r>
        <w:rPr>
          <w:spacing w:val="-3"/>
        </w:rPr>
        <w:t> </w:t>
      </w:r>
      <w:r>
        <w:rPr/>
        <w:t>to</w:t>
      </w:r>
      <w:r>
        <w:rPr>
          <w:spacing w:val="-3"/>
        </w:rPr>
        <w:t> </w:t>
      </w:r>
      <w:r>
        <w:rPr/>
        <w:t>the development of tactical strategies is limited.</w:t>
      </w:r>
    </w:p>
    <w:p>
      <w:pPr>
        <w:pStyle w:val="BodyText"/>
        <w:spacing w:line="312" w:lineRule="auto"/>
        <w:ind w:left="610" w:right="389" w:firstLine="351"/>
      </w:pPr>
      <w:r>
        <w:rPr/>
        <w:t>Table</w:t>
      </w:r>
      <w:hyperlink w:history="true" w:anchor="_bookmark45">
        <w:r>
          <w:rPr>
            <w:color w:val="0000FF"/>
          </w:rPr>
          <w:t>2.4</w:t>
        </w:r>
      </w:hyperlink>
      <w:r>
        <w:rPr/>
        <w:t>provides</w:t>
      </w:r>
      <w:r>
        <w:rPr>
          <w:spacing w:val="-7"/>
        </w:rPr>
        <w:t> </w:t>
      </w:r>
      <w:r>
        <w:rPr/>
        <w:t>a</w:t>
      </w:r>
      <w:r>
        <w:rPr>
          <w:spacing w:val="-6"/>
        </w:rPr>
        <w:t> </w:t>
      </w:r>
      <w:r>
        <w:rPr/>
        <w:t>summary</w:t>
      </w:r>
      <w:r>
        <w:rPr>
          <w:spacing w:val="-6"/>
        </w:rPr>
        <w:t> </w:t>
      </w:r>
      <w:r>
        <w:rPr/>
        <w:t>of</w:t>
      </w:r>
      <w:r>
        <w:rPr>
          <w:spacing w:val="-6"/>
        </w:rPr>
        <w:t> </w:t>
      </w:r>
      <w:r>
        <w:rPr/>
        <w:t>the</w:t>
      </w:r>
      <w:r>
        <w:rPr>
          <w:spacing w:val="-6"/>
        </w:rPr>
        <w:t> </w:t>
      </w:r>
      <w:r>
        <w:rPr/>
        <w:t>action</w:t>
      </w:r>
      <w:r>
        <w:rPr>
          <w:spacing w:val="-6"/>
        </w:rPr>
        <w:t> </w:t>
      </w:r>
      <w:r>
        <w:rPr/>
        <w:t>by</w:t>
      </w:r>
      <w:r>
        <w:rPr>
          <w:spacing w:val="-6"/>
        </w:rPr>
        <w:t> </w:t>
      </w:r>
      <w:r>
        <w:rPr/>
        <w:t>action</w:t>
      </w:r>
      <w:r>
        <w:rPr>
          <w:spacing w:val="-6"/>
        </w:rPr>
        <w:t> </w:t>
      </w:r>
      <w:r>
        <w:rPr/>
        <w:t>data</w:t>
      </w:r>
      <w:r>
        <w:rPr>
          <w:spacing w:val="-6"/>
        </w:rPr>
        <w:t> </w:t>
      </w:r>
      <w:r>
        <w:rPr/>
        <w:t>analyses</w:t>
      </w:r>
      <w:r>
        <w:rPr>
          <w:spacing w:val="-7"/>
        </w:rPr>
        <w:t> </w:t>
      </w:r>
      <w:r>
        <w:rPr/>
        <w:t>currently</w:t>
      </w:r>
      <w:r>
        <w:rPr>
          <w:spacing w:val="-6"/>
        </w:rPr>
        <w:t> </w:t>
      </w:r>
      <w:r>
        <w:rPr/>
        <w:t>available across</w:t>
      </w:r>
      <w:r>
        <w:rPr>
          <w:spacing w:val="-5"/>
        </w:rPr>
        <w:t> </w:t>
      </w:r>
      <w:r>
        <w:rPr/>
        <w:t>all</w:t>
      </w:r>
      <w:r>
        <w:rPr>
          <w:spacing w:val="-5"/>
        </w:rPr>
        <w:t> </w:t>
      </w:r>
      <w:r>
        <w:rPr/>
        <w:t>sports. The</w:t>
      </w:r>
      <w:r>
        <w:rPr>
          <w:spacing w:val="-5"/>
        </w:rPr>
        <w:t> </w:t>
      </w:r>
      <w:r>
        <w:rPr/>
        <w:t>literature</w:t>
      </w:r>
      <w:r>
        <w:rPr>
          <w:spacing w:val="-5"/>
        </w:rPr>
        <w:t> </w:t>
      </w:r>
      <w:r>
        <w:rPr/>
        <w:t>can</w:t>
      </w:r>
      <w:r>
        <w:rPr>
          <w:spacing w:val="-5"/>
        </w:rPr>
        <w:t> </w:t>
      </w:r>
      <w:r>
        <w:rPr/>
        <w:t>be</w:t>
      </w:r>
      <w:r>
        <w:rPr>
          <w:spacing w:val="-5"/>
        </w:rPr>
        <w:t> </w:t>
      </w:r>
      <w:r>
        <w:rPr/>
        <w:t>split</w:t>
      </w:r>
      <w:r>
        <w:rPr>
          <w:spacing w:val="-5"/>
        </w:rPr>
        <w:t> </w:t>
      </w:r>
      <w:r>
        <w:rPr/>
        <w:t>into</w:t>
      </w:r>
      <w:r>
        <w:rPr>
          <w:spacing w:val="-5"/>
        </w:rPr>
        <w:t> </w:t>
      </w:r>
      <w:r>
        <w:rPr/>
        <w:t>two</w:t>
      </w:r>
      <w:r>
        <w:rPr>
          <w:spacing w:val="-5"/>
        </w:rPr>
        <w:t> </w:t>
      </w:r>
      <w:r>
        <w:rPr/>
        <w:t>main</w:t>
      </w:r>
      <w:r>
        <w:rPr>
          <w:spacing w:val="-5"/>
        </w:rPr>
        <w:t> </w:t>
      </w:r>
      <w:r>
        <w:rPr/>
        <w:t>strands: spatial</w:t>
      </w:r>
      <w:r>
        <w:rPr>
          <w:spacing w:val="-5"/>
        </w:rPr>
        <w:t> </w:t>
      </w:r>
      <w:r>
        <w:rPr/>
        <w:t>trends</w:t>
      </w:r>
      <w:r>
        <w:rPr>
          <w:spacing w:val="-5"/>
        </w:rPr>
        <w:t> </w:t>
      </w:r>
      <w:r>
        <w:rPr/>
        <w:t>analyses and</w:t>
      </w:r>
      <w:r>
        <w:rPr>
          <w:spacing w:val="-7"/>
        </w:rPr>
        <w:t> </w:t>
      </w:r>
      <w:r>
        <w:rPr/>
        <w:t>EPV</w:t>
      </w:r>
      <w:r>
        <w:rPr>
          <w:spacing w:val="-7"/>
        </w:rPr>
        <w:t> </w:t>
      </w:r>
      <w:r>
        <w:rPr/>
        <w:t>models. Although</w:t>
      </w:r>
      <w:r>
        <w:rPr>
          <w:spacing w:val="-7"/>
        </w:rPr>
        <w:t> </w:t>
      </w:r>
      <w:r>
        <w:rPr/>
        <w:t>EPV</w:t>
      </w:r>
      <w:r>
        <w:rPr>
          <w:spacing w:val="-7"/>
        </w:rPr>
        <w:t> </w:t>
      </w:r>
      <w:r>
        <w:rPr/>
        <w:t>models</w:t>
      </w:r>
      <w:r>
        <w:rPr>
          <w:spacing w:val="-7"/>
        </w:rPr>
        <w:t> </w:t>
      </w:r>
      <w:r>
        <w:rPr/>
        <w:t>have</w:t>
      </w:r>
      <w:r>
        <w:rPr>
          <w:spacing w:val="-7"/>
        </w:rPr>
        <w:t> </w:t>
      </w:r>
      <w:r>
        <w:rPr/>
        <w:t>gained</w:t>
      </w:r>
      <w:r>
        <w:rPr>
          <w:spacing w:val="-7"/>
        </w:rPr>
        <w:t> </w:t>
      </w:r>
      <w:r>
        <w:rPr/>
        <w:t>considerably</w:t>
      </w:r>
      <w:r>
        <w:rPr>
          <w:spacing w:val="-7"/>
        </w:rPr>
        <w:t> </w:t>
      </w:r>
      <w:r>
        <w:rPr/>
        <w:t>more</w:t>
      </w:r>
      <w:r>
        <w:rPr>
          <w:spacing w:val="-7"/>
        </w:rPr>
        <w:t> </w:t>
      </w:r>
      <w:r>
        <w:rPr/>
        <w:t>attention</w:t>
      </w:r>
      <w:r>
        <w:rPr>
          <w:spacing w:val="-7"/>
        </w:rPr>
        <w:t> </w:t>
      </w:r>
      <w:r>
        <w:rPr/>
        <w:t>within the literature, there is scope for the two models to be used together to understand player and</w:t>
      </w:r>
      <w:r>
        <w:rPr>
          <w:spacing w:val="-11"/>
        </w:rPr>
        <w:t> </w:t>
      </w:r>
      <w:r>
        <w:rPr/>
        <w:t>team</w:t>
      </w:r>
      <w:r>
        <w:rPr>
          <w:spacing w:val="-11"/>
        </w:rPr>
        <w:t> </w:t>
      </w:r>
      <w:r>
        <w:rPr/>
        <w:t>performances,</w:t>
      </w:r>
      <w:r>
        <w:rPr>
          <w:spacing w:val="-10"/>
        </w:rPr>
        <w:t> </w:t>
      </w:r>
      <w:r>
        <w:rPr/>
        <w:t>as</w:t>
      </w:r>
      <w:r>
        <w:rPr>
          <w:spacing w:val="-11"/>
        </w:rPr>
        <w:t> </w:t>
      </w:r>
      <w:r>
        <w:rPr/>
        <w:t>shown</w:t>
      </w:r>
      <w:r>
        <w:rPr>
          <w:spacing w:val="-11"/>
        </w:rPr>
        <w:t> </w:t>
      </w:r>
      <w:r>
        <w:rPr/>
        <w:t>by</w:t>
      </w:r>
      <w:hyperlink w:history="true" w:anchor="_bookmark243">
        <w:r>
          <w:rPr>
            <w:color w:val="FF0000"/>
          </w:rPr>
          <w:t>Fern</w:t>
        </w:r>
        <w:r>
          <w:rPr>
            <w:color w:val="FF0000"/>
            <w:spacing w:val="-11"/>
          </w:rPr>
          <w:t> </w:t>
        </w:r>
        <w:r>
          <w:rPr>
            <w:color w:val="FF0000"/>
            <w:spacing w:val="-80"/>
          </w:rPr>
          <w:t>a</w:t>
        </w:r>
        <w:r>
          <w:rPr>
            <w:color w:val="FF0000"/>
            <w:spacing w:val="26"/>
          </w:rPr>
          <w:t>´</w:t>
        </w:r>
        <w:r>
          <w:rPr>
            <w:color w:val="FF0000"/>
            <w:spacing w:val="13"/>
          </w:rPr>
          <w:t>ndez</w:t>
        </w:r>
        <w:r>
          <w:rPr>
            <w:color w:val="FF0000"/>
            <w:spacing w:val="-10"/>
          </w:rPr>
          <w:t> </w:t>
        </w:r>
        <w:r>
          <w:rPr>
            <w:color w:val="FF0000"/>
          </w:rPr>
          <w:t>et</w:t>
        </w:r>
        <w:r>
          <w:rPr>
            <w:color w:val="FF0000"/>
            <w:spacing w:val="-11"/>
          </w:rPr>
          <w:t> </w:t>
        </w:r>
        <w:r>
          <w:rPr>
            <w:color w:val="FF0000"/>
          </w:rPr>
          <w:t>al.</w:t>
        </w:r>
      </w:hyperlink>
      <w:r>
        <w:rPr/>
        <w:t>(</w:t>
      </w:r>
      <w:hyperlink w:history="true" w:anchor="_bookmark243">
        <w:r>
          <w:rPr>
            <w:color w:val="FF0000"/>
          </w:rPr>
          <w:t>2021</w:t>
        </w:r>
        <w:r>
          <w:rPr/>
          <w:t>)</w:t>
        </w:r>
      </w:hyperlink>
      <w:r>
        <w:rPr>
          <w:spacing w:val="-11"/>
        </w:rPr>
        <w:t> </w:t>
      </w:r>
      <w:r>
        <w:rPr/>
        <w:t>who</w:t>
      </w:r>
      <w:r>
        <w:rPr>
          <w:spacing w:val="-11"/>
        </w:rPr>
        <w:t> </w:t>
      </w:r>
      <w:r>
        <w:rPr/>
        <w:t>used</w:t>
      </w:r>
      <w:r>
        <w:rPr>
          <w:spacing w:val="-11"/>
        </w:rPr>
        <w:t> </w:t>
      </w:r>
      <w:r>
        <w:rPr/>
        <w:t>their</w:t>
      </w:r>
      <w:r>
        <w:rPr>
          <w:spacing w:val="-11"/>
        </w:rPr>
        <w:t> </w:t>
      </w:r>
      <w:r>
        <w:rPr/>
        <w:t>pitch</w:t>
      </w:r>
      <w:r>
        <w:rPr>
          <w:spacing w:val="-11"/>
        </w:rPr>
        <w:t> </w:t>
      </w:r>
      <w:r>
        <w:rPr/>
        <w:t>control model within their comprehensive deep learning approach to calculating EPV in foot-</w:t>
      </w:r>
      <w:r>
        <w:rPr>
          <w:spacing w:val="40"/>
        </w:rPr>
        <w:t> </w:t>
      </w:r>
      <w:r>
        <w:rPr/>
        <w:t>ball. The</w:t>
      </w:r>
      <w:r>
        <w:rPr>
          <w:spacing w:val="-4"/>
        </w:rPr>
        <w:t> </w:t>
      </w:r>
      <w:r>
        <w:rPr/>
        <w:t>following</w:t>
      </w:r>
      <w:r>
        <w:rPr>
          <w:spacing w:val="-4"/>
        </w:rPr>
        <w:t> </w:t>
      </w:r>
      <w:r>
        <w:rPr/>
        <w:t>subsections</w:t>
      </w:r>
      <w:r>
        <w:rPr>
          <w:spacing w:val="-4"/>
        </w:rPr>
        <w:t> </w:t>
      </w:r>
      <w:r>
        <w:rPr/>
        <w:t>analyse</w:t>
      </w:r>
      <w:r>
        <w:rPr>
          <w:spacing w:val="-4"/>
        </w:rPr>
        <w:t> </w:t>
      </w:r>
      <w:r>
        <w:rPr/>
        <w:t>both</w:t>
      </w:r>
      <w:r>
        <w:rPr>
          <w:spacing w:val="-4"/>
        </w:rPr>
        <w:t> </w:t>
      </w:r>
      <w:r>
        <w:rPr/>
        <w:t>strands</w:t>
      </w:r>
      <w:r>
        <w:rPr>
          <w:spacing w:val="-4"/>
        </w:rPr>
        <w:t> </w:t>
      </w:r>
      <w:r>
        <w:rPr/>
        <w:t>of</w:t>
      </w:r>
      <w:r>
        <w:rPr>
          <w:spacing w:val="-4"/>
        </w:rPr>
        <w:t> </w:t>
      </w:r>
      <w:r>
        <w:rPr/>
        <w:t>literature</w:t>
      </w:r>
      <w:r>
        <w:rPr>
          <w:spacing w:val="-4"/>
        </w:rPr>
        <w:t> </w:t>
      </w:r>
      <w:r>
        <w:rPr/>
        <w:t>(spatial</w:t>
      </w:r>
      <w:r>
        <w:rPr>
          <w:spacing w:val="-4"/>
        </w:rPr>
        <w:t> </w:t>
      </w:r>
      <w:r>
        <w:rPr/>
        <w:t>trends</w:t>
      </w:r>
      <w:r>
        <w:rPr>
          <w:spacing w:val="-4"/>
        </w:rPr>
        <w:t> </w:t>
      </w:r>
      <w:r>
        <w:rPr/>
        <w:t>analyses and EPV models), evaluating their suitability for adaptation and validation within rugby </w:t>
      </w:r>
      <w:r>
        <w:rPr>
          <w:spacing w:val="-2"/>
        </w:rPr>
        <w:t>league.</w:t>
      </w:r>
    </w:p>
    <w:p>
      <w:pPr>
        <w:pStyle w:val="BodyText"/>
        <w:spacing w:before="2"/>
        <w:rPr>
          <w:sz w:val="34"/>
        </w:rPr>
      </w:pPr>
    </w:p>
    <w:p>
      <w:pPr>
        <w:pStyle w:val="Heading3"/>
        <w:numPr>
          <w:ilvl w:val="2"/>
          <w:numId w:val="17"/>
        </w:numPr>
        <w:tabs>
          <w:tab w:pos="1471" w:val="left" w:leader="none"/>
          <w:tab w:pos="1472" w:val="left" w:leader="none"/>
        </w:tabs>
        <w:spacing w:line="240" w:lineRule="auto" w:before="0" w:after="0"/>
        <w:ind w:left="1471" w:right="0" w:hanging="862"/>
        <w:jc w:val="left"/>
      </w:pPr>
      <w:bookmarkStart w:name="_TOC_250049" w:id="81"/>
      <w:bookmarkStart w:name="2.4.1 Spatial Trends Models" w:id="82"/>
      <w:r>
        <w:rPr>
          <w:b w:val="0"/>
        </w:rPr>
      </w:r>
      <w:bookmarkStart w:name="_bookmark44" w:id="83"/>
      <w:bookmarkEnd w:id="83"/>
      <w:r>
        <w:rPr/>
        <w:t>Spatial</w:t>
      </w:r>
      <w:r>
        <w:rPr>
          <w:spacing w:val="3"/>
        </w:rPr>
        <w:t> </w:t>
      </w:r>
      <w:r>
        <w:rPr/>
        <w:t>Trends</w:t>
      </w:r>
      <w:r>
        <w:rPr>
          <w:spacing w:val="4"/>
        </w:rPr>
        <w:t> </w:t>
      </w:r>
      <w:bookmarkEnd w:id="81"/>
      <w:r>
        <w:rPr>
          <w:spacing w:val="-2"/>
        </w:rPr>
        <w:t>Models</w:t>
      </w:r>
    </w:p>
    <w:p>
      <w:pPr>
        <w:pStyle w:val="BodyText"/>
        <w:spacing w:line="312" w:lineRule="auto" w:before="236"/>
        <w:ind w:left="610" w:right="389"/>
      </w:pPr>
      <w:r>
        <w:rPr/>
        <w:t>Recall</w:t>
      </w:r>
      <w:r>
        <w:rPr>
          <w:spacing w:val="27"/>
        </w:rPr>
        <w:t> </w:t>
      </w:r>
      <w:r>
        <w:rPr/>
        <w:t>from</w:t>
      </w:r>
      <w:r>
        <w:rPr>
          <w:spacing w:val="27"/>
        </w:rPr>
        <w:t> </w:t>
      </w:r>
      <w:r>
        <w:rPr/>
        <w:t>Definition</w:t>
      </w:r>
      <w:hyperlink w:history="true" w:anchor="_bookmark18">
        <w:r>
          <w:rPr>
            <w:color w:val="0000FF"/>
          </w:rPr>
          <w:t>2.2.1</w:t>
        </w:r>
      </w:hyperlink>
      <w:r>
        <w:rPr/>
        <w:t>that</w:t>
      </w:r>
      <w:r>
        <w:rPr>
          <w:spacing w:val="27"/>
        </w:rPr>
        <w:t> </w:t>
      </w:r>
      <w:r>
        <w:rPr/>
        <w:t>spatial</w:t>
      </w:r>
      <w:r>
        <w:rPr>
          <w:spacing w:val="27"/>
        </w:rPr>
        <w:t> </w:t>
      </w:r>
      <w:r>
        <w:rPr/>
        <w:t>trends</w:t>
      </w:r>
      <w:r>
        <w:rPr>
          <w:spacing w:val="27"/>
        </w:rPr>
        <w:t> </w:t>
      </w:r>
      <w:r>
        <w:rPr/>
        <w:t>analyses</w:t>
      </w:r>
      <w:r>
        <w:rPr>
          <w:spacing w:val="27"/>
        </w:rPr>
        <w:t> </w:t>
      </w:r>
      <w:r>
        <w:rPr/>
        <w:t>attempt</w:t>
      </w:r>
      <w:r>
        <w:rPr>
          <w:spacing w:val="27"/>
        </w:rPr>
        <w:t> </w:t>
      </w:r>
      <w:r>
        <w:rPr/>
        <w:t>to</w:t>
      </w:r>
      <w:r>
        <w:rPr>
          <w:spacing w:val="27"/>
        </w:rPr>
        <w:t> </w:t>
      </w:r>
      <w:r>
        <w:rPr/>
        <w:t>estimate</w:t>
      </w:r>
      <w:r>
        <w:rPr>
          <w:spacing w:val="27"/>
        </w:rPr>
        <w:t> </w:t>
      </w:r>
      <w:r>
        <w:rPr/>
        <w:t>how</w:t>
      </w:r>
      <w:r>
        <w:rPr>
          <w:spacing w:val="27"/>
        </w:rPr>
        <w:t> </w:t>
      </w:r>
      <w:r>
        <w:rPr/>
        <w:t>likely is</w:t>
      </w:r>
      <w:r>
        <w:rPr>
          <w:spacing w:val="21"/>
        </w:rPr>
        <w:t> </w:t>
      </w:r>
      <w:r>
        <w:rPr/>
        <w:t>it</w:t>
      </w:r>
      <w:r>
        <w:rPr>
          <w:spacing w:val="21"/>
        </w:rPr>
        <w:t> </w:t>
      </w:r>
      <w:r>
        <w:rPr/>
        <w:t>that</w:t>
      </w:r>
      <w:r>
        <w:rPr>
          <w:spacing w:val="21"/>
        </w:rPr>
        <w:t> </w:t>
      </w:r>
      <w:r>
        <w:rPr/>
        <w:t>a</w:t>
      </w:r>
      <w:r>
        <w:rPr>
          <w:spacing w:val="21"/>
        </w:rPr>
        <w:t> </w:t>
      </w:r>
      <w:r>
        <w:rPr/>
        <w:t>team</w:t>
      </w:r>
      <w:r>
        <w:rPr>
          <w:spacing w:val="21"/>
        </w:rPr>
        <w:t> </w:t>
      </w:r>
      <w:r>
        <w:rPr/>
        <w:t>will</w:t>
      </w:r>
      <w:r>
        <w:rPr>
          <w:spacing w:val="21"/>
        </w:rPr>
        <w:t> </w:t>
      </w:r>
      <w:r>
        <w:rPr/>
        <w:t>control</w:t>
      </w:r>
      <w:r>
        <w:rPr>
          <w:spacing w:val="21"/>
        </w:rPr>
        <w:t> </w:t>
      </w:r>
      <w:r>
        <w:rPr/>
        <w:t>the</w:t>
      </w:r>
      <w:r>
        <w:rPr>
          <w:spacing w:val="21"/>
        </w:rPr>
        <w:t> </w:t>
      </w:r>
      <w:r>
        <w:rPr/>
        <w:t>ball</w:t>
      </w:r>
      <w:r>
        <w:rPr>
          <w:spacing w:val="21"/>
        </w:rPr>
        <w:t> </w:t>
      </w:r>
      <w:r>
        <w:rPr/>
        <w:t>in</w:t>
      </w:r>
      <w:r>
        <w:rPr>
          <w:spacing w:val="21"/>
        </w:rPr>
        <w:t> </w:t>
      </w:r>
      <w:r>
        <w:rPr/>
        <w:t>a</w:t>
      </w:r>
      <w:r>
        <w:rPr>
          <w:spacing w:val="21"/>
        </w:rPr>
        <w:t> </w:t>
      </w:r>
      <w:r>
        <w:rPr/>
        <w:t>given</w:t>
      </w:r>
      <w:r>
        <w:rPr>
          <w:spacing w:val="21"/>
        </w:rPr>
        <w:t> </w:t>
      </w:r>
      <w:r>
        <w:rPr/>
        <w:t>location,</w:t>
      </w:r>
      <w:r>
        <w:rPr>
          <w:spacing w:val="27"/>
        </w:rPr>
        <w:t> </w:t>
      </w:r>
      <w:r>
        <w:rPr/>
        <w:t>or</w:t>
      </w:r>
      <w:r>
        <w:rPr>
          <w:spacing w:val="21"/>
        </w:rPr>
        <w:t> </w:t>
      </w:r>
      <w:r>
        <w:rPr/>
        <w:t>where</w:t>
      </w:r>
      <w:r>
        <w:rPr>
          <w:spacing w:val="21"/>
        </w:rPr>
        <w:t> </w:t>
      </w:r>
      <w:r>
        <w:rPr/>
        <w:t>is</w:t>
      </w:r>
      <w:r>
        <w:rPr>
          <w:spacing w:val="21"/>
        </w:rPr>
        <w:t> </w:t>
      </w:r>
      <w:r>
        <w:rPr/>
        <w:t>a</w:t>
      </w:r>
      <w:r>
        <w:rPr>
          <w:spacing w:val="21"/>
        </w:rPr>
        <w:t> </w:t>
      </w:r>
      <w:r>
        <w:rPr/>
        <w:t>player</w:t>
      </w:r>
      <w:r>
        <w:rPr>
          <w:spacing w:val="21"/>
        </w:rPr>
        <w:t> </w:t>
      </w:r>
      <w:r>
        <w:rPr/>
        <w:t>or</w:t>
      </w:r>
      <w:r>
        <w:rPr>
          <w:spacing w:val="21"/>
        </w:rPr>
        <w:t> </w:t>
      </w:r>
      <w:r>
        <w:rPr/>
        <w:t>team likely</w:t>
      </w:r>
      <w:r>
        <w:rPr>
          <w:spacing w:val="-4"/>
        </w:rPr>
        <w:t> </w:t>
      </w:r>
      <w:r>
        <w:rPr/>
        <w:t>to</w:t>
      </w:r>
      <w:r>
        <w:rPr>
          <w:spacing w:val="-4"/>
        </w:rPr>
        <w:t> </w:t>
      </w:r>
      <w:r>
        <w:rPr/>
        <w:t>pass</w:t>
      </w:r>
      <w:r>
        <w:rPr>
          <w:spacing w:val="-4"/>
        </w:rPr>
        <w:t> </w:t>
      </w:r>
      <w:r>
        <w:rPr/>
        <w:t>the</w:t>
      </w:r>
      <w:r>
        <w:rPr>
          <w:spacing w:val="-4"/>
        </w:rPr>
        <w:t> </w:t>
      </w:r>
      <w:r>
        <w:rPr/>
        <w:t>ball. Three</w:t>
      </w:r>
      <w:r>
        <w:rPr>
          <w:spacing w:val="-4"/>
        </w:rPr>
        <w:t> </w:t>
      </w:r>
      <w:r>
        <w:rPr/>
        <w:t>studies</w:t>
      </w:r>
      <w:r>
        <w:rPr>
          <w:spacing w:val="-4"/>
        </w:rPr>
        <w:t> </w:t>
      </w:r>
      <w:r>
        <w:rPr/>
        <w:t>have</w:t>
      </w:r>
      <w:r>
        <w:rPr>
          <w:spacing w:val="-4"/>
        </w:rPr>
        <w:t> </w:t>
      </w:r>
      <w:r>
        <w:rPr/>
        <w:t>considered</w:t>
      </w:r>
      <w:r>
        <w:rPr>
          <w:spacing w:val="-4"/>
        </w:rPr>
        <w:t> </w:t>
      </w:r>
      <w:r>
        <w:rPr/>
        <w:t>these</w:t>
      </w:r>
      <w:r>
        <w:rPr>
          <w:spacing w:val="-4"/>
        </w:rPr>
        <w:t> </w:t>
      </w:r>
      <w:r>
        <w:rPr/>
        <w:t>analyses</w:t>
      </w:r>
      <w:r>
        <w:rPr>
          <w:spacing w:val="-4"/>
        </w:rPr>
        <w:t> </w:t>
      </w:r>
      <w:r>
        <w:rPr/>
        <w:t>in</w:t>
      </w:r>
      <w:r>
        <w:rPr>
          <w:spacing w:val="-4"/>
        </w:rPr>
        <w:t> </w:t>
      </w:r>
      <w:r>
        <w:rPr/>
        <w:t>sport</w:t>
      </w:r>
      <w:r>
        <w:rPr>
          <w:spacing w:val="-4"/>
        </w:rPr>
        <w:t> </w:t>
      </w:r>
      <w:r>
        <w:rPr/>
        <w:t>with</w:t>
      </w:r>
      <w:r>
        <w:rPr>
          <w:spacing w:val="-4"/>
        </w:rPr>
        <w:t> </w:t>
      </w:r>
      <w:r>
        <w:rPr/>
        <w:t>respect to player and team performances </w:t>
      </w:r>
      <w:r>
        <w:rPr>
          <w:spacing w:val="7"/>
        </w:rPr>
        <w:t>(</w:t>
      </w:r>
      <w:hyperlink w:history="true" w:anchor="_bookmark241">
        <w:r>
          <w:rPr>
            <w:color w:val="FF0000"/>
            <w:spacing w:val="7"/>
          </w:rPr>
          <w:t>Fern</w:t>
        </w:r>
        <w:r>
          <w:rPr>
            <w:color w:val="FF0000"/>
            <w:spacing w:val="-86"/>
          </w:rPr>
          <w:t>a</w:t>
        </w:r>
        <w:r>
          <w:rPr>
            <w:color w:val="FF0000"/>
            <w:spacing w:val="20"/>
          </w:rPr>
          <w:t>´</w:t>
        </w:r>
        <w:r>
          <w:rPr>
            <w:color w:val="FF0000"/>
            <w:spacing w:val="7"/>
          </w:rPr>
          <w:t>ndez</w:t>
        </w:r>
        <w:r>
          <w:rPr>
            <w:color w:val="FF0000"/>
            <w:spacing w:val="-1"/>
          </w:rPr>
          <w:t> </w:t>
        </w:r>
        <w:r>
          <w:rPr>
            <w:color w:val="FF0000"/>
          </w:rPr>
          <w:t>and Bornn</w:t>
        </w:r>
      </w:hyperlink>
      <w:r>
        <w:rPr/>
        <w:t>,</w:t>
      </w:r>
      <w:hyperlink w:history="true" w:anchor="_bookmark241">
        <w:r>
          <w:rPr>
            <w:color w:val="FF0000"/>
          </w:rPr>
          <w:t>2018</w:t>
        </w:r>
        <w:r>
          <w:rPr/>
          <w:t>;</w:t>
        </w:r>
      </w:hyperlink>
      <w:hyperlink w:history="true" w:anchor="_bookmark271">
        <w:r>
          <w:rPr>
            <w:color w:val="FF0000"/>
          </w:rPr>
          <w:t>Mallepalle et al.</w:t>
        </w:r>
        <w:r>
          <w:rPr/>
          <w:t>,</w:t>
        </w:r>
      </w:hyperlink>
      <w:r>
        <w:rPr>
          <w:color w:val="FF0000"/>
        </w:rPr>
        <w:t>2020</w:t>
      </w:r>
      <w:hyperlink w:history="true" w:anchor="_bookmark271">
        <w:r>
          <w:rPr/>
          <w:t>;</w:t>
        </w:r>
      </w:hyperlink>
    </w:p>
    <w:p>
      <w:pPr>
        <w:spacing w:after="0" w:line="312" w:lineRule="auto"/>
        <w:sectPr>
          <w:pgSz w:w="11910" w:h="16840"/>
          <w:pgMar w:header="1961" w:footer="1428" w:top="2280" w:bottom="1620" w:left="1680" w:right="720"/>
        </w:sectPr>
      </w:pPr>
    </w:p>
    <w:p>
      <w:pPr>
        <w:pStyle w:val="BodyText"/>
        <w:rPr>
          <w:sz w:val="20"/>
        </w:rPr>
      </w:pPr>
    </w:p>
    <w:p>
      <w:pPr>
        <w:pStyle w:val="BodyText"/>
        <w:spacing w:before="6"/>
        <w:rPr>
          <w:sz w:val="21"/>
        </w:rPr>
      </w:pPr>
    </w:p>
    <w:p>
      <w:pPr>
        <w:pStyle w:val="BodyText"/>
        <w:spacing w:line="252" w:lineRule="auto" w:before="106"/>
        <w:ind w:left="633" w:right="115"/>
      </w:pPr>
      <w:bookmarkStart w:name="_bookmark45" w:id="84"/>
      <w:bookmarkEnd w:id="84"/>
      <w:r>
        <w:rPr/>
      </w:r>
      <w:r>
        <w:rPr>
          <w:b/>
        </w:rPr>
        <w:t>Table</w:t>
      </w:r>
      <w:r>
        <w:rPr>
          <w:b/>
          <w:spacing w:val="-7"/>
        </w:rPr>
        <w:t> </w:t>
      </w:r>
      <w:r>
        <w:rPr>
          <w:b/>
        </w:rPr>
        <w:t>2.4: </w:t>
      </w:r>
      <w:r>
        <w:rPr/>
        <w:t>Summary</w:t>
      </w:r>
      <w:r>
        <w:rPr>
          <w:spacing w:val="-7"/>
        </w:rPr>
        <w:t> </w:t>
      </w:r>
      <w:r>
        <w:rPr/>
        <w:t>of</w:t>
      </w:r>
      <w:r>
        <w:rPr>
          <w:spacing w:val="-7"/>
        </w:rPr>
        <w:t> </w:t>
      </w:r>
      <w:r>
        <w:rPr/>
        <w:t>studies</w:t>
      </w:r>
      <w:r>
        <w:rPr>
          <w:spacing w:val="-7"/>
        </w:rPr>
        <w:t> </w:t>
      </w:r>
      <w:r>
        <w:rPr/>
        <w:t>considering</w:t>
      </w:r>
      <w:r>
        <w:rPr>
          <w:spacing w:val="-7"/>
        </w:rPr>
        <w:t> </w:t>
      </w:r>
      <w:r>
        <w:rPr/>
        <w:t>variations</w:t>
      </w:r>
      <w:r>
        <w:rPr>
          <w:spacing w:val="-7"/>
        </w:rPr>
        <w:t> </w:t>
      </w:r>
      <w:r>
        <w:rPr/>
        <w:t>of</w:t>
      </w:r>
      <w:r>
        <w:rPr>
          <w:spacing w:val="-7"/>
        </w:rPr>
        <w:t> </w:t>
      </w:r>
      <w:r>
        <w:rPr/>
        <w:t>action</w:t>
      </w:r>
      <w:r>
        <w:rPr>
          <w:spacing w:val="-7"/>
        </w:rPr>
        <w:t> </w:t>
      </w:r>
      <w:r>
        <w:rPr/>
        <w:t>by</w:t>
      </w:r>
      <w:r>
        <w:rPr>
          <w:spacing w:val="-7"/>
        </w:rPr>
        <w:t> </w:t>
      </w:r>
      <w:r>
        <w:rPr/>
        <w:t>action</w:t>
      </w:r>
      <w:r>
        <w:rPr>
          <w:spacing w:val="-7"/>
        </w:rPr>
        <w:t> </w:t>
      </w:r>
      <w:r>
        <w:rPr/>
        <w:t>or</w:t>
      </w:r>
      <w:r>
        <w:rPr>
          <w:spacing w:val="-7"/>
        </w:rPr>
        <w:t> </w:t>
      </w:r>
      <w:r>
        <w:rPr/>
        <w:t>play</w:t>
      </w:r>
      <w:r>
        <w:rPr>
          <w:spacing w:val="-7"/>
        </w:rPr>
        <w:t> </w:t>
      </w:r>
      <w:r>
        <w:rPr/>
        <w:t>by</w:t>
      </w:r>
      <w:r>
        <w:rPr>
          <w:spacing w:val="-7"/>
        </w:rPr>
        <w:t> </w:t>
      </w:r>
      <w:r>
        <w:rPr/>
        <w:t>play data analyses across all sports</w:t>
      </w:r>
    </w:p>
    <w:p>
      <w:pPr>
        <w:pStyle w:val="BodyText"/>
        <w:rPr>
          <w:sz w:val="17"/>
        </w:rPr>
      </w:pPr>
      <w:r>
        <w:rPr/>
        <w:pict>
          <v:shape style="position:absolute;margin-left:114.519997pt;margin-top:11.188463pt;width:430.55pt;height:.1pt;mso-position-horizontal-relative:page;mso-position-vertical-relative:paragraph;z-index:-15721984;mso-wrap-distance-left:0;mso-wrap-distance-right:0" id="docshape41" coordorigin="2290,224" coordsize="8611,0" path="m2290,224l3380,224m2290,224l10900,224e" filled="false" stroked="true" strokeweight=".398pt" strokecolor="#000000">
            <v:path arrowok="t"/>
            <v:stroke dashstyle="solid"/>
            <w10:wrap type="topAndBottom"/>
          </v:shape>
        </w:pict>
      </w:r>
    </w:p>
    <w:p>
      <w:pPr>
        <w:pStyle w:val="BodyText"/>
        <w:tabs>
          <w:tab w:pos="1819" w:val="left" w:leader="none"/>
          <w:tab w:pos="4184" w:val="left" w:leader="none"/>
          <w:tab w:pos="6549" w:val="left" w:leader="none"/>
        </w:tabs>
        <w:spacing w:before="27"/>
        <w:ind w:left="729"/>
      </w:pPr>
      <w:r>
        <w:rPr>
          <w:spacing w:val="-2"/>
        </w:rPr>
        <w:t>Author</w:t>
      </w:r>
      <w:r>
        <w:rPr/>
        <w:tab/>
      </w:r>
      <w:r>
        <w:rPr>
          <w:spacing w:val="-4"/>
        </w:rPr>
        <w:t>Data</w:t>
      </w:r>
      <w:r>
        <w:rPr/>
        <w:tab/>
      </w:r>
      <w:r>
        <w:rPr>
          <w:spacing w:val="-2"/>
        </w:rPr>
        <w:t>Method</w:t>
      </w:r>
      <w:r>
        <w:rPr/>
        <w:tab/>
      </w:r>
      <w:r>
        <w:rPr>
          <w:spacing w:val="-2"/>
        </w:rPr>
        <w:t>Outcome</w:t>
      </w:r>
    </w:p>
    <w:p>
      <w:pPr>
        <w:spacing w:after="0"/>
        <w:sectPr>
          <w:pgSz w:w="11910" w:h="16840"/>
          <w:pgMar w:header="1961" w:footer="1428" w:top="2280" w:bottom="1620" w:left="1680" w:right="720"/>
        </w:sectPr>
      </w:pPr>
    </w:p>
    <w:p>
      <w:pPr>
        <w:pStyle w:val="BodyText"/>
        <w:tabs>
          <w:tab w:pos="1347" w:val="left" w:leader="none"/>
        </w:tabs>
        <w:spacing w:line="312" w:lineRule="auto" w:before="90"/>
        <w:ind w:left="729"/>
      </w:pPr>
      <w:r>
        <w:rPr/>
        <w:pict>
          <v:shape style="position:absolute;margin-left:114.519997pt;margin-top:2.955096pt;width:430.55pt;height:.1pt;mso-position-horizontal-relative:page;mso-position-vertical-relative:paragraph;z-index:15735808" id="docshape42" coordorigin="2290,59" coordsize="8611,0" path="m2290,59l10900,59m2290,59l10900,59e" filled="false" stroked="true" strokeweight=".398pt" strokecolor="#000000">
            <v:path arrowok="t"/>
            <v:stroke dashstyle="solid"/>
            <w10:wrap type="none"/>
          </v:shape>
        </w:pict>
      </w:r>
      <w:hyperlink w:history="true" w:anchor="_bookmark298">
        <w:r>
          <w:rPr>
            <w:color w:val="FF0000"/>
            <w:spacing w:val="-2"/>
          </w:rPr>
          <w:t>Spearman</w:t>
        </w:r>
      </w:hyperlink>
      <w:r>
        <w:rPr>
          <w:color w:val="FF0000"/>
          <w:spacing w:val="-2"/>
        </w:rPr>
        <w:t> </w:t>
      </w:r>
      <w:hyperlink w:history="true" w:anchor="_bookmark298">
        <w:r>
          <w:rPr>
            <w:color w:val="FF0000"/>
            <w:spacing w:val="-6"/>
          </w:rPr>
          <w:t>et</w:t>
        </w:r>
        <w:r>
          <w:rPr>
            <w:color w:val="FF0000"/>
          </w:rPr>
          <w:tab/>
        </w:r>
        <w:r>
          <w:rPr>
            <w:color w:val="FF0000"/>
            <w:spacing w:val="-4"/>
          </w:rPr>
          <w:t>al.</w:t>
        </w:r>
      </w:hyperlink>
    </w:p>
    <w:p>
      <w:pPr>
        <w:pStyle w:val="BodyText"/>
        <w:spacing w:line="276" w:lineRule="exact"/>
        <w:ind w:left="729"/>
      </w:pPr>
      <w:r>
        <w:rPr>
          <w:spacing w:val="-2"/>
        </w:rPr>
        <w:t>(</w:t>
      </w:r>
      <w:hyperlink w:history="true" w:anchor="_bookmark298">
        <w:r>
          <w:rPr>
            <w:color w:val="FF0000"/>
            <w:spacing w:val="-2"/>
          </w:rPr>
          <w:t>2017</w:t>
        </w:r>
      </w:hyperlink>
      <w:r>
        <w:rPr>
          <w:spacing w:val="-2"/>
        </w:rPr>
        <w:t>)</w:t>
      </w:r>
    </w:p>
    <w:p>
      <w:pPr>
        <w:pStyle w:val="BodyText"/>
        <w:spacing w:line="312" w:lineRule="auto" w:before="90"/>
        <w:ind w:left="93"/>
        <w:jc w:val="both"/>
      </w:pPr>
      <w:r>
        <w:rPr/>
        <w:br w:type="column"/>
      </w:r>
      <w:r>
        <w:rPr/>
        <w:t>38 English </w:t>
      </w:r>
      <w:r>
        <w:rPr/>
        <w:t>Premier</w:t>
      </w:r>
      <w:r>
        <w:rPr/>
        <w:t> League matches </w:t>
      </w:r>
      <w:r>
        <w:rPr/>
        <w:t>from</w:t>
      </w:r>
      <w:r>
        <w:rPr/>
        <w:t> the 2015/16 </w:t>
      </w:r>
      <w:r>
        <w:rPr/>
        <w:t>season,</w:t>
      </w:r>
      <w:r>
        <w:rPr/>
        <w:t> event and </w:t>
      </w:r>
      <w:r>
        <w:rPr/>
        <w:t>tracking</w:t>
      </w:r>
      <w:r>
        <w:rPr/>
        <w:t> data from </w:t>
      </w:r>
      <w:r>
        <w:rPr/>
        <w:t>10,875</w:t>
      </w:r>
      <w:r>
        <w:rPr/>
        <w:t> </w:t>
      </w:r>
      <w:r>
        <w:rPr>
          <w:spacing w:val="-2"/>
        </w:rPr>
        <w:t>passes</w:t>
      </w:r>
    </w:p>
    <w:p>
      <w:pPr>
        <w:pStyle w:val="BodyText"/>
        <w:spacing w:line="312" w:lineRule="auto" w:before="90"/>
        <w:ind w:left="199"/>
        <w:jc w:val="both"/>
      </w:pPr>
      <w:r>
        <w:rPr/>
        <w:br w:type="column"/>
      </w:r>
      <w:r>
        <w:rPr/>
        <w:t>Bayesian </w:t>
      </w:r>
      <w:r>
        <w:rPr/>
        <w:t>estimation of physics-based </w:t>
      </w:r>
      <w:r>
        <w:rPr>
          <w:spacing w:val="-2"/>
        </w:rPr>
        <w:t>approach</w:t>
      </w:r>
    </w:p>
    <w:p>
      <w:pPr>
        <w:pStyle w:val="BodyText"/>
        <w:spacing w:line="312" w:lineRule="auto" w:before="90"/>
        <w:ind w:left="199" w:right="402"/>
        <w:jc w:val="both"/>
      </w:pPr>
      <w:r>
        <w:rPr/>
        <w:br w:type="column"/>
      </w:r>
      <w:r>
        <w:rPr/>
        <w:t>Produced a pitch </w:t>
      </w:r>
      <w:r>
        <w:rPr/>
        <w:t>control model</w:t>
      </w:r>
      <w:r>
        <w:rPr>
          <w:spacing w:val="-15"/>
        </w:rPr>
        <w:t> </w:t>
      </w:r>
      <w:r>
        <w:rPr/>
        <w:t>estimating</w:t>
      </w:r>
      <w:r>
        <w:rPr>
          <w:spacing w:val="-15"/>
        </w:rPr>
        <w:t> </w:t>
      </w:r>
      <w:r>
        <w:rPr/>
        <w:t>the</w:t>
      </w:r>
      <w:r>
        <w:rPr>
          <w:spacing w:val="-15"/>
        </w:rPr>
        <w:t> </w:t>
      </w:r>
      <w:r>
        <w:rPr/>
        <w:t>prob- ability</w:t>
      </w:r>
      <w:r>
        <w:rPr>
          <w:spacing w:val="-11"/>
        </w:rPr>
        <w:t> </w:t>
      </w:r>
      <w:r>
        <w:rPr/>
        <w:t>of</w:t>
      </w:r>
      <w:r>
        <w:rPr>
          <w:spacing w:val="-11"/>
        </w:rPr>
        <w:t> </w:t>
      </w:r>
      <w:r>
        <w:rPr/>
        <w:t>a</w:t>
      </w:r>
      <w:r>
        <w:rPr>
          <w:spacing w:val="-11"/>
        </w:rPr>
        <w:t> </w:t>
      </w:r>
      <w:r>
        <w:rPr/>
        <w:t>successful</w:t>
      </w:r>
      <w:r>
        <w:rPr>
          <w:spacing w:val="-11"/>
        </w:rPr>
        <w:t> </w:t>
      </w:r>
      <w:r>
        <w:rPr/>
        <w:t>pass for</w:t>
      </w:r>
      <w:r>
        <w:rPr>
          <w:spacing w:val="-9"/>
        </w:rPr>
        <w:t> </w:t>
      </w:r>
      <w:r>
        <w:rPr/>
        <w:t>every</w:t>
      </w:r>
      <w:r>
        <w:rPr>
          <w:spacing w:val="-8"/>
        </w:rPr>
        <w:t> </w:t>
      </w:r>
      <w:r>
        <w:rPr/>
        <w:t>location</w:t>
      </w:r>
      <w:r>
        <w:rPr>
          <w:spacing w:val="-8"/>
        </w:rPr>
        <w:t> </w:t>
      </w:r>
      <w:r>
        <w:rPr/>
        <w:t>on</w:t>
      </w:r>
      <w:r>
        <w:rPr>
          <w:spacing w:val="-8"/>
        </w:rPr>
        <w:t> </w:t>
      </w:r>
      <w:r>
        <w:rPr>
          <w:spacing w:val="-2"/>
        </w:rPr>
        <w:t>pitch</w:t>
      </w:r>
    </w:p>
    <w:p>
      <w:pPr>
        <w:spacing w:after="0" w:line="312" w:lineRule="auto"/>
        <w:jc w:val="both"/>
        <w:sectPr>
          <w:type w:val="continuous"/>
          <w:pgSz w:w="11910" w:h="16840"/>
          <w:pgMar w:header="1961" w:footer="1428" w:top="1920" w:bottom="280" w:left="1680" w:right="720"/>
          <w:cols w:num="4" w:equalWidth="0">
            <w:col w:w="1687" w:space="40"/>
            <w:col w:w="2220" w:space="39"/>
            <w:col w:w="2326" w:space="39"/>
            <w:col w:w="3159"/>
          </w:cols>
        </w:sectPr>
      </w:pPr>
    </w:p>
    <w:p>
      <w:pPr>
        <w:pStyle w:val="BodyText"/>
        <w:spacing w:before="6"/>
        <w:rPr>
          <w:sz w:val="22"/>
        </w:rPr>
      </w:pPr>
    </w:p>
    <w:p>
      <w:pPr>
        <w:spacing w:after="0"/>
        <w:rPr>
          <w:sz w:val="22"/>
        </w:rPr>
        <w:sectPr>
          <w:type w:val="continuous"/>
          <w:pgSz w:w="11910" w:h="16840"/>
          <w:pgMar w:header="1961" w:footer="1428" w:top="1920" w:bottom="280" w:left="1680" w:right="720"/>
        </w:sectPr>
      </w:pPr>
    </w:p>
    <w:p>
      <w:pPr>
        <w:pStyle w:val="BodyText"/>
        <w:spacing w:before="98"/>
        <w:ind w:left="729"/>
      </w:pPr>
      <w:hyperlink w:history="true" w:anchor="_bookmark241">
        <w:r>
          <w:rPr>
            <w:color w:val="FF0000"/>
            <w:spacing w:val="8"/>
          </w:rPr>
          <w:t>Fern</w:t>
        </w:r>
        <w:r>
          <w:rPr>
            <w:color w:val="FF0000"/>
            <w:spacing w:val="-85"/>
          </w:rPr>
          <w:t>a</w:t>
        </w:r>
        <w:r>
          <w:rPr>
            <w:color w:val="FF0000"/>
            <w:spacing w:val="21"/>
          </w:rPr>
          <w:t>´</w:t>
        </w:r>
      </w:hyperlink>
      <w:r>
        <w:rPr>
          <w:color w:val="FF0000"/>
          <w:spacing w:val="8"/>
        </w:rPr>
        <w:t>ndez</w:t>
      </w:r>
      <w:r>
        <w:rPr>
          <w:color w:val="FF0000"/>
          <w:spacing w:val="10"/>
        </w:rPr>
        <w:t> </w:t>
      </w:r>
      <w:r>
        <w:rPr/>
        <w:t>20</w:t>
      </w:r>
      <w:r>
        <w:rPr>
          <w:spacing w:val="28"/>
        </w:rPr>
        <w:t> </w:t>
      </w:r>
      <w:r>
        <w:rPr/>
        <w:t>Spanish</w:t>
      </w:r>
      <w:r>
        <w:rPr>
          <w:spacing w:val="27"/>
        </w:rPr>
        <w:t> </w:t>
      </w:r>
      <w:r>
        <w:rPr/>
        <w:t>First</w:t>
      </w:r>
      <w:r>
        <w:rPr>
          <w:spacing w:val="27"/>
        </w:rPr>
        <w:t> </w:t>
      </w:r>
      <w:r>
        <w:rPr>
          <w:spacing w:val="-5"/>
        </w:rPr>
        <w:t>and</w:t>
      </w:r>
    </w:p>
    <w:p>
      <w:pPr>
        <w:pStyle w:val="BodyText"/>
        <w:tabs>
          <w:tab w:pos="2032" w:val="left" w:leader="none"/>
        </w:tabs>
        <w:spacing w:before="98"/>
        <w:ind w:left="199"/>
      </w:pPr>
      <w:r>
        <w:rPr/>
        <w:br w:type="column"/>
      </w:r>
      <w:r>
        <w:rPr>
          <w:spacing w:val="-2"/>
        </w:rPr>
        <w:t>Manipulated</w:t>
      </w:r>
      <w:r>
        <w:rPr/>
        <w:tab/>
      </w:r>
      <w:r>
        <w:rPr>
          <w:spacing w:val="-5"/>
        </w:rPr>
        <w:t>the</w:t>
      </w:r>
    </w:p>
    <w:p>
      <w:pPr>
        <w:pStyle w:val="BodyText"/>
        <w:spacing w:before="98"/>
        <w:ind w:left="199"/>
      </w:pPr>
      <w:r>
        <w:rPr/>
        <w:br w:type="column"/>
      </w:r>
      <w:r>
        <w:rPr/>
        <w:t>Produced</w:t>
      </w:r>
      <w:r>
        <w:rPr>
          <w:spacing w:val="63"/>
        </w:rPr>
        <w:t> </w:t>
      </w:r>
      <w:r>
        <w:rPr/>
        <w:t>a</w:t>
      </w:r>
      <w:r>
        <w:rPr>
          <w:spacing w:val="63"/>
        </w:rPr>
        <w:t> </w:t>
      </w:r>
      <w:r>
        <w:rPr/>
        <w:t>pitch</w:t>
      </w:r>
      <w:r>
        <w:rPr>
          <w:spacing w:val="63"/>
        </w:rPr>
        <w:t> </w:t>
      </w:r>
      <w:r>
        <w:rPr>
          <w:spacing w:val="-2"/>
        </w:rPr>
        <w:t>control</w:t>
      </w:r>
    </w:p>
    <w:p>
      <w:pPr>
        <w:spacing w:after="0"/>
        <w:sectPr>
          <w:type w:val="continuous"/>
          <w:pgSz w:w="11910" w:h="16840"/>
          <w:pgMar w:header="1961" w:footer="1428" w:top="1920" w:bottom="280" w:left="1680" w:right="720"/>
          <w:cols w:num="3" w:equalWidth="0">
            <w:col w:w="3946" w:space="40"/>
            <w:col w:w="2326" w:space="39"/>
            <w:col w:w="3159"/>
          </w:cols>
        </w:sectPr>
      </w:pPr>
    </w:p>
    <w:p>
      <w:pPr>
        <w:pStyle w:val="BodyText"/>
        <w:spacing w:line="312" w:lineRule="auto" w:before="83"/>
        <w:ind w:left="729" w:right="-9"/>
      </w:pPr>
      <w:hyperlink w:history="true" w:anchor="_bookmark241">
        <w:r>
          <w:rPr>
            <w:color w:val="FF0000"/>
            <w:spacing w:val="-4"/>
          </w:rPr>
          <w:t>and</w:t>
        </w:r>
      </w:hyperlink>
      <w:r>
        <w:rPr>
          <w:color w:val="FF0000"/>
          <w:spacing w:val="-4"/>
        </w:rPr>
        <w:t> </w:t>
      </w:r>
      <w:hyperlink w:history="true" w:anchor="_bookmark241">
        <w:r>
          <w:rPr>
            <w:color w:val="FF0000"/>
            <w:spacing w:val="-2"/>
          </w:rPr>
          <w:t>Bornn</w:t>
        </w:r>
      </w:hyperlink>
      <w:r>
        <w:rPr>
          <w:color w:val="FF0000"/>
          <w:spacing w:val="-2"/>
        </w:rPr>
        <w:t> </w:t>
      </w:r>
      <w:r>
        <w:rPr>
          <w:spacing w:val="-2"/>
        </w:rPr>
        <w:t>(</w:t>
      </w:r>
      <w:hyperlink w:history="true" w:anchor="_bookmark241">
        <w:r>
          <w:rPr>
            <w:color w:val="FF0000"/>
            <w:spacing w:val="-2"/>
          </w:rPr>
          <w:t>2018</w:t>
        </w:r>
      </w:hyperlink>
      <w:r>
        <w:rPr>
          <w:spacing w:val="-2"/>
        </w:rPr>
        <w:t>)</w:t>
      </w:r>
    </w:p>
    <w:p>
      <w:pPr>
        <w:pStyle w:val="BodyText"/>
        <w:tabs>
          <w:tab w:pos="1647" w:val="left" w:leader="none"/>
          <w:tab w:pos="1720" w:val="left" w:leader="none"/>
        </w:tabs>
        <w:spacing w:line="312" w:lineRule="auto" w:before="83"/>
        <w:ind w:left="412"/>
      </w:pPr>
      <w:r>
        <w:rPr/>
        <w:br w:type="column"/>
      </w:r>
      <w:r>
        <w:rPr>
          <w:spacing w:val="-2"/>
        </w:rPr>
        <w:t>Second</w:t>
      </w:r>
      <w:r>
        <w:rPr/>
        <w:tab/>
        <w:tab/>
      </w:r>
      <w:r>
        <w:rPr>
          <w:spacing w:val="-4"/>
        </w:rPr>
        <w:t>Division </w:t>
      </w:r>
      <w:r>
        <w:rPr>
          <w:spacing w:val="-2"/>
        </w:rPr>
        <w:t>matches,</w:t>
      </w:r>
      <w:r>
        <w:rPr/>
        <w:tab/>
      </w:r>
      <w:r>
        <w:rPr>
          <w:spacing w:val="-2"/>
        </w:rPr>
        <w:t>equalling</w:t>
      </w:r>
    </w:p>
    <w:p>
      <w:pPr>
        <w:pStyle w:val="BodyText"/>
        <w:spacing w:line="312" w:lineRule="auto"/>
        <w:ind w:left="412"/>
      </w:pPr>
      <w:r>
        <w:rPr/>
        <w:t>2.4</w:t>
      </w:r>
      <w:r>
        <w:rPr>
          <w:spacing w:val="19"/>
        </w:rPr>
        <w:t> </w:t>
      </w:r>
      <w:r>
        <w:rPr/>
        <w:t>million</w:t>
      </w:r>
      <w:r>
        <w:rPr>
          <w:spacing w:val="19"/>
        </w:rPr>
        <w:t> </w:t>
      </w:r>
      <w:r>
        <w:rPr/>
        <w:t>frames</w:t>
      </w:r>
      <w:r>
        <w:rPr>
          <w:spacing w:val="19"/>
        </w:rPr>
        <w:t> </w:t>
      </w:r>
      <w:r>
        <w:rPr/>
        <w:t>of</w:t>
      </w:r>
      <w:r>
        <w:rPr/>
        <w:t> tracking data only</w:t>
      </w:r>
    </w:p>
    <w:p>
      <w:pPr>
        <w:pStyle w:val="BodyText"/>
        <w:spacing w:before="83"/>
        <w:ind w:left="199"/>
        <w:jc w:val="both"/>
      </w:pPr>
      <w:r>
        <w:rPr/>
        <w:br w:type="column"/>
      </w:r>
      <w:r>
        <w:rPr/>
        <w:t>bivariate</w:t>
      </w:r>
      <w:r>
        <w:rPr>
          <w:spacing w:val="60"/>
          <w:w w:val="150"/>
        </w:rPr>
        <w:t>    </w:t>
      </w:r>
      <w:r>
        <w:rPr>
          <w:spacing w:val="-2"/>
        </w:rPr>
        <w:t>normal</w:t>
      </w:r>
    </w:p>
    <w:p>
      <w:pPr>
        <w:pStyle w:val="BodyText"/>
        <w:spacing w:line="312" w:lineRule="auto" w:before="83"/>
        <w:ind w:left="199"/>
        <w:jc w:val="both"/>
      </w:pPr>
      <w:r>
        <w:rPr/>
        <w:t>distribution </w:t>
      </w:r>
      <w:r>
        <w:rPr/>
        <w:t>using speed</w:t>
      </w:r>
      <w:r>
        <w:rPr>
          <w:spacing w:val="-14"/>
        </w:rPr>
        <w:t> </w:t>
      </w:r>
      <w:r>
        <w:rPr/>
        <w:t>and</w:t>
      </w:r>
      <w:r>
        <w:rPr>
          <w:spacing w:val="-14"/>
        </w:rPr>
        <w:t> </w:t>
      </w:r>
      <w:r>
        <w:rPr/>
        <w:t>direction</w:t>
      </w:r>
      <w:r>
        <w:rPr>
          <w:spacing w:val="-14"/>
        </w:rPr>
        <w:t> </w:t>
      </w:r>
      <w:r>
        <w:rPr/>
        <w:t>of player movements</w:t>
      </w:r>
    </w:p>
    <w:p>
      <w:pPr>
        <w:pStyle w:val="BodyText"/>
        <w:spacing w:line="312" w:lineRule="auto" w:before="83"/>
        <w:ind w:left="199" w:right="402"/>
        <w:jc w:val="both"/>
      </w:pPr>
      <w:r>
        <w:rPr/>
        <w:br w:type="column"/>
      </w:r>
      <w:r>
        <w:rPr/>
        <w:t>model based on the </w:t>
      </w:r>
      <w:r>
        <w:rPr/>
        <w:t>prob- abilistic pitch influence of each player</w:t>
      </w:r>
    </w:p>
    <w:p>
      <w:pPr>
        <w:spacing w:after="0" w:line="312" w:lineRule="auto"/>
        <w:jc w:val="both"/>
        <w:sectPr>
          <w:type w:val="continuous"/>
          <w:pgSz w:w="11910" w:h="16840"/>
          <w:pgMar w:header="1961" w:footer="1428" w:top="1920" w:bottom="280" w:left="1680" w:right="720"/>
          <w:cols w:num="4" w:equalWidth="0">
            <w:col w:w="1368" w:space="40"/>
            <w:col w:w="2538" w:space="39"/>
            <w:col w:w="2326" w:space="40"/>
            <w:col w:w="3159"/>
          </w:cols>
        </w:sectPr>
      </w:pPr>
    </w:p>
    <w:p>
      <w:pPr>
        <w:pStyle w:val="BodyText"/>
        <w:spacing w:before="7"/>
        <w:rPr>
          <w:sz w:val="22"/>
        </w:rPr>
      </w:pPr>
    </w:p>
    <w:p>
      <w:pPr>
        <w:spacing w:after="0"/>
        <w:rPr>
          <w:sz w:val="22"/>
        </w:rPr>
        <w:sectPr>
          <w:type w:val="continuous"/>
          <w:pgSz w:w="11910" w:h="16840"/>
          <w:pgMar w:header="1961" w:footer="1428" w:top="1920" w:bottom="280" w:left="1680" w:right="720"/>
        </w:sectPr>
      </w:pPr>
    </w:p>
    <w:p>
      <w:pPr>
        <w:pStyle w:val="BodyText"/>
        <w:tabs>
          <w:tab w:pos="2816" w:val="left" w:leader="none"/>
        </w:tabs>
        <w:spacing w:before="97"/>
        <w:ind w:left="729"/>
      </w:pPr>
      <w:hyperlink w:history="true" w:anchor="_bookmark271">
        <w:r>
          <w:rPr>
            <w:color w:val="FF0000"/>
          </w:rPr>
          <w:t>Mallepalle</w:t>
        </w:r>
      </w:hyperlink>
      <w:r>
        <w:rPr>
          <w:color w:val="FF0000"/>
          <w:spacing w:val="-5"/>
        </w:rPr>
        <w:t> </w:t>
      </w:r>
      <w:r>
        <w:rPr>
          <w:spacing w:val="-2"/>
        </w:rPr>
        <w:t>27,171</w:t>
      </w:r>
      <w:r>
        <w:rPr/>
        <w:tab/>
      </w:r>
      <w:r>
        <w:rPr>
          <w:spacing w:val="-2"/>
        </w:rPr>
        <w:t>quarterback</w:t>
      </w:r>
    </w:p>
    <w:p>
      <w:pPr>
        <w:pStyle w:val="BodyText"/>
        <w:spacing w:before="97"/>
        <w:ind w:left="199"/>
      </w:pPr>
      <w:r>
        <w:rPr/>
        <w:br w:type="column"/>
      </w:r>
      <w:r>
        <w:rPr/>
        <w:t>Kernel</w:t>
      </w:r>
      <w:r>
        <w:rPr>
          <w:spacing w:val="29"/>
        </w:rPr>
        <w:t>  </w:t>
      </w:r>
      <w:r>
        <w:rPr/>
        <w:t>density</w:t>
      </w:r>
      <w:r>
        <w:rPr>
          <w:spacing w:val="30"/>
        </w:rPr>
        <w:t>  </w:t>
      </w:r>
      <w:r>
        <w:rPr>
          <w:spacing w:val="-4"/>
        </w:rPr>
        <w:t>esti-</w:t>
      </w:r>
    </w:p>
    <w:p>
      <w:pPr>
        <w:pStyle w:val="BodyText"/>
        <w:spacing w:before="97"/>
        <w:ind w:left="199"/>
      </w:pPr>
      <w:r>
        <w:rPr/>
        <w:br w:type="column"/>
      </w:r>
      <w:r>
        <w:rPr/>
        <w:t>Produced</w:t>
      </w:r>
      <w:r>
        <w:rPr>
          <w:spacing w:val="54"/>
        </w:rPr>
        <w:t> </w:t>
      </w:r>
      <w:r>
        <w:rPr/>
        <w:t>a</w:t>
      </w:r>
      <w:r>
        <w:rPr>
          <w:spacing w:val="54"/>
        </w:rPr>
        <w:t> </w:t>
      </w:r>
      <w:r>
        <w:rPr/>
        <w:t>model</w:t>
      </w:r>
      <w:r>
        <w:rPr>
          <w:spacing w:val="54"/>
        </w:rPr>
        <w:t> </w:t>
      </w:r>
      <w:r>
        <w:rPr>
          <w:spacing w:val="-2"/>
        </w:rPr>
        <w:t>which</w:t>
      </w:r>
    </w:p>
    <w:p>
      <w:pPr>
        <w:spacing w:after="0"/>
        <w:sectPr>
          <w:type w:val="continuous"/>
          <w:pgSz w:w="11910" w:h="16840"/>
          <w:pgMar w:header="1961" w:footer="1428" w:top="1920" w:bottom="280" w:left="1680" w:right="720"/>
          <w:cols w:num="3" w:equalWidth="0">
            <w:col w:w="3946" w:space="40"/>
            <w:col w:w="2326" w:space="39"/>
            <w:col w:w="3159"/>
          </w:cols>
        </w:sectPr>
      </w:pPr>
    </w:p>
    <w:p>
      <w:pPr>
        <w:pStyle w:val="BodyText"/>
        <w:tabs>
          <w:tab w:pos="1347" w:val="left" w:leader="none"/>
        </w:tabs>
        <w:spacing w:before="83"/>
        <w:ind w:left="729"/>
      </w:pPr>
      <w:hyperlink w:history="true" w:anchor="_bookmark271">
        <w:r>
          <w:rPr>
            <w:color w:val="FF0000"/>
            <w:spacing w:val="-5"/>
          </w:rPr>
          <w:t>et</w:t>
        </w:r>
        <w:r>
          <w:rPr>
            <w:color w:val="FF0000"/>
          </w:rPr>
          <w:tab/>
        </w:r>
        <w:r>
          <w:rPr>
            <w:color w:val="FF0000"/>
            <w:spacing w:val="-5"/>
          </w:rPr>
          <w:t>al.</w:t>
        </w:r>
      </w:hyperlink>
    </w:p>
    <w:p>
      <w:pPr>
        <w:pStyle w:val="BodyText"/>
        <w:spacing w:before="83"/>
        <w:ind w:left="729"/>
      </w:pPr>
      <w:r>
        <w:rPr>
          <w:spacing w:val="-2"/>
        </w:rPr>
        <w:t>(</w:t>
      </w:r>
      <w:hyperlink w:history="true" w:anchor="_bookmark271">
        <w:r>
          <w:rPr>
            <w:color w:val="FF0000"/>
            <w:spacing w:val="-2"/>
          </w:rPr>
          <w:t>2020</w:t>
        </w:r>
      </w:hyperlink>
      <w:r>
        <w:rPr>
          <w:spacing w:val="-2"/>
        </w:rPr>
        <w:t>)</w:t>
      </w:r>
    </w:p>
    <w:p>
      <w:pPr>
        <w:pStyle w:val="BodyText"/>
        <w:tabs>
          <w:tab w:pos="1056" w:val="left" w:leader="none"/>
          <w:tab w:pos="1767" w:val="left" w:leader="none"/>
        </w:tabs>
        <w:spacing w:before="83"/>
        <w:ind w:left="199"/>
      </w:pPr>
      <w:r>
        <w:rPr/>
        <w:br w:type="column"/>
      </w:r>
      <w:r>
        <w:rPr>
          <w:spacing w:val="-2"/>
        </w:rPr>
        <w:t>passes</w:t>
      </w:r>
      <w:r>
        <w:rPr/>
        <w:tab/>
      </w:r>
      <w:r>
        <w:rPr>
          <w:spacing w:val="-4"/>
        </w:rPr>
        <w:t>from</w:t>
      </w:r>
      <w:r>
        <w:rPr/>
        <w:tab/>
      </w:r>
      <w:r>
        <w:rPr>
          <w:spacing w:val="-4"/>
        </w:rPr>
        <w:t>2017-</w:t>
      </w:r>
    </w:p>
    <w:p>
      <w:pPr>
        <w:pStyle w:val="BodyText"/>
        <w:spacing w:before="83"/>
        <w:ind w:left="199"/>
      </w:pPr>
      <w:r>
        <w:rPr/>
        <w:t>2018</w:t>
      </w:r>
      <w:r>
        <w:rPr>
          <w:spacing w:val="-6"/>
        </w:rPr>
        <w:t> </w:t>
      </w:r>
      <w:r>
        <w:rPr/>
        <w:t>NFL</w:t>
      </w:r>
      <w:r>
        <w:rPr>
          <w:spacing w:val="-6"/>
        </w:rPr>
        <w:t> </w:t>
      </w:r>
      <w:r>
        <w:rPr>
          <w:spacing w:val="-2"/>
        </w:rPr>
        <w:t>seasons</w:t>
      </w:r>
    </w:p>
    <w:p>
      <w:pPr>
        <w:pStyle w:val="BodyText"/>
        <w:spacing w:line="312" w:lineRule="auto" w:before="83"/>
        <w:ind w:left="199"/>
        <w:jc w:val="both"/>
      </w:pPr>
      <w:r>
        <w:rPr/>
        <w:br w:type="column"/>
      </w:r>
      <w:r>
        <w:rPr/>
        <w:t>mation to </w:t>
      </w:r>
      <w:r>
        <w:rPr/>
        <w:t>produce smooth passing prob- ability surface</w:t>
      </w:r>
    </w:p>
    <w:p>
      <w:pPr>
        <w:pStyle w:val="BodyText"/>
        <w:spacing w:line="312" w:lineRule="auto" w:before="83"/>
        <w:ind w:left="199" w:right="402"/>
        <w:jc w:val="both"/>
      </w:pPr>
      <w:r>
        <w:rPr/>
        <w:br w:type="column"/>
      </w:r>
      <w:r>
        <w:rPr/>
        <w:t>estimated the </w:t>
      </w:r>
      <w:r>
        <w:rPr/>
        <w:t>probability of quarterbacks passing to different locations across the pitch</w:t>
      </w:r>
    </w:p>
    <w:p>
      <w:pPr>
        <w:spacing w:after="0" w:line="312" w:lineRule="auto"/>
        <w:jc w:val="both"/>
        <w:sectPr>
          <w:type w:val="continuous"/>
          <w:pgSz w:w="11910" w:h="16840"/>
          <w:pgMar w:header="1961" w:footer="1428" w:top="1920" w:bottom="280" w:left="1680" w:right="720"/>
          <w:cols w:num="4" w:equalWidth="0">
            <w:col w:w="1581" w:space="40"/>
            <w:col w:w="2325" w:space="39"/>
            <w:col w:w="2326" w:space="40"/>
            <w:col w:w="3159"/>
          </w:cols>
        </w:sectPr>
      </w:pPr>
    </w:p>
    <w:p>
      <w:pPr>
        <w:pStyle w:val="BodyText"/>
        <w:spacing w:before="8"/>
        <w:rPr>
          <w:sz w:val="22"/>
        </w:rPr>
      </w:pPr>
    </w:p>
    <w:p>
      <w:pPr>
        <w:spacing w:after="0"/>
        <w:rPr>
          <w:sz w:val="22"/>
        </w:rPr>
        <w:sectPr>
          <w:type w:val="continuous"/>
          <w:pgSz w:w="11910" w:h="16840"/>
          <w:pgMar w:header="1961" w:footer="1428" w:top="1920" w:bottom="280" w:left="1680" w:right="720"/>
        </w:sectPr>
      </w:pPr>
    </w:p>
    <w:p>
      <w:pPr>
        <w:pStyle w:val="BodyText"/>
        <w:tabs>
          <w:tab w:pos="1347" w:val="left" w:leader="none"/>
        </w:tabs>
        <w:spacing w:line="312" w:lineRule="auto" w:before="97"/>
        <w:ind w:left="729"/>
      </w:pPr>
      <w:hyperlink w:history="true" w:anchor="_bookmark231">
        <w:r>
          <w:rPr>
            <w:color w:val="FF0000"/>
            <w:spacing w:val="-2"/>
          </w:rPr>
          <w:t>Cervone</w:t>
        </w:r>
      </w:hyperlink>
      <w:r>
        <w:rPr>
          <w:color w:val="FF0000"/>
          <w:spacing w:val="-2"/>
        </w:rPr>
        <w:t> </w:t>
      </w:r>
      <w:hyperlink w:history="true" w:anchor="_bookmark231">
        <w:r>
          <w:rPr>
            <w:color w:val="FF0000"/>
            <w:spacing w:val="-5"/>
          </w:rPr>
          <w:t>et</w:t>
        </w:r>
        <w:r>
          <w:rPr>
            <w:color w:val="FF0000"/>
          </w:rPr>
          <w:tab/>
        </w:r>
        <w:r>
          <w:rPr>
            <w:color w:val="FF0000"/>
            <w:spacing w:val="-5"/>
          </w:rPr>
          <w:t>al.</w:t>
        </w:r>
      </w:hyperlink>
    </w:p>
    <w:p>
      <w:pPr>
        <w:pStyle w:val="BodyText"/>
        <w:spacing w:line="276" w:lineRule="exact"/>
        <w:ind w:left="729"/>
      </w:pPr>
      <w:r>
        <w:rPr>
          <w:spacing w:val="-2"/>
        </w:rPr>
        <w:t>(</w:t>
      </w:r>
      <w:hyperlink w:history="true" w:anchor="_bookmark231">
        <w:r>
          <w:rPr>
            <w:color w:val="FF0000"/>
            <w:spacing w:val="-2"/>
          </w:rPr>
          <w:t>2016</w:t>
        </w:r>
      </w:hyperlink>
      <w:r>
        <w:rPr>
          <w:spacing w:val="-2"/>
        </w:rPr>
        <w:t>)</w:t>
      </w:r>
    </w:p>
    <w:p>
      <w:pPr>
        <w:pStyle w:val="BodyText"/>
        <w:spacing w:line="312" w:lineRule="auto" w:before="97"/>
        <w:ind w:left="199"/>
        <w:jc w:val="both"/>
      </w:pPr>
      <w:r>
        <w:rPr/>
        <w:br w:type="column"/>
      </w:r>
      <w:r>
        <w:rPr/>
        <w:t>2013/14 NBA </w:t>
      </w:r>
      <w:r>
        <w:rPr/>
        <w:t>season action and tracking data (”over 1 billion space-time observa- </w:t>
      </w:r>
      <w:r>
        <w:rPr>
          <w:spacing w:val="-2"/>
        </w:rPr>
        <w:t>tions”)</w:t>
      </w:r>
    </w:p>
    <w:p>
      <w:pPr>
        <w:pStyle w:val="BodyText"/>
        <w:spacing w:line="312" w:lineRule="auto" w:before="97"/>
        <w:ind w:left="199"/>
        <w:jc w:val="both"/>
      </w:pPr>
      <w:r>
        <w:rPr/>
        <w:br w:type="column"/>
      </w:r>
      <w:r>
        <w:rPr/>
        <w:t>Bayesian </w:t>
      </w:r>
      <w:r>
        <w:rPr/>
        <w:t>approach following Markovian </w:t>
      </w:r>
      <w:r>
        <w:rPr>
          <w:spacing w:val="-2"/>
        </w:rPr>
        <w:t>principles</w:t>
      </w:r>
    </w:p>
    <w:p>
      <w:pPr>
        <w:pStyle w:val="BodyText"/>
        <w:spacing w:line="312" w:lineRule="auto" w:before="97"/>
        <w:ind w:left="199" w:right="402"/>
        <w:jc w:val="both"/>
      </w:pPr>
      <w:r>
        <w:rPr/>
        <w:br w:type="column"/>
      </w:r>
      <w:r>
        <w:rPr/>
        <w:t>Produced EPV model </w:t>
      </w:r>
      <w:r>
        <w:rPr/>
        <w:t>ca- pable of rating player per- </w:t>
      </w:r>
      <w:r>
        <w:rPr>
          <w:spacing w:val="-2"/>
        </w:rPr>
        <w:t>formances</w:t>
      </w:r>
    </w:p>
    <w:p>
      <w:pPr>
        <w:spacing w:after="0" w:line="312" w:lineRule="auto"/>
        <w:jc w:val="both"/>
        <w:sectPr>
          <w:type w:val="continuous"/>
          <w:pgSz w:w="11910" w:h="16840"/>
          <w:pgMar w:header="1961" w:footer="1428" w:top="1920" w:bottom="280" w:left="1680" w:right="720"/>
          <w:cols w:num="4" w:equalWidth="0">
            <w:col w:w="1581" w:space="40"/>
            <w:col w:w="2325" w:space="39"/>
            <w:col w:w="2326" w:space="40"/>
            <w:col w:w="3159"/>
          </w:cols>
        </w:sectPr>
      </w:pPr>
    </w:p>
    <w:p>
      <w:pPr>
        <w:pStyle w:val="BodyText"/>
        <w:rPr>
          <w:sz w:val="20"/>
        </w:rPr>
      </w:pPr>
    </w:p>
    <w:p>
      <w:pPr>
        <w:pStyle w:val="BodyText"/>
        <w:spacing w:before="2"/>
        <w:rPr>
          <w:sz w:val="22"/>
        </w:rPr>
      </w:pPr>
    </w:p>
    <w:p>
      <w:pPr>
        <w:spacing w:after="0"/>
        <w:rPr>
          <w:sz w:val="22"/>
        </w:rPr>
        <w:sectPr>
          <w:pgSz w:w="11910" w:h="16840"/>
          <w:pgMar w:header="1961" w:footer="1428" w:top="2280" w:bottom="1620" w:left="1680" w:right="720"/>
        </w:sectPr>
      </w:pPr>
    </w:p>
    <w:p>
      <w:pPr>
        <w:pStyle w:val="BodyText"/>
        <w:spacing w:before="99"/>
        <w:ind w:left="729"/>
      </w:pPr>
      <w:hyperlink w:history="true" w:anchor="_bookmark243">
        <w:r>
          <w:rPr>
            <w:color w:val="FF0000"/>
            <w:spacing w:val="8"/>
          </w:rPr>
          <w:t>Fern</w:t>
        </w:r>
        <w:r>
          <w:rPr>
            <w:color w:val="FF0000"/>
            <w:spacing w:val="-85"/>
          </w:rPr>
          <w:t>a</w:t>
        </w:r>
        <w:r>
          <w:rPr>
            <w:color w:val="FF0000"/>
            <w:spacing w:val="21"/>
          </w:rPr>
          <w:t>´</w:t>
        </w:r>
      </w:hyperlink>
      <w:r>
        <w:rPr>
          <w:color w:val="FF0000"/>
          <w:spacing w:val="8"/>
        </w:rPr>
        <w:t>ndez</w:t>
      </w:r>
      <w:r>
        <w:rPr>
          <w:color w:val="FF0000"/>
          <w:spacing w:val="7"/>
        </w:rPr>
        <w:t> </w:t>
      </w:r>
      <w:r>
        <w:rPr/>
        <w:t>633</w:t>
      </w:r>
      <w:r>
        <w:rPr>
          <w:spacing w:val="41"/>
        </w:rPr>
        <w:t> </w:t>
      </w:r>
      <w:r>
        <w:rPr/>
        <w:t>English</w:t>
      </w:r>
      <w:r>
        <w:rPr>
          <w:spacing w:val="41"/>
        </w:rPr>
        <w:t> </w:t>
      </w:r>
      <w:r>
        <w:rPr>
          <w:spacing w:val="-2"/>
        </w:rPr>
        <w:t>Premier</w:t>
      </w:r>
    </w:p>
    <w:p>
      <w:pPr>
        <w:pStyle w:val="BodyText"/>
        <w:tabs>
          <w:tab w:pos="1806" w:val="left" w:leader="none"/>
        </w:tabs>
        <w:spacing w:before="99"/>
        <w:ind w:left="199"/>
      </w:pPr>
      <w:r>
        <w:rPr/>
        <w:br w:type="column"/>
      </w:r>
      <w:r>
        <w:rPr>
          <w:spacing w:val="-2"/>
        </w:rPr>
        <w:t>Decomposed</w:t>
      </w:r>
      <w:r>
        <w:rPr/>
        <w:tab/>
      </w:r>
      <w:r>
        <w:rPr>
          <w:spacing w:val="-5"/>
        </w:rPr>
        <w:t>MDP</w:t>
      </w:r>
    </w:p>
    <w:p>
      <w:pPr>
        <w:pStyle w:val="BodyText"/>
        <w:spacing w:before="99"/>
        <w:ind w:left="199"/>
      </w:pPr>
      <w:r>
        <w:rPr/>
        <w:br w:type="column"/>
      </w:r>
      <w:r>
        <w:rPr/>
        <w:t>Produced</w:t>
      </w:r>
      <w:r>
        <w:rPr>
          <w:spacing w:val="35"/>
        </w:rPr>
        <w:t> </w:t>
      </w:r>
      <w:r>
        <w:rPr/>
        <w:t>EPV</w:t>
      </w:r>
      <w:r>
        <w:rPr>
          <w:spacing w:val="35"/>
        </w:rPr>
        <w:t> </w:t>
      </w:r>
      <w:r>
        <w:rPr/>
        <w:t>model</w:t>
      </w:r>
      <w:r>
        <w:rPr>
          <w:spacing w:val="36"/>
        </w:rPr>
        <w:t> </w:t>
      </w:r>
      <w:r>
        <w:rPr>
          <w:spacing w:val="-5"/>
        </w:rPr>
        <w:t>ca-</w:t>
      </w:r>
    </w:p>
    <w:p>
      <w:pPr>
        <w:spacing w:after="0"/>
        <w:sectPr>
          <w:type w:val="continuous"/>
          <w:pgSz w:w="11910" w:h="16840"/>
          <w:pgMar w:header="1961" w:footer="1428" w:top="1920" w:bottom="280" w:left="1680" w:right="720"/>
          <w:cols w:num="3" w:equalWidth="0">
            <w:col w:w="3946" w:space="40"/>
            <w:col w:w="2326" w:space="39"/>
            <w:col w:w="3159"/>
          </w:cols>
        </w:sectPr>
      </w:pPr>
    </w:p>
    <w:p>
      <w:pPr>
        <w:pStyle w:val="BodyText"/>
        <w:tabs>
          <w:tab w:pos="1347" w:val="left" w:leader="none"/>
        </w:tabs>
        <w:spacing w:before="82"/>
        <w:ind w:left="729"/>
      </w:pPr>
      <w:hyperlink w:history="true" w:anchor="_bookmark243">
        <w:r>
          <w:rPr>
            <w:color w:val="FF0000"/>
            <w:spacing w:val="-5"/>
          </w:rPr>
          <w:t>et</w:t>
        </w:r>
        <w:r>
          <w:rPr>
            <w:color w:val="FF0000"/>
          </w:rPr>
          <w:tab/>
        </w:r>
        <w:r>
          <w:rPr>
            <w:color w:val="FF0000"/>
            <w:spacing w:val="-5"/>
          </w:rPr>
          <w:t>al.</w:t>
        </w:r>
      </w:hyperlink>
    </w:p>
    <w:p>
      <w:pPr>
        <w:pStyle w:val="BodyText"/>
        <w:spacing w:before="83"/>
        <w:ind w:left="729"/>
      </w:pPr>
      <w:r>
        <w:rPr>
          <w:spacing w:val="-2"/>
        </w:rPr>
        <w:t>(</w:t>
      </w:r>
      <w:hyperlink w:history="true" w:anchor="_bookmark243">
        <w:r>
          <w:rPr>
            <w:color w:val="FF0000"/>
            <w:spacing w:val="-2"/>
          </w:rPr>
          <w:t>2021</w:t>
        </w:r>
      </w:hyperlink>
      <w:r>
        <w:rPr>
          <w:spacing w:val="-2"/>
        </w:rPr>
        <w:t>)</w:t>
      </w:r>
    </w:p>
    <w:p>
      <w:pPr>
        <w:pStyle w:val="BodyText"/>
        <w:spacing w:line="312" w:lineRule="auto" w:before="82"/>
        <w:ind w:left="199"/>
        <w:jc w:val="both"/>
      </w:pPr>
      <w:r>
        <w:rPr/>
        <w:br w:type="column"/>
      </w:r>
      <w:r>
        <w:rPr/>
        <w:t>League matches </w:t>
      </w:r>
      <w:r>
        <w:rPr/>
        <w:t>be- tween</w:t>
      </w:r>
      <w:r>
        <w:rPr>
          <w:spacing w:val="-2"/>
        </w:rPr>
        <w:t> </w:t>
      </w:r>
      <w:r>
        <w:rPr/>
        <w:t>2013-2015, ac- tion</w:t>
      </w:r>
      <w:r>
        <w:rPr>
          <w:spacing w:val="-1"/>
        </w:rPr>
        <w:t> </w:t>
      </w:r>
      <w:r>
        <w:rPr/>
        <w:t>and</w:t>
      </w:r>
      <w:r>
        <w:rPr>
          <w:spacing w:val="-1"/>
        </w:rPr>
        <w:t> </w:t>
      </w:r>
      <w:r>
        <w:rPr/>
        <w:t>tracking</w:t>
      </w:r>
      <w:r>
        <w:rPr>
          <w:spacing w:val="-1"/>
        </w:rPr>
        <w:t> </w:t>
      </w:r>
      <w:r>
        <w:rPr/>
        <w:t>data</w:t>
      </w:r>
    </w:p>
    <w:p>
      <w:pPr>
        <w:pStyle w:val="BodyText"/>
        <w:spacing w:line="312" w:lineRule="auto" w:before="82"/>
        <w:ind w:left="199"/>
        <w:jc w:val="both"/>
      </w:pPr>
      <w:r>
        <w:rPr/>
        <w:br w:type="column"/>
      </w:r>
      <w:r>
        <w:rPr/>
        <w:t>deep learning </w:t>
      </w:r>
      <w:r>
        <w:rPr/>
        <w:t>ap- proach to learn individual models for each action</w:t>
      </w:r>
    </w:p>
    <w:p>
      <w:pPr>
        <w:pStyle w:val="BodyText"/>
        <w:spacing w:line="312" w:lineRule="auto" w:before="82"/>
        <w:ind w:left="199" w:right="47"/>
      </w:pPr>
      <w:r>
        <w:rPr/>
        <w:br w:type="column"/>
      </w:r>
      <w:r>
        <w:rPr/>
        <w:t>pable of rating player </w:t>
      </w:r>
      <w:r>
        <w:rPr/>
        <w:t>and team performances</w:t>
      </w:r>
    </w:p>
    <w:p>
      <w:pPr>
        <w:spacing w:after="0" w:line="312" w:lineRule="auto"/>
        <w:sectPr>
          <w:type w:val="continuous"/>
          <w:pgSz w:w="11910" w:h="16840"/>
          <w:pgMar w:header="1961" w:footer="1428" w:top="1920" w:bottom="280" w:left="1680" w:right="720"/>
          <w:cols w:num="4" w:equalWidth="0">
            <w:col w:w="1581" w:space="40"/>
            <w:col w:w="2325" w:space="39"/>
            <w:col w:w="2326" w:space="40"/>
            <w:col w:w="3159"/>
          </w:cols>
        </w:sectPr>
      </w:pPr>
    </w:p>
    <w:p>
      <w:pPr>
        <w:pStyle w:val="BodyText"/>
        <w:spacing w:before="8"/>
        <w:rPr>
          <w:sz w:val="22"/>
        </w:rPr>
      </w:pPr>
    </w:p>
    <w:p>
      <w:pPr>
        <w:spacing w:after="0"/>
        <w:rPr>
          <w:sz w:val="22"/>
        </w:rPr>
        <w:sectPr>
          <w:type w:val="continuous"/>
          <w:pgSz w:w="11910" w:h="16840"/>
          <w:pgMar w:header="1961" w:footer="1428" w:top="1920" w:bottom="280" w:left="1680" w:right="720"/>
        </w:sectPr>
      </w:pPr>
    </w:p>
    <w:p>
      <w:pPr>
        <w:pStyle w:val="BodyText"/>
        <w:tabs>
          <w:tab w:pos="1347" w:val="left" w:leader="none"/>
        </w:tabs>
        <w:spacing w:line="312" w:lineRule="auto" w:before="97"/>
        <w:ind w:left="729"/>
      </w:pPr>
      <w:hyperlink w:history="true" w:anchor="_bookmark239">
        <w:r>
          <w:rPr>
            <w:color w:val="FF0000"/>
            <w:spacing w:val="-2"/>
          </w:rPr>
          <w:t>Decroos</w:t>
        </w:r>
      </w:hyperlink>
      <w:r>
        <w:rPr>
          <w:color w:val="FF0000"/>
          <w:spacing w:val="-2"/>
        </w:rPr>
        <w:t> </w:t>
      </w:r>
      <w:hyperlink w:history="true" w:anchor="_bookmark239">
        <w:r>
          <w:rPr>
            <w:color w:val="FF0000"/>
            <w:spacing w:val="-5"/>
          </w:rPr>
          <w:t>et</w:t>
        </w:r>
        <w:r>
          <w:rPr>
            <w:color w:val="FF0000"/>
          </w:rPr>
          <w:tab/>
        </w:r>
        <w:r>
          <w:rPr>
            <w:color w:val="FF0000"/>
            <w:spacing w:val="-5"/>
          </w:rPr>
          <w:t>al.</w:t>
        </w:r>
      </w:hyperlink>
    </w:p>
    <w:p>
      <w:pPr>
        <w:pStyle w:val="BodyText"/>
        <w:spacing w:line="276" w:lineRule="exact"/>
        <w:ind w:left="729"/>
      </w:pPr>
      <w:r>
        <w:rPr>
          <w:spacing w:val="-2"/>
        </w:rPr>
        <w:t>(</w:t>
      </w:r>
      <w:hyperlink w:history="true" w:anchor="_bookmark239">
        <w:r>
          <w:rPr>
            <w:color w:val="FF0000"/>
            <w:spacing w:val="-2"/>
          </w:rPr>
          <w:t>2019</w:t>
        </w:r>
      </w:hyperlink>
      <w:r>
        <w:rPr>
          <w:spacing w:val="-2"/>
        </w:rPr>
        <w:t>)</w:t>
      </w:r>
    </w:p>
    <w:p>
      <w:pPr>
        <w:pStyle w:val="BodyText"/>
        <w:tabs>
          <w:tab w:pos="1408" w:val="left" w:leader="none"/>
        </w:tabs>
        <w:spacing w:before="97"/>
        <w:ind w:left="199"/>
      </w:pPr>
      <w:r>
        <w:rPr/>
        <w:br w:type="column"/>
      </w:r>
      <w:r>
        <w:rPr>
          <w:spacing w:val="-2"/>
        </w:rPr>
        <w:t>11,565</w:t>
      </w:r>
      <w:r>
        <w:rPr/>
        <w:tab/>
      </w:r>
      <w:r>
        <w:rPr>
          <w:spacing w:val="-2"/>
        </w:rPr>
        <w:t>European</w:t>
      </w:r>
    </w:p>
    <w:p>
      <w:pPr>
        <w:pStyle w:val="BodyText"/>
        <w:tabs>
          <w:tab w:pos="1288" w:val="left" w:leader="none"/>
          <w:tab w:pos="1541" w:val="left" w:leader="none"/>
        </w:tabs>
        <w:spacing w:line="312" w:lineRule="auto" w:before="82"/>
        <w:ind w:left="199"/>
      </w:pPr>
      <w:r>
        <w:rPr>
          <w:spacing w:val="-2"/>
        </w:rPr>
        <w:t>football</w:t>
      </w:r>
      <w:r>
        <w:rPr/>
        <w:tab/>
        <w:tab/>
      </w:r>
      <w:r>
        <w:rPr>
          <w:spacing w:val="-2"/>
        </w:rPr>
        <w:t>matches between</w:t>
      </w:r>
      <w:r>
        <w:rPr/>
        <w:tab/>
      </w:r>
      <w:r>
        <w:rPr>
          <w:spacing w:val="-6"/>
        </w:rPr>
        <w:t>2012-</w:t>
      </w:r>
      <w:r>
        <w:rPr>
          <w:spacing w:val="-4"/>
        </w:rPr>
        <w:t>2018</w:t>
      </w:r>
    </w:p>
    <w:p>
      <w:pPr>
        <w:pStyle w:val="BodyText"/>
        <w:spacing w:line="276" w:lineRule="exact"/>
        <w:ind w:left="199"/>
      </w:pPr>
      <w:r>
        <w:rPr/>
        <w:t>(14.4</w:t>
      </w:r>
      <w:r>
        <w:rPr>
          <w:spacing w:val="-7"/>
        </w:rPr>
        <w:t> </w:t>
      </w:r>
      <w:r>
        <w:rPr/>
        <w:t>million</w:t>
      </w:r>
      <w:r>
        <w:rPr>
          <w:spacing w:val="-7"/>
        </w:rPr>
        <w:t> </w:t>
      </w:r>
      <w:r>
        <w:rPr>
          <w:spacing w:val="-2"/>
        </w:rPr>
        <w:t>actions)</w:t>
      </w:r>
    </w:p>
    <w:p>
      <w:pPr>
        <w:pStyle w:val="BodyText"/>
        <w:spacing w:line="312" w:lineRule="auto" w:before="97"/>
        <w:ind w:left="199"/>
        <w:jc w:val="both"/>
      </w:pPr>
      <w:r>
        <w:rPr/>
        <w:br w:type="column"/>
      </w:r>
      <w:r>
        <w:rPr/>
        <w:t>CatBoost </w:t>
      </w:r>
      <w:r>
        <w:rPr/>
        <w:t>algorithm separately predicting goal scored or con- ceded within next 10 </w:t>
      </w:r>
      <w:r>
        <w:rPr>
          <w:spacing w:val="-2"/>
        </w:rPr>
        <w:t>actions</w:t>
      </w:r>
    </w:p>
    <w:p>
      <w:pPr>
        <w:pStyle w:val="BodyText"/>
        <w:spacing w:line="312" w:lineRule="auto" w:before="97"/>
        <w:ind w:left="199" w:right="402"/>
        <w:jc w:val="both"/>
      </w:pPr>
      <w:r>
        <w:rPr/>
        <w:br w:type="column"/>
      </w:r>
      <w:r>
        <w:rPr>
          <w:spacing w:val="-2"/>
        </w:rPr>
        <w:t>Produced</w:t>
      </w:r>
      <w:r>
        <w:rPr>
          <w:spacing w:val="-13"/>
        </w:rPr>
        <w:t> </w:t>
      </w:r>
      <w:r>
        <w:rPr>
          <w:spacing w:val="-2"/>
        </w:rPr>
        <w:t>VAEP</w:t>
      </w:r>
      <w:r>
        <w:rPr>
          <w:spacing w:val="-13"/>
        </w:rPr>
        <w:t> </w:t>
      </w:r>
      <w:r>
        <w:rPr>
          <w:spacing w:val="-2"/>
        </w:rPr>
        <w:t>model</w:t>
      </w:r>
      <w:r>
        <w:rPr>
          <w:spacing w:val="-13"/>
        </w:rPr>
        <w:t> </w:t>
      </w:r>
      <w:r>
        <w:rPr>
          <w:spacing w:val="-2"/>
        </w:rPr>
        <w:t>ca- </w:t>
      </w:r>
      <w:r>
        <w:rPr/>
        <w:t>pable of rating player per- </w:t>
      </w:r>
      <w:r>
        <w:rPr>
          <w:spacing w:val="-2"/>
        </w:rPr>
        <w:t>formances</w:t>
      </w:r>
    </w:p>
    <w:p>
      <w:pPr>
        <w:spacing w:after="0" w:line="312" w:lineRule="auto"/>
        <w:jc w:val="both"/>
        <w:sectPr>
          <w:type w:val="continuous"/>
          <w:pgSz w:w="11910" w:h="16840"/>
          <w:pgMar w:header="1961" w:footer="1428" w:top="1920" w:bottom="280" w:left="1680" w:right="720"/>
          <w:cols w:num="4" w:equalWidth="0">
            <w:col w:w="1581" w:space="40"/>
            <w:col w:w="2325" w:space="39"/>
            <w:col w:w="2326" w:space="40"/>
            <w:col w:w="3159"/>
          </w:cols>
        </w:sectPr>
      </w:pPr>
    </w:p>
    <w:p>
      <w:pPr>
        <w:pStyle w:val="BodyText"/>
        <w:spacing w:before="7"/>
        <w:rPr>
          <w:sz w:val="22"/>
        </w:rPr>
      </w:pPr>
    </w:p>
    <w:p>
      <w:pPr>
        <w:spacing w:after="0"/>
        <w:rPr>
          <w:sz w:val="22"/>
        </w:rPr>
        <w:sectPr>
          <w:type w:val="continuous"/>
          <w:pgSz w:w="11910" w:h="16840"/>
          <w:pgMar w:header="1961" w:footer="1428" w:top="1920" w:bottom="280" w:left="1680" w:right="720"/>
        </w:sectPr>
      </w:pPr>
    </w:p>
    <w:p>
      <w:pPr>
        <w:pStyle w:val="BodyText"/>
        <w:spacing w:line="312" w:lineRule="auto" w:before="97"/>
        <w:ind w:left="729"/>
      </w:pPr>
      <w:hyperlink w:history="true" w:anchor="_bookmark287">
        <w:r>
          <w:rPr>
            <w:color w:val="FF0000"/>
            <w:spacing w:val="-4"/>
          </w:rPr>
          <w:t>Routley</w:t>
        </w:r>
      </w:hyperlink>
      <w:r>
        <w:rPr>
          <w:color w:val="FF0000"/>
          <w:spacing w:val="-4"/>
        </w:rPr>
        <w:t> </w:t>
      </w:r>
      <w:hyperlink w:history="true" w:anchor="_bookmark287">
        <w:r>
          <w:rPr>
            <w:color w:val="FF0000"/>
            <w:spacing w:val="-4"/>
          </w:rPr>
          <w:t>and</w:t>
        </w:r>
      </w:hyperlink>
      <w:r>
        <w:rPr>
          <w:color w:val="FF0000"/>
          <w:spacing w:val="-4"/>
        </w:rPr>
        <w:t> </w:t>
      </w:r>
      <w:hyperlink w:history="true" w:anchor="_bookmark287">
        <w:r>
          <w:rPr>
            <w:color w:val="FF0000"/>
            <w:spacing w:val="-2"/>
          </w:rPr>
          <w:t>Schulte</w:t>
        </w:r>
      </w:hyperlink>
      <w:r>
        <w:rPr>
          <w:color w:val="FF0000"/>
          <w:spacing w:val="-2"/>
        </w:rPr>
        <w:t> </w:t>
      </w:r>
      <w:r>
        <w:rPr>
          <w:spacing w:val="-2"/>
        </w:rPr>
        <w:t>(</w:t>
      </w:r>
      <w:hyperlink w:history="true" w:anchor="_bookmark287">
        <w:r>
          <w:rPr>
            <w:color w:val="FF0000"/>
            <w:spacing w:val="-2"/>
          </w:rPr>
          <w:t>2015</w:t>
        </w:r>
      </w:hyperlink>
      <w:r>
        <w:rPr>
          <w:spacing w:val="-2"/>
        </w:rPr>
        <w:t>)</w:t>
      </w:r>
    </w:p>
    <w:p>
      <w:pPr>
        <w:pStyle w:val="BodyText"/>
        <w:spacing w:line="312" w:lineRule="auto" w:before="97"/>
        <w:ind w:left="295"/>
        <w:jc w:val="both"/>
      </w:pPr>
      <w:r>
        <w:rPr/>
        <w:br w:type="column"/>
      </w:r>
      <w:r>
        <w:rPr/>
        <w:t>2.8 million </w:t>
      </w:r>
      <w:r>
        <w:rPr/>
        <w:t>actions</w:t>
      </w:r>
      <w:r>
        <w:rPr/>
        <w:t> from the </w:t>
      </w:r>
      <w:r>
        <w:rPr/>
        <w:t>2006/07</w:t>
      </w:r>
      <w:r>
        <w:rPr/>
        <w:t> National </w:t>
      </w:r>
      <w:r>
        <w:rPr/>
        <w:t>Hocke</w:t>
      </w:r>
      <w:r>
        <w:rPr/>
        <w:t>y</w:t>
      </w:r>
      <w:r>
        <w:rPr/>
        <w:t> League season</w:t>
      </w:r>
    </w:p>
    <w:p>
      <w:pPr>
        <w:pStyle w:val="BodyText"/>
        <w:spacing w:line="312" w:lineRule="auto" w:before="97"/>
        <w:ind w:left="199"/>
        <w:jc w:val="both"/>
      </w:pPr>
      <w:r>
        <w:rPr/>
        <w:br w:type="column"/>
      </w:r>
      <w:r>
        <w:rPr/>
        <w:t>Markov Game </w:t>
      </w:r>
      <w:r>
        <w:rPr/>
        <w:t>model to</w:t>
      </w:r>
      <w:r>
        <w:rPr>
          <w:spacing w:val="-13"/>
        </w:rPr>
        <w:t> </w:t>
      </w:r>
      <w:r>
        <w:rPr/>
        <w:t>evaluate</w:t>
      </w:r>
      <w:r>
        <w:rPr>
          <w:spacing w:val="-13"/>
        </w:rPr>
        <w:t> </w:t>
      </w:r>
      <w:r>
        <w:rPr/>
        <w:t>action</w:t>
      </w:r>
      <w:r>
        <w:rPr>
          <w:spacing w:val="-13"/>
        </w:rPr>
        <w:t> </w:t>
      </w:r>
      <w:r>
        <w:rPr/>
        <w:t>val- </w:t>
      </w:r>
      <w:r>
        <w:rPr>
          <w:spacing w:val="-4"/>
        </w:rPr>
        <w:t>ues</w:t>
      </w:r>
    </w:p>
    <w:p>
      <w:pPr>
        <w:pStyle w:val="BodyText"/>
        <w:spacing w:line="312" w:lineRule="auto" w:before="97"/>
        <w:ind w:left="199" w:right="402"/>
        <w:jc w:val="both"/>
      </w:pPr>
      <w:r>
        <w:rPr/>
        <w:br w:type="column"/>
      </w:r>
      <w:r>
        <w:rPr/>
        <w:t>Produced an action </w:t>
      </w:r>
      <w:r>
        <w:rPr/>
        <w:t>im- pact rating to evaluate player</w:t>
      </w:r>
      <w:r>
        <w:rPr>
          <w:spacing w:val="-12"/>
        </w:rPr>
        <w:t> </w:t>
      </w:r>
      <w:r>
        <w:rPr/>
        <w:t>performances</w:t>
      </w:r>
      <w:r>
        <w:rPr>
          <w:spacing w:val="-12"/>
        </w:rPr>
        <w:t> </w:t>
      </w:r>
      <w:r>
        <w:rPr/>
        <w:t>in</w:t>
      </w:r>
      <w:r>
        <w:rPr>
          <w:spacing w:val="-12"/>
        </w:rPr>
        <w:t> </w:t>
      </w:r>
      <w:r>
        <w:rPr/>
        <w:t>ice </w:t>
      </w:r>
      <w:r>
        <w:rPr>
          <w:spacing w:val="-2"/>
        </w:rPr>
        <w:t>hockey</w:t>
      </w:r>
    </w:p>
    <w:p>
      <w:pPr>
        <w:spacing w:after="0" w:line="312" w:lineRule="auto"/>
        <w:jc w:val="both"/>
        <w:sectPr>
          <w:type w:val="continuous"/>
          <w:pgSz w:w="11910" w:h="16840"/>
          <w:pgMar w:header="1961" w:footer="1428" w:top="1920" w:bottom="280" w:left="1680" w:right="720"/>
          <w:cols w:num="4" w:equalWidth="0">
            <w:col w:w="1484" w:space="40"/>
            <w:col w:w="2422" w:space="39"/>
            <w:col w:w="2326" w:space="40"/>
            <w:col w:w="3159"/>
          </w:cols>
        </w:sectPr>
      </w:pPr>
    </w:p>
    <w:p>
      <w:pPr>
        <w:pStyle w:val="BodyText"/>
        <w:spacing w:before="8"/>
        <w:rPr>
          <w:sz w:val="22"/>
        </w:rPr>
      </w:pPr>
    </w:p>
    <w:p>
      <w:pPr>
        <w:spacing w:after="0"/>
        <w:rPr>
          <w:sz w:val="22"/>
        </w:rPr>
        <w:sectPr>
          <w:type w:val="continuous"/>
          <w:pgSz w:w="11910" w:h="16840"/>
          <w:pgMar w:header="1961" w:footer="1428" w:top="1920" w:bottom="280" w:left="1680" w:right="720"/>
        </w:sectPr>
      </w:pPr>
    </w:p>
    <w:p>
      <w:pPr>
        <w:pStyle w:val="BodyText"/>
        <w:spacing w:line="312" w:lineRule="auto" w:before="97"/>
        <w:ind w:left="729"/>
      </w:pPr>
      <w:hyperlink w:history="true" w:anchor="_bookmark270">
        <w:r>
          <w:rPr>
            <w:color w:val="FF0000"/>
          </w:rPr>
          <w:t>Liu</w:t>
        </w:r>
        <w:r>
          <w:rPr>
            <w:color w:val="FF0000"/>
            <w:spacing w:val="70"/>
          </w:rPr>
          <w:t> </w:t>
        </w:r>
        <w:r>
          <w:rPr>
            <w:color w:val="FF0000"/>
          </w:rPr>
          <w:t>and</w:t>
        </w:r>
      </w:hyperlink>
      <w:r>
        <w:rPr>
          <w:color w:val="FF0000"/>
        </w:rPr>
        <w:t> </w:t>
      </w:r>
      <w:hyperlink w:history="true" w:anchor="_bookmark270">
        <w:r>
          <w:rPr>
            <w:color w:val="FF0000"/>
            <w:spacing w:val="-2"/>
          </w:rPr>
          <w:t>Schulte</w:t>
        </w:r>
      </w:hyperlink>
      <w:r>
        <w:rPr>
          <w:color w:val="FF0000"/>
          <w:spacing w:val="-2"/>
        </w:rPr>
        <w:t> </w:t>
      </w:r>
      <w:r>
        <w:rPr>
          <w:spacing w:val="-2"/>
        </w:rPr>
        <w:t>(</w:t>
      </w:r>
      <w:hyperlink w:history="true" w:anchor="_bookmark270">
        <w:r>
          <w:rPr>
            <w:color w:val="FF0000"/>
            <w:spacing w:val="-2"/>
          </w:rPr>
          <w:t>2018</w:t>
        </w:r>
      </w:hyperlink>
      <w:r>
        <w:rPr>
          <w:spacing w:val="-2"/>
        </w:rPr>
        <w:t>)</w:t>
      </w:r>
    </w:p>
    <w:p>
      <w:pPr>
        <w:pStyle w:val="BodyText"/>
        <w:spacing w:line="312" w:lineRule="auto" w:before="97"/>
        <w:ind w:left="199"/>
        <w:jc w:val="both"/>
      </w:pPr>
      <w:r>
        <w:rPr/>
        <w:br w:type="column"/>
      </w:r>
      <w:r>
        <w:rPr/>
        <w:t>3.3 million </w:t>
      </w:r>
      <w:r>
        <w:rPr/>
        <w:t>actions</w:t>
      </w:r>
      <w:r>
        <w:rPr/>
        <w:t> from the </w:t>
      </w:r>
      <w:r>
        <w:rPr/>
        <w:t>2015/16</w:t>
      </w:r>
      <w:r>
        <w:rPr/>
        <w:t> National </w:t>
      </w:r>
      <w:r>
        <w:rPr/>
        <w:t>Hocke</w:t>
      </w:r>
      <w:r>
        <w:rPr/>
        <w:t>y</w:t>
      </w:r>
      <w:r>
        <w:rPr/>
        <w:t> League season</w:t>
      </w:r>
    </w:p>
    <w:p>
      <w:pPr>
        <w:pStyle w:val="BodyText"/>
        <w:spacing w:line="312" w:lineRule="auto" w:before="97"/>
        <w:ind w:left="199"/>
        <w:jc w:val="both"/>
      </w:pPr>
      <w:r>
        <w:rPr/>
        <w:br w:type="column"/>
      </w:r>
      <w:r>
        <w:rPr/>
        <w:t>Deep </w:t>
      </w:r>
      <w:r>
        <w:rPr/>
        <w:t>reinforcement learning algorithm to evaluate</w:t>
      </w:r>
      <w:r>
        <w:rPr>
          <w:spacing w:val="-14"/>
        </w:rPr>
        <w:t> </w:t>
      </w:r>
      <w:r>
        <w:rPr/>
        <w:t>action</w:t>
      </w:r>
      <w:r>
        <w:rPr>
          <w:spacing w:val="-14"/>
        </w:rPr>
        <w:t> </w:t>
      </w:r>
      <w:r>
        <w:rPr>
          <w:spacing w:val="-2"/>
        </w:rPr>
        <w:t>values</w:t>
      </w:r>
    </w:p>
    <w:p>
      <w:pPr>
        <w:pStyle w:val="BodyText"/>
        <w:spacing w:line="312" w:lineRule="auto" w:before="97"/>
        <w:ind w:left="199" w:right="402"/>
        <w:jc w:val="both"/>
      </w:pPr>
      <w:r>
        <w:rPr/>
        <w:br w:type="column"/>
      </w:r>
      <w:r>
        <w:rPr/>
        <w:t>Produced a goal </w:t>
      </w:r>
      <w:r>
        <w:rPr/>
        <w:t>impact rating to evaluate player performances in ice </w:t>
      </w:r>
      <w:r>
        <w:rPr>
          <w:spacing w:val="-2"/>
        </w:rPr>
        <w:t>hockey</w:t>
      </w:r>
    </w:p>
    <w:p>
      <w:pPr>
        <w:spacing w:after="0" w:line="312" w:lineRule="auto"/>
        <w:jc w:val="both"/>
        <w:sectPr>
          <w:type w:val="continuous"/>
          <w:pgSz w:w="11910" w:h="16840"/>
          <w:pgMar w:header="1961" w:footer="1428" w:top="1920" w:bottom="280" w:left="1680" w:right="720"/>
          <w:cols w:num="4" w:equalWidth="0">
            <w:col w:w="1581" w:space="40"/>
            <w:col w:w="2325" w:space="39"/>
            <w:col w:w="2326" w:space="40"/>
            <w:col w:w="3159"/>
          </w:cols>
        </w:sectPr>
      </w:pPr>
    </w:p>
    <w:p>
      <w:pPr>
        <w:pStyle w:val="BodyText"/>
        <w:spacing w:before="8"/>
        <w:rPr>
          <w:sz w:val="22"/>
        </w:rPr>
      </w:pPr>
    </w:p>
    <w:p>
      <w:pPr>
        <w:spacing w:after="0"/>
        <w:rPr>
          <w:sz w:val="22"/>
        </w:rPr>
        <w:sectPr>
          <w:type w:val="continuous"/>
          <w:pgSz w:w="11910" w:h="16840"/>
          <w:pgMar w:header="1961" w:footer="1428" w:top="1920" w:bottom="280" w:left="1680" w:right="720"/>
        </w:sectPr>
      </w:pPr>
    </w:p>
    <w:p>
      <w:pPr>
        <w:pStyle w:val="BodyText"/>
        <w:spacing w:line="312" w:lineRule="auto" w:before="97"/>
        <w:ind w:left="729"/>
      </w:pPr>
      <w:hyperlink w:history="true" w:anchor="_bookmark269">
        <w:r>
          <w:rPr>
            <w:color w:val="FF0000"/>
          </w:rPr>
          <w:t>Liu</w:t>
        </w:r>
        <w:r>
          <w:rPr>
            <w:color w:val="FF0000"/>
            <w:spacing w:val="-15"/>
          </w:rPr>
          <w:t> </w:t>
        </w:r>
        <w:r>
          <w:rPr>
            <w:color w:val="FF0000"/>
          </w:rPr>
          <w:t>et</w:t>
        </w:r>
        <w:r>
          <w:rPr>
            <w:color w:val="FF0000"/>
            <w:spacing w:val="-15"/>
          </w:rPr>
          <w:t> </w:t>
        </w:r>
        <w:r>
          <w:rPr>
            <w:color w:val="FF0000"/>
          </w:rPr>
          <w:t>al.</w:t>
        </w:r>
      </w:hyperlink>
      <w:r>
        <w:rPr>
          <w:color w:val="FF0000"/>
        </w:rPr>
        <w:t> </w:t>
      </w:r>
      <w:r>
        <w:rPr>
          <w:spacing w:val="-2"/>
        </w:rPr>
        <w:t>(</w:t>
      </w:r>
      <w:hyperlink w:history="true" w:anchor="_bookmark269">
        <w:r>
          <w:rPr>
            <w:color w:val="FF0000"/>
            <w:spacing w:val="-2"/>
          </w:rPr>
          <w:t>2020</w:t>
        </w:r>
      </w:hyperlink>
      <w:r>
        <w:rPr>
          <w:spacing w:val="-2"/>
        </w:rPr>
        <w:t>)</w:t>
      </w:r>
    </w:p>
    <w:p>
      <w:pPr>
        <w:pStyle w:val="BodyText"/>
        <w:spacing w:line="312" w:lineRule="auto" w:before="97"/>
        <w:ind w:left="199"/>
        <w:jc w:val="both"/>
      </w:pPr>
      <w:r>
        <w:rPr/>
        <w:br w:type="column"/>
      </w:r>
      <w:r>
        <w:rPr/>
        <w:t>4.6 million </w:t>
      </w:r>
      <w:r>
        <w:rPr/>
        <w:t>actions</w:t>
      </w:r>
      <w:r>
        <w:rPr/>
        <w:t> across ten </w:t>
      </w:r>
      <w:r>
        <w:rPr/>
        <w:t>European</w:t>
      </w:r>
      <w:r>
        <w:rPr/>
        <w:t> football leagues </w:t>
      </w:r>
      <w:r>
        <w:rPr/>
        <w:t>in</w:t>
      </w:r>
      <w:r>
        <w:rPr/>
        <w:t> </w:t>
      </w:r>
      <w:r>
        <w:rPr>
          <w:spacing w:val="-2"/>
        </w:rPr>
        <w:t>2017/18</w:t>
      </w:r>
    </w:p>
    <w:p>
      <w:pPr>
        <w:pStyle w:val="BodyText"/>
        <w:spacing w:line="312" w:lineRule="auto" w:before="97"/>
        <w:ind w:left="199"/>
        <w:jc w:val="both"/>
      </w:pPr>
      <w:r>
        <w:rPr/>
        <w:br w:type="column"/>
      </w:r>
      <w:r>
        <w:rPr/>
        <w:t>Two tower deep </w:t>
      </w:r>
      <w:r>
        <w:rPr/>
        <w:t>re- inforcement learning algorithm to estimate action</w:t>
      </w:r>
      <w:r>
        <w:rPr>
          <w:spacing w:val="-5"/>
        </w:rPr>
        <w:t> </w:t>
      </w:r>
      <w:r>
        <w:rPr/>
        <w:t>values</w:t>
      </w:r>
      <w:r>
        <w:rPr>
          <w:spacing w:val="-5"/>
        </w:rPr>
        <w:t> </w:t>
      </w:r>
      <w:r>
        <w:rPr/>
        <w:t>for</w:t>
      </w:r>
      <w:r>
        <w:rPr>
          <w:spacing w:val="-5"/>
        </w:rPr>
        <w:t> </w:t>
      </w:r>
      <w:r>
        <w:rPr/>
        <w:t>each team individually</w:t>
      </w:r>
    </w:p>
    <w:p>
      <w:pPr>
        <w:pStyle w:val="BodyText"/>
        <w:spacing w:line="312" w:lineRule="auto" w:before="97"/>
        <w:ind w:left="199" w:right="402"/>
        <w:jc w:val="both"/>
      </w:pPr>
      <w:r>
        <w:rPr/>
        <w:br w:type="column"/>
      </w:r>
      <w:r>
        <w:rPr/>
        <w:t>Produced a goal </w:t>
      </w:r>
      <w:r>
        <w:rPr/>
        <w:t>impact rating to evaluate player performances in football</w:t>
      </w:r>
    </w:p>
    <w:p>
      <w:pPr>
        <w:spacing w:after="0" w:line="312" w:lineRule="auto"/>
        <w:jc w:val="both"/>
        <w:sectPr>
          <w:type w:val="continuous"/>
          <w:pgSz w:w="11910" w:h="16840"/>
          <w:pgMar w:header="1961" w:footer="1428" w:top="1920" w:bottom="280" w:left="1680" w:right="720"/>
          <w:cols w:num="4" w:equalWidth="0">
            <w:col w:w="1581" w:space="40"/>
            <w:col w:w="2325" w:space="39"/>
            <w:col w:w="2326" w:space="40"/>
            <w:col w:w="3159"/>
          </w:cols>
        </w:sectPr>
      </w:pPr>
    </w:p>
    <w:p>
      <w:pPr>
        <w:pStyle w:val="BodyText"/>
        <w:spacing w:before="7"/>
        <w:rPr>
          <w:sz w:val="22"/>
        </w:rPr>
      </w:pPr>
    </w:p>
    <w:p>
      <w:pPr>
        <w:spacing w:after="0"/>
        <w:rPr>
          <w:sz w:val="22"/>
        </w:rPr>
        <w:sectPr>
          <w:type w:val="continuous"/>
          <w:pgSz w:w="11910" w:h="16840"/>
          <w:pgMar w:header="1961" w:footer="1428" w:top="1920" w:bottom="280" w:left="1680" w:right="720"/>
        </w:sectPr>
      </w:pPr>
    </w:p>
    <w:p>
      <w:pPr>
        <w:pStyle w:val="BodyText"/>
        <w:spacing w:line="312" w:lineRule="auto" w:before="97"/>
        <w:ind w:left="729" w:right="-1"/>
      </w:pPr>
      <w:hyperlink w:history="true" w:anchor="_bookmark294">
        <w:r>
          <w:rPr>
            <w:color w:val="FF0000"/>
            <w:spacing w:val="-4"/>
          </w:rPr>
          <w:t>Singh</w:t>
        </w:r>
      </w:hyperlink>
      <w:r>
        <w:rPr>
          <w:color w:val="FF0000"/>
          <w:spacing w:val="-4"/>
        </w:rPr>
        <w:t> </w:t>
      </w:r>
      <w:r>
        <w:rPr>
          <w:spacing w:val="-2"/>
        </w:rPr>
        <w:t>(</w:t>
      </w:r>
      <w:hyperlink w:history="true" w:anchor="_bookmark294">
        <w:r>
          <w:rPr>
            <w:color w:val="FF0000"/>
            <w:spacing w:val="-2"/>
          </w:rPr>
          <w:t>n.d.</w:t>
        </w:r>
      </w:hyperlink>
      <w:r>
        <w:rPr>
          <w:spacing w:val="-2"/>
        </w:rPr>
        <w:t>)</w:t>
      </w:r>
    </w:p>
    <w:p>
      <w:pPr>
        <w:pStyle w:val="BodyText"/>
        <w:tabs>
          <w:tab w:pos="2152" w:val="left" w:leader="none"/>
        </w:tabs>
        <w:spacing w:before="97"/>
        <w:ind w:left="491"/>
      </w:pPr>
      <w:r>
        <w:rPr/>
        <w:br w:type="column"/>
      </w:r>
      <w:r>
        <w:rPr>
          <w:spacing w:val="-2"/>
        </w:rPr>
        <w:t>Matches</w:t>
      </w:r>
      <w:r>
        <w:rPr/>
        <w:tab/>
      </w:r>
      <w:r>
        <w:rPr>
          <w:spacing w:val="-4"/>
        </w:rPr>
        <w:t>from</w:t>
      </w:r>
    </w:p>
    <w:p>
      <w:pPr>
        <w:pStyle w:val="BodyText"/>
        <w:tabs>
          <w:tab w:pos="1886" w:val="left" w:leader="none"/>
        </w:tabs>
        <w:spacing w:line="312" w:lineRule="auto" w:before="83"/>
        <w:ind w:left="491"/>
      </w:pPr>
      <w:r>
        <w:rPr>
          <w:spacing w:val="-2"/>
        </w:rPr>
        <w:t>2017/18</w:t>
      </w:r>
      <w:r>
        <w:rPr/>
        <w:tab/>
      </w:r>
      <w:r>
        <w:rPr>
          <w:spacing w:val="-2"/>
        </w:rPr>
        <w:t>English </w:t>
      </w:r>
      <w:r>
        <w:rPr/>
        <w:t>Premier League</w:t>
      </w:r>
    </w:p>
    <w:p>
      <w:pPr>
        <w:pStyle w:val="BodyText"/>
        <w:spacing w:line="312" w:lineRule="auto" w:before="97"/>
        <w:ind w:left="199"/>
        <w:jc w:val="both"/>
      </w:pPr>
      <w:r>
        <w:rPr/>
        <w:br w:type="column"/>
      </w:r>
      <w:r>
        <w:rPr/>
        <w:t>Dynamic </w:t>
      </w:r>
      <w:r>
        <w:rPr/>
        <w:t>program- ming to model transition matrix</w:t>
      </w:r>
    </w:p>
    <w:p>
      <w:pPr>
        <w:pStyle w:val="BodyText"/>
        <w:spacing w:line="312" w:lineRule="auto" w:before="97"/>
        <w:ind w:left="199" w:right="402"/>
        <w:jc w:val="both"/>
      </w:pPr>
      <w:r>
        <w:rPr/>
        <w:br w:type="column"/>
      </w:r>
      <w:r>
        <w:rPr/>
        <w:t>Produced xT model, </w:t>
      </w:r>
      <w:r>
        <w:rPr/>
        <w:t>able to value player and team </w:t>
      </w:r>
      <w:r>
        <w:rPr>
          <w:spacing w:val="-2"/>
        </w:rPr>
        <w:t>performances</w:t>
      </w:r>
    </w:p>
    <w:p>
      <w:pPr>
        <w:spacing w:after="0" w:line="312" w:lineRule="auto"/>
        <w:jc w:val="both"/>
        <w:sectPr>
          <w:type w:val="continuous"/>
          <w:pgSz w:w="11910" w:h="16840"/>
          <w:pgMar w:header="1961" w:footer="1428" w:top="1920" w:bottom="280" w:left="1680" w:right="720"/>
          <w:cols w:num="4" w:equalWidth="0">
            <w:col w:w="1289" w:space="40"/>
            <w:col w:w="2618" w:space="39"/>
            <w:col w:w="2326" w:space="39"/>
            <w:col w:w="3159"/>
          </w:cols>
        </w:sectPr>
      </w:pPr>
    </w:p>
    <w:p>
      <w:pPr>
        <w:pStyle w:val="BodyText"/>
        <w:rPr>
          <w:sz w:val="20"/>
        </w:rPr>
      </w:pPr>
    </w:p>
    <w:p>
      <w:pPr>
        <w:pStyle w:val="BodyText"/>
        <w:spacing w:before="4"/>
        <w:rPr>
          <w:sz w:val="22"/>
        </w:rPr>
      </w:pPr>
    </w:p>
    <w:p>
      <w:pPr>
        <w:spacing w:after="0"/>
        <w:rPr>
          <w:sz w:val="22"/>
        </w:rPr>
        <w:sectPr>
          <w:pgSz w:w="11910" w:h="16840"/>
          <w:pgMar w:header="1961" w:footer="1428" w:top="2280" w:bottom="1620" w:left="1680" w:right="720"/>
        </w:sectPr>
      </w:pPr>
    </w:p>
    <w:p>
      <w:pPr>
        <w:pStyle w:val="BodyText"/>
        <w:tabs>
          <w:tab w:pos="1347" w:val="left" w:leader="none"/>
        </w:tabs>
        <w:spacing w:line="312" w:lineRule="auto" w:before="97"/>
        <w:ind w:left="729"/>
      </w:pPr>
      <w:hyperlink w:history="true" w:anchor="_bookmark275">
        <w:r>
          <w:rPr>
            <w:color w:val="FF0000"/>
            <w:spacing w:val="-2"/>
          </w:rPr>
          <w:t>Merhej</w:t>
        </w:r>
      </w:hyperlink>
      <w:r>
        <w:rPr>
          <w:color w:val="FF0000"/>
          <w:spacing w:val="-2"/>
        </w:rPr>
        <w:t> </w:t>
      </w:r>
      <w:hyperlink w:history="true" w:anchor="_bookmark275">
        <w:r>
          <w:rPr>
            <w:color w:val="FF0000"/>
            <w:spacing w:val="-6"/>
          </w:rPr>
          <w:t>et</w:t>
        </w:r>
        <w:r>
          <w:rPr>
            <w:color w:val="FF0000"/>
          </w:rPr>
          <w:tab/>
        </w:r>
        <w:r>
          <w:rPr>
            <w:color w:val="FF0000"/>
            <w:spacing w:val="-4"/>
          </w:rPr>
          <w:t>al.</w:t>
        </w:r>
      </w:hyperlink>
    </w:p>
    <w:p>
      <w:pPr>
        <w:pStyle w:val="BodyText"/>
        <w:spacing w:line="276" w:lineRule="exact"/>
        <w:ind w:left="729"/>
      </w:pPr>
      <w:r>
        <w:rPr>
          <w:spacing w:val="-2"/>
        </w:rPr>
        <w:t>(</w:t>
      </w:r>
      <w:hyperlink w:history="true" w:anchor="_bookmark275">
        <w:r>
          <w:rPr>
            <w:color w:val="FF0000"/>
            <w:spacing w:val="-2"/>
          </w:rPr>
          <w:t>2021</w:t>
        </w:r>
      </w:hyperlink>
      <w:r>
        <w:rPr>
          <w:spacing w:val="-2"/>
        </w:rPr>
        <w:t>)</w:t>
      </w:r>
    </w:p>
    <w:p>
      <w:pPr>
        <w:pStyle w:val="BodyText"/>
        <w:spacing w:line="312" w:lineRule="auto" w:before="97"/>
        <w:ind w:left="199"/>
        <w:jc w:val="both"/>
      </w:pPr>
      <w:r>
        <w:rPr/>
        <w:br w:type="column"/>
      </w:r>
      <w:r>
        <w:rPr/>
        <w:t>760 English </w:t>
      </w:r>
      <w:r>
        <w:rPr/>
        <w:t>Premier</w:t>
      </w:r>
      <w:r>
        <w:rPr/>
        <w:t> League matches </w:t>
      </w:r>
      <w:r>
        <w:rPr/>
        <w:t>be-</w:t>
      </w:r>
      <w:r>
        <w:rPr/>
        <w:t> tween 2017-2019</w:t>
      </w:r>
    </w:p>
    <w:p>
      <w:pPr>
        <w:pStyle w:val="BodyText"/>
        <w:spacing w:line="312" w:lineRule="auto" w:before="97"/>
        <w:ind w:left="199"/>
        <w:jc w:val="both"/>
      </w:pPr>
      <w:r>
        <w:rPr/>
        <w:br w:type="column"/>
      </w:r>
      <w:r>
        <w:rPr/>
        <w:t>Multi-layer </w:t>
      </w:r>
      <w:r>
        <w:rPr/>
        <w:t>percep- tron model to predict xT, which would</w:t>
      </w:r>
      <w:r>
        <w:rPr>
          <w:spacing w:val="40"/>
        </w:rPr>
        <w:t> </w:t>
      </w:r>
      <w:r>
        <w:rPr/>
        <w:t>have been achieved without a defensive action taking place</w:t>
      </w:r>
    </w:p>
    <w:p>
      <w:pPr>
        <w:pStyle w:val="BodyText"/>
        <w:spacing w:line="312" w:lineRule="auto" w:before="97"/>
        <w:ind w:left="199" w:right="402"/>
        <w:jc w:val="both"/>
      </w:pPr>
      <w:r>
        <w:rPr/>
        <w:br w:type="column"/>
      </w:r>
      <w:r>
        <w:rPr/>
        <w:t>Produced a defensive </w:t>
      </w:r>
      <w:r>
        <w:rPr/>
        <w:t>ac- tion xT model which val- ues defensive actions</w:t>
      </w:r>
    </w:p>
    <w:p>
      <w:pPr>
        <w:spacing w:after="0" w:line="312" w:lineRule="auto"/>
        <w:jc w:val="both"/>
        <w:sectPr>
          <w:type w:val="continuous"/>
          <w:pgSz w:w="11910" w:h="16840"/>
          <w:pgMar w:header="1961" w:footer="1428" w:top="1920" w:bottom="280" w:left="1680" w:right="720"/>
          <w:cols w:num="4" w:equalWidth="0">
            <w:col w:w="1581" w:space="40"/>
            <w:col w:w="2325" w:space="39"/>
            <w:col w:w="2326" w:space="40"/>
            <w:col w:w="3159"/>
          </w:cols>
        </w:sectPr>
      </w:pPr>
    </w:p>
    <w:p>
      <w:pPr>
        <w:pStyle w:val="BodyText"/>
        <w:spacing w:before="7"/>
        <w:rPr>
          <w:sz w:val="22"/>
        </w:rPr>
      </w:pPr>
    </w:p>
    <w:p>
      <w:pPr>
        <w:spacing w:after="0"/>
        <w:rPr>
          <w:sz w:val="22"/>
        </w:rPr>
        <w:sectPr>
          <w:type w:val="continuous"/>
          <w:pgSz w:w="11910" w:h="16840"/>
          <w:pgMar w:header="1961" w:footer="1428" w:top="1920" w:bottom="280" w:left="1680" w:right="720"/>
        </w:sectPr>
      </w:pPr>
    </w:p>
    <w:p>
      <w:pPr>
        <w:pStyle w:val="BodyText"/>
        <w:spacing w:before="97"/>
        <w:ind w:left="729"/>
      </w:pPr>
      <w:hyperlink w:history="true" w:anchor="_bookmark232">
        <w:r>
          <w:rPr>
            <w:color w:val="FF0000"/>
            <w:spacing w:val="-4"/>
          </w:rPr>
          <w:t>Chan</w:t>
        </w:r>
      </w:hyperlink>
    </w:p>
    <w:p>
      <w:pPr>
        <w:pStyle w:val="BodyText"/>
        <w:tabs>
          <w:tab w:pos="1347" w:val="left" w:leader="none"/>
        </w:tabs>
        <w:spacing w:before="82"/>
        <w:ind w:left="729"/>
      </w:pPr>
      <w:hyperlink w:history="true" w:anchor="_bookmark232">
        <w:r>
          <w:rPr>
            <w:color w:val="FF0000"/>
            <w:spacing w:val="-5"/>
          </w:rPr>
          <w:t>et</w:t>
        </w:r>
        <w:r>
          <w:rPr>
            <w:color w:val="FF0000"/>
          </w:rPr>
          <w:tab/>
        </w:r>
        <w:r>
          <w:rPr>
            <w:color w:val="FF0000"/>
            <w:spacing w:val="-5"/>
          </w:rPr>
          <w:t>al.</w:t>
        </w:r>
      </w:hyperlink>
    </w:p>
    <w:p>
      <w:pPr>
        <w:pStyle w:val="BodyText"/>
        <w:spacing w:before="83"/>
        <w:ind w:left="729"/>
      </w:pPr>
      <w:r>
        <w:rPr>
          <w:spacing w:val="-2"/>
        </w:rPr>
        <w:t>(</w:t>
      </w:r>
      <w:hyperlink w:history="true" w:anchor="_bookmark232">
        <w:r>
          <w:rPr>
            <w:color w:val="FF0000"/>
            <w:spacing w:val="-2"/>
          </w:rPr>
          <w:t>2021</w:t>
        </w:r>
      </w:hyperlink>
      <w:r>
        <w:rPr>
          <w:spacing w:val="-2"/>
        </w:rPr>
        <w:t>)</w:t>
      </w:r>
    </w:p>
    <w:p>
      <w:pPr>
        <w:pStyle w:val="BodyText"/>
        <w:tabs>
          <w:tab w:pos="1461" w:val="left" w:leader="none"/>
        </w:tabs>
        <w:spacing w:line="312" w:lineRule="auto" w:before="97"/>
        <w:ind w:left="199"/>
        <w:jc w:val="both"/>
      </w:pPr>
      <w:r>
        <w:rPr/>
        <w:br w:type="column"/>
      </w:r>
      <w:r>
        <w:rPr/>
        <w:t>Play by play </w:t>
      </w:r>
      <w:r>
        <w:rPr/>
        <w:t>data </w:t>
      </w:r>
      <w:r>
        <w:rPr>
          <w:spacing w:val="-4"/>
        </w:rPr>
        <w:t>from</w:t>
      </w:r>
      <w:r>
        <w:rPr/>
        <w:tab/>
      </w:r>
      <w:r>
        <w:rPr>
          <w:spacing w:val="-2"/>
        </w:rPr>
        <w:t>2013/14-</w:t>
      </w:r>
    </w:p>
    <w:p>
      <w:pPr>
        <w:pStyle w:val="BodyText"/>
        <w:spacing w:line="312" w:lineRule="auto"/>
        <w:ind w:left="199"/>
        <w:jc w:val="both"/>
      </w:pPr>
      <w:r>
        <w:rPr/>
        <w:t>2016/17 </w:t>
      </w:r>
      <w:r>
        <w:rPr/>
        <w:t>National Football League sea- sons (164,299 plays)</w:t>
      </w:r>
    </w:p>
    <w:p>
      <w:pPr>
        <w:pStyle w:val="BodyText"/>
        <w:spacing w:line="312" w:lineRule="auto" w:before="97"/>
        <w:ind w:left="199"/>
        <w:jc w:val="both"/>
      </w:pPr>
      <w:r>
        <w:rPr/>
        <w:br w:type="column"/>
      </w:r>
      <w:r>
        <w:rPr/>
        <w:t>Dynamic </w:t>
      </w:r>
      <w:r>
        <w:rPr/>
        <w:t>program- ming to model transition</w:t>
      </w:r>
      <w:r>
        <w:rPr>
          <w:spacing w:val="-15"/>
        </w:rPr>
        <w:t> </w:t>
      </w:r>
      <w:r>
        <w:rPr/>
        <w:t>matrix</w:t>
      </w:r>
      <w:r>
        <w:rPr>
          <w:spacing w:val="-15"/>
        </w:rPr>
        <w:t> </w:t>
      </w:r>
      <w:r>
        <w:rPr/>
        <w:t>of</w:t>
      </w:r>
      <w:r>
        <w:rPr>
          <w:spacing w:val="-15"/>
        </w:rPr>
        <w:t> </w:t>
      </w:r>
      <w:r>
        <w:rPr/>
        <w:t>an </w:t>
      </w:r>
      <w:r>
        <w:rPr>
          <w:spacing w:val="-4"/>
        </w:rPr>
        <w:t>MRP</w:t>
      </w:r>
    </w:p>
    <w:p>
      <w:pPr>
        <w:pStyle w:val="BodyText"/>
        <w:spacing w:line="312" w:lineRule="auto" w:before="97"/>
        <w:ind w:left="199" w:right="402"/>
        <w:jc w:val="both"/>
      </w:pPr>
      <w:r>
        <w:rPr/>
        <w:br w:type="column"/>
      </w:r>
      <w:r>
        <w:rPr/>
        <w:t>Produced points </w:t>
      </w:r>
      <w:r>
        <w:rPr/>
        <w:t>gained metric</w:t>
      </w:r>
      <w:r>
        <w:rPr>
          <w:spacing w:val="-14"/>
        </w:rPr>
        <w:t> </w:t>
      </w:r>
      <w:r>
        <w:rPr/>
        <w:t>able</w:t>
      </w:r>
      <w:r>
        <w:rPr>
          <w:spacing w:val="-14"/>
        </w:rPr>
        <w:t> </w:t>
      </w:r>
      <w:r>
        <w:rPr/>
        <w:t>to</w:t>
      </w:r>
      <w:r>
        <w:rPr>
          <w:spacing w:val="-13"/>
        </w:rPr>
        <w:t> </w:t>
      </w:r>
      <w:r>
        <w:rPr/>
        <w:t>value</w:t>
      </w:r>
      <w:r>
        <w:rPr>
          <w:spacing w:val="-14"/>
        </w:rPr>
        <w:t> </w:t>
      </w:r>
      <w:r>
        <w:rPr/>
        <w:t>differ- ent types of plays and dif- ferentiate between teams’ </w:t>
      </w:r>
      <w:r>
        <w:rPr>
          <w:spacing w:val="-2"/>
        </w:rPr>
        <w:t>performances</w:t>
      </w:r>
    </w:p>
    <w:p>
      <w:pPr>
        <w:spacing w:after="0" w:line="312" w:lineRule="auto"/>
        <w:jc w:val="both"/>
        <w:sectPr>
          <w:type w:val="continuous"/>
          <w:pgSz w:w="11910" w:h="16840"/>
          <w:pgMar w:header="1961" w:footer="1428" w:top="1920" w:bottom="280" w:left="1680" w:right="720"/>
          <w:cols w:num="4" w:equalWidth="0">
            <w:col w:w="1581" w:space="40"/>
            <w:col w:w="2325" w:space="39"/>
            <w:col w:w="2326" w:space="40"/>
            <w:col w:w="3159"/>
          </w:cols>
        </w:sectPr>
      </w:pPr>
    </w:p>
    <w:p>
      <w:pPr>
        <w:pStyle w:val="BodyText"/>
        <w:spacing w:before="7"/>
        <w:rPr>
          <w:sz w:val="22"/>
        </w:rPr>
      </w:pPr>
    </w:p>
    <w:p>
      <w:pPr>
        <w:spacing w:after="0"/>
        <w:rPr>
          <w:sz w:val="22"/>
        </w:rPr>
        <w:sectPr>
          <w:type w:val="continuous"/>
          <w:pgSz w:w="11910" w:h="16840"/>
          <w:pgMar w:header="1961" w:footer="1428" w:top="1920" w:bottom="280" w:left="1680" w:right="720"/>
        </w:sectPr>
      </w:pPr>
    </w:p>
    <w:p>
      <w:pPr>
        <w:pStyle w:val="BodyText"/>
        <w:tabs>
          <w:tab w:pos="1347" w:val="left" w:leader="none"/>
        </w:tabs>
        <w:spacing w:line="312" w:lineRule="auto" w:before="97"/>
        <w:ind w:left="729"/>
      </w:pPr>
      <w:hyperlink w:history="true" w:anchor="_bookmark263">
        <w:r>
          <w:rPr>
            <w:color w:val="FF0000"/>
            <w:spacing w:val="-4"/>
          </w:rPr>
          <w:t>Kempton</w:t>
        </w:r>
      </w:hyperlink>
      <w:r>
        <w:rPr>
          <w:color w:val="FF0000"/>
          <w:spacing w:val="-4"/>
        </w:rPr>
        <w:t> </w:t>
      </w:r>
      <w:hyperlink w:history="true" w:anchor="_bookmark263">
        <w:r>
          <w:rPr>
            <w:color w:val="FF0000"/>
            <w:spacing w:val="-5"/>
          </w:rPr>
          <w:t>et</w:t>
        </w:r>
        <w:r>
          <w:rPr>
            <w:color w:val="FF0000"/>
          </w:rPr>
          <w:tab/>
        </w:r>
        <w:r>
          <w:rPr>
            <w:color w:val="FF0000"/>
            <w:spacing w:val="-5"/>
          </w:rPr>
          <w:t>al.</w:t>
        </w:r>
      </w:hyperlink>
    </w:p>
    <w:p>
      <w:pPr>
        <w:pStyle w:val="BodyText"/>
        <w:spacing w:line="276" w:lineRule="exact"/>
        <w:ind w:left="729"/>
      </w:pPr>
      <w:r>
        <w:rPr>
          <w:spacing w:val="-2"/>
        </w:rPr>
        <w:t>(</w:t>
      </w:r>
      <w:hyperlink w:history="true" w:anchor="_bookmark263">
        <w:r>
          <w:rPr>
            <w:color w:val="FF0000"/>
            <w:spacing w:val="-2"/>
          </w:rPr>
          <w:t>2016</w:t>
        </w:r>
      </w:hyperlink>
      <w:r>
        <w:rPr>
          <w:spacing w:val="-2"/>
        </w:rPr>
        <w:t>)</w:t>
      </w:r>
    </w:p>
    <w:p>
      <w:pPr>
        <w:pStyle w:val="BodyText"/>
        <w:spacing w:line="312" w:lineRule="auto" w:before="97"/>
        <w:ind w:left="165"/>
        <w:jc w:val="both"/>
      </w:pPr>
      <w:r>
        <w:rPr/>
        <w:br w:type="column"/>
      </w:r>
      <w:r>
        <w:rPr/>
        <w:t>155,352 </w:t>
      </w:r>
      <w:r>
        <w:rPr/>
        <w:t>play-the-ball observations from</w:t>
      </w:r>
      <w:r>
        <w:rPr>
          <w:spacing w:val="80"/>
        </w:rPr>
        <w:t> </w:t>
      </w:r>
      <w:r>
        <w:rPr/>
        <w:t>the National Rugby League between </w:t>
      </w:r>
      <w:r>
        <w:rPr>
          <w:spacing w:val="-2"/>
        </w:rPr>
        <w:t>2010-2013</w:t>
      </w:r>
    </w:p>
    <w:p>
      <w:pPr>
        <w:pStyle w:val="BodyText"/>
        <w:spacing w:line="312" w:lineRule="auto" w:before="97"/>
        <w:ind w:left="199"/>
        <w:jc w:val="both"/>
      </w:pPr>
      <w:r>
        <w:rPr/>
        <w:br w:type="column"/>
      </w:r>
      <w:r>
        <w:rPr/>
        <w:t>Dynamic </w:t>
      </w:r>
      <w:r>
        <w:rPr/>
        <w:t>program- ming</w:t>
      </w:r>
      <w:r>
        <w:rPr>
          <w:spacing w:val="-5"/>
        </w:rPr>
        <w:t> </w:t>
      </w:r>
      <w:r>
        <w:rPr/>
        <w:t>used</w:t>
      </w:r>
      <w:r>
        <w:rPr>
          <w:spacing w:val="-5"/>
        </w:rPr>
        <w:t> </w:t>
      </w:r>
      <w:r>
        <w:rPr/>
        <w:t>to</w:t>
      </w:r>
      <w:r>
        <w:rPr>
          <w:spacing w:val="-5"/>
        </w:rPr>
        <w:t> </w:t>
      </w:r>
      <w:r>
        <w:rPr/>
        <w:t>estimate the</w:t>
      </w:r>
      <w:r>
        <w:rPr>
          <w:spacing w:val="-3"/>
        </w:rPr>
        <w:t> </w:t>
      </w:r>
      <w:r>
        <w:rPr/>
        <w:t>expected</w:t>
      </w:r>
      <w:r>
        <w:rPr>
          <w:spacing w:val="-3"/>
        </w:rPr>
        <w:t> </w:t>
      </w:r>
      <w:r>
        <w:rPr/>
        <w:t>long-run </w:t>
      </w:r>
      <w:r>
        <w:rPr>
          <w:spacing w:val="-2"/>
        </w:rPr>
        <w:t>value</w:t>
      </w:r>
      <w:r>
        <w:rPr>
          <w:spacing w:val="-13"/>
        </w:rPr>
        <w:t> </w:t>
      </w:r>
      <w:r>
        <w:rPr>
          <w:spacing w:val="-2"/>
        </w:rPr>
        <w:t>of</w:t>
      </w:r>
      <w:r>
        <w:rPr>
          <w:spacing w:val="-13"/>
        </w:rPr>
        <w:t> </w:t>
      </w:r>
      <w:r>
        <w:rPr>
          <w:spacing w:val="-2"/>
        </w:rPr>
        <w:t>the</w:t>
      </w:r>
      <w:r>
        <w:rPr>
          <w:spacing w:val="-13"/>
        </w:rPr>
        <w:t> </w:t>
      </w:r>
      <w:r>
        <w:rPr>
          <w:spacing w:val="-2"/>
        </w:rPr>
        <w:t>difference </w:t>
      </w:r>
      <w:r>
        <w:rPr/>
        <w:t>in points scored by the</w:t>
      </w:r>
      <w:r>
        <w:rPr>
          <w:spacing w:val="-15"/>
        </w:rPr>
        <w:t> </w:t>
      </w:r>
      <w:r>
        <w:rPr/>
        <w:t>team</w:t>
      </w:r>
      <w:r>
        <w:rPr>
          <w:spacing w:val="-15"/>
        </w:rPr>
        <w:t> </w:t>
      </w:r>
      <w:r>
        <w:rPr/>
        <w:t>in</w:t>
      </w:r>
      <w:r>
        <w:rPr>
          <w:spacing w:val="-15"/>
        </w:rPr>
        <w:t> </w:t>
      </w:r>
      <w:r>
        <w:rPr/>
        <w:t>possession and its opposition</w:t>
      </w:r>
    </w:p>
    <w:p>
      <w:pPr>
        <w:pStyle w:val="BodyText"/>
        <w:spacing w:line="312" w:lineRule="auto" w:before="97"/>
        <w:ind w:left="199" w:right="402"/>
        <w:jc w:val="both"/>
      </w:pPr>
      <w:r>
        <w:rPr/>
        <w:br w:type="column"/>
      </w:r>
      <w:r>
        <w:rPr/>
        <w:t>Provided</w:t>
      </w:r>
      <w:r>
        <w:rPr>
          <w:spacing w:val="-15"/>
        </w:rPr>
        <w:t> </w:t>
      </w:r>
      <w:r>
        <w:rPr/>
        <w:t>an</w:t>
      </w:r>
      <w:r>
        <w:rPr>
          <w:spacing w:val="-15"/>
        </w:rPr>
        <w:t> </w:t>
      </w:r>
      <w:r>
        <w:rPr/>
        <w:t>understanding of valuable play-the-ball locations</w:t>
      </w:r>
      <w:r>
        <w:rPr>
          <w:spacing w:val="-15"/>
        </w:rPr>
        <w:t> </w:t>
      </w:r>
      <w:r>
        <w:rPr/>
        <w:t>for</w:t>
      </w:r>
      <w:r>
        <w:rPr>
          <w:spacing w:val="-15"/>
        </w:rPr>
        <w:t> </w:t>
      </w:r>
      <w:r>
        <w:rPr/>
        <w:t>a</w:t>
      </w:r>
      <w:r>
        <w:rPr>
          <w:spacing w:val="-15"/>
        </w:rPr>
        <w:t> </w:t>
      </w:r>
      <w:r>
        <w:rPr/>
        <w:t>team</w:t>
      </w:r>
      <w:r>
        <w:rPr>
          <w:spacing w:val="-15"/>
        </w:rPr>
        <w:t> </w:t>
      </w:r>
      <w:r>
        <w:rPr/>
        <w:t>in</w:t>
      </w:r>
      <w:r>
        <w:rPr>
          <w:spacing w:val="-15"/>
        </w:rPr>
        <w:t> </w:t>
      </w:r>
      <w:r>
        <w:rPr/>
        <w:t>pos- </w:t>
      </w:r>
      <w:r>
        <w:rPr>
          <w:spacing w:val="-2"/>
        </w:rPr>
        <w:t>session</w:t>
      </w:r>
    </w:p>
    <w:p>
      <w:pPr>
        <w:spacing w:after="0" w:line="312" w:lineRule="auto"/>
        <w:jc w:val="both"/>
        <w:sectPr>
          <w:type w:val="continuous"/>
          <w:pgSz w:w="11910" w:h="16840"/>
          <w:pgMar w:header="1961" w:footer="1428" w:top="1920" w:bottom="280" w:left="1680" w:right="720"/>
          <w:cols w:num="4" w:equalWidth="0">
            <w:col w:w="1614" w:space="40"/>
            <w:col w:w="2292" w:space="39"/>
            <w:col w:w="2326" w:space="40"/>
            <w:col w:w="3159"/>
          </w:cols>
        </w:sectPr>
      </w:pPr>
    </w:p>
    <w:p>
      <w:pPr>
        <w:pStyle w:val="BodyText"/>
        <w:spacing w:before="7"/>
        <w:rPr>
          <w:sz w:val="22"/>
        </w:rPr>
      </w:pPr>
    </w:p>
    <w:p>
      <w:pPr>
        <w:spacing w:after="0"/>
        <w:rPr>
          <w:sz w:val="22"/>
        </w:rPr>
        <w:sectPr>
          <w:type w:val="continuous"/>
          <w:pgSz w:w="11910" w:h="16840"/>
          <w:pgMar w:header="1961" w:footer="1428" w:top="1920" w:bottom="280" w:left="1680" w:right="720"/>
        </w:sectPr>
      </w:pPr>
    </w:p>
    <w:p>
      <w:pPr>
        <w:pStyle w:val="BodyText"/>
        <w:tabs>
          <w:tab w:pos="1347" w:val="left" w:leader="none"/>
        </w:tabs>
        <w:spacing w:line="312" w:lineRule="auto" w:before="97"/>
        <w:ind w:left="729"/>
      </w:pPr>
      <w:hyperlink w:history="true" w:anchor="_bookmark254">
        <w:r>
          <w:rPr>
            <w:color w:val="FF0000"/>
            <w:spacing w:val="-2"/>
          </w:rPr>
          <w:t>Holbrook</w:t>
        </w:r>
      </w:hyperlink>
      <w:r>
        <w:rPr>
          <w:color w:val="FF0000"/>
          <w:spacing w:val="-2"/>
        </w:rPr>
        <w:t> </w:t>
      </w:r>
      <w:hyperlink w:history="true" w:anchor="_bookmark254">
        <w:r>
          <w:rPr>
            <w:color w:val="FF0000"/>
            <w:spacing w:val="-6"/>
          </w:rPr>
          <w:t>et</w:t>
        </w:r>
        <w:r>
          <w:rPr>
            <w:color w:val="FF0000"/>
          </w:rPr>
          <w:tab/>
        </w:r>
        <w:r>
          <w:rPr>
            <w:color w:val="FF0000"/>
            <w:spacing w:val="-4"/>
          </w:rPr>
          <w:t>al.</w:t>
        </w:r>
      </w:hyperlink>
    </w:p>
    <w:p>
      <w:pPr>
        <w:pStyle w:val="BodyText"/>
        <w:spacing w:line="276" w:lineRule="exact"/>
        <w:ind w:left="729"/>
      </w:pPr>
      <w:r>
        <w:rPr>
          <w:spacing w:val="-2"/>
        </w:rPr>
        <w:t>(</w:t>
      </w:r>
      <w:hyperlink w:history="true" w:anchor="_bookmark254">
        <w:r>
          <w:rPr>
            <w:color w:val="FF0000"/>
            <w:spacing w:val="-2"/>
          </w:rPr>
          <w:t>2019</w:t>
        </w:r>
      </w:hyperlink>
      <w:r>
        <w:rPr>
          <w:spacing w:val="-2"/>
        </w:rPr>
        <w:t>)</w:t>
      </w:r>
    </w:p>
    <w:p>
      <w:pPr>
        <w:pStyle w:val="BodyText"/>
        <w:spacing w:line="312" w:lineRule="auto" w:before="97"/>
        <w:ind w:left="133"/>
        <w:jc w:val="both"/>
      </w:pPr>
      <w:r>
        <w:rPr/>
        <w:br w:type="column"/>
      </w:r>
      <w:r>
        <w:rPr/>
        <w:t>More than </w:t>
      </w:r>
      <w:r>
        <w:rPr/>
        <w:t>250,000 play-the-ball</w:t>
      </w:r>
      <w:r>
        <w:rPr>
          <w:spacing w:val="-15"/>
        </w:rPr>
        <w:t> </w:t>
      </w:r>
      <w:r>
        <w:rPr/>
        <w:t>observa- tions from the Na- tional Rugby League between 2015-2018</w:t>
      </w:r>
    </w:p>
    <w:p>
      <w:pPr>
        <w:pStyle w:val="BodyText"/>
        <w:spacing w:line="312" w:lineRule="auto" w:before="97"/>
        <w:ind w:left="199"/>
        <w:jc w:val="both"/>
      </w:pPr>
      <w:r>
        <w:rPr/>
        <w:br w:type="column"/>
      </w:r>
      <w:r>
        <w:rPr/>
        <w:t>Mixture density </w:t>
      </w:r>
      <w:r>
        <w:rPr/>
        <w:t>neu- ral network to pre- dict</w:t>
      </w:r>
      <w:r>
        <w:rPr>
          <w:spacing w:val="-15"/>
        </w:rPr>
        <w:t> </w:t>
      </w:r>
      <w:r>
        <w:rPr/>
        <w:t>five</w:t>
      </w:r>
      <w:r>
        <w:rPr>
          <w:spacing w:val="-15"/>
        </w:rPr>
        <w:t> </w:t>
      </w:r>
      <w:r>
        <w:rPr/>
        <w:t>outcomes,</w:t>
      </w:r>
      <w:r>
        <w:rPr>
          <w:spacing w:val="-15"/>
        </w:rPr>
        <w:t> </w:t>
      </w:r>
      <w:r>
        <w:rPr/>
        <w:t>in- cluding expected me- tres</w:t>
      </w:r>
      <w:r>
        <w:rPr>
          <w:spacing w:val="-3"/>
        </w:rPr>
        <w:t> </w:t>
      </w:r>
      <w:r>
        <w:rPr/>
        <w:t>and</w:t>
      </w:r>
      <w:r>
        <w:rPr>
          <w:spacing w:val="-3"/>
        </w:rPr>
        <w:t> </w:t>
      </w:r>
      <w:r>
        <w:rPr/>
        <w:t>try</w:t>
      </w:r>
      <w:r>
        <w:rPr>
          <w:spacing w:val="-3"/>
        </w:rPr>
        <w:t> </w:t>
      </w:r>
      <w:r>
        <w:rPr/>
        <w:t>for</w:t>
      </w:r>
      <w:r>
        <w:rPr>
          <w:spacing w:val="-3"/>
        </w:rPr>
        <w:t> </w:t>
      </w:r>
      <w:r>
        <w:rPr/>
        <w:t>the</w:t>
      </w:r>
      <w:r>
        <w:rPr>
          <w:spacing w:val="-3"/>
        </w:rPr>
        <w:t> </w:t>
      </w:r>
      <w:r>
        <w:rPr/>
        <w:t>set and match score pre- </w:t>
      </w:r>
      <w:r>
        <w:rPr>
          <w:spacing w:val="-2"/>
        </w:rPr>
        <w:t>diction</w:t>
      </w:r>
    </w:p>
    <w:p>
      <w:pPr>
        <w:pStyle w:val="BodyText"/>
        <w:spacing w:line="312" w:lineRule="auto" w:before="97"/>
        <w:ind w:left="199" w:right="402"/>
        <w:jc w:val="both"/>
      </w:pPr>
      <w:r>
        <w:rPr/>
        <w:br w:type="column"/>
      </w:r>
      <w:r>
        <w:rPr/>
        <w:t>Produced a </w:t>
      </w:r>
      <w:r>
        <w:rPr/>
        <w:t>defence- adjusted value over average</w:t>
      </w:r>
      <w:r>
        <w:rPr>
          <w:spacing w:val="-3"/>
        </w:rPr>
        <w:t> </w:t>
      </w:r>
      <w:r>
        <w:rPr/>
        <w:t>metric</w:t>
      </w:r>
      <w:r>
        <w:rPr>
          <w:spacing w:val="-3"/>
        </w:rPr>
        <w:t> </w:t>
      </w:r>
      <w:r>
        <w:rPr/>
        <w:t>to</w:t>
      </w:r>
      <w:r>
        <w:rPr>
          <w:spacing w:val="-3"/>
        </w:rPr>
        <w:t> </w:t>
      </w:r>
      <w:r>
        <w:rPr/>
        <w:t>evaluate attacking and defensive team performances</w:t>
      </w:r>
    </w:p>
    <w:p>
      <w:pPr>
        <w:spacing w:after="0" w:line="312" w:lineRule="auto"/>
        <w:jc w:val="both"/>
        <w:sectPr>
          <w:type w:val="continuous"/>
          <w:pgSz w:w="11910" w:h="16840"/>
          <w:pgMar w:header="1961" w:footer="1428" w:top="1920" w:bottom="280" w:left="1680" w:right="720"/>
          <w:cols w:num="4" w:equalWidth="0">
            <w:col w:w="1647" w:space="40"/>
            <w:col w:w="2259" w:space="39"/>
            <w:col w:w="2326" w:space="40"/>
            <w:col w:w="3159"/>
          </w:cols>
        </w:sectPr>
      </w:pPr>
    </w:p>
    <w:p>
      <w:pPr>
        <w:pStyle w:val="BodyText"/>
        <w:rPr>
          <w:sz w:val="20"/>
        </w:rPr>
      </w:pPr>
    </w:p>
    <w:p>
      <w:pPr>
        <w:pStyle w:val="BodyText"/>
        <w:rPr>
          <w:sz w:val="20"/>
        </w:rPr>
      </w:pPr>
    </w:p>
    <w:p>
      <w:pPr>
        <w:pStyle w:val="BodyText"/>
        <w:spacing w:before="6"/>
        <w:rPr>
          <w:sz w:val="21"/>
        </w:rPr>
      </w:pPr>
    </w:p>
    <w:p>
      <w:pPr>
        <w:pStyle w:val="BodyText"/>
        <w:spacing w:before="99"/>
        <w:ind w:left="610"/>
      </w:pPr>
      <w:r>
        <w:rPr/>
        <w:pict>
          <v:shape style="position:absolute;margin-left:114.519997pt;margin-top:-36.570873pt;width:430.55pt;height:.1pt;mso-position-horizontal-relative:page;mso-position-vertical-relative:paragraph;z-index:15736320" id="docshape43" coordorigin="2290,-731" coordsize="8611,0" path="m2290,-731l10900,-731m2290,-731l10900,-731e" filled="false" stroked="true" strokeweight=".398pt" strokecolor="#000000">
            <v:path arrowok="t"/>
            <v:stroke dashstyle="solid"/>
            <w10:wrap type="none"/>
          </v:shape>
        </w:pict>
      </w:r>
      <w:hyperlink w:history="true" w:anchor="_bookmark298">
        <w:r>
          <w:rPr>
            <w:color w:val="FF0000"/>
          </w:rPr>
          <w:t>Spearman</w:t>
        </w:r>
        <w:r>
          <w:rPr>
            <w:color w:val="FF0000"/>
            <w:spacing w:val="-9"/>
          </w:rPr>
          <w:t> </w:t>
        </w:r>
        <w:r>
          <w:rPr>
            <w:color w:val="FF0000"/>
          </w:rPr>
          <w:t>et</w:t>
        </w:r>
        <w:r>
          <w:rPr>
            <w:color w:val="FF0000"/>
            <w:spacing w:val="-8"/>
          </w:rPr>
          <w:t> </w:t>
        </w:r>
        <w:r>
          <w:rPr>
            <w:color w:val="FF0000"/>
          </w:rPr>
          <w:t>al.</w:t>
        </w:r>
      </w:hyperlink>
      <w:r>
        <w:rPr/>
        <w:t>,</w:t>
      </w:r>
      <w:hyperlink w:history="true" w:anchor="_bookmark298">
        <w:r>
          <w:rPr>
            <w:color w:val="FF0000"/>
          </w:rPr>
          <w:t>2017</w:t>
        </w:r>
      </w:hyperlink>
      <w:r>
        <w:rPr/>
        <w:t>).</w:t>
      </w:r>
      <w:r>
        <w:rPr>
          <w:spacing w:val="11"/>
        </w:rPr>
        <w:t> </w:t>
      </w:r>
      <w:r>
        <w:rPr/>
        <w:t>Although</w:t>
      </w:r>
      <w:r>
        <w:rPr>
          <w:spacing w:val="-8"/>
        </w:rPr>
        <w:t> </w:t>
      </w:r>
      <w:r>
        <w:rPr/>
        <w:t>the</w:t>
      </w:r>
      <w:r>
        <w:rPr>
          <w:spacing w:val="-9"/>
        </w:rPr>
        <w:t> </w:t>
      </w:r>
      <w:r>
        <w:rPr/>
        <w:t>methods</w:t>
      </w:r>
      <w:r>
        <w:rPr>
          <w:spacing w:val="-8"/>
        </w:rPr>
        <w:t> </w:t>
      </w:r>
      <w:r>
        <w:rPr/>
        <w:t>used</w:t>
      </w:r>
      <w:r>
        <w:rPr>
          <w:spacing w:val="-8"/>
        </w:rPr>
        <w:t> </w:t>
      </w:r>
      <w:r>
        <w:rPr/>
        <w:t>by</w:t>
      </w:r>
      <w:hyperlink w:history="true" w:anchor="_bookmark241">
        <w:r>
          <w:rPr>
            <w:color w:val="FF0000"/>
          </w:rPr>
          <w:t>Fern</w:t>
        </w:r>
        <w:r>
          <w:rPr>
            <w:color w:val="FF0000"/>
            <w:spacing w:val="43"/>
          </w:rPr>
          <w:t> </w:t>
        </w:r>
        <w:r>
          <w:rPr>
            <w:color w:val="FF0000"/>
            <w:spacing w:val="-80"/>
          </w:rPr>
          <w:t>a</w:t>
        </w:r>
        <w:r>
          <w:rPr>
            <w:color w:val="FF0000"/>
            <w:spacing w:val="26"/>
          </w:rPr>
          <w:t>´</w:t>
        </w:r>
        <w:r>
          <w:rPr>
            <w:color w:val="FF0000"/>
            <w:spacing w:val="13"/>
          </w:rPr>
          <w:t>ndez</w:t>
        </w:r>
        <w:r>
          <w:rPr>
            <w:color w:val="FF0000"/>
            <w:spacing w:val="-7"/>
          </w:rPr>
          <w:t> </w:t>
        </w:r>
        <w:r>
          <w:rPr>
            <w:color w:val="FF0000"/>
          </w:rPr>
          <w:t>and</w:t>
        </w:r>
        <w:r>
          <w:rPr>
            <w:color w:val="FF0000"/>
            <w:spacing w:val="-9"/>
          </w:rPr>
          <w:t> </w:t>
        </w:r>
        <w:r>
          <w:rPr>
            <w:color w:val="FF0000"/>
          </w:rPr>
          <w:t>Bornn</w:t>
        </w:r>
      </w:hyperlink>
      <w:r>
        <w:rPr/>
        <w:t>(</w:t>
      </w:r>
      <w:hyperlink w:history="true" w:anchor="_bookmark241">
        <w:r>
          <w:rPr>
            <w:color w:val="FF0000"/>
          </w:rPr>
          <w:t>2018</w:t>
        </w:r>
        <w:r>
          <w:rPr/>
          <w:t>)</w:t>
        </w:r>
      </w:hyperlink>
      <w:r>
        <w:rPr>
          <w:spacing w:val="-9"/>
        </w:rPr>
        <w:t> </w:t>
      </w:r>
      <w:r>
        <w:rPr>
          <w:spacing w:val="-5"/>
        </w:rPr>
        <w:t>and</w:t>
      </w:r>
    </w:p>
    <w:p>
      <w:pPr>
        <w:pStyle w:val="BodyText"/>
        <w:spacing w:line="312" w:lineRule="auto" w:before="82"/>
        <w:ind w:left="610" w:right="389"/>
      </w:pPr>
      <w:hyperlink w:history="true" w:anchor="_bookmark298">
        <w:r>
          <w:rPr>
            <w:color w:val="FF0000"/>
          </w:rPr>
          <w:t>Spearman</w:t>
        </w:r>
        <w:r>
          <w:rPr>
            <w:color w:val="FF0000"/>
            <w:spacing w:val="-7"/>
          </w:rPr>
          <w:t> </w:t>
        </w:r>
        <w:r>
          <w:rPr>
            <w:color w:val="FF0000"/>
          </w:rPr>
          <w:t>et</w:t>
        </w:r>
        <w:r>
          <w:rPr>
            <w:color w:val="FF0000"/>
            <w:spacing w:val="-7"/>
          </w:rPr>
          <w:t> </w:t>
        </w:r>
        <w:r>
          <w:rPr>
            <w:color w:val="FF0000"/>
          </w:rPr>
          <w:t>al.</w:t>
        </w:r>
      </w:hyperlink>
      <w:r>
        <w:rPr/>
        <w:t>(</w:t>
      </w:r>
      <w:hyperlink w:history="true" w:anchor="_bookmark298">
        <w:r>
          <w:rPr>
            <w:color w:val="FF0000"/>
          </w:rPr>
          <w:t>2017</w:t>
        </w:r>
        <w:r>
          <w:rPr/>
          <w:t>)</w:t>
        </w:r>
      </w:hyperlink>
      <w:r>
        <w:rPr>
          <w:spacing w:val="-7"/>
        </w:rPr>
        <w:t> </w:t>
      </w:r>
      <w:r>
        <w:rPr/>
        <w:t>are</w:t>
      </w:r>
      <w:r>
        <w:rPr>
          <w:spacing w:val="-7"/>
        </w:rPr>
        <w:t> </w:t>
      </w:r>
      <w:r>
        <w:rPr/>
        <w:t>extremely</w:t>
      </w:r>
      <w:r>
        <w:rPr>
          <w:spacing w:val="-7"/>
        </w:rPr>
        <w:t> </w:t>
      </w:r>
      <w:r>
        <w:rPr/>
        <w:t>valuable</w:t>
      </w:r>
      <w:r>
        <w:rPr>
          <w:spacing w:val="-7"/>
        </w:rPr>
        <w:t> </w:t>
      </w:r>
      <w:r>
        <w:rPr/>
        <w:t>within</w:t>
      </w:r>
      <w:r>
        <w:rPr>
          <w:spacing w:val="-7"/>
        </w:rPr>
        <w:t> </w:t>
      </w:r>
      <w:r>
        <w:rPr/>
        <w:t>football,</w:t>
      </w:r>
      <w:r>
        <w:rPr>
          <w:spacing w:val="-6"/>
        </w:rPr>
        <w:t> </w:t>
      </w:r>
      <w:r>
        <w:rPr/>
        <w:t>their</w:t>
      </w:r>
      <w:r>
        <w:rPr>
          <w:spacing w:val="-7"/>
        </w:rPr>
        <w:t> </w:t>
      </w:r>
      <w:r>
        <w:rPr/>
        <w:t>value</w:t>
      </w:r>
      <w:r>
        <w:rPr>
          <w:spacing w:val="-7"/>
        </w:rPr>
        <w:t> </w:t>
      </w:r>
      <w:r>
        <w:rPr/>
        <w:t>in</w:t>
      </w:r>
      <w:r>
        <w:rPr>
          <w:spacing w:val="-7"/>
        </w:rPr>
        <w:t> </w:t>
      </w:r>
      <w:r>
        <w:rPr/>
        <w:t>rugby</w:t>
      </w:r>
      <w:r>
        <w:rPr>
          <w:spacing w:val="-7"/>
        </w:rPr>
        <w:t> </w:t>
      </w:r>
      <w:r>
        <w:rPr/>
        <w:t>league is</w:t>
      </w:r>
      <w:r>
        <w:rPr>
          <w:spacing w:val="15"/>
        </w:rPr>
        <w:t> </w:t>
      </w:r>
      <w:r>
        <w:rPr/>
        <w:t>more</w:t>
      </w:r>
      <w:r>
        <w:rPr>
          <w:spacing w:val="15"/>
        </w:rPr>
        <w:t> </w:t>
      </w:r>
      <w:r>
        <w:rPr/>
        <w:t>limited</w:t>
      </w:r>
      <w:r>
        <w:rPr>
          <w:spacing w:val="15"/>
        </w:rPr>
        <w:t> </w:t>
      </w:r>
      <w:r>
        <w:rPr/>
        <w:t>due</w:t>
      </w:r>
      <w:r>
        <w:rPr>
          <w:spacing w:val="15"/>
        </w:rPr>
        <w:t> </w:t>
      </w:r>
      <w:r>
        <w:rPr/>
        <w:t>to</w:t>
      </w:r>
      <w:r>
        <w:rPr>
          <w:spacing w:val="15"/>
        </w:rPr>
        <w:t> </w:t>
      </w:r>
      <w:r>
        <w:rPr/>
        <w:t>the</w:t>
      </w:r>
      <w:r>
        <w:rPr>
          <w:spacing w:val="15"/>
        </w:rPr>
        <w:t> </w:t>
      </w:r>
      <w:r>
        <w:rPr/>
        <w:t>laws</w:t>
      </w:r>
      <w:r>
        <w:rPr>
          <w:spacing w:val="15"/>
        </w:rPr>
        <w:t> </w:t>
      </w:r>
      <w:r>
        <w:rPr/>
        <w:t>of</w:t>
      </w:r>
      <w:r>
        <w:rPr>
          <w:spacing w:val="15"/>
        </w:rPr>
        <w:t> </w:t>
      </w:r>
      <w:r>
        <w:rPr/>
        <w:t>the</w:t>
      </w:r>
      <w:r>
        <w:rPr>
          <w:spacing w:val="15"/>
        </w:rPr>
        <w:t> </w:t>
      </w:r>
      <w:r>
        <w:rPr/>
        <w:t>game,</w:t>
      </w:r>
      <w:r>
        <w:rPr>
          <w:spacing w:val="20"/>
        </w:rPr>
        <w:t> </w:t>
      </w:r>
      <w:r>
        <w:rPr/>
        <w:t>which</w:t>
      </w:r>
      <w:r>
        <w:rPr>
          <w:spacing w:val="15"/>
        </w:rPr>
        <w:t> </w:t>
      </w:r>
      <w:r>
        <w:rPr/>
        <w:t>dictate</w:t>
      </w:r>
      <w:r>
        <w:rPr>
          <w:spacing w:val="15"/>
        </w:rPr>
        <w:t> </w:t>
      </w:r>
      <w:r>
        <w:rPr/>
        <w:t>that</w:t>
      </w:r>
      <w:r>
        <w:rPr>
          <w:spacing w:val="15"/>
        </w:rPr>
        <w:t> </w:t>
      </w:r>
      <w:r>
        <w:rPr/>
        <w:t>all</w:t>
      </w:r>
      <w:r>
        <w:rPr>
          <w:spacing w:val="15"/>
        </w:rPr>
        <w:t> </w:t>
      </w:r>
      <w:r>
        <w:rPr/>
        <w:t>thrown</w:t>
      </w:r>
      <w:r>
        <w:rPr>
          <w:spacing w:val="15"/>
        </w:rPr>
        <w:t> </w:t>
      </w:r>
      <w:r>
        <w:rPr/>
        <w:t>passes</w:t>
      </w:r>
      <w:r>
        <w:rPr>
          <w:spacing w:val="15"/>
        </w:rPr>
        <w:t> </w:t>
      </w:r>
      <w:r>
        <w:rPr/>
        <w:t>must</w:t>
      </w:r>
    </w:p>
    <w:p>
      <w:pPr>
        <w:spacing w:after="0" w:line="312" w:lineRule="auto"/>
        <w:sectPr>
          <w:type w:val="continuous"/>
          <w:pgSz w:w="11910" w:h="16840"/>
          <w:pgMar w:header="1961" w:footer="1428" w:top="1920" w:bottom="28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be</w:t>
      </w:r>
      <w:r>
        <w:rPr>
          <w:spacing w:val="-1"/>
        </w:rPr>
        <w:t> </w:t>
      </w:r>
      <w:r>
        <w:rPr/>
        <w:t>directed</w:t>
      </w:r>
      <w:r>
        <w:rPr>
          <w:spacing w:val="-1"/>
        </w:rPr>
        <w:t> </w:t>
      </w:r>
      <w:r>
        <w:rPr/>
        <w:t>backwards.</w:t>
      </w:r>
      <w:r>
        <w:rPr>
          <w:spacing w:val="21"/>
        </w:rPr>
        <w:t> </w:t>
      </w:r>
      <w:r>
        <w:rPr/>
        <w:t>There</w:t>
      </w:r>
      <w:r>
        <w:rPr>
          <w:spacing w:val="-1"/>
        </w:rPr>
        <w:t> </w:t>
      </w:r>
      <w:r>
        <w:rPr/>
        <w:t>would</w:t>
      </w:r>
      <w:r>
        <w:rPr>
          <w:spacing w:val="-1"/>
        </w:rPr>
        <w:t> </w:t>
      </w:r>
      <w:r>
        <w:rPr/>
        <w:t>be</w:t>
      </w:r>
      <w:r>
        <w:rPr>
          <w:spacing w:val="-1"/>
        </w:rPr>
        <w:t> </w:t>
      </w:r>
      <w:r>
        <w:rPr/>
        <w:t>great</w:t>
      </w:r>
      <w:r>
        <w:rPr>
          <w:spacing w:val="-1"/>
        </w:rPr>
        <w:t> </w:t>
      </w:r>
      <w:r>
        <w:rPr/>
        <w:t>value</w:t>
      </w:r>
      <w:r>
        <w:rPr>
          <w:spacing w:val="-1"/>
        </w:rPr>
        <w:t> </w:t>
      </w:r>
      <w:r>
        <w:rPr/>
        <w:t>in</w:t>
      </w:r>
      <w:r>
        <w:rPr>
          <w:spacing w:val="-1"/>
        </w:rPr>
        <w:t> </w:t>
      </w:r>
      <w:r>
        <w:rPr/>
        <w:t>adapting</w:t>
      </w:r>
      <w:r>
        <w:rPr>
          <w:spacing w:val="-1"/>
        </w:rPr>
        <w:t> </w:t>
      </w:r>
      <w:r>
        <w:rPr/>
        <w:t>the</w:t>
      </w:r>
      <w:r>
        <w:rPr>
          <w:spacing w:val="-1"/>
        </w:rPr>
        <w:t> </w:t>
      </w:r>
      <w:r>
        <w:rPr/>
        <w:t>methods</w:t>
      </w:r>
      <w:r>
        <w:rPr>
          <w:spacing w:val="-1"/>
        </w:rPr>
        <w:t> </w:t>
      </w:r>
      <w:r>
        <w:rPr/>
        <w:t>for</w:t>
      </w:r>
      <w:r>
        <w:rPr>
          <w:spacing w:val="-1"/>
        </w:rPr>
        <w:t> </w:t>
      </w:r>
      <w:r>
        <w:rPr/>
        <w:t>use</w:t>
      </w:r>
      <w:r>
        <w:rPr>
          <w:spacing w:val="-1"/>
        </w:rPr>
        <w:t> </w:t>
      </w:r>
      <w:r>
        <w:rPr/>
        <w:t>with kicking actions, but these actions occur 10 times less frequently than passes so the need for a model of this type in rugby league is questionable.</w:t>
      </w:r>
      <w:r>
        <w:rPr>
          <w:spacing w:val="26"/>
        </w:rPr>
        <w:t> </w:t>
      </w:r>
      <w:r>
        <w:rPr/>
        <w:t>Regardless, tracking data is not available</w:t>
      </w:r>
      <w:r>
        <w:rPr>
          <w:spacing w:val="-9"/>
        </w:rPr>
        <w:t> </w:t>
      </w:r>
      <w:r>
        <w:rPr/>
        <w:t>in</w:t>
      </w:r>
      <w:r>
        <w:rPr>
          <w:spacing w:val="-9"/>
        </w:rPr>
        <w:t> </w:t>
      </w:r>
      <w:r>
        <w:rPr/>
        <w:t>the</w:t>
      </w:r>
      <w:r>
        <w:rPr>
          <w:spacing w:val="-9"/>
        </w:rPr>
        <w:t> </w:t>
      </w:r>
      <w:r>
        <w:rPr/>
        <w:t>sport</w:t>
      </w:r>
      <w:r>
        <w:rPr>
          <w:spacing w:val="-9"/>
        </w:rPr>
        <w:t> </w:t>
      </w:r>
      <w:r>
        <w:rPr/>
        <w:t>so</w:t>
      </w:r>
      <w:r>
        <w:rPr>
          <w:spacing w:val="-9"/>
        </w:rPr>
        <w:t> </w:t>
      </w:r>
      <w:r>
        <w:rPr/>
        <w:t>it</w:t>
      </w:r>
      <w:r>
        <w:rPr>
          <w:spacing w:val="-9"/>
        </w:rPr>
        <w:t> </w:t>
      </w:r>
      <w:r>
        <w:rPr/>
        <w:t>is</w:t>
      </w:r>
      <w:r>
        <w:rPr>
          <w:spacing w:val="-9"/>
        </w:rPr>
        <w:t> </w:t>
      </w:r>
      <w:r>
        <w:rPr/>
        <w:t>not</w:t>
      </w:r>
      <w:r>
        <w:rPr>
          <w:spacing w:val="-9"/>
        </w:rPr>
        <w:t> </w:t>
      </w:r>
      <w:r>
        <w:rPr/>
        <w:t>yet</w:t>
      </w:r>
      <w:r>
        <w:rPr>
          <w:spacing w:val="-9"/>
        </w:rPr>
        <w:t> </w:t>
      </w:r>
      <w:r>
        <w:rPr/>
        <w:t>possible</w:t>
      </w:r>
      <w:r>
        <w:rPr>
          <w:spacing w:val="-9"/>
        </w:rPr>
        <w:t> </w:t>
      </w:r>
      <w:r>
        <w:rPr/>
        <w:t>to</w:t>
      </w:r>
      <w:r>
        <w:rPr>
          <w:spacing w:val="-9"/>
        </w:rPr>
        <w:t> </w:t>
      </w:r>
      <w:r>
        <w:rPr/>
        <w:t>adapt</w:t>
      </w:r>
      <w:r>
        <w:rPr>
          <w:spacing w:val="-9"/>
        </w:rPr>
        <w:t> </w:t>
      </w:r>
      <w:r>
        <w:rPr/>
        <w:t>and</w:t>
      </w:r>
      <w:r>
        <w:rPr>
          <w:spacing w:val="-9"/>
        </w:rPr>
        <w:t> </w:t>
      </w:r>
      <w:r>
        <w:rPr/>
        <w:t>validate</w:t>
      </w:r>
      <w:r>
        <w:rPr>
          <w:spacing w:val="-9"/>
        </w:rPr>
        <w:t> </w:t>
      </w:r>
      <w:r>
        <w:rPr/>
        <w:t>the</w:t>
      </w:r>
      <w:r>
        <w:rPr>
          <w:spacing w:val="-9"/>
        </w:rPr>
        <w:t> </w:t>
      </w:r>
      <w:r>
        <w:rPr/>
        <w:t>methods</w:t>
      </w:r>
      <w:r>
        <w:rPr>
          <w:spacing w:val="-9"/>
        </w:rPr>
        <w:t> </w:t>
      </w:r>
      <w:r>
        <w:rPr/>
        <w:t>previously used in football </w:t>
      </w:r>
      <w:r>
        <w:rPr>
          <w:spacing w:val="7"/>
        </w:rPr>
        <w:t>(</w:t>
      </w:r>
      <w:hyperlink w:history="true" w:anchor="_bookmark241">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1"/>
          </w:rPr>
          <w:t> </w:t>
        </w:r>
        <w:r>
          <w:rPr>
            <w:color w:val="FF0000"/>
          </w:rPr>
          <w:t>and Bornn</w:t>
        </w:r>
      </w:hyperlink>
      <w:r>
        <w:rPr/>
        <w:t>,</w:t>
      </w:r>
      <w:hyperlink w:history="true" w:anchor="_bookmark241">
        <w:r>
          <w:rPr>
            <w:color w:val="FF0000"/>
          </w:rPr>
          <w:t>2018</w:t>
        </w:r>
        <w:r>
          <w:rPr/>
          <w:t>;</w:t>
        </w:r>
      </w:hyperlink>
      <w:hyperlink w:history="true" w:anchor="_bookmark298">
        <w:r>
          <w:rPr>
            <w:color w:val="FF0000"/>
          </w:rPr>
          <w:t>Spearman et al.</w:t>
        </w:r>
        <w:r>
          <w:rPr/>
          <w:t>,</w:t>
        </w:r>
      </w:hyperlink>
      <w:r>
        <w:rPr>
          <w:color w:val="FF0000"/>
        </w:rPr>
        <w:t>2017</w:t>
      </w:r>
      <w:hyperlink w:history="true" w:anchor="_bookmark298">
        <w:r>
          <w:rPr/>
          <w:t>)</w:t>
        </w:r>
      </w:hyperlink>
      <w:r>
        <w:rPr/>
        <w:t> in rugby league.</w:t>
      </w:r>
    </w:p>
    <w:p>
      <w:pPr>
        <w:pStyle w:val="BodyText"/>
        <w:spacing w:line="312" w:lineRule="auto"/>
        <w:ind w:left="610" w:right="389" w:firstLine="351"/>
      </w:pPr>
      <w:r>
        <w:rPr/>
        <w:t>Unlike the football studies </w:t>
      </w:r>
      <w:r>
        <w:rPr>
          <w:spacing w:val="7"/>
        </w:rPr>
        <w:t>(</w:t>
      </w:r>
      <w:hyperlink w:history="true" w:anchor="_bookmark241">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1"/>
          </w:rPr>
          <w:t> </w:t>
        </w:r>
        <w:r>
          <w:rPr>
            <w:color w:val="FF0000"/>
          </w:rPr>
          <w:t>and Bornn</w:t>
        </w:r>
      </w:hyperlink>
      <w:r>
        <w:rPr/>
        <w:t>,</w:t>
      </w:r>
      <w:hyperlink w:history="true" w:anchor="_bookmark241">
        <w:r>
          <w:rPr>
            <w:color w:val="FF0000"/>
          </w:rPr>
          <w:t>2018</w:t>
        </w:r>
        <w:r>
          <w:rPr/>
          <w:t>;</w:t>
        </w:r>
      </w:hyperlink>
      <w:hyperlink w:history="true" w:anchor="_bookmark298">
        <w:r>
          <w:rPr>
            <w:color w:val="FF0000"/>
          </w:rPr>
          <w:t>Spearman et al.</w:t>
        </w:r>
        <w:r>
          <w:rPr/>
          <w:t>,</w:t>
        </w:r>
      </w:hyperlink>
      <w:r>
        <w:rPr>
          <w:color w:val="FF0000"/>
        </w:rPr>
        <w:t>2017</w:t>
      </w:r>
      <w:hyperlink w:history="true" w:anchor="_bookmark298">
        <w:r>
          <w:rPr/>
          <w:t>),</w:t>
        </w:r>
      </w:hyperlink>
      <w:r>
        <w:rPr/>
        <w:t> the work of</w:t>
      </w:r>
      <w:hyperlink w:history="true" w:anchor="_bookmark271">
        <w:r>
          <w:rPr>
            <w:color w:val="FF0000"/>
          </w:rPr>
          <w:t>Mallepalle et al.</w:t>
        </w:r>
        <w:r>
          <w:rPr/>
          <w:t>(</w:t>
        </w:r>
      </w:hyperlink>
      <w:hyperlink w:history="true" w:anchor="_bookmark271">
        <w:r>
          <w:rPr>
            <w:color w:val="FF0000"/>
          </w:rPr>
          <w:t>2020</w:t>
        </w:r>
        <w:r>
          <w:rPr/>
          <w:t>)</w:t>
        </w:r>
      </w:hyperlink>
      <w:r>
        <w:rPr/>
        <w:t> in American football could be adapted and validated in rugby</w:t>
      </w:r>
      <w:r>
        <w:rPr>
          <w:spacing w:val="38"/>
        </w:rPr>
        <w:t> </w:t>
      </w:r>
      <w:r>
        <w:rPr/>
        <w:t>league</w:t>
      </w:r>
      <w:r>
        <w:rPr>
          <w:spacing w:val="38"/>
        </w:rPr>
        <w:t> </w:t>
      </w:r>
      <w:r>
        <w:rPr/>
        <w:t>with</w:t>
      </w:r>
      <w:r>
        <w:rPr>
          <w:spacing w:val="38"/>
        </w:rPr>
        <w:t> </w:t>
      </w:r>
      <w:r>
        <w:rPr/>
        <w:t>some</w:t>
      </w:r>
      <w:r>
        <w:rPr>
          <w:spacing w:val="38"/>
        </w:rPr>
        <w:t> </w:t>
      </w:r>
      <w:r>
        <w:rPr/>
        <w:t>small</w:t>
      </w:r>
      <w:r>
        <w:rPr>
          <w:spacing w:val="38"/>
        </w:rPr>
        <w:t> </w:t>
      </w:r>
      <w:r>
        <w:rPr/>
        <w:t>changes.</w:t>
      </w:r>
      <w:hyperlink w:history="true" w:anchor="_bookmark271">
        <w:r>
          <w:rPr>
            <w:color w:val="FF0000"/>
          </w:rPr>
          <w:t>Mallepalle</w:t>
        </w:r>
        <w:r>
          <w:rPr>
            <w:color w:val="FF0000"/>
            <w:spacing w:val="38"/>
          </w:rPr>
          <w:t> </w:t>
        </w:r>
        <w:r>
          <w:rPr>
            <w:color w:val="FF0000"/>
          </w:rPr>
          <w:t>et</w:t>
        </w:r>
        <w:r>
          <w:rPr>
            <w:color w:val="FF0000"/>
            <w:spacing w:val="38"/>
          </w:rPr>
          <w:t> </w:t>
        </w:r>
        <w:r>
          <w:rPr>
            <w:color w:val="FF0000"/>
          </w:rPr>
          <w:t>al.</w:t>
        </w:r>
        <w:r>
          <w:rPr/>
          <w:t>(</w:t>
        </w:r>
      </w:hyperlink>
      <w:r>
        <w:rPr>
          <w:color w:val="FF0000"/>
        </w:rPr>
        <w:t>2020</w:t>
      </w:r>
      <w:hyperlink w:history="true" w:anchor="_bookmark271">
        <w:r>
          <w:rPr/>
          <w:t>)</w:t>
        </w:r>
      </w:hyperlink>
      <w:r>
        <w:rPr>
          <w:spacing w:val="38"/>
        </w:rPr>
        <w:t> </w:t>
      </w:r>
      <w:r>
        <w:rPr/>
        <w:t>used</w:t>
      </w:r>
      <w:r>
        <w:rPr>
          <w:spacing w:val="38"/>
        </w:rPr>
        <w:t> </w:t>
      </w:r>
      <w:r>
        <w:rPr/>
        <w:t>KDEs</w:t>
      </w:r>
      <w:r>
        <w:rPr>
          <w:spacing w:val="38"/>
        </w:rPr>
        <w:t> </w:t>
      </w:r>
      <w:r>
        <w:rPr/>
        <w:t>to</w:t>
      </w:r>
      <w:r>
        <w:rPr>
          <w:spacing w:val="38"/>
        </w:rPr>
        <w:t> </w:t>
      </w:r>
      <w:r>
        <w:rPr/>
        <w:t>calcu- late quarterback pass probability distributions from 27,121 quarterback passes.</w:t>
      </w:r>
      <w:r>
        <w:rPr>
          <w:spacing w:val="26"/>
        </w:rPr>
        <w:t> </w:t>
      </w:r>
      <w:r>
        <w:rPr/>
        <w:t>In </w:t>
      </w:r>
      <w:r>
        <w:rPr/>
        <w:t>rugby league,</w:t>
      </w:r>
      <w:r>
        <w:rPr>
          <w:spacing w:val="38"/>
        </w:rPr>
        <w:t> </w:t>
      </w:r>
      <w:r>
        <w:rPr/>
        <w:t>adopting</w:t>
      </w:r>
      <w:r>
        <w:rPr>
          <w:spacing w:val="29"/>
        </w:rPr>
        <w:t> </w:t>
      </w:r>
      <w:r>
        <w:rPr/>
        <w:t>this</w:t>
      </w:r>
      <w:r>
        <w:rPr>
          <w:spacing w:val="29"/>
        </w:rPr>
        <w:t> </w:t>
      </w:r>
      <w:r>
        <w:rPr/>
        <w:t>analysis</w:t>
      </w:r>
      <w:r>
        <w:rPr>
          <w:spacing w:val="29"/>
        </w:rPr>
        <w:t> </w:t>
      </w:r>
      <w:r>
        <w:rPr/>
        <w:t>at</w:t>
      </w:r>
      <w:r>
        <w:rPr>
          <w:spacing w:val="29"/>
        </w:rPr>
        <w:t> </w:t>
      </w:r>
      <w:r>
        <w:rPr/>
        <w:t>a</w:t>
      </w:r>
      <w:r>
        <w:rPr>
          <w:spacing w:val="29"/>
        </w:rPr>
        <w:t> </w:t>
      </w:r>
      <w:r>
        <w:rPr/>
        <w:t>player</w:t>
      </w:r>
      <w:r>
        <w:rPr>
          <w:spacing w:val="29"/>
        </w:rPr>
        <w:t> </w:t>
      </w:r>
      <w:r>
        <w:rPr/>
        <w:t>level</w:t>
      </w:r>
      <w:r>
        <w:rPr>
          <w:spacing w:val="29"/>
        </w:rPr>
        <w:t> </w:t>
      </w:r>
      <w:r>
        <w:rPr/>
        <w:t>makes</w:t>
      </w:r>
      <w:r>
        <w:rPr>
          <w:spacing w:val="29"/>
        </w:rPr>
        <w:t> </w:t>
      </w:r>
      <w:r>
        <w:rPr/>
        <w:t>limited</w:t>
      </w:r>
      <w:r>
        <w:rPr>
          <w:spacing w:val="29"/>
        </w:rPr>
        <w:t> </w:t>
      </w:r>
      <w:r>
        <w:rPr/>
        <w:t>sense</w:t>
      </w:r>
      <w:r>
        <w:rPr>
          <w:spacing w:val="29"/>
        </w:rPr>
        <w:t> </w:t>
      </w:r>
      <w:r>
        <w:rPr/>
        <w:t>as</w:t>
      </w:r>
      <w:r>
        <w:rPr>
          <w:spacing w:val="29"/>
        </w:rPr>
        <w:t> </w:t>
      </w:r>
      <w:r>
        <w:rPr/>
        <w:t>thrown</w:t>
      </w:r>
      <w:r>
        <w:rPr>
          <w:spacing w:val="29"/>
        </w:rPr>
        <w:t> </w:t>
      </w:r>
      <w:r>
        <w:rPr/>
        <w:t>passes must travel backwards and kicks don’t happen frequently enough for tactical value to be gleaned from the analysis.</w:t>
      </w:r>
      <w:r>
        <w:rPr>
          <w:spacing w:val="40"/>
        </w:rPr>
        <w:t> </w:t>
      </w:r>
      <w:r>
        <w:rPr/>
        <w:t>However, adopting a similar KDE approach at a team level could be extremely valuable as it may provide an insight into areas on the pitch where a team is most likely to control the ball and thus an indication of the spatial trends of their attacking performances.</w:t>
      </w:r>
      <w:r>
        <w:rPr>
          <w:spacing w:val="40"/>
        </w:rPr>
        <w:t> </w:t>
      </w:r>
      <w:r>
        <w:rPr/>
        <w:t>Furthermore, it may be possible to compare these distributions within teams against different opponents or between teams to identify teams who per-</w:t>
      </w:r>
      <w:r>
        <w:rPr>
          <w:spacing w:val="40"/>
        </w:rPr>
        <w:t> </w:t>
      </w:r>
      <w:r>
        <w:rPr/>
        <w:t>form in a similar or dissimilar manner.</w:t>
      </w:r>
      <w:hyperlink w:history="true" w:anchor="_bookmark271">
        <w:r>
          <w:rPr>
            <w:color w:val="FF0000"/>
          </w:rPr>
          <w:t>Mallepalle et al.</w:t>
        </w:r>
        <w:r>
          <w:rPr/>
          <w:t>(</w:t>
        </w:r>
      </w:hyperlink>
      <w:r>
        <w:rPr>
          <w:color w:val="FF0000"/>
        </w:rPr>
        <w:t>2020</w:t>
      </w:r>
      <w:hyperlink w:history="true" w:anchor="_bookmark271">
        <w:r>
          <w:rPr/>
          <w:t>)</w:t>
        </w:r>
      </w:hyperlink>
      <w:r>
        <w:rPr/>
        <w:t> did not directly quantify the differences between players in their study so there is scope for the development of a novel metric, which is able to quantify the differences in spatial trends of attacking per- formances between and within teams.</w:t>
      </w:r>
      <w:r>
        <w:rPr>
          <w:spacing w:val="30"/>
        </w:rPr>
        <w:t> </w:t>
      </w:r>
      <w:r>
        <w:rPr/>
        <w:t>Coaches may be able to use this understanding to develop tactical strategies for future matches.</w:t>
      </w:r>
    </w:p>
    <w:p>
      <w:pPr>
        <w:pStyle w:val="BodyText"/>
        <w:spacing w:before="3"/>
        <w:rPr>
          <w:sz w:val="34"/>
        </w:rPr>
      </w:pPr>
    </w:p>
    <w:p>
      <w:pPr>
        <w:pStyle w:val="Heading3"/>
        <w:numPr>
          <w:ilvl w:val="2"/>
          <w:numId w:val="17"/>
        </w:numPr>
        <w:tabs>
          <w:tab w:pos="1471" w:val="left" w:leader="none"/>
          <w:tab w:pos="1472" w:val="left" w:leader="none"/>
        </w:tabs>
        <w:spacing w:line="240" w:lineRule="auto" w:before="0" w:after="0"/>
        <w:ind w:left="1471" w:right="0" w:hanging="862"/>
        <w:jc w:val="left"/>
      </w:pPr>
      <w:bookmarkStart w:name="_TOC_250048" w:id="85"/>
      <w:bookmarkStart w:name="2.4.2 Expected Possession Value Models" w:id="86"/>
      <w:r>
        <w:rPr>
          <w:b w:val="0"/>
        </w:rPr>
      </w:r>
      <w:bookmarkStart w:name="_bookmark46" w:id="87"/>
      <w:bookmarkEnd w:id="87"/>
      <w:r>
        <w:rPr/>
        <w:t>Expected</w:t>
      </w:r>
      <w:r>
        <w:rPr>
          <w:spacing w:val="10"/>
        </w:rPr>
        <w:t> </w:t>
      </w:r>
      <w:r>
        <w:rPr/>
        <w:t>Possession</w:t>
      </w:r>
      <w:r>
        <w:rPr>
          <w:spacing w:val="10"/>
        </w:rPr>
        <w:t> </w:t>
      </w:r>
      <w:r>
        <w:rPr/>
        <w:t>Value</w:t>
      </w:r>
      <w:r>
        <w:rPr>
          <w:spacing w:val="10"/>
        </w:rPr>
        <w:t> </w:t>
      </w:r>
      <w:bookmarkEnd w:id="85"/>
      <w:r>
        <w:rPr>
          <w:spacing w:val="-2"/>
        </w:rPr>
        <w:t>Models</w:t>
      </w:r>
    </w:p>
    <w:p>
      <w:pPr>
        <w:pStyle w:val="BodyText"/>
        <w:spacing w:line="312" w:lineRule="auto" w:before="236"/>
        <w:ind w:left="610" w:right="389"/>
      </w:pPr>
      <w:r>
        <w:rPr/>
        <w:t>Recall from Definition</w:t>
      </w:r>
      <w:hyperlink w:history="true" w:anchor="_bookmark23">
        <w:r>
          <w:rPr>
            <w:color w:val="0000FF"/>
          </w:rPr>
          <w:t>2.2.2</w:t>
        </w:r>
      </w:hyperlink>
      <w:r>
        <w:rPr/>
        <w:t>that EPV models value player and team performances based on the probability of points/goals being scored conditional on the location of the </w:t>
      </w:r>
      <w:r>
        <w:rPr/>
        <w:t>action. The</w:t>
      </w:r>
      <w:r>
        <w:rPr>
          <w:spacing w:val="-14"/>
        </w:rPr>
        <w:t> </w:t>
      </w:r>
      <w:r>
        <w:rPr/>
        <w:t>literature</w:t>
      </w:r>
      <w:r>
        <w:rPr>
          <w:spacing w:val="-14"/>
        </w:rPr>
        <w:t> </w:t>
      </w:r>
      <w:r>
        <w:rPr/>
        <w:t>surrounding</w:t>
      </w:r>
      <w:r>
        <w:rPr>
          <w:spacing w:val="-14"/>
        </w:rPr>
        <w:t> </w:t>
      </w:r>
      <w:r>
        <w:rPr/>
        <w:t>EPV</w:t>
      </w:r>
      <w:r>
        <w:rPr>
          <w:spacing w:val="-14"/>
        </w:rPr>
        <w:t> </w:t>
      </w:r>
      <w:r>
        <w:rPr/>
        <w:t>models,</w:t>
      </w:r>
      <w:r>
        <w:rPr>
          <w:spacing w:val="-12"/>
        </w:rPr>
        <w:t> </w:t>
      </w:r>
      <w:r>
        <w:rPr/>
        <w:t>whilst</w:t>
      </w:r>
      <w:r>
        <w:rPr>
          <w:spacing w:val="-14"/>
        </w:rPr>
        <w:t> </w:t>
      </w:r>
      <w:r>
        <w:rPr/>
        <w:t>still</w:t>
      </w:r>
      <w:r>
        <w:rPr>
          <w:spacing w:val="-14"/>
        </w:rPr>
        <w:t> </w:t>
      </w:r>
      <w:r>
        <w:rPr/>
        <w:t>developing,</w:t>
      </w:r>
      <w:r>
        <w:rPr>
          <w:spacing w:val="-12"/>
        </w:rPr>
        <w:t> </w:t>
      </w:r>
      <w:r>
        <w:rPr/>
        <w:t>is</w:t>
      </w:r>
      <w:r>
        <w:rPr>
          <w:spacing w:val="-14"/>
        </w:rPr>
        <w:t> </w:t>
      </w:r>
      <w:r>
        <w:rPr/>
        <w:t>much</w:t>
      </w:r>
      <w:r>
        <w:rPr>
          <w:spacing w:val="-14"/>
        </w:rPr>
        <w:t> </w:t>
      </w:r>
      <w:r>
        <w:rPr/>
        <w:t>more</w:t>
      </w:r>
      <w:r>
        <w:rPr>
          <w:spacing w:val="-14"/>
        </w:rPr>
        <w:t> </w:t>
      </w:r>
      <w:r>
        <w:rPr/>
        <w:t>widespread than</w:t>
      </w:r>
      <w:r>
        <w:rPr>
          <w:spacing w:val="-13"/>
        </w:rPr>
        <w:t> </w:t>
      </w:r>
      <w:r>
        <w:rPr/>
        <w:t>the</w:t>
      </w:r>
      <w:r>
        <w:rPr>
          <w:spacing w:val="-13"/>
        </w:rPr>
        <w:t> </w:t>
      </w:r>
      <w:r>
        <w:rPr/>
        <w:t>research</w:t>
      </w:r>
      <w:r>
        <w:rPr>
          <w:spacing w:val="-13"/>
        </w:rPr>
        <w:t> </w:t>
      </w:r>
      <w:r>
        <w:rPr/>
        <w:t>considering</w:t>
      </w:r>
      <w:r>
        <w:rPr>
          <w:spacing w:val="-13"/>
        </w:rPr>
        <w:t> </w:t>
      </w:r>
      <w:r>
        <w:rPr/>
        <w:t>the</w:t>
      </w:r>
      <w:r>
        <w:rPr>
          <w:spacing w:val="-13"/>
        </w:rPr>
        <w:t> </w:t>
      </w:r>
      <w:r>
        <w:rPr/>
        <w:t>spatial</w:t>
      </w:r>
      <w:r>
        <w:rPr>
          <w:spacing w:val="-13"/>
        </w:rPr>
        <w:t> </w:t>
      </w:r>
      <w:r>
        <w:rPr/>
        <w:t>trends</w:t>
      </w:r>
      <w:r>
        <w:rPr>
          <w:spacing w:val="-13"/>
        </w:rPr>
        <w:t> </w:t>
      </w:r>
      <w:r>
        <w:rPr/>
        <w:t>of</w:t>
      </w:r>
      <w:r>
        <w:rPr>
          <w:spacing w:val="-13"/>
        </w:rPr>
        <w:t> </w:t>
      </w:r>
      <w:r>
        <w:rPr/>
        <w:t>attacking</w:t>
      </w:r>
      <w:r>
        <w:rPr>
          <w:spacing w:val="-13"/>
        </w:rPr>
        <w:t> </w:t>
      </w:r>
      <w:r>
        <w:rPr/>
        <w:t>performances. A</w:t>
      </w:r>
      <w:r>
        <w:rPr>
          <w:spacing w:val="-13"/>
        </w:rPr>
        <w:t> </w:t>
      </w:r>
      <w:r>
        <w:rPr/>
        <w:t>wide</w:t>
      </w:r>
      <w:r>
        <w:rPr>
          <w:spacing w:val="-13"/>
        </w:rPr>
        <w:t> </w:t>
      </w:r>
      <w:r>
        <w:rPr/>
        <w:t>variety of</w:t>
      </w:r>
      <w:r>
        <w:rPr>
          <w:spacing w:val="-15"/>
        </w:rPr>
        <w:t> </w:t>
      </w:r>
      <w:r>
        <w:rPr/>
        <w:t>analytical</w:t>
      </w:r>
      <w:r>
        <w:rPr>
          <w:spacing w:val="-15"/>
        </w:rPr>
        <w:t> </w:t>
      </w:r>
      <w:r>
        <w:rPr/>
        <w:t>methods</w:t>
      </w:r>
      <w:r>
        <w:rPr>
          <w:spacing w:val="-15"/>
        </w:rPr>
        <w:t> </w:t>
      </w:r>
      <w:r>
        <w:rPr/>
        <w:t>have</w:t>
      </w:r>
      <w:r>
        <w:rPr>
          <w:spacing w:val="-15"/>
        </w:rPr>
        <w:t> </w:t>
      </w:r>
      <w:r>
        <w:rPr/>
        <w:t>been</w:t>
      </w:r>
      <w:r>
        <w:rPr>
          <w:spacing w:val="-15"/>
        </w:rPr>
        <w:t> </w:t>
      </w:r>
      <w:r>
        <w:rPr/>
        <w:t>adopted,</w:t>
      </w:r>
      <w:r>
        <w:rPr>
          <w:spacing w:val="-15"/>
        </w:rPr>
        <w:t> </w:t>
      </w:r>
      <w:r>
        <w:rPr/>
        <w:t>including</w:t>
      </w:r>
      <w:r>
        <w:rPr>
          <w:spacing w:val="-15"/>
        </w:rPr>
        <w:t> </w:t>
      </w:r>
      <w:r>
        <w:rPr/>
        <w:t>deep</w:t>
      </w:r>
      <w:r>
        <w:rPr>
          <w:spacing w:val="-15"/>
        </w:rPr>
        <w:t> </w:t>
      </w:r>
      <w:r>
        <w:rPr/>
        <w:t>learning</w:t>
      </w:r>
      <w:r>
        <w:rPr>
          <w:spacing w:val="-15"/>
        </w:rPr>
        <w:t> </w:t>
      </w:r>
      <w:r>
        <w:rPr>
          <w:spacing w:val="7"/>
        </w:rPr>
        <w:t>(</w:t>
      </w:r>
      <w:hyperlink w:history="true" w:anchor="_bookmark243">
        <w:r>
          <w:rPr>
            <w:color w:val="FF0000"/>
            <w:spacing w:val="7"/>
          </w:rPr>
          <w:t>Fern</w:t>
        </w:r>
        <w:r>
          <w:rPr>
            <w:color w:val="FF0000"/>
            <w:spacing w:val="-86"/>
          </w:rPr>
          <w:t>a</w:t>
        </w:r>
        <w:r>
          <w:rPr>
            <w:color w:val="FF0000"/>
            <w:spacing w:val="20"/>
          </w:rPr>
          <w:t>´</w:t>
        </w:r>
        <w:r>
          <w:rPr>
            <w:color w:val="FF0000"/>
            <w:spacing w:val="7"/>
          </w:rPr>
          <w:t>ndez</w:t>
        </w:r>
        <w:r>
          <w:rPr>
            <w:color w:val="FF0000"/>
            <w:spacing w:val="-14"/>
          </w:rPr>
          <w:t> </w:t>
        </w:r>
        <w:r>
          <w:rPr>
            <w:color w:val="FF0000"/>
          </w:rPr>
          <w:t>et</w:t>
        </w:r>
        <w:r>
          <w:rPr>
            <w:color w:val="FF0000"/>
            <w:spacing w:val="-16"/>
          </w:rPr>
          <w:t> </w:t>
        </w:r>
        <w:r>
          <w:rPr>
            <w:color w:val="FF0000"/>
          </w:rPr>
          <w:t>al.</w:t>
        </w:r>
      </w:hyperlink>
      <w:r>
        <w:rPr/>
        <w:t>,</w:t>
      </w:r>
      <w:hyperlink w:history="true" w:anchor="_bookmark243">
        <w:r>
          <w:rPr>
            <w:color w:val="FF0000"/>
          </w:rPr>
          <w:t>2021</w:t>
        </w:r>
        <w:r>
          <w:rPr/>
          <w:t>;</w:t>
        </w:r>
      </w:hyperlink>
      <w:r>
        <w:rPr/>
        <w:t> </w:t>
      </w:r>
      <w:hyperlink w:history="true" w:anchor="_bookmark275">
        <w:r>
          <w:rPr>
            <w:color w:val="FF0000"/>
          </w:rPr>
          <w:t>Merhej</w:t>
        </w:r>
        <w:r>
          <w:rPr>
            <w:color w:val="FF0000"/>
            <w:spacing w:val="40"/>
          </w:rPr>
          <w:t> </w:t>
        </w:r>
        <w:r>
          <w:rPr>
            <w:color w:val="FF0000"/>
          </w:rPr>
          <w:t>et</w:t>
        </w:r>
        <w:r>
          <w:rPr>
            <w:color w:val="FF0000"/>
            <w:spacing w:val="40"/>
          </w:rPr>
          <w:t> </w:t>
        </w:r>
        <w:r>
          <w:rPr>
            <w:color w:val="FF0000"/>
          </w:rPr>
          <w:t>al.</w:t>
        </w:r>
      </w:hyperlink>
      <w:r>
        <w:rPr/>
        <w:t>,</w:t>
      </w:r>
      <w:hyperlink w:history="true" w:anchor="_bookmark275">
        <w:r>
          <w:rPr>
            <w:color w:val="FF0000"/>
          </w:rPr>
          <w:t>2021</w:t>
        </w:r>
        <w:r>
          <w:rPr/>
          <w:t>),</w:t>
        </w:r>
      </w:hyperlink>
      <w:r>
        <w:rPr>
          <w:spacing w:val="40"/>
        </w:rPr>
        <w:t> </w:t>
      </w:r>
      <w:r>
        <w:rPr/>
        <w:t>machine</w:t>
      </w:r>
      <w:r>
        <w:rPr>
          <w:spacing w:val="40"/>
        </w:rPr>
        <w:t> </w:t>
      </w:r>
      <w:r>
        <w:rPr/>
        <w:t>learning</w:t>
      </w:r>
      <w:r>
        <w:rPr>
          <w:spacing w:val="40"/>
        </w:rPr>
        <w:t> </w:t>
      </w:r>
      <w:r>
        <w:rPr/>
        <w:t>(</w:t>
      </w:r>
      <w:hyperlink w:history="true" w:anchor="_bookmark239">
        <w:r>
          <w:rPr>
            <w:color w:val="FF0000"/>
          </w:rPr>
          <w:t>Decroos</w:t>
        </w:r>
        <w:r>
          <w:rPr>
            <w:color w:val="FF0000"/>
            <w:spacing w:val="40"/>
          </w:rPr>
          <w:t> </w:t>
        </w:r>
        <w:r>
          <w:rPr>
            <w:color w:val="FF0000"/>
          </w:rPr>
          <w:t>et</w:t>
        </w:r>
        <w:r>
          <w:rPr>
            <w:color w:val="FF0000"/>
            <w:spacing w:val="40"/>
          </w:rPr>
          <w:t> </w:t>
        </w:r>
        <w:r>
          <w:rPr>
            <w:color w:val="FF0000"/>
          </w:rPr>
          <w:t>al.</w:t>
        </w:r>
        <w:r>
          <w:rPr/>
          <w:t>,</w:t>
        </w:r>
      </w:hyperlink>
      <w:r>
        <w:rPr>
          <w:color w:val="FF0000"/>
        </w:rPr>
        <w:t>2019</w:t>
      </w:r>
      <w:hyperlink w:history="true" w:anchor="_bookmark239">
        <w:r>
          <w:rPr/>
          <w:t>),</w:t>
        </w:r>
      </w:hyperlink>
      <w:r>
        <w:rPr>
          <w:spacing w:val="40"/>
        </w:rPr>
        <w:t> </w:t>
      </w:r>
      <w:r>
        <w:rPr/>
        <w:t>Markovian</w:t>
      </w:r>
      <w:r>
        <w:rPr>
          <w:spacing w:val="40"/>
        </w:rPr>
        <w:t> </w:t>
      </w:r>
      <w:r>
        <w:rPr/>
        <w:t>approaches (</w:t>
      </w:r>
      <w:hyperlink w:history="true" w:anchor="_bookmark232">
        <w:r>
          <w:rPr>
            <w:color w:val="FF0000"/>
          </w:rPr>
          <w:t>Chan et al.</w:t>
        </w:r>
      </w:hyperlink>
      <w:r>
        <w:rPr/>
        <w:t>,</w:t>
      </w:r>
      <w:hyperlink w:history="true" w:anchor="_bookmark232">
        <w:r>
          <w:rPr>
            <w:color w:val="FF0000"/>
          </w:rPr>
          <w:t>2021</w:t>
        </w:r>
        <w:r>
          <w:rPr/>
          <w:t>;</w:t>
        </w:r>
      </w:hyperlink>
      <w:r>
        <w:rPr>
          <w:color w:val="FF0000"/>
        </w:rPr>
        <w:t>Liu </w:t>
      </w:r>
      <w:hyperlink w:history="true" w:anchor="_bookmark269">
        <w:r>
          <w:rPr>
            <w:color w:val="FF0000"/>
          </w:rPr>
          <w:t>et al.</w:t>
        </w:r>
        <w:r>
          <w:rPr/>
          <w:t>,</w:t>
        </w:r>
      </w:hyperlink>
      <w:r>
        <w:rPr>
          <w:color w:val="FF0000"/>
        </w:rPr>
        <w:t>2020</w:t>
      </w:r>
      <w:hyperlink w:history="true" w:anchor="_bookmark269">
        <w:r>
          <w:rPr/>
          <w:t>;</w:t>
        </w:r>
      </w:hyperlink>
      <w:r>
        <w:rPr>
          <w:color w:val="FF0000"/>
        </w:rPr>
        <w:t>Liu </w:t>
      </w:r>
      <w:hyperlink w:history="true" w:anchor="_bookmark270">
        <w:r>
          <w:rPr>
            <w:color w:val="FF0000"/>
          </w:rPr>
          <w:t>and Schulte</w:t>
        </w:r>
        <w:r>
          <w:rPr/>
          <w:t>,</w:t>
        </w:r>
      </w:hyperlink>
      <w:r>
        <w:rPr>
          <w:color w:val="FF0000"/>
        </w:rPr>
        <w:t>2018</w:t>
      </w:r>
      <w:hyperlink w:history="true" w:anchor="_bookmark270">
        <w:r>
          <w:rPr/>
          <w:t>;</w:t>
        </w:r>
      </w:hyperlink>
      <w:r>
        <w:rPr>
          <w:color w:val="FF0000"/>
        </w:rPr>
        <w:t>Routle</w:t>
      </w:r>
      <w:hyperlink w:history="true" w:anchor="_bookmark287">
        <w:r>
          <w:rPr>
            <w:color w:val="FF0000"/>
          </w:rPr>
          <w:t>y and Schulte</w:t>
        </w:r>
        <w:r>
          <w:rPr/>
          <w:t>,</w:t>
        </w:r>
        <w:r>
          <w:rPr>
            <w:color w:val="FF0000"/>
          </w:rPr>
          <w:t>2015</w:t>
        </w:r>
      </w:hyperlink>
      <w:r>
        <w:rPr/>
        <w:t>; </w:t>
      </w:r>
      <w:hyperlink w:history="true" w:anchor="_bookmark294">
        <w:r>
          <w:rPr>
            <w:color w:val="FF0000"/>
          </w:rPr>
          <w:t>Singh</w:t>
        </w:r>
      </w:hyperlink>
      <w:r>
        <w:rPr/>
        <w:t>,</w:t>
      </w:r>
      <w:hyperlink w:history="true" w:anchor="_bookmark294">
        <w:r>
          <w:rPr>
            <w:color w:val="FF0000"/>
          </w:rPr>
          <w:t>n.d.</w:t>
        </w:r>
        <w:r>
          <w:rPr/>
          <w:t>)</w:t>
        </w:r>
      </w:hyperlink>
      <w:r>
        <w:rPr>
          <w:spacing w:val="40"/>
        </w:rPr>
        <w:t> </w:t>
      </w:r>
      <w:r>
        <w:rPr/>
        <w:t>and Bayesian analysis (</w:t>
      </w:r>
      <w:hyperlink w:history="true" w:anchor="_bookmark231">
        <w:r>
          <w:rPr>
            <w:color w:val="FF0000"/>
          </w:rPr>
          <w:t>Cervone et al.</w:t>
        </w:r>
        <w:r>
          <w:rPr/>
          <w:t>,</w:t>
        </w:r>
      </w:hyperlink>
      <w:r>
        <w:rPr>
          <w:color w:val="FF0000"/>
        </w:rPr>
        <w:t>2016</w:t>
      </w:r>
      <w:hyperlink w:history="true" w:anchor="_bookmark231">
        <w:r>
          <w:rPr/>
          <w:t>).</w:t>
        </w:r>
      </w:hyperlink>
      <w:r>
        <w:rPr>
          <w:spacing w:val="40"/>
        </w:rPr>
        <w:t> </w:t>
      </w:r>
      <w:r>
        <w:rPr/>
        <w:t>However, a central tenet of most EPV models is the adoption of Markovian principles to some extent regardless of</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the</w:t>
      </w:r>
      <w:r>
        <w:rPr>
          <w:spacing w:val="-14"/>
        </w:rPr>
        <w:t> </w:t>
      </w:r>
      <w:r>
        <w:rPr/>
        <w:t>specific</w:t>
      </w:r>
      <w:r>
        <w:rPr>
          <w:spacing w:val="-14"/>
        </w:rPr>
        <w:t> </w:t>
      </w:r>
      <w:r>
        <w:rPr/>
        <w:t>analytical</w:t>
      </w:r>
      <w:r>
        <w:rPr>
          <w:spacing w:val="-14"/>
        </w:rPr>
        <w:t> </w:t>
      </w:r>
      <w:r>
        <w:rPr/>
        <w:t>methods</w:t>
      </w:r>
      <w:r>
        <w:rPr>
          <w:spacing w:val="-14"/>
        </w:rPr>
        <w:t> </w:t>
      </w:r>
      <w:r>
        <w:rPr/>
        <w:t>employed. Such</w:t>
      </w:r>
      <w:r>
        <w:rPr>
          <w:spacing w:val="-14"/>
        </w:rPr>
        <w:t> </w:t>
      </w:r>
      <w:r>
        <w:rPr/>
        <w:t>usage</w:t>
      </w:r>
      <w:r>
        <w:rPr>
          <w:spacing w:val="-14"/>
        </w:rPr>
        <w:t> </w:t>
      </w:r>
      <w:r>
        <w:rPr/>
        <w:t>in</w:t>
      </w:r>
      <w:r>
        <w:rPr>
          <w:spacing w:val="-14"/>
        </w:rPr>
        <w:t> </w:t>
      </w:r>
      <w:r>
        <w:rPr/>
        <w:t>other</w:t>
      </w:r>
      <w:r>
        <w:rPr>
          <w:spacing w:val="-14"/>
        </w:rPr>
        <w:t> </w:t>
      </w:r>
      <w:r>
        <w:rPr/>
        <w:t>sports</w:t>
      </w:r>
      <w:r>
        <w:rPr>
          <w:spacing w:val="-14"/>
        </w:rPr>
        <w:t> </w:t>
      </w:r>
      <w:r>
        <w:rPr/>
        <w:t>with</w:t>
      </w:r>
      <w:r>
        <w:rPr>
          <w:spacing w:val="-14"/>
        </w:rPr>
        <w:t> </w:t>
      </w:r>
      <w:r>
        <w:rPr/>
        <w:t>more</w:t>
      </w:r>
      <w:r>
        <w:rPr>
          <w:spacing w:val="-14"/>
        </w:rPr>
        <w:t> </w:t>
      </w:r>
      <w:r>
        <w:rPr/>
        <w:t>advanced analyses than rugby league is positive given</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have already shown that a Markovian approach can be used in rugby league to generate interesting findings. Despite this, there are significant limitations relating to the application, adaptation and validation of EPV models from other sports in rugby league.</w:t>
      </w:r>
    </w:p>
    <w:p>
      <w:pPr>
        <w:pStyle w:val="BodyText"/>
        <w:spacing w:line="312" w:lineRule="auto"/>
        <w:ind w:left="610" w:right="389" w:firstLine="351"/>
      </w:pPr>
      <w:r>
        <w:rPr/>
        <w:t>The models of</w:t>
      </w:r>
      <w:hyperlink w:history="true" w:anchor="_bookmark243">
        <w:r>
          <w:rPr>
            <w:color w:val="FF0000"/>
          </w:rPr>
          <w:t>Fern </w:t>
        </w:r>
        <w:r>
          <w:rPr>
            <w:color w:val="FF0000"/>
            <w:spacing w:val="-80"/>
          </w:rPr>
          <w:t>a</w:t>
        </w:r>
        <w:r>
          <w:rPr>
            <w:color w:val="FF0000"/>
            <w:spacing w:val="26"/>
          </w:rPr>
          <w:t>´</w:t>
        </w:r>
        <w:r>
          <w:rPr>
            <w:color w:val="FF0000"/>
            <w:spacing w:val="13"/>
          </w:rPr>
          <w:t>ndez</w:t>
        </w:r>
        <w:r>
          <w:rPr>
            <w:color w:val="FF0000"/>
            <w:spacing w:val="-1"/>
          </w:rPr>
          <w:t> </w:t>
        </w:r>
        <w:r>
          <w:rPr>
            <w:color w:val="FF0000"/>
          </w:rPr>
          <w:t>et al.</w:t>
        </w:r>
      </w:hyperlink>
      <w:r>
        <w:rPr/>
        <w:t>(</w:t>
      </w:r>
      <w:hyperlink w:history="true" w:anchor="_bookmark243">
        <w:r>
          <w:rPr>
            <w:color w:val="FF0000"/>
          </w:rPr>
          <w:t>2021</w:t>
        </w:r>
        <w:r>
          <w:rPr/>
          <w:t>)</w:t>
        </w:r>
      </w:hyperlink>
      <w:r>
        <w:rPr/>
        <w:t> and</w:t>
      </w:r>
      <w:r>
        <w:rPr>
          <w:color w:val="FF0000"/>
        </w:rPr>
        <w:t>Cerv</w:t>
      </w:r>
      <w:hyperlink w:history="true" w:anchor="_bookmark231">
        <w:r>
          <w:rPr>
            <w:color w:val="FF0000"/>
          </w:rPr>
          <w:t>one et al.</w:t>
        </w:r>
        <w:r>
          <w:rPr/>
          <w:t>(</w:t>
        </w:r>
      </w:hyperlink>
      <w:r>
        <w:rPr>
          <w:color w:val="FF0000"/>
        </w:rPr>
        <w:t>2016</w:t>
      </w:r>
      <w:hyperlink w:history="true" w:anchor="_bookmark231">
        <w:r>
          <w:rPr/>
          <w:t>)</w:t>
        </w:r>
      </w:hyperlink>
      <w:r>
        <w:rPr/>
        <w:t> provide gold stan- dard</w:t>
      </w:r>
      <w:r>
        <w:rPr>
          <w:spacing w:val="-7"/>
        </w:rPr>
        <w:t> </w:t>
      </w:r>
      <w:r>
        <w:rPr/>
        <w:t>approaches</w:t>
      </w:r>
      <w:r>
        <w:rPr>
          <w:spacing w:val="-7"/>
        </w:rPr>
        <w:t> </w:t>
      </w:r>
      <w:r>
        <w:rPr/>
        <w:t>from</w:t>
      </w:r>
      <w:r>
        <w:rPr>
          <w:spacing w:val="-7"/>
        </w:rPr>
        <w:t> </w:t>
      </w:r>
      <w:r>
        <w:rPr/>
        <w:t>a</w:t>
      </w:r>
      <w:r>
        <w:rPr>
          <w:spacing w:val="-7"/>
        </w:rPr>
        <w:t> </w:t>
      </w:r>
      <w:r>
        <w:rPr/>
        <w:t>deep</w:t>
      </w:r>
      <w:r>
        <w:rPr>
          <w:spacing w:val="-7"/>
        </w:rPr>
        <w:t> </w:t>
      </w:r>
      <w:r>
        <w:rPr/>
        <w:t>learning</w:t>
      </w:r>
      <w:r>
        <w:rPr>
          <w:spacing w:val="-7"/>
        </w:rPr>
        <w:t> </w:t>
      </w:r>
      <w:r>
        <w:rPr/>
        <w:t>and</w:t>
      </w:r>
      <w:r>
        <w:rPr>
          <w:spacing w:val="-7"/>
        </w:rPr>
        <w:t> </w:t>
      </w:r>
      <w:r>
        <w:rPr/>
        <w:t>statistical</w:t>
      </w:r>
      <w:r>
        <w:rPr>
          <w:spacing w:val="-7"/>
        </w:rPr>
        <w:t> </w:t>
      </w:r>
      <w:r>
        <w:rPr/>
        <w:t>analysis</w:t>
      </w:r>
      <w:r>
        <w:rPr>
          <w:spacing w:val="-7"/>
        </w:rPr>
        <w:t> </w:t>
      </w:r>
      <w:r>
        <w:rPr/>
        <w:t>perspective. However,</w:t>
      </w:r>
      <w:r>
        <w:rPr>
          <w:spacing w:val="-7"/>
        </w:rPr>
        <w:t> </w:t>
      </w:r>
      <w:r>
        <w:rPr/>
        <w:t>both employ</w:t>
      </w:r>
      <w:r>
        <w:rPr>
          <w:spacing w:val="-8"/>
        </w:rPr>
        <w:t> </w:t>
      </w:r>
      <w:r>
        <w:rPr/>
        <w:t>tracking</w:t>
      </w:r>
      <w:r>
        <w:rPr>
          <w:spacing w:val="-8"/>
        </w:rPr>
        <w:t> </w:t>
      </w:r>
      <w:r>
        <w:rPr/>
        <w:t>data,</w:t>
      </w:r>
      <w:r>
        <w:rPr>
          <w:spacing w:val="-7"/>
        </w:rPr>
        <w:t> </w:t>
      </w:r>
      <w:r>
        <w:rPr/>
        <w:t>which</w:t>
      </w:r>
      <w:r>
        <w:rPr>
          <w:spacing w:val="-8"/>
        </w:rPr>
        <w:t> </w:t>
      </w:r>
      <w:r>
        <w:rPr/>
        <w:t>is</w:t>
      </w:r>
      <w:r>
        <w:rPr>
          <w:spacing w:val="-8"/>
        </w:rPr>
        <w:t> </w:t>
      </w:r>
      <w:r>
        <w:rPr/>
        <w:t>not</w:t>
      </w:r>
      <w:r>
        <w:rPr>
          <w:spacing w:val="-7"/>
        </w:rPr>
        <w:t> </w:t>
      </w:r>
      <w:r>
        <w:rPr/>
        <w:t>currently</w:t>
      </w:r>
      <w:r>
        <w:rPr>
          <w:spacing w:val="-7"/>
        </w:rPr>
        <w:t> </w:t>
      </w:r>
      <w:r>
        <w:rPr/>
        <w:t>available</w:t>
      </w:r>
      <w:r>
        <w:rPr>
          <w:spacing w:val="-8"/>
        </w:rPr>
        <w:t> </w:t>
      </w:r>
      <w:r>
        <w:rPr/>
        <w:t>in</w:t>
      </w:r>
      <w:r>
        <w:rPr>
          <w:spacing w:val="-8"/>
        </w:rPr>
        <w:t> </w:t>
      </w:r>
      <w:r>
        <w:rPr/>
        <w:t>rugby</w:t>
      </w:r>
      <w:r>
        <w:rPr>
          <w:spacing w:val="-8"/>
        </w:rPr>
        <w:t> </w:t>
      </w:r>
      <w:r>
        <w:rPr/>
        <w:t>league</w:t>
      </w:r>
      <w:r>
        <w:rPr>
          <w:spacing w:val="-8"/>
        </w:rPr>
        <w:t> </w:t>
      </w:r>
      <w:r>
        <w:rPr/>
        <w:t>and</w:t>
      </w:r>
      <w:r>
        <w:rPr>
          <w:spacing w:val="-7"/>
        </w:rPr>
        <w:t> </w:t>
      </w:r>
      <w:r>
        <w:rPr/>
        <w:t>so</w:t>
      </w:r>
      <w:r>
        <w:rPr>
          <w:spacing w:val="-8"/>
        </w:rPr>
        <w:t> </w:t>
      </w:r>
      <w:r>
        <w:rPr/>
        <w:t>they</w:t>
      </w:r>
      <w:r>
        <w:rPr>
          <w:spacing w:val="-8"/>
        </w:rPr>
        <w:t> </w:t>
      </w:r>
      <w:r>
        <w:rPr/>
        <w:t>cannot currently be applied to the sport.</w:t>
      </w:r>
      <w:r>
        <w:rPr>
          <w:spacing w:val="40"/>
        </w:rPr>
        <w:t> </w:t>
      </w:r>
      <w:r>
        <w:rPr/>
        <w:t>Similarly, although the work of</w:t>
      </w:r>
      <w:hyperlink w:history="true" w:anchor="_bookmark239">
        <w:r>
          <w:rPr>
            <w:color w:val="FF0000"/>
          </w:rPr>
          <w:t>Decroos et al.</w:t>
        </w:r>
        <w:r>
          <w:rPr/>
          <w:t>(</w:t>
        </w:r>
      </w:hyperlink>
      <w:r>
        <w:rPr>
          <w:color w:val="FF0000"/>
        </w:rPr>
        <w:t>2019</w:t>
      </w:r>
      <w:hyperlink w:history="true" w:anchor="_bookmark239">
        <w:r>
          <w:rPr/>
          <w:t>),</w:t>
        </w:r>
      </w:hyperlink>
      <w:r>
        <w:rPr/>
        <w:t> </w:t>
      </w:r>
      <w:hyperlink w:history="true" w:anchor="_bookmark270">
        <w:r>
          <w:rPr>
            <w:color w:val="FF0000"/>
          </w:rPr>
          <w:t>Liu and Schulte</w:t>
        </w:r>
      </w:hyperlink>
      <w:r>
        <w:rPr/>
        <w:t>(</w:t>
      </w:r>
      <w:hyperlink w:history="true" w:anchor="_bookmark270">
        <w:r>
          <w:rPr>
            <w:color w:val="FF0000"/>
          </w:rPr>
          <w:t>2018</w:t>
        </w:r>
        <w:r>
          <w:rPr/>
          <w:t>)</w:t>
        </w:r>
      </w:hyperlink>
      <w:r>
        <w:rPr/>
        <w:t> and</w:t>
      </w:r>
      <w:r>
        <w:rPr>
          <w:color w:val="FF0000"/>
        </w:rPr>
        <w:t>Liu </w:t>
      </w:r>
      <w:hyperlink w:history="true" w:anchor="_bookmark269">
        <w:r>
          <w:rPr>
            <w:color w:val="FF0000"/>
          </w:rPr>
          <w:t>et al.</w:t>
        </w:r>
        <w:r>
          <w:rPr/>
          <w:t>(</w:t>
        </w:r>
      </w:hyperlink>
      <w:r>
        <w:rPr>
          <w:color w:val="FF0000"/>
        </w:rPr>
        <w:t>2020</w:t>
      </w:r>
      <w:hyperlink w:history="true" w:anchor="_bookmark269">
        <w:r>
          <w:rPr/>
          <w:t>)</w:t>
        </w:r>
      </w:hyperlink>
      <w:r>
        <w:rPr/>
        <w:t> is valuable in the space of analysing event level</w:t>
      </w:r>
      <w:r>
        <w:rPr>
          <w:spacing w:val="-15"/>
        </w:rPr>
        <w:t> </w:t>
      </w:r>
      <w:r>
        <w:rPr/>
        <w:t>only</w:t>
      </w:r>
      <w:r>
        <w:rPr>
          <w:spacing w:val="-15"/>
        </w:rPr>
        <w:t> </w:t>
      </w:r>
      <w:r>
        <w:rPr/>
        <w:t>data,</w:t>
      </w:r>
      <w:r>
        <w:rPr>
          <w:spacing w:val="-15"/>
        </w:rPr>
        <w:t> </w:t>
      </w:r>
      <w:r>
        <w:rPr/>
        <w:t>the</w:t>
      </w:r>
      <w:r>
        <w:rPr>
          <w:spacing w:val="-15"/>
        </w:rPr>
        <w:t> </w:t>
      </w:r>
      <w:r>
        <w:rPr/>
        <w:t>amount</w:t>
      </w:r>
      <w:r>
        <w:rPr>
          <w:spacing w:val="-15"/>
        </w:rPr>
        <w:t> </w:t>
      </w:r>
      <w:r>
        <w:rPr/>
        <w:t>of</w:t>
      </w:r>
      <w:r>
        <w:rPr>
          <w:spacing w:val="-15"/>
        </w:rPr>
        <w:t> </w:t>
      </w:r>
      <w:r>
        <w:rPr/>
        <w:t>data</w:t>
      </w:r>
      <w:r>
        <w:rPr>
          <w:spacing w:val="-15"/>
        </w:rPr>
        <w:t> </w:t>
      </w:r>
      <w:r>
        <w:rPr/>
        <w:t>required</w:t>
      </w:r>
      <w:r>
        <w:rPr>
          <w:spacing w:val="-15"/>
        </w:rPr>
        <w:t> </w:t>
      </w:r>
      <w:r>
        <w:rPr/>
        <w:t>to</w:t>
      </w:r>
      <w:r>
        <w:rPr>
          <w:spacing w:val="-15"/>
        </w:rPr>
        <w:t> </w:t>
      </w:r>
      <w:r>
        <w:rPr/>
        <w:t>run</w:t>
      </w:r>
      <w:r>
        <w:rPr>
          <w:spacing w:val="-15"/>
        </w:rPr>
        <w:t> </w:t>
      </w:r>
      <w:r>
        <w:rPr/>
        <w:t>these</w:t>
      </w:r>
      <w:r>
        <w:rPr>
          <w:spacing w:val="-15"/>
        </w:rPr>
        <w:t> </w:t>
      </w:r>
      <w:r>
        <w:rPr/>
        <w:t>models</w:t>
      </w:r>
      <w:r>
        <w:rPr>
          <w:spacing w:val="-15"/>
        </w:rPr>
        <w:t> </w:t>
      </w:r>
      <w:r>
        <w:rPr/>
        <w:t>(11,565</w:t>
      </w:r>
      <w:r>
        <w:rPr>
          <w:spacing w:val="-15"/>
        </w:rPr>
        <w:t> </w:t>
      </w:r>
      <w:r>
        <w:rPr/>
        <w:t>matches</w:t>
      </w:r>
      <w:r>
        <w:rPr>
          <w:spacing w:val="-15"/>
        </w:rPr>
        <w:t> </w:t>
      </w:r>
      <w:r>
        <w:rPr/>
        <w:t>(</w:t>
      </w:r>
      <w:hyperlink w:history="true" w:anchor="_bookmark239">
        <w:r>
          <w:rPr>
            <w:color w:val="FF0000"/>
          </w:rPr>
          <w:t>Decroos</w:t>
        </w:r>
      </w:hyperlink>
      <w:r>
        <w:rPr>
          <w:color w:val="FF0000"/>
        </w:rPr>
        <w:t> </w:t>
      </w:r>
      <w:hyperlink w:history="true" w:anchor="_bookmark239">
        <w:r>
          <w:rPr>
            <w:color w:val="FF0000"/>
          </w:rPr>
          <w:t>et al.</w:t>
        </w:r>
      </w:hyperlink>
      <w:r>
        <w:rPr/>
        <w:t>,</w:t>
      </w:r>
      <w:hyperlink w:history="true" w:anchor="_bookmark239">
        <w:r>
          <w:rPr>
            <w:color w:val="FF0000"/>
          </w:rPr>
          <w:t>2019</w:t>
        </w:r>
      </w:hyperlink>
      <w:r>
        <w:rPr/>
        <w:t>), 3.3 million actions (</w:t>
      </w:r>
      <w:hyperlink w:history="true" w:anchor="_bookmark270">
        <w:r>
          <w:rPr>
            <w:color w:val="FF0000"/>
          </w:rPr>
          <w:t>Liu and Schulte</w:t>
        </w:r>
        <w:r>
          <w:rPr/>
          <w:t>,</w:t>
        </w:r>
      </w:hyperlink>
      <w:r>
        <w:rPr>
          <w:color w:val="FF0000"/>
        </w:rPr>
        <w:t>2018</w:t>
      </w:r>
      <w:hyperlink w:history="true" w:anchor="_bookmark270">
        <w:r>
          <w:rPr/>
          <w:t>),</w:t>
        </w:r>
      </w:hyperlink>
      <w:r>
        <w:rPr/>
        <w:t> 4.6 million actions (</w:t>
      </w:r>
      <w:r>
        <w:rPr>
          <w:color w:val="FF0000"/>
        </w:rPr>
        <w:t>Liu </w:t>
      </w:r>
      <w:hyperlink w:history="true" w:anchor="_bookmark269">
        <w:r>
          <w:rPr>
            <w:color w:val="FF0000"/>
          </w:rPr>
          <w:t>et al.</w:t>
        </w:r>
        <w:r>
          <w:rPr/>
          <w:t>,</w:t>
        </w:r>
      </w:hyperlink>
      <w:r>
        <w:rPr/>
        <w:t> </w:t>
      </w:r>
      <w:hyperlink w:history="true" w:anchor="_bookmark269">
        <w:r>
          <w:rPr>
            <w:color w:val="FF0000"/>
          </w:rPr>
          <w:t>2020</w:t>
        </w:r>
      </w:hyperlink>
      <w:r>
        <w:rPr/>
        <w:t>))</w:t>
      </w:r>
      <w:r>
        <w:rPr>
          <w:spacing w:val="-10"/>
        </w:rPr>
        <w:t> </w:t>
      </w:r>
      <w:r>
        <w:rPr/>
        <w:t>is</w:t>
      </w:r>
      <w:r>
        <w:rPr>
          <w:spacing w:val="-10"/>
        </w:rPr>
        <w:t> </w:t>
      </w:r>
      <w:r>
        <w:rPr/>
        <w:t>not</w:t>
      </w:r>
      <w:r>
        <w:rPr>
          <w:spacing w:val="-10"/>
        </w:rPr>
        <w:t> </w:t>
      </w:r>
      <w:r>
        <w:rPr/>
        <w:t>available</w:t>
      </w:r>
      <w:r>
        <w:rPr>
          <w:spacing w:val="-10"/>
        </w:rPr>
        <w:t> </w:t>
      </w:r>
      <w:r>
        <w:rPr/>
        <w:t>in</w:t>
      </w:r>
      <w:r>
        <w:rPr>
          <w:spacing w:val="-10"/>
        </w:rPr>
        <w:t> </w:t>
      </w:r>
      <w:r>
        <w:rPr/>
        <w:t>rugby</w:t>
      </w:r>
      <w:r>
        <w:rPr>
          <w:spacing w:val="-10"/>
        </w:rPr>
        <w:t> </w:t>
      </w:r>
      <w:r>
        <w:rPr/>
        <w:t>league. From</w:t>
      </w:r>
      <w:r>
        <w:rPr>
          <w:spacing w:val="-10"/>
        </w:rPr>
        <w:t> </w:t>
      </w:r>
      <w:r>
        <w:rPr/>
        <w:t>a</w:t>
      </w:r>
      <w:r>
        <w:rPr>
          <w:spacing w:val="-10"/>
        </w:rPr>
        <w:t> </w:t>
      </w:r>
      <w:r>
        <w:rPr/>
        <w:t>pure</w:t>
      </w:r>
      <w:r>
        <w:rPr>
          <w:spacing w:val="-10"/>
        </w:rPr>
        <w:t> </w:t>
      </w:r>
      <w:r>
        <w:rPr/>
        <w:t>data</w:t>
      </w:r>
      <w:r>
        <w:rPr>
          <w:spacing w:val="-10"/>
        </w:rPr>
        <w:t> </w:t>
      </w:r>
      <w:r>
        <w:rPr/>
        <w:t>availability</w:t>
      </w:r>
      <w:r>
        <w:rPr>
          <w:spacing w:val="-10"/>
        </w:rPr>
        <w:t> </w:t>
      </w:r>
      <w:r>
        <w:rPr/>
        <w:t>perspective,</w:t>
      </w:r>
      <w:r>
        <w:rPr>
          <w:spacing w:val="-10"/>
        </w:rPr>
        <w:t> </w:t>
      </w:r>
      <w:r>
        <w:rPr/>
        <w:t>the</w:t>
      </w:r>
      <w:r>
        <w:rPr>
          <w:spacing w:val="-10"/>
        </w:rPr>
        <w:t> </w:t>
      </w:r>
      <w:r>
        <w:rPr/>
        <w:t>two most replicable models are</w:t>
      </w:r>
      <w:hyperlink w:history="true" w:anchor="_bookmark294">
        <w:r>
          <w:rPr>
            <w:color w:val="FF0000"/>
          </w:rPr>
          <w:t>Singh</w:t>
        </w:r>
        <w:r>
          <w:rPr/>
          <w:t>(</w:t>
        </w:r>
      </w:hyperlink>
      <w:r>
        <w:rPr>
          <w:color w:val="FF0000"/>
        </w:rPr>
        <w:t>n.d.</w:t>
      </w:r>
      <w:hyperlink w:history="true" w:anchor="_bookmark294">
        <w:r>
          <w:rPr/>
          <w:t>)</w:t>
        </w:r>
      </w:hyperlink>
      <w:r>
        <w:rPr>
          <w:spacing w:val="40"/>
        </w:rPr>
        <w:t> </w:t>
      </w:r>
      <w:r>
        <w:rPr/>
        <w:t>who used a Markov Decision Process approach for his xT model in football and</w:t>
      </w:r>
      <w:hyperlink w:history="true" w:anchor="_bookmark232">
        <w:r>
          <w:rPr>
            <w:color w:val="FF0000"/>
          </w:rPr>
          <w:t>Chan et al.</w:t>
        </w:r>
        <w:r>
          <w:rPr/>
          <w:t>(</w:t>
        </w:r>
      </w:hyperlink>
      <w:hyperlink w:history="true" w:anchor="_bookmark232">
        <w:r>
          <w:rPr>
            <w:color w:val="FF0000"/>
          </w:rPr>
          <w:t>2021</w:t>
        </w:r>
        <w:r>
          <w:rPr/>
          <w:t>),</w:t>
        </w:r>
      </w:hyperlink>
      <w:r>
        <w:rPr/>
        <w:t> who adopted a Markov Reward Pro- cess</w:t>
      </w:r>
      <w:r>
        <w:rPr>
          <w:spacing w:val="-8"/>
        </w:rPr>
        <w:t> </w:t>
      </w:r>
      <w:r>
        <w:rPr/>
        <w:t>approach</w:t>
      </w:r>
      <w:r>
        <w:rPr>
          <w:spacing w:val="-8"/>
        </w:rPr>
        <w:t> </w:t>
      </w:r>
      <w:r>
        <w:rPr/>
        <w:t>for</w:t>
      </w:r>
      <w:r>
        <w:rPr>
          <w:spacing w:val="-8"/>
        </w:rPr>
        <w:t> </w:t>
      </w:r>
      <w:r>
        <w:rPr/>
        <w:t>their</w:t>
      </w:r>
      <w:r>
        <w:rPr>
          <w:spacing w:val="-8"/>
        </w:rPr>
        <w:t> </w:t>
      </w:r>
      <w:r>
        <w:rPr/>
        <w:t>model</w:t>
      </w:r>
      <w:r>
        <w:rPr>
          <w:spacing w:val="-8"/>
        </w:rPr>
        <w:t> </w:t>
      </w:r>
      <w:r>
        <w:rPr/>
        <w:t>in</w:t>
      </w:r>
      <w:r>
        <w:rPr>
          <w:spacing w:val="-8"/>
        </w:rPr>
        <w:t> </w:t>
      </w:r>
      <w:r>
        <w:rPr/>
        <w:t>American</w:t>
      </w:r>
      <w:r>
        <w:rPr>
          <w:spacing w:val="-8"/>
        </w:rPr>
        <w:t> </w:t>
      </w:r>
      <w:r>
        <w:rPr/>
        <w:t>football,</w:t>
      </w:r>
      <w:r>
        <w:rPr>
          <w:spacing w:val="-6"/>
        </w:rPr>
        <w:t> </w:t>
      </w:r>
      <w:r>
        <w:rPr/>
        <w:t>similar</w:t>
      </w:r>
      <w:r>
        <w:rPr>
          <w:spacing w:val="-8"/>
        </w:rPr>
        <w:t> </w:t>
      </w:r>
      <w:r>
        <w:rPr/>
        <w:t>to</w:t>
      </w:r>
      <w:r>
        <w:rPr>
          <w:spacing w:val="-8"/>
        </w:rPr>
        <w:t> </w:t>
      </w:r>
      <w:r>
        <w:rPr/>
        <w:t>that</w:t>
      </w:r>
      <w:r>
        <w:rPr>
          <w:spacing w:val="-8"/>
        </w:rPr>
        <w:t> </w:t>
      </w:r>
      <w:r>
        <w:rPr/>
        <w:t>used</w:t>
      </w:r>
      <w:r>
        <w:rPr>
          <w:spacing w:val="-8"/>
        </w:rPr>
        <w:t> </w:t>
      </w:r>
      <w:r>
        <w:rPr/>
        <w:t>by</w:t>
      </w:r>
      <w:hyperlink w:history="true" w:anchor="_bookmark263">
        <w:r>
          <w:rPr>
            <w:color w:val="FF0000"/>
          </w:rPr>
          <w:t>Kempton</w:t>
        </w:r>
        <w:r>
          <w:rPr>
            <w:color w:val="FF0000"/>
            <w:spacing w:val="-8"/>
          </w:rPr>
          <w:t> </w:t>
        </w:r>
        <w:r>
          <w:rPr>
            <w:color w:val="FF0000"/>
          </w:rPr>
          <w:t>et</w:t>
        </w:r>
        <w:r>
          <w:rPr>
            <w:color w:val="FF0000"/>
            <w:spacing w:val="-8"/>
          </w:rPr>
          <w:t> </w:t>
        </w:r>
        <w:r>
          <w:rPr>
            <w:color w:val="FF0000"/>
          </w:rPr>
          <w:t>al.</w:t>
        </w:r>
      </w:hyperlink>
      <w:r>
        <w:rPr>
          <w:color w:val="FF0000"/>
        </w:rPr>
        <w:t> </w:t>
      </w:r>
      <w:r>
        <w:rPr/>
        <w:t>(</w:t>
      </w:r>
      <w:hyperlink w:history="true" w:anchor="_bookmark263">
        <w:r>
          <w:rPr>
            <w:color w:val="FF0000"/>
          </w:rPr>
          <w:t>2016</w:t>
        </w:r>
      </w:hyperlink>
      <w:r>
        <w:rPr/>
        <w:t>)</w:t>
      </w:r>
      <w:r>
        <w:rPr>
          <w:spacing w:val="-11"/>
        </w:rPr>
        <w:t> </w:t>
      </w:r>
      <w:r>
        <w:rPr/>
        <w:t>in</w:t>
      </w:r>
      <w:r>
        <w:rPr>
          <w:spacing w:val="-11"/>
        </w:rPr>
        <w:t> </w:t>
      </w:r>
      <w:r>
        <w:rPr/>
        <w:t>rugby</w:t>
      </w:r>
      <w:r>
        <w:rPr>
          <w:spacing w:val="-11"/>
        </w:rPr>
        <w:t> </w:t>
      </w:r>
      <w:r>
        <w:rPr/>
        <w:t>league.</w:t>
      </w:r>
      <w:r>
        <w:rPr>
          <w:spacing w:val="14"/>
        </w:rPr>
        <w:t> </w:t>
      </w:r>
      <w:r>
        <w:rPr/>
        <w:t>Whereas</w:t>
      </w:r>
      <w:hyperlink w:history="true" w:anchor="_bookmark232">
        <w:r>
          <w:rPr>
            <w:color w:val="FF0000"/>
          </w:rPr>
          <w:t>Chan</w:t>
        </w:r>
        <w:r>
          <w:rPr>
            <w:color w:val="FF0000"/>
            <w:spacing w:val="-11"/>
          </w:rPr>
          <w:t> </w:t>
        </w:r>
        <w:r>
          <w:rPr>
            <w:color w:val="FF0000"/>
          </w:rPr>
          <w:t>et</w:t>
        </w:r>
        <w:r>
          <w:rPr>
            <w:color w:val="FF0000"/>
            <w:spacing w:val="-11"/>
          </w:rPr>
          <w:t> </w:t>
        </w:r>
        <w:r>
          <w:rPr>
            <w:color w:val="FF0000"/>
          </w:rPr>
          <w:t>al.</w:t>
        </w:r>
        <w:r>
          <w:rPr/>
          <w:t>(</w:t>
        </w:r>
      </w:hyperlink>
      <w:hyperlink w:history="true" w:anchor="_bookmark232">
        <w:r>
          <w:rPr>
            <w:color w:val="FF0000"/>
          </w:rPr>
          <w:t>2021</w:t>
        </w:r>
        <w:r>
          <w:rPr/>
          <w:t>)</w:t>
        </w:r>
      </w:hyperlink>
      <w:r>
        <w:rPr>
          <w:spacing w:val="-11"/>
        </w:rPr>
        <w:t> </w:t>
      </w:r>
      <w:r>
        <w:rPr/>
        <w:t>did</w:t>
      </w:r>
      <w:r>
        <w:rPr>
          <w:spacing w:val="-11"/>
        </w:rPr>
        <w:t> </w:t>
      </w:r>
      <w:r>
        <w:rPr/>
        <w:t>not</w:t>
      </w:r>
      <w:r>
        <w:rPr>
          <w:spacing w:val="-11"/>
        </w:rPr>
        <w:t> </w:t>
      </w:r>
      <w:r>
        <w:rPr/>
        <w:t>need</w:t>
      </w:r>
      <w:r>
        <w:rPr>
          <w:spacing w:val="-11"/>
        </w:rPr>
        <w:t> </w:t>
      </w:r>
      <w:r>
        <w:rPr/>
        <w:t>to</w:t>
      </w:r>
      <w:r>
        <w:rPr>
          <w:spacing w:val="-11"/>
        </w:rPr>
        <w:t> </w:t>
      </w:r>
      <w:r>
        <w:rPr/>
        <w:t>select</w:t>
      </w:r>
      <w:r>
        <w:rPr>
          <w:spacing w:val="-11"/>
        </w:rPr>
        <w:t> </w:t>
      </w:r>
      <w:r>
        <w:rPr/>
        <w:t>two</w:t>
      </w:r>
      <w:r>
        <w:rPr>
          <w:spacing w:val="-11"/>
        </w:rPr>
        <w:t> </w:t>
      </w:r>
      <w:r>
        <w:rPr/>
        <w:t>dimensional zones</w:t>
      </w:r>
      <w:r>
        <w:rPr>
          <w:spacing w:val="-4"/>
        </w:rPr>
        <w:t> </w:t>
      </w:r>
      <w:r>
        <w:rPr/>
        <w:t>due</w:t>
      </w:r>
      <w:r>
        <w:rPr>
          <w:spacing w:val="-4"/>
        </w:rPr>
        <w:t> </w:t>
      </w:r>
      <w:r>
        <w:rPr/>
        <w:t>to</w:t>
      </w:r>
      <w:r>
        <w:rPr>
          <w:spacing w:val="-4"/>
        </w:rPr>
        <w:t> </w:t>
      </w:r>
      <w:r>
        <w:rPr/>
        <w:t>the</w:t>
      </w:r>
      <w:r>
        <w:rPr>
          <w:spacing w:val="-4"/>
        </w:rPr>
        <w:t> </w:t>
      </w:r>
      <w:r>
        <w:rPr/>
        <w:t>rules</w:t>
      </w:r>
      <w:r>
        <w:rPr>
          <w:spacing w:val="-4"/>
        </w:rPr>
        <w:t> </w:t>
      </w:r>
      <w:r>
        <w:rPr/>
        <w:t>of</w:t>
      </w:r>
      <w:r>
        <w:rPr>
          <w:spacing w:val="-4"/>
        </w:rPr>
        <w:t> </w:t>
      </w:r>
      <w:r>
        <w:rPr/>
        <w:t>American</w:t>
      </w:r>
      <w:r>
        <w:rPr>
          <w:spacing w:val="-4"/>
        </w:rPr>
        <w:t> </w:t>
      </w:r>
      <w:r>
        <w:rPr/>
        <w:t>football,</w:t>
      </w:r>
      <w:hyperlink w:history="true" w:anchor="_bookmark294">
        <w:r>
          <w:rPr>
            <w:color w:val="FF0000"/>
          </w:rPr>
          <w:t>Singh</w:t>
        </w:r>
        <w:r>
          <w:rPr/>
          <w:t>(</w:t>
        </w:r>
      </w:hyperlink>
      <w:hyperlink w:history="true" w:anchor="_bookmark294">
        <w:r>
          <w:rPr>
            <w:color w:val="FF0000"/>
          </w:rPr>
          <w:t>n.d.</w:t>
        </w:r>
        <w:r>
          <w:rPr/>
          <w:t>)</w:t>
        </w:r>
      </w:hyperlink>
      <w:r>
        <w:rPr/>
        <w:t> did</w:t>
      </w:r>
      <w:r>
        <w:rPr>
          <w:spacing w:val="-4"/>
        </w:rPr>
        <w:t> </w:t>
      </w:r>
      <w:r>
        <w:rPr/>
        <w:t>and</w:t>
      </w:r>
      <w:r>
        <w:rPr>
          <w:spacing w:val="-4"/>
        </w:rPr>
        <w:t> </w:t>
      </w:r>
      <w:r>
        <w:rPr/>
        <w:t>used</w:t>
      </w:r>
      <w:r>
        <w:rPr>
          <w:spacing w:val="-4"/>
        </w:rPr>
        <w:t> </w:t>
      </w:r>
      <w:r>
        <w:rPr/>
        <w:t>arbitrary</w:t>
      </w:r>
      <w:r>
        <w:rPr>
          <w:spacing w:val="-4"/>
        </w:rPr>
        <w:t> </w:t>
      </w:r>
      <w:r>
        <w:rPr/>
        <w:t>zone</w:t>
      </w:r>
      <w:r>
        <w:rPr>
          <w:spacing w:val="-4"/>
        </w:rPr>
        <w:t> </w:t>
      </w:r>
      <w:r>
        <w:rPr/>
        <w:t>sizes in</w:t>
      </w:r>
      <w:r>
        <w:rPr>
          <w:spacing w:val="34"/>
        </w:rPr>
        <w:t> </w:t>
      </w:r>
      <w:r>
        <w:rPr/>
        <w:t>his</w:t>
      </w:r>
      <w:r>
        <w:rPr>
          <w:spacing w:val="34"/>
        </w:rPr>
        <w:t> </w:t>
      </w:r>
      <w:r>
        <w:rPr/>
        <w:t>xT</w:t>
      </w:r>
      <w:r>
        <w:rPr>
          <w:spacing w:val="33"/>
        </w:rPr>
        <w:t> </w:t>
      </w:r>
      <w:r>
        <w:rPr/>
        <w:t>model,</w:t>
      </w:r>
      <w:r>
        <w:rPr>
          <w:spacing w:val="40"/>
        </w:rPr>
        <w:t> </w:t>
      </w:r>
      <w:r>
        <w:rPr/>
        <w:t>similar</w:t>
      </w:r>
      <w:r>
        <w:rPr>
          <w:spacing w:val="34"/>
        </w:rPr>
        <w:t> </w:t>
      </w:r>
      <w:r>
        <w:rPr/>
        <w:t>to</w:t>
      </w:r>
      <w:r>
        <w:rPr>
          <w:color w:val="FF0000"/>
        </w:rPr>
        <w:t>K</w:t>
      </w:r>
      <w:hyperlink w:history="true" w:anchor="_bookmark263">
        <w:r>
          <w:rPr>
            <w:color w:val="FF0000"/>
          </w:rPr>
          <w:t>empton</w:t>
        </w:r>
        <w:r>
          <w:rPr>
            <w:color w:val="FF0000"/>
            <w:spacing w:val="34"/>
          </w:rPr>
          <w:t> </w:t>
        </w:r>
        <w:r>
          <w:rPr>
            <w:color w:val="FF0000"/>
          </w:rPr>
          <w:t>et</w:t>
        </w:r>
        <w:r>
          <w:rPr>
            <w:color w:val="FF0000"/>
            <w:spacing w:val="34"/>
          </w:rPr>
          <w:t> </w:t>
        </w:r>
        <w:r>
          <w:rPr>
            <w:color w:val="FF0000"/>
          </w:rPr>
          <w:t>al.</w:t>
        </w:r>
        <w:r>
          <w:rPr/>
          <w:t>(</w:t>
        </w:r>
      </w:hyperlink>
      <w:r>
        <w:rPr>
          <w:color w:val="FF0000"/>
        </w:rPr>
        <w:t>2016</w:t>
      </w:r>
      <w:hyperlink w:history="true" w:anchor="_bookmark263">
        <w:r>
          <w:rPr/>
          <w:t>).</w:t>
        </w:r>
      </w:hyperlink>
      <w:r>
        <w:rPr>
          <w:spacing w:val="80"/>
        </w:rPr>
        <w:t> </w:t>
      </w:r>
      <w:r>
        <w:rPr/>
        <w:t>A</w:t>
      </w:r>
      <w:r>
        <w:rPr>
          <w:spacing w:val="34"/>
        </w:rPr>
        <w:t> </w:t>
      </w:r>
      <w:r>
        <w:rPr/>
        <w:t>much</w:t>
      </w:r>
      <w:r>
        <w:rPr>
          <w:spacing w:val="33"/>
        </w:rPr>
        <w:t> </w:t>
      </w:r>
      <w:r>
        <w:rPr/>
        <w:t>more</w:t>
      </w:r>
      <w:r>
        <w:rPr>
          <w:spacing w:val="34"/>
        </w:rPr>
        <w:t> </w:t>
      </w:r>
      <w:r>
        <w:rPr/>
        <w:t>appropriate</w:t>
      </w:r>
      <w:r>
        <w:rPr>
          <w:spacing w:val="34"/>
        </w:rPr>
        <w:t> </w:t>
      </w:r>
      <w:r>
        <w:rPr/>
        <w:t>method of</w:t>
      </w:r>
      <w:r>
        <w:rPr>
          <w:spacing w:val="17"/>
        </w:rPr>
        <w:t> </w:t>
      </w:r>
      <w:r>
        <w:rPr/>
        <w:t>zone</w:t>
      </w:r>
      <w:r>
        <w:rPr>
          <w:spacing w:val="16"/>
        </w:rPr>
        <w:t> </w:t>
      </w:r>
      <w:r>
        <w:rPr/>
        <w:t>size</w:t>
      </w:r>
      <w:r>
        <w:rPr>
          <w:spacing w:val="17"/>
        </w:rPr>
        <w:t> </w:t>
      </w:r>
      <w:r>
        <w:rPr/>
        <w:t>selection</w:t>
      </w:r>
      <w:r>
        <w:rPr>
          <w:spacing w:val="17"/>
        </w:rPr>
        <w:t> </w:t>
      </w:r>
      <w:r>
        <w:rPr/>
        <w:t>would</w:t>
      </w:r>
      <w:r>
        <w:rPr>
          <w:spacing w:val="17"/>
        </w:rPr>
        <w:t> </w:t>
      </w:r>
      <w:r>
        <w:rPr/>
        <w:t>be</w:t>
      </w:r>
      <w:r>
        <w:rPr>
          <w:spacing w:val="16"/>
        </w:rPr>
        <w:t> </w:t>
      </w:r>
      <w:r>
        <w:rPr/>
        <w:t>using</w:t>
      </w:r>
      <w:r>
        <w:rPr>
          <w:spacing w:val="17"/>
        </w:rPr>
        <w:t> </w:t>
      </w:r>
      <w:r>
        <w:rPr/>
        <w:t>expert</w:t>
      </w:r>
      <w:r>
        <w:rPr>
          <w:spacing w:val="17"/>
        </w:rPr>
        <w:t> </w:t>
      </w:r>
      <w:r>
        <w:rPr/>
        <w:t>opinion</w:t>
      </w:r>
      <w:r>
        <w:rPr>
          <w:spacing w:val="16"/>
        </w:rPr>
        <w:t> </w:t>
      </w:r>
      <w:r>
        <w:rPr/>
        <w:t>(</w:t>
      </w:r>
      <w:hyperlink w:history="true" w:anchor="_bookmark231">
        <w:r>
          <w:rPr>
            <w:color w:val="FF0000"/>
          </w:rPr>
          <w:t>Cervone</w:t>
        </w:r>
        <w:r>
          <w:rPr>
            <w:color w:val="FF0000"/>
            <w:spacing w:val="17"/>
          </w:rPr>
          <w:t> </w:t>
        </w:r>
        <w:r>
          <w:rPr>
            <w:color w:val="FF0000"/>
          </w:rPr>
          <w:t>et</w:t>
        </w:r>
        <w:r>
          <w:rPr>
            <w:color w:val="FF0000"/>
            <w:spacing w:val="17"/>
          </w:rPr>
          <w:t> </w:t>
        </w:r>
        <w:r>
          <w:rPr>
            <w:color w:val="FF0000"/>
          </w:rPr>
          <w:t>al.</w:t>
        </w:r>
      </w:hyperlink>
      <w:r>
        <w:rPr/>
        <w:t>,</w:t>
      </w:r>
      <w:hyperlink w:history="true" w:anchor="_bookmark231">
        <w:r>
          <w:rPr>
            <w:color w:val="FF0000"/>
          </w:rPr>
          <w:t>2016</w:t>
        </w:r>
        <w:r>
          <w:rPr/>
          <w:t>)</w:t>
        </w:r>
      </w:hyperlink>
      <w:r>
        <w:rPr>
          <w:spacing w:val="17"/>
        </w:rPr>
        <w:t> </w:t>
      </w:r>
      <w:r>
        <w:rPr/>
        <w:t>or</w:t>
      </w:r>
      <w:r>
        <w:rPr>
          <w:spacing w:val="17"/>
        </w:rPr>
        <w:t> </w:t>
      </w:r>
      <w:r>
        <w:rPr/>
        <w:t>utilising a data driven approach, which has never previously been attempted.</w:t>
      </w:r>
      <w:r>
        <w:rPr>
          <w:spacing w:val="40"/>
        </w:rPr>
        <w:t> </w:t>
      </w:r>
      <w:r>
        <w:rPr/>
        <w:t>There is therefore scope</w:t>
      </w:r>
      <w:r>
        <w:rPr>
          <w:spacing w:val="-1"/>
        </w:rPr>
        <w:t> </w:t>
      </w:r>
      <w:r>
        <w:rPr/>
        <w:t>for</w:t>
      </w:r>
      <w:r>
        <w:rPr>
          <w:spacing w:val="-1"/>
        </w:rPr>
        <w:t> </w:t>
      </w:r>
      <w:r>
        <w:rPr/>
        <w:t>a</w:t>
      </w:r>
      <w:r>
        <w:rPr>
          <w:spacing w:val="-1"/>
        </w:rPr>
        <w:t> </w:t>
      </w:r>
      <w:r>
        <w:rPr/>
        <w:t>sequence</w:t>
      </w:r>
      <w:r>
        <w:rPr>
          <w:spacing w:val="-1"/>
        </w:rPr>
        <w:t> </w:t>
      </w:r>
      <w:r>
        <w:rPr/>
        <w:t>of</w:t>
      </w:r>
      <w:r>
        <w:rPr>
          <w:spacing w:val="-1"/>
        </w:rPr>
        <w:t> </w:t>
      </w:r>
      <w:r>
        <w:rPr/>
        <w:t>studies</w:t>
      </w:r>
      <w:r>
        <w:rPr>
          <w:spacing w:val="-1"/>
        </w:rPr>
        <w:t> </w:t>
      </w:r>
      <w:r>
        <w:rPr/>
        <w:t>within</w:t>
      </w:r>
      <w:r>
        <w:rPr>
          <w:spacing w:val="-1"/>
        </w:rPr>
        <w:t> </w:t>
      </w:r>
      <w:r>
        <w:rPr/>
        <w:t>rugby</w:t>
      </w:r>
      <w:r>
        <w:rPr>
          <w:spacing w:val="-1"/>
        </w:rPr>
        <w:t> </w:t>
      </w:r>
      <w:r>
        <w:rPr/>
        <w:t>league, which</w:t>
      </w:r>
      <w:r>
        <w:rPr>
          <w:spacing w:val="-1"/>
        </w:rPr>
        <w:t> </w:t>
      </w:r>
      <w:r>
        <w:rPr/>
        <w:t>apply, adapt</w:t>
      </w:r>
      <w:r>
        <w:rPr>
          <w:spacing w:val="-1"/>
        </w:rPr>
        <w:t> </w:t>
      </w:r>
      <w:r>
        <w:rPr/>
        <w:t>and</w:t>
      </w:r>
      <w:r>
        <w:rPr>
          <w:spacing w:val="-1"/>
        </w:rPr>
        <w:t> </w:t>
      </w:r>
      <w:r>
        <w:rPr/>
        <w:t>validate</w:t>
      </w:r>
      <w:r>
        <w:rPr>
          <w:spacing w:val="-1"/>
        </w:rPr>
        <w:t> </w:t>
      </w:r>
      <w:r>
        <w:rPr/>
        <w:t>the previous literature (</w:t>
      </w:r>
      <w:hyperlink w:history="true" w:anchor="_bookmark263">
        <w:r>
          <w:rPr>
            <w:color w:val="FF0000"/>
          </w:rPr>
          <w:t>Kempton et al.</w:t>
        </w:r>
      </w:hyperlink>
      <w:r>
        <w:rPr/>
        <w:t>,</w:t>
      </w:r>
      <w:hyperlink w:history="true" w:anchor="_bookmark263">
        <w:r>
          <w:rPr>
            <w:color w:val="FF0000"/>
          </w:rPr>
          <w:t>2016</w:t>
        </w:r>
        <w:r>
          <w:rPr/>
          <w:t>;</w:t>
        </w:r>
      </w:hyperlink>
      <w:r>
        <w:rPr>
          <w:color w:val="FF0000"/>
        </w:rPr>
        <w:t>Singh</w:t>
      </w:r>
      <w:hyperlink w:history="true" w:anchor="_bookmark294">
        <w:r>
          <w:rPr/>
          <w:t>,</w:t>
        </w:r>
      </w:hyperlink>
      <w:r>
        <w:rPr>
          <w:color w:val="FF0000"/>
        </w:rPr>
        <w:t>n.d.</w:t>
      </w:r>
      <w:hyperlink w:history="true" w:anchor="_bookmark294">
        <w:r>
          <w:rPr/>
          <w:t>)</w:t>
        </w:r>
      </w:hyperlink>
      <w:r>
        <w:rPr>
          <w:spacing w:val="40"/>
        </w:rPr>
        <w:t> </w:t>
      </w:r>
      <w:r>
        <w:rPr/>
        <w:t>by first empirically determining</w:t>
      </w:r>
      <w:r>
        <w:rPr>
          <w:spacing w:val="80"/>
        </w:rPr>
        <w:t> </w:t>
      </w:r>
      <w:r>
        <w:rPr/>
        <w:t>the most suitable zone sizes for use within rugby league using a data driven approach,</w:t>
      </w:r>
      <w:r>
        <w:rPr>
          <w:spacing w:val="40"/>
        </w:rPr>
        <w:t> </w:t>
      </w:r>
      <w:r>
        <w:rPr/>
        <w:t>building upon the Markov Reward Process approach previously employed (</w:t>
      </w:r>
      <w:hyperlink w:history="true" w:anchor="_bookmark232">
        <w:r>
          <w:rPr>
            <w:color w:val="FF0000"/>
          </w:rPr>
          <w:t>Chan et al.</w:t>
        </w:r>
      </w:hyperlink>
      <w:r>
        <w:rPr/>
        <w:t>, </w:t>
      </w:r>
      <w:hyperlink w:history="true" w:anchor="_bookmark232">
        <w:r>
          <w:rPr>
            <w:color w:val="FF0000"/>
          </w:rPr>
          <w:t>2021</w:t>
        </w:r>
      </w:hyperlink>
      <w:r>
        <w:rPr/>
        <w:t>;</w:t>
      </w:r>
      <w:hyperlink w:history="true" w:anchor="_bookmark263">
        <w:r>
          <w:rPr>
            <w:color w:val="FF0000"/>
          </w:rPr>
          <w:t>Kempton</w:t>
        </w:r>
        <w:r>
          <w:rPr>
            <w:color w:val="FF0000"/>
            <w:spacing w:val="-3"/>
          </w:rPr>
          <w:t> </w:t>
        </w:r>
        <w:r>
          <w:rPr>
            <w:color w:val="FF0000"/>
          </w:rPr>
          <w:t>et</w:t>
        </w:r>
        <w:r>
          <w:rPr>
            <w:color w:val="FF0000"/>
            <w:spacing w:val="-3"/>
          </w:rPr>
          <w:t> </w:t>
        </w:r>
        <w:r>
          <w:rPr>
            <w:color w:val="FF0000"/>
          </w:rPr>
          <w:t>al.</w:t>
        </w:r>
        <w:r>
          <w:rPr/>
          <w:t>,</w:t>
        </w:r>
      </w:hyperlink>
      <w:hyperlink w:history="true" w:anchor="_bookmark263">
        <w:r>
          <w:rPr>
            <w:color w:val="FF0000"/>
          </w:rPr>
          <w:t>2016</w:t>
        </w:r>
        <w:r>
          <w:rPr/>
          <w:t>),</w:t>
        </w:r>
      </w:hyperlink>
      <w:r>
        <w:rPr>
          <w:spacing w:val="-2"/>
        </w:rPr>
        <w:t> </w:t>
      </w:r>
      <w:r>
        <w:rPr/>
        <w:t>and</w:t>
      </w:r>
      <w:r>
        <w:rPr>
          <w:spacing w:val="-3"/>
        </w:rPr>
        <w:t> </w:t>
      </w:r>
      <w:r>
        <w:rPr/>
        <w:t>second,</w:t>
      </w:r>
      <w:r>
        <w:rPr>
          <w:spacing w:val="-3"/>
        </w:rPr>
        <w:t> </w:t>
      </w:r>
      <w:r>
        <w:rPr/>
        <w:t>extend</w:t>
      </w:r>
      <w:r>
        <w:rPr>
          <w:spacing w:val="-3"/>
        </w:rPr>
        <w:t> </w:t>
      </w:r>
      <w:r>
        <w:rPr/>
        <w:t>the</w:t>
      </w:r>
      <w:r>
        <w:rPr>
          <w:spacing w:val="-3"/>
        </w:rPr>
        <w:t> </w:t>
      </w:r>
      <w:r>
        <w:rPr/>
        <w:t>Markov</w:t>
      </w:r>
      <w:r>
        <w:rPr>
          <w:spacing w:val="-3"/>
        </w:rPr>
        <w:t> </w:t>
      </w:r>
      <w:r>
        <w:rPr/>
        <w:t>Reward</w:t>
      </w:r>
      <w:r>
        <w:rPr>
          <w:spacing w:val="-3"/>
        </w:rPr>
        <w:t> </w:t>
      </w:r>
      <w:r>
        <w:rPr/>
        <w:t>Process</w:t>
      </w:r>
      <w:r>
        <w:rPr>
          <w:spacing w:val="-3"/>
        </w:rPr>
        <w:t> </w:t>
      </w:r>
      <w:r>
        <w:rPr/>
        <w:t>approach</w:t>
      </w:r>
      <w:r>
        <w:rPr>
          <w:spacing w:val="-3"/>
        </w:rPr>
        <w:t> </w:t>
      </w:r>
      <w:r>
        <w:rPr/>
        <w:t>to include actions, adopting a Markov Decision Process approach similar to</w:t>
      </w:r>
      <w:hyperlink w:history="true" w:anchor="_bookmark294">
        <w:r>
          <w:rPr>
            <w:color w:val="FF0000"/>
          </w:rPr>
          <w:t>Singh</w:t>
        </w:r>
        <w:r>
          <w:rPr/>
          <w:t>(</w:t>
        </w:r>
      </w:hyperlink>
      <w:r>
        <w:rPr>
          <w:color w:val="FF0000"/>
        </w:rPr>
        <w:t>n.d.</w:t>
      </w:r>
      <w:hyperlink w:history="true" w:anchor="_bookmark294">
        <w:r>
          <w:rPr/>
          <w:t>).</w:t>
        </w:r>
      </w:hyperlink>
    </w:p>
    <w:p>
      <w:pPr>
        <w:pStyle w:val="BodyText"/>
        <w:spacing w:line="312" w:lineRule="auto"/>
        <w:ind w:left="610" w:right="389" w:firstLine="351"/>
        <w:jc w:val="both"/>
      </w:pPr>
      <w:r>
        <w:rPr/>
        <w:t>Alongside the issue of data availability, some of the EPV models produced in other sports cannot be applied to rugby league due to its unique rules and playing style.</w:t>
      </w:r>
      <w:r>
        <w:rPr>
          <w:spacing w:val="40"/>
        </w:rPr>
        <w:t> </w:t>
      </w:r>
      <w:r>
        <w:rPr/>
        <w:t>For example, the episodic nature of rugby league, whereby a tackle by the opposition team does not result in a change in possession precludes the adaptation of the Markov Game approach suggested in ice hockey (</w:t>
      </w:r>
      <w:hyperlink w:history="true" w:anchor="_bookmark270">
        <w:r>
          <w:rPr>
            <w:color w:val="FF0000"/>
          </w:rPr>
          <w:t>Liu and Schulte</w:t>
        </w:r>
      </w:hyperlink>
      <w:r>
        <w:rPr/>
        <w:t>,</w:t>
      </w:r>
      <w:hyperlink w:history="true" w:anchor="_bookmark270">
        <w:r>
          <w:rPr>
            <w:color w:val="FF0000"/>
          </w:rPr>
          <w:t>2018</w:t>
        </w:r>
        <w:r>
          <w:rPr/>
          <w:t>;</w:t>
        </w:r>
      </w:hyperlink>
      <w:hyperlink w:history="true" w:anchor="_bookmark287">
        <w:r>
          <w:rPr>
            <w:color w:val="FF0000"/>
          </w:rPr>
          <w:t>Routley and Schulte</w:t>
        </w:r>
        <w:r>
          <w:rPr/>
          <w:t>,</w:t>
        </w:r>
      </w:hyperlink>
      <w:r>
        <w:rPr>
          <w:color w:val="FF0000"/>
        </w:rPr>
        <w:t>2015</w:t>
      </w:r>
      <w:hyperlink w:history="true" w:anchor="_bookmark287">
        <w:r>
          <w:rPr/>
          <w:t>).</w:t>
        </w:r>
      </w:hyperlink>
    </w:p>
    <w:p>
      <w:pPr>
        <w:pStyle w:val="BodyText"/>
        <w:spacing w:line="275" w:lineRule="exact"/>
        <w:ind w:left="610"/>
        <w:jc w:val="both"/>
      </w:pPr>
      <w:r>
        <w:rPr/>
        <w:t>The</w:t>
      </w:r>
      <w:r>
        <w:rPr>
          <w:spacing w:val="-10"/>
        </w:rPr>
        <w:t> </w:t>
      </w:r>
      <w:r>
        <w:rPr/>
        <w:t>two</w:t>
      </w:r>
      <w:r>
        <w:rPr>
          <w:spacing w:val="-11"/>
        </w:rPr>
        <w:t> </w:t>
      </w:r>
      <w:r>
        <w:rPr/>
        <w:t>tower</w:t>
      </w:r>
      <w:r>
        <w:rPr>
          <w:spacing w:val="-10"/>
        </w:rPr>
        <w:t> </w:t>
      </w:r>
      <w:r>
        <w:rPr/>
        <w:t>deep</w:t>
      </w:r>
      <w:r>
        <w:rPr>
          <w:spacing w:val="-10"/>
        </w:rPr>
        <w:t> </w:t>
      </w:r>
      <w:r>
        <w:rPr/>
        <w:t>reinforcement</w:t>
      </w:r>
      <w:r>
        <w:rPr>
          <w:spacing w:val="-10"/>
        </w:rPr>
        <w:t> </w:t>
      </w:r>
      <w:r>
        <w:rPr/>
        <w:t>learning</w:t>
      </w:r>
      <w:r>
        <w:rPr>
          <w:spacing w:val="-10"/>
        </w:rPr>
        <w:t> </w:t>
      </w:r>
      <w:r>
        <w:rPr/>
        <w:t>approach</w:t>
      </w:r>
      <w:r>
        <w:rPr>
          <w:spacing w:val="-10"/>
        </w:rPr>
        <w:t> </w:t>
      </w:r>
      <w:r>
        <w:rPr/>
        <w:t>suggested</w:t>
      </w:r>
      <w:r>
        <w:rPr>
          <w:spacing w:val="-10"/>
        </w:rPr>
        <w:t> </w:t>
      </w:r>
      <w:r>
        <w:rPr/>
        <w:t>by</w:t>
      </w:r>
      <w:hyperlink w:history="true" w:anchor="_bookmark269">
        <w:r>
          <w:rPr>
            <w:color w:val="FF0000"/>
          </w:rPr>
          <w:t>Liu</w:t>
        </w:r>
        <w:r>
          <w:rPr>
            <w:color w:val="FF0000"/>
            <w:spacing w:val="-10"/>
          </w:rPr>
          <w:t> </w:t>
        </w:r>
        <w:r>
          <w:rPr>
            <w:color w:val="FF0000"/>
          </w:rPr>
          <w:t>et</w:t>
        </w:r>
        <w:r>
          <w:rPr>
            <w:color w:val="FF0000"/>
            <w:spacing w:val="-10"/>
          </w:rPr>
          <w:t> </w:t>
        </w:r>
        <w:r>
          <w:rPr>
            <w:color w:val="FF0000"/>
          </w:rPr>
          <w:t>al.</w:t>
        </w:r>
        <w:r>
          <w:rPr/>
          <w:t>(</w:t>
        </w:r>
      </w:hyperlink>
      <w:hyperlink w:history="true" w:anchor="_bookmark269">
        <w:r>
          <w:rPr>
            <w:color w:val="FF0000"/>
          </w:rPr>
          <w:t>2020</w:t>
        </w:r>
        <w:r>
          <w:rPr/>
          <w:t>)</w:t>
        </w:r>
      </w:hyperlink>
      <w:r>
        <w:rPr>
          <w:spacing w:val="-10"/>
        </w:rPr>
        <w:t> </w:t>
      </w:r>
      <w:r>
        <w:rPr/>
        <w:t>as</w:t>
      </w:r>
      <w:r>
        <w:rPr>
          <w:spacing w:val="-10"/>
        </w:rPr>
        <w:t> </w:t>
      </w:r>
      <w:r>
        <w:rPr>
          <w:spacing w:val="-5"/>
        </w:rPr>
        <w:t>an</w:t>
      </w:r>
    </w:p>
    <w:p>
      <w:pPr>
        <w:spacing w:after="0" w:line="275" w:lineRule="exact"/>
        <w:jc w:val="both"/>
        <w:sectPr>
          <w:pgSz w:w="11910" w:h="16840"/>
          <w:pgMar w:header="1961" w:footer="1428" w:top="2280" w:bottom="1620" w:left="1680" w:right="720"/>
        </w:sectPr>
      </w:pPr>
    </w:p>
    <w:p>
      <w:pPr>
        <w:pStyle w:val="BodyText"/>
        <w:rPr>
          <w:sz w:val="20"/>
        </w:rPr>
      </w:pPr>
    </w:p>
    <w:p>
      <w:pPr>
        <w:pStyle w:val="BodyText"/>
        <w:spacing w:before="7"/>
        <w:rPr>
          <w:sz w:val="22"/>
        </w:rPr>
      </w:pPr>
    </w:p>
    <w:p>
      <w:pPr>
        <w:pStyle w:val="BodyText"/>
        <w:spacing w:line="312" w:lineRule="auto" w:before="97"/>
        <w:ind w:left="610" w:right="413"/>
      </w:pPr>
      <w:r>
        <w:rPr/>
        <w:t>extension to these methods in football could be used in rugby league if a suitable </w:t>
      </w:r>
      <w:r>
        <w:rPr/>
        <w:t>quan- tity of data was available though.</w:t>
      </w:r>
      <w:r>
        <w:rPr>
          <w:spacing w:val="40"/>
        </w:rPr>
        <w:t> </w:t>
      </w:r>
      <w:r>
        <w:rPr/>
        <w:t>A further consideration is the point scoring structure of rugby league, which is much more complicated than football or ice hockey.</w:t>
      </w:r>
      <w:r>
        <w:rPr>
          <w:spacing w:val="35"/>
        </w:rPr>
        <w:t> </w:t>
      </w:r>
      <w:r>
        <w:rPr/>
        <w:t>In rugby league, there are five possible possession outcomes (Table</w:t>
      </w:r>
      <w:hyperlink w:history="true" w:anchor="_bookmark36">
        <w:r>
          <w:rPr>
            <w:color w:val="0000FF"/>
          </w:rPr>
          <w:t>2.1</w:t>
        </w:r>
      </w:hyperlink>
      <w:r>
        <w:rPr/>
        <w:t>), which limits the appli- cability of some of the models previously identified within the literature.</w:t>
      </w:r>
      <w:r>
        <w:rPr>
          <w:spacing w:val="40"/>
        </w:rPr>
        <w:t> </w:t>
      </w:r>
      <w:r>
        <w:rPr/>
        <w:t>For example, the individual probability estimation of scoring and conceding outcomes suggested by</w:t>
      </w:r>
      <w:r>
        <w:rPr>
          <w:spacing w:val="40"/>
        </w:rPr>
        <w:t> </w:t>
      </w:r>
      <w:hyperlink w:history="true" w:anchor="_bookmark239">
        <w:r>
          <w:rPr>
            <w:color w:val="FF0000"/>
          </w:rPr>
          <w:t>Decroos et al.</w:t>
        </w:r>
      </w:hyperlink>
      <w:r>
        <w:rPr/>
        <w:t>(</w:t>
      </w:r>
      <w:hyperlink w:history="true" w:anchor="_bookmark239">
        <w:r>
          <w:rPr>
            <w:color w:val="FF0000"/>
          </w:rPr>
          <w:t>2019</w:t>
        </w:r>
        <w:r>
          <w:rPr/>
          <w:t>)</w:t>
        </w:r>
      </w:hyperlink>
      <w:r>
        <w:rPr/>
        <w:t> would result in an impractical eight models being calculated. Con- </w:t>
      </w:r>
      <w:r>
        <w:rPr>
          <w:spacing w:val="-2"/>
        </w:rPr>
        <w:t>versely,</w:t>
      </w:r>
      <w:r>
        <w:rPr>
          <w:spacing w:val="-5"/>
        </w:rPr>
        <w:t> </w:t>
      </w:r>
      <w:r>
        <w:rPr>
          <w:spacing w:val="-2"/>
        </w:rPr>
        <w:t>aggregating</w:t>
      </w:r>
      <w:r>
        <w:rPr>
          <w:spacing w:val="-7"/>
        </w:rPr>
        <w:t> </w:t>
      </w:r>
      <w:r>
        <w:rPr>
          <w:spacing w:val="-2"/>
        </w:rPr>
        <w:t>the</w:t>
      </w:r>
      <w:r>
        <w:rPr>
          <w:spacing w:val="-7"/>
        </w:rPr>
        <w:t> </w:t>
      </w:r>
      <w:r>
        <w:rPr>
          <w:spacing w:val="-2"/>
        </w:rPr>
        <w:t>point</w:t>
      </w:r>
      <w:r>
        <w:rPr>
          <w:spacing w:val="-7"/>
        </w:rPr>
        <w:t> </w:t>
      </w:r>
      <w:r>
        <w:rPr>
          <w:spacing w:val="-2"/>
        </w:rPr>
        <w:t>scoring</w:t>
      </w:r>
      <w:r>
        <w:rPr>
          <w:spacing w:val="-7"/>
        </w:rPr>
        <w:t> </w:t>
      </w:r>
      <w:r>
        <w:rPr>
          <w:spacing w:val="-2"/>
        </w:rPr>
        <w:t>methods</w:t>
      </w:r>
      <w:r>
        <w:rPr>
          <w:spacing w:val="-7"/>
        </w:rPr>
        <w:t> </w:t>
      </w:r>
      <w:r>
        <w:rPr>
          <w:spacing w:val="-2"/>
        </w:rPr>
        <w:t>together</w:t>
      </w:r>
      <w:r>
        <w:rPr>
          <w:spacing w:val="-7"/>
        </w:rPr>
        <w:t> </w:t>
      </w:r>
      <w:r>
        <w:rPr>
          <w:spacing w:val="-2"/>
        </w:rPr>
        <w:t>as</w:t>
      </w:r>
      <w:r>
        <w:rPr>
          <w:spacing w:val="-7"/>
        </w:rPr>
        <w:t> </w:t>
      </w:r>
      <w:r>
        <w:rPr>
          <w:spacing w:val="-2"/>
        </w:rPr>
        <w:t>has</w:t>
      </w:r>
      <w:r>
        <w:rPr>
          <w:spacing w:val="-7"/>
        </w:rPr>
        <w:t> </w:t>
      </w:r>
      <w:r>
        <w:rPr>
          <w:spacing w:val="-2"/>
        </w:rPr>
        <w:t>been</w:t>
      </w:r>
      <w:r>
        <w:rPr>
          <w:spacing w:val="-7"/>
        </w:rPr>
        <w:t> </w:t>
      </w:r>
      <w:r>
        <w:rPr>
          <w:spacing w:val="-2"/>
        </w:rPr>
        <w:t>done</w:t>
      </w:r>
      <w:r>
        <w:rPr>
          <w:spacing w:val="-7"/>
        </w:rPr>
        <w:t> </w:t>
      </w:r>
      <w:r>
        <w:rPr>
          <w:spacing w:val="-2"/>
        </w:rPr>
        <w:t>in</w:t>
      </w:r>
      <w:r>
        <w:rPr>
          <w:spacing w:val="-7"/>
        </w:rPr>
        <w:t> </w:t>
      </w:r>
      <w:r>
        <w:rPr>
          <w:spacing w:val="-2"/>
        </w:rPr>
        <w:t>all</w:t>
      </w:r>
      <w:r>
        <w:rPr>
          <w:spacing w:val="-7"/>
        </w:rPr>
        <w:t> </w:t>
      </w:r>
      <w:r>
        <w:rPr>
          <w:spacing w:val="-2"/>
        </w:rPr>
        <w:t>approaches </w:t>
      </w:r>
      <w:r>
        <w:rPr/>
        <w:t>to date, where multiple scoring options are available (</w:t>
      </w:r>
      <w:hyperlink w:history="true" w:anchor="_bookmark231">
        <w:r>
          <w:rPr>
            <w:color w:val="FF0000"/>
          </w:rPr>
          <w:t>Cervone et al.</w:t>
        </w:r>
      </w:hyperlink>
      <w:r>
        <w:rPr/>
        <w:t>,</w:t>
      </w:r>
      <w:hyperlink w:history="true" w:anchor="_bookmark231">
        <w:r>
          <w:rPr>
            <w:color w:val="FF0000"/>
          </w:rPr>
          <w:t>2016</w:t>
        </w:r>
        <w:r>
          <w:rPr/>
          <w:t>;</w:t>
        </w:r>
      </w:hyperlink>
      <w:r>
        <w:rPr>
          <w:color w:val="FF0000"/>
        </w:rPr>
        <w:t>Chan </w:t>
      </w:r>
      <w:hyperlink w:history="true" w:anchor="_bookmark232">
        <w:r>
          <w:rPr>
            <w:color w:val="FF0000"/>
          </w:rPr>
          <w:t>et al.</w:t>
        </w:r>
        <w:r>
          <w:rPr/>
          <w:t>,</w:t>
        </w:r>
      </w:hyperlink>
      <w:r>
        <w:rPr/>
        <w:t> </w:t>
      </w:r>
      <w:hyperlink w:history="true" w:anchor="_bookmark232">
        <w:r>
          <w:rPr>
            <w:color w:val="FF0000"/>
          </w:rPr>
          <w:t>2021</w:t>
        </w:r>
      </w:hyperlink>
      <w:r>
        <w:rPr/>
        <w:t>;</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could result in the loss of valuable data with respect to op- position strategies.</w:t>
      </w:r>
      <w:r>
        <w:rPr>
          <w:spacing w:val="40"/>
        </w:rPr>
        <w:t> </w:t>
      </w:r>
      <w:r>
        <w:rPr/>
        <w:t>For example, if a team is more likely to score or concede a penalty goal</w:t>
      </w:r>
      <w:r>
        <w:rPr>
          <w:spacing w:val="-2"/>
        </w:rPr>
        <w:t> </w:t>
      </w:r>
      <w:r>
        <w:rPr/>
        <w:t>or</w:t>
      </w:r>
      <w:r>
        <w:rPr>
          <w:spacing w:val="-2"/>
        </w:rPr>
        <w:t> </w:t>
      </w:r>
      <w:r>
        <w:rPr/>
        <w:t>a</w:t>
      </w:r>
      <w:r>
        <w:rPr>
          <w:spacing w:val="-2"/>
        </w:rPr>
        <w:t> </w:t>
      </w:r>
      <w:r>
        <w:rPr/>
        <w:t>converted</w:t>
      </w:r>
      <w:r>
        <w:rPr>
          <w:spacing w:val="-2"/>
        </w:rPr>
        <w:t> </w:t>
      </w:r>
      <w:r>
        <w:rPr/>
        <w:t>try</w:t>
      </w:r>
      <w:r>
        <w:rPr>
          <w:spacing w:val="-2"/>
        </w:rPr>
        <w:t> </w:t>
      </w:r>
      <w:r>
        <w:rPr/>
        <w:t>from</w:t>
      </w:r>
      <w:r>
        <w:rPr>
          <w:spacing w:val="-2"/>
        </w:rPr>
        <w:t> </w:t>
      </w:r>
      <w:r>
        <w:rPr/>
        <w:t>a</w:t>
      </w:r>
      <w:r>
        <w:rPr>
          <w:spacing w:val="-2"/>
        </w:rPr>
        <w:t> </w:t>
      </w:r>
      <w:r>
        <w:rPr/>
        <w:t>specific</w:t>
      </w:r>
      <w:r>
        <w:rPr>
          <w:spacing w:val="-2"/>
        </w:rPr>
        <w:t> </w:t>
      </w:r>
      <w:r>
        <w:rPr/>
        <w:t>area</w:t>
      </w:r>
      <w:r>
        <w:rPr>
          <w:spacing w:val="-2"/>
        </w:rPr>
        <w:t> </w:t>
      </w:r>
      <w:r>
        <w:rPr/>
        <w:t>of</w:t>
      </w:r>
      <w:r>
        <w:rPr>
          <w:spacing w:val="-2"/>
        </w:rPr>
        <w:t> </w:t>
      </w:r>
      <w:r>
        <w:rPr/>
        <w:t>the</w:t>
      </w:r>
      <w:r>
        <w:rPr>
          <w:spacing w:val="-2"/>
        </w:rPr>
        <w:t> </w:t>
      </w:r>
      <w:r>
        <w:rPr/>
        <w:t>pitch,</w:t>
      </w:r>
      <w:r>
        <w:rPr>
          <w:spacing w:val="-1"/>
        </w:rPr>
        <w:t> </w:t>
      </w:r>
      <w:r>
        <w:rPr/>
        <w:t>it</w:t>
      </w:r>
      <w:r>
        <w:rPr>
          <w:spacing w:val="-2"/>
        </w:rPr>
        <w:t> </w:t>
      </w:r>
      <w:r>
        <w:rPr/>
        <w:t>would</w:t>
      </w:r>
      <w:r>
        <w:rPr>
          <w:spacing w:val="-2"/>
        </w:rPr>
        <w:t> </w:t>
      </w:r>
      <w:r>
        <w:rPr/>
        <w:t>be</w:t>
      </w:r>
      <w:r>
        <w:rPr>
          <w:spacing w:val="-2"/>
        </w:rPr>
        <w:t> </w:t>
      </w:r>
      <w:r>
        <w:rPr/>
        <w:t>useful</w:t>
      </w:r>
      <w:r>
        <w:rPr>
          <w:spacing w:val="-2"/>
        </w:rPr>
        <w:t> </w:t>
      </w:r>
      <w:r>
        <w:rPr/>
        <w:t>for</w:t>
      </w:r>
      <w:r>
        <w:rPr>
          <w:spacing w:val="-2"/>
        </w:rPr>
        <w:t> </w:t>
      </w:r>
      <w:r>
        <w:rPr/>
        <w:t>a</w:t>
      </w:r>
      <w:r>
        <w:rPr>
          <w:spacing w:val="-2"/>
        </w:rPr>
        <w:t> </w:t>
      </w:r>
      <w:r>
        <w:rPr/>
        <w:t>coach</w:t>
      </w:r>
      <w:r>
        <w:rPr>
          <w:spacing w:val="-2"/>
        </w:rPr>
        <w:t> </w:t>
      </w:r>
      <w:r>
        <w:rPr/>
        <w:t>to be able to use that information to devise attacking or defending strategies for upcoming matches.</w:t>
      </w:r>
      <w:r>
        <w:rPr>
          <w:spacing w:val="40"/>
        </w:rPr>
        <w:t> </w:t>
      </w:r>
      <w:r>
        <w:rPr/>
        <w:t>Given the data available within rugby league, it could be difficult to identify an</w:t>
      </w:r>
      <w:r>
        <w:rPr>
          <w:spacing w:val="-4"/>
        </w:rPr>
        <w:t> </w:t>
      </w:r>
      <w:r>
        <w:rPr/>
        <w:t>appropriate</w:t>
      </w:r>
      <w:r>
        <w:rPr>
          <w:spacing w:val="-4"/>
        </w:rPr>
        <w:t> </w:t>
      </w:r>
      <w:r>
        <w:rPr/>
        <w:t>machine</w:t>
      </w:r>
      <w:r>
        <w:rPr>
          <w:spacing w:val="-4"/>
        </w:rPr>
        <w:t> </w:t>
      </w:r>
      <w:r>
        <w:rPr/>
        <w:t>learning</w:t>
      </w:r>
      <w:r>
        <w:rPr>
          <w:spacing w:val="-4"/>
        </w:rPr>
        <w:t> </w:t>
      </w:r>
      <w:r>
        <w:rPr/>
        <w:t>method</w:t>
      </w:r>
      <w:r>
        <w:rPr>
          <w:spacing w:val="-4"/>
        </w:rPr>
        <w:t> </w:t>
      </w:r>
      <w:r>
        <w:rPr/>
        <w:t>to</w:t>
      </w:r>
      <w:r>
        <w:rPr>
          <w:spacing w:val="-4"/>
        </w:rPr>
        <w:t> </w:t>
      </w:r>
      <w:r>
        <w:rPr/>
        <w:t>estimate</w:t>
      </w:r>
      <w:r>
        <w:rPr>
          <w:spacing w:val="-4"/>
        </w:rPr>
        <w:t> </w:t>
      </w:r>
      <w:r>
        <w:rPr/>
        <w:t>the</w:t>
      </w:r>
      <w:r>
        <w:rPr>
          <w:spacing w:val="-4"/>
        </w:rPr>
        <w:t> </w:t>
      </w:r>
      <w:r>
        <w:rPr/>
        <w:t>probability</w:t>
      </w:r>
      <w:r>
        <w:rPr>
          <w:spacing w:val="-4"/>
        </w:rPr>
        <w:t> </w:t>
      </w:r>
      <w:r>
        <w:rPr/>
        <w:t>of</w:t>
      </w:r>
      <w:r>
        <w:rPr>
          <w:spacing w:val="-4"/>
        </w:rPr>
        <w:t> </w:t>
      </w:r>
      <w:r>
        <w:rPr/>
        <w:t>individual</w:t>
      </w:r>
      <w:r>
        <w:rPr>
          <w:spacing w:val="-4"/>
        </w:rPr>
        <w:t> </w:t>
      </w:r>
      <w:r>
        <w:rPr/>
        <w:t>posses- sion outcomes, so a Bayesian approach, which provides parameter estimates conditional on</w:t>
      </w:r>
      <w:r>
        <w:rPr>
          <w:spacing w:val="23"/>
        </w:rPr>
        <w:t> </w:t>
      </w:r>
      <w:r>
        <w:rPr/>
        <w:t>prior</w:t>
      </w:r>
      <w:r>
        <w:rPr>
          <w:spacing w:val="23"/>
        </w:rPr>
        <w:t> </w:t>
      </w:r>
      <w:r>
        <w:rPr/>
        <w:t>knowledge</w:t>
      </w:r>
      <w:r>
        <w:rPr>
          <w:spacing w:val="23"/>
        </w:rPr>
        <w:t> </w:t>
      </w:r>
      <w:r>
        <w:rPr/>
        <w:t>and</w:t>
      </w:r>
      <w:r>
        <w:rPr>
          <w:spacing w:val="23"/>
        </w:rPr>
        <w:t> </w:t>
      </w:r>
      <w:r>
        <w:rPr/>
        <w:t>the</w:t>
      </w:r>
      <w:r>
        <w:rPr>
          <w:spacing w:val="23"/>
        </w:rPr>
        <w:t> </w:t>
      </w:r>
      <w:r>
        <w:rPr/>
        <w:t>data</w:t>
      </w:r>
      <w:r>
        <w:rPr>
          <w:spacing w:val="23"/>
        </w:rPr>
        <w:t> </w:t>
      </w:r>
      <w:r>
        <w:rPr/>
        <w:t>available</w:t>
      </w:r>
      <w:r>
        <w:rPr>
          <w:spacing w:val="23"/>
        </w:rPr>
        <w:t> </w:t>
      </w:r>
      <w:r>
        <w:rPr/>
        <w:t>may</w:t>
      </w:r>
      <w:r>
        <w:rPr>
          <w:spacing w:val="23"/>
        </w:rPr>
        <w:t> </w:t>
      </w:r>
      <w:r>
        <w:rPr/>
        <w:t>be</w:t>
      </w:r>
      <w:r>
        <w:rPr>
          <w:spacing w:val="23"/>
        </w:rPr>
        <w:t> </w:t>
      </w:r>
      <w:r>
        <w:rPr/>
        <w:t>more</w:t>
      </w:r>
      <w:r>
        <w:rPr>
          <w:spacing w:val="23"/>
        </w:rPr>
        <w:t> </w:t>
      </w:r>
      <w:r>
        <w:rPr/>
        <w:t>appropriate.</w:t>
      </w:r>
      <w:r>
        <w:rPr>
          <w:spacing w:val="80"/>
        </w:rPr>
        <w:t> </w:t>
      </w:r>
      <w:r>
        <w:rPr/>
        <w:t>A</w:t>
      </w:r>
      <w:r>
        <w:rPr>
          <w:spacing w:val="23"/>
        </w:rPr>
        <w:t> </w:t>
      </w:r>
      <w:r>
        <w:rPr/>
        <w:t>Bayesian</w:t>
      </w:r>
      <w:r>
        <w:rPr>
          <w:spacing w:val="23"/>
        </w:rPr>
        <w:t> </w:t>
      </w:r>
      <w:r>
        <w:rPr/>
        <w:t>ap- proach has previously been used in the EPV literature (</w:t>
      </w:r>
      <w:hyperlink w:history="true" w:anchor="_bookmark231">
        <w:r>
          <w:rPr>
            <w:color w:val="FF0000"/>
          </w:rPr>
          <w:t>Cervone et al.</w:t>
        </w:r>
      </w:hyperlink>
      <w:r>
        <w:rPr/>
        <w:t>,</w:t>
      </w:r>
      <w:hyperlink w:history="true" w:anchor="_bookmark231">
        <w:r>
          <w:rPr>
            <w:color w:val="FF0000"/>
          </w:rPr>
          <w:t>2016</w:t>
        </w:r>
      </w:hyperlink>
      <w:r>
        <w:rPr/>
        <w:t>), albeit not</w:t>
      </w:r>
      <w:r>
        <w:rPr>
          <w:spacing w:val="40"/>
        </w:rPr>
        <w:t> </w:t>
      </w:r>
      <w:r>
        <w:rPr/>
        <w:t>to estimate individual possession outcome probabilities, and has been used to show un- certainty</w:t>
      </w:r>
      <w:r>
        <w:rPr>
          <w:spacing w:val="-5"/>
        </w:rPr>
        <w:t> </w:t>
      </w:r>
      <w:r>
        <w:rPr/>
        <w:t>in</w:t>
      </w:r>
      <w:r>
        <w:rPr>
          <w:spacing w:val="-5"/>
        </w:rPr>
        <w:t> </w:t>
      </w:r>
      <w:r>
        <w:rPr/>
        <w:t>player</w:t>
      </w:r>
      <w:r>
        <w:rPr>
          <w:spacing w:val="-5"/>
        </w:rPr>
        <w:t> </w:t>
      </w:r>
      <w:r>
        <w:rPr/>
        <w:t>ratings</w:t>
      </w:r>
      <w:r>
        <w:rPr>
          <w:spacing w:val="-5"/>
        </w:rPr>
        <w:t> </w:t>
      </w:r>
      <w:r>
        <w:rPr/>
        <w:t>based</w:t>
      </w:r>
      <w:r>
        <w:rPr>
          <w:spacing w:val="-5"/>
        </w:rPr>
        <w:t> </w:t>
      </w:r>
      <w:r>
        <w:rPr/>
        <w:t>on</w:t>
      </w:r>
      <w:r>
        <w:rPr>
          <w:spacing w:val="-5"/>
        </w:rPr>
        <w:t> </w:t>
      </w:r>
      <w:r>
        <w:rPr/>
        <w:t>the</w:t>
      </w:r>
      <w:r>
        <w:rPr>
          <w:spacing w:val="-5"/>
        </w:rPr>
        <w:t> </w:t>
      </w:r>
      <w:r>
        <w:rPr/>
        <w:t>data</w:t>
      </w:r>
      <w:r>
        <w:rPr>
          <w:spacing w:val="-5"/>
        </w:rPr>
        <w:t> </w:t>
      </w:r>
      <w:r>
        <w:rPr/>
        <w:t>available</w:t>
      </w:r>
      <w:r>
        <w:rPr>
          <w:spacing w:val="-5"/>
        </w:rPr>
        <w:t> </w:t>
      </w:r>
      <w:r>
        <w:rPr/>
        <w:t>for</w:t>
      </w:r>
      <w:r>
        <w:rPr>
          <w:spacing w:val="-5"/>
        </w:rPr>
        <w:t> </w:t>
      </w:r>
      <w:r>
        <w:rPr/>
        <w:t>them</w:t>
      </w:r>
      <w:r>
        <w:rPr>
          <w:spacing w:val="-5"/>
        </w:rPr>
        <w:t> </w:t>
      </w:r>
      <w:r>
        <w:rPr/>
        <w:t>within</w:t>
      </w:r>
      <w:r>
        <w:rPr>
          <w:spacing w:val="-5"/>
        </w:rPr>
        <w:t> </w:t>
      </w:r>
      <w:r>
        <w:rPr/>
        <w:t>accumulated</w:t>
      </w:r>
      <w:r>
        <w:rPr>
          <w:spacing w:val="-5"/>
        </w:rPr>
        <w:t> </w:t>
      </w:r>
      <w:r>
        <w:rPr/>
        <w:t>count data analysis (</w:t>
      </w:r>
      <w:hyperlink w:history="true" w:anchor="_bookmark309">
        <w:r>
          <w:rPr>
            <w:color w:val="FF0000"/>
          </w:rPr>
          <w:t>Whitaker et al.</w:t>
        </w:r>
      </w:hyperlink>
      <w:r>
        <w:rPr/>
        <w:t>,</w:t>
      </w:r>
      <w:hyperlink w:history="true" w:anchor="_bookmark309">
        <w:r>
          <w:rPr>
            <w:color w:val="FF0000"/>
          </w:rPr>
          <w:t>2021</w:t>
        </w:r>
      </w:hyperlink>
      <w:r>
        <w:rPr/>
        <w:t>). This novel approach to the estimation of individual possession outcome probabilities could therefore provide the best analytical solution to the challenges imposed by low data availability sports.</w:t>
      </w:r>
      <w:r>
        <w:rPr>
          <w:spacing w:val="40"/>
        </w:rPr>
        <w:t> </w:t>
      </w:r>
      <w:r>
        <w:rPr/>
        <w:t>The flexibility of such a model could also provide significantly more scope to produce novel metrics evaluating player and team performances.</w:t>
      </w:r>
    </w:p>
    <w:p>
      <w:pPr>
        <w:pStyle w:val="BodyText"/>
        <w:spacing w:before="3"/>
        <w:rPr>
          <w:sz w:val="40"/>
        </w:rPr>
      </w:pPr>
    </w:p>
    <w:p>
      <w:pPr>
        <w:pStyle w:val="Heading2"/>
        <w:numPr>
          <w:ilvl w:val="1"/>
          <w:numId w:val="17"/>
        </w:numPr>
        <w:tabs>
          <w:tab w:pos="1385" w:val="left" w:leader="none"/>
          <w:tab w:pos="1386" w:val="left" w:leader="none"/>
        </w:tabs>
        <w:spacing w:line="240" w:lineRule="auto" w:before="0" w:after="0"/>
        <w:ind w:left="1385" w:right="0" w:hanging="776"/>
        <w:jc w:val="left"/>
      </w:pPr>
      <w:bookmarkStart w:name="_TOC_250047" w:id="88"/>
      <w:bookmarkStart w:name="2.5 Methodological Overview" w:id="89"/>
      <w:r>
        <w:rPr>
          <w:b w:val="0"/>
        </w:rPr>
      </w:r>
      <w:bookmarkStart w:name="_bookmark47" w:id="90"/>
      <w:bookmarkEnd w:id="90"/>
      <w:r>
        <w:rPr/>
        <w:t>Methodological</w:t>
      </w:r>
      <w:r>
        <w:rPr>
          <w:spacing w:val="23"/>
        </w:rPr>
        <w:t> </w:t>
      </w:r>
      <w:bookmarkEnd w:id="88"/>
      <w:r>
        <w:rPr>
          <w:spacing w:val="-2"/>
        </w:rPr>
        <w:t>Overview</w:t>
      </w:r>
    </w:p>
    <w:p>
      <w:pPr>
        <w:pStyle w:val="BodyText"/>
        <w:spacing w:line="312" w:lineRule="auto" w:before="308"/>
        <w:ind w:left="610" w:right="389"/>
        <w:jc w:val="both"/>
      </w:pPr>
      <w:r>
        <w:rPr/>
        <w:t>In Section</w:t>
      </w:r>
      <w:hyperlink w:history="true" w:anchor="_bookmark43">
        <w:r>
          <w:rPr>
            <w:color w:val="0000FF"/>
          </w:rPr>
          <w:t>2.4</w:t>
        </w:r>
        <w:r>
          <w:rPr/>
          <w:t>,</w:t>
        </w:r>
      </w:hyperlink>
      <w:r>
        <w:rPr/>
        <w:t> the difficulties associated with adapting</w:t>
      </w:r>
      <w:r>
        <w:rPr>
          <w:spacing w:val="-1"/>
        </w:rPr>
        <w:t> </w:t>
      </w:r>
      <w:r>
        <w:rPr/>
        <w:t>some methods previously</w:t>
      </w:r>
      <w:r>
        <w:rPr>
          <w:spacing w:val="-1"/>
        </w:rPr>
        <w:t> </w:t>
      </w:r>
      <w:r>
        <w:rPr/>
        <w:t>used in the literature to the unique characteristics of rugby league were highlighted.</w:t>
      </w:r>
      <w:r>
        <w:rPr>
          <w:spacing w:val="35"/>
        </w:rPr>
        <w:t> </w:t>
      </w:r>
      <w:r>
        <w:rPr/>
        <w:t>In this sec- tion, a high level overview of the methods which will be used in this thesis is provided. Four</w:t>
      </w:r>
      <w:r>
        <w:rPr>
          <w:spacing w:val="-15"/>
        </w:rPr>
        <w:t> </w:t>
      </w:r>
      <w:r>
        <w:rPr/>
        <w:t>key</w:t>
      </w:r>
      <w:r>
        <w:rPr>
          <w:spacing w:val="-14"/>
        </w:rPr>
        <w:t> </w:t>
      </w:r>
      <w:r>
        <w:rPr/>
        <w:t>methods</w:t>
      </w:r>
      <w:r>
        <w:rPr>
          <w:spacing w:val="-15"/>
        </w:rPr>
        <w:t> </w:t>
      </w:r>
      <w:r>
        <w:rPr/>
        <w:t>will</w:t>
      </w:r>
      <w:r>
        <w:rPr>
          <w:spacing w:val="-14"/>
        </w:rPr>
        <w:t> </w:t>
      </w:r>
      <w:r>
        <w:rPr/>
        <w:t>be</w:t>
      </w:r>
      <w:r>
        <w:rPr>
          <w:spacing w:val="-15"/>
        </w:rPr>
        <w:t> </w:t>
      </w:r>
      <w:r>
        <w:rPr/>
        <w:t>considered: Markov</w:t>
      </w:r>
      <w:r>
        <w:rPr>
          <w:spacing w:val="-15"/>
        </w:rPr>
        <w:t> </w:t>
      </w:r>
      <w:r>
        <w:rPr/>
        <w:t>models</w:t>
      </w:r>
      <w:r>
        <w:rPr>
          <w:spacing w:val="-15"/>
        </w:rPr>
        <w:t> </w:t>
      </w:r>
      <w:r>
        <w:rPr/>
        <w:t>from</w:t>
      </w:r>
      <w:r>
        <w:rPr>
          <w:spacing w:val="-14"/>
        </w:rPr>
        <w:t> </w:t>
      </w:r>
      <w:r>
        <w:rPr/>
        <w:t>the</w:t>
      </w:r>
      <w:r>
        <w:rPr>
          <w:spacing w:val="-15"/>
        </w:rPr>
        <w:t> </w:t>
      </w:r>
      <w:r>
        <w:rPr/>
        <w:t>existing</w:t>
      </w:r>
      <w:r>
        <w:rPr>
          <w:spacing w:val="-14"/>
        </w:rPr>
        <w:t> </w:t>
      </w:r>
      <w:r>
        <w:rPr/>
        <w:t>literature</w:t>
      </w:r>
      <w:r>
        <w:rPr>
          <w:spacing w:val="-14"/>
        </w:rPr>
        <w:t> </w:t>
      </w:r>
      <w:r>
        <w:rPr/>
        <w:t>(</w:t>
      </w:r>
      <w:hyperlink w:history="true" w:anchor="_bookmark263">
        <w:r>
          <w:rPr>
            <w:color w:val="FF0000"/>
          </w:rPr>
          <w:t>Kemp-</w:t>
        </w:r>
      </w:hyperlink>
      <w:r>
        <w:rPr>
          <w:color w:val="FF0000"/>
        </w:rPr>
        <w:t> </w:t>
      </w:r>
      <w:hyperlink w:history="true" w:anchor="_bookmark263">
        <w:r>
          <w:rPr>
            <w:color w:val="FF0000"/>
          </w:rPr>
          <w:t>ton</w:t>
        </w:r>
        <w:r>
          <w:rPr>
            <w:color w:val="FF0000"/>
            <w:spacing w:val="38"/>
          </w:rPr>
          <w:t> </w:t>
        </w:r>
        <w:r>
          <w:rPr>
            <w:color w:val="FF0000"/>
          </w:rPr>
          <w:t>et</w:t>
        </w:r>
        <w:r>
          <w:rPr>
            <w:color w:val="FF0000"/>
            <w:spacing w:val="37"/>
          </w:rPr>
          <w:t> </w:t>
        </w:r>
        <w:r>
          <w:rPr>
            <w:color w:val="FF0000"/>
          </w:rPr>
          <w:t>al.</w:t>
        </w:r>
      </w:hyperlink>
      <w:r>
        <w:rPr/>
        <w:t>,</w:t>
      </w:r>
      <w:hyperlink w:history="true" w:anchor="_bookmark263">
        <w:r>
          <w:rPr>
            <w:color w:val="FF0000"/>
          </w:rPr>
          <w:t>2016</w:t>
        </w:r>
        <w:r>
          <w:rPr/>
          <w:t>;</w:t>
        </w:r>
      </w:hyperlink>
      <w:hyperlink w:history="true" w:anchor="_bookmark287">
        <w:r>
          <w:rPr>
            <w:color w:val="FF0000"/>
          </w:rPr>
          <w:t>Routley</w:t>
        </w:r>
        <w:r>
          <w:rPr>
            <w:color w:val="FF0000"/>
            <w:spacing w:val="37"/>
          </w:rPr>
          <w:t> </w:t>
        </w:r>
        <w:r>
          <w:rPr>
            <w:color w:val="FF0000"/>
          </w:rPr>
          <w:t>and</w:t>
        </w:r>
        <w:r>
          <w:rPr>
            <w:color w:val="FF0000"/>
            <w:spacing w:val="38"/>
          </w:rPr>
          <w:t> </w:t>
        </w:r>
        <w:r>
          <w:rPr>
            <w:color w:val="FF0000"/>
          </w:rPr>
          <w:t>Schulte</w:t>
        </w:r>
        <w:r>
          <w:rPr/>
          <w:t>,</w:t>
        </w:r>
      </w:hyperlink>
      <w:r>
        <w:rPr>
          <w:color w:val="FF0000"/>
        </w:rPr>
        <w:t>2015</w:t>
      </w:r>
      <w:hyperlink w:history="true" w:anchor="_bookmark287">
        <w:r>
          <w:rPr/>
          <w:t>;</w:t>
        </w:r>
      </w:hyperlink>
      <w:r>
        <w:rPr>
          <w:color w:val="FF0000"/>
        </w:rPr>
        <w:t>Singh</w:t>
      </w:r>
      <w:hyperlink w:history="true" w:anchor="_bookmark294">
        <w:r>
          <w:rPr/>
          <w:t>,</w:t>
        </w:r>
        <w:r>
          <w:rPr>
            <w:color w:val="FF0000"/>
          </w:rPr>
          <w:t>n.d.</w:t>
        </w:r>
      </w:hyperlink>
      <w:r>
        <w:rPr/>
        <w:t>)</w:t>
      </w:r>
      <w:r>
        <w:rPr>
          <w:spacing w:val="80"/>
        </w:rPr>
        <w:t> </w:t>
      </w:r>
      <w:r>
        <w:rPr/>
        <w:t>will</w:t>
      </w:r>
      <w:r>
        <w:rPr>
          <w:spacing w:val="38"/>
        </w:rPr>
        <w:t> </w:t>
      </w:r>
      <w:r>
        <w:rPr/>
        <w:t>be</w:t>
      </w:r>
      <w:r>
        <w:rPr>
          <w:spacing w:val="37"/>
        </w:rPr>
        <w:t> </w:t>
      </w:r>
      <w:r>
        <w:rPr/>
        <w:t>applied,</w:t>
      </w:r>
      <w:r>
        <w:rPr>
          <w:spacing w:val="40"/>
        </w:rPr>
        <w:t> </w:t>
      </w:r>
      <w:r>
        <w:rPr/>
        <w:t>adapted</w:t>
      </w:r>
      <w:r>
        <w:rPr>
          <w:spacing w:val="38"/>
        </w:rPr>
        <w:t> </w:t>
      </w:r>
      <w:r>
        <w:rPr/>
        <w:t>and</w:t>
      </w:r>
    </w:p>
    <w:p>
      <w:pPr>
        <w:spacing w:after="0" w:line="312" w:lineRule="auto"/>
        <w:jc w:val="both"/>
        <w:sectPr>
          <w:headerReference w:type="default" r:id="rId55"/>
          <w:footerReference w:type="default" r:id="rId56"/>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pPr>
      <w:r>
        <w:rPr/>
        <w:t>extended to rugby league in Chapters</w:t>
      </w:r>
      <w:r>
        <w:rPr>
          <w:color w:val="0000FF"/>
        </w:rPr>
        <w:t>3</w:t>
      </w:r>
      <w:r>
        <w:rPr/>
        <w:t>and</w:t>
      </w:r>
      <w:r>
        <w:rPr>
          <w:color w:val="0000FF"/>
        </w:rPr>
        <w:t>4</w:t>
      </w:r>
      <w:r>
        <w:rPr/>
        <w:t>; Kernel Density Estimation will be used to </w:t>
      </w:r>
      <w:r>
        <w:rPr>
          <w:spacing w:val="-2"/>
        </w:rPr>
        <w:t>evaluate</w:t>
      </w:r>
      <w:r>
        <w:rPr>
          <w:spacing w:val="-5"/>
        </w:rPr>
        <w:t> </w:t>
      </w:r>
      <w:r>
        <w:rPr>
          <w:spacing w:val="-2"/>
        </w:rPr>
        <w:t>the</w:t>
      </w:r>
      <w:r>
        <w:rPr>
          <w:spacing w:val="-5"/>
        </w:rPr>
        <w:t> </w:t>
      </w:r>
      <w:r>
        <w:rPr>
          <w:spacing w:val="-2"/>
        </w:rPr>
        <w:t>spatial</w:t>
      </w:r>
      <w:r>
        <w:rPr>
          <w:spacing w:val="-5"/>
        </w:rPr>
        <w:t> </w:t>
      </w:r>
      <w:r>
        <w:rPr>
          <w:spacing w:val="-2"/>
        </w:rPr>
        <w:t>trends</w:t>
      </w:r>
      <w:r>
        <w:rPr>
          <w:spacing w:val="-5"/>
        </w:rPr>
        <w:t> </w:t>
      </w:r>
      <w:r>
        <w:rPr>
          <w:spacing w:val="-2"/>
        </w:rPr>
        <w:t>of</w:t>
      </w:r>
      <w:r>
        <w:rPr>
          <w:spacing w:val="-5"/>
        </w:rPr>
        <w:t> </w:t>
      </w:r>
      <w:r>
        <w:rPr>
          <w:spacing w:val="-2"/>
        </w:rPr>
        <w:t>attacking</w:t>
      </w:r>
      <w:r>
        <w:rPr>
          <w:spacing w:val="-5"/>
        </w:rPr>
        <w:t> </w:t>
      </w:r>
      <w:r>
        <w:rPr>
          <w:spacing w:val="-2"/>
        </w:rPr>
        <w:t>performances, adapting</w:t>
      </w:r>
      <w:r>
        <w:rPr>
          <w:spacing w:val="-5"/>
        </w:rPr>
        <w:t> </w:t>
      </w:r>
      <w:r>
        <w:rPr>
          <w:spacing w:val="-2"/>
        </w:rPr>
        <w:t>previous</w:t>
      </w:r>
      <w:r>
        <w:rPr>
          <w:spacing w:val="-5"/>
        </w:rPr>
        <w:t> </w:t>
      </w:r>
      <w:r>
        <w:rPr>
          <w:spacing w:val="-2"/>
        </w:rPr>
        <w:t>research</w:t>
      </w:r>
      <w:r>
        <w:rPr>
          <w:spacing w:val="-5"/>
        </w:rPr>
        <w:t> </w:t>
      </w:r>
      <w:r>
        <w:rPr>
          <w:spacing w:val="-2"/>
        </w:rPr>
        <w:t>in</w:t>
      </w:r>
      <w:r>
        <w:rPr>
          <w:spacing w:val="-5"/>
        </w:rPr>
        <w:t> </w:t>
      </w:r>
      <w:r>
        <w:rPr>
          <w:spacing w:val="-2"/>
        </w:rPr>
        <w:t>Amer- </w:t>
      </w:r>
      <w:r>
        <w:rPr/>
        <w:t>ican</w:t>
      </w:r>
      <w:r>
        <w:rPr>
          <w:spacing w:val="-1"/>
        </w:rPr>
        <w:t> </w:t>
      </w:r>
      <w:r>
        <w:rPr/>
        <w:t>football</w:t>
      </w:r>
      <w:r>
        <w:rPr>
          <w:spacing w:val="-1"/>
        </w:rPr>
        <w:t> </w:t>
      </w:r>
      <w:r>
        <w:rPr/>
        <w:t>(</w:t>
      </w:r>
      <w:hyperlink w:history="true" w:anchor="_bookmark271">
        <w:r>
          <w:rPr>
            <w:color w:val="FF0000"/>
          </w:rPr>
          <w:t>Mallepalle</w:t>
        </w:r>
        <w:r>
          <w:rPr>
            <w:color w:val="FF0000"/>
            <w:spacing w:val="-1"/>
          </w:rPr>
          <w:t> </w:t>
        </w:r>
        <w:r>
          <w:rPr>
            <w:color w:val="FF0000"/>
          </w:rPr>
          <w:t>et</w:t>
        </w:r>
        <w:r>
          <w:rPr>
            <w:color w:val="FF0000"/>
            <w:spacing w:val="-1"/>
          </w:rPr>
          <w:t> </w:t>
        </w:r>
        <w:r>
          <w:rPr>
            <w:color w:val="FF0000"/>
          </w:rPr>
          <w:t>al.</w:t>
        </w:r>
      </w:hyperlink>
      <w:r>
        <w:rPr/>
        <w:t>,</w:t>
      </w:r>
      <w:hyperlink w:history="true" w:anchor="_bookmark271">
        <w:r>
          <w:rPr>
            <w:color w:val="FF0000"/>
          </w:rPr>
          <w:t>2020</w:t>
        </w:r>
        <w:r>
          <w:rPr/>
          <w:t>)</w:t>
        </w:r>
      </w:hyperlink>
      <w:r>
        <w:rPr>
          <w:spacing w:val="-1"/>
        </w:rPr>
        <w:t> </w:t>
      </w:r>
      <w:r>
        <w:rPr/>
        <w:t>in</w:t>
      </w:r>
      <w:r>
        <w:rPr>
          <w:spacing w:val="-1"/>
        </w:rPr>
        <w:t> </w:t>
      </w:r>
      <w:r>
        <w:rPr/>
        <w:t>Chapter</w:t>
      </w:r>
      <w:r>
        <w:rPr>
          <w:color w:val="0000FF"/>
        </w:rPr>
        <w:t>5</w:t>
      </w:r>
      <w:hyperlink w:history="true" w:anchor="_bookmark122">
        <w:r>
          <w:rPr/>
          <w:t>;</w:t>
        </w:r>
      </w:hyperlink>
      <w:r>
        <w:rPr/>
        <w:t> Bayesian</w:t>
      </w:r>
      <w:r>
        <w:rPr>
          <w:spacing w:val="-1"/>
        </w:rPr>
        <w:t> </w:t>
      </w:r>
      <w:r>
        <w:rPr/>
        <w:t>analysis</w:t>
      </w:r>
      <w:r>
        <w:rPr>
          <w:spacing w:val="-1"/>
        </w:rPr>
        <w:t> </w:t>
      </w:r>
      <w:r>
        <w:rPr/>
        <w:t>will</w:t>
      </w:r>
      <w:r>
        <w:rPr>
          <w:spacing w:val="-1"/>
        </w:rPr>
        <w:t> </w:t>
      </w:r>
      <w:r>
        <w:rPr/>
        <w:t>be</w:t>
      </w:r>
      <w:r>
        <w:rPr>
          <w:spacing w:val="-1"/>
        </w:rPr>
        <w:t> </w:t>
      </w:r>
      <w:r>
        <w:rPr/>
        <w:t>used</w:t>
      </w:r>
      <w:r>
        <w:rPr>
          <w:spacing w:val="-1"/>
        </w:rPr>
        <w:t> </w:t>
      </w:r>
      <w:r>
        <w:rPr/>
        <w:t>to</w:t>
      </w:r>
      <w:r>
        <w:rPr>
          <w:spacing w:val="-1"/>
        </w:rPr>
        <w:t> </w:t>
      </w:r>
      <w:r>
        <w:rPr/>
        <w:t>pro- duce</w:t>
      </w:r>
      <w:r>
        <w:rPr>
          <w:spacing w:val="-15"/>
        </w:rPr>
        <w:t> </w:t>
      </w:r>
      <w:r>
        <w:rPr/>
        <w:t>a</w:t>
      </w:r>
      <w:r>
        <w:rPr>
          <w:spacing w:val="-15"/>
        </w:rPr>
        <w:t> </w:t>
      </w:r>
      <w:r>
        <w:rPr/>
        <w:t>completely</w:t>
      </w:r>
      <w:r>
        <w:rPr>
          <w:spacing w:val="-15"/>
        </w:rPr>
        <w:t> </w:t>
      </w:r>
      <w:r>
        <w:rPr/>
        <w:t>novel</w:t>
      </w:r>
      <w:r>
        <w:rPr>
          <w:spacing w:val="-15"/>
        </w:rPr>
        <w:t> </w:t>
      </w:r>
      <w:r>
        <w:rPr/>
        <w:t>EPV</w:t>
      </w:r>
      <w:r>
        <w:rPr>
          <w:spacing w:val="-15"/>
        </w:rPr>
        <w:t> </w:t>
      </w:r>
      <w:r>
        <w:rPr/>
        <w:t>model</w:t>
      </w:r>
      <w:r>
        <w:rPr>
          <w:spacing w:val="-15"/>
        </w:rPr>
        <w:t> </w:t>
      </w:r>
      <w:r>
        <w:rPr/>
        <w:t>capable</w:t>
      </w:r>
      <w:r>
        <w:rPr>
          <w:spacing w:val="-15"/>
        </w:rPr>
        <w:t> </w:t>
      </w:r>
      <w:r>
        <w:rPr/>
        <w:t>of</w:t>
      </w:r>
      <w:r>
        <w:rPr>
          <w:spacing w:val="-15"/>
        </w:rPr>
        <w:t> </w:t>
      </w:r>
      <w:r>
        <w:rPr/>
        <w:t>estimating</w:t>
      </w:r>
      <w:r>
        <w:rPr>
          <w:spacing w:val="-15"/>
        </w:rPr>
        <w:t> </w:t>
      </w:r>
      <w:r>
        <w:rPr/>
        <w:t>individual</w:t>
      </w:r>
      <w:r>
        <w:rPr>
          <w:spacing w:val="-15"/>
        </w:rPr>
        <w:t> </w:t>
      </w:r>
      <w:r>
        <w:rPr/>
        <w:t>possession</w:t>
      </w:r>
      <w:r>
        <w:rPr>
          <w:spacing w:val="-15"/>
        </w:rPr>
        <w:t> </w:t>
      </w:r>
      <w:r>
        <w:rPr/>
        <w:t>outcome probabilities in Chapter</w:t>
      </w:r>
      <w:r>
        <w:rPr>
          <w:color w:val="0000FF"/>
        </w:rPr>
        <w:t>6</w:t>
      </w:r>
      <w:hyperlink w:history="true" w:anchor="_bookmark170">
        <w:r>
          <w:rPr/>
          <w:t>;</w:t>
        </w:r>
      </w:hyperlink>
      <w:r>
        <w:rPr/>
        <w:t> and distributional comparisons will be used to provide single value</w:t>
      </w:r>
      <w:r>
        <w:rPr>
          <w:spacing w:val="-6"/>
        </w:rPr>
        <w:t> </w:t>
      </w:r>
      <w:r>
        <w:rPr/>
        <w:t>differences</w:t>
      </w:r>
      <w:r>
        <w:rPr>
          <w:spacing w:val="-6"/>
        </w:rPr>
        <w:t> </w:t>
      </w:r>
      <w:r>
        <w:rPr/>
        <w:t>between</w:t>
      </w:r>
      <w:r>
        <w:rPr>
          <w:spacing w:val="-6"/>
        </w:rPr>
        <w:t> </w:t>
      </w:r>
      <w:r>
        <w:rPr/>
        <w:t>pitch</w:t>
      </w:r>
      <w:r>
        <w:rPr>
          <w:spacing w:val="-6"/>
        </w:rPr>
        <w:t> </w:t>
      </w:r>
      <w:r>
        <w:rPr/>
        <w:t>surfaces</w:t>
      </w:r>
      <w:r>
        <w:rPr>
          <w:spacing w:val="-6"/>
        </w:rPr>
        <w:t> </w:t>
      </w:r>
      <w:r>
        <w:rPr/>
        <w:t>for</w:t>
      </w:r>
      <w:r>
        <w:rPr>
          <w:spacing w:val="-6"/>
        </w:rPr>
        <w:t> </w:t>
      </w:r>
      <w:r>
        <w:rPr/>
        <w:t>the</w:t>
      </w:r>
      <w:r>
        <w:rPr>
          <w:spacing w:val="-6"/>
        </w:rPr>
        <w:t> </w:t>
      </w:r>
      <w:r>
        <w:rPr/>
        <w:t>first</w:t>
      </w:r>
      <w:r>
        <w:rPr>
          <w:spacing w:val="-6"/>
        </w:rPr>
        <w:t> </w:t>
      </w:r>
      <w:r>
        <w:rPr/>
        <w:t>time,</w:t>
      </w:r>
      <w:r>
        <w:rPr>
          <w:spacing w:val="-6"/>
        </w:rPr>
        <w:t> </w:t>
      </w:r>
      <w:r>
        <w:rPr/>
        <w:t>via</w:t>
      </w:r>
      <w:r>
        <w:rPr>
          <w:spacing w:val="-6"/>
        </w:rPr>
        <w:t> </w:t>
      </w:r>
      <w:r>
        <w:rPr/>
        <w:t>the</w:t>
      </w:r>
      <w:r>
        <w:rPr>
          <w:spacing w:val="-6"/>
        </w:rPr>
        <w:t> </w:t>
      </w:r>
      <w:r>
        <w:rPr/>
        <w:t>Kullback-Leibler</w:t>
      </w:r>
      <w:r>
        <w:rPr>
          <w:spacing w:val="-6"/>
        </w:rPr>
        <w:t> </w:t>
      </w:r>
      <w:r>
        <w:rPr/>
        <w:t>(KL) Divergence (Chapter</w:t>
      </w:r>
      <w:r>
        <w:rPr>
          <w:color w:val="0000FF"/>
        </w:rPr>
        <w:t>3</w:t>
      </w:r>
      <w:r>
        <w:rPr/>
        <w:t>and Wasserstein Distance (Chapter</w:t>
      </w:r>
      <w:r>
        <w:rPr>
          <w:color w:val="0000FF"/>
        </w:rPr>
        <w:t>5</w:t>
      </w:r>
      <w:r>
        <w:rPr/>
        <w:t>).</w:t>
      </w:r>
    </w:p>
    <w:p>
      <w:pPr>
        <w:pStyle w:val="BodyText"/>
        <w:spacing w:line="312" w:lineRule="auto"/>
        <w:ind w:left="610" w:right="389" w:firstLine="351"/>
      </w:pPr>
      <w:r>
        <w:rPr/>
        <w:t>A</w:t>
      </w:r>
      <w:r>
        <w:rPr>
          <w:spacing w:val="-1"/>
        </w:rPr>
        <w:t> </w:t>
      </w:r>
      <w:r>
        <w:rPr/>
        <w:t>Markov</w:t>
      </w:r>
      <w:r>
        <w:rPr>
          <w:spacing w:val="-1"/>
        </w:rPr>
        <w:t> </w:t>
      </w:r>
      <w:r>
        <w:rPr/>
        <w:t>model</w:t>
      </w:r>
      <w:r>
        <w:rPr>
          <w:spacing w:val="-1"/>
        </w:rPr>
        <w:t> </w:t>
      </w:r>
      <w:r>
        <w:rPr/>
        <w:t>is</w:t>
      </w:r>
      <w:r>
        <w:rPr>
          <w:spacing w:val="-1"/>
        </w:rPr>
        <w:t> </w:t>
      </w:r>
      <w:r>
        <w:rPr/>
        <w:t>a</w:t>
      </w:r>
      <w:r>
        <w:rPr>
          <w:spacing w:val="-1"/>
        </w:rPr>
        <w:t> </w:t>
      </w:r>
      <w:r>
        <w:rPr/>
        <w:t>stochastic</w:t>
      </w:r>
      <w:r>
        <w:rPr>
          <w:spacing w:val="-1"/>
        </w:rPr>
        <w:t> </w:t>
      </w:r>
      <w:r>
        <w:rPr/>
        <w:t>process, which</w:t>
      </w:r>
      <w:r>
        <w:rPr>
          <w:spacing w:val="-1"/>
        </w:rPr>
        <w:t> </w:t>
      </w:r>
      <w:r>
        <w:rPr/>
        <w:t>at</w:t>
      </w:r>
      <w:r>
        <w:rPr>
          <w:spacing w:val="-1"/>
        </w:rPr>
        <w:t> </w:t>
      </w:r>
      <w:r>
        <w:rPr/>
        <w:t>a</w:t>
      </w:r>
      <w:r>
        <w:rPr>
          <w:spacing w:val="-1"/>
        </w:rPr>
        <w:t> </w:t>
      </w:r>
      <w:r>
        <w:rPr/>
        <w:t>minimum, consists</w:t>
      </w:r>
      <w:r>
        <w:rPr>
          <w:spacing w:val="-1"/>
        </w:rPr>
        <w:t> </w:t>
      </w:r>
      <w:r>
        <w:rPr/>
        <w:t>of</w:t>
      </w:r>
      <w:r>
        <w:rPr>
          <w:spacing w:val="-1"/>
        </w:rPr>
        <w:t> </w:t>
      </w:r>
      <w:r>
        <w:rPr/>
        <w:t>a</w:t>
      </w:r>
      <w:r>
        <w:rPr>
          <w:spacing w:val="-1"/>
        </w:rPr>
        <w:t> </w:t>
      </w:r>
      <w:r>
        <w:rPr/>
        <w:t>finite</w:t>
      </w:r>
      <w:r>
        <w:rPr>
          <w:spacing w:val="-1"/>
        </w:rPr>
        <w:t> </w:t>
      </w:r>
      <w:r>
        <w:rPr/>
        <w:t>set of states.</w:t>
      </w:r>
      <w:r>
        <w:rPr>
          <w:spacing w:val="34"/>
        </w:rPr>
        <w:t> </w:t>
      </w:r>
      <w:r>
        <w:rPr/>
        <w:t>These states represent the models’ understanding of the world and assume </w:t>
      </w:r>
      <w:r>
        <w:rPr/>
        <w:t>the Markov</w:t>
      </w:r>
      <w:r>
        <w:rPr>
          <w:spacing w:val="-5"/>
        </w:rPr>
        <w:t> </w:t>
      </w:r>
      <w:r>
        <w:rPr/>
        <w:t>property</w:t>
      </w:r>
      <w:r>
        <w:rPr>
          <w:spacing w:val="-5"/>
        </w:rPr>
        <w:t> </w:t>
      </w:r>
      <w:r>
        <w:rPr/>
        <w:t>ensuring</w:t>
      </w:r>
      <w:r>
        <w:rPr>
          <w:spacing w:val="-4"/>
        </w:rPr>
        <w:t> </w:t>
      </w:r>
      <w:r>
        <w:rPr/>
        <w:t>that</w:t>
      </w:r>
      <w:r>
        <w:rPr>
          <w:spacing w:val="-5"/>
        </w:rPr>
        <w:t> </w:t>
      </w:r>
      <w:r>
        <w:rPr/>
        <w:t>transition</w:t>
      </w:r>
      <w:r>
        <w:rPr>
          <w:spacing w:val="-5"/>
        </w:rPr>
        <w:t> </w:t>
      </w:r>
      <w:r>
        <w:rPr/>
        <w:t>to</w:t>
      </w:r>
      <w:r>
        <w:rPr>
          <w:spacing w:val="-5"/>
        </w:rPr>
        <w:t> </w:t>
      </w:r>
      <w:r>
        <w:rPr/>
        <w:t>future</w:t>
      </w:r>
      <w:r>
        <w:rPr>
          <w:spacing w:val="-4"/>
        </w:rPr>
        <w:t> </w:t>
      </w:r>
      <w:r>
        <w:rPr/>
        <w:t>states</w:t>
      </w:r>
      <w:r>
        <w:rPr>
          <w:spacing w:val="-4"/>
        </w:rPr>
        <w:t> </w:t>
      </w:r>
      <w:r>
        <w:rPr/>
        <w:t>is</w:t>
      </w:r>
      <w:r>
        <w:rPr>
          <w:spacing w:val="-5"/>
        </w:rPr>
        <w:t> </w:t>
      </w:r>
      <w:r>
        <w:rPr/>
        <w:t>dependent</w:t>
      </w:r>
      <w:r>
        <w:rPr>
          <w:spacing w:val="-5"/>
        </w:rPr>
        <w:t> </w:t>
      </w:r>
      <w:r>
        <w:rPr/>
        <w:t>only</w:t>
      </w:r>
      <w:r>
        <w:rPr>
          <w:spacing w:val="-5"/>
        </w:rPr>
        <w:t> </w:t>
      </w:r>
      <w:r>
        <w:rPr/>
        <w:t>on</w:t>
      </w:r>
      <w:r>
        <w:rPr>
          <w:spacing w:val="-4"/>
        </w:rPr>
        <w:t> </w:t>
      </w:r>
      <w:r>
        <w:rPr/>
        <w:t>the</w:t>
      </w:r>
      <w:r>
        <w:rPr>
          <w:spacing w:val="-5"/>
        </w:rPr>
        <w:t> </w:t>
      </w:r>
      <w:r>
        <w:rPr/>
        <w:t>current state.</w:t>
      </w:r>
      <w:r>
        <w:rPr>
          <w:spacing w:val="80"/>
        </w:rPr>
        <w:t> </w:t>
      </w:r>
      <w:r>
        <w:rPr/>
        <w:t>A Markov Reward Process (MRP), as utilised in Chapter</w:t>
      </w:r>
      <w:r>
        <w:rPr>
          <w:color w:val="0000FF"/>
        </w:rPr>
        <w:t>3</w:t>
      </w:r>
      <w:hyperlink w:history="true" w:anchor="_bookmark48">
        <w:r>
          <w:rPr/>
          <w:t>,</w:t>
        </w:r>
      </w:hyperlink>
      <w:r>
        <w:rPr>
          <w:spacing w:val="31"/>
        </w:rPr>
        <w:t> </w:t>
      </w:r>
      <w:r>
        <w:rPr/>
        <w:t>is a tuple of states,</w:t>
      </w:r>
      <w:r>
        <w:rPr>
          <w:spacing w:val="40"/>
        </w:rPr>
        <w:t> </w:t>
      </w:r>
      <w:r>
        <w:rPr/>
        <w:t>transition</w:t>
      </w:r>
      <w:r>
        <w:rPr>
          <w:spacing w:val="-9"/>
        </w:rPr>
        <w:t> </w:t>
      </w:r>
      <w:r>
        <w:rPr/>
        <w:t>probability</w:t>
      </w:r>
      <w:r>
        <w:rPr>
          <w:spacing w:val="-9"/>
        </w:rPr>
        <w:t> </w:t>
      </w:r>
      <w:r>
        <w:rPr/>
        <w:t>matrix,</w:t>
      </w:r>
      <w:r>
        <w:rPr>
          <w:spacing w:val="-9"/>
        </w:rPr>
        <w:t> </w:t>
      </w:r>
      <w:r>
        <w:rPr/>
        <w:t>reward</w:t>
      </w:r>
      <w:r>
        <w:rPr>
          <w:spacing w:val="-9"/>
        </w:rPr>
        <w:t> </w:t>
      </w:r>
      <w:r>
        <w:rPr/>
        <w:t>function</w:t>
      </w:r>
      <w:r>
        <w:rPr>
          <w:spacing w:val="-9"/>
        </w:rPr>
        <w:t> </w:t>
      </w:r>
      <w:r>
        <w:rPr/>
        <w:t>and</w:t>
      </w:r>
      <w:r>
        <w:rPr>
          <w:spacing w:val="-9"/>
        </w:rPr>
        <w:t> </w:t>
      </w:r>
      <w:r>
        <w:rPr/>
        <w:t>discount</w:t>
      </w:r>
      <w:r>
        <w:rPr>
          <w:spacing w:val="-9"/>
        </w:rPr>
        <w:t> </w:t>
      </w:r>
      <w:r>
        <w:rPr/>
        <w:t>factor. It</w:t>
      </w:r>
      <w:r>
        <w:rPr>
          <w:spacing w:val="-9"/>
        </w:rPr>
        <w:t> </w:t>
      </w:r>
      <w:r>
        <w:rPr/>
        <w:t>is</w:t>
      </w:r>
      <w:r>
        <w:rPr>
          <w:spacing w:val="-9"/>
        </w:rPr>
        <w:t> </w:t>
      </w:r>
      <w:r>
        <w:rPr/>
        <w:t>used</w:t>
      </w:r>
      <w:r>
        <w:rPr>
          <w:spacing w:val="-9"/>
        </w:rPr>
        <w:t> </w:t>
      </w:r>
      <w:r>
        <w:rPr/>
        <w:t>to</w:t>
      </w:r>
      <w:r>
        <w:rPr>
          <w:spacing w:val="-9"/>
        </w:rPr>
        <w:t> </w:t>
      </w:r>
      <w:r>
        <w:rPr/>
        <w:t>calculate</w:t>
      </w:r>
      <w:r>
        <w:rPr>
          <w:spacing w:val="-9"/>
        </w:rPr>
        <w:t> </w:t>
      </w:r>
      <w:r>
        <w:rPr/>
        <w:t>a value</w:t>
      </w:r>
      <w:r>
        <w:rPr>
          <w:spacing w:val="-7"/>
        </w:rPr>
        <w:t> </w:t>
      </w:r>
      <w:r>
        <w:rPr/>
        <w:t>function</w:t>
      </w:r>
      <w:r>
        <w:rPr>
          <w:spacing w:val="-7"/>
        </w:rPr>
        <w:t> </w:t>
      </w:r>
      <w:r>
        <w:rPr/>
        <w:t>for</w:t>
      </w:r>
      <w:r>
        <w:rPr>
          <w:spacing w:val="-7"/>
        </w:rPr>
        <w:t> </w:t>
      </w:r>
      <w:r>
        <w:rPr/>
        <w:t>each</w:t>
      </w:r>
      <w:r>
        <w:rPr>
          <w:spacing w:val="-7"/>
        </w:rPr>
        <w:t> </w:t>
      </w:r>
      <w:r>
        <w:rPr/>
        <w:t>state,</w:t>
      </w:r>
      <w:r>
        <w:rPr>
          <w:spacing w:val="-6"/>
        </w:rPr>
        <w:t> </w:t>
      </w:r>
      <w:r>
        <w:rPr/>
        <w:t>by</w:t>
      </w:r>
      <w:r>
        <w:rPr>
          <w:spacing w:val="-7"/>
        </w:rPr>
        <w:t> </w:t>
      </w:r>
      <w:r>
        <w:rPr/>
        <w:t>back</w:t>
      </w:r>
      <w:r>
        <w:rPr>
          <w:spacing w:val="-7"/>
        </w:rPr>
        <w:t> </w:t>
      </w:r>
      <w:r>
        <w:rPr/>
        <w:t>propagating</w:t>
      </w:r>
      <w:r>
        <w:rPr>
          <w:spacing w:val="-7"/>
        </w:rPr>
        <w:t> </w:t>
      </w:r>
      <w:r>
        <w:rPr/>
        <w:t>the</w:t>
      </w:r>
      <w:r>
        <w:rPr>
          <w:spacing w:val="-7"/>
        </w:rPr>
        <w:t> </w:t>
      </w:r>
      <w:r>
        <w:rPr/>
        <w:t>rewards</w:t>
      </w:r>
      <w:r>
        <w:rPr>
          <w:spacing w:val="-7"/>
        </w:rPr>
        <w:t> </w:t>
      </w:r>
      <w:r>
        <w:rPr/>
        <w:t>through</w:t>
      </w:r>
      <w:r>
        <w:rPr>
          <w:spacing w:val="-7"/>
        </w:rPr>
        <w:t> </w:t>
      </w:r>
      <w:r>
        <w:rPr/>
        <w:t>the</w:t>
      </w:r>
      <w:r>
        <w:rPr>
          <w:spacing w:val="-7"/>
        </w:rPr>
        <w:t> </w:t>
      </w:r>
      <w:r>
        <w:rPr/>
        <w:t>chain</w:t>
      </w:r>
      <w:r>
        <w:rPr>
          <w:spacing w:val="-7"/>
        </w:rPr>
        <w:t> </w:t>
      </w:r>
      <w:r>
        <w:rPr/>
        <w:t>of</w:t>
      </w:r>
      <w:r>
        <w:rPr>
          <w:spacing w:val="-7"/>
        </w:rPr>
        <w:t> </w:t>
      </w:r>
      <w:r>
        <w:rPr/>
        <w:t>states subject to the discount factor.</w:t>
      </w:r>
      <w:r>
        <w:rPr>
          <w:spacing w:val="27"/>
        </w:rPr>
        <w:t> </w:t>
      </w:r>
      <w:r>
        <w:rPr/>
        <w:t>A Markov Decision Process (MDP), as used in Chapter</w:t>
      </w:r>
      <w:r>
        <w:rPr>
          <w:color w:val="0000FF"/>
        </w:rPr>
        <w:t>4</w:t>
      </w:r>
      <w:hyperlink w:history="true" w:anchor="_bookmark92">
        <w:r>
          <w:rPr/>
          <w:t>,</w:t>
        </w:r>
      </w:hyperlink>
      <w:r>
        <w:rPr/>
        <w:t> extends</w:t>
      </w:r>
      <w:r>
        <w:rPr>
          <w:spacing w:val="-15"/>
        </w:rPr>
        <w:t> </w:t>
      </w:r>
      <w:r>
        <w:rPr/>
        <w:t>an</w:t>
      </w:r>
      <w:r>
        <w:rPr>
          <w:spacing w:val="-15"/>
        </w:rPr>
        <w:t> </w:t>
      </w:r>
      <w:r>
        <w:rPr/>
        <w:t>MRP</w:t>
      </w:r>
      <w:r>
        <w:rPr>
          <w:spacing w:val="-15"/>
        </w:rPr>
        <w:t> </w:t>
      </w:r>
      <w:r>
        <w:rPr/>
        <w:t>by</w:t>
      </w:r>
      <w:r>
        <w:rPr>
          <w:spacing w:val="-15"/>
        </w:rPr>
        <w:t> </w:t>
      </w:r>
      <w:r>
        <w:rPr/>
        <w:t>adding</w:t>
      </w:r>
      <w:r>
        <w:rPr>
          <w:spacing w:val="-15"/>
        </w:rPr>
        <w:t> </w:t>
      </w:r>
      <w:r>
        <w:rPr/>
        <w:t>an</w:t>
      </w:r>
      <w:r>
        <w:rPr>
          <w:spacing w:val="-15"/>
        </w:rPr>
        <w:t> </w:t>
      </w:r>
      <w:r>
        <w:rPr/>
        <w:t>action</w:t>
      </w:r>
      <w:r>
        <w:rPr>
          <w:spacing w:val="-15"/>
        </w:rPr>
        <w:t> </w:t>
      </w:r>
      <w:r>
        <w:rPr/>
        <w:t>to</w:t>
      </w:r>
      <w:r>
        <w:rPr>
          <w:spacing w:val="-15"/>
        </w:rPr>
        <w:t> </w:t>
      </w:r>
      <w:r>
        <w:rPr/>
        <w:t>the</w:t>
      </w:r>
      <w:r>
        <w:rPr>
          <w:spacing w:val="-15"/>
        </w:rPr>
        <w:t> </w:t>
      </w:r>
      <w:r>
        <w:rPr/>
        <w:t>framework.</w:t>
      </w:r>
      <w:r>
        <w:rPr>
          <w:spacing w:val="-15"/>
        </w:rPr>
        <w:t> </w:t>
      </w:r>
      <w:r>
        <w:rPr/>
        <w:t>Within</w:t>
      </w:r>
      <w:r>
        <w:rPr>
          <w:spacing w:val="-15"/>
        </w:rPr>
        <w:t> </w:t>
      </w:r>
      <w:r>
        <w:rPr/>
        <w:t>an</w:t>
      </w:r>
      <w:r>
        <w:rPr>
          <w:spacing w:val="-15"/>
        </w:rPr>
        <w:t> </w:t>
      </w:r>
      <w:r>
        <w:rPr/>
        <w:t>MDP,</w:t>
      </w:r>
      <w:r>
        <w:rPr>
          <w:spacing w:val="-15"/>
        </w:rPr>
        <w:t> </w:t>
      </w:r>
      <w:r>
        <w:rPr/>
        <w:t>the</w:t>
      </w:r>
      <w:r>
        <w:rPr>
          <w:spacing w:val="-15"/>
        </w:rPr>
        <w:t> </w:t>
      </w:r>
      <w:r>
        <w:rPr/>
        <w:t>agent</w:t>
      </w:r>
      <w:r>
        <w:rPr>
          <w:spacing w:val="-15"/>
        </w:rPr>
        <w:t> </w:t>
      </w:r>
      <w:r>
        <w:rPr/>
        <w:t>chooses an</w:t>
      </w:r>
      <w:r>
        <w:rPr>
          <w:spacing w:val="-13"/>
        </w:rPr>
        <w:t> </w:t>
      </w:r>
      <w:r>
        <w:rPr/>
        <w:t>action</w:t>
      </w:r>
      <w:r>
        <w:rPr>
          <w:spacing w:val="-13"/>
        </w:rPr>
        <w:t> </w:t>
      </w:r>
      <w:r>
        <w:rPr/>
        <w:t>in</w:t>
      </w:r>
      <w:r>
        <w:rPr>
          <w:spacing w:val="-13"/>
        </w:rPr>
        <w:t> </w:t>
      </w:r>
      <w:r>
        <w:rPr/>
        <w:t>each</w:t>
      </w:r>
      <w:r>
        <w:rPr>
          <w:spacing w:val="-13"/>
        </w:rPr>
        <w:t> </w:t>
      </w:r>
      <w:r>
        <w:rPr/>
        <w:t>state,</w:t>
      </w:r>
      <w:r>
        <w:rPr>
          <w:spacing w:val="-11"/>
        </w:rPr>
        <w:t> </w:t>
      </w:r>
      <w:r>
        <w:rPr/>
        <w:t>which</w:t>
      </w:r>
      <w:r>
        <w:rPr>
          <w:spacing w:val="-13"/>
        </w:rPr>
        <w:t> </w:t>
      </w:r>
      <w:r>
        <w:rPr/>
        <w:t>results</w:t>
      </w:r>
      <w:r>
        <w:rPr>
          <w:spacing w:val="-13"/>
        </w:rPr>
        <w:t> </w:t>
      </w:r>
      <w:r>
        <w:rPr/>
        <w:t>in</w:t>
      </w:r>
      <w:r>
        <w:rPr>
          <w:spacing w:val="-13"/>
        </w:rPr>
        <w:t> </w:t>
      </w:r>
      <w:r>
        <w:rPr/>
        <w:t>a</w:t>
      </w:r>
      <w:r>
        <w:rPr>
          <w:spacing w:val="-13"/>
        </w:rPr>
        <w:t> </w:t>
      </w:r>
      <w:r>
        <w:rPr/>
        <w:t>transition</w:t>
      </w:r>
      <w:r>
        <w:rPr>
          <w:spacing w:val="-13"/>
        </w:rPr>
        <w:t> </w:t>
      </w:r>
      <w:r>
        <w:rPr/>
        <w:t>to</w:t>
      </w:r>
      <w:r>
        <w:rPr>
          <w:spacing w:val="-13"/>
        </w:rPr>
        <w:t> </w:t>
      </w:r>
      <w:r>
        <w:rPr/>
        <w:t>the</w:t>
      </w:r>
      <w:r>
        <w:rPr>
          <w:spacing w:val="-13"/>
        </w:rPr>
        <w:t> </w:t>
      </w:r>
      <w:r>
        <w:rPr/>
        <w:t>next</w:t>
      </w:r>
      <w:r>
        <w:rPr>
          <w:spacing w:val="-13"/>
        </w:rPr>
        <w:t> </w:t>
      </w:r>
      <w:r>
        <w:rPr/>
        <w:t>state. Consequently,</w:t>
      </w:r>
      <w:r>
        <w:rPr>
          <w:spacing w:val="-11"/>
        </w:rPr>
        <w:t> </w:t>
      </w:r>
      <w:r>
        <w:rPr/>
        <w:t>MDPs calculate a value function for each state, action pair.</w:t>
      </w:r>
    </w:p>
    <w:p>
      <w:pPr>
        <w:pStyle w:val="BodyText"/>
        <w:spacing w:line="312" w:lineRule="auto"/>
        <w:ind w:left="610" w:right="389" w:firstLine="351"/>
        <w:jc w:val="both"/>
      </w:pPr>
      <w:r>
        <w:rPr>
          <w:spacing w:val="-2"/>
        </w:rPr>
        <w:t>Kernel</w:t>
      </w:r>
      <w:r>
        <w:rPr>
          <w:spacing w:val="-7"/>
        </w:rPr>
        <w:t> </w:t>
      </w:r>
      <w:r>
        <w:rPr>
          <w:spacing w:val="-2"/>
        </w:rPr>
        <w:t>Density</w:t>
      </w:r>
      <w:r>
        <w:rPr>
          <w:spacing w:val="-7"/>
        </w:rPr>
        <w:t> </w:t>
      </w:r>
      <w:r>
        <w:rPr>
          <w:spacing w:val="-2"/>
        </w:rPr>
        <w:t>Estimation</w:t>
      </w:r>
      <w:r>
        <w:rPr>
          <w:spacing w:val="-7"/>
        </w:rPr>
        <w:t> </w:t>
      </w:r>
      <w:r>
        <w:rPr>
          <w:spacing w:val="-2"/>
        </w:rPr>
        <w:t>(KDE)</w:t>
      </w:r>
      <w:r>
        <w:rPr>
          <w:spacing w:val="-7"/>
        </w:rPr>
        <w:t> </w:t>
      </w:r>
      <w:r>
        <w:rPr>
          <w:spacing w:val="-2"/>
        </w:rPr>
        <w:t>is</w:t>
      </w:r>
      <w:r>
        <w:rPr>
          <w:spacing w:val="-7"/>
        </w:rPr>
        <w:t> </w:t>
      </w:r>
      <w:r>
        <w:rPr>
          <w:spacing w:val="-2"/>
        </w:rPr>
        <w:t>a</w:t>
      </w:r>
      <w:r>
        <w:rPr>
          <w:spacing w:val="-7"/>
        </w:rPr>
        <w:t> </w:t>
      </w:r>
      <w:r>
        <w:rPr>
          <w:spacing w:val="-2"/>
        </w:rPr>
        <w:t>method</w:t>
      </w:r>
      <w:r>
        <w:rPr>
          <w:spacing w:val="-7"/>
        </w:rPr>
        <w:t> </w:t>
      </w:r>
      <w:r>
        <w:rPr>
          <w:spacing w:val="-2"/>
        </w:rPr>
        <w:t>of</w:t>
      </w:r>
      <w:r>
        <w:rPr>
          <w:spacing w:val="-7"/>
        </w:rPr>
        <w:t> </w:t>
      </w:r>
      <w:r>
        <w:rPr>
          <w:spacing w:val="-2"/>
        </w:rPr>
        <w:t>probability</w:t>
      </w:r>
      <w:r>
        <w:rPr>
          <w:spacing w:val="-7"/>
        </w:rPr>
        <w:t> </w:t>
      </w:r>
      <w:r>
        <w:rPr>
          <w:spacing w:val="-2"/>
        </w:rPr>
        <w:t>density</w:t>
      </w:r>
      <w:r>
        <w:rPr>
          <w:spacing w:val="-7"/>
        </w:rPr>
        <w:t> </w:t>
      </w:r>
      <w:r>
        <w:rPr>
          <w:spacing w:val="-2"/>
        </w:rPr>
        <w:t>estimation,</w:t>
      </w:r>
      <w:r>
        <w:rPr>
          <w:spacing w:val="-3"/>
        </w:rPr>
        <w:t> </w:t>
      </w:r>
      <w:r>
        <w:rPr>
          <w:spacing w:val="-2"/>
        </w:rPr>
        <w:t>which </w:t>
      </w:r>
      <w:r>
        <w:rPr/>
        <w:t>applies</w:t>
      </w:r>
      <w:r>
        <w:rPr>
          <w:spacing w:val="-4"/>
        </w:rPr>
        <w:t> </w:t>
      </w:r>
      <w:r>
        <w:rPr/>
        <w:t>kernel</w:t>
      </w:r>
      <w:r>
        <w:rPr>
          <w:spacing w:val="-5"/>
        </w:rPr>
        <w:t> </w:t>
      </w:r>
      <w:r>
        <w:rPr/>
        <w:t>smoothing. Kernel</w:t>
      </w:r>
      <w:r>
        <w:rPr>
          <w:spacing w:val="-4"/>
        </w:rPr>
        <w:t> </w:t>
      </w:r>
      <w:r>
        <w:rPr/>
        <w:t>smoothing</w:t>
      </w:r>
      <w:r>
        <w:rPr>
          <w:spacing w:val="-5"/>
        </w:rPr>
        <w:t> </w:t>
      </w:r>
      <w:r>
        <w:rPr/>
        <w:t>allows</w:t>
      </w:r>
      <w:r>
        <w:rPr>
          <w:spacing w:val="-4"/>
        </w:rPr>
        <w:t> </w:t>
      </w:r>
      <w:r>
        <w:rPr/>
        <w:t>a</w:t>
      </w:r>
      <w:r>
        <w:rPr>
          <w:spacing w:val="-4"/>
        </w:rPr>
        <w:t> </w:t>
      </w:r>
      <w:r>
        <w:rPr/>
        <w:t>probability</w:t>
      </w:r>
      <w:r>
        <w:rPr>
          <w:spacing w:val="-4"/>
        </w:rPr>
        <w:t> </w:t>
      </w:r>
      <w:r>
        <w:rPr/>
        <w:t>density</w:t>
      </w:r>
      <w:r>
        <w:rPr>
          <w:spacing w:val="-5"/>
        </w:rPr>
        <w:t> </w:t>
      </w:r>
      <w:r>
        <w:rPr/>
        <w:t>to</w:t>
      </w:r>
      <w:r>
        <w:rPr>
          <w:spacing w:val="-4"/>
        </w:rPr>
        <w:t> </w:t>
      </w:r>
      <w:r>
        <w:rPr/>
        <w:t>be</w:t>
      </w:r>
      <w:r>
        <w:rPr>
          <w:spacing w:val="-4"/>
        </w:rPr>
        <w:t> </w:t>
      </w:r>
      <w:r>
        <w:rPr/>
        <w:t>estimated as a weighted function of its neighbouring values.</w:t>
      </w:r>
      <w:r>
        <w:rPr>
          <w:spacing w:val="40"/>
        </w:rPr>
        <w:t> </w:t>
      </w:r>
      <w:r>
        <w:rPr/>
        <w:t>The two most important elements of KDE are the kernel chosen (e.g.</w:t>
      </w:r>
      <w:r>
        <w:rPr>
          <w:spacing w:val="40"/>
        </w:rPr>
        <w:t> </w:t>
      </w:r>
      <w:r>
        <w:rPr/>
        <w:t>uniform, triangular, normal or cosine) and the band- width.</w:t>
      </w:r>
      <w:r>
        <w:rPr>
          <w:spacing w:val="27"/>
        </w:rPr>
        <w:t> </w:t>
      </w:r>
      <w:r>
        <w:rPr/>
        <w:t>The bandwidth parameter influences the smoothness of the KDE model and con- trols “overfitting” by establishing the amount of data smoothed at each point.</w:t>
      </w:r>
    </w:p>
    <w:p>
      <w:pPr>
        <w:pStyle w:val="BodyText"/>
        <w:spacing w:line="312" w:lineRule="auto"/>
        <w:ind w:left="610" w:right="389" w:firstLine="351"/>
        <w:jc w:val="both"/>
      </w:pPr>
      <w:r>
        <w:rPr/>
        <w:t>Bayesian</w:t>
      </w:r>
      <w:r>
        <w:rPr>
          <w:spacing w:val="-7"/>
        </w:rPr>
        <w:t> </w:t>
      </w:r>
      <w:r>
        <w:rPr/>
        <w:t>analysis</w:t>
      </w:r>
      <w:r>
        <w:rPr>
          <w:spacing w:val="-7"/>
        </w:rPr>
        <w:t> </w:t>
      </w:r>
      <w:r>
        <w:rPr/>
        <w:t>is</w:t>
      </w:r>
      <w:r>
        <w:rPr>
          <w:spacing w:val="-7"/>
        </w:rPr>
        <w:t> </w:t>
      </w:r>
      <w:r>
        <w:rPr/>
        <w:t>a</w:t>
      </w:r>
      <w:r>
        <w:rPr>
          <w:spacing w:val="-7"/>
        </w:rPr>
        <w:t> </w:t>
      </w:r>
      <w:r>
        <w:rPr/>
        <w:t>statistical</w:t>
      </w:r>
      <w:r>
        <w:rPr>
          <w:spacing w:val="-7"/>
        </w:rPr>
        <w:t> </w:t>
      </w:r>
      <w:r>
        <w:rPr/>
        <w:t>approach</w:t>
      </w:r>
      <w:r>
        <w:rPr>
          <w:spacing w:val="-7"/>
        </w:rPr>
        <w:t> </w:t>
      </w:r>
      <w:r>
        <w:rPr/>
        <w:t>to</w:t>
      </w:r>
      <w:r>
        <w:rPr>
          <w:spacing w:val="-7"/>
        </w:rPr>
        <w:t> </w:t>
      </w:r>
      <w:r>
        <w:rPr/>
        <w:t>data</w:t>
      </w:r>
      <w:r>
        <w:rPr>
          <w:spacing w:val="-7"/>
        </w:rPr>
        <w:t> </w:t>
      </w:r>
      <w:r>
        <w:rPr/>
        <w:t>analysis</w:t>
      </w:r>
      <w:r>
        <w:rPr>
          <w:spacing w:val="-7"/>
        </w:rPr>
        <w:t> </w:t>
      </w:r>
      <w:r>
        <w:rPr/>
        <w:t>centred</w:t>
      </w:r>
      <w:r>
        <w:rPr>
          <w:spacing w:val="-7"/>
        </w:rPr>
        <w:t> </w:t>
      </w:r>
      <w:r>
        <w:rPr/>
        <w:t>around</w:t>
      </w:r>
      <w:r>
        <w:rPr>
          <w:spacing w:val="-7"/>
        </w:rPr>
        <w:t> </w:t>
      </w:r>
      <w:r>
        <w:rPr/>
        <w:t>Bayes</w:t>
      </w:r>
      <w:r>
        <w:rPr>
          <w:spacing w:val="-7"/>
        </w:rPr>
        <w:t> </w:t>
      </w:r>
      <w:r>
        <w:rPr/>
        <w:t>The- orem. There are three main elements: the prior distribution; the likelihood function; and the</w:t>
      </w:r>
      <w:r>
        <w:rPr>
          <w:spacing w:val="-6"/>
        </w:rPr>
        <w:t> </w:t>
      </w:r>
      <w:r>
        <w:rPr/>
        <w:t>posterior</w:t>
      </w:r>
      <w:r>
        <w:rPr>
          <w:spacing w:val="-6"/>
        </w:rPr>
        <w:t> </w:t>
      </w:r>
      <w:r>
        <w:rPr/>
        <w:t>distribution. The</w:t>
      </w:r>
      <w:r>
        <w:rPr>
          <w:spacing w:val="-6"/>
        </w:rPr>
        <w:t> </w:t>
      </w:r>
      <w:r>
        <w:rPr/>
        <w:t>prior</w:t>
      </w:r>
      <w:r>
        <w:rPr>
          <w:spacing w:val="-6"/>
        </w:rPr>
        <w:t> </w:t>
      </w:r>
      <w:r>
        <w:rPr/>
        <w:t>distribution</w:t>
      </w:r>
      <w:r>
        <w:rPr>
          <w:spacing w:val="-6"/>
        </w:rPr>
        <w:t> </w:t>
      </w:r>
      <w:r>
        <w:rPr/>
        <w:t>defines</w:t>
      </w:r>
      <w:r>
        <w:rPr>
          <w:spacing w:val="-6"/>
        </w:rPr>
        <w:t> </w:t>
      </w:r>
      <w:r>
        <w:rPr/>
        <w:t>the</w:t>
      </w:r>
      <w:r>
        <w:rPr>
          <w:spacing w:val="-6"/>
        </w:rPr>
        <w:t> </w:t>
      </w:r>
      <w:r>
        <w:rPr/>
        <w:t>current</w:t>
      </w:r>
      <w:r>
        <w:rPr>
          <w:spacing w:val="-6"/>
        </w:rPr>
        <w:t> </w:t>
      </w:r>
      <w:r>
        <w:rPr/>
        <w:t>knowledge</w:t>
      </w:r>
      <w:r>
        <w:rPr>
          <w:spacing w:val="-6"/>
        </w:rPr>
        <w:t> </w:t>
      </w:r>
      <w:r>
        <w:rPr/>
        <w:t>surround- ing a model parameter.</w:t>
      </w:r>
      <w:r>
        <w:rPr>
          <w:spacing w:val="40"/>
        </w:rPr>
        <w:t> </w:t>
      </w:r>
      <w:r>
        <w:rPr/>
        <w:t>The likelihood function defines the method through which the data influences the posterior distribution.</w:t>
      </w:r>
      <w:r>
        <w:rPr>
          <w:spacing w:val="40"/>
        </w:rPr>
        <w:t> </w:t>
      </w:r>
      <w:r>
        <w:rPr/>
        <w:t>The posterior distribution balances the prior knowledge with the observed data to identify the most plausible parameter values given the</w:t>
      </w:r>
      <w:r>
        <w:rPr>
          <w:spacing w:val="-1"/>
        </w:rPr>
        <w:t> </w:t>
      </w:r>
      <w:r>
        <w:rPr/>
        <w:t>evidence</w:t>
      </w:r>
      <w:r>
        <w:rPr>
          <w:spacing w:val="-1"/>
        </w:rPr>
        <w:t> </w:t>
      </w:r>
      <w:r>
        <w:rPr/>
        <w:t>available.</w:t>
      </w:r>
      <w:r>
        <w:rPr>
          <w:spacing w:val="26"/>
        </w:rPr>
        <w:t> </w:t>
      </w:r>
      <w:r>
        <w:rPr/>
        <w:t>This</w:t>
      </w:r>
      <w:r>
        <w:rPr>
          <w:spacing w:val="-1"/>
        </w:rPr>
        <w:t> </w:t>
      </w:r>
      <w:r>
        <w:rPr/>
        <w:t>evidence</w:t>
      </w:r>
      <w:r>
        <w:rPr>
          <w:spacing w:val="-1"/>
        </w:rPr>
        <w:t> </w:t>
      </w:r>
      <w:r>
        <w:rPr/>
        <w:t>based</w:t>
      </w:r>
      <w:r>
        <w:rPr>
          <w:spacing w:val="-1"/>
        </w:rPr>
        <w:t> </w:t>
      </w:r>
      <w:r>
        <w:rPr/>
        <w:t>approach</w:t>
      </w:r>
      <w:r>
        <w:rPr>
          <w:spacing w:val="-1"/>
        </w:rPr>
        <w:t> </w:t>
      </w:r>
      <w:r>
        <w:rPr/>
        <w:t>to</w:t>
      </w:r>
      <w:r>
        <w:rPr>
          <w:spacing w:val="-1"/>
        </w:rPr>
        <w:t> </w:t>
      </w:r>
      <w:r>
        <w:rPr/>
        <w:t>estimating</w:t>
      </w:r>
      <w:r>
        <w:rPr>
          <w:spacing w:val="-1"/>
        </w:rPr>
        <w:t> </w:t>
      </w:r>
      <w:r>
        <w:rPr/>
        <w:t>parameter</w:t>
      </w:r>
      <w:r>
        <w:rPr>
          <w:spacing w:val="-1"/>
        </w:rPr>
        <w:t> </w:t>
      </w:r>
      <w:r>
        <w:rPr/>
        <w:t>values</w:t>
      </w:r>
      <w:r>
        <w:rPr>
          <w:spacing w:val="-1"/>
        </w:rPr>
        <w:t> </w:t>
      </w:r>
      <w:r>
        <w:rPr/>
        <w:t>al- lows complex model parameters to be estimated using significantly less data than the machine</w:t>
      </w:r>
      <w:r>
        <w:rPr>
          <w:spacing w:val="-1"/>
        </w:rPr>
        <w:t> </w:t>
      </w:r>
      <w:r>
        <w:rPr/>
        <w:t>learning</w:t>
      </w:r>
      <w:r>
        <w:rPr>
          <w:spacing w:val="-1"/>
        </w:rPr>
        <w:t> </w:t>
      </w:r>
      <w:r>
        <w:rPr/>
        <w:t>and deep</w:t>
      </w:r>
      <w:r>
        <w:rPr>
          <w:spacing w:val="-1"/>
        </w:rPr>
        <w:t> </w:t>
      </w:r>
      <w:r>
        <w:rPr/>
        <w:t>learning approaches</w:t>
      </w:r>
      <w:r>
        <w:rPr>
          <w:spacing w:val="-1"/>
        </w:rPr>
        <w:t> </w:t>
      </w:r>
      <w:r>
        <w:rPr/>
        <w:t>previously</w:t>
      </w:r>
      <w:r>
        <w:rPr>
          <w:spacing w:val="-1"/>
        </w:rPr>
        <w:t> </w:t>
      </w:r>
      <w:r>
        <w:rPr/>
        <w:t>considered in</w:t>
      </w:r>
      <w:r>
        <w:rPr>
          <w:spacing w:val="-1"/>
        </w:rPr>
        <w:t> </w:t>
      </w:r>
      <w:r>
        <w:rPr/>
        <w:t>sport </w:t>
      </w:r>
      <w:r>
        <w:rPr>
          <w:spacing w:val="-2"/>
        </w:rPr>
        <w:t>(</w:t>
      </w:r>
      <w:hyperlink w:history="true" w:anchor="_bookmark239">
        <w:r>
          <w:rPr>
            <w:color w:val="FF0000"/>
            <w:spacing w:val="-2"/>
          </w:rPr>
          <w:t>Decroos</w:t>
        </w:r>
      </w:hyperlink>
    </w:p>
    <w:p>
      <w:pPr>
        <w:pStyle w:val="BodyText"/>
        <w:spacing w:line="269" w:lineRule="exact"/>
        <w:ind w:left="610"/>
      </w:pPr>
      <w:hyperlink w:history="true" w:anchor="_bookmark239">
        <w:r>
          <w:rPr>
            <w:color w:val="FF0000"/>
            <w:spacing w:val="-2"/>
          </w:rPr>
          <w:t>et</w:t>
        </w:r>
        <w:r>
          <w:rPr>
            <w:color w:val="FF0000"/>
            <w:spacing w:val="-7"/>
          </w:rPr>
          <w:t> </w:t>
        </w:r>
        <w:r>
          <w:rPr>
            <w:color w:val="FF0000"/>
            <w:spacing w:val="-2"/>
          </w:rPr>
          <w:t>al.</w:t>
        </w:r>
      </w:hyperlink>
      <w:r>
        <w:rPr>
          <w:spacing w:val="-2"/>
        </w:rPr>
        <w:t>,</w:t>
      </w:r>
      <w:hyperlink w:history="true" w:anchor="_bookmark239">
        <w:r>
          <w:rPr>
            <w:color w:val="FF0000"/>
            <w:spacing w:val="-2"/>
          </w:rPr>
          <w:t>2019</w:t>
        </w:r>
        <w:r>
          <w:rPr>
            <w:spacing w:val="-2"/>
          </w:rPr>
          <w:t>;</w:t>
        </w:r>
      </w:hyperlink>
      <w:hyperlink w:history="true" w:anchor="_bookmark243">
        <w:r>
          <w:rPr>
            <w:color w:val="FF0000"/>
            <w:spacing w:val="-2"/>
          </w:rPr>
          <w:t>Fern</w:t>
        </w:r>
        <w:r>
          <w:rPr>
            <w:color w:val="FF0000"/>
            <w:spacing w:val="47"/>
          </w:rPr>
          <w:t> </w:t>
        </w:r>
        <w:r>
          <w:rPr>
            <w:color w:val="FF0000"/>
            <w:spacing w:val="-82"/>
          </w:rPr>
          <w:t>a</w:t>
        </w:r>
        <w:r>
          <w:rPr>
            <w:color w:val="FF0000"/>
            <w:spacing w:val="24"/>
          </w:rPr>
          <w:t>´</w:t>
        </w:r>
        <w:r>
          <w:rPr>
            <w:color w:val="FF0000"/>
            <w:spacing w:val="11"/>
          </w:rPr>
          <w:t>ndez</w:t>
        </w:r>
        <w:r>
          <w:rPr>
            <w:color w:val="FF0000"/>
            <w:spacing w:val="-6"/>
          </w:rPr>
          <w:t> </w:t>
        </w:r>
        <w:r>
          <w:rPr>
            <w:color w:val="FF0000"/>
            <w:spacing w:val="-2"/>
          </w:rPr>
          <w:t>et</w:t>
        </w:r>
        <w:r>
          <w:rPr>
            <w:color w:val="FF0000"/>
            <w:spacing w:val="-7"/>
          </w:rPr>
          <w:t> </w:t>
        </w:r>
        <w:r>
          <w:rPr>
            <w:color w:val="FF0000"/>
            <w:spacing w:val="-2"/>
          </w:rPr>
          <w:t>al.</w:t>
        </w:r>
      </w:hyperlink>
      <w:r>
        <w:rPr>
          <w:spacing w:val="-2"/>
        </w:rPr>
        <w:t>,</w:t>
      </w:r>
      <w:hyperlink w:history="true" w:anchor="_bookmark243">
        <w:r>
          <w:rPr>
            <w:color w:val="FF0000"/>
            <w:spacing w:val="-2"/>
          </w:rPr>
          <w:t>2021</w:t>
        </w:r>
        <w:r>
          <w:rPr>
            <w:spacing w:val="-2"/>
          </w:rPr>
          <w:t>;</w:t>
        </w:r>
      </w:hyperlink>
      <w:r>
        <w:rPr>
          <w:color w:val="FF0000"/>
          <w:spacing w:val="-2"/>
        </w:rPr>
        <w:t>Liu</w:t>
      </w:r>
      <w:r>
        <w:rPr>
          <w:color w:val="FF0000"/>
          <w:spacing w:val="-7"/>
        </w:rPr>
        <w:t> </w:t>
      </w:r>
      <w:hyperlink w:history="true" w:anchor="_bookmark269">
        <w:r>
          <w:rPr>
            <w:color w:val="FF0000"/>
            <w:spacing w:val="-2"/>
          </w:rPr>
          <w:t>et</w:t>
        </w:r>
        <w:r>
          <w:rPr>
            <w:color w:val="FF0000"/>
            <w:spacing w:val="-7"/>
          </w:rPr>
          <w:t> </w:t>
        </w:r>
        <w:r>
          <w:rPr>
            <w:color w:val="FF0000"/>
            <w:spacing w:val="-2"/>
          </w:rPr>
          <w:t>al.</w:t>
        </w:r>
        <w:r>
          <w:rPr>
            <w:spacing w:val="-2"/>
          </w:rPr>
          <w:t>,</w:t>
        </w:r>
      </w:hyperlink>
      <w:r>
        <w:rPr>
          <w:color w:val="FF0000"/>
          <w:spacing w:val="-2"/>
        </w:rPr>
        <w:t>2020</w:t>
      </w:r>
      <w:hyperlink w:history="true" w:anchor="_bookmark269">
        <w:r>
          <w:rPr>
            <w:spacing w:val="-2"/>
          </w:rPr>
          <w:t>).</w:t>
        </w:r>
      </w:hyperlink>
    </w:p>
    <w:p>
      <w:pPr>
        <w:spacing w:after="0" w:line="269" w:lineRule="exact"/>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firstLine="351"/>
      </w:pPr>
      <w:r>
        <w:rPr/>
        <w:t>Comparisons between distributions allow the differences in pitch surfaces </w:t>
      </w:r>
      <w:r>
        <w:rPr/>
        <w:t>between teams or matches to be evaluated using a single measure.</w:t>
      </w:r>
      <w:r>
        <w:rPr>
          <w:spacing w:val="40"/>
        </w:rPr>
        <w:t> </w:t>
      </w:r>
      <w:r>
        <w:rPr/>
        <w:t>In Chapter</w:t>
      </w:r>
      <w:r>
        <w:rPr>
          <w:color w:val="0000FF"/>
        </w:rPr>
        <w:t>3</w:t>
      </w:r>
      <w:hyperlink w:history="true" w:anchor="_bookmark48">
        <w:r>
          <w:rPr/>
          <w:t>,</w:t>
        </w:r>
      </w:hyperlink>
      <w:r>
        <w:rPr/>
        <w:t> the KL Diver- gence will be used.</w:t>
      </w:r>
      <w:r>
        <w:rPr>
          <w:spacing w:val="40"/>
        </w:rPr>
        <w:t> </w:t>
      </w:r>
      <w:r>
        <w:rPr/>
        <w:t>The KL Divergence is a measure used to understand the similarity between two discrete distributions.</w:t>
      </w:r>
      <w:r>
        <w:rPr>
          <w:spacing w:val="28"/>
        </w:rPr>
        <w:t> </w:t>
      </w:r>
      <w:r>
        <w:rPr/>
        <w:t>It is a type of statistical distance rather than a metric and compares an approximating distribution to a true distribution.</w:t>
      </w:r>
      <w:r>
        <w:rPr>
          <w:spacing w:val="40"/>
        </w:rPr>
        <w:t> </w:t>
      </w:r>
      <w:r>
        <w:rPr/>
        <w:t>KL Divergence val- ues range from 0, indicating the two distributions are identical, to infinity, indicating no relationship between the two distributions.</w:t>
      </w:r>
      <w:r>
        <w:rPr>
          <w:spacing w:val="33"/>
        </w:rPr>
        <w:t> </w:t>
      </w:r>
      <w:r>
        <w:rPr/>
        <w:t>The Wasserstein distance, used in Chapter</w:t>
      </w:r>
      <w:r>
        <w:rPr>
          <w:color w:val="0000FF"/>
        </w:rPr>
        <w:t>5</w:t>
      </w:r>
      <w:hyperlink w:history="true" w:anchor="_bookmark122">
        <w:r>
          <w:rPr/>
          <w:t>,</w:t>
        </w:r>
      </w:hyperlink>
      <w:r>
        <w:rPr/>
        <w:t> is a distance function defined between probability distributions on a given metric space. It is closely related to optimal transport planning.</w:t>
      </w:r>
      <w:r>
        <w:rPr>
          <w:spacing w:val="40"/>
        </w:rPr>
        <w:t> </w:t>
      </w:r>
      <w:r>
        <w:rPr/>
        <w:t>The optimal transport plan describes the movement of mass between distributions with minimal cost, subject to a cost func- tion.</w:t>
      </w:r>
      <w:r>
        <w:rPr>
          <w:spacing w:val="34"/>
        </w:rPr>
        <w:t> </w:t>
      </w:r>
      <w:r>
        <w:rPr/>
        <w:t>The Wasserstein distance is the total cost of all mass movements described by this transport plan subject to the cost function.</w:t>
      </w:r>
    </w:p>
    <w:p>
      <w:pPr>
        <w:spacing w:after="0" w:line="312" w:lineRule="auto"/>
        <w:sectPr>
          <w:pgSz w:w="11910" w:h="16840"/>
          <w:pgMar w:header="1961" w:footer="1428" w:top="226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1"/>
        <w:tabs>
          <w:tab w:pos="9388" w:val="left" w:leader="none"/>
        </w:tabs>
        <w:spacing w:line="314" w:lineRule="auto"/>
        <w:ind w:right="115"/>
      </w:pPr>
      <w:r>
        <w:rPr/>
        <w:pict>
          <v:group style="position:absolute;margin-left:114.519997pt;margin-top:28.578819pt;width:55.5pt;height:28.5pt;mso-position-horizontal-relative:page;mso-position-vertical-relative:paragraph;z-index:-21808128" id="docshapegroup47" coordorigin="2290,572" coordsize="1110,570">
            <v:line style="position:absolute" from="2300,1141" to="2300,591" stroked="true" strokeweight=".996pt" strokecolor="#000000">
              <v:stroke dashstyle="solid"/>
            </v:line>
            <v:line style="position:absolute" from="2290,582" to="3400,582" stroked="true" strokeweight=".996pt" strokecolor="#000000">
              <v:stroke dashstyle="solid"/>
            </v:line>
            <w10:wrap type="none"/>
          </v:group>
        </w:pict>
      </w:r>
      <w:r>
        <w:rPr/>
        <w:pict>
          <v:group style="position:absolute;margin-left:202.770004pt;margin-top:28.578819pt;width:336.95pt;height:39.8pt;mso-position-horizontal-relative:page;mso-position-vertical-relative:paragraph;z-index:-21807616" id="docshapegroup48" coordorigin="4055,572" coordsize="6739,796">
            <v:line style="position:absolute" from="10784,1367" to="10784,591" stroked="true" strokeweight=".996pt" strokecolor="#000000">
              <v:stroke dashstyle="solid"/>
            </v:line>
            <v:line style="position:absolute" from="4055,582" to="10794,582" stroked="true" strokeweight=".996pt" strokecolor="#000000">
              <v:stroke dashstyle="solid"/>
            </v:line>
            <w10:wrap type="none"/>
          </v:group>
        </w:pict>
      </w:r>
      <w:bookmarkStart w:name="3 Markov Reward Processes for the Quanti" w:id="91"/>
      <w:bookmarkEnd w:id="91"/>
      <w:r>
        <w:rPr/>
      </w:r>
      <w:bookmarkStart w:name="_bookmark48" w:id="92"/>
      <w:bookmarkEnd w:id="92"/>
      <w:r>
        <w:rPr/>
      </w:r>
      <w:r>
        <w:rPr>
          <w:rFonts w:ascii="Arial"/>
          <w:sz w:val="28"/>
        </w:rPr>
        <w:t>Chapter</w:t>
      </w:r>
      <w:r>
        <w:rPr>
          <w:rFonts w:ascii="Arial"/>
          <w:spacing w:val="40"/>
          <w:sz w:val="28"/>
        </w:rPr>
        <w:t> </w:t>
      </w:r>
      <w:r>
        <w:rPr>
          <w:spacing w:val="19"/>
          <w:sz w:val="119"/>
        </w:rPr>
        <w:t>3</w:t>
      </w:r>
      <w:r>
        <w:rPr>
          <w:sz w:val="119"/>
          <w:u w:val="single"/>
        </w:rPr>
        <w:tab/>
      </w:r>
      <w:r>
        <w:rPr>
          <w:sz w:val="119"/>
        </w:rPr>
        <w:t> </w:t>
      </w:r>
      <w:r>
        <w:rPr/>
        <w:t>Markov Reward Processes for the Quantification of Team Attacking </w:t>
      </w:r>
      <w:r>
        <w:rPr>
          <w:spacing w:val="-2"/>
        </w:rPr>
        <w:t>Performances</w:t>
      </w:r>
    </w:p>
    <w:p>
      <w:pPr>
        <w:pStyle w:val="BodyText"/>
        <w:spacing w:before="4"/>
        <w:rPr>
          <w:sz w:val="65"/>
        </w:rPr>
      </w:pPr>
    </w:p>
    <w:p>
      <w:pPr>
        <w:pStyle w:val="Heading2"/>
        <w:numPr>
          <w:ilvl w:val="1"/>
          <w:numId w:val="18"/>
        </w:numPr>
        <w:tabs>
          <w:tab w:pos="1385" w:val="left" w:leader="none"/>
          <w:tab w:pos="1386" w:val="left" w:leader="none"/>
        </w:tabs>
        <w:spacing w:line="240" w:lineRule="auto" w:before="0" w:after="0"/>
        <w:ind w:left="1385" w:right="0" w:hanging="776"/>
        <w:jc w:val="left"/>
      </w:pPr>
      <w:bookmarkStart w:name="_TOC_250046" w:id="93"/>
      <w:bookmarkStart w:name="3.1 Introduction" w:id="94"/>
      <w:r>
        <w:rPr>
          <w:b w:val="0"/>
        </w:rPr>
      </w:r>
      <w:bookmarkStart w:name="_bookmark49" w:id="95"/>
      <w:bookmarkEnd w:id="95"/>
      <w:r>
        <w:rPr>
          <w:spacing w:val="-2"/>
        </w:rPr>
        <w:t>Int</w:t>
      </w:r>
      <w:bookmarkEnd w:id="93"/>
      <w:r>
        <w:rPr>
          <w:spacing w:val="-2"/>
        </w:rPr>
        <w:t>roduction</w:t>
      </w:r>
    </w:p>
    <w:p>
      <w:pPr>
        <w:pStyle w:val="BodyText"/>
        <w:spacing w:line="312" w:lineRule="auto" w:before="309"/>
        <w:ind w:left="610" w:right="389"/>
      </w:pPr>
      <w:r>
        <w:rPr/>
        <w:t>This</w:t>
      </w:r>
      <w:r>
        <w:rPr>
          <w:spacing w:val="22"/>
        </w:rPr>
        <w:t> </w:t>
      </w:r>
      <w:r>
        <w:rPr/>
        <w:t>first</w:t>
      </w:r>
      <w:r>
        <w:rPr>
          <w:spacing w:val="22"/>
        </w:rPr>
        <w:t> </w:t>
      </w:r>
      <w:r>
        <w:rPr/>
        <w:t>study</w:t>
      </w:r>
      <w:r>
        <w:rPr>
          <w:spacing w:val="22"/>
        </w:rPr>
        <w:t> </w:t>
      </w:r>
      <w:r>
        <w:rPr/>
        <w:t>of</w:t>
      </w:r>
      <w:r>
        <w:rPr>
          <w:spacing w:val="22"/>
        </w:rPr>
        <w:t> </w:t>
      </w:r>
      <w:r>
        <w:rPr/>
        <w:t>this</w:t>
      </w:r>
      <w:r>
        <w:rPr>
          <w:spacing w:val="22"/>
        </w:rPr>
        <w:t> </w:t>
      </w:r>
      <w:r>
        <w:rPr/>
        <w:t>thesis</w:t>
      </w:r>
      <w:r>
        <w:rPr>
          <w:spacing w:val="22"/>
        </w:rPr>
        <w:t> </w:t>
      </w:r>
      <w:r>
        <w:rPr/>
        <w:t>proposes</w:t>
      </w:r>
      <w:r>
        <w:rPr>
          <w:spacing w:val="22"/>
        </w:rPr>
        <w:t> </w:t>
      </w:r>
      <w:r>
        <w:rPr/>
        <w:t>a</w:t>
      </w:r>
      <w:r>
        <w:rPr>
          <w:spacing w:val="22"/>
        </w:rPr>
        <w:t> </w:t>
      </w:r>
      <w:r>
        <w:rPr/>
        <w:t>model</w:t>
      </w:r>
      <w:r>
        <w:rPr>
          <w:spacing w:val="22"/>
        </w:rPr>
        <w:t> </w:t>
      </w:r>
      <w:r>
        <w:rPr/>
        <w:t>evaluating</w:t>
      </w:r>
      <w:r>
        <w:rPr>
          <w:spacing w:val="22"/>
        </w:rPr>
        <w:t> </w:t>
      </w:r>
      <w:r>
        <w:rPr/>
        <w:t>EPV</w:t>
      </w:r>
      <w:r>
        <w:rPr>
          <w:spacing w:val="22"/>
        </w:rPr>
        <w:t> </w:t>
      </w:r>
      <w:r>
        <w:rPr/>
        <w:t>in</w:t>
      </w:r>
      <w:r>
        <w:rPr>
          <w:spacing w:val="22"/>
        </w:rPr>
        <w:t> </w:t>
      </w:r>
      <w:r>
        <w:rPr/>
        <w:t>rugby</w:t>
      </w:r>
      <w:r>
        <w:rPr>
          <w:spacing w:val="22"/>
        </w:rPr>
        <w:t> </w:t>
      </w:r>
      <w:r>
        <w:rPr/>
        <w:t>league.</w:t>
      </w:r>
      <w:r>
        <w:rPr>
          <w:spacing w:val="80"/>
        </w:rPr>
        <w:t> </w:t>
      </w:r>
      <w:r>
        <w:rPr/>
        <w:t>The study applies and adapts the work of</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in rugby league and</w:t>
      </w:r>
      <w:r>
        <w:rPr>
          <w:color w:val="FF0000"/>
        </w:rPr>
        <w:t>Singh </w:t>
      </w:r>
      <w:r>
        <w:rPr/>
        <w:t>(</w:t>
      </w:r>
      <w:hyperlink w:history="true" w:anchor="_bookmark294">
        <w:r>
          <w:rPr>
            <w:color w:val="FF0000"/>
          </w:rPr>
          <w:t>n.d.</w:t>
        </w:r>
      </w:hyperlink>
      <w:r>
        <w:rPr/>
        <w:t>) in</w:t>
      </w:r>
      <w:r>
        <w:rPr>
          <w:spacing w:val="-1"/>
        </w:rPr>
        <w:t> </w:t>
      </w:r>
      <w:r>
        <w:rPr/>
        <w:t>football. Their</w:t>
      </w:r>
      <w:r>
        <w:rPr>
          <w:spacing w:val="-1"/>
        </w:rPr>
        <w:t> </w:t>
      </w:r>
      <w:r>
        <w:rPr/>
        <w:t>research</w:t>
      </w:r>
      <w:r>
        <w:rPr>
          <w:spacing w:val="-1"/>
        </w:rPr>
        <w:t> </w:t>
      </w:r>
      <w:r>
        <w:rPr/>
        <w:t>is</w:t>
      </w:r>
      <w:r>
        <w:rPr>
          <w:spacing w:val="-1"/>
        </w:rPr>
        <w:t> </w:t>
      </w:r>
      <w:r>
        <w:rPr/>
        <w:t>adapted</w:t>
      </w:r>
      <w:r>
        <w:rPr>
          <w:spacing w:val="-1"/>
        </w:rPr>
        <w:t> </w:t>
      </w:r>
      <w:r>
        <w:rPr/>
        <w:t>in</w:t>
      </w:r>
      <w:r>
        <w:rPr>
          <w:spacing w:val="-1"/>
        </w:rPr>
        <w:t> </w:t>
      </w:r>
      <w:r>
        <w:rPr/>
        <w:t>this</w:t>
      </w:r>
      <w:r>
        <w:rPr>
          <w:spacing w:val="-1"/>
        </w:rPr>
        <w:t> </w:t>
      </w:r>
      <w:r>
        <w:rPr/>
        <w:t>study</w:t>
      </w:r>
      <w:r>
        <w:rPr>
          <w:spacing w:val="-1"/>
        </w:rPr>
        <w:t> </w:t>
      </w:r>
      <w:r>
        <w:rPr/>
        <w:t>by</w:t>
      </w:r>
      <w:r>
        <w:rPr>
          <w:spacing w:val="-1"/>
        </w:rPr>
        <w:t> </w:t>
      </w:r>
      <w:r>
        <w:rPr/>
        <w:t>the</w:t>
      </w:r>
      <w:r>
        <w:rPr>
          <w:spacing w:val="-1"/>
        </w:rPr>
        <w:t> </w:t>
      </w:r>
      <w:r>
        <w:rPr/>
        <w:t>implementation</w:t>
      </w:r>
      <w:r>
        <w:rPr>
          <w:spacing w:val="-1"/>
        </w:rPr>
        <w:t> </w:t>
      </w:r>
      <w:r>
        <w:rPr/>
        <w:t>of</w:t>
      </w:r>
      <w:r>
        <w:rPr>
          <w:spacing w:val="-1"/>
        </w:rPr>
        <w:t> </w:t>
      </w:r>
      <w:r>
        <w:rPr/>
        <w:t>a</w:t>
      </w:r>
      <w:r>
        <w:rPr>
          <w:spacing w:val="-1"/>
        </w:rPr>
        <w:t> </w:t>
      </w:r>
      <w:r>
        <w:rPr/>
        <w:t>data driven approach to empirically evaluate different zone sizes, rather than their arbitrary selection (</w:t>
      </w:r>
      <w:hyperlink w:history="true" w:anchor="_bookmark263">
        <w:r>
          <w:rPr>
            <w:color w:val="FF0000"/>
          </w:rPr>
          <w:t>Kempton et al.</w:t>
        </w:r>
      </w:hyperlink>
      <w:r>
        <w:rPr/>
        <w:t>,</w:t>
      </w:r>
      <w:hyperlink w:history="true" w:anchor="_bookmark263">
        <w:r>
          <w:rPr>
            <w:color w:val="FF0000"/>
          </w:rPr>
          <w:t>2016</w:t>
        </w:r>
        <w:r>
          <w:rPr/>
          <w:t>;</w:t>
        </w:r>
      </w:hyperlink>
      <w:hyperlink w:history="true" w:anchor="_bookmark294">
        <w:r>
          <w:rPr>
            <w:color w:val="FF0000"/>
          </w:rPr>
          <w:t>Singh</w:t>
        </w:r>
        <w:r>
          <w:rPr/>
          <w:t>,</w:t>
        </w:r>
      </w:hyperlink>
      <w:r>
        <w:rPr>
          <w:color w:val="FF0000"/>
        </w:rPr>
        <w:t>n.d.</w:t>
      </w:r>
      <w:hyperlink w:history="true" w:anchor="_bookmark294">
        <w:r>
          <w:rPr/>
          <w:t>).</w:t>
        </w:r>
      </w:hyperlink>
      <w:r>
        <w:rPr>
          <w:spacing w:val="40"/>
        </w:rPr>
        <w:t> </w:t>
      </w:r>
      <w:r>
        <w:rPr/>
        <w:t>This data driven approach compares dif- ferent</w:t>
      </w:r>
      <w:r>
        <w:rPr>
          <w:spacing w:val="-8"/>
        </w:rPr>
        <w:t> </w:t>
      </w:r>
      <w:r>
        <w:rPr/>
        <w:t>zone</w:t>
      </w:r>
      <w:r>
        <w:rPr>
          <w:spacing w:val="-8"/>
        </w:rPr>
        <w:t> </w:t>
      </w:r>
      <w:r>
        <w:rPr/>
        <w:t>sizes’</w:t>
      </w:r>
      <w:r>
        <w:rPr>
          <w:spacing w:val="-8"/>
        </w:rPr>
        <w:t> </w:t>
      </w:r>
      <w:r>
        <w:rPr/>
        <w:t>ability</w:t>
      </w:r>
      <w:r>
        <w:rPr>
          <w:spacing w:val="-8"/>
        </w:rPr>
        <w:t> </w:t>
      </w:r>
      <w:r>
        <w:rPr/>
        <w:t>to</w:t>
      </w:r>
      <w:r>
        <w:rPr>
          <w:spacing w:val="-8"/>
        </w:rPr>
        <w:t> </w:t>
      </w:r>
      <w:r>
        <w:rPr/>
        <w:t>replicate</w:t>
      </w:r>
      <w:r>
        <w:rPr>
          <w:spacing w:val="-8"/>
        </w:rPr>
        <w:t> </w:t>
      </w:r>
      <w:r>
        <w:rPr/>
        <w:t>future</w:t>
      </w:r>
      <w:r>
        <w:rPr>
          <w:spacing w:val="-8"/>
        </w:rPr>
        <w:t> </w:t>
      </w:r>
      <w:r>
        <w:rPr/>
        <w:t>team</w:t>
      </w:r>
      <w:r>
        <w:rPr>
          <w:spacing w:val="-8"/>
        </w:rPr>
        <w:t> </w:t>
      </w:r>
      <w:r>
        <w:rPr/>
        <w:t>attacking</w:t>
      </w:r>
      <w:r>
        <w:rPr>
          <w:spacing w:val="-8"/>
        </w:rPr>
        <w:t> </w:t>
      </w:r>
      <w:r>
        <w:rPr/>
        <w:t>performances</w:t>
      </w:r>
      <w:r>
        <w:rPr>
          <w:spacing w:val="-8"/>
        </w:rPr>
        <w:t> </w:t>
      </w:r>
      <w:r>
        <w:rPr/>
        <w:t>in</w:t>
      </w:r>
      <w:r>
        <w:rPr>
          <w:spacing w:val="-8"/>
        </w:rPr>
        <w:t> </w:t>
      </w:r>
      <w:r>
        <w:rPr/>
        <w:t>rugby</w:t>
      </w:r>
      <w:r>
        <w:rPr>
          <w:spacing w:val="-8"/>
        </w:rPr>
        <w:t> </w:t>
      </w:r>
      <w:r>
        <w:rPr/>
        <w:t>league. A novel method through which team attacking performances can be quantified in rugby league</w:t>
      </w:r>
      <w:r>
        <w:rPr>
          <w:spacing w:val="-9"/>
        </w:rPr>
        <w:t> </w:t>
      </w:r>
      <w:r>
        <w:rPr/>
        <w:t>is</w:t>
      </w:r>
      <w:r>
        <w:rPr>
          <w:spacing w:val="-9"/>
        </w:rPr>
        <w:t> </w:t>
      </w:r>
      <w:r>
        <w:rPr/>
        <w:t>also</w:t>
      </w:r>
      <w:r>
        <w:rPr>
          <w:spacing w:val="-9"/>
        </w:rPr>
        <w:t> </w:t>
      </w:r>
      <w:r>
        <w:rPr/>
        <w:t>proposed. The</w:t>
      </w:r>
      <w:r>
        <w:rPr>
          <w:spacing w:val="-9"/>
        </w:rPr>
        <w:t> </w:t>
      </w:r>
      <w:r>
        <w:rPr/>
        <w:t>study</w:t>
      </w:r>
      <w:r>
        <w:rPr>
          <w:spacing w:val="-9"/>
        </w:rPr>
        <w:t> </w:t>
      </w:r>
      <w:r>
        <w:rPr/>
        <w:t>was</w:t>
      </w:r>
      <w:r>
        <w:rPr>
          <w:spacing w:val="-9"/>
        </w:rPr>
        <w:t> </w:t>
      </w:r>
      <w:r>
        <w:rPr/>
        <w:t>published</w:t>
      </w:r>
      <w:r>
        <w:rPr>
          <w:spacing w:val="-9"/>
        </w:rPr>
        <w:t> </w:t>
      </w:r>
      <w:r>
        <w:rPr/>
        <w:t>in</w:t>
      </w:r>
      <w:r>
        <w:rPr>
          <w:spacing w:val="-9"/>
        </w:rPr>
        <w:t> </w:t>
      </w:r>
      <w:r>
        <w:rPr/>
        <w:t>PLOS</w:t>
      </w:r>
      <w:r>
        <w:rPr>
          <w:spacing w:val="-9"/>
        </w:rPr>
        <w:t> </w:t>
      </w:r>
      <w:r>
        <w:rPr/>
        <w:t>One</w:t>
      </w:r>
      <w:r>
        <w:rPr>
          <w:spacing w:val="-9"/>
        </w:rPr>
        <w:t> </w:t>
      </w:r>
      <w:r>
        <w:rPr/>
        <w:t>(Thomas</w:t>
      </w:r>
      <w:r>
        <w:rPr>
          <w:spacing w:val="-9"/>
        </w:rPr>
        <w:t> </w:t>
      </w:r>
      <w:r>
        <w:rPr/>
        <w:t>Sawczuk,</w:t>
      </w:r>
      <w:r>
        <w:rPr>
          <w:spacing w:val="-8"/>
        </w:rPr>
        <w:t> </w:t>
      </w:r>
      <w:r>
        <w:rPr/>
        <w:t>Anna Palczewska, Ben</w:t>
      </w:r>
      <w:r>
        <w:rPr>
          <w:spacing w:val="-1"/>
        </w:rPr>
        <w:t> </w:t>
      </w:r>
      <w:r>
        <w:rPr/>
        <w:t>Jones.</w:t>
      </w:r>
      <w:r>
        <w:rPr>
          <w:spacing w:val="27"/>
        </w:rPr>
        <w:t> </w:t>
      </w:r>
      <w:r>
        <w:rPr/>
        <w:t>Development</w:t>
      </w:r>
      <w:r>
        <w:rPr>
          <w:spacing w:val="-1"/>
        </w:rPr>
        <w:t> </w:t>
      </w:r>
      <w:r>
        <w:rPr/>
        <w:t>of</w:t>
      </w:r>
      <w:r>
        <w:rPr>
          <w:spacing w:val="-1"/>
        </w:rPr>
        <w:t> </w:t>
      </w:r>
      <w:r>
        <w:rPr/>
        <w:t>an</w:t>
      </w:r>
      <w:r>
        <w:rPr>
          <w:spacing w:val="-1"/>
        </w:rPr>
        <w:t> </w:t>
      </w:r>
      <w:r>
        <w:rPr/>
        <w:t>expected</w:t>
      </w:r>
      <w:r>
        <w:rPr>
          <w:spacing w:val="-1"/>
        </w:rPr>
        <w:t> </w:t>
      </w:r>
      <w:r>
        <w:rPr/>
        <w:t>possession</w:t>
      </w:r>
      <w:r>
        <w:rPr>
          <w:spacing w:val="-1"/>
        </w:rPr>
        <w:t> </w:t>
      </w:r>
      <w:r>
        <w:rPr/>
        <w:t>value</w:t>
      </w:r>
      <w:r>
        <w:rPr>
          <w:spacing w:val="-1"/>
        </w:rPr>
        <w:t> </w:t>
      </w:r>
      <w:r>
        <w:rPr/>
        <w:t>model</w:t>
      </w:r>
      <w:r>
        <w:rPr>
          <w:spacing w:val="-1"/>
        </w:rPr>
        <w:t> </w:t>
      </w:r>
      <w:r>
        <w:rPr/>
        <w:t>to</w:t>
      </w:r>
      <w:r>
        <w:rPr>
          <w:spacing w:val="-1"/>
        </w:rPr>
        <w:t> </w:t>
      </w:r>
      <w:r>
        <w:rPr/>
        <w:t>analyse team attacking performances in rugby league.</w:t>
      </w:r>
      <w:r>
        <w:rPr>
          <w:spacing w:val="28"/>
        </w:rPr>
        <w:t> </w:t>
      </w:r>
      <w:r>
        <w:rPr>
          <w:i/>
        </w:rPr>
        <w:t>PLOS One</w:t>
      </w:r>
      <w:r>
        <w:rPr/>
        <w:t>, 16(11): e0259536, 2021) and presented</w:t>
      </w:r>
      <w:r>
        <w:rPr>
          <w:spacing w:val="-13"/>
        </w:rPr>
        <w:t> </w:t>
      </w:r>
      <w:r>
        <w:rPr/>
        <w:t>to</w:t>
      </w:r>
      <w:r>
        <w:rPr>
          <w:spacing w:val="-13"/>
        </w:rPr>
        <w:t> </w:t>
      </w:r>
      <w:r>
        <w:rPr/>
        <w:t>the</w:t>
      </w:r>
      <w:r>
        <w:rPr>
          <w:spacing w:val="-13"/>
        </w:rPr>
        <w:t> </w:t>
      </w:r>
      <w:r>
        <w:rPr/>
        <w:t>England</w:t>
      </w:r>
      <w:r>
        <w:rPr>
          <w:spacing w:val="-13"/>
        </w:rPr>
        <w:t> </w:t>
      </w:r>
      <w:r>
        <w:rPr/>
        <w:t>Rugby</w:t>
      </w:r>
      <w:r>
        <w:rPr>
          <w:spacing w:val="-13"/>
        </w:rPr>
        <w:t> </w:t>
      </w:r>
      <w:r>
        <w:rPr/>
        <w:t>League</w:t>
      </w:r>
      <w:r>
        <w:rPr>
          <w:spacing w:val="-13"/>
        </w:rPr>
        <w:t> </w:t>
      </w:r>
      <w:r>
        <w:rPr/>
        <w:t>Performance</w:t>
      </w:r>
      <w:r>
        <w:rPr>
          <w:spacing w:val="-13"/>
        </w:rPr>
        <w:t> </w:t>
      </w:r>
      <w:r>
        <w:rPr/>
        <w:t>Unit. The</w:t>
      </w:r>
      <w:r>
        <w:rPr>
          <w:spacing w:val="-13"/>
        </w:rPr>
        <w:t> </w:t>
      </w:r>
      <w:r>
        <w:rPr/>
        <w:t>feedback</w:t>
      </w:r>
      <w:r>
        <w:rPr>
          <w:spacing w:val="-13"/>
        </w:rPr>
        <w:t> </w:t>
      </w:r>
      <w:r>
        <w:rPr/>
        <w:t>provided</w:t>
      </w:r>
      <w:r>
        <w:rPr>
          <w:spacing w:val="-13"/>
        </w:rPr>
        <w:t> </w:t>
      </w:r>
      <w:r>
        <w:rPr/>
        <w:t>by</w:t>
      </w:r>
      <w:r>
        <w:rPr>
          <w:spacing w:val="-13"/>
        </w:rPr>
        <w:t> </w:t>
      </w:r>
      <w:r>
        <w:rPr/>
        <w:t>the Performance Unit provided validation for the model.</w:t>
      </w:r>
    </w:p>
    <w:p>
      <w:pPr>
        <w:spacing w:after="0" w:line="312" w:lineRule="auto"/>
        <w:sectPr>
          <w:headerReference w:type="default" r:id="rId57"/>
          <w:footerReference w:type="default" r:id="rId58"/>
          <w:pgSz w:w="11910" w:h="16840"/>
          <w:pgMar w:header="0" w:footer="1428" w:top="192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pPr>
      <w:bookmarkStart w:name="_bookmark50" w:id="96"/>
      <w:bookmarkEnd w:id="96"/>
      <w:r>
        <w:rPr/>
      </w:r>
      <w:r>
        <w:rPr>
          <w:b/>
        </w:rPr>
        <w:t>Table 3.1:</w:t>
      </w:r>
      <w:r>
        <w:rPr>
          <w:b/>
          <w:spacing w:val="27"/>
        </w:rPr>
        <w:t> </w:t>
      </w:r>
      <w:r>
        <w:rPr/>
        <w:t>Details of the four nodes provided by Opta in each rugby league fixture xml </w:t>
      </w:r>
      <w:r>
        <w:rPr>
          <w:spacing w:val="-4"/>
        </w:rPr>
        <w:t>file</w:t>
      </w:r>
    </w:p>
    <w:p>
      <w:pPr>
        <w:pStyle w:val="BodyText"/>
        <w:rPr>
          <w:sz w:val="20"/>
        </w:rPr>
      </w:pPr>
    </w:p>
    <w:p>
      <w:pPr>
        <w:pStyle w:val="BodyText"/>
        <w:spacing w:before="10"/>
        <w:rPr>
          <w:sz w:val="19"/>
        </w:rPr>
      </w:pPr>
      <w:r>
        <w:rPr/>
        <w:pict>
          <v:shape style="position:absolute;margin-left:123.825996pt;margin-top:12.624072pt;width:406.6pt;height:.1pt;mso-position-horizontal-relative:page;mso-position-vertical-relative:paragraph;z-index:-15719424;mso-wrap-distance-left:0;mso-wrap-distance-right:0" id="docshape51" coordorigin="2477,252" coordsize="8132,0" path="m2477,252l10608,252e" filled="false" stroked="true" strokeweight=".398pt" strokecolor="#000000">
            <v:path arrowok="t"/>
            <v:stroke dashstyle="solid"/>
            <w10:wrap type="topAndBottom"/>
          </v:shape>
        </w:pict>
      </w:r>
    </w:p>
    <w:p>
      <w:pPr>
        <w:pStyle w:val="BodyText"/>
        <w:tabs>
          <w:tab w:pos="3280" w:val="left" w:leader="none"/>
        </w:tabs>
        <w:spacing w:line="255" w:lineRule="exact" w:after="39"/>
        <w:ind w:left="916"/>
      </w:pPr>
      <w:r>
        <w:rPr>
          <w:spacing w:val="-4"/>
        </w:rPr>
        <w:t>Node</w:t>
      </w:r>
      <w:r>
        <w:rPr/>
        <w:tab/>
      </w:r>
      <w:r>
        <w:rPr>
          <w:spacing w:val="-2"/>
        </w:rPr>
        <w:t>Details</w:t>
      </w:r>
    </w:p>
    <w:p>
      <w:pPr>
        <w:pStyle w:val="BodyText"/>
        <w:spacing w:line="20" w:lineRule="exact"/>
        <w:ind w:left="796"/>
        <w:rPr>
          <w:sz w:val="2"/>
        </w:rPr>
      </w:pPr>
      <w:r>
        <w:rPr>
          <w:sz w:val="2"/>
        </w:rPr>
        <w:pict>
          <v:group style="width:406.6pt;height:.4pt;mso-position-horizontal-relative:char;mso-position-vertical-relative:line" id="docshapegroup52" coordorigin="0,0" coordsize="8132,8">
            <v:line style="position:absolute" from="0,4" to="8132,4" stroked="true" strokeweight=".398pt" strokecolor="#000000">
              <v:stroke dashstyle="solid"/>
            </v:line>
          </v:group>
        </w:pict>
      </w:r>
      <w:r>
        <w:rPr>
          <w:sz w:val="2"/>
        </w:rPr>
      </w:r>
    </w:p>
    <w:p>
      <w:pPr>
        <w:pStyle w:val="BodyText"/>
        <w:tabs>
          <w:tab w:pos="3280" w:val="left" w:leader="none"/>
        </w:tabs>
        <w:spacing w:line="252" w:lineRule="auto"/>
        <w:ind w:left="916" w:right="1221"/>
      </w:pPr>
      <w:r>
        <w:rPr/>
        <w:t>Match data</w:t>
        <w:tab/>
        <w:t>Details</w:t>
      </w:r>
      <w:r>
        <w:rPr>
          <w:spacing w:val="-6"/>
        </w:rPr>
        <w:t> </w:t>
      </w:r>
      <w:r>
        <w:rPr/>
        <w:t>all</w:t>
      </w:r>
      <w:r>
        <w:rPr>
          <w:spacing w:val="-6"/>
        </w:rPr>
        <w:t> </w:t>
      </w:r>
      <w:r>
        <w:rPr/>
        <w:t>the</w:t>
      </w:r>
      <w:r>
        <w:rPr>
          <w:spacing w:val="-6"/>
        </w:rPr>
        <w:t> </w:t>
      </w:r>
      <w:r>
        <w:rPr/>
        <w:t>actions</w:t>
      </w:r>
      <w:r>
        <w:rPr>
          <w:spacing w:val="-6"/>
        </w:rPr>
        <w:t> </w:t>
      </w:r>
      <w:r>
        <w:rPr/>
        <w:t>which</w:t>
      </w:r>
      <w:r>
        <w:rPr>
          <w:spacing w:val="-6"/>
        </w:rPr>
        <w:t> </w:t>
      </w:r>
      <w:r>
        <w:rPr/>
        <w:t>took</w:t>
      </w:r>
      <w:r>
        <w:rPr>
          <w:spacing w:val="-6"/>
        </w:rPr>
        <w:t> </w:t>
      </w:r>
      <w:r>
        <w:rPr/>
        <w:t>place</w:t>
      </w:r>
      <w:r>
        <w:rPr>
          <w:spacing w:val="-6"/>
        </w:rPr>
        <w:t> </w:t>
      </w:r>
      <w:r>
        <w:rPr/>
        <w:t>in</w:t>
      </w:r>
      <w:r>
        <w:rPr>
          <w:spacing w:val="-6"/>
        </w:rPr>
        <w:t> </w:t>
      </w:r>
      <w:r>
        <w:rPr/>
        <w:t>the</w:t>
      </w:r>
      <w:r>
        <w:rPr>
          <w:spacing w:val="-6"/>
        </w:rPr>
        <w:t> </w:t>
      </w:r>
      <w:r>
        <w:rPr/>
        <w:t>match Team data</w:t>
        <w:tab/>
        <w:t>Identifies the players who played in the match</w:t>
      </w:r>
    </w:p>
    <w:p>
      <w:pPr>
        <w:pStyle w:val="BodyText"/>
        <w:tabs>
          <w:tab w:pos="3280" w:val="left" w:leader="none"/>
        </w:tabs>
        <w:spacing w:line="252" w:lineRule="auto"/>
        <w:ind w:left="3281" w:right="694" w:hanging="2366"/>
      </w:pPr>
      <w:r>
        <w:rPr/>
        <w:t>Fixture data</w:t>
        <w:tab/>
        <w:t>Stores</w:t>
      </w:r>
      <w:r>
        <w:rPr>
          <w:spacing w:val="-13"/>
        </w:rPr>
        <w:t> </w:t>
      </w:r>
      <w:r>
        <w:rPr/>
        <w:t>information</w:t>
      </w:r>
      <w:r>
        <w:rPr>
          <w:spacing w:val="-13"/>
        </w:rPr>
        <w:t> </w:t>
      </w:r>
      <w:r>
        <w:rPr/>
        <w:t>regarding</w:t>
      </w:r>
      <w:r>
        <w:rPr>
          <w:spacing w:val="-13"/>
        </w:rPr>
        <w:t> </w:t>
      </w:r>
      <w:r>
        <w:rPr/>
        <w:t>the</w:t>
      </w:r>
      <w:r>
        <w:rPr>
          <w:spacing w:val="-13"/>
        </w:rPr>
        <w:t> </w:t>
      </w:r>
      <w:r>
        <w:rPr/>
        <w:t>fixture</w:t>
      </w:r>
      <w:r>
        <w:rPr>
          <w:spacing w:val="-13"/>
        </w:rPr>
        <w:t> </w:t>
      </w:r>
      <w:r>
        <w:rPr/>
        <w:t>itself</w:t>
      </w:r>
      <w:r>
        <w:rPr>
          <w:spacing w:val="-13"/>
        </w:rPr>
        <w:t> </w:t>
      </w:r>
      <w:r>
        <w:rPr/>
        <w:t>(e.g. scores, kick-off time, referee)</w:t>
      </w:r>
    </w:p>
    <w:p>
      <w:pPr>
        <w:pStyle w:val="BodyText"/>
        <w:tabs>
          <w:tab w:pos="3280" w:val="left" w:leader="none"/>
        </w:tabs>
        <w:spacing w:line="252" w:lineRule="auto"/>
        <w:ind w:left="3281" w:right="694" w:hanging="2366"/>
      </w:pPr>
      <w:r>
        <w:rPr/>
        <w:pict>
          <v:line style="position:absolute;mso-position-horizontal-relative:page;mso-position-vertical-relative:paragraph;z-index:15738880" from="123.825996pt,30.182129pt" to="530.410996pt,30.182129pt" stroked="true" strokeweight=".398pt" strokecolor="#000000">
            <v:stroke dashstyle="solid"/>
            <w10:wrap type="none"/>
          </v:line>
        </w:pict>
      </w:r>
      <w:r>
        <w:rPr/>
        <w:t>Play-the-ball data</w:t>
        <w:tab/>
        <w:t>Provides</w:t>
      </w:r>
      <w:r>
        <w:rPr>
          <w:spacing w:val="-6"/>
        </w:rPr>
        <w:t> </w:t>
      </w:r>
      <w:r>
        <w:rPr/>
        <w:t>information</w:t>
      </w:r>
      <w:r>
        <w:rPr>
          <w:spacing w:val="-7"/>
        </w:rPr>
        <w:t> </w:t>
      </w:r>
      <w:r>
        <w:rPr/>
        <w:t>for</w:t>
      </w:r>
      <w:r>
        <w:rPr>
          <w:spacing w:val="-7"/>
        </w:rPr>
        <w:t> </w:t>
      </w:r>
      <w:r>
        <w:rPr/>
        <w:t>timings</w:t>
      </w:r>
      <w:r>
        <w:rPr>
          <w:spacing w:val="-7"/>
        </w:rPr>
        <w:t> </w:t>
      </w:r>
      <w:r>
        <w:rPr/>
        <w:t>of</w:t>
      </w:r>
      <w:r>
        <w:rPr>
          <w:spacing w:val="-7"/>
        </w:rPr>
        <w:t> </w:t>
      </w:r>
      <w:r>
        <w:rPr/>
        <w:t>every</w:t>
      </w:r>
      <w:r>
        <w:rPr>
          <w:spacing w:val="-7"/>
        </w:rPr>
        <w:t> </w:t>
      </w:r>
      <w:r>
        <w:rPr/>
        <w:t>play-the-ball</w:t>
      </w:r>
      <w:r>
        <w:rPr>
          <w:spacing w:val="-7"/>
        </w:rPr>
        <w:t> </w:t>
      </w:r>
      <w:r>
        <w:rPr/>
        <w:t>in the match</w:t>
      </w:r>
    </w:p>
    <w:p>
      <w:pPr>
        <w:pStyle w:val="BodyText"/>
        <w:rPr>
          <w:sz w:val="20"/>
        </w:rPr>
      </w:pPr>
    </w:p>
    <w:p>
      <w:pPr>
        <w:pStyle w:val="BodyText"/>
        <w:spacing w:before="4"/>
        <w:rPr>
          <w:sz w:val="19"/>
        </w:rPr>
      </w:pPr>
    </w:p>
    <w:p>
      <w:pPr>
        <w:pStyle w:val="Heading2"/>
        <w:numPr>
          <w:ilvl w:val="1"/>
          <w:numId w:val="18"/>
        </w:numPr>
        <w:tabs>
          <w:tab w:pos="1385" w:val="left" w:leader="none"/>
          <w:tab w:pos="1386" w:val="left" w:leader="none"/>
        </w:tabs>
        <w:spacing w:line="240" w:lineRule="auto" w:before="113" w:after="0"/>
        <w:ind w:left="1385" w:right="0" w:hanging="776"/>
        <w:jc w:val="left"/>
      </w:pPr>
      <w:bookmarkStart w:name="_TOC_250045" w:id="97"/>
      <w:bookmarkStart w:name="3.2 Methodology" w:id="98"/>
      <w:r>
        <w:rPr>
          <w:b w:val="0"/>
        </w:rPr>
      </w:r>
      <w:bookmarkStart w:name="_bookmark51" w:id="99"/>
      <w:bookmarkEnd w:id="97"/>
      <w:r>
        <w:rPr>
          <w:spacing w:val="-2"/>
        </w:rPr>
        <w:t>Methodology</w:t>
      </w:r>
    </w:p>
    <w:p>
      <w:pPr>
        <w:pStyle w:val="BodyText"/>
        <w:spacing w:line="312" w:lineRule="auto" w:before="309"/>
        <w:ind w:left="610" w:right="389"/>
        <w:jc w:val="both"/>
      </w:pPr>
      <w:r>
        <w:rPr/>
        <w:t>In this section, the methodology for this study is presented.</w:t>
      </w:r>
      <w:r>
        <w:rPr>
          <w:spacing w:val="40"/>
        </w:rPr>
        <w:t> </w:t>
      </w:r>
      <w:r>
        <w:rPr/>
        <w:t>It describes the data used and</w:t>
      </w:r>
      <w:r>
        <w:rPr>
          <w:spacing w:val="-14"/>
        </w:rPr>
        <w:t> </w:t>
      </w:r>
      <w:r>
        <w:rPr/>
        <w:t>the</w:t>
      </w:r>
      <w:r>
        <w:rPr>
          <w:spacing w:val="-14"/>
        </w:rPr>
        <w:t> </w:t>
      </w:r>
      <w:r>
        <w:rPr/>
        <w:t>preprocessing</w:t>
      </w:r>
      <w:r>
        <w:rPr>
          <w:spacing w:val="-14"/>
        </w:rPr>
        <w:t> </w:t>
      </w:r>
      <w:r>
        <w:rPr/>
        <w:t>steps</w:t>
      </w:r>
      <w:r>
        <w:rPr>
          <w:spacing w:val="-14"/>
        </w:rPr>
        <w:t> </w:t>
      </w:r>
      <w:r>
        <w:rPr/>
        <w:t>required</w:t>
      </w:r>
      <w:r>
        <w:rPr>
          <w:spacing w:val="-14"/>
        </w:rPr>
        <w:t> </w:t>
      </w:r>
      <w:r>
        <w:rPr/>
        <w:t>to</w:t>
      </w:r>
      <w:r>
        <w:rPr>
          <w:spacing w:val="-14"/>
        </w:rPr>
        <w:t> </w:t>
      </w:r>
      <w:r>
        <w:rPr/>
        <w:t>prepare</w:t>
      </w:r>
      <w:r>
        <w:rPr>
          <w:spacing w:val="-14"/>
        </w:rPr>
        <w:t> </w:t>
      </w:r>
      <w:r>
        <w:rPr/>
        <w:t>the</w:t>
      </w:r>
      <w:r>
        <w:rPr>
          <w:spacing w:val="-14"/>
        </w:rPr>
        <w:t> </w:t>
      </w:r>
      <w:r>
        <w:rPr/>
        <w:t>data</w:t>
      </w:r>
      <w:r>
        <w:rPr>
          <w:spacing w:val="-14"/>
        </w:rPr>
        <w:t> </w:t>
      </w:r>
      <w:r>
        <w:rPr/>
        <w:t>for</w:t>
      </w:r>
      <w:r>
        <w:rPr>
          <w:spacing w:val="-14"/>
        </w:rPr>
        <w:t> </w:t>
      </w:r>
      <w:r>
        <w:rPr/>
        <w:t>analysis. The</w:t>
      </w:r>
      <w:r>
        <w:rPr>
          <w:spacing w:val="-14"/>
        </w:rPr>
        <w:t> </w:t>
      </w:r>
      <w:r>
        <w:rPr/>
        <w:t>Markov</w:t>
      </w:r>
      <w:r>
        <w:rPr>
          <w:spacing w:val="-14"/>
        </w:rPr>
        <w:t> </w:t>
      </w:r>
      <w:r>
        <w:rPr/>
        <w:t>Reward Process</w:t>
      </w:r>
      <w:r>
        <w:rPr>
          <w:spacing w:val="-15"/>
        </w:rPr>
        <w:t> </w:t>
      </w:r>
      <w:r>
        <w:rPr/>
        <w:t>framework</w:t>
      </w:r>
      <w:r>
        <w:rPr>
          <w:spacing w:val="-15"/>
        </w:rPr>
        <w:t> </w:t>
      </w:r>
      <w:r>
        <w:rPr/>
        <w:t>used</w:t>
      </w:r>
      <w:r>
        <w:rPr>
          <w:spacing w:val="-15"/>
        </w:rPr>
        <w:t> </w:t>
      </w:r>
      <w:r>
        <w:rPr/>
        <w:t>in</w:t>
      </w:r>
      <w:r>
        <w:rPr>
          <w:spacing w:val="-15"/>
        </w:rPr>
        <w:t> </w:t>
      </w:r>
      <w:r>
        <w:rPr/>
        <w:t>this</w:t>
      </w:r>
      <w:r>
        <w:rPr>
          <w:spacing w:val="-15"/>
        </w:rPr>
        <w:t> </w:t>
      </w:r>
      <w:r>
        <w:rPr/>
        <w:t>study</w:t>
      </w:r>
      <w:r>
        <w:rPr>
          <w:spacing w:val="-15"/>
        </w:rPr>
        <w:t> </w:t>
      </w:r>
      <w:r>
        <w:rPr/>
        <w:t>is</w:t>
      </w:r>
      <w:r>
        <w:rPr>
          <w:spacing w:val="-15"/>
        </w:rPr>
        <w:t> </w:t>
      </w:r>
      <w:r>
        <w:rPr/>
        <w:t>defined</w:t>
      </w:r>
      <w:r>
        <w:rPr>
          <w:spacing w:val="-15"/>
        </w:rPr>
        <w:t> </w:t>
      </w:r>
      <w:r>
        <w:rPr/>
        <w:t>and</w:t>
      </w:r>
      <w:r>
        <w:rPr>
          <w:spacing w:val="-15"/>
        </w:rPr>
        <w:t> </w:t>
      </w:r>
      <w:r>
        <w:rPr/>
        <w:t>a</w:t>
      </w:r>
      <w:r>
        <w:rPr>
          <w:spacing w:val="-15"/>
        </w:rPr>
        <w:t> </w:t>
      </w:r>
      <w:r>
        <w:rPr/>
        <w:t>method</w:t>
      </w:r>
      <w:r>
        <w:rPr>
          <w:spacing w:val="-15"/>
        </w:rPr>
        <w:t> </w:t>
      </w:r>
      <w:r>
        <w:rPr/>
        <w:t>of</w:t>
      </w:r>
      <w:r>
        <w:rPr>
          <w:spacing w:val="-15"/>
        </w:rPr>
        <w:t> </w:t>
      </w:r>
      <w:r>
        <w:rPr/>
        <w:t>calculating</w:t>
      </w:r>
      <w:r>
        <w:rPr>
          <w:spacing w:val="-15"/>
        </w:rPr>
        <w:t> </w:t>
      </w:r>
      <w:r>
        <w:rPr/>
        <w:t>expected</w:t>
      </w:r>
      <w:r>
        <w:rPr>
          <w:spacing w:val="-15"/>
        </w:rPr>
        <w:t> </w:t>
      </w:r>
      <w:r>
        <w:rPr/>
        <w:t>pos- session values is proposed.</w:t>
      </w:r>
      <w:r>
        <w:rPr>
          <w:spacing w:val="37"/>
        </w:rPr>
        <w:t> </w:t>
      </w:r>
      <w:r>
        <w:rPr/>
        <w:t>The configuration of different zone sizes and their compari- son</w:t>
      </w:r>
      <w:r>
        <w:rPr>
          <w:spacing w:val="-12"/>
        </w:rPr>
        <w:t> </w:t>
      </w:r>
      <w:r>
        <w:rPr/>
        <w:t>through</w:t>
      </w:r>
      <w:r>
        <w:rPr>
          <w:spacing w:val="-12"/>
        </w:rPr>
        <w:t> </w:t>
      </w:r>
      <w:r>
        <w:rPr/>
        <w:t>the</w:t>
      </w:r>
      <w:r>
        <w:rPr>
          <w:spacing w:val="-12"/>
        </w:rPr>
        <w:t> </w:t>
      </w:r>
      <w:r>
        <w:rPr/>
        <w:t>Kullback-Leibler</w:t>
      </w:r>
      <w:r>
        <w:rPr>
          <w:spacing w:val="-12"/>
        </w:rPr>
        <w:t> </w:t>
      </w:r>
      <w:r>
        <w:rPr/>
        <w:t>Divergence</w:t>
      </w:r>
      <w:r>
        <w:rPr>
          <w:spacing w:val="-12"/>
        </w:rPr>
        <w:t> </w:t>
      </w:r>
      <w:r>
        <w:rPr/>
        <w:t>is</w:t>
      </w:r>
      <w:r>
        <w:rPr>
          <w:spacing w:val="-12"/>
        </w:rPr>
        <w:t> </w:t>
      </w:r>
      <w:r>
        <w:rPr/>
        <w:t>described. A</w:t>
      </w:r>
      <w:r>
        <w:rPr>
          <w:spacing w:val="-12"/>
        </w:rPr>
        <w:t> </w:t>
      </w:r>
      <w:r>
        <w:rPr/>
        <w:t>novel</w:t>
      </w:r>
      <w:r>
        <w:rPr>
          <w:spacing w:val="-12"/>
        </w:rPr>
        <w:t> </w:t>
      </w:r>
      <w:r>
        <w:rPr/>
        <w:t>method</w:t>
      </w:r>
      <w:r>
        <w:rPr>
          <w:spacing w:val="-12"/>
        </w:rPr>
        <w:t> </w:t>
      </w:r>
      <w:r>
        <w:rPr/>
        <w:t>of</w:t>
      </w:r>
      <w:r>
        <w:rPr>
          <w:spacing w:val="-12"/>
        </w:rPr>
        <w:t> </w:t>
      </w:r>
      <w:r>
        <w:rPr/>
        <w:t>comparing team performances through z-score analysis is outlined.</w:t>
      </w:r>
    </w:p>
    <w:p>
      <w:pPr>
        <w:pStyle w:val="BodyText"/>
        <w:spacing w:before="6"/>
        <w:rPr>
          <w:sz w:val="34"/>
        </w:rPr>
      </w:pPr>
    </w:p>
    <w:p>
      <w:pPr>
        <w:pStyle w:val="Heading3"/>
        <w:numPr>
          <w:ilvl w:val="2"/>
          <w:numId w:val="18"/>
        </w:numPr>
        <w:tabs>
          <w:tab w:pos="1471" w:val="left" w:leader="none"/>
          <w:tab w:pos="1472" w:val="left" w:leader="none"/>
        </w:tabs>
        <w:spacing w:line="240" w:lineRule="auto" w:before="0" w:after="0"/>
        <w:ind w:left="1471" w:right="0" w:hanging="862"/>
        <w:jc w:val="left"/>
      </w:pPr>
      <w:bookmarkStart w:name="_TOC_250044" w:id="100"/>
      <w:bookmarkStart w:name="3.2.1 Data" w:id="101"/>
      <w:r>
        <w:rPr>
          <w:b w:val="0"/>
        </w:rPr>
      </w:r>
      <w:bookmarkStart w:name="_bookmark52" w:id="102"/>
      <w:bookmarkEnd w:id="100"/>
      <w:r>
        <w:rPr>
          <w:spacing w:val="-4"/>
        </w:rPr>
        <w:t>Data</w:t>
      </w:r>
    </w:p>
    <w:p>
      <w:pPr>
        <w:pStyle w:val="BodyText"/>
        <w:spacing w:line="312" w:lineRule="auto" w:before="236"/>
        <w:ind w:left="610" w:right="389"/>
        <w:jc w:val="both"/>
      </w:pPr>
      <w:r>
        <w:rPr/>
        <w:t>In this study, event level match-play data were obtained from Opta (Stats Perform, </w:t>
      </w:r>
      <w:r>
        <w:rPr/>
        <w:t>Lon- don, UK)</w:t>
      </w:r>
      <w:r>
        <w:rPr>
          <w:spacing w:val="-2"/>
        </w:rPr>
        <w:t> </w:t>
      </w:r>
      <w:r>
        <w:rPr/>
        <w:t>for</w:t>
      </w:r>
      <w:r>
        <w:rPr>
          <w:spacing w:val="-2"/>
        </w:rPr>
        <w:t> </w:t>
      </w:r>
      <w:r>
        <w:rPr/>
        <w:t>the</w:t>
      </w:r>
      <w:r>
        <w:rPr>
          <w:spacing w:val="-1"/>
        </w:rPr>
        <w:t> </w:t>
      </w:r>
      <w:r>
        <w:rPr/>
        <w:t>2019</w:t>
      </w:r>
      <w:r>
        <w:rPr>
          <w:spacing w:val="-2"/>
        </w:rPr>
        <w:t> </w:t>
      </w:r>
      <w:r>
        <w:rPr/>
        <w:t>Super</w:t>
      </w:r>
      <w:r>
        <w:rPr>
          <w:spacing w:val="-1"/>
        </w:rPr>
        <w:t> </w:t>
      </w:r>
      <w:r>
        <w:rPr/>
        <w:t>League</w:t>
      </w:r>
      <w:r>
        <w:rPr>
          <w:spacing w:val="-2"/>
        </w:rPr>
        <w:t> </w:t>
      </w:r>
      <w:r>
        <w:rPr/>
        <w:t>season.</w:t>
      </w:r>
      <w:r>
        <w:rPr>
          <w:spacing w:val="21"/>
        </w:rPr>
        <w:t> </w:t>
      </w:r>
      <w:r>
        <w:rPr/>
        <w:t>The</w:t>
      </w:r>
      <w:r>
        <w:rPr>
          <w:spacing w:val="-1"/>
        </w:rPr>
        <w:t> </w:t>
      </w:r>
      <w:r>
        <w:rPr/>
        <w:t>event</w:t>
      </w:r>
      <w:r>
        <w:rPr>
          <w:spacing w:val="-2"/>
        </w:rPr>
        <w:t> </w:t>
      </w:r>
      <w:r>
        <w:rPr/>
        <w:t>level</w:t>
      </w:r>
      <w:r>
        <w:rPr>
          <w:spacing w:val="-2"/>
        </w:rPr>
        <w:t> </w:t>
      </w:r>
      <w:r>
        <w:rPr/>
        <w:t>data</w:t>
      </w:r>
      <w:r>
        <w:rPr>
          <w:spacing w:val="-1"/>
        </w:rPr>
        <w:t> </w:t>
      </w:r>
      <w:r>
        <w:rPr/>
        <w:t>provided</w:t>
      </w:r>
      <w:r>
        <w:rPr>
          <w:spacing w:val="-2"/>
        </w:rPr>
        <w:t> </w:t>
      </w:r>
      <w:r>
        <w:rPr/>
        <w:t>by</w:t>
      </w:r>
      <w:r>
        <w:rPr>
          <w:spacing w:val="-2"/>
        </w:rPr>
        <w:t> </w:t>
      </w:r>
      <w:r>
        <w:rPr/>
        <w:t>Opta</w:t>
      </w:r>
      <w:r>
        <w:rPr>
          <w:spacing w:val="-1"/>
        </w:rPr>
        <w:t> </w:t>
      </w:r>
      <w:r>
        <w:rPr/>
        <w:t>was produced via human annotation of the actions taking place on the field of play during matches.</w:t>
      </w:r>
      <w:r>
        <w:rPr>
          <w:spacing w:val="40"/>
        </w:rPr>
        <w:t> </w:t>
      </w:r>
      <w:r>
        <w:rPr/>
        <w:t>In the 2019 season, 200 unique actions were coded by Opta.</w:t>
      </w:r>
      <w:r>
        <w:rPr>
          <w:spacing w:val="40"/>
        </w:rPr>
        <w:t> </w:t>
      </w:r>
      <w:r>
        <w:rPr/>
        <w:t>These actions included</w:t>
      </w:r>
      <w:r>
        <w:rPr>
          <w:spacing w:val="-2"/>
        </w:rPr>
        <w:t> </w:t>
      </w:r>
      <w:r>
        <w:rPr/>
        <w:t>player</w:t>
      </w:r>
      <w:r>
        <w:rPr>
          <w:spacing w:val="-2"/>
        </w:rPr>
        <w:t> </w:t>
      </w:r>
      <w:r>
        <w:rPr/>
        <w:t>actions</w:t>
      </w:r>
      <w:r>
        <w:rPr>
          <w:spacing w:val="-2"/>
        </w:rPr>
        <w:t> </w:t>
      </w:r>
      <w:r>
        <w:rPr/>
        <w:t>(e.g. passes, kicks,</w:t>
      </w:r>
      <w:r>
        <w:rPr>
          <w:spacing w:val="-1"/>
        </w:rPr>
        <w:t> </w:t>
      </w:r>
      <w:r>
        <w:rPr/>
        <w:t>runs, tackles)</w:t>
      </w:r>
      <w:r>
        <w:rPr>
          <w:spacing w:val="-2"/>
        </w:rPr>
        <w:t> </w:t>
      </w:r>
      <w:r>
        <w:rPr/>
        <w:t>and</w:t>
      </w:r>
      <w:r>
        <w:rPr>
          <w:spacing w:val="-2"/>
        </w:rPr>
        <w:t> </w:t>
      </w:r>
      <w:r>
        <w:rPr/>
        <w:t>miscellaneous</w:t>
      </w:r>
      <w:r>
        <w:rPr>
          <w:spacing w:val="-2"/>
        </w:rPr>
        <w:t> </w:t>
      </w:r>
      <w:r>
        <w:rPr/>
        <w:t>actions</w:t>
      </w:r>
      <w:r>
        <w:rPr>
          <w:spacing w:val="-2"/>
        </w:rPr>
        <w:t> </w:t>
      </w:r>
      <w:r>
        <w:rPr/>
        <w:t>(e.g. video referee try reviews).</w:t>
      </w:r>
      <w:r>
        <w:rPr>
          <w:spacing w:val="40"/>
        </w:rPr>
        <w:t> </w:t>
      </w:r>
      <w:r>
        <w:rPr/>
        <w:t>A full list of actions and their definitions is provided in Ap- pendix</w:t>
      </w:r>
      <w:r>
        <w:rPr>
          <w:color w:val="0000FF"/>
        </w:rPr>
        <w:t>B</w:t>
      </w:r>
      <w:r>
        <w:rPr/>
        <w:t>.</w:t>
      </w:r>
      <w:r>
        <w:rPr>
          <w:spacing w:val="-1"/>
        </w:rPr>
        <w:t> </w:t>
      </w:r>
      <w:r>
        <w:rPr/>
        <w:t>The</w:t>
      </w:r>
      <w:r>
        <w:rPr>
          <w:spacing w:val="-1"/>
        </w:rPr>
        <w:t> </w:t>
      </w:r>
      <w:r>
        <w:rPr/>
        <w:t>data for</w:t>
      </w:r>
      <w:r>
        <w:rPr>
          <w:spacing w:val="-1"/>
        </w:rPr>
        <w:t> </w:t>
      </w:r>
      <w:r>
        <w:rPr/>
        <w:t>each</w:t>
      </w:r>
      <w:r>
        <w:rPr>
          <w:spacing w:val="-1"/>
        </w:rPr>
        <w:t> </w:t>
      </w:r>
      <w:r>
        <w:rPr/>
        <w:t>match</w:t>
      </w:r>
      <w:r>
        <w:rPr>
          <w:spacing w:val="-1"/>
        </w:rPr>
        <w:t> </w:t>
      </w:r>
      <w:r>
        <w:rPr/>
        <w:t>was</w:t>
      </w:r>
      <w:r>
        <w:rPr>
          <w:spacing w:val="-1"/>
        </w:rPr>
        <w:t> </w:t>
      </w:r>
      <w:r>
        <w:rPr/>
        <w:t>provided</w:t>
      </w:r>
      <w:r>
        <w:rPr>
          <w:spacing w:val="-1"/>
        </w:rPr>
        <w:t> </w:t>
      </w:r>
      <w:r>
        <w:rPr/>
        <w:t>by Opta</w:t>
      </w:r>
      <w:r>
        <w:rPr>
          <w:spacing w:val="-1"/>
        </w:rPr>
        <w:t> </w:t>
      </w:r>
      <w:r>
        <w:rPr/>
        <w:t>in</w:t>
      </w:r>
      <w:r>
        <w:rPr>
          <w:spacing w:val="-1"/>
        </w:rPr>
        <w:t> </w:t>
      </w:r>
      <w:r>
        <w:rPr/>
        <w:t>separate</w:t>
      </w:r>
      <w:r>
        <w:rPr>
          <w:spacing w:val="-1"/>
        </w:rPr>
        <w:t> </w:t>
      </w:r>
      <w:r>
        <w:rPr/>
        <w:t>xml</w:t>
      </w:r>
      <w:r>
        <w:rPr>
          <w:spacing w:val="-1"/>
        </w:rPr>
        <w:t> </w:t>
      </w:r>
      <w:r>
        <w:rPr/>
        <w:t>files. Each</w:t>
      </w:r>
      <w:r>
        <w:rPr>
          <w:spacing w:val="-1"/>
        </w:rPr>
        <w:t> </w:t>
      </w:r>
      <w:r>
        <w:rPr/>
        <w:t>xml file had four nodes: match data; team data; fixture data; and play-the-ball data.</w:t>
      </w:r>
      <w:r>
        <w:rPr>
          <w:spacing w:val="40"/>
        </w:rPr>
        <w:t> </w:t>
      </w:r>
      <w:r>
        <w:rPr/>
        <w:t>Table </w:t>
      </w:r>
      <w:hyperlink w:history="true" w:anchor="_bookmark50">
        <w:r>
          <w:rPr>
            <w:color w:val="0000FF"/>
          </w:rPr>
          <w:t>3.1</w:t>
        </w:r>
      </w:hyperlink>
      <w:r>
        <w:rPr/>
        <w:t>describes each of these nodes.</w:t>
      </w:r>
      <w:r>
        <w:rPr>
          <w:spacing w:val="38"/>
        </w:rPr>
        <w:t> </w:t>
      </w:r>
      <w:r>
        <w:rPr/>
        <w:t>Raw information was provided by Opta using unique identifiers rather than ’real’ values.</w:t>
      </w:r>
    </w:p>
    <w:p>
      <w:pPr>
        <w:pStyle w:val="BodyText"/>
        <w:spacing w:line="312" w:lineRule="auto"/>
        <w:ind w:left="610" w:right="389" w:firstLine="351"/>
        <w:jc w:val="both"/>
      </w:pPr>
      <w:r>
        <w:rPr/>
        <w:t>The match data node contained 28 variables describing each action taking place on the</w:t>
      </w:r>
      <w:r>
        <w:rPr>
          <w:spacing w:val="35"/>
        </w:rPr>
        <w:t> </w:t>
      </w:r>
      <w:r>
        <w:rPr/>
        <w:t>pitch.</w:t>
      </w:r>
      <w:r>
        <w:rPr>
          <w:spacing w:val="33"/>
        </w:rPr>
        <w:t>  </w:t>
      </w:r>
      <w:r>
        <w:rPr/>
        <w:t>Due</w:t>
      </w:r>
      <w:r>
        <w:rPr>
          <w:spacing w:val="36"/>
        </w:rPr>
        <w:t> </w:t>
      </w:r>
      <w:r>
        <w:rPr/>
        <w:t>to</w:t>
      </w:r>
      <w:r>
        <w:rPr>
          <w:spacing w:val="36"/>
        </w:rPr>
        <w:t> </w:t>
      </w:r>
      <w:r>
        <w:rPr/>
        <w:t>the</w:t>
      </w:r>
      <w:r>
        <w:rPr>
          <w:spacing w:val="35"/>
        </w:rPr>
        <w:t> </w:t>
      </w:r>
      <w:r>
        <w:rPr/>
        <w:t>coding</w:t>
      </w:r>
      <w:r>
        <w:rPr>
          <w:spacing w:val="36"/>
        </w:rPr>
        <w:t> </w:t>
      </w:r>
      <w:r>
        <w:rPr/>
        <w:t>processes</w:t>
      </w:r>
      <w:r>
        <w:rPr>
          <w:spacing w:val="35"/>
        </w:rPr>
        <w:t> </w:t>
      </w:r>
      <w:r>
        <w:rPr/>
        <w:t>used</w:t>
      </w:r>
      <w:r>
        <w:rPr>
          <w:spacing w:val="36"/>
        </w:rPr>
        <w:t> </w:t>
      </w:r>
      <w:r>
        <w:rPr/>
        <w:t>by</w:t>
      </w:r>
      <w:r>
        <w:rPr>
          <w:spacing w:val="35"/>
        </w:rPr>
        <w:t> </w:t>
      </w:r>
      <w:r>
        <w:rPr/>
        <w:t>Opta,</w:t>
      </w:r>
      <w:r>
        <w:rPr>
          <w:spacing w:val="45"/>
        </w:rPr>
        <w:t> </w:t>
      </w:r>
      <w:r>
        <w:rPr/>
        <w:t>10</w:t>
      </w:r>
      <w:r>
        <w:rPr>
          <w:spacing w:val="36"/>
        </w:rPr>
        <w:t> </w:t>
      </w:r>
      <w:r>
        <w:rPr/>
        <w:t>of</w:t>
      </w:r>
      <w:r>
        <w:rPr>
          <w:spacing w:val="35"/>
        </w:rPr>
        <w:t> </w:t>
      </w:r>
      <w:r>
        <w:rPr/>
        <w:t>the</w:t>
      </w:r>
      <w:r>
        <w:rPr>
          <w:spacing w:val="36"/>
        </w:rPr>
        <w:t> </w:t>
      </w:r>
      <w:r>
        <w:rPr/>
        <w:t>variables</w:t>
      </w:r>
      <w:r>
        <w:rPr>
          <w:spacing w:val="36"/>
        </w:rPr>
        <w:t> </w:t>
      </w:r>
      <w:r>
        <w:rPr>
          <w:spacing w:val="-2"/>
        </w:rPr>
        <w:t>contained</w:t>
      </w:r>
    </w:p>
    <w:p>
      <w:pPr>
        <w:spacing w:after="0" w:line="312" w:lineRule="auto"/>
        <w:jc w:val="both"/>
        <w:sectPr>
          <w:headerReference w:type="default" r:id="rId59"/>
          <w:footerReference w:type="default" r:id="rId60"/>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before="105"/>
        <w:ind w:left="994"/>
      </w:pPr>
      <w:bookmarkStart w:name="_bookmark53" w:id="103"/>
      <w:bookmarkEnd w:id="103"/>
      <w:r>
        <w:rPr/>
      </w:r>
      <w:r>
        <w:rPr>
          <w:b/>
        </w:rPr>
        <w:t>Table</w:t>
      </w:r>
      <w:r>
        <w:rPr>
          <w:b/>
          <w:spacing w:val="-11"/>
        </w:rPr>
        <w:t> </w:t>
      </w:r>
      <w:r>
        <w:rPr>
          <w:b/>
        </w:rPr>
        <w:t>3.2:</w:t>
      </w:r>
      <w:r>
        <w:rPr>
          <w:b/>
          <w:spacing w:val="3"/>
        </w:rPr>
        <w:t> </w:t>
      </w:r>
      <w:r>
        <w:rPr/>
        <w:t>Important</w:t>
      </w:r>
      <w:r>
        <w:rPr>
          <w:spacing w:val="-10"/>
        </w:rPr>
        <w:t> </w:t>
      </w:r>
      <w:r>
        <w:rPr/>
        <w:t>match</w:t>
      </w:r>
      <w:r>
        <w:rPr>
          <w:spacing w:val="-10"/>
        </w:rPr>
        <w:t> </w:t>
      </w:r>
      <w:r>
        <w:rPr/>
        <w:t>data</w:t>
      </w:r>
      <w:r>
        <w:rPr>
          <w:spacing w:val="-10"/>
        </w:rPr>
        <w:t> </w:t>
      </w:r>
      <w:r>
        <w:rPr/>
        <w:t>variable</w:t>
      </w:r>
      <w:r>
        <w:rPr>
          <w:spacing w:val="-10"/>
        </w:rPr>
        <w:t> </w:t>
      </w:r>
      <w:r>
        <w:rPr/>
        <w:t>definitions</w:t>
      </w:r>
      <w:r>
        <w:rPr>
          <w:spacing w:val="-10"/>
        </w:rPr>
        <w:t> </w:t>
      </w:r>
      <w:r>
        <w:rPr/>
        <w:t>from</w:t>
      </w:r>
      <w:r>
        <w:rPr>
          <w:spacing w:val="-11"/>
        </w:rPr>
        <w:t> </w:t>
      </w:r>
      <w:r>
        <w:rPr/>
        <w:t>the</w:t>
      </w:r>
      <w:r>
        <w:rPr>
          <w:spacing w:val="-10"/>
        </w:rPr>
        <w:t> </w:t>
      </w:r>
      <w:r>
        <w:rPr/>
        <w:t>2019</w:t>
      </w:r>
      <w:r>
        <w:rPr>
          <w:spacing w:val="-10"/>
        </w:rPr>
        <w:t> </w:t>
      </w:r>
      <w:r>
        <w:rPr/>
        <w:t>Opta</w:t>
      </w:r>
      <w:r>
        <w:rPr>
          <w:spacing w:val="-10"/>
        </w:rPr>
        <w:t> </w:t>
      </w:r>
      <w:r>
        <w:rPr>
          <w:spacing w:val="-2"/>
        </w:rPr>
        <w:t>dataset.</w:t>
      </w:r>
    </w:p>
    <w:p>
      <w:pPr>
        <w:pStyle w:val="BodyText"/>
        <w:rPr>
          <w:sz w:val="20"/>
        </w:rPr>
      </w:pPr>
    </w:p>
    <w:p>
      <w:pPr>
        <w:pStyle w:val="BodyText"/>
        <w:spacing w:before="2"/>
        <w:rPr>
          <w:sz w:val="21"/>
        </w:rPr>
      </w:pPr>
      <w:r>
        <w:rPr/>
        <w:pict>
          <v:shape style="position:absolute;margin-left:123.825996pt;margin-top:13.373975pt;width:406.6pt;height:.1pt;mso-position-horizontal-relative:page;mso-position-vertical-relative:paragraph;z-index:-15717888;mso-wrap-distance-left:0;mso-wrap-distance-right:0" id="docshape53" coordorigin="2477,267" coordsize="8132,0" path="m2477,267l10608,267e" filled="false" stroked="true" strokeweight=".398pt" strokecolor="#000000">
            <v:path arrowok="t"/>
            <v:stroke dashstyle="solid"/>
            <w10:wrap type="topAndBottom"/>
          </v:shape>
        </w:pict>
      </w:r>
    </w:p>
    <w:p>
      <w:pPr>
        <w:pStyle w:val="BodyText"/>
        <w:tabs>
          <w:tab w:pos="3280" w:val="left" w:leader="none"/>
        </w:tabs>
        <w:spacing w:line="254" w:lineRule="exact" w:after="39"/>
        <w:ind w:left="916"/>
      </w:pPr>
      <w:r>
        <w:rPr>
          <w:spacing w:val="-2"/>
        </w:rPr>
        <w:t>Column</w:t>
      </w:r>
      <w:r>
        <w:rPr/>
        <w:tab/>
      </w:r>
      <w:r>
        <w:rPr>
          <w:spacing w:val="-2"/>
        </w:rPr>
        <w:t>Definition</w:t>
      </w:r>
    </w:p>
    <w:p>
      <w:pPr>
        <w:pStyle w:val="BodyText"/>
        <w:spacing w:line="20" w:lineRule="exact"/>
        <w:ind w:left="796"/>
        <w:rPr>
          <w:sz w:val="2"/>
        </w:rPr>
      </w:pPr>
      <w:r>
        <w:rPr>
          <w:sz w:val="2"/>
        </w:rPr>
        <w:pict>
          <v:group style="width:406.6pt;height:.4pt;mso-position-horizontal-relative:char;mso-position-vertical-relative:line" id="docshapegroup54" coordorigin="0,0" coordsize="8132,8">
            <v:line style="position:absolute" from="0,4" to="8132,4" stroked="true" strokeweight=".398pt" strokecolor="#000000">
              <v:stroke dashstyle="solid"/>
            </v:line>
          </v:group>
        </w:pict>
      </w:r>
      <w:r>
        <w:rPr>
          <w:sz w:val="2"/>
        </w:rPr>
      </w:r>
    </w:p>
    <w:p>
      <w:pPr>
        <w:pStyle w:val="BodyText"/>
        <w:tabs>
          <w:tab w:pos="3280" w:val="left" w:leader="none"/>
        </w:tabs>
        <w:ind w:left="916"/>
      </w:pPr>
      <w:r>
        <w:rPr>
          <w:spacing w:val="-5"/>
        </w:rPr>
        <w:t>ID</w:t>
      </w:r>
      <w:r>
        <w:rPr/>
        <w:tab/>
        <w:t>Unique</w:t>
      </w:r>
      <w:r>
        <w:rPr>
          <w:spacing w:val="-9"/>
        </w:rPr>
        <w:t> </w:t>
      </w:r>
      <w:r>
        <w:rPr/>
        <w:t>identifier</w:t>
      </w:r>
      <w:r>
        <w:rPr>
          <w:spacing w:val="-9"/>
        </w:rPr>
        <w:t> </w:t>
      </w:r>
      <w:r>
        <w:rPr/>
        <w:t>for</w:t>
      </w:r>
      <w:r>
        <w:rPr>
          <w:spacing w:val="-8"/>
        </w:rPr>
        <w:t> </w:t>
      </w:r>
      <w:r>
        <w:rPr/>
        <w:t>each</w:t>
      </w:r>
      <w:r>
        <w:rPr>
          <w:spacing w:val="-9"/>
        </w:rPr>
        <w:t> </w:t>
      </w:r>
      <w:r>
        <w:rPr/>
        <w:t>action</w:t>
      </w:r>
      <w:r>
        <w:rPr>
          <w:spacing w:val="-8"/>
        </w:rPr>
        <w:t> </w:t>
      </w:r>
      <w:r>
        <w:rPr>
          <w:spacing w:val="-5"/>
        </w:rPr>
        <w:t>row</w:t>
      </w:r>
    </w:p>
    <w:p>
      <w:pPr>
        <w:pStyle w:val="BodyText"/>
        <w:tabs>
          <w:tab w:pos="3280" w:val="left" w:leader="none"/>
        </w:tabs>
        <w:ind w:left="916"/>
      </w:pPr>
      <w:r>
        <w:rPr>
          <w:spacing w:val="-4"/>
        </w:rPr>
        <w:t>FXID</w:t>
      </w:r>
      <w:r>
        <w:rPr/>
        <w:tab/>
        <w:t>Unique</w:t>
      </w:r>
      <w:r>
        <w:rPr>
          <w:spacing w:val="-9"/>
        </w:rPr>
        <w:t> </w:t>
      </w:r>
      <w:r>
        <w:rPr/>
        <w:t>identifier</w:t>
      </w:r>
      <w:r>
        <w:rPr>
          <w:spacing w:val="-9"/>
        </w:rPr>
        <w:t> </w:t>
      </w:r>
      <w:r>
        <w:rPr/>
        <w:t>for</w:t>
      </w:r>
      <w:r>
        <w:rPr>
          <w:spacing w:val="-8"/>
        </w:rPr>
        <w:t> </w:t>
      </w:r>
      <w:r>
        <w:rPr/>
        <w:t>the</w:t>
      </w:r>
      <w:r>
        <w:rPr>
          <w:spacing w:val="-9"/>
        </w:rPr>
        <w:t> </w:t>
      </w:r>
      <w:r>
        <w:rPr>
          <w:spacing w:val="-2"/>
        </w:rPr>
        <w:t>fixture</w:t>
      </w:r>
    </w:p>
    <w:p>
      <w:pPr>
        <w:pStyle w:val="BodyText"/>
        <w:tabs>
          <w:tab w:pos="3280" w:val="left" w:leader="none"/>
        </w:tabs>
        <w:ind w:left="916"/>
      </w:pPr>
      <w:r>
        <w:rPr>
          <w:spacing w:val="-4"/>
        </w:rPr>
        <w:t>PLID</w:t>
      </w:r>
      <w:r>
        <w:rPr/>
        <w:tab/>
        <w:t>Unique</w:t>
      </w:r>
      <w:r>
        <w:rPr>
          <w:spacing w:val="-9"/>
        </w:rPr>
        <w:t> </w:t>
      </w:r>
      <w:r>
        <w:rPr/>
        <w:t>identifier</w:t>
      </w:r>
      <w:r>
        <w:rPr>
          <w:spacing w:val="-9"/>
        </w:rPr>
        <w:t> </w:t>
      </w:r>
      <w:r>
        <w:rPr/>
        <w:t>for</w:t>
      </w:r>
      <w:r>
        <w:rPr>
          <w:spacing w:val="-8"/>
        </w:rPr>
        <w:t> </w:t>
      </w:r>
      <w:r>
        <w:rPr/>
        <w:t>the</w:t>
      </w:r>
      <w:r>
        <w:rPr>
          <w:spacing w:val="-9"/>
        </w:rPr>
        <w:t> </w:t>
      </w:r>
      <w:r>
        <w:rPr>
          <w:spacing w:val="-2"/>
        </w:rPr>
        <w:t>player</w:t>
      </w:r>
    </w:p>
    <w:p>
      <w:pPr>
        <w:pStyle w:val="BodyText"/>
        <w:tabs>
          <w:tab w:pos="3280" w:val="left" w:leader="none"/>
        </w:tabs>
        <w:spacing w:before="1"/>
        <w:ind w:left="916"/>
      </w:pPr>
      <w:r>
        <w:rPr/>
        <w:pict>
          <v:line style="position:absolute;mso-position-horizontal-relative:page;mso-position-vertical-relative:paragraph;z-index:-21804032" from="153.761002pt,11.05412pt" to="157.348002pt,11.05412pt" stroked="true" strokeweight=".398pt" strokecolor="#000000">
            <v:stroke dashstyle="solid"/>
            <w10:wrap type="none"/>
          </v:line>
        </w:pict>
      </w:r>
      <w:r>
        <w:rPr/>
        <w:t>team</w:t>
      </w:r>
      <w:r>
        <w:rPr>
          <w:spacing w:val="21"/>
        </w:rPr>
        <w:t> </w:t>
      </w:r>
      <w:r>
        <w:rPr>
          <w:spacing w:val="-5"/>
        </w:rPr>
        <w:t>id</w:t>
      </w:r>
      <w:r>
        <w:rPr/>
        <w:tab/>
        <w:t>Unique</w:t>
      </w:r>
      <w:r>
        <w:rPr>
          <w:spacing w:val="-12"/>
        </w:rPr>
        <w:t> </w:t>
      </w:r>
      <w:r>
        <w:rPr/>
        <w:t>identifier</w:t>
      </w:r>
      <w:r>
        <w:rPr>
          <w:spacing w:val="-11"/>
        </w:rPr>
        <w:t> </w:t>
      </w:r>
      <w:r>
        <w:rPr/>
        <w:t>for</w:t>
      </w:r>
      <w:r>
        <w:rPr>
          <w:spacing w:val="-12"/>
        </w:rPr>
        <w:t> </w:t>
      </w:r>
      <w:r>
        <w:rPr/>
        <w:t>the</w:t>
      </w:r>
      <w:r>
        <w:rPr>
          <w:spacing w:val="-11"/>
        </w:rPr>
        <w:t> </w:t>
      </w:r>
      <w:r>
        <w:rPr/>
        <w:t>player’s</w:t>
      </w:r>
      <w:r>
        <w:rPr>
          <w:spacing w:val="-12"/>
        </w:rPr>
        <w:t> </w:t>
      </w:r>
      <w:r>
        <w:rPr>
          <w:spacing w:val="-4"/>
        </w:rPr>
        <w:t>team</w:t>
      </w:r>
    </w:p>
    <w:p>
      <w:pPr>
        <w:pStyle w:val="BodyText"/>
        <w:tabs>
          <w:tab w:pos="3280" w:val="left" w:leader="none"/>
        </w:tabs>
        <w:spacing w:before="13"/>
        <w:ind w:left="916"/>
      </w:pPr>
      <w:r>
        <w:rPr>
          <w:spacing w:val="-2"/>
        </w:rPr>
        <w:t>MatchTime</w:t>
      </w:r>
      <w:r>
        <w:rPr/>
        <w:tab/>
        <w:t>Time</w:t>
      </w:r>
      <w:r>
        <w:rPr>
          <w:spacing w:val="-7"/>
        </w:rPr>
        <w:t> </w:t>
      </w:r>
      <w:r>
        <w:rPr/>
        <w:t>the</w:t>
      </w:r>
      <w:r>
        <w:rPr>
          <w:spacing w:val="-7"/>
        </w:rPr>
        <w:t> </w:t>
      </w:r>
      <w:r>
        <w:rPr/>
        <w:t>action</w:t>
      </w:r>
      <w:r>
        <w:rPr>
          <w:spacing w:val="-7"/>
        </w:rPr>
        <w:t> </w:t>
      </w:r>
      <w:r>
        <w:rPr/>
        <w:t>took</w:t>
      </w:r>
      <w:r>
        <w:rPr>
          <w:spacing w:val="-6"/>
        </w:rPr>
        <w:t> </w:t>
      </w:r>
      <w:r>
        <w:rPr/>
        <w:t>place</w:t>
      </w:r>
      <w:r>
        <w:rPr>
          <w:spacing w:val="-7"/>
        </w:rPr>
        <w:t> </w:t>
      </w:r>
      <w:r>
        <w:rPr/>
        <w:t>in</w:t>
      </w:r>
      <w:r>
        <w:rPr>
          <w:spacing w:val="-7"/>
        </w:rPr>
        <w:t> </w:t>
      </w:r>
      <w:r>
        <w:rPr>
          <w:spacing w:val="-2"/>
        </w:rPr>
        <w:t>seconds</w:t>
      </w:r>
    </w:p>
    <w:p>
      <w:pPr>
        <w:pStyle w:val="BodyText"/>
        <w:tabs>
          <w:tab w:pos="3281" w:val="left" w:leader="none"/>
        </w:tabs>
        <w:spacing w:before="9"/>
        <w:ind w:left="916"/>
      </w:pPr>
      <w:r>
        <w:rPr/>
        <w:pict>
          <v:line style="position:absolute;mso-position-horizontal-relative:page;mso-position-vertical-relative:paragraph;z-index:-21803520" from="136.498001pt,11.653347pt" to="140.085001pt,11.653347pt" stroked="true" strokeweight=".398pt" strokecolor="#000000">
            <v:stroke dashstyle="solid"/>
            <w10:wrap type="none"/>
          </v:line>
        </w:pict>
      </w:r>
      <w:r>
        <w:rPr/>
        <w:t>x</w:t>
      </w:r>
      <w:r>
        <w:rPr>
          <w:spacing w:val="24"/>
        </w:rPr>
        <w:t> </w:t>
      </w:r>
      <w:r>
        <w:rPr>
          <w:spacing w:val="-2"/>
        </w:rPr>
        <w:t>coord</w:t>
      </w:r>
      <w:r>
        <w:rPr/>
        <w:tab/>
      </w:r>
      <w:r>
        <w:rPr>
          <w:rFonts w:ascii="Cambria"/>
        </w:rPr>
        <w:t>x</w:t>
      </w:r>
      <w:r>
        <w:rPr>
          <w:rFonts w:ascii="Cambria"/>
          <w:spacing w:val="7"/>
        </w:rPr>
        <w:t> </w:t>
      </w:r>
      <w:r>
        <w:rPr/>
        <w:t>coordinate</w:t>
      </w:r>
      <w:r>
        <w:rPr>
          <w:spacing w:val="-1"/>
        </w:rPr>
        <w:t> </w:t>
      </w:r>
      <w:r>
        <w:rPr/>
        <w:t>of</w:t>
      </w:r>
      <w:r>
        <w:rPr>
          <w:spacing w:val="-1"/>
        </w:rPr>
        <w:t> </w:t>
      </w:r>
      <w:r>
        <w:rPr/>
        <w:t>the </w:t>
      </w:r>
      <w:r>
        <w:rPr>
          <w:spacing w:val="-2"/>
        </w:rPr>
        <w:t>action</w:t>
      </w:r>
    </w:p>
    <w:p>
      <w:pPr>
        <w:pStyle w:val="BodyText"/>
        <w:tabs>
          <w:tab w:pos="3281" w:val="left" w:leader="none"/>
        </w:tabs>
        <w:spacing w:before="7"/>
        <w:ind w:left="916"/>
      </w:pPr>
      <w:r>
        <w:rPr/>
        <w:pict>
          <v:line style="position:absolute;mso-position-horizontal-relative:page;mso-position-vertical-relative:paragraph;z-index:-21803008" from="136.498001pt,11.553363pt" to="140.085001pt,11.553363pt" stroked="true" strokeweight=".398pt" strokecolor="#000000">
            <v:stroke dashstyle="solid"/>
            <w10:wrap type="none"/>
          </v:line>
        </w:pict>
      </w:r>
      <w:r>
        <w:rPr/>
        <w:t>y</w:t>
      </w:r>
      <w:r>
        <w:rPr>
          <w:spacing w:val="24"/>
        </w:rPr>
        <w:t> </w:t>
      </w:r>
      <w:r>
        <w:rPr>
          <w:spacing w:val="-2"/>
        </w:rPr>
        <w:t>coord</w:t>
      </w:r>
      <w:r>
        <w:rPr/>
        <w:tab/>
      </w:r>
      <w:r>
        <w:rPr>
          <w:rFonts w:ascii="Cambria"/>
        </w:rPr>
        <w:t>y</w:t>
      </w:r>
      <w:r>
        <w:rPr>
          <w:rFonts w:ascii="Cambria"/>
          <w:spacing w:val="8"/>
        </w:rPr>
        <w:t> </w:t>
      </w:r>
      <w:r>
        <w:rPr/>
        <w:t>coordinate</w:t>
      </w:r>
      <w:r>
        <w:rPr>
          <w:spacing w:val="-6"/>
        </w:rPr>
        <w:t> </w:t>
      </w:r>
      <w:r>
        <w:rPr/>
        <w:t>of</w:t>
      </w:r>
      <w:r>
        <w:rPr>
          <w:spacing w:val="-6"/>
        </w:rPr>
        <w:t> </w:t>
      </w:r>
      <w:r>
        <w:rPr/>
        <w:t>the</w:t>
      </w:r>
      <w:r>
        <w:rPr>
          <w:spacing w:val="-7"/>
        </w:rPr>
        <w:t> </w:t>
      </w:r>
      <w:r>
        <w:rPr>
          <w:spacing w:val="-2"/>
        </w:rPr>
        <w:t>action</w:t>
      </w:r>
    </w:p>
    <w:p>
      <w:pPr>
        <w:pStyle w:val="BodyText"/>
        <w:tabs>
          <w:tab w:pos="3280" w:val="left" w:leader="none"/>
        </w:tabs>
        <w:spacing w:line="252" w:lineRule="auto" w:before="12"/>
        <w:ind w:left="916" w:right="1162"/>
      </w:pPr>
      <w:r>
        <w:rPr>
          <w:spacing w:val="-2"/>
        </w:rPr>
        <w:t>action</w:t>
      </w:r>
      <w:r>
        <w:rPr/>
        <w:tab/>
        <w:t>Unique</w:t>
      </w:r>
      <w:r>
        <w:rPr>
          <w:spacing w:val="-8"/>
        </w:rPr>
        <w:t> </w:t>
      </w:r>
      <w:r>
        <w:rPr/>
        <w:t>identifier</w:t>
      </w:r>
      <w:r>
        <w:rPr>
          <w:spacing w:val="-8"/>
        </w:rPr>
        <w:t> </w:t>
      </w:r>
      <w:r>
        <w:rPr/>
        <w:t>for</w:t>
      </w:r>
      <w:r>
        <w:rPr>
          <w:spacing w:val="-8"/>
        </w:rPr>
        <w:t> </w:t>
      </w:r>
      <w:r>
        <w:rPr/>
        <w:t>the</w:t>
      </w:r>
      <w:r>
        <w:rPr>
          <w:spacing w:val="-8"/>
        </w:rPr>
        <w:t> </w:t>
      </w:r>
      <w:r>
        <w:rPr/>
        <w:t>group</w:t>
      </w:r>
      <w:r>
        <w:rPr>
          <w:spacing w:val="-8"/>
        </w:rPr>
        <w:t> </w:t>
      </w:r>
      <w:r>
        <w:rPr/>
        <w:t>of</w:t>
      </w:r>
      <w:r>
        <w:rPr>
          <w:spacing w:val="-8"/>
        </w:rPr>
        <w:t> </w:t>
      </w:r>
      <w:r>
        <w:rPr/>
        <w:t>action</w:t>
      </w:r>
      <w:r>
        <w:rPr>
          <w:spacing w:val="-8"/>
        </w:rPr>
        <w:t> </w:t>
      </w:r>
      <w:r>
        <w:rPr/>
        <w:t>taking</w:t>
      </w:r>
      <w:r>
        <w:rPr>
          <w:spacing w:val="-8"/>
        </w:rPr>
        <w:t> </w:t>
      </w:r>
      <w:r>
        <w:rPr/>
        <w:t>place </w:t>
      </w:r>
      <w:r>
        <w:rPr>
          <w:spacing w:val="-2"/>
        </w:rPr>
        <w:t>ActionType</w:t>
      </w:r>
      <w:r>
        <w:rPr/>
        <w:tab/>
        <w:t>Unique identifier for the action taking place </w:t>
      </w:r>
      <w:r>
        <w:rPr>
          <w:spacing w:val="-2"/>
        </w:rPr>
        <w:t>Actionresult</w:t>
      </w:r>
      <w:r>
        <w:rPr/>
        <w:tab/>
        <w:t>Unique identifier for the result of the action</w:t>
      </w:r>
    </w:p>
    <w:p>
      <w:pPr>
        <w:pStyle w:val="BodyText"/>
        <w:tabs>
          <w:tab w:pos="3280" w:val="left" w:leader="none"/>
        </w:tabs>
        <w:spacing w:line="273" w:lineRule="exact"/>
        <w:ind w:left="916"/>
      </w:pPr>
      <w:r>
        <w:rPr>
          <w:spacing w:val="-2"/>
        </w:rPr>
        <w:t>Metres</w:t>
      </w:r>
      <w:r>
        <w:rPr/>
        <w:tab/>
        <w:t>Metres</w:t>
      </w:r>
      <w:r>
        <w:rPr>
          <w:spacing w:val="-7"/>
        </w:rPr>
        <w:t> </w:t>
      </w:r>
      <w:r>
        <w:rPr/>
        <w:t>gained</w:t>
      </w:r>
      <w:r>
        <w:rPr>
          <w:spacing w:val="-6"/>
        </w:rPr>
        <w:t> </w:t>
      </w:r>
      <w:r>
        <w:rPr/>
        <w:t>by</w:t>
      </w:r>
      <w:r>
        <w:rPr>
          <w:spacing w:val="-6"/>
        </w:rPr>
        <w:t> </w:t>
      </w:r>
      <w:r>
        <w:rPr/>
        <w:t>the</w:t>
      </w:r>
      <w:r>
        <w:rPr>
          <w:spacing w:val="-6"/>
        </w:rPr>
        <w:t> </w:t>
      </w:r>
      <w:r>
        <w:rPr>
          <w:spacing w:val="-2"/>
        </w:rPr>
        <w:t>action</w:t>
      </w:r>
    </w:p>
    <w:p>
      <w:pPr>
        <w:pStyle w:val="BodyText"/>
        <w:tabs>
          <w:tab w:pos="3280" w:val="left" w:leader="none"/>
        </w:tabs>
        <w:spacing w:before="13"/>
        <w:ind w:left="916"/>
      </w:pPr>
      <w:r>
        <w:rPr>
          <w:spacing w:val="-2"/>
        </w:rPr>
        <w:t>PlayNum</w:t>
      </w:r>
      <w:r>
        <w:rPr/>
        <w:tab/>
        <w:t>The</w:t>
      </w:r>
      <w:r>
        <w:rPr>
          <w:spacing w:val="-7"/>
        </w:rPr>
        <w:t> </w:t>
      </w:r>
      <w:r>
        <w:rPr/>
        <w:t>play</w:t>
      </w:r>
      <w:r>
        <w:rPr>
          <w:spacing w:val="-7"/>
        </w:rPr>
        <w:t> </w:t>
      </w:r>
      <w:r>
        <w:rPr/>
        <w:t>number</w:t>
      </w:r>
      <w:r>
        <w:rPr>
          <w:spacing w:val="-6"/>
        </w:rPr>
        <w:t> </w:t>
      </w:r>
      <w:r>
        <w:rPr/>
        <w:t>within</w:t>
      </w:r>
      <w:r>
        <w:rPr>
          <w:spacing w:val="-7"/>
        </w:rPr>
        <w:t> </w:t>
      </w:r>
      <w:r>
        <w:rPr/>
        <w:t>the</w:t>
      </w:r>
      <w:r>
        <w:rPr>
          <w:spacing w:val="-6"/>
        </w:rPr>
        <w:t> </w:t>
      </w:r>
      <w:r>
        <w:rPr/>
        <w:t>attacking</w:t>
      </w:r>
      <w:r>
        <w:rPr>
          <w:spacing w:val="-7"/>
        </w:rPr>
        <w:t> </w:t>
      </w:r>
      <w:r>
        <w:rPr>
          <w:spacing w:val="-5"/>
        </w:rPr>
        <w:t>set</w:t>
      </w:r>
    </w:p>
    <w:p>
      <w:pPr>
        <w:pStyle w:val="BodyText"/>
        <w:tabs>
          <w:tab w:pos="3280" w:val="left" w:leader="none"/>
        </w:tabs>
        <w:spacing w:before="13"/>
        <w:ind w:left="916"/>
      </w:pPr>
      <w:r>
        <w:rPr/>
        <w:pict>
          <v:shape style="position:absolute;margin-left:123.825996pt;margin-top:16.386126pt;width:406.6pt;height:.1pt;mso-position-horizontal-relative:page;mso-position-vertical-relative:paragraph;z-index:-15716864;mso-wrap-distance-left:0;mso-wrap-distance-right:0" id="docshape55" coordorigin="2477,328" coordsize="8132,0" path="m2477,328l10608,328e" filled="false" stroked="true" strokeweight=".398pt" strokecolor="#000000">
            <v:path arrowok="t"/>
            <v:stroke dashstyle="solid"/>
            <w10:wrap type="topAndBottom"/>
          </v:shape>
        </w:pict>
      </w:r>
      <w:r>
        <w:rPr>
          <w:spacing w:val="-2"/>
        </w:rPr>
        <w:t>SetNum</w:t>
      </w:r>
      <w:r>
        <w:rPr/>
        <w:tab/>
        <w:t>The</w:t>
      </w:r>
      <w:r>
        <w:rPr>
          <w:spacing w:val="-7"/>
        </w:rPr>
        <w:t> </w:t>
      </w:r>
      <w:r>
        <w:rPr/>
        <w:t>attacking</w:t>
      </w:r>
      <w:r>
        <w:rPr>
          <w:spacing w:val="-6"/>
        </w:rPr>
        <w:t> </w:t>
      </w:r>
      <w:r>
        <w:rPr/>
        <w:t>set</w:t>
      </w:r>
      <w:r>
        <w:rPr>
          <w:spacing w:val="-6"/>
        </w:rPr>
        <w:t> </w:t>
      </w:r>
      <w:r>
        <w:rPr/>
        <w:t>number</w:t>
      </w:r>
      <w:r>
        <w:rPr>
          <w:spacing w:val="-7"/>
        </w:rPr>
        <w:t> </w:t>
      </w:r>
      <w:r>
        <w:rPr/>
        <w:t>within</w:t>
      </w:r>
      <w:r>
        <w:rPr>
          <w:spacing w:val="-6"/>
        </w:rPr>
        <w:t> </w:t>
      </w:r>
      <w:r>
        <w:rPr/>
        <w:t>the</w:t>
      </w:r>
      <w:r>
        <w:rPr>
          <w:spacing w:val="-6"/>
        </w:rPr>
        <w:t> </w:t>
      </w:r>
      <w:r>
        <w:rPr>
          <w:spacing w:val="-2"/>
        </w:rPr>
        <w:t>match</w:t>
      </w:r>
    </w:p>
    <w:p>
      <w:pPr>
        <w:pStyle w:val="BodyText"/>
        <w:rPr>
          <w:sz w:val="20"/>
        </w:rPr>
      </w:pPr>
    </w:p>
    <w:p>
      <w:pPr>
        <w:pStyle w:val="BodyText"/>
        <w:rPr>
          <w:sz w:val="20"/>
        </w:rPr>
      </w:pPr>
    </w:p>
    <w:p>
      <w:pPr>
        <w:pStyle w:val="BodyText"/>
        <w:spacing w:line="312" w:lineRule="auto" w:before="212"/>
        <w:ind w:left="610" w:right="389"/>
      </w:pPr>
      <w:r>
        <w:rPr/>
        <w:pict>
          <v:line style="position:absolute;mso-position-horizontal-relative:page;mso-position-vertical-relative:paragraph;z-index:15742464" from="523.505981pt,39.531132pt" to="527.092981pt,39.531132pt" stroked="true" strokeweight=".398pt" strokecolor="#000000">
            <v:stroke dashstyle="solid"/>
            <w10:wrap type="none"/>
          </v:line>
        </w:pict>
      </w:r>
      <w:r>
        <w:rPr/>
        <w:pict>
          <v:line style="position:absolute;mso-position-horizontal-relative:page;mso-position-vertical-relative:paragraph;z-index:15742976" from="145.113007pt,57.45813pt" to="148.700007pt,57.45813pt" stroked="true" strokeweight=".398pt" strokecolor="#000000">
            <v:stroke dashstyle="solid"/>
            <w10:wrap type="none"/>
          </v:line>
        </w:pict>
      </w:r>
      <w:r>
        <w:rPr/>
        <w:pict>
          <v:line style="position:absolute;mso-position-horizontal-relative:page;mso-position-vertical-relative:paragraph;z-index:15743488" from="229.774002pt,57.45813pt" to="233.361002pt,57.45813pt" stroked="true" strokeweight=".398pt" strokecolor="#000000">
            <v:stroke dashstyle="solid"/>
            <w10:wrap type="none"/>
          </v:line>
        </w:pict>
      </w:r>
      <w:r>
        <w:rPr/>
        <w:pict>
          <v:line style="position:absolute;mso-position-horizontal-relative:page;mso-position-vertical-relative:paragraph;z-index:15744000" from="415.824005pt,57.45813pt" to="419.411005pt,57.45813pt" stroked="true" strokeweight=".398pt" strokecolor="#000000">
            <v:stroke dashstyle="solid"/>
            <w10:wrap type="none"/>
          </v:line>
        </w:pict>
      </w:r>
      <w:r>
        <w:rPr/>
        <w:pict>
          <v:line style="position:absolute;mso-position-horizontal-relative:page;mso-position-vertical-relative:paragraph;z-index:15744512" from="182.455994pt,93.313133pt" to="186.042994pt,93.313133pt" stroked="true" strokeweight=".398pt" strokecolor="#000000">
            <v:stroke dashstyle="solid"/>
            <w10:wrap type="none"/>
          </v:line>
        </w:pict>
      </w:r>
      <w:r>
        <w:rPr/>
        <w:pict>
          <v:line style="position:absolute;mso-position-horizontal-relative:page;mso-position-vertical-relative:paragraph;z-index:15745024" from="272.705994pt,93.313133pt" to="276.292994pt,93.313133pt" stroked="true" strokeweight=".398pt" strokecolor="#000000">
            <v:stroke dashstyle="solid"/>
            <w10:wrap type="none"/>
          </v:line>
        </w:pict>
      </w:r>
      <w:r>
        <w:rPr/>
        <w:pict>
          <v:line style="position:absolute;mso-position-horizontal-relative:page;mso-position-vertical-relative:paragraph;z-index:15745536" from="121.214996pt,129.167130pt" to="124.801996pt,129.167130pt" stroked="true" strokeweight=".398pt" strokecolor="#000000">
            <v:stroke dashstyle="solid"/>
            <w10:wrap type="none"/>
          </v:line>
        </w:pict>
      </w:r>
      <w:r>
        <w:rPr/>
        <w:pict>
          <v:line style="position:absolute;mso-position-horizontal-relative:page;mso-position-vertical-relative:paragraph;z-index:15746048" from="152.740005pt,129.167130pt" to="156.327005pt,129.167130pt" stroked="true" strokeweight=".398pt" strokecolor="#000000">
            <v:stroke dashstyle="solid"/>
            <w10:wrap type="none"/>
          </v:line>
        </w:pict>
      </w:r>
      <w:r>
        <w:rPr/>
        <w:pict>
          <v:line style="position:absolute;mso-position-horizontal-relative:page;mso-position-vertical-relative:paragraph;z-index:15746560" from="205.572006pt,129.167130pt" to="209.159006pt,129.167130pt" stroked="true" strokeweight=".398pt" strokecolor="#000000">
            <v:stroke dashstyle="solid"/>
            <w10:wrap type="none"/>
          </v:line>
        </w:pict>
      </w:r>
      <w:r>
        <w:rPr/>
        <w:pict>
          <v:line style="position:absolute;mso-position-horizontal-relative:page;mso-position-vertical-relative:paragraph;z-index:15747072" from="237.097pt,129.167130pt" to="240.684pt,129.167130pt" stroked="true" strokeweight=".398pt" strokecolor="#000000">
            <v:stroke dashstyle="solid"/>
            <w10:wrap type="none"/>
          </v:line>
        </w:pict>
      </w:r>
      <w:r>
        <w:rPr/>
        <w:t>missing</w:t>
      </w:r>
      <w:r>
        <w:rPr>
          <w:spacing w:val="27"/>
        </w:rPr>
        <w:t> </w:t>
      </w:r>
      <w:r>
        <w:rPr/>
        <w:t>data</w:t>
      </w:r>
      <w:r>
        <w:rPr>
          <w:spacing w:val="27"/>
        </w:rPr>
        <w:t> </w:t>
      </w:r>
      <w:r>
        <w:rPr/>
        <w:t>or</w:t>
      </w:r>
      <w:r>
        <w:rPr>
          <w:spacing w:val="27"/>
        </w:rPr>
        <w:t> </w:t>
      </w:r>
      <w:r>
        <w:rPr/>
        <w:t>no</w:t>
      </w:r>
      <w:r>
        <w:rPr>
          <w:spacing w:val="27"/>
        </w:rPr>
        <w:t> </w:t>
      </w:r>
      <w:r>
        <w:rPr/>
        <w:t>data</w:t>
      </w:r>
      <w:r>
        <w:rPr>
          <w:spacing w:val="27"/>
        </w:rPr>
        <w:t> </w:t>
      </w:r>
      <w:r>
        <w:rPr/>
        <w:t>at</w:t>
      </w:r>
      <w:r>
        <w:rPr>
          <w:spacing w:val="27"/>
        </w:rPr>
        <w:t> </w:t>
      </w:r>
      <w:r>
        <w:rPr/>
        <w:t>all;</w:t>
      </w:r>
      <w:r>
        <w:rPr>
          <w:spacing w:val="40"/>
        </w:rPr>
        <w:t> </w:t>
      </w:r>
      <w:r>
        <w:rPr/>
        <w:t>these</w:t>
      </w:r>
      <w:r>
        <w:rPr>
          <w:spacing w:val="27"/>
        </w:rPr>
        <w:t> </w:t>
      </w:r>
      <w:r>
        <w:rPr/>
        <w:t>variables</w:t>
      </w:r>
      <w:r>
        <w:rPr>
          <w:spacing w:val="27"/>
        </w:rPr>
        <w:t> </w:t>
      </w:r>
      <w:r>
        <w:rPr/>
        <w:t>were</w:t>
      </w:r>
      <w:r>
        <w:rPr>
          <w:spacing w:val="27"/>
        </w:rPr>
        <w:t> </w:t>
      </w:r>
      <w:r>
        <w:rPr/>
        <w:t>therefore</w:t>
      </w:r>
      <w:r>
        <w:rPr>
          <w:spacing w:val="27"/>
        </w:rPr>
        <w:t> </w:t>
      </w:r>
      <w:r>
        <w:rPr/>
        <w:t>removed.</w:t>
      </w:r>
      <w:r>
        <w:rPr>
          <w:spacing w:val="80"/>
        </w:rPr>
        <w:t> </w:t>
      </w:r>
      <w:r>
        <w:rPr/>
        <w:t>Variables</w:t>
      </w:r>
      <w:r>
        <w:rPr>
          <w:spacing w:val="27"/>
        </w:rPr>
        <w:t> </w:t>
      </w:r>
      <w:r>
        <w:rPr/>
        <w:t>re- moved</w:t>
      </w:r>
      <w:r>
        <w:rPr>
          <w:spacing w:val="32"/>
        </w:rPr>
        <w:t> </w:t>
      </w:r>
      <w:r>
        <w:rPr/>
        <w:t>for</w:t>
      </w:r>
      <w:r>
        <w:rPr>
          <w:spacing w:val="32"/>
        </w:rPr>
        <w:t> </w:t>
      </w:r>
      <w:r>
        <w:rPr/>
        <w:t>this</w:t>
      </w:r>
      <w:r>
        <w:rPr>
          <w:spacing w:val="32"/>
        </w:rPr>
        <w:t> </w:t>
      </w:r>
      <w:r>
        <w:rPr/>
        <w:t>reason</w:t>
      </w:r>
      <w:r>
        <w:rPr>
          <w:spacing w:val="32"/>
        </w:rPr>
        <w:t> </w:t>
      </w:r>
      <w:r>
        <w:rPr/>
        <w:t>included:</w:t>
      </w:r>
      <w:r>
        <w:rPr>
          <w:spacing w:val="80"/>
        </w:rPr>
        <w:t> </w:t>
      </w:r>
      <w:r>
        <w:rPr/>
        <w:t>psID;</w:t>
      </w:r>
      <w:r>
        <w:rPr>
          <w:spacing w:val="32"/>
        </w:rPr>
        <w:t> </w:t>
      </w:r>
      <w:r>
        <w:rPr/>
        <w:t>qualifier3,</w:t>
      </w:r>
      <w:r>
        <w:rPr>
          <w:spacing w:val="40"/>
        </w:rPr>
        <w:t> </w:t>
      </w:r>
      <w:r>
        <w:rPr/>
        <w:t>qualifier4;</w:t>
      </w:r>
      <w:r>
        <w:rPr>
          <w:spacing w:val="40"/>
        </w:rPr>
        <w:t> </w:t>
      </w:r>
      <w:r>
        <w:rPr/>
        <w:t>qualifier5;</w:t>
      </w:r>
      <w:r>
        <w:rPr>
          <w:spacing w:val="40"/>
        </w:rPr>
        <w:t> </w:t>
      </w:r>
      <w:r>
        <w:rPr/>
        <w:t>sequence id; player advantage; score advantage; flag; advantage; and</w:t>
      </w:r>
      <w:r>
        <w:rPr>
          <w:spacing w:val="-1"/>
        </w:rPr>
        <w:t> </w:t>
      </w:r>
      <w:r>
        <w:rPr/>
        <w:t>assoc player.</w:t>
      </w:r>
      <w:r>
        <w:rPr>
          <w:spacing w:val="28"/>
        </w:rPr>
        <w:t> </w:t>
      </w:r>
      <w:r>
        <w:rPr/>
        <w:t>Five</w:t>
      </w:r>
      <w:r>
        <w:rPr>
          <w:spacing w:val="-1"/>
        </w:rPr>
        <w:t> </w:t>
      </w:r>
      <w:r>
        <w:rPr/>
        <w:t>further</w:t>
      </w:r>
      <w:r>
        <w:rPr>
          <w:spacing w:val="-1"/>
        </w:rPr>
        <w:t> </w:t>
      </w:r>
      <w:r>
        <w:rPr/>
        <w:t>vari- ables</w:t>
      </w:r>
      <w:r>
        <w:rPr>
          <w:spacing w:val="-8"/>
        </w:rPr>
        <w:t> </w:t>
      </w:r>
      <w:r>
        <w:rPr/>
        <w:t>were</w:t>
      </w:r>
      <w:r>
        <w:rPr>
          <w:spacing w:val="-8"/>
        </w:rPr>
        <w:t> </w:t>
      </w:r>
      <w:r>
        <w:rPr/>
        <w:t>removed</w:t>
      </w:r>
      <w:r>
        <w:rPr>
          <w:spacing w:val="-8"/>
        </w:rPr>
        <w:t> </w:t>
      </w:r>
      <w:r>
        <w:rPr/>
        <w:t>because</w:t>
      </w:r>
      <w:r>
        <w:rPr>
          <w:spacing w:val="-8"/>
        </w:rPr>
        <w:t> </w:t>
      </w:r>
      <w:r>
        <w:rPr/>
        <w:t>they</w:t>
      </w:r>
      <w:r>
        <w:rPr>
          <w:spacing w:val="-8"/>
        </w:rPr>
        <w:t> </w:t>
      </w:r>
      <w:r>
        <w:rPr/>
        <w:t>didn’t</w:t>
      </w:r>
      <w:r>
        <w:rPr>
          <w:spacing w:val="-8"/>
        </w:rPr>
        <w:t> </w:t>
      </w:r>
      <w:r>
        <w:rPr/>
        <w:t>provide</w:t>
      </w:r>
      <w:r>
        <w:rPr>
          <w:spacing w:val="-8"/>
        </w:rPr>
        <w:t> </w:t>
      </w:r>
      <w:r>
        <w:rPr/>
        <w:t>information</w:t>
      </w:r>
      <w:r>
        <w:rPr>
          <w:spacing w:val="-8"/>
        </w:rPr>
        <w:t> </w:t>
      </w:r>
      <w:r>
        <w:rPr/>
        <w:t>relevant</w:t>
      </w:r>
      <w:r>
        <w:rPr>
          <w:spacing w:val="-8"/>
        </w:rPr>
        <w:t> </w:t>
      </w:r>
      <w:r>
        <w:rPr/>
        <w:t>to</w:t>
      </w:r>
      <w:r>
        <w:rPr>
          <w:spacing w:val="-8"/>
        </w:rPr>
        <w:t> </w:t>
      </w:r>
      <w:r>
        <w:rPr/>
        <w:t>the</w:t>
      </w:r>
      <w:r>
        <w:rPr>
          <w:spacing w:val="-8"/>
        </w:rPr>
        <w:t> </w:t>
      </w:r>
      <w:r>
        <w:rPr/>
        <w:t>objectives</w:t>
      </w:r>
      <w:r>
        <w:rPr>
          <w:spacing w:val="-8"/>
        </w:rPr>
        <w:t> </w:t>
      </w:r>
      <w:r>
        <w:rPr/>
        <w:t>of this study:</w:t>
      </w:r>
      <w:r>
        <w:rPr>
          <w:spacing w:val="40"/>
        </w:rPr>
        <w:t> </w:t>
      </w:r>
      <w:r>
        <w:rPr/>
        <w:t>ps timestamp and ps endstamp, which provided video-time information for when</w:t>
      </w:r>
      <w:r>
        <w:rPr>
          <w:spacing w:val="19"/>
        </w:rPr>
        <w:t> </w:t>
      </w:r>
      <w:r>
        <w:rPr/>
        <w:t>the</w:t>
      </w:r>
      <w:r>
        <w:rPr>
          <w:spacing w:val="19"/>
        </w:rPr>
        <w:t> </w:t>
      </w:r>
      <w:r>
        <w:rPr/>
        <w:t>match</w:t>
      </w:r>
      <w:r>
        <w:rPr>
          <w:spacing w:val="20"/>
        </w:rPr>
        <w:t> </w:t>
      </w:r>
      <w:r>
        <w:rPr/>
        <w:t>event</w:t>
      </w:r>
      <w:r>
        <w:rPr>
          <w:spacing w:val="19"/>
        </w:rPr>
        <w:t> </w:t>
      </w:r>
      <w:r>
        <w:rPr/>
        <w:t>occurred;</w:t>
      </w:r>
      <w:r>
        <w:rPr>
          <w:spacing w:val="31"/>
        </w:rPr>
        <w:t> </w:t>
      </w:r>
      <w:r>
        <w:rPr/>
        <w:t>period,</w:t>
      </w:r>
      <w:r>
        <w:rPr>
          <w:spacing w:val="26"/>
        </w:rPr>
        <w:t> </w:t>
      </w:r>
      <w:r>
        <w:rPr/>
        <w:t>which</w:t>
      </w:r>
      <w:r>
        <w:rPr>
          <w:spacing w:val="20"/>
        </w:rPr>
        <w:t> </w:t>
      </w:r>
      <w:r>
        <w:rPr/>
        <w:t>identified</w:t>
      </w:r>
      <w:r>
        <w:rPr>
          <w:spacing w:val="19"/>
        </w:rPr>
        <w:t> </w:t>
      </w:r>
      <w:r>
        <w:rPr/>
        <w:t>the</w:t>
      </w:r>
      <w:r>
        <w:rPr>
          <w:spacing w:val="19"/>
        </w:rPr>
        <w:t> </w:t>
      </w:r>
      <w:r>
        <w:rPr/>
        <w:t>period</w:t>
      </w:r>
      <w:r>
        <w:rPr>
          <w:spacing w:val="19"/>
        </w:rPr>
        <w:t> </w:t>
      </w:r>
      <w:r>
        <w:rPr/>
        <w:t>of</w:t>
      </w:r>
      <w:r>
        <w:rPr>
          <w:spacing w:val="20"/>
        </w:rPr>
        <w:t> </w:t>
      </w:r>
      <w:r>
        <w:rPr/>
        <w:t>the</w:t>
      </w:r>
      <w:r>
        <w:rPr>
          <w:spacing w:val="19"/>
        </w:rPr>
        <w:t> </w:t>
      </w:r>
      <w:r>
        <w:rPr/>
        <w:t>match;</w:t>
      </w:r>
      <w:r>
        <w:rPr>
          <w:spacing w:val="31"/>
        </w:rPr>
        <w:t> </w:t>
      </w:r>
      <w:r>
        <w:rPr/>
        <w:t>and x</w:t>
      </w:r>
      <w:r>
        <w:rPr>
          <w:spacing w:val="21"/>
        </w:rPr>
        <w:t> </w:t>
      </w:r>
      <w:r>
        <w:rPr/>
        <w:t>coord</w:t>
      </w:r>
      <w:r>
        <w:rPr>
          <w:spacing w:val="21"/>
        </w:rPr>
        <w:t> </w:t>
      </w:r>
      <w:r>
        <w:rPr/>
        <w:t>end and y</w:t>
      </w:r>
      <w:r>
        <w:rPr>
          <w:spacing w:val="21"/>
        </w:rPr>
        <w:t> </w:t>
      </w:r>
      <w:r>
        <w:rPr/>
        <w:t>coord</w:t>
      </w:r>
      <w:r>
        <w:rPr>
          <w:spacing w:val="21"/>
        </w:rPr>
        <w:t> </w:t>
      </w:r>
      <w:r>
        <w:rPr/>
        <w:t>end,</w:t>
      </w:r>
      <w:r>
        <w:rPr>
          <w:spacing w:val="20"/>
        </w:rPr>
        <w:t> </w:t>
      </w:r>
      <w:r>
        <w:rPr/>
        <w:t>which identified the end locations of actions so the Me- tres variable could be calculated.</w:t>
      </w:r>
      <w:r>
        <w:rPr>
          <w:spacing w:val="27"/>
        </w:rPr>
        <w:t> </w:t>
      </w:r>
      <w:r>
        <w:rPr/>
        <w:t>Consequently, only 13 variables within the match data node were deemed to be useful for this analysis.</w:t>
      </w:r>
      <w:r>
        <w:rPr>
          <w:spacing w:val="40"/>
        </w:rPr>
        <w:t> </w:t>
      </w:r>
      <w:r>
        <w:rPr/>
        <w:t>Table</w:t>
      </w:r>
      <w:hyperlink w:history="true" w:anchor="_bookmark53">
        <w:r>
          <w:rPr>
            <w:color w:val="0000FF"/>
          </w:rPr>
          <w:t>3.2</w:t>
        </w:r>
      </w:hyperlink>
      <w:r>
        <w:rPr/>
        <w:t>provides definitions of these </w:t>
      </w:r>
      <w:r>
        <w:rPr>
          <w:spacing w:val="-2"/>
        </w:rPr>
        <w:t>variables.</w:t>
      </w:r>
    </w:p>
    <w:p>
      <w:pPr>
        <w:pStyle w:val="BodyText"/>
        <w:spacing w:line="312" w:lineRule="auto"/>
        <w:ind w:left="610" w:right="389" w:firstLine="351"/>
        <w:jc w:val="both"/>
      </w:pPr>
      <w:r>
        <w:rPr/>
        <w:t>Team</w:t>
      </w:r>
      <w:r>
        <w:rPr>
          <w:spacing w:val="-15"/>
        </w:rPr>
        <w:t> </w:t>
      </w:r>
      <w:r>
        <w:rPr/>
        <w:t>data</w:t>
      </w:r>
      <w:r>
        <w:rPr>
          <w:spacing w:val="-15"/>
        </w:rPr>
        <w:t> </w:t>
      </w:r>
      <w:r>
        <w:rPr/>
        <w:t>provided</w:t>
      </w:r>
      <w:r>
        <w:rPr>
          <w:spacing w:val="-14"/>
        </w:rPr>
        <w:t> </w:t>
      </w:r>
      <w:r>
        <w:rPr/>
        <w:t>8</w:t>
      </w:r>
      <w:r>
        <w:rPr>
          <w:spacing w:val="-15"/>
        </w:rPr>
        <w:t> </w:t>
      </w:r>
      <w:r>
        <w:rPr/>
        <w:t>details</w:t>
      </w:r>
      <w:r>
        <w:rPr>
          <w:spacing w:val="-15"/>
        </w:rPr>
        <w:t> </w:t>
      </w:r>
      <w:r>
        <w:rPr/>
        <w:t>to</w:t>
      </w:r>
      <w:r>
        <w:rPr>
          <w:spacing w:val="-15"/>
        </w:rPr>
        <w:t> </w:t>
      </w:r>
      <w:r>
        <w:rPr/>
        <w:t>identify</w:t>
      </w:r>
      <w:r>
        <w:rPr>
          <w:spacing w:val="-15"/>
        </w:rPr>
        <w:t> </w:t>
      </w:r>
      <w:r>
        <w:rPr/>
        <w:t>the</w:t>
      </w:r>
      <w:r>
        <w:rPr>
          <w:spacing w:val="-14"/>
        </w:rPr>
        <w:t> </w:t>
      </w:r>
      <w:r>
        <w:rPr/>
        <w:t>players</w:t>
      </w:r>
      <w:r>
        <w:rPr>
          <w:spacing w:val="-15"/>
        </w:rPr>
        <w:t> </w:t>
      </w:r>
      <w:r>
        <w:rPr/>
        <w:t>on</w:t>
      </w:r>
      <w:r>
        <w:rPr>
          <w:spacing w:val="-15"/>
        </w:rPr>
        <w:t> </w:t>
      </w:r>
      <w:r>
        <w:rPr/>
        <w:t>the</w:t>
      </w:r>
      <w:r>
        <w:rPr>
          <w:spacing w:val="-15"/>
        </w:rPr>
        <w:t> </w:t>
      </w:r>
      <w:r>
        <w:rPr/>
        <w:t>pitch,</w:t>
      </w:r>
      <w:r>
        <w:rPr>
          <w:spacing w:val="-14"/>
        </w:rPr>
        <w:t> </w:t>
      </w:r>
      <w:r>
        <w:rPr/>
        <w:t>including</w:t>
      </w:r>
      <w:r>
        <w:rPr>
          <w:spacing w:val="-15"/>
        </w:rPr>
        <w:t> </w:t>
      </w:r>
      <w:r>
        <w:rPr/>
        <w:t>their</w:t>
      </w:r>
      <w:r>
        <w:rPr>
          <w:spacing w:val="-15"/>
        </w:rPr>
        <w:t> </w:t>
      </w:r>
      <w:r>
        <w:rPr/>
        <w:t>player ID,</w:t>
      </w:r>
      <w:r>
        <w:rPr>
          <w:spacing w:val="-3"/>
        </w:rPr>
        <w:t> </w:t>
      </w:r>
      <w:r>
        <w:rPr/>
        <w:t>team</w:t>
      </w:r>
      <w:r>
        <w:rPr>
          <w:spacing w:val="-3"/>
        </w:rPr>
        <w:t> </w:t>
      </w:r>
      <w:r>
        <w:rPr/>
        <w:t>ID,</w:t>
      </w:r>
      <w:r>
        <w:rPr>
          <w:spacing w:val="-3"/>
        </w:rPr>
        <w:t> </w:t>
      </w:r>
      <w:r>
        <w:rPr/>
        <w:t>player</w:t>
      </w:r>
      <w:r>
        <w:rPr>
          <w:spacing w:val="-3"/>
        </w:rPr>
        <w:t> </w:t>
      </w:r>
      <w:r>
        <w:rPr/>
        <w:t>name,</w:t>
      </w:r>
      <w:r>
        <w:rPr>
          <w:spacing w:val="-2"/>
        </w:rPr>
        <w:t> </w:t>
      </w:r>
      <w:r>
        <w:rPr/>
        <w:t>team</w:t>
      </w:r>
      <w:r>
        <w:rPr>
          <w:spacing w:val="-3"/>
        </w:rPr>
        <w:t> </w:t>
      </w:r>
      <w:r>
        <w:rPr/>
        <w:t>name,</w:t>
      </w:r>
      <w:r>
        <w:rPr>
          <w:spacing w:val="-3"/>
        </w:rPr>
        <w:t> </w:t>
      </w:r>
      <w:r>
        <w:rPr/>
        <w:t>shirt</w:t>
      </w:r>
      <w:r>
        <w:rPr>
          <w:spacing w:val="-3"/>
        </w:rPr>
        <w:t> </w:t>
      </w:r>
      <w:r>
        <w:rPr/>
        <w:t>number,</w:t>
      </w:r>
      <w:r>
        <w:rPr>
          <w:spacing w:val="-3"/>
        </w:rPr>
        <w:t> </w:t>
      </w:r>
      <w:r>
        <w:rPr/>
        <w:t>position</w:t>
      </w:r>
      <w:r>
        <w:rPr>
          <w:spacing w:val="-3"/>
        </w:rPr>
        <w:t> </w:t>
      </w:r>
      <w:r>
        <w:rPr/>
        <w:t>on</w:t>
      </w:r>
      <w:r>
        <w:rPr>
          <w:spacing w:val="-3"/>
        </w:rPr>
        <w:t> </w:t>
      </w:r>
      <w:r>
        <w:rPr/>
        <w:t>the</w:t>
      </w:r>
      <w:r>
        <w:rPr>
          <w:spacing w:val="-3"/>
        </w:rPr>
        <w:t> </w:t>
      </w:r>
      <w:r>
        <w:rPr/>
        <w:t>team</w:t>
      </w:r>
      <w:r>
        <w:rPr>
          <w:spacing w:val="-3"/>
        </w:rPr>
        <w:t> </w:t>
      </w:r>
      <w:r>
        <w:rPr/>
        <w:t>sheet</w:t>
      </w:r>
      <w:r>
        <w:rPr>
          <w:spacing w:val="-3"/>
        </w:rPr>
        <w:t> </w:t>
      </w:r>
      <w:r>
        <w:rPr/>
        <w:t>and</w:t>
      </w:r>
      <w:r>
        <w:rPr>
          <w:spacing w:val="-3"/>
        </w:rPr>
        <w:t> </w:t>
      </w:r>
      <w:r>
        <w:rPr/>
        <w:t>min- utes</w:t>
      </w:r>
      <w:r>
        <w:rPr>
          <w:spacing w:val="-1"/>
        </w:rPr>
        <w:t> </w:t>
      </w:r>
      <w:r>
        <w:rPr/>
        <w:t>played.</w:t>
      </w:r>
      <w:r>
        <w:rPr>
          <w:spacing w:val="20"/>
        </w:rPr>
        <w:t> </w:t>
      </w:r>
      <w:r>
        <w:rPr/>
        <w:t>Fixture</w:t>
      </w:r>
      <w:r>
        <w:rPr>
          <w:spacing w:val="-1"/>
        </w:rPr>
        <w:t> </w:t>
      </w:r>
      <w:r>
        <w:rPr/>
        <w:t>data</w:t>
      </w:r>
      <w:r>
        <w:rPr>
          <w:spacing w:val="-1"/>
        </w:rPr>
        <w:t> </w:t>
      </w:r>
      <w:r>
        <w:rPr/>
        <w:t>outlined</w:t>
      </w:r>
      <w:r>
        <w:rPr>
          <w:spacing w:val="-1"/>
        </w:rPr>
        <w:t> </w:t>
      </w:r>
      <w:r>
        <w:rPr/>
        <w:t>13</w:t>
      </w:r>
      <w:r>
        <w:rPr>
          <w:spacing w:val="-1"/>
        </w:rPr>
        <w:t> </w:t>
      </w:r>
      <w:r>
        <w:rPr/>
        <w:t>details</w:t>
      </w:r>
      <w:r>
        <w:rPr>
          <w:spacing w:val="-1"/>
        </w:rPr>
        <w:t> </w:t>
      </w:r>
      <w:r>
        <w:rPr/>
        <w:t>about</w:t>
      </w:r>
      <w:r>
        <w:rPr>
          <w:spacing w:val="-1"/>
        </w:rPr>
        <w:t> </w:t>
      </w:r>
      <w:r>
        <w:rPr/>
        <w:t>the</w:t>
      </w:r>
      <w:r>
        <w:rPr>
          <w:spacing w:val="-1"/>
        </w:rPr>
        <w:t> </w:t>
      </w:r>
      <w:r>
        <w:rPr/>
        <w:t>match</w:t>
      </w:r>
      <w:r>
        <w:rPr>
          <w:spacing w:val="-1"/>
        </w:rPr>
        <w:t> </w:t>
      </w:r>
      <w:r>
        <w:rPr/>
        <w:t>including</w:t>
      </w:r>
      <w:r>
        <w:rPr>
          <w:spacing w:val="-1"/>
        </w:rPr>
        <w:t> </w:t>
      </w:r>
      <w:r>
        <w:rPr/>
        <w:t>the</w:t>
      </w:r>
      <w:r>
        <w:rPr>
          <w:spacing w:val="-1"/>
        </w:rPr>
        <w:t> </w:t>
      </w:r>
      <w:r>
        <w:rPr/>
        <w:t>time</w:t>
      </w:r>
      <w:r>
        <w:rPr>
          <w:spacing w:val="-1"/>
        </w:rPr>
        <w:t> </w:t>
      </w:r>
      <w:r>
        <w:rPr/>
        <w:t>and</w:t>
      </w:r>
      <w:r>
        <w:rPr>
          <w:spacing w:val="-1"/>
        </w:rPr>
        <w:t> </w:t>
      </w:r>
      <w:r>
        <w:rPr/>
        <w:t>date it started, the match day week, IDs for the home and away teams, their full team names and</w:t>
      </w:r>
      <w:r>
        <w:rPr>
          <w:spacing w:val="-6"/>
        </w:rPr>
        <w:t> </w:t>
      </w:r>
      <w:r>
        <w:rPr/>
        <w:t>scores</w:t>
      </w:r>
      <w:r>
        <w:rPr>
          <w:spacing w:val="-5"/>
        </w:rPr>
        <w:t> </w:t>
      </w:r>
      <w:r>
        <w:rPr/>
        <w:t>at</w:t>
      </w:r>
      <w:r>
        <w:rPr>
          <w:spacing w:val="-6"/>
        </w:rPr>
        <w:t> </w:t>
      </w:r>
      <w:r>
        <w:rPr/>
        <w:t>full</w:t>
      </w:r>
      <w:r>
        <w:rPr>
          <w:spacing w:val="-5"/>
        </w:rPr>
        <w:t> </w:t>
      </w:r>
      <w:r>
        <w:rPr/>
        <w:t>time</w:t>
      </w:r>
      <w:r>
        <w:rPr>
          <w:spacing w:val="-6"/>
        </w:rPr>
        <w:t> </w:t>
      </w:r>
      <w:r>
        <w:rPr/>
        <w:t>and</w:t>
      </w:r>
      <w:r>
        <w:rPr>
          <w:spacing w:val="-5"/>
        </w:rPr>
        <w:t> </w:t>
      </w:r>
      <w:r>
        <w:rPr/>
        <w:t>information</w:t>
      </w:r>
      <w:r>
        <w:rPr>
          <w:spacing w:val="-6"/>
        </w:rPr>
        <w:t> </w:t>
      </w:r>
      <w:r>
        <w:rPr/>
        <w:t>regarding</w:t>
      </w:r>
      <w:r>
        <w:rPr>
          <w:spacing w:val="-5"/>
        </w:rPr>
        <w:t> </w:t>
      </w:r>
      <w:r>
        <w:rPr/>
        <w:t>the</w:t>
      </w:r>
      <w:r>
        <w:rPr>
          <w:spacing w:val="-6"/>
        </w:rPr>
        <w:t> </w:t>
      </w:r>
      <w:r>
        <w:rPr/>
        <w:t>referee. Play-the-ball</w:t>
      </w:r>
      <w:r>
        <w:rPr>
          <w:spacing w:val="-6"/>
        </w:rPr>
        <w:t> </w:t>
      </w:r>
      <w:r>
        <w:rPr/>
        <w:t>data</w:t>
      </w:r>
      <w:r>
        <w:rPr>
          <w:spacing w:val="-5"/>
        </w:rPr>
        <w:t> </w:t>
      </w:r>
      <w:r>
        <w:rPr/>
        <w:t>provided technical</w:t>
      </w:r>
      <w:r>
        <w:rPr>
          <w:spacing w:val="-5"/>
        </w:rPr>
        <w:t> </w:t>
      </w:r>
      <w:r>
        <w:rPr/>
        <w:t>information</w:t>
      </w:r>
      <w:r>
        <w:rPr>
          <w:spacing w:val="-5"/>
        </w:rPr>
        <w:t> </w:t>
      </w:r>
      <w:r>
        <w:rPr/>
        <w:t>surrounding</w:t>
      </w:r>
      <w:r>
        <w:rPr>
          <w:spacing w:val="-5"/>
        </w:rPr>
        <w:t> </w:t>
      </w:r>
      <w:r>
        <w:rPr/>
        <w:t>the</w:t>
      </w:r>
      <w:r>
        <w:rPr>
          <w:spacing w:val="-5"/>
        </w:rPr>
        <w:t> </w:t>
      </w:r>
      <w:r>
        <w:rPr/>
        <w:t>contact</w:t>
      </w:r>
      <w:r>
        <w:rPr>
          <w:spacing w:val="-5"/>
        </w:rPr>
        <w:t> </w:t>
      </w:r>
      <w:r>
        <w:rPr/>
        <w:t>time,</w:t>
      </w:r>
      <w:r>
        <w:rPr>
          <w:spacing w:val="-5"/>
        </w:rPr>
        <w:t> </w:t>
      </w:r>
      <w:r>
        <w:rPr/>
        <w:t>completion</w:t>
      </w:r>
      <w:r>
        <w:rPr>
          <w:spacing w:val="-5"/>
        </w:rPr>
        <w:t> </w:t>
      </w:r>
      <w:r>
        <w:rPr/>
        <w:t>of</w:t>
      </w:r>
      <w:r>
        <w:rPr>
          <w:spacing w:val="-5"/>
        </w:rPr>
        <w:t> </w:t>
      </w:r>
      <w:r>
        <w:rPr/>
        <w:t>the</w:t>
      </w:r>
      <w:r>
        <w:rPr>
          <w:spacing w:val="-5"/>
        </w:rPr>
        <w:t> </w:t>
      </w:r>
      <w:r>
        <w:rPr/>
        <w:t>tackle</w:t>
      </w:r>
      <w:r>
        <w:rPr>
          <w:spacing w:val="-5"/>
        </w:rPr>
        <w:t> </w:t>
      </w:r>
      <w:r>
        <w:rPr/>
        <w:t>and</w:t>
      </w:r>
      <w:r>
        <w:rPr>
          <w:spacing w:val="-5"/>
        </w:rPr>
        <w:t> </w:t>
      </w:r>
      <w:r>
        <w:rPr/>
        <w:t>the</w:t>
      </w:r>
      <w:r>
        <w:rPr>
          <w:spacing w:val="-5"/>
        </w:rPr>
        <w:t> </w:t>
      </w:r>
      <w:r>
        <w:rPr/>
        <w:t>foot contact of each play-the-ball.</w:t>
      </w:r>
    </w:p>
    <w:p>
      <w:pPr>
        <w:pStyle w:val="BodyText"/>
        <w:spacing w:line="274" w:lineRule="exact"/>
        <w:ind w:left="961"/>
        <w:jc w:val="both"/>
      </w:pPr>
      <w:r>
        <w:rPr/>
        <w:t>In</w:t>
      </w:r>
      <w:r>
        <w:rPr>
          <w:spacing w:val="35"/>
        </w:rPr>
        <w:t> </w:t>
      </w:r>
      <w:r>
        <w:rPr/>
        <w:t>the</w:t>
      </w:r>
      <w:r>
        <w:rPr>
          <w:spacing w:val="36"/>
        </w:rPr>
        <w:t> </w:t>
      </w:r>
      <w:r>
        <w:rPr/>
        <w:t>2019</w:t>
      </w:r>
      <w:r>
        <w:rPr>
          <w:spacing w:val="36"/>
        </w:rPr>
        <w:t> </w:t>
      </w:r>
      <w:r>
        <w:rPr/>
        <w:t>Super</w:t>
      </w:r>
      <w:r>
        <w:rPr>
          <w:spacing w:val="35"/>
        </w:rPr>
        <w:t> </w:t>
      </w:r>
      <w:r>
        <w:rPr/>
        <w:t>League</w:t>
      </w:r>
      <w:r>
        <w:rPr>
          <w:spacing w:val="36"/>
        </w:rPr>
        <w:t> </w:t>
      </w:r>
      <w:r>
        <w:rPr/>
        <w:t>season,</w:t>
      </w:r>
      <w:r>
        <w:rPr>
          <w:spacing w:val="45"/>
        </w:rPr>
        <w:t> </w:t>
      </w:r>
      <w:r>
        <w:rPr/>
        <w:t>180</w:t>
      </w:r>
      <w:r>
        <w:rPr>
          <w:spacing w:val="36"/>
        </w:rPr>
        <w:t> </w:t>
      </w:r>
      <w:r>
        <w:rPr/>
        <w:t>matches</w:t>
      </w:r>
      <w:r>
        <w:rPr>
          <w:spacing w:val="36"/>
        </w:rPr>
        <w:t> </w:t>
      </w:r>
      <w:r>
        <w:rPr/>
        <w:t>were</w:t>
      </w:r>
      <w:r>
        <w:rPr>
          <w:spacing w:val="35"/>
        </w:rPr>
        <w:t> </w:t>
      </w:r>
      <w:r>
        <w:rPr/>
        <w:t>completed</w:t>
      </w:r>
      <w:r>
        <w:rPr>
          <w:spacing w:val="36"/>
        </w:rPr>
        <w:t> </w:t>
      </w:r>
      <w:r>
        <w:rPr/>
        <w:t>across</w:t>
      </w:r>
      <w:r>
        <w:rPr>
          <w:spacing w:val="36"/>
        </w:rPr>
        <w:t> </w:t>
      </w:r>
      <w:r>
        <w:rPr/>
        <w:t>12</w:t>
      </w:r>
      <w:r>
        <w:rPr>
          <w:spacing w:val="36"/>
        </w:rPr>
        <w:t> </w:t>
      </w:r>
      <w:r>
        <w:rPr>
          <w:spacing w:val="-2"/>
        </w:rPr>
        <w:t>Super</w:t>
      </w:r>
    </w:p>
    <w:p>
      <w:pPr>
        <w:spacing w:after="0" w:line="274" w:lineRule="exact"/>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League clubs.</w:t>
      </w:r>
      <w:r>
        <w:rPr>
          <w:spacing w:val="40"/>
        </w:rPr>
        <w:t> </w:t>
      </w:r>
      <w:r>
        <w:rPr/>
        <w:t>A total of 372,173 match events were recorded across 13,574 sets </w:t>
      </w:r>
      <w:r>
        <w:rPr/>
        <w:t>(me- dian</w:t>
      </w:r>
      <w:r>
        <w:rPr>
          <w:spacing w:val="-7"/>
        </w:rPr>
        <w:t> </w:t>
      </w:r>
      <w:r>
        <w:rPr/>
        <w:t>75.5</w:t>
      </w:r>
      <w:r>
        <w:rPr>
          <w:spacing w:val="-7"/>
        </w:rPr>
        <w:t> </w:t>
      </w:r>
      <w:r>
        <w:rPr/>
        <w:t>sets</w:t>
      </w:r>
      <w:r>
        <w:rPr>
          <w:spacing w:val="-7"/>
        </w:rPr>
        <w:t> </w:t>
      </w:r>
      <w:r>
        <w:rPr/>
        <w:t>per</w:t>
      </w:r>
      <w:r>
        <w:rPr>
          <w:spacing w:val="-7"/>
        </w:rPr>
        <w:t> </w:t>
      </w:r>
      <w:r>
        <w:rPr/>
        <w:t>match,</w:t>
      </w:r>
      <w:r>
        <w:rPr>
          <w:spacing w:val="-6"/>
        </w:rPr>
        <w:t> </w:t>
      </w:r>
      <w:r>
        <w:rPr/>
        <w:t>interquartile</w:t>
      </w:r>
      <w:r>
        <w:rPr>
          <w:spacing w:val="-7"/>
        </w:rPr>
        <w:t> </w:t>
      </w:r>
      <w:r>
        <w:rPr/>
        <w:t>range</w:t>
      </w:r>
      <w:r>
        <w:rPr>
          <w:spacing w:val="-7"/>
        </w:rPr>
        <w:t> </w:t>
      </w:r>
      <w:r>
        <w:rPr/>
        <w:t>72-79)</w:t>
      </w:r>
      <w:r>
        <w:rPr>
          <w:spacing w:val="-7"/>
        </w:rPr>
        <w:t> </w:t>
      </w:r>
      <w:r>
        <w:rPr/>
        <w:t>and</w:t>
      </w:r>
      <w:r>
        <w:rPr>
          <w:spacing w:val="-7"/>
        </w:rPr>
        <w:t> </w:t>
      </w:r>
      <w:r>
        <w:rPr/>
        <w:t>59,233</w:t>
      </w:r>
      <w:r>
        <w:rPr>
          <w:spacing w:val="-7"/>
        </w:rPr>
        <w:t> </w:t>
      </w:r>
      <w:r>
        <w:rPr/>
        <w:t>plays</w:t>
      </w:r>
      <w:r>
        <w:rPr>
          <w:spacing w:val="-7"/>
        </w:rPr>
        <w:t> </w:t>
      </w:r>
      <w:r>
        <w:rPr/>
        <w:t>(median</w:t>
      </w:r>
      <w:r>
        <w:rPr>
          <w:spacing w:val="-7"/>
        </w:rPr>
        <w:t> </w:t>
      </w:r>
      <w:r>
        <w:rPr/>
        <w:t>5</w:t>
      </w:r>
      <w:r>
        <w:rPr>
          <w:spacing w:val="-7"/>
        </w:rPr>
        <w:t> </w:t>
      </w:r>
      <w:r>
        <w:rPr/>
        <w:t>plays</w:t>
      </w:r>
      <w:r>
        <w:rPr>
          <w:spacing w:val="-7"/>
        </w:rPr>
        <w:t> </w:t>
      </w:r>
      <w:r>
        <w:rPr/>
        <w:t>per set,</w:t>
      </w:r>
      <w:r>
        <w:rPr>
          <w:spacing w:val="-6"/>
        </w:rPr>
        <w:t> </w:t>
      </w:r>
      <w:r>
        <w:rPr/>
        <w:t>interquartile</w:t>
      </w:r>
      <w:r>
        <w:rPr>
          <w:spacing w:val="-6"/>
        </w:rPr>
        <w:t> </w:t>
      </w:r>
      <w:r>
        <w:rPr/>
        <w:t>range</w:t>
      </w:r>
      <w:r>
        <w:rPr>
          <w:spacing w:val="-6"/>
        </w:rPr>
        <w:t> </w:t>
      </w:r>
      <w:r>
        <w:rPr/>
        <w:t>3-6). Across</w:t>
      </w:r>
      <w:r>
        <w:rPr>
          <w:spacing w:val="-6"/>
        </w:rPr>
        <w:t> </w:t>
      </w:r>
      <w:r>
        <w:rPr/>
        <w:t>the</w:t>
      </w:r>
      <w:r>
        <w:rPr>
          <w:spacing w:val="-6"/>
        </w:rPr>
        <w:t> </w:t>
      </w:r>
      <w:r>
        <w:rPr/>
        <w:t>season,</w:t>
      </w:r>
      <w:r>
        <w:rPr>
          <w:spacing w:val="-6"/>
        </w:rPr>
        <w:t> </w:t>
      </w:r>
      <w:r>
        <w:rPr/>
        <w:t>1,369</w:t>
      </w:r>
      <w:r>
        <w:rPr>
          <w:spacing w:val="-6"/>
        </w:rPr>
        <w:t> </w:t>
      </w:r>
      <w:r>
        <w:rPr/>
        <w:t>tries</w:t>
      </w:r>
      <w:r>
        <w:rPr>
          <w:spacing w:val="-6"/>
        </w:rPr>
        <w:t> </w:t>
      </w:r>
      <w:r>
        <w:rPr/>
        <w:t>were</w:t>
      </w:r>
      <w:r>
        <w:rPr>
          <w:spacing w:val="-6"/>
        </w:rPr>
        <w:t> </w:t>
      </w:r>
      <w:r>
        <w:rPr/>
        <w:t>scored</w:t>
      </w:r>
      <w:r>
        <w:rPr>
          <w:spacing w:val="-6"/>
        </w:rPr>
        <w:t> </w:t>
      </w:r>
      <w:r>
        <w:rPr/>
        <w:t>(1,013</w:t>
      </w:r>
      <w:r>
        <w:rPr>
          <w:spacing w:val="-6"/>
        </w:rPr>
        <w:t> </w:t>
      </w:r>
      <w:r>
        <w:rPr/>
        <w:t>successful conversion</w:t>
      </w:r>
      <w:r>
        <w:rPr>
          <w:spacing w:val="-3"/>
        </w:rPr>
        <w:t> </w:t>
      </w:r>
      <w:r>
        <w:rPr/>
        <w:t>kicks,</w:t>
      </w:r>
      <w:r>
        <w:rPr>
          <w:spacing w:val="-1"/>
        </w:rPr>
        <w:t> </w:t>
      </w:r>
      <w:r>
        <w:rPr/>
        <w:t>356</w:t>
      </w:r>
      <w:r>
        <w:rPr>
          <w:spacing w:val="-3"/>
        </w:rPr>
        <w:t> </w:t>
      </w:r>
      <w:r>
        <w:rPr/>
        <w:t>unsuccessful</w:t>
      </w:r>
      <w:r>
        <w:rPr>
          <w:spacing w:val="-3"/>
        </w:rPr>
        <w:t> </w:t>
      </w:r>
      <w:r>
        <w:rPr/>
        <w:t>conversion</w:t>
      </w:r>
      <w:r>
        <w:rPr>
          <w:spacing w:val="-3"/>
        </w:rPr>
        <w:t> </w:t>
      </w:r>
      <w:r>
        <w:rPr/>
        <w:t>kicks),</w:t>
      </w:r>
      <w:r>
        <w:rPr>
          <w:spacing w:val="-1"/>
        </w:rPr>
        <w:t> </w:t>
      </w:r>
      <w:r>
        <w:rPr/>
        <w:t>271</w:t>
      </w:r>
      <w:r>
        <w:rPr>
          <w:spacing w:val="-3"/>
        </w:rPr>
        <w:t> </w:t>
      </w:r>
      <w:r>
        <w:rPr/>
        <w:t>penalty</w:t>
      </w:r>
      <w:r>
        <w:rPr>
          <w:spacing w:val="-3"/>
        </w:rPr>
        <w:t> </w:t>
      </w:r>
      <w:r>
        <w:rPr/>
        <w:t>goals</w:t>
      </w:r>
      <w:r>
        <w:rPr>
          <w:spacing w:val="-3"/>
        </w:rPr>
        <w:t> </w:t>
      </w:r>
      <w:r>
        <w:rPr/>
        <w:t>were</w:t>
      </w:r>
      <w:r>
        <w:rPr>
          <w:spacing w:val="-3"/>
        </w:rPr>
        <w:t> </w:t>
      </w:r>
      <w:r>
        <w:rPr/>
        <w:t>attempted (239 successful, 32 unsuccessful) and 89 drop goals were attempted (42 successful, 47 </w:t>
      </w:r>
      <w:r>
        <w:rPr>
          <w:spacing w:val="-2"/>
        </w:rPr>
        <w:t>unsuccessful).</w:t>
      </w:r>
    </w:p>
    <w:p>
      <w:pPr>
        <w:pStyle w:val="BodyText"/>
        <w:spacing w:before="7"/>
        <w:rPr>
          <w:sz w:val="34"/>
        </w:rPr>
      </w:pPr>
    </w:p>
    <w:p>
      <w:pPr>
        <w:pStyle w:val="Heading3"/>
        <w:numPr>
          <w:ilvl w:val="2"/>
          <w:numId w:val="18"/>
        </w:numPr>
        <w:tabs>
          <w:tab w:pos="1471" w:val="left" w:leader="none"/>
          <w:tab w:pos="1472" w:val="left" w:leader="none"/>
        </w:tabs>
        <w:spacing w:line="240" w:lineRule="auto" w:before="0" w:after="0"/>
        <w:ind w:left="1471" w:right="0" w:hanging="862"/>
        <w:jc w:val="left"/>
      </w:pPr>
      <w:bookmarkStart w:name="_TOC_250043" w:id="104"/>
      <w:bookmarkStart w:name="3.2.2 Data Preprocessing" w:id="105"/>
      <w:r>
        <w:rPr>
          <w:b w:val="0"/>
        </w:rPr>
      </w:r>
      <w:bookmarkStart w:name="_bookmark54" w:id="106"/>
      <w:bookmarkEnd w:id="106"/>
      <w:r>
        <w:rPr/>
        <w:t>Data</w:t>
      </w:r>
      <w:r>
        <w:rPr>
          <w:spacing w:val="12"/>
        </w:rPr>
        <w:t> </w:t>
      </w:r>
      <w:bookmarkEnd w:id="104"/>
      <w:r>
        <w:rPr>
          <w:spacing w:val="-2"/>
        </w:rPr>
        <w:t>Preprocessing</w:t>
      </w:r>
    </w:p>
    <w:p>
      <w:pPr>
        <w:pStyle w:val="BodyText"/>
        <w:spacing w:line="312" w:lineRule="auto" w:before="235"/>
        <w:ind w:left="610" w:right="389"/>
      </w:pPr>
      <w:r>
        <w:rPr/>
        <w:t>Figure</w:t>
      </w:r>
      <w:hyperlink w:history="true" w:anchor="_bookmark55">
        <w:r>
          <w:rPr>
            <w:color w:val="0000FF"/>
          </w:rPr>
          <w:t>3.1</w:t>
        </w:r>
      </w:hyperlink>
      <w:r>
        <w:rPr/>
        <w:t>provides an overview of the data preprocessing completed within this study. The preprocessing steps converted the 180 raw xml files described above to a single </w:t>
      </w:r>
      <w:r>
        <w:rPr/>
        <w:t>file of</w:t>
      </w:r>
      <w:r>
        <w:rPr>
          <w:spacing w:val="-2"/>
        </w:rPr>
        <w:t> </w:t>
      </w:r>
      <w:r>
        <w:rPr/>
        <w:t>59,233</w:t>
      </w:r>
      <w:r>
        <w:rPr>
          <w:spacing w:val="-2"/>
        </w:rPr>
        <w:t> </w:t>
      </w:r>
      <w:r>
        <w:rPr/>
        <w:t>rows</w:t>
      </w:r>
      <w:r>
        <w:rPr>
          <w:spacing w:val="-2"/>
        </w:rPr>
        <w:t> </w:t>
      </w:r>
      <w:r>
        <w:rPr/>
        <w:t>and</w:t>
      </w:r>
      <w:r>
        <w:rPr>
          <w:spacing w:val="-2"/>
        </w:rPr>
        <w:t> </w:t>
      </w:r>
      <w:r>
        <w:rPr/>
        <w:t>7</w:t>
      </w:r>
      <w:r>
        <w:rPr>
          <w:spacing w:val="-2"/>
        </w:rPr>
        <w:t> </w:t>
      </w:r>
      <w:r>
        <w:rPr/>
        <w:t>columns</w:t>
      </w:r>
      <w:r>
        <w:rPr>
          <w:spacing w:val="-2"/>
        </w:rPr>
        <w:t> </w:t>
      </w:r>
      <w:r>
        <w:rPr/>
        <w:t>ready</w:t>
      </w:r>
      <w:r>
        <w:rPr>
          <w:spacing w:val="-2"/>
        </w:rPr>
        <w:t> </w:t>
      </w:r>
      <w:r>
        <w:rPr/>
        <w:t>for</w:t>
      </w:r>
      <w:r>
        <w:rPr>
          <w:spacing w:val="-2"/>
        </w:rPr>
        <w:t> </w:t>
      </w:r>
      <w:r>
        <w:rPr/>
        <w:t>analysis.</w:t>
      </w:r>
      <w:r>
        <w:rPr>
          <w:spacing w:val="19"/>
        </w:rPr>
        <w:t> </w:t>
      </w:r>
      <w:r>
        <w:rPr/>
        <w:t>Full</w:t>
      </w:r>
      <w:r>
        <w:rPr>
          <w:spacing w:val="-2"/>
        </w:rPr>
        <w:t> </w:t>
      </w:r>
      <w:r>
        <w:rPr/>
        <w:t>details</w:t>
      </w:r>
      <w:r>
        <w:rPr>
          <w:spacing w:val="-2"/>
        </w:rPr>
        <w:t> </w:t>
      </w:r>
      <w:r>
        <w:rPr/>
        <w:t>of</w:t>
      </w:r>
      <w:r>
        <w:rPr>
          <w:spacing w:val="-2"/>
        </w:rPr>
        <w:t> </w:t>
      </w:r>
      <w:r>
        <w:rPr/>
        <w:t>each</w:t>
      </w:r>
      <w:r>
        <w:rPr>
          <w:spacing w:val="-2"/>
        </w:rPr>
        <w:t> </w:t>
      </w:r>
      <w:r>
        <w:rPr/>
        <w:t>preprocessing</w:t>
      </w:r>
      <w:r>
        <w:rPr>
          <w:spacing w:val="-2"/>
        </w:rPr>
        <w:t> </w:t>
      </w:r>
      <w:r>
        <w:rPr/>
        <w:t>step are provided below.</w:t>
      </w:r>
    </w:p>
    <w:p>
      <w:pPr>
        <w:pStyle w:val="BodyText"/>
        <w:spacing w:line="312" w:lineRule="auto"/>
        <w:ind w:left="610" w:right="389" w:firstLine="351"/>
        <w:jc w:val="both"/>
      </w:pPr>
      <w:r>
        <w:rPr/>
        <w:t>The match action data, provided in 180 xml files, were collected and integrated </w:t>
      </w:r>
      <w:r>
        <w:rPr/>
        <w:t>into a single dataset of 372,173 rows and 28 columns.</w:t>
      </w:r>
      <w:r>
        <w:rPr>
          <w:spacing w:val="40"/>
        </w:rPr>
        <w:t> </w:t>
      </w:r>
      <w:r>
        <w:rPr/>
        <w:t>To achieve this, the match data node variables were extracted from each xml file into separate tables and then concatenated together.</w:t>
      </w:r>
      <w:r>
        <w:rPr>
          <w:spacing w:val="40"/>
        </w:rPr>
        <w:t> </w:t>
      </w:r>
      <w:r>
        <w:rPr/>
        <w:t>The team data node variables were also extracted into tables for each fixture. These</w:t>
      </w:r>
      <w:r>
        <w:rPr>
          <w:spacing w:val="-3"/>
        </w:rPr>
        <w:t> </w:t>
      </w:r>
      <w:r>
        <w:rPr/>
        <w:t>were</w:t>
      </w:r>
      <w:r>
        <w:rPr>
          <w:spacing w:val="-3"/>
        </w:rPr>
        <w:t> </w:t>
      </w:r>
      <w:r>
        <w:rPr/>
        <w:t>used</w:t>
      </w:r>
      <w:r>
        <w:rPr>
          <w:spacing w:val="-3"/>
        </w:rPr>
        <w:t> </w:t>
      </w:r>
      <w:r>
        <w:rPr/>
        <w:t>to</w:t>
      </w:r>
      <w:r>
        <w:rPr>
          <w:spacing w:val="-3"/>
        </w:rPr>
        <w:t> </w:t>
      </w:r>
      <w:r>
        <w:rPr/>
        <w:t>map</w:t>
      </w:r>
      <w:r>
        <w:rPr>
          <w:spacing w:val="-3"/>
        </w:rPr>
        <w:t> </w:t>
      </w:r>
      <w:r>
        <w:rPr/>
        <w:t>unique</w:t>
      </w:r>
      <w:r>
        <w:rPr>
          <w:spacing w:val="-3"/>
        </w:rPr>
        <w:t> </w:t>
      </w:r>
      <w:r>
        <w:rPr/>
        <w:t>team</w:t>
      </w:r>
      <w:r>
        <w:rPr>
          <w:spacing w:val="-3"/>
        </w:rPr>
        <w:t> </w:t>
      </w:r>
      <w:r>
        <w:rPr/>
        <w:t>identifiers</w:t>
      </w:r>
      <w:r>
        <w:rPr>
          <w:spacing w:val="-3"/>
        </w:rPr>
        <w:t> </w:t>
      </w:r>
      <w:r>
        <w:rPr/>
        <w:t>to</w:t>
      </w:r>
      <w:r>
        <w:rPr>
          <w:spacing w:val="-3"/>
        </w:rPr>
        <w:t> </w:t>
      </w:r>
      <w:r>
        <w:rPr/>
        <w:t>the</w:t>
      </w:r>
      <w:r>
        <w:rPr>
          <w:spacing w:val="-3"/>
        </w:rPr>
        <w:t> </w:t>
      </w:r>
      <w:r>
        <w:rPr/>
        <w:t>real</w:t>
      </w:r>
      <w:r>
        <w:rPr>
          <w:spacing w:val="-3"/>
        </w:rPr>
        <w:t> </w:t>
      </w:r>
      <w:r>
        <w:rPr/>
        <w:t>team</w:t>
      </w:r>
      <w:r>
        <w:rPr>
          <w:spacing w:val="-3"/>
        </w:rPr>
        <w:t> </w:t>
      </w:r>
      <w:r>
        <w:rPr/>
        <w:t>name. Similarly,</w:t>
      </w:r>
      <w:r>
        <w:rPr>
          <w:spacing w:val="-3"/>
        </w:rPr>
        <w:t> </w:t>
      </w:r>
      <w:r>
        <w:rPr/>
        <w:t>Opta’s action definitions and unique identifiers (Appendix</w:t>
      </w:r>
      <w:r>
        <w:rPr>
          <w:color w:val="0000FF"/>
        </w:rPr>
        <w:t>B</w:t>
      </w:r>
      <w:r>
        <w:rPr/>
        <w:t>) were used to obtain the real name of the coded actions.</w:t>
      </w:r>
    </w:p>
    <w:p>
      <w:pPr>
        <w:pStyle w:val="BodyText"/>
        <w:spacing w:line="312" w:lineRule="auto"/>
        <w:ind w:left="610" w:right="389" w:firstLine="351"/>
      </w:pPr>
      <w:r>
        <w:rPr/>
        <w:t>Due to the coding protocol used by Opta in 2019, which aimed to calculate accumu- lated counts rather than promote action by action analysis, not all actions were </w:t>
      </w:r>
      <w:r>
        <w:rPr/>
        <w:t>provided with</w:t>
      </w:r>
      <w:r>
        <w:rPr>
          <w:spacing w:val="-7"/>
        </w:rPr>
        <w:t> </w:t>
      </w:r>
      <w:r>
        <w:rPr/>
        <w:t>accurate</w:t>
      </w:r>
      <w:r>
        <w:rPr>
          <w:spacing w:val="-7"/>
        </w:rPr>
        <w:t> </w:t>
      </w:r>
      <w:r>
        <w:rPr/>
        <w:t>coordinates. The</w:t>
      </w:r>
      <w:r>
        <w:rPr>
          <w:spacing w:val="-7"/>
        </w:rPr>
        <w:t> </w:t>
      </w:r>
      <w:r>
        <w:rPr/>
        <w:t>first</w:t>
      </w:r>
      <w:r>
        <w:rPr>
          <w:spacing w:val="-7"/>
        </w:rPr>
        <w:t> </w:t>
      </w:r>
      <w:r>
        <w:rPr/>
        <w:t>action</w:t>
      </w:r>
      <w:r>
        <w:rPr>
          <w:spacing w:val="-7"/>
        </w:rPr>
        <w:t> </w:t>
      </w:r>
      <w:r>
        <w:rPr/>
        <w:t>of</w:t>
      </w:r>
      <w:r>
        <w:rPr>
          <w:spacing w:val="-7"/>
        </w:rPr>
        <w:t> </w:t>
      </w:r>
      <w:r>
        <w:rPr/>
        <w:t>each</w:t>
      </w:r>
      <w:r>
        <w:rPr>
          <w:spacing w:val="-7"/>
        </w:rPr>
        <w:t> </w:t>
      </w:r>
      <w:r>
        <w:rPr/>
        <w:t>play</w:t>
      </w:r>
      <w:r>
        <w:rPr>
          <w:spacing w:val="-7"/>
        </w:rPr>
        <w:t> </w:t>
      </w:r>
      <w:r>
        <w:rPr/>
        <w:t>was</w:t>
      </w:r>
      <w:r>
        <w:rPr>
          <w:spacing w:val="-7"/>
        </w:rPr>
        <w:t> </w:t>
      </w:r>
      <w:r>
        <w:rPr/>
        <w:t>always</w:t>
      </w:r>
      <w:r>
        <w:rPr>
          <w:spacing w:val="-7"/>
        </w:rPr>
        <w:t> </w:t>
      </w:r>
      <w:r>
        <w:rPr/>
        <w:t>accurately</w:t>
      </w:r>
      <w:r>
        <w:rPr>
          <w:spacing w:val="-7"/>
        </w:rPr>
        <w:t> </w:t>
      </w:r>
      <w:r>
        <w:rPr/>
        <w:t>coded,</w:t>
      </w:r>
      <w:r>
        <w:rPr>
          <w:spacing w:val="-7"/>
        </w:rPr>
        <w:t> </w:t>
      </w:r>
      <w:r>
        <w:rPr/>
        <w:t>but all other actions’ location in the play were coded according to the first action.</w:t>
      </w:r>
      <w:r>
        <w:rPr>
          <w:spacing w:val="40"/>
        </w:rPr>
        <w:t> </w:t>
      </w:r>
      <w:r>
        <w:rPr/>
        <w:t>As such, accurate location data could only be extracted on a play by play,</w:t>
      </w:r>
      <w:r>
        <w:rPr>
          <w:spacing w:val="21"/>
        </w:rPr>
        <w:t> </w:t>
      </w:r>
      <w:r>
        <w:rPr/>
        <w:t>rather than action by</w:t>
      </w:r>
      <w:r>
        <w:rPr>
          <w:spacing w:val="40"/>
        </w:rPr>
        <w:t> </w:t>
      </w:r>
      <w:r>
        <w:rPr/>
        <w:t>action basis.</w:t>
      </w:r>
      <w:r>
        <w:rPr>
          <w:spacing w:val="40"/>
        </w:rPr>
        <w:t> </w:t>
      </w:r>
      <w:r>
        <w:rPr/>
        <w:t>This is similar to the studies conducted by</w:t>
      </w:r>
      <w:r>
        <w:rPr>
          <w:color w:val="FF0000"/>
        </w:rPr>
        <w:t>K</w:t>
      </w:r>
      <w:hyperlink w:history="true" w:anchor="_bookmark263">
        <w:r>
          <w:rPr>
            <w:color w:val="FF0000"/>
          </w:rPr>
          <w:t>empton et al.</w:t>
        </w:r>
        <w:r>
          <w:rPr/>
          <w:t>(</w:t>
        </w:r>
      </w:hyperlink>
      <w:hyperlink w:history="true" w:anchor="_bookmark263">
        <w:r>
          <w:rPr>
            <w:color w:val="FF0000"/>
          </w:rPr>
          <w:t>2016</w:t>
        </w:r>
        <w:r>
          <w:rPr/>
          <w:t>)</w:t>
        </w:r>
      </w:hyperlink>
      <w:r>
        <w:rPr/>
        <w:t> and</w:t>
      </w:r>
      <w:r>
        <w:rPr>
          <w:color w:val="FF0000"/>
        </w:rPr>
        <w:t>Hol- </w:t>
      </w:r>
      <w:hyperlink w:history="true" w:anchor="_bookmark254">
        <w:r>
          <w:rPr>
            <w:color w:val="FF0000"/>
          </w:rPr>
          <w:t>brook</w:t>
        </w:r>
        <w:r>
          <w:rPr>
            <w:color w:val="FF0000"/>
            <w:spacing w:val="-3"/>
          </w:rPr>
          <w:t> </w:t>
        </w:r>
        <w:r>
          <w:rPr>
            <w:color w:val="FF0000"/>
          </w:rPr>
          <w:t>et</w:t>
        </w:r>
        <w:r>
          <w:rPr>
            <w:color w:val="FF0000"/>
            <w:spacing w:val="-3"/>
          </w:rPr>
          <w:t> </w:t>
        </w:r>
        <w:r>
          <w:rPr>
            <w:color w:val="FF0000"/>
          </w:rPr>
          <w:t>al.</w:t>
        </w:r>
      </w:hyperlink>
      <w:r>
        <w:rPr/>
        <w:t>(</w:t>
      </w:r>
      <w:hyperlink w:history="true" w:anchor="_bookmark254">
        <w:r>
          <w:rPr>
            <w:color w:val="FF0000"/>
          </w:rPr>
          <w:t>2019</w:t>
        </w:r>
      </w:hyperlink>
      <w:r>
        <w:rPr/>
        <w:t>). Furthermore,</w:t>
      </w:r>
      <w:r>
        <w:rPr>
          <w:spacing w:val="-2"/>
        </w:rPr>
        <w:t> </w:t>
      </w:r>
      <w:r>
        <w:rPr/>
        <w:t>the</w:t>
      </w:r>
      <w:r>
        <w:rPr>
          <w:spacing w:val="-3"/>
        </w:rPr>
        <w:t> </w:t>
      </w:r>
      <w:r>
        <w:rPr/>
        <w:t>actions</w:t>
      </w:r>
      <w:r>
        <w:rPr>
          <w:spacing w:val="-3"/>
        </w:rPr>
        <w:t> </w:t>
      </w:r>
      <w:r>
        <w:rPr/>
        <w:t>were</w:t>
      </w:r>
      <w:r>
        <w:rPr>
          <w:spacing w:val="-3"/>
        </w:rPr>
        <w:t> </w:t>
      </w:r>
      <w:r>
        <w:rPr/>
        <w:t>not</w:t>
      </w:r>
      <w:r>
        <w:rPr>
          <w:spacing w:val="-3"/>
        </w:rPr>
        <w:t> </w:t>
      </w:r>
      <w:r>
        <w:rPr/>
        <w:t>always</w:t>
      </w:r>
      <w:r>
        <w:rPr>
          <w:spacing w:val="-3"/>
        </w:rPr>
        <w:t> </w:t>
      </w:r>
      <w:r>
        <w:rPr/>
        <w:t>coded</w:t>
      </w:r>
      <w:r>
        <w:rPr>
          <w:spacing w:val="-3"/>
        </w:rPr>
        <w:t> </w:t>
      </w:r>
      <w:r>
        <w:rPr/>
        <w:t>in</w:t>
      </w:r>
      <w:r>
        <w:rPr>
          <w:spacing w:val="-3"/>
        </w:rPr>
        <w:t> </w:t>
      </w:r>
      <w:r>
        <w:rPr/>
        <w:t>order</w:t>
      </w:r>
      <w:r>
        <w:rPr>
          <w:spacing w:val="-3"/>
        </w:rPr>
        <w:t> </w:t>
      </w:r>
      <w:r>
        <w:rPr/>
        <w:t>-</w:t>
      </w:r>
      <w:r>
        <w:rPr>
          <w:spacing w:val="-3"/>
        </w:rPr>
        <w:t> </w:t>
      </w:r>
      <w:r>
        <w:rPr/>
        <w:t>sometimes a defensive action was coded before an attacking action had taken place within a play - so</w:t>
      </w:r>
      <w:r>
        <w:rPr>
          <w:spacing w:val="-4"/>
        </w:rPr>
        <w:t> </w:t>
      </w:r>
      <w:r>
        <w:rPr/>
        <w:t>all</w:t>
      </w:r>
      <w:r>
        <w:rPr>
          <w:spacing w:val="-4"/>
        </w:rPr>
        <w:t> </w:t>
      </w:r>
      <w:r>
        <w:rPr/>
        <w:t>defensive</w:t>
      </w:r>
      <w:r>
        <w:rPr>
          <w:spacing w:val="-4"/>
        </w:rPr>
        <w:t> </w:t>
      </w:r>
      <w:r>
        <w:rPr/>
        <w:t>(e.g. tackles)</w:t>
      </w:r>
      <w:r>
        <w:rPr>
          <w:spacing w:val="-4"/>
        </w:rPr>
        <w:t> </w:t>
      </w:r>
      <w:r>
        <w:rPr/>
        <w:t>and</w:t>
      </w:r>
      <w:r>
        <w:rPr>
          <w:spacing w:val="-4"/>
        </w:rPr>
        <w:t> </w:t>
      </w:r>
      <w:r>
        <w:rPr/>
        <w:t>auxiliary</w:t>
      </w:r>
      <w:r>
        <w:rPr>
          <w:spacing w:val="-4"/>
        </w:rPr>
        <w:t> </w:t>
      </w:r>
      <w:r>
        <w:rPr/>
        <w:t>(e.g. yellow</w:t>
      </w:r>
      <w:r>
        <w:rPr>
          <w:spacing w:val="-4"/>
        </w:rPr>
        <w:t> </w:t>
      </w:r>
      <w:r>
        <w:rPr/>
        <w:t>card,</w:t>
      </w:r>
      <w:r>
        <w:rPr>
          <w:spacing w:val="-4"/>
        </w:rPr>
        <w:t> </w:t>
      </w:r>
      <w:r>
        <w:rPr/>
        <w:t>video</w:t>
      </w:r>
      <w:r>
        <w:rPr>
          <w:spacing w:val="-4"/>
        </w:rPr>
        <w:t> </w:t>
      </w:r>
      <w:r>
        <w:rPr/>
        <w:t>referee</w:t>
      </w:r>
      <w:r>
        <w:rPr>
          <w:spacing w:val="-4"/>
        </w:rPr>
        <w:t> </w:t>
      </w:r>
      <w:r>
        <w:rPr/>
        <w:t>review)</w:t>
      </w:r>
      <w:r>
        <w:rPr>
          <w:spacing w:val="-4"/>
        </w:rPr>
        <w:t> </w:t>
      </w:r>
      <w:r>
        <w:rPr/>
        <w:t>were removed from the dataset before any play by play information was extracted.</w:t>
      </w:r>
    </w:p>
    <w:p>
      <w:pPr>
        <w:pStyle w:val="BodyText"/>
        <w:spacing w:line="312" w:lineRule="auto"/>
        <w:ind w:left="610" w:right="389" w:firstLine="351"/>
        <w:jc w:val="both"/>
      </w:pPr>
      <w:r>
        <w:rPr/>
        <w:t>The dataset was filtered so that only the first action of each play (as coded by Opta) was included.</w:t>
      </w:r>
      <w:r>
        <w:rPr>
          <w:spacing w:val="40"/>
        </w:rPr>
        <w:t> </w:t>
      </w:r>
      <w:r>
        <w:rPr/>
        <w:t>In a rugby league match, the first action of a play is typically a catch </w:t>
      </w:r>
      <w:r>
        <w:rPr/>
        <w:t>of the</w:t>
      </w:r>
      <w:r>
        <w:rPr>
          <w:spacing w:val="-11"/>
        </w:rPr>
        <w:t> </w:t>
      </w:r>
      <w:r>
        <w:rPr/>
        <w:t>ball</w:t>
      </w:r>
      <w:r>
        <w:rPr>
          <w:spacing w:val="-10"/>
        </w:rPr>
        <w:t> </w:t>
      </w:r>
      <w:r>
        <w:rPr/>
        <w:t>from</w:t>
      </w:r>
      <w:r>
        <w:rPr>
          <w:spacing w:val="-10"/>
        </w:rPr>
        <w:t> </w:t>
      </w:r>
      <w:r>
        <w:rPr/>
        <w:t>an</w:t>
      </w:r>
      <w:r>
        <w:rPr>
          <w:spacing w:val="-10"/>
        </w:rPr>
        <w:t> </w:t>
      </w:r>
      <w:r>
        <w:rPr/>
        <w:t>opposition</w:t>
      </w:r>
      <w:r>
        <w:rPr>
          <w:spacing w:val="-10"/>
        </w:rPr>
        <w:t> </w:t>
      </w:r>
      <w:r>
        <w:rPr/>
        <w:t>kick</w:t>
      </w:r>
      <w:r>
        <w:rPr>
          <w:spacing w:val="-10"/>
        </w:rPr>
        <w:t> </w:t>
      </w:r>
      <w:r>
        <w:rPr/>
        <w:t>or</w:t>
      </w:r>
      <w:r>
        <w:rPr>
          <w:spacing w:val="-11"/>
        </w:rPr>
        <w:t> </w:t>
      </w:r>
      <w:r>
        <w:rPr/>
        <w:t>pass</w:t>
      </w:r>
      <w:r>
        <w:rPr>
          <w:spacing w:val="-10"/>
        </w:rPr>
        <w:t> </w:t>
      </w:r>
      <w:r>
        <w:rPr/>
        <w:t>interception,</w:t>
      </w:r>
      <w:r>
        <w:rPr>
          <w:spacing w:val="-9"/>
        </w:rPr>
        <w:t> </w:t>
      </w:r>
      <w:r>
        <w:rPr/>
        <w:t>a</w:t>
      </w:r>
      <w:r>
        <w:rPr>
          <w:spacing w:val="-10"/>
        </w:rPr>
        <w:t> </w:t>
      </w:r>
      <w:r>
        <w:rPr/>
        <w:t>receipt</w:t>
      </w:r>
      <w:r>
        <w:rPr>
          <w:spacing w:val="-10"/>
        </w:rPr>
        <w:t> </w:t>
      </w:r>
      <w:r>
        <w:rPr/>
        <w:t>of</w:t>
      </w:r>
      <w:r>
        <w:rPr>
          <w:spacing w:val="-11"/>
        </w:rPr>
        <w:t> </w:t>
      </w:r>
      <w:r>
        <w:rPr/>
        <w:t>the</w:t>
      </w:r>
      <w:r>
        <w:rPr>
          <w:spacing w:val="-10"/>
        </w:rPr>
        <w:t> </w:t>
      </w:r>
      <w:r>
        <w:rPr/>
        <w:t>ball</w:t>
      </w:r>
      <w:r>
        <w:rPr>
          <w:spacing w:val="-10"/>
        </w:rPr>
        <w:t> </w:t>
      </w:r>
      <w:r>
        <w:rPr/>
        <w:t>from</w:t>
      </w:r>
      <w:r>
        <w:rPr>
          <w:spacing w:val="-10"/>
        </w:rPr>
        <w:t> </w:t>
      </w:r>
      <w:r>
        <w:rPr/>
        <w:t>a</w:t>
      </w:r>
      <w:r>
        <w:rPr>
          <w:spacing w:val="-10"/>
        </w:rPr>
        <w:t> </w:t>
      </w:r>
      <w:r>
        <w:rPr/>
        <w:t>play-</w:t>
      </w:r>
      <w:r>
        <w:rPr>
          <w:spacing w:val="-4"/>
        </w:rPr>
        <w:t>the-</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spacing w:before="10"/>
        <w:rPr>
          <w:sz w:val="10"/>
        </w:rPr>
      </w:pPr>
    </w:p>
    <w:p>
      <w:pPr>
        <w:pStyle w:val="BodyText"/>
        <w:ind w:left="2632"/>
        <w:rPr>
          <w:sz w:val="20"/>
        </w:rPr>
      </w:pPr>
      <w:r>
        <w:rPr>
          <w:sz w:val="20"/>
        </w:rPr>
        <w:drawing>
          <wp:inline distT="0" distB="0" distL="0" distR="0">
            <wp:extent cx="2823686" cy="4116514"/>
            <wp:effectExtent l="0" t="0" r="0" b="0"/>
            <wp:docPr id="35" name="image18.png"/>
            <wp:cNvGraphicFramePr>
              <a:graphicFrameLocks noChangeAspect="1"/>
            </wp:cNvGraphicFramePr>
            <a:graphic>
              <a:graphicData uri="http://schemas.openxmlformats.org/drawingml/2006/picture">
                <pic:pic>
                  <pic:nvPicPr>
                    <pic:cNvPr id="36" name="image18.png"/>
                    <pic:cNvPicPr/>
                  </pic:nvPicPr>
                  <pic:blipFill>
                    <a:blip r:embed="rId61" cstate="print"/>
                    <a:stretch>
                      <a:fillRect/>
                    </a:stretch>
                  </pic:blipFill>
                  <pic:spPr>
                    <a:xfrm>
                      <a:off x="0" y="0"/>
                      <a:ext cx="2823686" cy="4116514"/>
                    </a:xfrm>
                    <a:prstGeom prst="rect">
                      <a:avLst/>
                    </a:prstGeom>
                  </pic:spPr>
                </pic:pic>
              </a:graphicData>
            </a:graphic>
          </wp:inline>
        </w:drawing>
      </w:r>
      <w:r>
        <w:rPr>
          <w:sz w:val="20"/>
        </w:rPr>
      </w:r>
    </w:p>
    <w:p>
      <w:pPr>
        <w:pStyle w:val="BodyText"/>
        <w:rPr>
          <w:sz w:val="20"/>
        </w:rPr>
      </w:pPr>
    </w:p>
    <w:p>
      <w:pPr>
        <w:pStyle w:val="BodyText"/>
        <w:spacing w:before="5"/>
        <w:rPr>
          <w:sz w:val="16"/>
        </w:rPr>
      </w:pPr>
    </w:p>
    <w:p>
      <w:pPr>
        <w:spacing w:before="106"/>
        <w:ind w:left="757" w:right="538" w:firstLine="0"/>
        <w:jc w:val="center"/>
        <w:rPr>
          <w:sz w:val="24"/>
        </w:rPr>
      </w:pPr>
      <w:bookmarkStart w:name="_bookmark55" w:id="107"/>
      <w:bookmarkEnd w:id="107"/>
      <w:r>
        <w:rPr/>
      </w:r>
      <w:r>
        <w:rPr>
          <w:b/>
          <w:sz w:val="24"/>
        </w:rPr>
        <w:t>Figure</w:t>
      </w:r>
      <w:r>
        <w:rPr>
          <w:b/>
          <w:spacing w:val="-9"/>
          <w:sz w:val="24"/>
        </w:rPr>
        <w:t> </w:t>
      </w:r>
      <w:r>
        <w:rPr>
          <w:b/>
          <w:sz w:val="24"/>
        </w:rPr>
        <w:t>3.1:</w:t>
      </w:r>
      <w:r>
        <w:rPr>
          <w:b/>
          <w:spacing w:val="4"/>
          <w:sz w:val="24"/>
        </w:rPr>
        <w:t> </w:t>
      </w:r>
      <w:r>
        <w:rPr>
          <w:sz w:val="24"/>
        </w:rPr>
        <w:t>Data</w:t>
      </w:r>
      <w:r>
        <w:rPr>
          <w:spacing w:val="-9"/>
          <w:sz w:val="24"/>
        </w:rPr>
        <w:t> </w:t>
      </w:r>
      <w:r>
        <w:rPr>
          <w:sz w:val="24"/>
        </w:rPr>
        <w:t>preprocessing</w:t>
      </w:r>
      <w:r>
        <w:rPr>
          <w:spacing w:val="-9"/>
          <w:sz w:val="24"/>
        </w:rPr>
        <w:t> </w:t>
      </w:r>
      <w:r>
        <w:rPr>
          <w:spacing w:val="-2"/>
          <w:sz w:val="24"/>
        </w:rPr>
        <w:t>workflow</w:t>
      </w:r>
    </w:p>
    <w:p>
      <w:pPr>
        <w:pStyle w:val="BodyText"/>
        <w:rPr>
          <w:sz w:val="30"/>
        </w:rPr>
      </w:pPr>
    </w:p>
    <w:p>
      <w:pPr>
        <w:pStyle w:val="BodyText"/>
        <w:spacing w:before="6"/>
        <w:rPr>
          <w:sz w:val="31"/>
        </w:rPr>
      </w:pPr>
    </w:p>
    <w:p>
      <w:pPr>
        <w:pStyle w:val="BodyText"/>
        <w:spacing w:line="312" w:lineRule="auto"/>
        <w:ind w:left="610" w:right="389"/>
      </w:pPr>
      <w:r>
        <w:rPr/>
        <w:t>ball in a handover or a kick (either for the touchline or towards the goal) after a penalty has been awarded.</w:t>
      </w:r>
      <w:r>
        <w:rPr>
          <w:spacing w:val="25"/>
        </w:rPr>
        <w:t> </w:t>
      </w:r>
      <w:r>
        <w:rPr/>
        <w:t>Opta did not code play-the-ball receptions in 2019, so the first </w:t>
      </w:r>
      <w:r>
        <w:rPr/>
        <w:t>action usually</w:t>
      </w:r>
      <w:r>
        <w:rPr>
          <w:spacing w:val="27"/>
        </w:rPr>
        <w:t> </w:t>
      </w:r>
      <w:r>
        <w:rPr/>
        <w:t>referred</w:t>
      </w:r>
      <w:r>
        <w:rPr>
          <w:spacing w:val="27"/>
        </w:rPr>
        <w:t> </w:t>
      </w:r>
      <w:r>
        <w:rPr/>
        <w:t>to</w:t>
      </w:r>
      <w:r>
        <w:rPr>
          <w:spacing w:val="27"/>
        </w:rPr>
        <w:t> </w:t>
      </w:r>
      <w:r>
        <w:rPr/>
        <w:t>the</w:t>
      </w:r>
      <w:r>
        <w:rPr>
          <w:spacing w:val="27"/>
        </w:rPr>
        <w:t> </w:t>
      </w:r>
      <w:r>
        <w:rPr/>
        <w:t>pass</w:t>
      </w:r>
      <w:r>
        <w:rPr>
          <w:spacing w:val="27"/>
        </w:rPr>
        <w:t> </w:t>
      </w:r>
      <w:r>
        <w:rPr/>
        <w:t>or</w:t>
      </w:r>
      <w:r>
        <w:rPr>
          <w:spacing w:val="27"/>
        </w:rPr>
        <w:t> </w:t>
      </w:r>
      <w:r>
        <w:rPr/>
        <w:t>run</w:t>
      </w:r>
      <w:r>
        <w:rPr>
          <w:spacing w:val="27"/>
        </w:rPr>
        <w:t> </w:t>
      </w:r>
      <w:r>
        <w:rPr/>
        <w:t>taken</w:t>
      </w:r>
      <w:r>
        <w:rPr>
          <w:spacing w:val="27"/>
        </w:rPr>
        <w:t> </w:t>
      </w:r>
      <w:r>
        <w:rPr/>
        <w:t>by</w:t>
      </w:r>
      <w:r>
        <w:rPr>
          <w:spacing w:val="27"/>
        </w:rPr>
        <w:t> </w:t>
      </w:r>
      <w:r>
        <w:rPr/>
        <w:t>a</w:t>
      </w:r>
      <w:r>
        <w:rPr>
          <w:spacing w:val="27"/>
        </w:rPr>
        <w:t> </w:t>
      </w:r>
      <w:r>
        <w:rPr/>
        <w:t>player</w:t>
      </w:r>
      <w:r>
        <w:rPr>
          <w:spacing w:val="27"/>
        </w:rPr>
        <w:t> </w:t>
      </w:r>
      <w:r>
        <w:rPr/>
        <w:t>after</w:t>
      </w:r>
      <w:r>
        <w:rPr>
          <w:spacing w:val="27"/>
        </w:rPr>
        <w:t> </w:t>
      </w:r>
      <w:r>
        <w:rPr/>
        <w:t>the</w:t>
      </w:r>
      <w:r>
        <w:rPr>
          <w:spacing w:val="27"/>
        </w:rPr>
        <w:t> </w:t>
      </w:r>
      <w:r>
        <w:rPr/>
        <w:t>play-the-ball</w:t>
      </w:r>
      <w:r>
        <w:rPr>
          <w:spacing w:val="27"/>
        </w:rPr>
        <w:t> </w:t>
      </w:r>
      <w:r>
        <w:rPr/>
        <w:t>reception. Figure</w:t>
      </w:r>
      <w:hyperlink w:history="true" w:anchor="_bookmark56">
        <w:r>
          <w:rPr>
            <w:color w:val="0000FF"/>
          </w:rPr>
          <w:t>3.2</w:t>
        </w:r>
      </w:hyperlink>
      <w:r>
        <w:rPr/>
        <w:t>plots the frequency with which 14 unique actions began a play in this study. All 14 actions occurred on at least 100 occasions, but a completed pass was clearly the most frequent action beginning a play.</w:t>
      </w:r>
      <w:r>
        <w:rPr>
          <w:spacing w:val="75"/>
        </w:rPr>
        <w:t> </w:t>
      </w:r>
      <w:r>
        <w:rPr/>
        <w:t>A further 29 actions began a play on less than</w:t>
      </w:r>
      <w:r>
        <w:rPr>
          <w:spacing w:val="80"/>
        </w:rPr>
        <w:t> </w:t>
      </w:r>
      <w:r>
        <w:rPr/>
        <w:t>100 occasions:</w:t>
      </w:r>
      <w:r>
        <w:rPr>
          <w:spacing w:val="28"/>
        </w:rPr>
        <w:t> </w:t>
      </w:r>
      <w:r>
        <w:rPr/>
        <w:t>Advantage; Other Carry; Normal; Tap Down; Forward; Play Carry; Off Target; Pick</w:t>
      </w:r>
      <w:r>
        <w:rPr>
          <w:spacing w:val="-3"/>
        </w:rPr>
        <w:t> </w:t>
      </w:r>
      <w:r>
        <w:rPr/>
        <w:t>And</w:t>
      </w:r>
      <w:r>
        <w:rPr>
          <w:spacing w:val="-2"/>
        </w:rPr>
        <w:t> </w:t>
      </w:r>
      <w:r>
        <w:rPr/>
        <w:t>Go; Chip; Bad</w:t>
      </w:r>
      <w:r>
        <w:rPr>
          <w:spacing w:val="-2"/>
        </w:rPr>
        <w:t> </w:t>
      </w:r>
      <w:r>
        <w:rPr/>
        <w:t>Pass; Scraps; Charge</w:t>
      </w:r>
      <w:r>
        <w:rPr>
          <w:spacing w:val="-3"/>
        </w:rPr>
        <w:t> </w:t>
      </w:r>
      <w:r>
        <w:rPr/>
        <w:t>Down; Bomb; Fast; Initial</w:t>
      </w:r>
      <w:r>
        <w:rPr>
          <w:spacing w:val="-2"/>
        </w:rPr>
        <w:t> </w:t>
      </w:r>
      <w:r>
        <w:rPr/>
        <w:t>Break; Lost</w:t>
      </w:r>
      <w:r>
        <w:rPr>
          <w:spacing w:val="-3"/>
        </w:rPr>
        <w:t> </w:t>
      </w:r>
      <w:r>
        <w:rPr/>
        <w:t>Ball</w:t>
      </w:r>
      <w:r>
        <w:rPr>
          <w:spacing w:val="-3"/>
        </w:rPr>
        <w:t> </w:t>
      </w:r>
      <w:r>
        <w:rPr/>
        <w:t>Forced;</w:t>
      </w:r>
      <w:r>
        <w:rPr>
          <w:spacing w:val="-1"/>
        </w:rPr>
        <w:t> </w:t>
      </w:r>
      <w:r>
        <w:rPr/>
        <w:t>Kicking</w:t>
      </w:r>
      <w:r>
        <w:rPr>
          <w:spacing w:val="-3"/>
        </w:rPr>
        <w:t> </w:t>
      </w:r>
      <w:r>
        <w:rPr/>
        <w:t>Offence;</w:t>
      </w:r>
      <w:r>
        <w:rPr>
          <w:spacing w:val="-1"/>
        </w:rPr>
        <w:t> </w:t>
      </w:r>
      <w:r>
        <w:rPr/>
        <w:t>Penalty</w:t>
      </w:r>
      <w:r>
        <w:rPr>
          <w:spacing w:val="-3"/>
        </w:rPr>
        <w:t> </w:t>
      </w:r>
      <w:r>
        <w:rPr/>
        <w:t>Goal;</w:t>
      </w:r>
      <w:r>
        <w:rPr>
          <w:spacing w:val="-1"/>
        </w:rPr>
        <w:t> </w:t>
      </w:r>
      <w:r>
        <w:rPr/>
        <w:t>Cross</w:t>
      </w:r>
      <w:r>
        <w:rPr>
          <w:spacing w:val="-3"/>
        </w:rPr>
        <w:t> </w:t>
      </w:r>
      <w:r>
        <w:rPr/>
        <w:t>Pitch;</w:t>
      </w:r>
      <w:r>
        <w:rPr>
          <w:spacing w:val="-1"/>
        </w:rPr>
        <w:t> </w:t>
      </w:r>
      <w:r>
        <w:rPr/>
        <w:t>Attacking</w:t>
      </w:r>
      <w:r>
        <w:rPr>
          <w:spacing w:val="-3"/>
        </w:rPr>
        <w:t> </w:t>
      </w:r>
      <w:r>
        <w:rPr/>
        <w:t>Catch;</w:t>
      </w:r>
      <w:r>
        <w:rPr>
          <w:spacing w:val="-1"/>
        </w:rPr>
        <w:t> </w:t>
      </w:r>
      <w:r>
        <w:rPr/>
        <w:t>In</w:t>
      </w:r>
      <w:r>
        <w:rPr>
          <w:spacing w:val="-3"/>
        </w:rPr>
        <w:t> </w:t>
      </w:r>
      <w:r>
        <w:rPr/>
        <w:t>Goal Catch;</w:t>
      </w:r>
      <w:r>
        <w:rPr>
          <w:spacing w:val="2"/>
        </w:rPr>
        <w:t> </w:t>
      </w:r>
      <w:r>
        <w:rPr/>
        <w:t>In</w:t>
      </w:r>
      <w:r>
        <w:rPr>
          <w:spacing w:val="-1"/>
        </w:rPr>
        <w:t> </w:t>
      </w:r>
      <w:r>
        <w:rPr/>
        <w:t>Goal</w:t>
      </w:r>
      <w:r>
        <w:rPr>
          <w:spacing w:val="-1"/>
        </w:rPr>
        <w:t> </w:t>
      </w:r>
      <w:r>
        <w:rPr/>
        <w:t>Touchdown;</w:t>
      </w:r>
      <w:r>
        <w:rPr>
          <w:spacing w:val="3"/>
        </w:rPr>
        <w:t> </w:t>
      </w:r>
      <w:r>
        <w:rPr/>
        <w:t>Drop</w:t>
      </w:r>
      <w:r>
        <w:rPr>
          <w:spacing w:val="-1"/>
        </w:rPr>
        <w:t> </w:t>
      </w:r>
      <w:r>
        <w:rPr/>
        <w:t>Goal;</w:t>
      </w:r>
      <w:r>
        <w:rPr>
          <w:spacing w:val="2"/>
        </w:rPr>
        <w:t> </w:t>
      </w:r>
      <w:r>
        <w:rPr/>
        <w:t>Carried Dead</w:t>
      </w:r>
      <w:r>
        <w:rPr>
          <w:spacing w:val="-1"/>
        </w:rPr>
        <w:t> </w:t>
      </w:r>
      <w:r>
        <w:rPr/>
        <w:t>Ball;</w:t>
      </w:r>
      <w:r>
        <w:rPr>
          <w:spacing w:val="2"/>
        </w:rPr>
        <w:t> </w:t>
      </w:r>
      <w:r>
        <w:rPr/>
        <w:t>Key;</w:t>
      </w:r>
      <w:r>
        <w:rPr>
          <w:spacing w:val="3"/>
        </w:rPr>
        <w:t> </w:t>
      </w:r>
      <w:r>
        <w:rPr/>
        <w:t>Forward</w:t>
      </w:r>
      <w:r>
        <w:rPr>
          <w:spacing w:val="-1"/>
        </w:rPr>
        <w:t> </w:t>
      </w:r>
      <w:r>
        <w:rPr/>
        <w:t>Pass;</w:t>
      </w:r>
      <w:r>
        <w:rPr>
          <w:spacing w:val="2"/>
        </w:rPr>
        <w:t> </w:t>
      </w:r>
      <w:r>
        <w:rPr/>
        <w:t>In </w:t>
      </w:r>
      <w:r>
        <w:rPr>
          <w:spacing w:val="-4"/>
        </w:rPr>
        <w:t>Goal</w:t>
      </w:r>
    </w:p>
    <w:p>
      <w:pPr>
        <w:spacing w:after="0" w:line="312" w:lineRule="auto"/>
        <w:sectPr>
          <w:pgSz w:w="11910" w:h="16840"/>
          <w:pgMar w:header="1961" w:footer="1428" w:top="2280" w:bottom="1620" w:left="1680" w:right="720"/>
        </w:sectPr>
      </w:pPr>
    </w:p>
    <w:p>
      <w:pPr>
        <w:pStyle w:val="BodyText"/>
        <w:rPr>
          <w:sz w:val="20"/>
        </w:rPr>
      </w:pPr>
    </w:p>
    <w:p>
      <w:pPr>
        <w:pStyle w:val="BodyText"/>
        <w:spacing w:before="5"/>
        <w:rPr>
          <w:sz w:val="28"/>
        </w:rPr>
      </w:pPr>
    </w:p>
    <w:p>
      <w:pPr>
        <w:pStyle w:val="BodyText"/>
        <w:ind w:left="687"/>
        <w:rPr>
          <w:sz w:val="20"/>
        </w:rPr>
      </w:pPr>
      <w:r>
        <w:rPr>
          <w:sz w:val="20"/>
        </w:rPr>
        <w:drawing>
          <wp:inline distT="0" distB="0" distL="0" distR="0">
            <wp:extent cx="5317311" cy="3901440"/>
            <wp:effectExtent l="0" t="0" r="0" b="0"/>
            <wp:docPr id="37" name="image19.jpeg"/>
            <wp:cNvGraphicFramePr>
              <a:graphicFrameLocks noChangeAspect="1"/>
            </wp:cNvGraphicFramePr>
            <a:graphic>
              <a:graphicData uri="http://schemas.openxmlformats.org/drawingml/2006/picture">
                <pic:pic>
                  <pic:nvPicPr>
                    <pic:cNvPr id="38" name="image19.jpeg"/>
                    <pic:cNvPicPr/>
                  </pic:nvPicPr>
                  <pic:blipFill>
                    <a:blip r:embed="rId62" cstate="print"/>
                    <a:stretch>
                      <a:fillRect/>
                    </a:stretch>
                  </pic:blipFill>
                  <pic:spPr>
                    <a:xfrm>
                      <a:off x="0" y="0"/>
                      <a:ext cx="5317311" cy="3901440"/>
                    </a:xfrm>
                    <a:prstGeom prst="rect">
                      <a:avLst/>
                    </a:prstGeom>
                  </pic:spPr>
                </pic:pic>
              </a:graphicData>
            </a:graphic>
          </wp:inline>
        </w:drawing>
      </w:r>
      <w:r>
        <w:rPr>
          <w:sz w:val="20"/>
        </w:rPr>
      </w:r>
    </w:p>
    <w:p>
      <w:pPr>
        <w:pStyle w:val="BodyText"/>
        <w:spacing w:before="1"/>
        <w:rPr>
          <w:sz w:val="10"/>
        </w:rPr>
      </w:pPr>
    </w:p>
    <w:p>
      <w:pPr>
        <w:pStyle w:val="BodyText"/>
        <w:spacing w:line="252" w:lineRule="auto" w:before="106"/>
        <w:ind w:left="610" w:right="389"/>
        <w:jc w:val="both"/>
      </w:pPr>
      <w:bookmarkStart w:name="_bookmark56" w:id="108"/>
      <w:bookmarkEnd w:id="108"/>
      <w:r>
        <w:rPr/>
      </w:r>
      <w:r>
        <w:rPr>
          <w:b/>
        </w:rPr>
        <w:t>Figure</w:t>
      </w:r>
      <w:r>
        <w:rPr>
          <w:b/>
          <w:spacing w:val="-5"/>
        </w:rPr>
        <w:t> </w:t>
      </w:r>
      <w:r>
        <w:rPr>
          <w:b/>
        </w:rPr>
        <w:t>3.2: </w:t>
      </w:r>
      <w:r>
        <w:rPr/>
        <w:t>Counts</w:t>
      </w:r>
      <w:r>
        <w:rPr>
          <w:spacing w:val="-5"/>
        </w:rPr>
        <w:t> </w:t>
      </w:r>
      <w:r>
        <w:rPr/>
        <w:t>for</w:t>
      </w:r>
      <w:r>
        <w:rPr>
          <w:spacing w:val="-5"/>
        </w:rPr>
        <w:t> </w:t>
      </w:r>
      <w:r>
        <w:rPr/>
        <w:t>the</w:t>
      </w:r>
      <w:r>
        <w:rPr>
          <w:spacing w:val="-5"/>
        </w:rPr>
        <w:t> </w:t>
      </w:r>
      <w:r>
        <w:rPr/>
        <w:t>actions</w:t>
      </w:r>
      <w:r>
        <w:rPr>
          <w:spacing w:val="-5"/>
        </w:rPr>
        <w:t> </w:t>
      </w:r>
      <w:r>
        <w:rPr/>
        <w:t>beginning</w:t>
      </w:r>
      <w:r>
        <w:rPr>
          <w:spacing w:val="-5"/>
        </w:rPr>
        <w:t> </w:t>
      </w:r>
      <w:r>
        <w:rPr/>
        <w:t>a</w:t>
      </w:r>
      <w:r>
        <w:rPr>
          <w:spacing w:val="-5"/>
        </w:rPr>
        <w:t> </w:t>
      </w:r>
      <w:r>
        <w:rPr/>
        <w:t>play</w:t>
      </w:r>
      <w:r>
        <w:rPr>
          <w:spacing w:val="-5"/>
        </w:rPr>
        <w:t> </w:t>
      </w:r>
      <w:r>
        <w:rPr/>
        <w:t>according</w:t>
      </w:r>
      <w:r>
        <w:rPr>
          <w:spacing w:val="-5"/>
        </w:rPr>
        <w:t> </w:t>
      </w:r>
      <w:r>
        <w:rPr/>
        <w:t>to</w:t>
      </w:r>
      <w:r>
        <w:rPr>
          <w:spacing w:val="-5"/>
        </w:rPr>
        <w:t> </w:t>
      </w:r>
      <w:r>
        <w:rPr/>
        <w:t>the</w:t>
      </w:r>
      <w:r>
        <w:rPr>
          <w:spacing w:val="-5"/>
        </w:rPr>
        <w:t> </w:t>
      </w:r>
      <w:r>
        <w:rPr/>
        <w:t>Opta</w:t>
      </w:r>
      <w:r>
        <w:rPr>
          <w:spacing w:val="-5"/>
        </w:rPr>
        <w:t> </w:t>
      </w:r>
      <w:r>
        <w:rPr/>
        <w:t>coding</w:t>
      </w:r>
      <w:r>
        <w:rPr>
          <w:spacing w:val="-5"/>
        </w:rPr>
        <w:t> </w:t>
      </w:r>
      <w:r>
        <w:rPr/>
        <w:t>system in 2019. All actions began a play on at least 100 occasions. Complete passes are clearly the most frequent action.</w:t>
      </w:r>
    </w:p>
    <w:p>
      <w:pPr>
        <w:pStyle w:val="BodyText"/>
        <w:rPr>
          <w:sz w:val="28"/>
        </w:rPr>
      </w:pPr>
    </w:p>
    <w:p>
      <w:pPr>
        <w:pStyle w:val="BodyText"/>
        <w:spacing w:before="2"/>
        <w:rPr>
          <w:sz w:val="32"/>
        </w:rPr>
      </w:pPr>
    </w:p>
    <w:p>
      <w:pPr>
        <w:pStyle w:val="BodyText"/>
        <w:spacing w:line="312" w:lineRule="auto"/>
        <w:ind w:left="610" w:right="389"/>
      </w:pPr>
      <w:r>
        <w:rPr/>
        <w:t>Tap Out;</w:t>
      </w:r>
      <w:r>
        <w:rPr>
          <w:spacing w:val="26"/>
        </w:rPr>
        <w:t> </w:t>
      </w:r>
      <w:r>
        <w:rPr/>
        <w:t>Support Carry;</w:t>
      </w:r>
      <w:r>
        <w:rPr>
          <w:spacing w:val="26"/>
        </w:rPr>
        <w:t> </w:t>
      </w:r>
      <w:r>
        <w:rPr/>
        <w:t>Carried In Touch.</w:t>
      </w:r>
      <w:r>
        <w:rPr>
          <w:spacing w:val="40"/>
        </w:rPr>
        <w:t> </w:t>
      </w:r>
      <w:r>
        <w:rPr/>
        <w:t>All actions could be broadly grouped into pass, catch, run, kick or foul categories.</w:t>
      </w:r>
    </w:p>
    <w:p>
      <w:pPr>
        <w:pStyle w:val="BodyText"/>
        <w:spacing w:line="297" w:lineRule="auto"/>
        <w:ind w:left="610" w:right="389" w:firstLine="351"/>
      </w:pPr>
      <w:r>
        <w:rPr/>
        <w:t>In 2019, Opta provided data in continuous </w:t>
      </w:r>
      <w:r>
        <w:rPr>
          <w:rFonts w:ascii="Cambria" w:hAnsi="Cambria"/>
        </w:rPr>
        <w:t>x,</w:t>
      </w:r>
      <w:r>
        <w:rPr>
          <w:rFonts w:ascii="Cambria" w:hAnsi="Cambria"/>
          <w:spacing w:val="-14"/>
        </w:rPr>
        <w:t> </w:t>
      </w:r>
      <w:r>
        <w:rPr>
          <w:rFonts w:ascii="Cambria" w:hAnsi="Cambria"/>
        </w:rPr>
        <w:t>y</w:t>
      </w:r>
      <w:r>
        <w:rPr>
          <w:rFonts w:ascii="Cambria" w:hAnsi="Cambria"/>
          <w:spacing w:val="28"/>
        </w:rPr>
        <w:t> </w:t>
      </w:r>
      <w:r>
        <w:rPr/>
        <w:t>coordinates for a 120m x 68m </w:t>
      </w:r>
      <w:r>
        <w:rPr/>
        <w:t>hori- zontal pitch. Previously,</w:t>
      </w:r>
      <w:hyperlink w:history="true" w:anchor="_bookmark263">
        <w:r>
          <w:rPr>
            <w:color w:val="FF0000"/>
          </w:rPr>
          <w:t>Kempton et al.</w:t>
        </w:r>
        <w:r>
          <w:rPr/>
          <w:t>(</w:t>
        </w:r>
      </w:hyperlink>
      <w:hyperlink w:history="true" w:anchor="_bookmark263">
        <w:r>
          <w:rPr>
            <w:color w:val="FF0000"/>
          </w:rPr>
          <w:t>2016</w:t>
        </w:r>
        <w:r>
          <w:rPr/>
          <w:t>)</w:t>
        </w:r>
      </w:hyperlink>
      <w:r>
        <w:rPr/>
        <w:t> binned these coordinates into 10m x 10m zones.</w:t>
      </w:r>
      <w:r>
        <w:rPr>
          <w:spacing w:val="40"/>
        </w:rPr>
        <w:t> </w:t>
      </w:r>
      <w:r>
        <w:rPr/>
        <w:t>To begin the analysis at a finer granularity in this study, the </w:t>
      </w:r>
      <w:r>
        <w:rPr>
          <w:rFonts w:ascii="Cambria" w:hAnsi="Cambria"/>
        </w:rPr>
        <w:t>x,</w:t>
      </w:r>
      <w:r>
        <w:rPr>
          <w:rFonts w:ascii="Cambria" w:hAnsi="Cambria"/>
          <w:spacing w:val="-14"/>
        </w:rPr>
        <w:t> </w:t>
      </w:r>
      <w:r>
        <w:rPr>
          <w:rFonts w:ascii="Cambria" w:hAnsi="Cambria"/>
        </w:rPr>
        <w:t>y</w:t>
      </w:r>
      <w:r>
        <w:rPr>
          <w:rFonts w:ascii="Cambria" w:hAnsi="Cambria"/>
          <w:spacing w:val="24"/>
        </w:rPr>
        <w:t> </w:t>
      </w:r>
      <w:r>
        <w:rPr/>
        <w:t>coordinates for each</w:t>
      </w:r>
      <w:r>
        <w:rPr>
          <w:spacing w:val="5"/>
        </w:rPr>
        <w:t> </w:t>
      </w:r>
      <w:r>
        <w:rPr/>
        <w:t>play</w:t>
      </w:r>
      <w:r>
        <w:rPr>
          <w:spacing w:val="5"/>
        </w:rPr>
        <w:t> </w:t>
      </w:r>
      <w:r>
        <w:rPr/>
        <w:t>were</w:t>
      </w:r>
      <w:r>
        <w:rPr>
          <w:spacing w:val="6"/>
        </w:rPr>
        <w:t> </w:t>
      </w:r>
      <w:r>
        <w:rPr/>
        <w:t>initially</w:t>
      </w:r>
      <w:r>
        <w:rPr>
          <w:spacing w:val="5"/>
        </w:rPr>
        <w:t> </w:t>
      </w:r>
      <w:r>
        <w:rPr/>
        <w:t>binned</w:t>
      </w:r>
      <w:r>
        <w:rPr>
          <w:spacing w:val="6"/>
        </w:rPr>
        <w:t> </w:t>
      </w:r>
      <w:r>
        <w:rPr/>
        <w:t>into</w:t>
      </w:r>
      <w:r>
        <w:rPr>
          <w:spacing w:val="5"/>
        </w:rPr>
        <w:t> </w:t>
      </w:r>
      <w:r>
        <w:rPr>
          <w:rFonts w:ascii="Lucida Sans Unicode" w:hAnsi="Lucida Sans Unicode"/>
        </w:rPr>
        <w:t>∼</w:t>
      </w:r>
      <w:r>
        <w:rPr>
          <w:rFonts w:ascii="Lucida Sans Unicode" w:hAnsi="Lucida Sans Unicode"/>
          <w:spacing w:val="-10"/>
        </w:rPr>
        <w:t> </w:t>
      </w:r>
      <w:r>
        <w:rPr/>
        <w:t>5m</w:t>
      </w:r>
      <w:r>
        <w:rPr>
          <w:spacing w:val="5"/>
        </w:rPr>
        <w:t> </w:t>
      </w:r>
      <w:r>
        <w:rPr/>
        <w:t>x</w:t>
      </w:r>
      <w:r>
        <w:rPr>
          <w:spacing w:val="6"/>
        </w:rPr>
        <w:t> </w:t>
      </w:r>
      <w:r>
        <w:rPr/>
        <w:t>5m</w:t>
      </w:r>
      <w:r>
        <w:rPr>
          <w:spacing w:val="5"/>
        </w:rPr>
        <w:t> </w:t>
      </w:r>
      <w:r>
        <w:rPr/>
        <w:t>zones,</w:t>
      </w:r>
      <w:r>
        <w:rPr>
          <w:spacing w:val="8"/>
        </w:rPr>
        <w:t> </w:t>
      </w:r>
      <w:r>
        <w:rPr/>
        <w:t>resulting</w:t>
      </w:r>
      <w:r>
        <w:rPr>
          <w:spacing w:val="5"/>
        </w:rPr>
        <w:t> </w:t>
      </w:r>
      <w:r>
        <w:rPr/>
        <w:t>in</w:t>
      </w:r>
      <w:r>
        <w:rPr>
          <w:spacing w:val="6"/>
        </w:rPr>
        <w:t> </w:t>
      </w:r>
      <w:r>
        <w:rPr/>
        <w:t>308</w:t>
      </w:r>
      <w:r>
        <w:rPr>
          <w:spacing w:val="5"/>
        </w:rPr>
        <w:t> </w:t>
      </w:r>
      <w:r>
        <w:rPr/>
        <w:t>zones</w:t>
      </w:r>
      <w:r>
        <w:rPr>
          <w:spacing w:val="5"/>
        </w:rPr>
        <w:t> </w:t>
      </w:r>
      <w:r>
        <w:rPr/>
        <w:t>(14</w:t>
      </w:r>
      <w:r>
        <w:rPr>
          <w:spacing w:val="6"/>
        </w:rPr>
        <w:t> </w:t>
      </w:r>
      <w:r>
        <w:rPr>
          <w:spacing w:val="-2"/>
        </w:rPr>
        <w:t>along</w:t>
      </w:r>
    </w:p>
    <w:p>
      <w:pPr>
        <w:pStyle w:val="BodyText"/>
        <w:spacing w:line="217" w:lineRule="exact"/>
        <w:ind w:left="610"/>
      </w:pPr>
      <w:r>
        <w:rPr/>
        <w:t>the</w:t>
      </w:r>
      <w:r>
        <w:rPr>
          <w:spacing w:val="5"/>
        </w:rPr>
        <w:t> </w:t>
      </w:r>
      <w:r>
        <w:rPr/>
        <w:t>x-axis,</w:t>
      </w:r>
      <w:r>
        <w:rPr>
          <w:spacing w:val="8"/>
        </w:rPr>
        <w:t> </w:t>
      </w:r>
      <w:r>
        <w:rPr/>
        <w:t>24</w:t>
      </w:r>
      <w:r>
        <w:rPr>
          <w:spacing w:val="6"/>
        </w:rPr>
        <w:t> </w:t>
      </w:r>
      <w:r>
        <w:rPr/>
        <w:t>along</w:t>
      </w:r>
      <w:r>
        <w:rPr>
          <w:spacing w:val="6"/>
        </w:rPr>
        <w:t> </w:t>
      </w:r>
      <w:r>
        <w:rPr/>
        <w:t>the</w:t>
      </w:r>
      <w:r>
        <w:rPr>
          <w:spacing w:val="5"/>
        </w:rPr>
        <w:t> </w:t>
      </w:r>
      <w:r>
        <w:rPr/>
        <w:t>y-axis).</w:t>
      </w:r>
      <w:r>
        <w:rPr>
          <w:spacing w:val="39"/>
        </w:rPr>
        <w:t> </w:t>
      </w:r>
      <w:r>
        <w:rPr/>
        <w:t>For</w:t>
      </w:r>
      <w:r>
        <w:rPr>
          <w:spacing w:val="6"/>
        </w:rPr>
        <w:t> </w:t>
      </w:r>
      <w:r>
        <w:rPr/>
        <w:t>ease</w:t>
      </w:r>
      <w:r>
        <w:rPr>
          <w:spacing w:val="6"/>
        </w:rPr>
        <w:t> </w:t>
      </w:r>
      <w:r>
        <w:rPr/>
        <w:t>of</w:t>
      </w:r>
      <w:r>
        <w:rPr>
          <w:spacing w:val="5"/>
        </w:rPr>
        <w:t> </w:t>
      </w:r>
      <w:r>
        <w:rPr/>
        <w:t>calculation</w:t>
      </w:r>
      <w:r>
        <w:rPr>
          <w:spacing w:val="6"/>
        </w:rPr>
        <w:t> </w:t>
      </w:r>
      <w:r>
        <w:rPr/>
        <w:t>and</w:t>
      </w:r>
      <w:r>
        <w:rPr>
          <w:spacing w:val="5"/>
        </w:rPr>
        <w:t> </w:t>
      </w:r>
      <w:r>
        <w:rPr/>
        <w:t>due</w:t>
      </w:r>
      <w:r>
        <w:rPr>
          <w:spacing w:val="6"/>
        </w:rPr>
        <w:t> </w:t>
      </w:r>
      <w:r>
        <w:rPr/>
        <w:t>to</w:t>
      </w:r>
      <w:r>
        <w:rPr>
          <w:spacing w:val="5"/>
        </w:rPr>
        <w:t> </w:t>
      </w:r>
      <w:r>
        <w:rPr/>
        <w:t>Opta</w:t>
      </w:r>
      <w:r>
        <w:rPr>
          <w:spacing w:val="6"/>
        </w:rPr>
        <w:t> </w:t>
      </w:r>
      <w:r>
        <w:rPr/>
        <w:t>only</w:t>
      </w:r>
      <w:r>
        <w:rPr>
          <w:spacing w:val="5"/>
        </w:rPr>
        <w:t> </w:t>
      </w:r>
      <w:r>
        <w:rPr>
          <w:spacing w:val="-2"/>
        </w:rPr>
        <w:t>providing</w:t>
      </w:r>
    </w:p>
    <w:p>
      <w:pPr>
        <w:pStyle w:val="BodyText"/>
        <w:spacing w:before="78"/>
        <w:ind w:left="610"/>
      </w:pPr>
      <w:r>
        <w:rPr/>
        <w:t>data</w:t>
      </w:r>
      <w:r>
        <w:rPr>
          <w:spacing w:val="-6"/>
        </w:rPr>
        <w:t> </w:t>
      </w:r>
      <w:r>
        <w:rPr/>
        <w:t>to</w:t>
      </w:r>
      <w:r>
        <w:rPr>
          <w:spacing w:val="-6"/>
        </w:rPr>
        <w:t> </w:t>
      </w:r>
      <w:r>
        <w:rPr/>
        <w:t>the</w:t>
      </w:r>
      <w:r>
        <w:rPr>
          <w:spacing w:val="-6"/>
        </w:rPr>
        <w:t> </w:t>
      </w:r>
      <w:r>
        <w:rPr/>
        <w:t>nearest</w:t>
      </w:r>
      <w:r>
        <w:rPr>
          <w:spacing w:val="-5"/>
        </w:rPr>
        <w:t> </w:t>
      </w:r>
      <w:r>
        <w:rPr/>
        <w:t>metre,</w:t>
      </w:r>
      <w:r>
        <w:rPr>
          <w:spacing w:val="-6"/>
        </w:rPr>
        <w:t> </w:t>
      </w:r>
      <w:r>
        <w:rPr/>
        <w:t>the</w:t>
      </w:r>
      <w:r>
        <w:rPr>
          <w:spacing w:val="-6"/>
        </w:rPr>
        <w:t> </w:t>
      </w:r>
      <w:r>
        <w:rPr/>
        <w:t>outer</w:t>
      </w:r>
      <w:r>
        <w:rPr>
          <w:spacing w:val="-6"/>
        </w:rPr>
        <w:t> </w:t>
      </w:r>
      <w:r>
        <w:rPr/>
        <w:t>two</w:t>
      </w:r>
      <w:r>
        <w:rPr>
          <w:spacing w:val="-5"/>
        </w:rPr>
        <w:t> </w:t>
      </w:r>
      <w:r>
        <w:rPr/>
        <w:t>columns</w:t>
      </w:r>
      <w:r>
        <w:rPr>
          <w:spacing w:val="-6"/>
        </w:rPr>
        <w:t> </w:t>
      </w:r>
      <w:r>
        <w:rPr/>
        <w:t>were</w:t>
      </w:r>
      <w:r>
        <w:rPr>
          <w:spacing w:val="-6"/>
        </w:rPr>
        <w:t> </w:t>
      </w:r>
      <w:r>
        <w:rPr/>
        <w:t>4m</w:t>
      </w:r>
      <w:r>
        <w:rPr>
          <w:spacing w:val="-6"/>
        </w:rPr>
        <w:t> </w:t>
      </w:r>
      <w:r>
        <w:rPr/>
        <w:t>wide</w:t>
      </w:r>
      <w:r>
        <w:rPr>
          <w:spacing w:val="-5"/>
        </w:rPr>
        <w:t> </w:t>
      </w:r>
      <w:r>
        <w:rPr/>
        <w:t>rather</w:t>
      </w:r>
      <w:r>
        <w:rPr>
          <w:spacing w:val="-6"/>
        </w:rPr>
        <w:t> </w:t>
      </w:r>
      <w:r>
        <w:rPr/>
        <w:t>than</w:t>
      </w:r>
      <w:r>
        <w:rPr>
          <w:spacing w:val="-6"/>
        </w:rPr>
        <w:t> </w:t>
      </w:r>
      <w:r>
        <w:rPr>
          <w:spacing w:val="-5"/>
        </w:rPr>
        <w:t>5m.</w:t>
      </w:r>
    </w:p>
    <w:p>
      <w:pPr>
        <w:pStyle w:val="BodyText"/>
        <w:spacing w:line="312" w:lineRule="auto" w:before="83"/>
        <w:ind w:left="610" w:right="389" w:firstLine="351"/>
        <w:jc w:val="both"/>
      </w:pPr>
      <w:r>
        <w:rPr/>
        <w:t>All plays were assigned the value of the true points scored within the play: 6 </w:t>
      </w:r>
      <w:r>
        <w:rPr/>
        <w:t>points for</w:t>
      </w:r>
      <w:r>
        <w:rPr>
          <w:spacing w:val="-4"/>
        </w:rPr>
        <w:t> </w:t>
      </w:r>
      <w:r>
        <w:rPr/>
        <w:t>converted</w:t>
      </w:r>
      <w:r>
        <w:rPr>
          <w:spacing w:val="-4"/>
        </w:rPr>
        <w:t> </w:t>
      </w:r>
      <w:r>
        <w:rPr/>
        <w:t>try;</w:t>
      </w:r>
      <w:r>
        <w:rPr>
          <w:spacing w:val="-4"/>
        </w:rPr>
        <w:t> </w:t>
      </w:r>
      <w:r>
        <w:rPr/>
        <w:t>4</w:t>
      </w:r>
      <w:r>
        <w:rPr>
          <w:spacing w:val="-4"/>
        </w:rPr>
        <w:t> </w:t>
      </w:r>
      <w:r>
        <w:rPr/>
        <w:t>points</w:t>
      </w:r>
      <w:r>
        <w:rPr>
          <w:spacing w:val="-4"/>
        </w:rPr>
        <w:t> </w:t>
      </w:r>
      <w:r>
        <w:rPr/>
        <w:t>for</w:t>
      </w:r>
      <w:r>
        <w:rPr>
          <w:spacing w:val="-4"/>
        </w:rPr>
        <w:t> </w:t>
      </w:r>
      <w:r>
        <w:rPr/>
        <w:t>unconverted</w:t>
      </w:r>
      <w:r>
        <w:rPr>
          <w:spacing w:val="-4"/>
        </w:rPr>
        <w:t> </w:t>
      </w:r>
      <w:r>
        <w:rPr/>
        <w:t>try;</w:t>
      </w:r>
      <w:r>
        <w:rPr>
          <w:spacing w:val="-4"/>
        </w:rPr>
        <w:t> </w:t>
      </w:r>
      <w:r>
        <w:rPr/>
        <w:t>2</w:t>
      </w:r>
      <w:r>
        <w:rPr>
          <w:spacing w:val="-4"/>
        </w:rPr>
        <w:t> </w:t>
      </w:r>
      <w:r>
        <w:rPr/>
        <w:t>points</w:t>
      </w:r>
      <w:r>
        <w:rPr>
          <w:spacing w:val="-4"/>
        </w:rPr>
        <w:t> </w:t>
      </w:r>
      <w:r>
        <w:rPr/>
        <w:t>for</w:t>
      </w:r>
      <w:r>
        <w:rPr>
          <w:spacing w:val="-4"/>
        </w:rPr>
        <w:t> </w:t>
      </w:r>
      <w:r>
        <w:rPr/>
        <w:t>penalty</w:t>
      </w:r>
      <w:r>
        <w:rPr>
          <w:spacing w:val="-4"/>
        </w:rPr>
        <w:t> </w:t>
      </w:r>
      <w:r>
        <w:rPr/>
        <w:t>goal;</w:t>
      </w:r>
      <w:r>
        <w:rPr>
          <w:spacing w:val="-4"/>
        </w:rPr>
        <w:t> </w:t>
      </w:r>
      <w:r>
        <w:rPr/>
        <w:t>1</w:t>
      </w:r>
      <w:r>
        <w:rPr>
          <w:spacing w:val="-4"/>
        </w:rPr>
        <w:t> </w:t>
      </w:r>
      <w:r>
        <w:rPr/>
        <w:t>point</w:t>
      </w:r>
      <w:r>
        <w:rPr>
          <w:spacing w:val="-4"/>
        </w:rPr>
        <w:t> </w:t>
      </w:r>
      <w:r>
        <w:rPr/>
        <w:t>for</w:t>
      </w:r>
      <w:r>
        <w:rPr>
          <w:spacing w:val="-4"/>
        </w:rPr>
        <w:t> </w:t>
      </w:r>
      <w:r>
        <w:rPr/>
        <w:t>drop goal. If no points were scored within the play, a value of 0 was given.</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before="105"/>
        <w:ind w:left="757" w:right="538"/>
        <w:jc w:val="center"/>
      </w:pPr>
      <w:bookmarkStart w:name="_bookmark57" w:id="109"/>
      <w:bookmarkEnd w:id="109"/>
      <w:r>
        <w:rPr/>
      </w:r>
      <w:r>
        <w:rPr>
          <w:b/>
        </w:rPr>
        <w:t>Table</w:t>
      </w:r>
      <w:r>
        <w:rPr>
          <w:b/>
          <w:spacing w:val="-9"/>
        </w:rPr>
        <w:t> </w:t>
      </w:r>
      <w:r>
        <w:rPr>
          <w:b/>
        </w:rPr>
        <w:t>3.3:</w:t>
      </w:r>
      <w:r>
        <w:rPr>
          <w:b/>
          <w:spacing w:val="4"/>
        </w:rPr>
        <w:t> </w:t>
      </w:r>
      <w:r>
        <w:rPr/>
        <w:t>List</w:t>
      </w:r>
      <w:r>
        <w:rPr>
          <w:spacing w:val="-9"/>
        </w:rPr>
        <w:t> </w:t>
      </w:r>
      <w:r>
        <w:rPr/>
        <w:t>of</w:t>
      </w:r>
      <w:r>
        <w:rPr>
          <w:spacing w:val="-9"/>
        </w:rPr>
        <w:t> </w:t>
      </w:r>
      <w:r>
        <w:rPr/>
        <w:t>events,</w:t>
      </w:r>
      <w:r>
        <w:rPr>
          <w:spacing w:val="-8"/>
        </w:rPr>
        <w:t> </w:t>
      </w:r>
      <w:r>
        <w:rPr/>
        <w:t>which</w:t>
      </w:r>
      <w:r>
        <w:rPr>
          <w:spacing w:val="-9"/>
        </w:rPr>
        <w:t> </w:t>
      </w:r>
      <w:r>
        <w:rPr/>
        <w:t>could</w:t>
      </w:r>
      <w:r>
        <w:rPr>
          <w:spacing w:val="-9"/>
        </w:rPr>
        <w:t> </w:t>
      </w:r>
      <w:r>
        <w:rPr/>
        <w:t>end</w:t>
      </w:r>
      <w:r>
        <w:rPr>
          <w:spacing w:val="-9"/>
        </w:rPr>
        <w:t> </w:t>
      </w:r>
      <w:r>
        <w:rPr/>
        <w:t>an</w:t>
      </w:r>
      <w:r>
        <w:rPr>
          <w:spacing w:val="-9"/>
        </w:rPr>
        <w:t> </w:t>
      </w:r>
      <w:r>
        <w:rPr/>
        <w:t>attacking</w:t>
      </w:r>
      <w:r>
        <w:rPr>
          <w:spacing w:val="-8"/>
        </w:rPr>
        <w:t> </w:t>
      </w:r>
      <w:r>
        <w:rPr>
          <w:spacing w:val="-2"/>
        </w:rPr>
        <w:t>possession</w:t>
      </w:r>
    </w:p>
    <w:p>
      <w:pPr>
        <w:pStyle w:val="BodyText"/>
        <w:rPr>
          <w:sz w:val="20"/>
        </w:rPr>
      </w:pPr>
    </w:p>
    <w:p>
      <w:pPr>
        <w:pStyle w:val="BodyText"/>
        <w:spacing w:before="2"/>
        <w:rPr>
          <w:sz w:val="21"/>
        </w:rPr>
      </w:pPr>
      <w:r>
        <w:rPr/>
        <w:pict>
          <v:shape style="position:absolute;margin-left:123.821999pt;margin-top:13.373975pt;width:406.6pt;height:.1pt;mso-position-horizontal-relative:page;mso-position-vertical-relative:paragraph;z-index:-15709696;mso-wrap-distance-left:0;mso-wrap-distance-right:0" id="docshape56" coordorigin="2476,267" coordsize="8132,0" path="m2476,267l10608,267e" filled="false" stroked="true" strokeweight=".398pt" strokecolor="#000000">
            <v:path arrowok="t"/>
            <v:stroke dashstyle="solid"/>
            <w10:wrap type="topAndBottom"/>
          </v:shape>
        </w:pict>
      </w:r>
    </w:p>
    <w:p>
      <w:pPr>
        <w:pStyle w:val="BodyText"/>
        <w:tabs>
          <w:tab w:pos="3706" w:val="left" w:leader="none"/>
        </w:tabs>
        <w:spacing w:line="254" w:lineRule="exact" w:after="39"/>
        <w:ind w:left="916"/>
      </w:pPr>
      <w:r>
        <w:rPr>
          <w:spacing w:val="-2"/>
        </w:rPr>
        <w:t>Event</w:t>
      </w:r>
      <w:r>
        <w:rPr/>
        <w:tab/>
      </w:r>
      <w:r>
        <w:rPr>
          <w:spacing w:val="-2"/>
        </w:rPr>
        <w:t>Description</w:t>
      </w:r>
    </w:p>
    <w:p>
      <w:pPr>
        <w:pStyle w:val="BodyText"/>
        <w:spacing w:line="20" w:lineRule="exact"/>
        <w:ind w:left="796"/>
        <w:rPr>
          <w:sz w:val="2"/>
        </w:rPr>
      </w:pPr>
      <w:r>
        <w:rPr>
          <w:sz w:val="2"/>
        </w:rPr>
        <w:pict>
          <v:group style="width:406.6pt;height:.4pt;mso-position-horizontal-relative:char;mso-position-vertical-relative:line" id="docshapegroup57" coordorigin="0,0" coordsize="8132,8">
            <v:line style="position:absolute" from="0,4" to="8132,4" stroked="true" strokeweight=".398pt" strokecolor="#000000">
              <v:stroke dashstyle="solid"/>
            </v:line>
          </v:group>
        </w:pict>
      </w:r>
      <w:r>
        <w:rPr>
          <w:sz w:val="2"/>
        </w:rPr>
      </w:r>
    </w:p>
    <w:p>
      <w:pPr>
        <w:pStyle w:val="BodyText"/>
        <w:tabs>
          <w:tab w:pos="3706" w:val="left" w:leader="none"/>
        </w:tabs>
        <w:spacing w:line="252" w:lineRule="auto"/>
        <w:ind w:left="3706" w:right="694" w:hanging="2791"/>
      </w:pPr>
      <w:r>
        <w:rPr>
          <w:spacing w:val="-2"/>
        </w:rPr>
        <w:t>Handover</w:t>
      </w:r>
      <w:r>
        <w:rPr/>
        <w:tab/>
        <w:t>A completed sixth tackle by the opposition team, </w:t>
      </w:r>
      <w:r>
        <w:rPr/>
        <w:t>re- sulting in a change in possession</w:t>
      </w:r>
    </w:p>
    <w:p>
      <w:pPr>
        <w:pStyle w:val="BodyText"/>
        <w:tabs>
          <w:tab w:pos="3706" w:val="left" w:leader="none"/>
        </w:tabs>
        <w:spacing w:line="274" w:lineRule="exact"/>
        <w:ind w:left="916"/>
      </w:pPr>
      <w:r>
        <w:rPr/>
        <w:t>Kick</w:t>
      </w:r>
      <w:r>
        <w:rPr>
          <w:spacing w:val="-5"/>
        </w:rPr>
        <w:t> </w:t>
      </w:r>
      <w:r>
        <w:rPr/>
        <w:t>at</w:t>
      </w:r>
      <w:r>
        <w:rPr>
          <w:spacing w:val="-4"/>
        </w:rPr>
        <w:t> goal</w:t>
      </w:r>
      <w:r>
        <w:rPr/>
        <w:tab/>
        <w:t>Conversion,</w:t>
      </w:r>
      <w:r>
        <w:rPr>
          <w:spacing w:val="-10"/>
        </w:rPr>
        <w:t> </w:t>
      </w:r>
      <w:r>
        <w:rPr/>
        <w:t>Penalty</w:t>
      </w:r>
      <w:r>
        <w:rPr>
          <w:spacing w:val="-9"/>
        </w:rPr>
        <w:t> </w:t>
      </w:r>
      <w:r>
        <w:rPr/>
        <w:t>Goal</w:t>
      </w:r>
      <w:r>
        <w:rPr>
          <w:spacing w:val="-9"/>
        </w:rPr>
        <w:t> </w:t>
      </w:r>
      <w:r>
        <w:rPr/>
        <w:t>or</w:t>
      </w:r>
      <w:r>
        <w:rPr>
          <w:spacing w:val="-9"/>
        </w:rPr>
        <w:t> </w:t>
      </w:r>
      <w:r>
        <w:rPr/>
        <w:t>Drop</w:t>
      </w:r>
      <w:r>
        <w:rPr>
          <w:spacing w:val="-9"/>
        </w:rPr>
        <w:t> </w:t>
      </w:r>
      <w:r>
        <w:rPr/>
        <w:t>Goal</w:t>
      </w:r>
      <w:r>
        <w:rPr>
          <w:spacing w:val="-10"/>
        </w:rPr>
        <w:t> </w:t>
      </w:r>
      <w:r>
        <w:rPr>
          <w:spacing w:val="-2"/>
        </w:rPr>
        <w:t>attempt</w:t>
      </w:r>
    </w:p>
    <w:p>
      <w:pPr>
        <w:pStyle w:val="BodyText"/>
        <w:tabs>
          <w:tab w:pos="3706" w:val="left" w:leader="none"/>
        </w:tabs>
        <w:spacing w:line="252" w:lineRule="auto"/>
        <w:ind w:left="3706" w:right="694" w:hanging="2791"/>
      </w:pPr>
      <w:r>
        <w:rPr>
          <w:spacing w:val="-4"/>
        </w:rPr>
        <w:t>Foul</w:t>
      </w:r>
      <w:r>
        <w:rPr/>
        <w:tab/>
        <w:t>Any foul resulting in the opposition team </w:t>
      </w:r>
      <w:r>
        <w:rPr/>
        <w:t>receiving the ball (e.g. conceding a penalty)</w:t>
      </w:r>
    </w:p>
    <w:p>
      <w:pPr>
        <w:pStyle w:val="BodyText"/>
        <w:tabs>
          <w:tab w:pos="3706" w:val="left" w:leader="none"/>
        </w:tabs>
        <w:spacing w:line="274" w:lineRule="exact"/>
        <w:ind w:left="916"/>
      </w:pPr>
      <w:r>
        <w:rPr/>
        <w:t>Misplaced</w:t>
      </w:r>
      <w:r>
        <w:rPr>
          <w:spacing w:val="-11"/>
        </w:rPr>
        <w:t> </w:t>
      </w:r>
      <w:r>
        <w:rPr>
          <w:spacing w:val="-4"/>
        </w:rPr>
        <w:t>pass</w:t>
      </w:r>
      <w:r>
        <w:rPr/>
        <w:tab/>
        <w:t>A</w:t>
      </w:r>
      <w:r>
        <w:rPr>
          <w:spacing w:val="-11"/>
        </w:rPr>
        <w:t> </w:t>
      </w:r>
      <w:r>
        <w:rPr/>
        <w:t>pass</w:t>
      </w:r>
      <w:r>
        <w:rPr>
          <w:spacing w:val="-11"/>
        </w:rPr>
        <w:t> </w:t>
      </w:r>
      <w:r>
        <w:rPr/>
        <w:t>or</w:t>
      </w:r>
      <w:r>
        <w:rPr>
          <w:spacing w:val="-11"/>
        </w:rPr>
        <w:t> </w:t>
      </w:r>
      <w:r>
        <w:rPr/>
        <w:t>tap</w:t>
      </w:r>
      <w:r>
        <w:rPr>
          <w:spacing w:val="-11"/>
        </w:rPr>
        <w:t> </w:t>
      </w:r>
      <w:r>
        <w:rPr/>
        <w:t>down,</w:t>
      </w:r>
      <w:r>
        <w:rPr>
          <w:spacing w:val="-10"/>
        </w:rPr>
        <w:t> </w:t>
      </w:r>
      <w:r>
        <w:rPr/>
        <w:t>which</w:t>
      </w:r>
      <w:r>
        <w:rPr>
          <w:spacing w:val="-10"/>
        </w:rPr>
        <w:t> </w:t>
      </w:r>
      <w:r>
        <w:rPr/>
        <w:t>is</w:t>
      </w:r>
      <w:r>
        <w:rPr>
          <w:spacing w:val="-11"/>
        </w:rPr>
        <w:t> </w:t>
      </w:r>
      <w:r>
        <w:rPr/>
        <w:t>intercepted</w:t>
      </w:r>
      <w:r>
        <w:rPr>
          <w:spacing w:val="-11"/>
        </w:rPr>
        <w:t> </w:t>
      </w:r>
      <w:r>
        <w:rPr/>
        <w:t>by</w:t>
      </w:r>
      <w:r>
        <w:rPr>
          <w:spacing w:val="-11"/>
        </w:rPr>
        <w:t> </w:t>
      </w:r>
      <w:r>
        <w:rPr/>
        <w:t>the</w:t>
      </w:r>
      <w:r>
        <w:rPr>
          <w:spacing w:val="-11"/>
        </w:rPr>
        <w:t> </w:t>
      </w:r>
      <w:r>
        <w:rPr>
          <w:spacing w:val="-2"/>
        </w:rPr>
        <w:t>oppo-</w:t>
      </w:r>
    </w:p>
    <w:p>
      <w:pPr>
        <w:pStyle w:val="BodyText"/>
        <w:ind w:left="3706"/>
      </w:pPr>
      <w:r>
        <w:rPr>
          <w:spacing w:val="-2"/>
        </w:rPr>
        <w:t>sition</w:t>
      </w:r>
    </w:p>
    <w:p>
      <w:pPr>
        <w:pStyle w:val="BodyText"/>
        <w:tabs>
          <w:tab w:pos="3706" w:val="left" w:leader="none"/>
        </w:tabs>
        <w:spacing w:before="1"/>
        <w:ind w:left="916"/>
      </w:pPr>
      <w:r>
        <w:rPr/>
        <w:t>Misplaced</w:t>
      </w:r>
      <w:r>
        <w:rPr>
          <w:spacing w:val="-11"/>
        </w:rPr>
        <w:t> </w:t>
      </w:r>
      <w:r>
        <w:rPr>
          <w:spacing w:val="-4"/>
        </w:rPr>
        <w:t>kick</w:t>
      </w:r>
      <w:r>
        <w:rPr/>
        <w:tab/>
        <w:t>Any</w:t>
      </w:r>
      <w:r>
        <w:rPr>
          <w:spacing w:val="23"/>
        </w:rPr>
        <w:t> </w:t>
      </w:r>
      <w:r>
        <w:rPr/>
        <w:t>kick</w:t>
      </w:r>
      <w:r>
        <w:rPr>
          <w:spacing w:val="24"/>
        </w:rPr>
        <w:t> </w:t>
      </w:r>
      <w:r>
        <w:rPr/>
        <w:t>not</w:t>
      </w:r>
      <w:r>
        <w:rPr>
          <w:spacing w:val="24"/>
        </w:rPr>
        <w:t> </w:t>
      </w:r>
      <w:r>
        <w:rPr/>
        <w:t>caught</w:t>
      </w:r>
      <w:r>
        <w:rPr>
          <w:spacing w:val="23"/>
        </w:rPr>
        <w:t> </w:t>
      </w:r>
      <w:r>
        <w:rPr/>
        <w:t>by</w:t>
      </w:r>
      <w:r>
        <w:rPr>
          <w:spacing w:val="24"/>
        </w:rPr>
        <w:t> </w:t>
      </w:r>
      <w:r>
        <w:rPr/>
        <w:t>the</w:t>
      </w:r>
      <w:r>
        <w:rPr>
          <w:spacing w:val="23"/>
        </w:rPr>
        <w:t> </w:t>
      </w:r>
      <w:r>
        <w:rPr/>
        <w:t>team</w:t>
      </w:r>
      <w:r>
        <w:rPr>
          <w:spacing w:val="24"/>
        </w:rPr>
        <w:t> </w:t>
      </w:r>
      <w:r>
        <w:rPr/>
        <w:t>in</w:t>
      </w:r>
      <w:r>
        <w:rPr>
          <w:spacing w:val="23"/>
        </w:rPr>
        <w:t> </w:t>
      </w:r>
      <w:r>
        <w:rPr/>
        <w:t>possession,</w:t>
      </w:r>
      <w:r>
        <w:rPr>
          <w:spacing w:val="31"/>
        </w:rPr>
        <w:t> </w:t>
      </w:r>
      <w:r>
        <w:rPr>
          <w:spacing w:val="-5"/>
        </w:rPr>
        <w:t>in-</w:t>
      </w:r>
    </w:p>
    <w:p>
      <w:pPr>
        <w:pStyle w:val="BodyText"/>
        <w:tabs>
          <w:tab w:pos="3706" w:val="left" w:leader="none"/>
        </w:tabs>
        <w:spacing w:line="252" w:lineRule="auto" w:before="13"/>
        <w:ind w:left="916" w:right="694" w:firstLine="2790"/>
      </w:pPr>
      <w:r>
        <w:rPr/>
        <w:t>cluding bombs/grubber kicks and positional kicks Handling error</w:t>
        <w:tab/>
        <w:t>Any situation where the ball is lost from the </w:t>
      </w:r>
      <w:r>
        <w:rPr/>
        <w:t>player’s</w:t>
      </w:r>
    </w:p>
    <w:p>
      <w:pPr>
        <w:pStyle w:val="BodyText"/>
        <w:spacing w:line="274" w:lineRule="exact"/>
        <w:ind w:left="3706"/>
      </w:pPr>
      <w:r>
        <w:rPr/>
        <w:pict>
          <v:shape style="position:absolute;margin-left:123.821999pt;margin-top:15.650577pt;width:406.6pt;height:.1pt;mso-position-horizontal-relative:page;mso-position-vertical-relative:paragraph;z-index:-15708672;mso-wrap-distance-left:0;mso-wrap-distance-right:0" id="docshape58" coordorigin="2476,313" coordsize="8132,0" path="m2476,313l10608,313e" filled="false" stroked="true" strokeweight=".398pt" strokecolor="#000000">
            <v:path arrowok="t"/>
            <v:stroke dashstyle="solid"/>
            <w10:wrap type="topAndBottom"/>
          </v:shape>
        </w:pict>
      </w:r>
      <w:r>
        <w:rPr/>
        <w:t>possession</w:t>
      </w:r>
      <w:r>
        <w:rPr>
          <w:spacing w:val="-7"/>
        </w:rPr>
        <w:t> </w:t>
      </w:r>
      <w:r>
        <w:rPr/>
        <w:t>(e.g.</w:t>
      </w:r>
      <w:r>
        <w:rPr>
          <w:spacing w:val="7"/>
        </w:rPr>
        <w:t> </w:t>
      </w:r>
      <w:r>
        <w:rPr/>
        <w:t>lost</w:t>
      </w:r>
      <w:r>
        <w:rPr>
          <w:spacing w:val="-7"/>
        </w:rPr>
        <w:t> </w:t>
      </w:r>
      <w:r>
        <w:rPr/>
        <w:t>in</w:t>
      </w:r>
      <w:r>
        <w:rPr>
          <w:spacing w:val="-6"/>
        </w:rPr>
        <w:t> </w:t>
      </w:r>
      <w:r>
        <w:rPr/>
        <w:t>contact,</w:t>
      </w:r>
      <w:r>
        <w:rPr>
          <w:spacing w:val="-7"/>
        </w:rPr>
        <w:t> </w:t>
      </w:r>
      <w:r>
        <w:rPr/>
        <w:t>dropped</w:t>
      </w:r>
      <w:r>
        <w:rPr>
          <w:spacing w:val="-7"/>
        </w:rPr>
        <w:t> </w:t>
      </w:r>
      <w:r>
        <w:rPr>
          <w:spacing w:val="-2"/>
        </w:rPr>
        <w:t>catch)</w:t>
      </w:r>
    </w:p>
    <w:p>
      <w:pPr>
        <w:pStyle w:val="BodyText"/>
        <w:rPr>
          <w:sz w:val="20"/>
        </w:rPr>
      </w:pPr>
    </w:p>
    <w:p>
      <w:pPr>
        <w:pStyle w:val="BodyText"/>
        <w:rPr>
          <w:sz w:val="20"/>
        </w:rPr>
      </w:pPr>
    </w:p>
    <w:p>
      <w:pPr>
        <w:pStyle w:val="BodyText"/>
        <w:spacing w:line="312" w:lineRule="auto" w:before="212"/>
        <w:ind w:left="610" w:right="408" w:firstLine="351"/>
      </w:pPr>
      <w:r>
        <w:rPr/>
        <w:t>The</w:t>
      </w:r>
      <w:r>
        <w:rPr>
          <w:spacing w:val="-4"/>
        </w:rPr>
        <w:t> </w:t>
      </w:r>
      <w:r>
        <w:rPr/>
        <w:t>data</w:t>
      </w:r>
      <w:r>
        <w:rPr>
          <w:spacing w:val="-5"/>
        </w:rPr>
        <w:t> </w:t>
      </w:r>
      <w:r>
        <w:rPr/>
        <w:t>were</w:t>
      </w:r>
      <w:r>
        <w:rPr>
          <w:spacing w:val="-4"/>
        </w:rPr>
        <w:t> </w:t>
      </w:r>
      <w:r>
        <w:rPr/>
        <w:t>split</w:t>
      </w:r>
      <w:r>
        <w:rPr>
          <w:spacing w:val="-4"/>
        </w:rPr>
        <w:t> </w:t>
      </w:r>
      <w:r>
        <w:rPr/>
        <w:t>into</w:t>
      </w:r>
      <w:r>
        <w:rPr>
          <w:spacing w:val="-5"/>
        </w:rPr>
        <w:t> </w:t>
      </w:r>
      <w:r>
        <w:rPr/>
        <w:t>attacking</w:t>
      </w:r>
      <w:r>
        <w:rPr>
          <w:spacing w:val="-4"/>
        </w:rPr>
        <w:t> </w:t>
      </w:r>
      <w:r>
        <w:rPr/>
        <w:t>possessions. An</w:t>
      </w:r>
      <w:r>
        <w:rPr>
          <w:spacing w:val="-4"/>
        </w:rPr>
        <w:t> </w:t>
      </w:r>
      <w:r>
        <w:rPr/>
        <w:t>attacking</w:t>
      </w:r>
      <w:r>
        <w:rPr>
          <w:spacing w:val="-5"/>
        </w:rPr>
        <w:t> </w:t>
      </w:r>
      <w:r>
        <w:rPr/>
        <w:t>possession</w:t>
      </w:r>
      <w:r>
        <w:rPr>
          <w:spacing w:val="-4"/>
        </w:rPr>
        <w:t> </w:t>
      </w:r>
      <w:r>
        <w:rPr/>
        <w:t>was</w:t>
      </w:r>
      <w:r>
        <w:rPr>
          <w:spacing w:val="-5"/>
        </w:rPr>
        <w:t> </w:t>
      </w:r>
      <w:r>
        <w:rPr/>
        <w:t>coded</w:t>
      </w:r>
      <w:r>
        <w:rPr>
          <w:spacing w:val="-4"/>
        </w:rPr>
        <w:t> </w:t>
      </w:r>
      <w:r>
        <w:rPr/>
        <w:t>as a sequence of plays, which began when a team gained possession of the ball and ended when</w:t>
      </w:r>
      <w:r>
        <w:rPr>
          <w:spacing w:val="29"/>
        </w:rPr>
        <w:t> </w:t>
      </w:r>
      <w:r>
        <w:rPr/>
        <w:t>the</w:t>
      </w:r>
      <w:r>
        <w:rPr>
          <w:spacing w:val="29"/>
        </w:rPr>
        <w:t> </w:t>
      </w:r>
      <w:r>
        <w:rPr/>
        <w:t>team</w:t>
      </w:r>
      <w:r>
        <w:rPr>
          <w:spacing w:val="29"/>
        </w:rPr>
        <w:t> </w:t>
      </w:r>
      <w:r>
        <w:rPr/>
        <w:t>lost</w:t>
      </w:r>
      <w:r>
        <w:rPr>
          <w:spacing w:val="29"/>
        </w:rPr>
        <w:t> </w:t>
      </w:r>
      <w:r>
        <w:rPr/>
        <w:t>possession</w:t>
      </w:r>
      <w:r>
        <w:rPr>
          <w:spacing w:val="29"/>
        </w:rPr>
        <w:t> </w:t>
      </w:r>
      <w:r>
        <w:rPr/>
        <w:t>of</w:t>
      </w:r>
      <w:r>
        <w:rPr>
          <w:spacing w:val="29"/>
        </w:rPr>
        <w:t> </w:t>
      </w:r>
      <w:r>
        <w:rPr/>
        <w:t>the</w:t>
      </w:r>
      <w:r>
        <w:rPr>
          <w:spacing w:val="29"/>
        </w:rPr>
        <w:t> </w:t>
      </w:r>
      <w:r>
        <w:rPr/>
        <w:t>ball</w:t>
      </w:r>
      <w:r>
        <w:rPr>
          <w:spacing w:val="29"/>
        </w:rPr>
        <w:t> </w:t>
      </w:r>
      <w:r>
        <w:rPr/>
        <w:t>(i.e.</w:t>
      </w:r>
      <w:r>
        <w:rPr>
          <w:spacing w:val="80"/>
        </w:rPr>
        <w:t> </w:t>
      </w:r>
      <w:r>
        <w:rPr/>
        <w:t>due</w:t>
      </w:r>
      <w:r>
        <w:rPr>
          <w:spacing w:val="29"/>
        </w:rPr>
        <w:t> </w:t>
      </w:r>
      <w:r>
        <w:rPr/>
        <w:t>to</w:t>
      </w:r>
      <w:r>
        <w:rPr>
          <w:spacing w:val="29"/>
        </w:rPr>
        <w:t> </w:t>
      </w:r>
      <w:r>
        <w:rPr/>
        <w:t>an</w:t>
      </w:r>
      <w:r>
        <w:rPr>
          <w:spacing w:val="29"/>
        </w:rPr>
        <w:t> </w:t>
      </w:r>
      <w:r>
        <w:rPr/>
        <w:t>error,</w:t>
      </w:r>
      <w:r>
        <w:rPr>
          <w:spacing w:val="37"/>
        </w:rPr>
        <w:t> </w:t>
      </w:r>
      <w:r>
        <w:rPr/>
        <w:t>handover,</w:t>
      </w:r>
      <w:r>
        <w:rPr>
          <w:spacing w:val="37"/>
        </w:rPr>
        <w:t> </w:t>
      </w:r>
      <w:r>
        <w:rPr/>
        <w:t>field</w:t>
      </w:r>
      <w:r>
        <w:rPr>
          <w:spacing w:val="29"/>
        </w:rPr>
        <w:t> </w:t>
      </w:r>
      <w:r>
        <w:rPr/>
        <w:t>kick, </w:t>
      </w:r>
      <w:r>
        <w:rPr>
          <w:spacing w:val="-2"/>
        </w:rPr>
        <w:t>penalty,</w:t>
      </w:r>
      <w:r>
        <w:rPr>
          <w:spacing w:val="-7"/>
        </w:rPr>
        <w:t> </w:t>
      </w:r>
      <w:r>
        <w:rPr>
          <w:spacing w:val="-2"/>
        </w:rPr>
        <w:t>drop</w:t>
      </w:r>
      <w:r>
        <w:rPr>
          <w:spacing w:val="-9"/>
        </w:rPr>
        <w:t> </w:t>
      </w:r>
      <w:r>
        <w:rPr>
          <w:spacing w:val="-2"/>
        </w:rPr>
        <w:t>goal</w:t>
      </w:r>
      <w:r>
        <w:rPr>
          <w:spacing w:val="-9"/>
        </w:rPr>
        <w:t> </w:t>
      </w:r>
      <w:r>
        <w:rPr>
          <w:spacing w:val="-2"/>
        </w:rPr>
        <w:t>or</w:t>
      </w:r>
      <w:r>
        <w:rPr>
          <w:spacing w:val="-9"/>
        </w:rPr>
        <w:t> </w:t>
      </w:r>
      <w:r>
        <w:rPr>
          <w:spacing w:val="-2"/>
        </w:rPr>
        <w:t>try).</w:t>
      </w:r>
      <w:r>
        <w:rPr>
          <w:spacing w:val="16"/>
        </w:rPr>
        <w:t> </w:t>
      </w:r>
      <w:r>
        <w:rPr>
          <w:spacing w:val="-2"/>
        </w:rPr>
        <w:t>Any</w:t>
      </w:r>
      <w:r>
        <w:rPr>
          <w:spacing w:val="-9"/>
        </w:rPr>
        <w:t> </w:t>
      </w:r>
      <w:r>
        <w:rPr>
          <w:spacing w:val="-2"/>
        </w:rPr>
        <w:t>situation</w:t>
      </w:r>
      <w:r>
        <w:rPr>
          <w:spacing w:val="-9"/>
        </w:rPr>
        <w:t> </w:t>
      </w:r>
      <w:r>
        <w:rPr>
          <w:spacing w:val="-2"/>
        </w:rPr>
        <w:t>where</w:t>
      </w:r>
      <w:r>
        <w:rPr>
          <w:spacing w:val="-9"/>
        </w:rPr>
        <w:t> </w:t>
      </w:r>
      <w:r>
        <w:rPr>
          <w:spacing w:val="-2"/>
        </w:rPr>
        <w:t>a</w:t>
      </w:r>
      <w:r>
        <w:rPr>
          <w:spacing w:val="-9"/>
        </w:rPr>
        <w:t> </w:t>
      </w:r>
      <w:r>
        <w:rPr>
          <w:spacing w:val="-2"/>
        </w:rPr>
        <w:t>pass/kick</w:t>
      </w:r>
      <w:r>
        <w:rPr>
          <w:spacing w:val="-9"/>
        </w:rPr>
        <w:t> </w:t>
      </w:r>
      <w:r>
        <w:rPr>
          <w:spacing w:val="-2"/>
        </w:rPr>
        <w:t>missed</w:t>
      </w:r>
      <w:r>
        <w:rPr>
          <w:spacing w:val="-9"/>
        </w:rPr>
        <w:t> </w:t>
      </w:r>
      <w:r>
        <w:rPr>
          <w:spacing w:val="-2"/>
        </w:rPr>
        <w:t>its</w:t>
      </w:r>
      <w:r>
        <w:rPr>
          <w:spacing w:val="-9"/>
        </w:rPr>
        <w:t> </w:t>
      </w:r>
      <w:r>
        <w:rPr>
          <w:spacing w:val="-2"/>
        </w:rPr>
        <w:t>target</w:t>
      </w:r>
      <w:r>
        <w:rPr>
          <w:spacing w:val="-9"/>
        </w:rPr>
        <w:t> </w:t>
      </w:r>
      <w:r>
        <w:rPr>
          <w:spacing w:val="-2"/>
        </w:rPr>
        <w:t>player,</w:t>
      </w:r>
      <w:r>
        <w:rPr>
          <w:spacing w:val="-7"/>
        </w:rPr>
        <w:t> </w:t>
      </w:r>
      <w:r>
        <w:rPr>
          <w:spacing w:val="-2"/>
        </w:rPr>
        <w:t>but</w:t>
      </w:r>
      <w:r>
        <w:rPr>
          <w:spacing w:val="-9"/>
        </w:rPr>
        <w:t> </w:t>
      </w:r>
      <w:r>
        <w:rPr>
          <w:spacing w:val="-2"/>
        </w:rPr>
        <w:t>was </w:t>
      </w:r>
      <w:r>
        <w:rPr/>
        <w:t>not</w:t>
      </w:r>
      <w:r>
        <w:rPr>
          <w:spacing w:val="-2"/>
        </w:rPr>
        <w:t> </w:t>
      </w:r>
      <w:r>
        <w:rPr/>
        <w:t>successfully</w:t>
      </w:r>
      <w:r>
        <w:rPr>
          <w:spacing w:val="-2"/>
        </w:rPr>
        <w:t> </w:t>
      </w:r>
      <w:r>
        <w:rPr/>
        <w:t>collected</w:t>
      </w:r>
      <w:r>
        <w:rPr>
          <w:spacing w:val="-2"/>
        </w:rPr>
        <w:t> </w:t>
      </w:r>
      <w:r>
        <w:rPr/>
        <w:t>by</w:t>
      </w:r>
      <w:r>
        <w:rPr>
          <w:spacing w:val="-2"/>
        </w:rPr>
        <w:t> </w:t>
      </w:r>
      <w:r>
        <w:rPr/>
        <w:t>the</w:t>
      </w:r>
      <w:r>
        <w:rPr>
          <w:spacing w:val="-2"/>
        </w:rPr>
        <w:t> </w:t>
      </w:r>
      <w:r>
        <w:rPr/>
        <w:t>opposition,</w:t>
      </w:r>
      <w:r>
        <w:rPr>
          <w:spacing w:val="-1"/>
        </w:rPr>
        <w:t> </w:t>
      </w:r>
      <w:r>
        <w:rPr/>
        <w:t>resulted</w:t>
      </w:r>
      <w:r>
        <w:rPr>
          <w:spacing w:val="-2"/>
        </w:rPr>
        <w:t> </w:t>
      </w:r>
      <w:r>
        <w:rPr/>
        <w:t>in</w:t>
      </w:r>
      <w:r>
        <w:rPr>
          <w:spacing w:val="-2"/>
        </w:rPr>
        <w:t> </w:t>
      </w:r>
      <w:r>
        <w:rPr/>
        <w:t>the</w:t>
      </w:r>
      <w:r>
        <w:rPr>
          <w:spacing w:val="-2"/>
        </w:rPr>
        <w:t> </w:t>
      </w:r>
      <w:r>
        <w:rPr/>
        <w:t>continuation</w:t>
      </w:r>
      <w:r>
        <w:rPr>
          <w:spacing w:val="-2"/>
        </w:rPr>
        <w:t> </w:t>
      </w:r>
      <w:r>
        <w:rPr/>
        <w:t>of</w:t>
      </w:r>
      <w:r>
        <w:rPr>
          <w:spacing w:val="-2"/>
        </w:rPr>
        <w:t> </w:t>
      </w:r>
      <w:r>
        <w:rPr/>
        <w:t>the</w:t>
      </w:r>
      <w:r>
        <w:rPr>
          <w:spacing w:val="-2"/>
        </w:rPr>
        <w:t> </w:t>
      </w:r>
      <w:r>
        <w:rPr/>
        <w:t>attacking possession for the attacking team.</w:t>
      </w:r>
      <w:r>
        <w:rPr>
          <w:spacing w:val="40"/>
        </w:rPr>
        <w:t> </w:t>
      </w:r>
      <w:r>
        <w:rPr/>
        <w:t>Table</w:t>
      </w:r>
      <w:hyperlink w:history="true" w:anchor="_bookmark57">
        <w:r>
          <w:rPr>
            <w:color w:val="0000FF"/>
          </w:rPr>
          <w:t>3.3</w:t>
        </w:r>
      </w:hyperlink>
      <w:r>
        <w:rPr/>
        <w:t>provides a list of the events, which could</w:t>
      </w:r>
      <w:r>
        <w:rPr>
          <w:spacing w:val="40"/>
        </w:rPr>
        <w:t> </w:t>
      </w:r>
      <w:r>
        <w:rPr/>
        <w:t>end an attacking possession and defines them.</w:t>
      </w:r>
      <w:r>
        <w:rPr>
          <w:spacing w:val="36"/>
        </w:rPr>
        <w:t> </w:t>
      </w:r>
      <w:r>
        <w:rPr/>
        <w:t>Using these definitions, the 59,233 plays were</w:t>
      </w:r>
      <w:r>
        <w:rPr>
          <w:spacing w:val="29"/>
        </w:rPr>
        <w:t> </w:t>
      </w:r>
      <w:r>
        <w:rPr/>
        <w:t>grouped</w:t>
      </w:r>
      <w:r>
        <w:rPr>
          <w:spacing w:val="29"/>
        </w:rPr>
        <w:t> </w:t>
      </w:r>
      <w:r>
        <w:rPr/>
        <w:t>into</w:t>
      </w:r>
      <w:r>
        <w:rPr>
          <w:spacing w:val="28"/>
        </w:rPr>
        <w:t> </w:t>
      </w:r>
      <w:r>
        <w:rPr/>
        <w:t>10,156</w:t>
      </w:r>
      <w:r>
        <w:rPr>
          <w:spacing w:val="29"/>
        </w:rPr>
        <w:t> </w:t>
      </w:r>
      <w:r>
        <w:rPr/>
        <w:t>attacking</w:t>
      </w:r>
      <w:r>
        <w:rPr>
          <w:spacing w:val="29"/>
        </w:rPr>
        <w:t> </w:t>
      </w:r>
      <w:r>
        <w:rPr/>
        <w:t>possessions</w:t>
      </w:r>
      <w:r>
        <w:rPr>
          <w:spacing w:val="29"/>
        </w:rPr>
        <w:t> </w:t>
      </w:r>
      <w:r>
        <w:rPr/>
        <w:t>(median</w:t>
      </w:r>
      <w:r>
        <w:rPr>
          <w:spacing w:val="29"/>
        </w:rPr>
        <w:t> </w:t>
      </w:r>
      <w:r>
        <w:rPr/>
        <w:t>length</w:t>
      </w:r>
      <w:r>
        <w:rPr>
          <w:spacing w:val="28"/>
        </w:rPr>
        <w:t> </w:t>
      </w:r>
      <w:r>
        <w:rPr/>
        <w:t>4</w:t>
      </w:r>
      <w:r>
        <w:rPr>
          <w:spacing w:val="29"/>
        </w:rPr>
        <w:t> </w:t>
      </w:r>
      <w:r>
        <w:rPr/>
        <w:t>plays</w:t>
      </w:r>
      <w:r>
        <w:rPr>
          <w:spacing w:val="29"/>
        </w:rPr>
        <w:t> </w:t>
      </w:r>
      <w:r>
        <w:rPr/>
        <w:t>per</w:t>
      </w:r>
      <w:r>
        <w:rPr>
          <w:spacing w:val="29"/>
        </w:rPr>
        <w:t> </w:t>
      </w:r>
      <w:r>
        <w:rPr/>
        <w:t>attacking possession,</w:t>
      </w:r>
      <w:r>
        <w:rPr>
          <w:spacing w:val="-4"/>
        </w:rPr>
        <w:t> </w:t>
      </w:r>
      <w:r>
        <w:rPr/>
        <w:t>range</w:t>
      </w:r>
      <w:r>
        <w:rPr>
          <w:spacing w:val="-4"/>
        </w:rPr>
        <w:t> </w:t>
      </w:r>
      <w:r>
        <w:rPr/>
        <w:t>1-26</w:t>
      </w:r>
      <w:r>
        <w:rPr>
          <w:spacing w:val="-4"/>
        </w:rPr>
        <w:t> </w:t>
      </w:r>
      <w:r>
        <w:rPr/>
        <w:t>plays). The</w:t>
      </w:r>
      <w:r>
        <w:rPr>
          <w:spacing w:val="-4"/>
        </w:rPr>
        <w:t> </w:t>
      </w:r>
      <w:r>
        <w:rPr/>
        <w:t>time</w:t>
      </w:r>
      <w:r>
        <w:rPr>
          <w:spacing w:val="-4"/>
        </w:rPr>
        <w:t> </w:t>
      </w:r>
      <w:r>
        <w:rPr/>
        <w:t>point</w:t>
      </w:r>
      <w:r>
        <w:rPr>
          <w:spacing w:val="-4"/>
        </w:rPr>
        <w:t> </w:t>
      </w:r>
      <w:r>
        <w:rPr/>
        <w:t>of</w:t>
      </w:r>
      <w:r>
        <w:rPr>
          <w:spacing w:val="-4"/>
        </w:rPr>
        <w:t> </w:t>
      </w:r>
      <w:r>
        <w:rPr/>
        <w:t>the</w:t>
      </w:r>
      <w:r>
        <w:rPr>
          <w:spacing w:val="-4"/>
        </w:rPr>
        <w:t> </w:t>
      </w:r>
      <w:r>
        <w:rPr/>
        <w:t>play</w:t>
      </w:r>
      <w:r>
        <w:rPr>
          <w:spacing w:val="-4"/>
        </w:rPr>
        <w:t> </w:t>
      </w:r>
      <w:r>
        <w:rPr/>
        <w:t>within</w:t>
      </w:r>
      <w:r>
        <w:rPr>
          <w:spacing w:val="-4"/>
        </w:rPr>
        <w:t> </w:t>
      </w:r>
      <w:r>
        <w:rPr/>
        <w:t>the</w:t>
      </w:r>
      <w:r>
        <w:rPr>
          <w:spacing w:val="-4"/>
        </w:rPr>
        <w:t> </w:t>
      </w:r>
      <w:r>
        <w:rPr/>
        <w:t>attacking</w:t>
      </w:r>
      <w:r>
        <w:rPr>
          <w:spacing w:val="-4"/>
        </w:rPr>
        <w:t> </w:t>
      </w:r>
      <w:r>
        <w:rPr/>
        <w:t>possession sequence was also identified, starting at 1 to represent the beginning of the possession.</w:t>
      </w:r>
    </w:p>
    <w:p>
      <w:pPr>
        <w:pStyle w:val="BodyText"/>
        <w:spacing w:line="312" w:lineRule="auto"/>
        <w:ind w:left="610" w:right="401" w:firstLine="351"/>
      </w:pPr>
      <w:r>
        <w:rPr/>
        <w:t>After completing the preprocessing steps, the dataset was filtered to include only the columns required for analysis.</w:t>
      </w:r>
      <w:r>
        <w:rPr>
          <w:spacing w:val="40"/>
        </w:rPr>
        <w:t> </w:t>
      </w:r>
      <w:r>
        <w:rPr/>
        <w:t>As such, the 180 individual xml files were </w:t>
      </w:r>
      <w:r>
        <w:rPr/>
        <w:t>preprocessed into a single dataset of 59,233 rows and 7 columns.</w:t>
      </w:r>
      <w:r>
        <w:rPr>
          <w:spacing w:val="40"/>
        </w:rPr>
        <w:t> </w:t>
      </w:r>
      <w:r>
        <w:rPr/>
        <w:t>Table</w:t>
      </w:r>
      <w:hyperlink w:history="true" w:anchor="_bookmark58">
        <w:r>
          <w:rPr>
            <w:color w:val="0000FF"/>
          </w:rPr>
          <w:t>3.4</w:t>
        </w:r>
      </w:hyperlink>
      <w:r>
        <w:rPr/>
        <w:t>provides an example of</w:t>
      </w:r>
      <w:r>
        <w:rPr>
          <w:spacing w:val="40"/>
        </w:rPr>
        <w:t> </w:t>
      </w:r>
      <w:r>
        <w:rPr/>
        <w:t>two</w:t>
      </w:r>
      <w:r>
        <w:rPr>
          <w:spacing w:val="-12"/>
        </w:rPr>
        <w:t> </w:t>
      </w:r>
      <w:r>
        <w:rPr/>
        <w:t>attacking</w:t>
      </w:r>
      <w:r>
        <w:rPr>
          <w:spacing w:val="-12"/>
        </w:rPr>
        <w:t> </w:t>
      </w:r>
      <w:r>
        <w:rPr/>
        <w:t>possessions</w:t>
      </w:r>
      <w:r>
        <w:rPr>
          <w:spacing w:val="-12"/>
        </w:rPr>
        <w:t> </w:t>
      </w:r>
      <w:r>
        <w:rPr/>
        <w:t>from</w:t>
      </w:r>
      <w:r>
        <w:rPr>
          <w:spacing w:val="-12"/>
        </w:rPr>
        <w:t> </w:t>
      </w:r>
      <w:r>
        <w:rPr/>
        <w:t>the</w:t>
      </w:r>
      <w:r>
        <w:rPr>
          <w:spacing w:val="-12"/>
        </w:rPr>
        <w:t> </w:t>
      </w:r>
      <w:r>
        <w:rPr/>
        <w:t>first</w:t>
      </w:r>
      <w:r>
        <w:rPr>
          <w:spacing w:val="-12"/>
        </w:rPr>
        <w:t> </w:t>
      </w:r>
      <w:r>
        <w:rPr/>
        <w:t>match</w:t>
      </w:r>
      <w:r>
        <w:rPr>
          <w:spacing w:val="-12"/>
        </w:rPr>
        <w:t> </w:t>
      </w:r>
      <w:r>
        <w:rPr/>
        <w:t>of</w:t>
      </w:r>
      <w:r>
        <w:rPr>
          <w:spacing w:val="-12"/>
        </w:rPr>
        <w:t> </w:t>
      </w:r>
      <w:r>
        <w:rPr/>
        <w:t>the</w:t>
      </w:r>
      <w:r>
        <w:rPr>
          <w:spacing w:val="-12"/>
        </w:rPr>
        <w:t> </w:t>
      </w:r>
      <w:r>
        <w:rPr/>
        <w:t>2019</w:t>
      </w:r>
      <w:r>
        <w:rPr>
          <w:spacing w:val="-12"/>
        </w:rPr>
        <w:t> </w:t>
      </w:r>
      <w:r>
        <w:rPr/>
        <w:t>Super</w:t>
      </w:r>
      <w:r>
        <w:rPr>
          <w:spacing w:val="-12"/>
        </w:rPr>
        <w:t> </w:t>
      </w:r>
      <w:r>
        <w:rPr/>
        <w:t>League</w:t>
      </w:r>
      <w:r>
        <w:rPr>
          <w:spacing w:val="-12"/>
        </w:rPr>
        <w:t> </w:t>
      </w:r>
      <w:r>
        <w:rPr/>
        <w:t>season. It</w:t>
      </w:r>
      <w:r>
        <w:rPr>
          <w:spacing w:val="-12"/>
        </w:rPr>
        <w:t> </w:t>
      </w:r>
      <w:r>
        <w:rPr/>
        <w:t>shows Wigan</w:t>
      </w:r>
      <w:r>
        <w:rPr>
          <w:spacing w:val="-10"/>
        </w:rPr>
        <w:t> </w:t>
      </w:r>
      <w:r>
        <w:rPr/>
        <w:t>lose</w:t>
      </w:r>
      <w:r>
        <w:rPr>
          <w:spacing w:val="-11"/>
        </w:rPr>
        <w:t> </w:t>
      </w:r>
      <w:r>
        <w:rPr/>
        <w:t>the</w:t>
      </w:r>
      <w:r>
        <w:rPr>
          <w:spacing w:val="-10"/>
        </w:rPr>
        <w:t> </w:t>
      </w:r>
      <w:r>
        <w:rPr/>
        <w:t>control</w:t>
      </w:r>
      <w:r>
        <w:rPr>
          <w:spacing w:val="-10"/>
        </w:rPr>
        <w:t> </w:t>
      </w:r>
      <w:r>
        <w:rPr/>
        <w:t>of</w:t>
      </w:r>
      <w:r>
        <w:rPr>
          <w:spacing w:val="-11"/>
        </w:rPr>
        <w:t> </w:t>
      </w:r>
      <w:r>
        <w:rPr/>
        <w:t>the</w:t>
      </w:r>
      <w:r>
        <w:rPr>
          <w:spacing w:val="-10"/>
        </w:rPr>
        <w:t> </w:t>
      </w:r>
      <w:r>
        <w:rPr/>
        <w:t>ball</w:t>
      </w:r>
      <w:r>
        <w:rPr>
          <w:spacing w:val="-10"/>
        </w:rPr>
        <w:t> </w:t>
      </w:r>
      <w:r>
        <w:rPr/>
        <w:t>in</w:t>
      </w:r>
      <w:r>
        <w:rPr>
          <w:spacing w:val="-10"/>
        </w:rPr>
        <w:t> </w:t>
      </w:r>
      <w:r>
        <w:rPr/>
        <w:t>their</w:t>
      </w:r>
      <w:r>
        <w:rPr>
          <w:spacing w:val="-11"/>
        </w:rPr>
        <w:t> </w:t>
      </w:r>
      <w:r>
        <w:rPr/>
        <w:t>second</w:t>
      </w:r>
      <w:r>
        <w:rPr>
          <w:spacing w:val="-10"/>
        </w:rPr>
        <w:t> </w:t>
      </w:r>
      <w:r>
        <w:rPr/>
        <w:t>play</w:t>
      </w:r>
      <w:r>
        <w:rPr>
          <w:spacing w:val="-10"/>
        </w:rPr>
        <w:t> </w:t>
      </w:r>
      <w:r>
        <w:rPr/>
        <w:t>before</w:t>
      </w:r>
      <w:r>
        <w:rPr>
          <w:spacing w:val="-11"/>
        </w:rPr>
        <w:t> </w:t>
      </w:r>
      <w:r>
        <w:rPr/>
        <w:t>St</w:t>
      </w:r>
      <w:r>
        <w:rPr>
          <w:spacing w:val="-10"/>
        </w:rPr>
        <w:t> </w:t>
      </w:r>
      <w:r>
        <w:rPr/>
        <w:t>Helens</w:t>
      </w:r>
      <w:r>
        <w:rPr>
          <w:spacing w:val="-10"/>
        </w:rPr>
        <w:t> </w:t>
      </w:r>
      <w:r>
        <w:rPr/>
        <w:t>take</w:t>
      </w:r>
      <w:r>
        <w:rPr>
          <w:spacing w:val="-11"/>
        </w:rPr>
        <w:t> </w:t>
      </w:r>
      <w:r>
        <w:rPr/>
        <w:t>control</w:t>
      </w:r>
      <w:r>
        <w:rPr>
          <w:spacing w:val="-10"/>
        </w:rPr>
        <w:t> </w:t>
      </w:r>
      <w:r>
        <w:rPr/>
        <w:t>of</w:t>
      </w:r>
      <w:r>
        <w:rPr>
          <w:spacing w:val="-10"/>
        </w:rPr>
        <w:t> </w:t>
      </w:r>
      <w:r>
        <w:rPr/>
        <w:t>the ball, progress towards the Wigan try line and score a converted try (6 points) in the fifth play of their attacking possession.</w:t>
      </w:r>
    </w:p>
    <w:p>
      <w:pPr>
        <w:pStyle w:val="BodyText"/>
        <w:spacing w:line="312" w:lineRule="auto"/>
        <w:ind w:left="610" w:firstLine="351"/>
      </w:pPr>
      <w:r>
        <w:rPr/>
        <w:t>A</w:t>
      </w:r>
      <w:r>
        <w:rPr>
          <w:spacing w:val="27"/>
        </w:rPr>
        <w:t> </w:t>
      </w:r>
      <w:r>
        <w:rPr/>
        <w:t>workflow</w:t>
      </w:r>
      <w:r>
        <w:rPr>
          <w:spacing w:val="27"/>
        </w:rPr>
        <w:t> </w:t>
      </w:r>
      <w:r>
        <w:rPr/>
        <w:t>for</w:t>
      </w:r>
      <w:r>
        <w:rPr>
          <w:spacing w:val="27"/>
        </w:rPr>
        <w:t> </w:t>
      </w:r>
      <w:r>
        <w:rPr/>
        <w:t>the</w:t>
      </w:r>
      <w:r>
        <w:rPr>
          <w:spacing w:val="27"/>
        </w:rPr>
        <w:t> </w:t>
      </w:r>
      <w:r>
        <w:rPr/>
        <w:t>analyses</w:t>
      </w:r>
      <w:r>
        <w:rPr>
          <w:spacing w:val="27"/>
        </w:rPr>
        <w:t> </w:t>
      </w:r>
      <w:r>
        <w:rPr/>
        <w:t>completed</w:t>
      </w:r>
      <w:r>
        <w:rPr>
          <w:spacing w:val="27"/>
        </w:rPr>
        <w:t> </w:t>
      </w:r>
      <w:r>
        <w:rPr/>
        <w:t>in</w:t>
      </w:r>
      <w:r>
        <w:rPr>
          <w:spacing w:val="27"/>
        </w:rPr>
        <w:t> </w:t>
      </w:r>
      <w:r>
        <w:rPr/>
        <w:t>this</w:t>
      </w:r>
      <w:r>
        <w:rPr>
          <w:spacing w:val="27"/>
        </w:rPr>
        <w:t> </w:t>
      </w:r>
      <w:r>
        <w:rPr/>
        <w:t>study</w:t>
      </w:r>
      <w:r>
        <w:rPr>
          <w:spacing w:val="27"/>
        </w:rPr>
        <w:t> </w:t>
      </w:r>
      <w:r>
        <w:rPr/>
        <w:t>is</w:t>
      </w:r>
      <w:r>
        <w:rPr>
          <w:spacing w:val="27"/>
        </w:rPr>
        <w:t> </w:t>
      </w:r>
      <w:r>
        <w:rPr/>
        <w:t>shown</w:t>
      </w:r>
      <w:r>
        <w:rPr>
          <w:spacing w:val="27"/>
        </w:rPr>
        <w:t> </w:t>
      </w:r>
      <w:r>
        <w:rPr/>
        <w:t>in</w:t>
      </w:r>
      <w:r>
        <w:rPr>
          <w:spacing w:val="27"/>
        </w:rPr>
        <w:t> </w:t>
      </w:r>
      <w:r>
        <w:rPr/>
        <w:t>Figure</w:t>
      </w:r>
      <w:hyperlink w:history="true" w:anchor="_bookmark59">
        <w:r>
          <w:rPr>
            <w:color w:val="0000FF"/>
          </w:rPr>
          <w:t>3.3</w:t>
        </w:r>
        <w:r>
          <w:rPr/>
          <w:t>.</w:t>
        </w:r>
      </w:hyperlink>
      <w:r>
        <w:rPr>
          <w:spacing w:val="80"/>
        </w:rPr>
        <w:t> </w:t>
      </w:r>
      <w:r>
        <w:rPr/>
        <w:t>All elements of analysis are described in the following subsections.</w:t>
      </w:r>
    </w:p>
    <w:p>
      <w:pPr>
        <w:spacing w:after="0" w:line="312" w:lineRule="auto"/>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pPr>
      <w:bookmarkStart w:name="_bookmark58" w:id="110"/>
      <w:bookmarkEnd w:id="110"/>
      <w:r>
        <w:rPr/>
      </w:r>
      <w:r>
        <w:rPr>
          <w:b/>
        </w:rPr>
        <w:t>Table</w:t>
      </w:r>
      <w:r>
        <w:rPr>
          <w:b/>
          <w:spacing w:val="-15"/>
        </w:rPr>
        <w:t> </w:t>
      </w:r>
      <w:r>
        <w:rPr>
          <w:b/>
        </w:rPr>
        <w:t>3.4:</w:t>
      </w:r>
      <w:r>
        <w:rPr>
          <w:b/>
          <w:spacing w:val="-15"/>
        </w:rPr>
        <w:t> </w:t>
      </w:r>
      <w:r>
        <w:rPr/>
        <w:t>First</w:t>
      </w:r>
      <w:r>
        <w:rPr>
          <w:spacing w:val="-15"/>
        </w:rPr>
        <w:t> </w:t>
      </w:r>
      <w:r>
        <w:rPr/>
        <w:t>two</w:t>
      </w:r>
      <w:r>
        <w:rPr>
          <w:spacing w:val="-15"/>
        </w:rPr>
        <w:t> </w:t>
      </w:r>
      <w:r>
        <w:rPr/>
        <w:t>attacking</w:t>
      </w:r>
      <w:r>
        <w:rPr>
          <w:spacing w:val="-15"/>
        </w:rPr>
        <w:t> </w:t>
      </w:r>
      <w:r>
        <w:rPr/>
        <w:t>possessions</w:t>
      </w:r>
      <w:r>
        <w:rPr>
          <w:spacing w:val="-15"/>
        </w:rPr>
        <w:t> </w:t>
      </w:r>
      <w:r>
        <w:rPr/>
        <w:t>of</w:t>
      </w:r>
      <w:r>
        <w:rPr>
          <w:spacing w:val="-15"/>
        </w:rPr>
        <w:t> </w:t>
      </w:r>
      <w:r>
        <w:rPr/>
        <w:t>the</w:t>
      </w:r>
      <w:r>
        <w:rPr>
          <w:spacing w:val="-15"/>
        </w:rPr>
        <w:t> </w:t>
      </w:r>
      <w:r>
        <w:rPr/>
        <w:t>preprocessed</w:t>
      </w:r>
      <w:r>
        <w:rPr>
          <w:spacing w:val="-15"/>
        </w:rPr>
        <w:t> </w:t>
      </w:r>
      <w:r>
        <w:rPr/>
        <w:t>dataset.</w:t>
      </w:r>
      <w:r>
        <w:rPr>
          <w:spacing w:val="-15"/>
        </w:rPr>
        <w:t> </w:t>
      </w:r>
      <w:r>
        <w:rPr/>
        <w:t>FXID</w:t>
      </w:r>
      <w:r>
        <w:rPr>
          <w:spacing w:val="-15"/>
        </w:rPr>
        <w:t> </w:t>
      </w:r>
      <w:r>
        <w:rPr/>
        <w:t>is</w:t>
      </w:r>
      <w:r>
        <w:rPr>
          <w:spacing w:val="-15"/>
        </w:rPr>
        <w:t> </w:t>
      </w:r>
      <w:r>
        <w:rPr/>
        <w:t>the</w:t>
      </w:r>
      <w:r>
        <w:rPr>
          <w:spacing w:val="-15"/>
        </w:rPr>
        <w:t> </w:t>
      </w:r>
      <w:r>
        <w:rPr/>
        <w:t>fixture ID; PosNum refers to the time point of the play within the possession sequence.</w:t>
      </w:r>
    </w:p>
    <w:p>
      <w:pPr>
        <w:pStyle w:val="BodyText"/>
        <w:rPr>
          <w:sz w:val="20"/>
        </w:rPr>
      </w:pPr>
    </w:p>
    <w:p>
      <w:pPr>
        <w:pStyle w:val="BodyText"/>
        <w:rPr>
          <w:sz w:val="22"/>
        </w:rPr>
      </w:pPr>
    </w:p>
    <w:tbl>
      <w:tblPr>
        <w:tblW w:w="0" w:type="auto"/>
        <w:jc w:val="left"/>
        <w:tblInd w:w="17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56"/>
        <w:gridCol w:w="1162"/>
        <w:gridCol w:w="1275"/>
        <w:gridCol w:w="1063"/>
        <w:gridCol w:w="478"/>
        <w:gridCol w:w="478"/>
        <w:gridCol w:w="837"/>
      </w:tblGrid>
      <w:tr>
        <w:trPr>
          <w:trHeight w:val="272" w:hRule="atLeast"/>
        </w:trPr>
        <w:tc>
          <w:tcPr>
            <w:tcW w:w="956" w:type="dxa"/>
            <w:tcBorders>
              <w:top w:val="single" w:sz="4" w:space="0" w:color="000000"/>
              <w:bottom w:val="single" w:sz="4" w:space="0" w:color="000000"/>
            </w:tcBorders>
          </w:tcPr>
          <w:p>
            <w:pPr>
              <w:pStyle w:val="TableParagraph"/>
              <w:spacing w:line="253" w:lineRule="exact"/>
              <w:ind w:left="104" w:right="104"/>
              <w:rPr>
                <w:sz w:val="24"/>
              </w:rPr>
            </w:pPr>
            <w:r>
              <w:rPr>
                <w:spacing w:val="-4"/>
                <w:sz w:val="24"/>
              </w:rPr>
              <w:t>FXID</w:t>
            </w:r>
          </w:p>
        </w:tc>
        <w:tc>
          <w:tcPr>
            <w:tcW w:w="1162" w:type="dxa"/>
            <w:tcBorders>
              <w:top w:val="single" w:sz="4" w:space="0" w:color="000000"/>
              <w:bottom w:val="single" w:sz="4" w:space="0" w:color="000000"/>
            </w:tcBorders>
          </w:tcPr>
          <w:p>
            <w:pPr>
              <w:pStyle w:val="TableParagraph"/>
              <w:spacing w:line="253" w:lineRule="exact"/>
              <w:ind w:left="105" w:right="105"/>
              <w:rPr>
                <w:sz w:val="24"/>
              </w:rPr>
            </w:pPr>
            <w:r>
              <w:rPr>
                <w:spacing w:val="-4"/>
                <w:sz w:val="24"/>
              </w:rPr>
              <w:t>Team</w:t>
            </w:r>
          </w:p>
        </w:tc>
        <w:tc>
          <w:tcPr>
            <w:tcW w:w="1275" w:type="dxa"/>
            <w:tcBorders>
              <w:top w:val="single" w:sz="4" w:space="0" w:color="000000"/>
              <w:bottom w:val="single" w:sz="4" w:space="0" w:color="000000"/>
            </w:tcBorders>
          </w:tcPr>
          <w:p>
            <w:pPr>
              <w:pStyle w:val="TableParagraph"/>
              <w:spacing w:line="253" w:lineRule="exact"/>
              <w:ind w:left="107" w:right="106"/>
              <w:rPr>
                <w:sz w:val="24"/>
              </w:rPr>
            </w:pPr>
            <w:r>
              <w:rPr>
                <w:spacing w:val="-2"/>
                <w:sz w:val="24"/>
              </w:rPr>
              <w:t>Possession</w:t>
            </w:r>
          </w:p>
        </w:tc>
        <w:tc>
          <w:tcPr>
            <w:tcW w:w="1063" w:type="dxa"/>
            <w:tcBorders>
              <w:top w:val="single" w:sz="4" w:space="0" w:color="000000"/>
              <w:bottom w:val="single" w:sz="4" w:space="0" w:color="000000"/>
            </w:tcBorders>
          </w:tcPr>
          <w:p>
            <w:pPr>
              <w:pStyle w:val="TableParagraph"/>
              <w:spacing w:line="253" w:lineRule="exact"/>
              <w:ind w:left="104" w:right="103"/>
              <w:rPr>
                <w:sz w:val="24"/>
              </w:rPr>
            </w:pPr>
            <w:r>
              <w:rPr>
                <w:spacing w:val="-2"/>
                <w:sz w:val="24"/>
              </w:rPr>
              <w:t>PosNum</w:t>
            </w:r>
          </w:p>
        </w:tc>
        <w:tc>
          <w:tcPr>
            <w:tcW w:w="478" w:type="dxa"/>
            <w:tcBorders>
              <w:top w:val="single" w:sz="4" w:space="0" w:color="000000"/>
              <w:bottom w:val="single" w:sz="4" w:space="0" w:color="000000"/>
            </w:tcBorders>
          </w:tcPr>
          <w:p>
            <w:pPr>
              <w:pStyle w:val="TableParagraph"/>
              <w:spacing w:line="255" w:lineRule="exact"/>
              <w:ind w:left="1"/>
              <w:rPr>
                <w:rFonts w:ascii="Cambria"/>
                <w:sz w:val="24"/>
              </w:rPr>
            </w:pPr>
            <w:r>
              <w:rPr>
                <w:rFonts w:ascii="Cambria"/>
                <w:w w:val="114"/>
                <w:sz w:val="24"/>
              </w:rPr>
              <w:t>x</w:t>
            </w:r>
          </w:p>
        </w:tc>
        <w:tc>
          <w:tcPr>
            <w:tcW w:w="478" w:type="dxa"/>
            <w:tcBorders>
              <w:top w:val="single" w:sz="4" w:space="0" w:color="000000"/>
              <w:bottom w:val="single" w:sz="4" w:space="0" w:color="000000"/>
            </w:tcBorders>
          </w:tcPr>
          <w:p>
            <w:pPr>
              <w:pStyle w:val="TableParagraph"/>
              <w:spacing w:line="255" w:lineRule="exact"/>
              <w:ind w:right="4"/>
              <w:rPr>
                <w:rFonts w:ascii="Cambria"/>
                <w:sz w:val="24"/>
              </w:rPr>
            </w:pPr>
            <w:r>
              <w:rPr>
                <w:rFonts w:ascii="Cambria"/>
                <w:w w:val="94"/>
                <w:sz w:val="24"/>
              </w:rPr>
              <w:t>y</w:t>
            </w:r>
          </w:p>
        </w:tc>
        <w:tc>
          <w:tcPr>
            <w:tcW w:w="837" w:type="dxa"/>
            <w:tcBorders>
              <w:top w:val="single" w:sz="4" w:space="0" w:color="000000"/>
              <w:bottom w:val="single" w:sz="4" w:space="0" w:color="000000"/>
            </w:tcBorders>
          </w:tcPr>
          <w:p>
            <w:pPr>
              <w:pStyle w:val="TableParagraph"/>
              <w:spacing w:line="253" w:lineRule="exact"/>
              <w:ind w:left="105" w:right="103"/>
              <w:rPr>
                <w:sz w:val="24"/>
              </w:rPr>
            </w:pPr>
            <w:r>
              <w:rPr>
                <w:spacing w:val="-2"/>
                <w:sz w:val="24"/>
              </w:rPr>
              <w:t>Points</w:t>
            </w:r>
          </w:p>
        </w:tc>
      </w:tr>
      <w:tr>
        <w:trPr>
          <w:trHeight w:val="283" w:hRule="atLeast"/>
        </w:trPr>
        <w:tc>
          <w:tcPr>
            <w:tcW w:w="956" w:type="dxa"/>
            <w:tcBorders>
              <w:top w:val="single" w:sz="4" w:space="0" w:color="000000"/>
            </w:tcBorders>
          </w:tcPr>
          <w:p>
            <w:pPr>
              <w:pStyle w:val="TableParagraph"/>
              <w:spacing w:line="249" w:lineRule="exact"/>
              <w:ind w:left="104" w:right="104"/>
              <w:rPr>
                <w:sz w:val="24"/>
              </w:rPr>
            </w:pPr>
            <w:r>
              <w:rPr>
                <w:spacing w:val="-2"/>
                <w:sz w:val="24"/>
              </w:rPr>
              <w:t>124011</w:t>
            </w:r>
          </w:p>
        </w:tc>
        <w:tc>
          <w:tcPr>
            <w:tcW w:w="1162" w:type="dxa"/>
            <w:tcBorders>
              <w:top w:val="single" w:sz="4" w:space="0" w:color="000000"/>
            </w:tcBorders>
          </w:tcPr>
          <w:p>
            <w:pPr>
              <w:pStyle w:val="TableParagraph"/>
              <w:spacing w:line="249" w:lineRule="exact"/>
              <w:ind w:left="106" w:right="105"/>
              <w:rPr>
                <w:sz w:val="24"/>
              </w:rPr>
            </w:pPr>
            <w:r>
              <w:rPr>
                <w:spacing w:val="-4"/>
                <w:sz w:val="24"/>
              </w:rPr>
              <w:t>Wigan</w:t>
            </w:r>
          </w:p>
        </w:tc>
        <w:tc>
          <w:tcPr>
            <w:tcW w:w="1275" w:type="dxa"/>
            <w:tcBorders>
              <w:top w:val="single" w:sz="4" w:space="0" w:color="000000"/>
            </w:tcBorders>
          </w:tcPr>
          <w:p>
            <w:pPr>
              <w:pStyle w:val="TableParagraph"/>
              <w:spacing w:line="249" w:lineRule="exact"/>
              <w:ind w:left="1"/>
              <w:rPr>
                <w:sz w:val="24"/>
              </w:rPr>
            </w:pPr>
            <w:r>
              <w:rPr>
                <w:w w:val="99"/>
                <w:sz w:val="24"/>
              </w:rPr>
              <w:t>1</w:t>
            </w:r>
          </w:p>
        </w:tc>
        <w:tc>
          <w:tcPr>
            <w:tcW w:w="1063" w:type="dxa"/>
            <w:tcBorders>
              <w:top w:val="single" w:sz="4" w:space="0" w:color="000000"/>
            </w:tcBorders>
          </w:tcPr>
          <w:p>
            <w:pPr>
              <w:pStyle w:val="TableParagraph"/>
              <w:spacing w:line="249" w:lineRule="exact"/>
              <w:ind w:left="1"/>
              <w:rPr>
                <w:sz w:val="24"/>
              </w:rPr>
            </w:pPr>
            <w:r>
              <w:rPr>
                <w:w w:val="99"/>
                <w:sz w:val="24"/>
              </w:rPr>
              <w:t>1</w:t>
            </w:r>
          </w:p>
        </w:tc>
        <w:tc>
          <w:tcPr>
            <w:tcW w:w="478" w:type="dxa"/>
            <w:tcBorders>
              <w:top w:val="single" w:sz="4" w:space="0" w:color="000000"/>
            </w:tcBorders>
          </w:tcPr>
          <w:p>
            <w:pPr>
              <w:pStyle w:val="TableParagraph"/>
              <w:spacing w:line="249" w:lineRule="exact"/>
              <w:ind w:left="2"/>
              <w:rPr>
                <w:sz w:val="24"/>
              </w:rPr>
            </w:pPr>
            <w:r>
              <w:rPr>
                <w:w w:val="99"/>
                <w:sz w:val="24"/>
              </w:rPr>
              <w:t>3</w:t>
            </w:r>
          </w:p>
        </w:tc>
        <w:tc>
          <w:tcPr>
            <w:tcW w:w="478" w:type="dxa"/>
            <w:tcBorders>
              <w:top w:val="single" w:sz="4" w:space="0" w:color="000000"/>
            </w:tcBorders>
          </w:tcPr>
          <w:p>
            <w:pPr>
              <w:pStyle w:val="TableParagraph"/>
              <w:spacing w:line="249" w:lineRule="exact"/>
              <w:ind w:left="2"/>
              <w:rPr>
                <w:sz w:val="24"/>
              </w:rPr>
            </w:pPr>
            <w:r>
              <w:rPr>
                <w:w w:val="99"/>
                <w:sz w:val="24"/>
              </w:rPr>
              <w:t>6</w:t>
            </w:r>
          </w:p>
        </w:tc>
        <w:tc>
          <w:tcPr>
            <w:tcW w:w="837" w:type="dxa"/>
            <w:tcBorders>
              <w:top w:val="single" w:sz="4" w:space="0" w:color="000000"/>
            </w:tcBorders>
          </w:tcPr>
          <w:p>
            <w:pPr>
              <w:pStyle w:val="TableParagraph"/>
              <w:spacing w:line="249" w:lineRule="exact"/>
              <w:ind w:left="2"/>
              <w:rPr>
                <w:sz w:val="24"/>
              </w:rPr>
            </w:pPr>
            <w:r>
              <w:rPr>
                <w:w w:val="99"/>
                <w:sz w:val="24"/>
              </w:rPr>
              <w:t>0</w:t>
            </w:r>
          </w:p>
        </w:tc>
      </w:tr>
      <w:tr>
        <w:trPr>
          <w:trHeight w:val="288" w:hRule="atLeast"/>
        </w:trPr>
        <w:tc>
          <w:tcPr>
            <w:tcW w:w="956" w:type="dxa"/>
          </w:tcPr>
          <w:p>
            <w:pPr>
              <w:pStyle w:val="TableParagraph"/>
              <w:ind w:left="104" w:right="104"/>
              <w:rPr>
                <w:sz w:val="24"/>
              </w:rPr>
            </w:pPr>
            <w:r>
              <w:rPr>
                <w:spacing w:val="-2"/>
                <w:sz w:val="24"/>
              </w:rPr>
              <w:t>124011</w:t>
            </w:r>
          </w:p>
        </w:tc>
        <w:tc>
          <w:tcPr>
            <w:tcW w:w="1162" w:type="dxa"/>
          </w:tcPr>
          <w:p>
            <w:pPr>
              <w:pStyle w:val="TableParagraph"/>
              <w:ind w:left="106" w:right="105"/>
              <w:rPr>
                <w:sz w:val="24"/>
              </w:rPr>
            </w:pPr>
            <w:r>
              <w:rPr>
                <w:spacing w:val="-4"/>
                <w:sz w:val="24"/>
              </w:rPr>
              <w:t>Wigan</w:t>
            </w:r>
          </w:p>
        </w:tc>
        <w:tc>
          <w:tcPr>
            <w:tcW w:w="1275" w:type="dxa"/>
          </w:tcPr>
          <w:p>
            <w:pPr>
              <w:pStyle w:val="TableParagraph"/>
              <w:ind w:left="1"/>
              <w:rPr>
                <w:sz w:val="24"/>
              </w:rPr>
            </w:pPr>
            <w:r>
              <w:rPr>
                <w:w w:val="99"/>
                <w:sz w:val="24"/>
              </w:rPr>
              <w:t>1</w:t>
            </w:r>
          </w:p>
        </w:tc>
        <w:tc>
          <w:tcPr>
            <w:tcW w:w="1063" w:type="dxa"/>
          </w:tcPr>
          <w:p>
            <w:pPr>
              <w:pStyle w:val="TableParagraph"/>
              <w:ind w:left="1"/>
              <w:rPr>
                <w:sz w:val="24"/>
              </w:rPr>
            </w:pPr>
            <w:r>
              <w:rPr>
                <w:w w:val="99"/>
                <w:sz w:val="24"/>
              </w:rPr>
              <w:t>2</w:t>
            </w:r>
          </w:p>
        </w:tc>
        <w:tc>
          <w:tcPr>
            <w:tcW w:w="478" w:type="dxa"/>
          </w:tcPr>
          <w:p>
            <w:pPr>
              <w:pStyle w:val="TableParagraph"/>
              <w:ind w:left="2"/>
              <w:rPr>
                <w:sz w:val="24"/>
              </w:rPr>
            </w:pPr>
            <w:r>
              <w:rPr>
                <w:w w:val="99"/>
                <w:sz w:val="24"/>
              </w:rPr>
              <w:t>4</w:t>
            </w:r>
          </w:p>
        </w:tc>
        <w:tc>
          <w:tcPr>
            <w:tcW w:w="478" w:type="dxa"/>
          </w:tcPr>
          <w:p>
            <w:pPr>
              <w:pStyle w:val="TableParagraph"/>
              <w:ind w:left="2"/>
              <w:rPr>
                <w:sz w:val="24"/>
              </w:rPr>
            </w:pPr>
            <w:r>
              <w:rPr>
                <w:w w:val="99"/>
                <w:sz w:val="24"/>
              </w:rPr>
              <w:t>6</w:t>
            </w:r>
          </w:p>
        </w:tc>
        <w:tc>
          <w:tcPr>
            <w:tcW w:w="837" w:type="dxa"/>
          </w:tcPr>
          <w:p>
            <w:pPr>
              <w:pStyle w:val="TableParagraph"/>
              <w:ind w:left="2"/>
              <w:rPr>
                <w:sz w:val="24"/>
              </w:rPr>
            </w:pPr>
            <w:r>
              <w:rPr>
                <w:w w:val="99"/>
                <w:sz w:val="24"/>
              </w:rPr>
              <w:t>0</w:t>
            </w:r>
          </w:p>
        </w:tc>
      </w:tr>
      <w:tr>
        <w:trPr>
          <w:trHeight w:val="288" w:hRule="atLeast"/>
        </w:trPr>
        <w:tc>
          <w:tcPr>
            <w:tcW w:w="956" w:type="dxa"/>
          </w:tcPr>
          <w:p>
            <w:pPr>
              <w:pStyle w:val="TableParagraph"/>
              <w:ind w:left="104" w:right="104"/>
              <w:rPr>
                <w:sz w:val="24"/>
              </w:rPr>
            </w:pPr>
            <w:r>
              <w:rPr>
                <w:spacing w:val="-2"/>
                <w:sz w:val="24"/>
              </w:rPr>
              <w:t>124011</w:t>
            </w:r>
          </w:p>
        </w:tc>
        <w:tc>
          <w:tcPr>
            <w:tcW w:w="1162" w:type="dxa"/>
          </w:tcPr>
          <w:p>
            <w:pPr>
              <w:pStyle w:val="TableParagraph"/>
              <w:ind w:left="106" w:right="105"/>
              <w:rPr>
                <w:sz w:val="24"/>
              </w:rPr>
            </w:pPr>
            <w:r>
              <w:rPr>
                <w:sz w:val="24"/>
              </w:rPr>
              <w:t>St</w:t>
            </w:r>
            <w:r>
              <w:rPr>
                <w:spacing w:val="-5"/>
                <w:sz w:val="24"/>
              </w:rPr>
              <w:t> </w:t>
            </w:r>
            <w:r>
              <w:rPr>
                <w:spacing w:val="-2"/>
                <w:sz w:val="24"/>
              </w:rPr>
              <w:t>Helens</w:t>
            </w:r>
          </w:p>
        </w:tc>
        <w:tc>
          <w:tcPr>
            <w:tcW w:w="1275" w:type="dxa"/>
          </w:tcPr>
          <w:p>
            <w:pPr>
              <w:pStyle w:val="TableParagraph"/>
              <w:ind w:left="1"/>
              <w:rPr>
                <w:sz w:val="24"/>
              </w:rPr>
            </w:pPr>
            <w:r>
              <w:rPr>
                <w:w w:val="99"/>
                <w:sz w:val="24"/>
              </w:rPr>
              <w:t>2</w:t>
            </w:r>
          </w:p>
        </w:tc>
        <w:tc>
          <w:tcPr>
            <w:tcW w:w="1063" w:type="dxa"/>
          </w:tcPr>
          <w:p>
            <w:pPr>
              <w:pStyle w:val="TableParagraph"/>
              <w:ind w:left="1"/>
              <w:rPr>
                <w:sz w:val="24"/>
              </w:rPr>
            </w:pPr>
            <w:r>
              <w:rPr>
                <w:w w:val="99"/>
                <w:sz w:val="24"/>
              </w:rPr>
              <w:t>1</w:t>
            </w:r>
          </w:p>
        </w:tc>
        <w:tc>
          <w:tcPr>
            <w:tcW w:w="478" w:type="dxa"/>
          </w:tcPr>
          <w:p>
            <w:pPr>
              <w:pStyle w:val="TableParagraph"/>
              <w:ind w:left="104" w:right="102"/>
              <w:rPr>
                <w:sz w:val="24"/>
              </w:rPr>
            </w:pPr>
            <w:r>
              <w:rPr>
                <w:spacing w:val="-5"/>
                <w:sz w:val="24"/>
              </w:rPr>
              <w:t>10</w:t>
            </w:r>
          </w:p>
        </w:tc>
        <w:tc>
          <w:tcPr>
            <w:tcW w:w="478" w:type="dxa"/>
          </w:tcPr>
          <w:p>
            <w:pPr>
              <w:pStyle w:val="TableParagraph"/>
              <w:ind w:left="104" w:right="102"/>
              <w:rPr>
                <w:sz w:val="24"/>
              </w:rPr>
            </w:pPr>
            <w:r>
              <w:rPr>
                <w:spacing w:val="-5"/>
                <w:sz w:val="24"/>
              </w:rPr>
              <w:t>18</w:t>
            </w:r>
          </w:p>
        </w:tc>
        <w:tc>
          <w:tcPr>
            <w:tcW w:w="837" w:type="dxa"/>
          </w:tcPr>
          <w:p>
            <w:pPr>
              <w:pStyle w:val="TableParagraph"/>
              <w:ind w:left="2"/>
              <w:rPr>
                <w:sz w:val="24"/>
              </w:rPr>
            </w:pPr>
            <w:r>
              <w:rPr>
                <w:w w:val="99"/>
                <w:sz w:val="24"/>
              </w:rPr>
              <w:t>0</w:t>
            </w:r>
          </w:p>
        </w:tc>
      </w:tr>
      <w:tr>
        <w:trPr>
          <w:trHeight w:val="288" w:hRule="atLeast"/>
        </w:trPr>
        <w:tc>
          <w:tcPr>
            <w:tcW w:w="956" w:type="dxa"/>
          </w:tcPr>
          <w:p>
            <w:pPr>
              <w:pStyle w:val="TableParagraph"/>
              <w:ind w:left="104" w:right="104"/>
              <w:rPr>
                <w:sz w:val="24"/>
              </w:rPr>
            </w:pPr>
            <w:r>
              <w:rPr>
                <w:spacing w:val="-2"/>
                <w:sz w:val="24"/>
              </w:rPr>
              <w:t>124011</w:t>
            </w:r>
          </w:p>
        </w:tc>
        <w:tc>
          <w:tcPr>
            <w:tcW w:w="1162" w:type="dxa"/>
          </w:tcPr>
          <w:p>
            <w:pPr>
              <w:pStyle w:val="TableParagraph"/>
              <w:ind w:left="106" w:right="105"/>
              <w:rPr>
                <w:sz w:val="24"/>
              </w:rPr>
            </w:pPr>
            <w:r>
              <w:rPr>
                <w:sz w:val="24"/>
              </w:rPr>
              <w:t>St</w:t>
            </w:r>
            <w:r>
              <w:rPr>
                <w:spacing w:val="-5"/>
                <w:sz w:val="24"/>
              </w:rPr>
              <w:t> </w:t>
            </w:r>
            <w:r>
              <w:rPr>
                <w:spacing w:val="-2"/>
                <w:sz w:val="24"/>
              </w:rPr>
              <w:t>Helens</w:t>
            </w:r>
          </w:p>
        </w:tc>
        <w:tc>
          <w:tcPr>
            <w:tcW w:w="1275" w:type="dxa"/>
          </w:tcPr>
          <w:p>
            <w:pPr>
              <w:pStyle w:val="TableParagraph"/>
              <w:ind w:left="1"/>
              <w:rPr>
                <w:sz w:val="24"/>
              </w:rPr>
            </w:pPr>
            <w:r>
              <w:rPr>
                <w:w w:val="99"/>
                <w:sz w:val="24"/>
              </w:rPr>
              <w:t>2</w:t>
            </w:r>
          </w:p>
        </w:tc>
        <w:tc>
          <w:tcPr>
            <w:tcW w:w="1063" w:type="dxa"/>
          </w:tcPr>
          <w:p>
            <w:pPr>
              <w:pStyle w:val="TableParagraph"/>
              <w:ind w:left="1"/>
              <w:rPr>
                <w:sz w:val="24"/>
              </w:rPr>
            </w:pPr>
            <w:r>
              <w:rPr>
                <w:w w:val="99"/>
                <w:sz w:val="24"/>
              </w:rPr>
              <w:t>2</w:t>
            </w:r>
          </w:p>
        </w:tc>
        <w:tc>
          <w:tcPr>
            <w:tcW w:w="478" w:type="dxa"/>
          </w:tcPr>
          <w:p>
            <w:pPr>
              <w:pStyle w:val="TableParagraph"/>
              <w:ind w:left="2"/>
              <w:rPr>
                <w:sz w:val="24"/>
              </w:rPr>
            </w:pPr>
            <w:r>
              <w:rPr>
                <w:w w:val="99"/>
                <w:sz w:val="24"/>
              </w:rPr>
              <w:t>2</w:t>
            </w:r>
          </w:p>
        </w:tc>
        <w:tc>
          <w:tcPr>
            <w:tcW w:w="478" w:type="dxa"/>
          </w:tcPr>
          <w:p>
            <w:pPr>
              <w:pStyle w:val="TableParagraph"/>
              <w:ind w:left="104" w:right="102"/>
              <w:rPr>
                <w:sz w:val="24"/>
              </w:rPr>
            </w:pPr>
            <w:r>
              <w:rPr>
                <w:spacing w:val="-5"/>
                <w:sz w:val="24"/>
              </w:rPr>
              <w:t>20</w:t>
            </w:r>
          </w:p>
        </w:tc>
        <w:tc>
          <w:tcPr>
            <w:tcW w:w="837" w:type="dxa"/>
          </w:tcPr>
          <w:p>
            <w:pPr>
              <w:pStyle w:val="TableParagraph"/>
              <w:ind w:left="2"/>
              <w:rPr>
                <w:sz w:val="24"/>
              </w:rPr>
            </w:pPr>
            <w:r>
              <w:rPr>
                <w:w w:val="99"/>
                <w:sz w:val="24"/>
              </w:rPr>
              <w:t>0</w:t>
            </w:r>
          </w:p>
        </w:tc>
      </w:tr>
      <w:tr>
        <w:trPr>
          <w:trHeight w:val="288" w:hRule="atLeast"/>
        </w:trPr>
        <w:tc>
          <w:tcPr>
            <w:tcW w:w="956" w:type="dxa"/>
          </w:tcPr>
          <w:p>
            <w:pPr>
              <w:pStyle w:val="TableParagraph"/>
              <w:ind w:left="104" w:right="104"/>
              <w:rPr>
                <w:sz w:val="24"/>
              </w:rPr>
            </w:pPr>
            <w:r>
              <w:rPr>
                <w:spacing w:val="-2"/>
                <w:sz w:val="24"/>
              </w:rPr>
              <w:t>124011</w:t>
            </w:r>
          </w:p>
        </w:tc>
        <w:tc>
          <w:tcPr>
            <w:tcW w:w="1162" w:type="dxa"/>
          </w:tcPr>
          <w:p>
            <w:pPr>
              <w:pStyle w:val="TableParagraph"/>
              <w:ind w:left="106" w:right="105"/>
              <w:rPr>
                <w:sz w:val="24"/>
              </w:rPr>
            </w:pPr>
            <w:r>
              <w:rPr>
                <w:sz w:val="24"/>
              </w:rPr>
              <w:t>St</w:t>
            </w:r>
            <w:r>
              <w:rPr>
                <w:spacing w:val="-5"/>
                <w:sz w:val="24"/>
              </w:rPr>
              <w:t> </w:t>
            </w:r>
            <w:r>
              <w:rPr>
                <w:spacing w:val="-2"/>
                <w:sz w:val="24"/>
              </w:rPr>
              <w:t>Helens</w:t>
            </w:r>
          </w:p>
        </w:tc>
        <w:tc>
          <w:tcPr>
            <w:tcW w:w="1275" w:type="dxa"/>
          </w:tcPr>
          <w:p>
            <w:pPr>
              <w:pStyle w:val="TableParagraph"/>
              <w:ind w:left="1"/>
              <w:rPr>
                <w:sz w:val="24"/>
              </w:rPr>
            </w:pPr>
            <w:r>
              <w:rPr>
                <w:w w:val="99"/>
                <w:sz w:val="24"/>
              </w:rPr>
              <w:t>2</w:t>
            </w:r>
          </w:p>
        </w:tc>
        <w:tc>
          <w:tcPr>
            <w:tcW w:w="1063" w:type="dxa"/>
          </w:tcPr>
          <w:p>
            <w:pPr>
              <w:pStyle w:val="TableParagraph"/>
              <w:ind w:left="1"/>
              <w:rPr>
                <w:sz w:val="24"/>
              </w:rPr>
            </w:pPr>
            <w:r>
              <w:rPr>
                <w:w w:val="99"/>
                <w:sz w:val="24"/>
              </w:rPr>
              <w:t>3</w:t>
            </w:r>
          </w:p>
        </w:tc>
        <w:tc>
          <w:tcPr>
            <w:tcW w:w="478" w:type="dxa"/>
          </w:tcPr>
          <w:p>
            <w:pPr>
              <w:pStyle w:val="TableParagraph"/>
              <w:ind w:left="2"/>
              <w:rPr>
                <w:sz w:val="24"/>
              </w:rPr>
            </w:pPr>
            <w:r>
              <w:rPr>
                <w:w w:val="99"/>
                <w:sz w:val="24"/>
              </w:rPr>
              <w:t>5</w:t>
            </w:r>
          </w:p>
        </w:tc>
        <w:tc>
          <w:tcPr>
            <w:tcW w:w="478" w:type="dxa"/>
          </w:tcPr>
          <w:p>
            <w:pPr>
              <w:pStyle w:val="TableParagraph"/>
              <w:ind w:left="104" w:right="102"/>
              <w:rPr>
                <w:sz w:val="24"/>
              </w:rPr>
            </w:pPr>
            <w:r>
              <w:rPr>
                <w:spacing w:val="-5"/>
                <w:sz w:val="24"/>
              </w:rPr>
              <w:t>19</w:t>
            </w:r>
          </w:p>
        </w:tc>
        <w:tc>
          <w:tcPr>
            <w:tcW w:w="837" w:type="dxa"/>
          </w:tcPr>
          <w:p>
            <w:pPr>
              <w:pStyle w:val="TableParagraph"/>
              <w:ind w:left="2"/>
              <w:rPr>
                <w:sz w:val="24"/>
              </w:rPr>
            </w:pPr>
            <w:r>
              <w:rPr>
                <w:w w:val="99"/>
                <w:sz w:val="24"/>
              </w:rPr>
              <w:t>0</w:t>
            </w:r>
          </w:p>
        </w:tc>
      </w:tr>
      <w:tr>
        <w:trPr>
          <w:trHeight w:val="288" w:hRule="atLeast"/>
        </w:trPr>
        <w:tc>
          <w:tcPr>
            <w:tcW w:w="956" w:type="dxa"/>
          </w:tcPr>
          <w:p>
            <w:pPr>
              <w:pStyle w:val="TableParagraph"/>
              <w:ind w:left="104" w:right="104"/>
              <w:rPr>
                <w:sz w:val="24"/>
              </w:rPr>
            </w:pPr>
            <w:r>
              <w:rPr>
                <w:spacing w:val="-2"/>
                <w:sz w:val="24"/>
              </w:rPr>
              <w:t>124011</w:t>
            </w:r>
          </w:p>
        </w:tc>
        <w:tc>
          <w:tcPr>
            <w:tcW w:w="1162" w:type="dxa"/>
          </w:tcPr>
          <w:p>
            <w:pPr>
              <w:pStyle w:val="TableParagraph"/>
              <w:ind w:left="106" w:right="105"/>
              <w:rPr>
                <w:sz w:val="24"/>
              </w:rPr>
            </w:pPr>
            <w:r>
              <w:rPr>
                <w:sz w:val="24"/>
              </w:rPr>
              <w:t>St</w:t>
            </w:r>
            <w:r>
              <w:rPr>
                <w:spacing w:val="-5"/>
                <w:sz w:val="24"/>
              </w:rPr>
              <w:t> </w:t>
            </w:r>
            <w:r>
              <w:rPr>
                <w:spacing w:val="-2"/>
                <w:sz w:val="24"/>
              </w:rPr>
              <w:t>Helens</w:t>
            </w:r>
          </w:p>
        </w:tc>
        <w:tc>
          <w:tcPr>
            <w:tcW w:w="1275" w:type="dxa"/>
          </w:tcPr>
          <w:p>
            <w:pPr>
              <w:pStyle w:val="TableParagraph"/>
              <w:ind w:left="1"/>
              <w:rPr>
                <w:sz w:val="24"/>
              </w:rPr>
            </w:pPr>
            <w:r>
              <w:rPr>
                <w:w w:val="99"/>
                <w:sz w:val="24"/>
              </w:rPr>
              <w:t>2</w:t>
            </w:r>
          </w:p>
        </w:tc>
        <w:tc>
          <w:tcPr>
            <w:tcW w:w="1063" w:type="dxa"/>
          </w:tcPr>
          <w:p>
            <w:pPr>
              <w:pStyle w:val="TableParagraph"/>
              <w:ind w:left="1"/>
              <w:rPr>
                <w:sz w:val="24"/>
              </w:rPr>
            </w:pPr>
            <w:r>
              <w:rPr>
                <w:w w:val="99"/>
                <w:sz w:val="24"/>
              </w:rPr>
              <w:t>4</w:t>
            </w:r>
          </w:p>
        </w:tc>
        <w:tc>
          <w:tcPr>
            <w:tcW w:w="478" w:type="dxa"/>
          </w:tcPr>
          <w:p>
            <w:pPr>
              <w:pStyle w:val="TableParagraph"/>
              <w:ind w:left="2"/>
              <w:rPr>
                <w:sz w:val="24"/>
              </w:rPr>
            </w:pPr>
            <w:r>
              <w:rPr>
                <w:w w:val="99"/>
                <w:sz w:val="24"/>
              </w:rPr>
              <w:t>7</w:t>
            </w:r>
          </w:p>
        </w:tc>
        <w:tc>
          <w:tcPr>
            <w:tcW w:w="478" w:type="dxa"/>
          </w:tcPr>
          <w:p>
            <w:pPr>
              <w:pStyle w:val="TableParagraph"/>
              <w:ind w:left="104" w:right="102"/>
              <w:rPr>
                <w:sz w:val="24"/>
              </w:rPr>
            </w:pPr>
            <w:r>
              <w:rPr>
                <w:spacing w:val="-5"/>
                <w:sz w:val="24"/>
              </w:rPr>
              <w:t>20</w:t>
            </w:r>
          </w:p>
        </w:tc>
        <w:tc>
          <w:tcPr>
            <w:tcW w:w="837" w:type="dxa"/>
          </w:tcPr>
          <w:p>
            <w:pPr>
              <w:pStyle w:val="TableParagraph"/>
              <w:ind w:left="2"/>
              <w:rPr>
                <w:sz w:val="24"/>
              </w:rPr>
            </w:pPr>
            <w:r>
              <w:rPr>
                <w:w w:val="99"/>
                <w:sz w:val="24"/>
              </w:rPr>
              <w:t>0</w:t>
            </w:r>
          </w:p>
        </w:tc>
      </w:tr>
      <w:tr>
        <w:trPr>
          <w:trHeight w:val="306" w:hRule="atLeast"/>
        </w:trPr>
        <w:tc>
          <w:tcPr>
            <w:tcW w:w="956" w:type="dxa"/>
            <w:tcBorders>
              <w:bottom w:val="single" w:sz="4" w:space="0" w:color="000000"/>
            </w:tcBorders>
          </w:tcPr>
          <w:p>
            <w:pPr>
              <w:pStyle w:val="TableParagraph"/>
              <w:spacing w:line="273" w:lineRule="exact"/>
              <w:ind w:left="104" w:right="104"/>
              <w:rPr>
                <w:sz w:val="24"/>
              </w:rPr>
            </w:pPr>
            <w:r>
              <w:rPr>
                <w:spacing w:val="-2"/>
                <w:sz w:val="24"/>
              </w:rPr>
              <w:t>124011</w:t>
            </w:r>
          </w:p>
        </w:tc>
        <w:tc>
          <w:tcPr>
            <w:tcW w:w="1162" w:type="dxa"/>
            <w:tcBorders>
              <w:bottom w:val="single" w:sz="4" w:space="0" w:color="000000"/>
            </w:tcBorders>
          </w:tcPr>
          <w:p>
            <w:pPr>
              <w:pStyle w:val="TableParagraph"/>
              <w:spacing w:line="273" w:lineRule="exact"/>
              <w:ind w:left="106" w:right="105"/>
              <w:rPr>
                <w:sz w:val="24"/>
              </w:rPr>
            </w:pPr>
            <w:r>
              <w:rPr>
                <w:sz w:val="24"/>
              </w:rPr>
              <w:t>St</w:t>
            </w:r>
            <w:r>
              <w:rPr>
                <w:spacing w:val="-5"/>
                <w:sz w:val="24"/>
              </w:rPr>
              <w:t> </w:t>
            </w:r>
            <w:r>
              <w:rPr>
                <w:spacing w:val="-2"/>
                <w:sz w:val="24"/>
              </w:rPr>
              <w:t>Helens</w:t>
            </w:r>
          </w:p>
        </w:tc>
        <w:tc>
          <w:tcPr>
            <w:tcW w:w="1275" w:type="dxa"/>
            <w:tcBorders>
              <w:bottom w:val="single" w:sz="4" w:space="0" w:color="000000"/>
            </w:tcBorders>
          </w:tcPr>
          <w:p>
            <w:pPr>
              <w:pStyle w:val="TableParagraph"/>
              <w:spacing w:line="273" w:lineRule="exact"/>
              <w:ind w:left="1"/>
              <w:rPr>
                <w:sz w:val="24"/>
              </w:rPr>
            </w:pPr>
            <w:r>
              <w:rPr>
                <w:w w:val="99"/>
                <w:sz w:val="24"/>
              </w:rPr>
              <w:t>2</w:t>
            </w:r>
          </w:p>
        </w:tc>
        <w:tc>
          <w:tcPr>
            <w:tcW w:w="1063" w:type="dxa"/>
            <w:tcBorders>
              <w:bottom w:val="single" w:sz="4" w:space="0" w:color="000000"/>
            </w:tcBorders>
          </w:tcPr>
          <w:p>
            <w:pPr>
              <w:pStyle w:val="TableParagraph"/>
              <w:spacing w:line="273" w:lineRule="exact"/>
              <w:ind w:left="1"/>
              <w:rPr>
                <w:sz w:val="24"/>
              </w:rPr>
            </w:pPr>
            <w:r>
              <w:rPr>
                <w:w w:val="99"/>
                <w:sz w:val="24"/>
              </w:rPr>
              <w:t>5</w:t>
            </w:r>
          </w:p>
        </w:tc>
        <w:tc>
          <w:tcPr>
            <w:tcW w:w="478" w:type="dxa"/>
            <w:tcBorders>
              <w:bottom w:val="single" w:sz="4" w:space="0" w:color="000000"/>
            </w:tcBorders>
          </w:tcPr>
          <w:p>
            <w:pPr>
              <w:pStyle w:val="TableParagraph"/>
              <w:spacing w:line="273" w:lineRule="exact"/>
              <w:ind w:left="104" w:right="102"/>
              <w:rPr>
                <w:sz w:val="24"/>
              </w:rPr>
            </w:pPr>
            <w:r>
              <w:rPr>
                <w:spacing w:val="-5"/>
                <w:sz w:val="24"/>
              </w:rPr>
              <w:t>13</w:t>
            </w:r>
          </w:p>
        </w:tc>
        <w:tc>
          <w:tcPr>
            <w:tcW w:w="478" w:type="dxa"/>
            <w:tcBorders>
              <w:bottom w:val="single" w:sz="4" w:space="0" w:color="000000"/>
            </w:tcBorders>
          </w:tcPr>
          <w:p>
            <w:pPr>
              <w:pStyle w:val="TableParagraph"/>
              <w:spacing w:line="273" w:lineRule="exact"/>
              <w:ind w:left="104" w:right="102"/>
              <w:rPr>
                <w:sz w:val="24"/>
              </w:rPr>
            </w:pPr>
            <w:r>
              <w:rPr>
                <w:spacing w:val="-5"/>
                <w:sz w:val="24"/>
              </w:rPr>
              <w:t>20</w:t>
            </w:r>
          </w:p>
        </w:tc>
        <w:tc>
          <w:tcPr>
            <w:tcW w:w="837" w:type="dxa"/>
            <w:tcBorders>
              <w:bottom w:val="single" w:sz="4" w:space="0" w:color="000000"/>
            </w:tcBorders>
          </w:tcPr>
          <w:p>
            <w:pPr>
              <w:pStyle w:val="TableParagraph"/>
              <w:spacing w:line="273" w:lineRule="exact"/>
              <w:ind w:left="2"/>
              <w:rPr>
                <w:sz w:val="24"/>
              </w:rPr>
            </w:pPr>
            <w:r>
              <w:rPr>
                <w:w w:val="99"/>
                <w:sz w:val="24"/>
              </w:rPr>
              <w:t>6</w:t>
            </w:r>
          </w:p>
        </w:tc>
      </w:tr>
    </w:tbl>
    <w:p>
      <w:pPr>
        <w:pStyle w:val="BodyText"/>
        <w:rPr>
          <w:sz w:val="20"/>
        </w:rPr>
      </w:pPr>
    </w:p>
    <w:p>
      <w:pPr>
        <w:pStyle w:val="BodyText"/>
        <w:rPr>
          <w:sz w:val="20"/>
        </w:rPr>
      </w:pPr>
    </w:p>
    <w:p>
      <w:pPr>
        <w:pStyle w:val="BodyText"/>
        <w:rPr>
          <w:sz w:val="25"/>
        </w:rPr>
      </w:pPr>
      <w:r>
        <w:rPr/>
        <w:drawing>
          <wp:anchor distT="0" distB="0" distL="0" distR="0" allowOverlap="1" layoutInCell="1" locked="0" behindDoc="0" simplePos="0" relativeHeight="40">
            <wp:simplePos x="0" y="0"/>
            <wp:positionH relativeFrom="page">
              <wp:posOffset>2655035</wp:posOffset>
            </wp:positionH>
            <wp:positionV relativeFrom="paragraph">
              <wp:posOffset>198146</wp:posOffset>
            </wp:positionV>
            <wp:extent cx="2996565" cy="2986658"/>
            <wp:effectExtent l="0" t="0" r="0" b="0"/>
            <wp:wrapTopAndBottom/>
            <wp:docPr id="39" name="image20.png"/>
            <wp:cNvGraphicFramePr>
              <a:graphicFrameLocks noChangeAspect="1"/>
            </wp:cNvGraphicFramePr>
            <a:graphic>
              <a:graphicData uri="http://schemas.openxmlformats.org/drawingml/2006/picture">
                <pic:pic>
                  <pic:nvPicPr>
                    <pic:cNvPr id="40" name="image20.png"/>
                    <pic:cNvPicPr/>
                  </pic:nvPicPr>
                  <pic:blipFill>
                    <a:blip r:embed="rId63" cstate="print"/>
                    <a:stretch>
                      <a:fillRect/>
                    </a:stretch>
                  </pic:blipFill>
                  <pic:spPr>
                    <a:xfrm>
                      <a:off x="0" y="0"/>
                      <a:ext cx="2996565" cy="2986658"/>
                    </a:xfrm>
                    <a:prstGeom prst="rect">
                      <a:avLst/>
                    </a:prstGeom>
                  </pic:spPr>
                </pic:pic>
              </a:graphicData>
            </a:graphic>
          </wp:anchor>
        </w:drawing>
      </w:r>
    </w:p>
    <w:p>
      <w:pPr>
        <w:pStyle w:val="BodyText"/>
        <w:rPr>
          <w:sz w:val="20"/>
        </w:rPr>
      </w:pPr>
    </w:p>
    <w:p>
      <w:pPr>
        <w:pStyle w:val="BodyText"/>
        <w:spacing w:before="9"/>
        <w:rPr>
          <w:sz w:val="15"/>
        </w:rPr>
      </w:pPr>
    </w:p>
    <w:p>
      <w:pPr>
        <w:spacing w:before="105"/>
        <w:ind w:left="757" w:right="538" w:firstLine="0"/>
        <w:jc w:val="center"/>
        <w:rPr>
          <w:sz w:val="24"/>
        </w:rPr>
      </w:pPr>
      <w:bookmarkStart w:name="_bookmark59" w:id="111"/>
      <w:bookmarkEnd w:id="111"/>
      <w:r>
        <w:rPr/>
      </w:r>
      <w:r>
        <w:rPr>
          <w:b/>
          <w:sz w:val="24"/>
        </w:rPr>
        <w:t>Figure</w:t>
      </w:r>
      <w:r>
        <w:rPr>
          <w:b/>
          <w:spacing w:val="-8"/>
          <w:sz w:val="24"/>
        </w:rPr>
        <w:t> </w:t>
      </w:r>
      <w:r>
        <w:rPr>
          <w:b/>
          <w:sz w:val="24"/>
        </w:rPr>
        <w:t>3.3:</w:t>
      </w:r>
      <w:r>
        <w:rPr>
          <w:b/>
          <w:spacing w:val="6"/>
          <w:sz w:val="24"/>
        </w:rPr>
        <w:t> </w:t>
      </w:r>
      <w:r>
        <w:rPr>
          <w:sz w:val="24"/>
        </w:rPr>
        <w:t>Data</w:t>
      </w:r>
      <w:r>
        <w:rPr>
          <w:spacing w:val="-8"/>
          <w:sz w:val="24"/>
        </w:rPr>
        <w:t> </w:t>
      </w:r>
      <w:r>
        <w:rPr>
          <w:sz w:val="24"/>
        </w:rPr>
        <w:t>analysis</w:t>
      </w:r>
      <w:r>
        <w:rPr>
          <w:spacing w:val="-7"/>
          <w:sz w:val="24"/>
        </w:rPr>
        <w:t> </w:t>
      </w:r>
      <w:r>
        <w:rPr>
          <w:spacing w:val="-2"/>
          <w:sz w:val="24"/>
        </w:rPr>
        <w:t>workflow</w:t>
      </w:r>
    </w:p>
    <w:p>
      <w:pPr>
        <w:pStyle w:val="BodyText"/>
        <w:rPr>
          <w:sz w:val="30"/>
        </w:rPr>
      </w:pPr>
    </w:p>
    <w:p>
      <w:pPr>
        <w:pStyle w:val="BodyText"/>
        <w:spacing w:before="3"/>
        <w:rPr>
          <w:sz w:val="28"/>
        </w:rPr>
      </w:pPr>
    </w:p>
    <w:p>
      <w:pPr>
        <w:pStyle w:val="Heading3"/>
        <w:numPr>
          <w:ilvl w:val="2"/>
          <w:numId w:val="18"/>
        </w:numPr>
        <w:tabs>
          <w:tab w:pos="1471" w:val="left" w:leader="none"/>
          <w:tab w:pos="1472" w:val="left" w:leader="none"/>
        </w:tabs>
        <w:spacing w:line="240" w:lineRule="auto" w:before="0" w:after="0"/>
        <w:ind w:left="1471" w:right="0" w:hanging="862"/>
        <w:jc w:val="left"/>
      </w:pPr>
      <w:bookmarkStart w:name="_TOC_250042" w:id="112"/>
      <w:bookmarkStart w:name="3.2.3 Markov Reward Processes" w:id="113"/>
      <w:r>
        <w:rPr>
          <w:b w:val="0"/>
        </w:rPr>
      </w:r>
      <w:bookmarkStart w:name="_bookmark60" w:id="114"/>
      <w:bookmarkEnd w:id="114"/>
      <w:r>
        <w:rPr/>
        <w:t>Mar</w:t>
      </w:r>
      <w:r>
        <w:rPr/>
        <w:t>kov</w:t>
      </w:r>
      <w:r>
        <w:rPr>
          <w:spacing w:val="16"/>
        </w:rPr>
        <w:t> </w:t>
      </w:r>
      <w:r>
        <w:rPr/>
        <w:t>Reward</w:t>
      </w:r>
      <w:r>
        <w:rPr>
          <w:spacing w:val="16"/>
        </w:rPr>
        <w:t> </w:t>
      </w:r>
      <w:bookmarkEnd w:id="112"/>
      <w:r>
        <w:rPr>
          <w:spacing w:val="-2"/>
        </w:rPr>
        <w:t>Processes</w:t>
      </w:r>
    </w:p>
    <w:p>
      <w:pPr>
        <w:pStyle w:val="BodyText"/>
        <w:spacing w:line="312" w:lineRule="auto" w:before="236"/>
        <w:ind w:left="610" w:right="499"/>
        <w:jc w:val="both"/>
      </w:pPr>
      <w:r>
        <w:rPr/>
        <w:t>The aim of this study was to apply, adapt and extend the work of</w:t>
      </w:r>
      <w:r>
        <w:rPr>
          <w:color w:val="FF0000"/>
        </w:rPr>
        <w:t>K</w:t>
      </w:r>
      <w:hyperlink w:history="true" w:anchor="_bookmark263">
        <w:r>
          <w:rPr>
            <w:color w:val="FF0000"/>
          </w:rPr>
          <w:t>empton et al.</w:t>
        </w:r>
        <w:r>
          <w:rPr/>
          <w:t>(</w:t>
        </w:r>
      </w:hyperlink>
      <w:hyperlink w:history="true" w:anchor="_bookmark263">
        <w:r>
          <w:rPr>
            <w:color w:val="FF0000"/>
          </w:rPr>
          <w:t>2016</w:t>
        </w:r>
        <w:r>
          <w:rPr/>
          <w:t>)</w:t>
        </w:r>
      </w:hyperlink>
      <w:r>
        <w:rPr/>
        <w:t> in</w:t>
      </w:r>
      <w:r>
        <w:rPr>
          <w:spacing w:val="-10"/>
        </w:rPr>
        <w:t> </w:t>
      </w:r>
      <w:r>
        <w:rPr/>
        <w:t>rugby</w:t>
      </w:r>
      <w:r>
        <w:rPr>
          <w:spacing w:val="-10"/>
        </w:rPr>
        <w:t> </w:t>
      </w:r>
      <w:r>
        <w:rPr/>
        <w:t>league</w:t>
      </w:r>
      <w:r>
        <w:rPr>
          <w:spacing w:val="-11"/>
        </w:rPr>
        <w:t> </w:t>
      </w:r>
      <w:r>
        <w:rPr/>
        <w:t>and</w:t>
      </w:r>
      <w:hyperlink w:history="true" w:anchor="_bookmark294">
        <w:r>
          <w:rPr>
            <w:color w:val="FF0000"/>
          </w:rPr>
          <w:t>Singh</w:t>
        </w:r>
        <w:r>
          <w:rPr/>
          <w:t>(</w:t>
        </w:r>
      </w:hyperlink>
      <w:r>
        <w:rPr>
          <w:color w:val="FF0000"/>
        </w:rPr>
        <w:t>n.d.</w:t>
      </w:r>
      <w:hyperlink w:history="true" w:anchor="_bookmark294">
        <w:r>
          <w:rPr/>
          <w:t>)</w:t>
        </w:r>
      </w:hyperlink>
      <w:r>
        <w:rPr/>
        <w:t> in</w:t>
      </w:r>
      <w:r>
        <w:rPr>
          <w:spacing w:val="-10"/>
        </w:rPr>
        <w:t> </w:t>
      </w:r>
      <w:r>
        <w:rPr/>
        <w:t>football</w:t>
      </w:r>
      <w:r>
        <w:rPr>
          <w:spacing w:val="-10"/>
        </w:rPr>
        <w:t> </w:t>
      </w:r>
      <w:r>
        <w:rPr/>
        <w:t>by</w:t>
      </w:r>
      <w:r>
        <w:rPr>
          <w:spacing w:val="-10"/>
        </w:rPr>
        <w:t> </w:t>
      </w:r>
      <w:r>
        <w:rPr/>
        <w:t>producing</w:t>
      </w:r>
      <w:r>
        <w:rPr>
          <w:spacing w:val="-10"/>
        </w:rPr>
        <w:t> </w:t>
      </w:r>
      <w:r>
        <w:rPr/>
        <w:t>an</w:t>
      </w:r>
      <w:r>
        <w:rPr>
          <w:spacing w:val="-11"/>
        </w:rPr>
        <w:t> </w:t>
      </w:r>
      <w:r>
        <w:rPr/>
        <w:t>EPV</w:t>
      </w:r>
      <w:r>
        <w:rPr>
          <w:spacing w:val="-10"/>
        </w:rPr>
        <w:t> </w:t>
      </w:r>
      <w:r>
        <w:rPr/>
        <w:t>model</w:t>
      </w:r>
      <w:r>
        <w:rPr>
          <w:spacing w:val="-10"/>
        </w:rPr>
        <w:t> </w:t>
      </w:r>
      <w:r>
        <w:rPr/>
        <w:t>with</w:t>
      </w:r>
      <w:r>
        <w:rPr>
          <w:spacing w:val="-10"/>
        </w:rPr>
        <w:t> </w:t>
      </w:r>
      <w:r>
        <w:rPr/>
        <w:t>empirically evaluated zone sizes.</w:t>
      </w:r>
      <w:r>
        <w:rPr>
          <w:spacing w:val="40"/>
        </w:rPr>
        <w:t> </w:t>
      </w:r>
      <w:r>
        <w:rPr/>
        <w:t>As with previous literature (</w:t>
      </w:r>
      <w:hyperlink w:history="true" w:anchor="_bookmark263">
        <w:r>
          <w:rPr>
            <w:color w:val="FF0000"/>
          </w:rPr>
          <w:t>Kempton et al.</w:t>
        </w:r>
      </w:hyperlink>
      <w:r>
        <w:rPr/>
        <w:t>,</w:t>
      </w:r>
      <w:hyperlink w:history="true" w:anchor="_bookmark263">
        <w:r>
          <w:rPr>
            <w:color w:val="FF0000"/>
          </w:rPr>
          <w:t>2016</w:t>
        </w:r>
        <w:r>
          <w:rPr/>
          <w:t>;</w:t>
        </w:r>
      </w:hyperlink>
      <w:hyperlink w:history="true" w:anchor="_bookmark294">
        <w:r>
          <w:rPr>
            <w:color w:val="FF0000"/>
          </w:rPr>
          <w:t>Singh</w:t>
        </w:r>
        <w:r>
          <w:rPr/>
          <w:t>,</w:t>
        </w:r>
      </w:hyperlink>
      <w:r>
        <w:rPr>
          <w:color w:val="FF0000"/>
        </w:rPr>
        <w:t>n.d.</w:t>
      </w:r>
      <w:hyperlink w:history="true" w:anchor="_bookmark294">
        <w:r>
          <w:rPr/>
          <w:t>),</w:t>
        </w:r>
      </w:hyperlink>
      <w:r>
        <w:rPr/>
        <w:t> a</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401"/>
      </w:pPr>
      <w:r>
        <w:rPr/>
        <w:t>Markovian</w:t>
      </w:r>
      <w:r>
        <w:rPr>
          <w:spacing w:val="-6"/>
        </w:rPr>
        <w:t> </w:t>
      </w:r>
      <w:r>
        <w:rPr/>
        <w:t>approach</w:t>
      </w:r>
      <w:r>
        <w:rPr>
          <w:spacing w:val="-6"/>
        </w:rPr>
        <w:t> </w:t>
      </w:r>
      <w:r>
        <w:rPr/>
        <w:t>was</w:t>
      </w:r>
      <w:r>
        <w:rPr>
          <w:spacing w:val="-6"/>
        </w:rPr>
        <w:t> </w:t>
      </w:r>
      <w:r>
        <w:rPr/>
        <w:t>employed. A</w:t>
      </w:r>
      <w:r>
        <w:rPr>
          <w:spacing w:val="-6"/>
        </w:rPr>
        <w:t> </w:t>
      </w:r>
      <w:r>
        <w:rPr/>
        <w:t>Markov</w:t>
      </w:r>
      <w:r>
        <w:rPr>
          <w:spacing w:val="-6"/>
        </w:rPr>
        <w:t> </w:t>
      </w:r>
      <w:r>
        <w:rPr/>
        <w:t>Chain</w:t>
      </w:r>
      <w:r>
        <w:rPr>
          <w:spacing w:val="-6"/>
        </w:rPr>
        <w:t> </w:t>
      </w:r>
      <w:r>
        <w:rPr/>
        <w:t>is</w:t>
      </w:r>
      <w:r>
        <w:rPr>
          <w:spacing w:val="-6"/>
        </w:rPr>
        <w:t> </w:t>
      </w:r>
      <w:r>
        <w:rPr/>
        <w:t>a</w:t>
      </w:r>
      <w:r>
        <w:rPr>
          <w:spacing w:val="-6"/>
        </w:rPr>
        <w:t> </w:t>
      </w:r>
      <w:r>
        <w:rPr/>
        <w:t>stochastic</w:t>
      </w:r>
      <w:r>
        <w:rPr>
          <w:spacing w:val="-6"/>
        </w:rPr>
        <w:t> </w:t>
      </w:r>
      <w:r>
        <w:rPr/>
        <w:t>model,</w:t>
      </w:r>
      <w:r>
        <w:rPr>
          <w:spacing w:val="-6"/>
        </w:rPr>
        <w:t> </w:t>
      </w:r>
      <w:r>
        <w:rPr/>
        <w:t>describing</w:t>
      </w:r>
      <w:r>
        <w:rPr>
          <w:spacing w:val="-6"/>
        </w:rPr>
        <w:t> </w:t>
      </w:r>
      <w:r>
        <w:rPr/>
        <w:t>a sequence of possible events, in which the probability of each event depends only on </w:t>
      </w:r>
      <w:r>
        <w:rPr/>
        <w:t>the state attained in the previous event (</w:t>
      </w:r>
      <w:hyperlink w:history="true" w:anchor="_bookmark256">
        <w:r>
          <w:rPr>
            <w:color w:val="FF0000"/>
          </w:rPr>
          <w:t>Howard</w:t>
        </w:r>
      </w:hyperlink>
      <w:r>
        <w:rPr/>
        <w:t>,</w:t>
      </w:r>
      <w:hyperlink w:history="true" w:anchor="_bookmark256">
        <w:r>
          <w:rPr>
            <w:color w:val="FF0000"/>
          </w:rPr>
          <w:t>1971</w:t>
        </w:r>
      </w:hyperlink>
      <w:r>
        <w:rPr/>
        <w:t>).</w:t>
      </w:r>
      <w:r>
        <w:rPr>
          <w:spacing w:val="40"/>
        </w:rPr>
        <w:t> </w:t>
      </w:r>
      <w:r>
        <w:rPr/>
        <w:t>A Markov Reward Process (MRP) is</w:t>
      </w:r>
      <w:r>
        <w:rPr>
          <w:spacing w:val="-3"/>
        </w:rPr>
        <w:t> </w:t>
      </w:r>
      <w:r>
        <w:rPr/>
        <w:t>stochastic</w:t>
      </w:r>
      <w:r>
        <w:rPr>
          <w:spacing w:val="-3"/>
        </w:rPr>
        <w:t> </w:t>
      </w:r>
      <w:r>
        <w:rPr/>
        <w:t>process,</w:t>
      </w:r>
      <w:r>
        <w:rPr>
          <w:spacing w:val="-2"/>
        </w:rPr>
        <w:t> </w:t>
      </w:r>
      <w:r>
        <w:rPr/>
        <w:t>which</w:t>
      </w:r>
      <w:r>
        <w:rPr>
          <w:spacing w:val="-3"/>
        </w:rPr>
        <w:t> </w:t>
      </w:r>
      <w:r>
        <w:rPr/>
        <w:t>extends</w:t>
      </w:r>
      <w:r>
        <w:rPr>
          <w:spacing w:val="-3"/>
        </w:rPr>
        <w:t> </w:t>
      </w:r>
      <w:r>
        <w:rPr/>
        <w:t>a</w:t>
      </w:r>
      <w:r>
        <w:rPr>
          <w:spacing w:val="-3"/>
        </w:rPr>
        <w:t> </w:t>
      </w:r>
      <w:r>
        <w:rPr/>
        <w:t>Markov</w:t>
      </w:r>
      <w:r>
        <w:rPr>
          <w:spacing w:val="-3"/>
        </w:rPr>
        <w:t> </w:t>
      </w:r>
      <w:r>
        <w:rPr/>
        <w:t>Chain</w:t>
      </w:r>
      <w:r>
        <w:rPr>
          <w:spacing w:val="-3"/>
        </w:rPr>
        <w:t> </w:t>
      </w:r>
      <w:r>
        <w:rPr/>
        <w:t>by</w:t>
      </w:r>
      <w:r>
        <w:rPr>
          <w:spacing w:val="-2"/>
        </w:rPr>
        <w:t> </w:t>
      </w:r>
      <w:r>
        <w:rPr/>
        <w:t>adding</w:t>
      </w:r>
      <w:r>
        <w:rPr>
          <w:spacing w:val="-3"/>
        </w:rPr>
        <w:t> </w:t>
      </w:r>
      <w:r>
        <w:rPr/>
        <w:t>a</w:t>
      </w:r>
      <w:r>
        <w:rPr>
          <w:spacing w:val="-3"/>
        </w:rPr>
        <w:t> </w:t>
      </w:r>
      <w:r>
        <w:rPr/>
        <w:t>reward</w:t>
      </w:r>
      <w:r>
        <w:rPr>
          <w:spacing w:val="-3"/>
        </w:rPr>
        <w:t> </w:t>
      </w:r>
      <w:r>
        <w:rPr/>
        <w:t>to</w:t>
      </w:r>
      <w:r>
        <w:rPr>
          <w:spacing w:val="-3"/>
        </w:rPr>
        <w:t> </w:t>
      </w:r>
      <w:r>
        <w:rPr/>
        <w:t>each</w:t>
      </w:r>
      <w:r>
        <w:rPr>
          <w:spacing w:val="-3"/>
        </w:rPr>
        <w:t> </w:t>
      </w:r>
      <w:r>
        <w:rPr/>
        <w:t>state. It can be defined as follows:</w:t>
      </w:r>
    </w:p>
    <w:p>
      <w:pPr>
        <w:spacing w:before="194"/>
        <w:ind w:left="610" w:right="0" w:firstLine="0"/>
        <w:jc w:val="left"/>
        <w:rPr>
          <w:sz w:val="24"/>
        </w:rPr>
      </w:pPr>
      <w:r>
        <w:rPr>
          <w:b/>
          <w:sz w:val="24"/>
        </w:rPr>
        <w:t>Definition</w:t>
      </w:r>
      <w:r>
        <w:rPr>
          <w:b/>
          <w:spacing w:val="5"/>
          <w:sz w:val="24"/>
        </w:rPr>
        <w:t> </w:t>
      </w:r>
      <w:r>
        <w:rPr>
          <w:b/>
          <w:sz w:val="24"/>
        </w:rPr>
        <w:t>3.2.1.</w:t>
      </w:r>
      <w:r>
        <w:rPr>
          <w:b/>
          <w:spacing w:val="50"/>
          <w:sz w:val="24"/>
        </w:rPr>
        <w:t> </w:t>
      </w:r>
      <w:r>
        <w:rPr>
          <w:sz w:val="24"/>
        </w:rPr>
        <w:t>A</w:t>
      </w:r>
      <w:r>
        <w:rPr>
          <w:spacing w:val="6"/>
          <w:sz w:val="24"/>
        </w:rPr>
        <w:t> </w:t>
      </w:r>
      <w:r>
        <w:rPr>
          <w:i/>
          <w:sz w:val="24"/>
        </w:rPr>
        <w:t>Markov</w:t>
      </w:r>
      <w:r>
        <w:rPr>
          <w:i/>
          <w:spacing w:val="6"/>
          <w:sz w:val="24"/>
        </w:rPr>
        <w:t> </w:t>
      </w:r>
      <w:r>
        <w:rPr>
          <w:i/>
          <w:sz w:val="24"/>
        </w:rPr>
        <w:t>Reward</w:t>
      </w:r>
      <w:r>
        <w:rPr>
          <w:i/>
          <w:spacing w:val="6"/>
          <w:sz w:val="24"/>
        </w:rPr>
        <w:t> </w:t>
      </w:r>
      <w:r>
        <w:rPr>
          <w:i/>
          <w:sz w:val="24"/>
        </w:rPr>
        <w:t>Process</w:t>
      </w:r>
      <w:r>
        <w:rPr>
          <w:i/>
          <w:spacing w:val="5"/>
          <w:sz w:val="24"/>
        </w:rPr>
        <w:t> </w:t>
      </w:r>
      <w:r>
        <w:rPr>
          <w:sz w:val="24"/>
        </w:rPr>
        <w:t>is</w:t>
      </w:r>
      <w:r>
        <w:rPr>
          <w:spacing w:val="6"/>
          <w:sz w:val="24"/>
        </w:rPr>
        <w:t> </w:t>
      </w:r>
      <w:r>
        <w:rPr>
          <w:sz w:val="24"/>
        </w:rPr>
        <w:t>a</w:t>
      </w:r>
      <w:r>
        <w:rPr>
          <w:spacing w:val="6"/>
          <w:sz w:val="24"/>
        </w:rPr>
        <w:t> </w:t>
      </w:r>
      <w:r>
        <w:rPr>
          <w:sz w:val="24"/>
        </w:rPr>
        <w:t>tuple</w:t>
      </w:r>
      <w:r>
        <w:rPr>
          <w:spacing w:val="5"/>
          <w:sz w:val="24"/>
        </w:rPr>
        <w:t> </w:t>
      </w:r>
      <w:r>
        <w:rPr>
          <w:rFonts w:ascii="Garamond" w:hAnsi="Garamond"/>
          <w:sz w:val="24"/>
        </w:rPr>
        <w:t>(</w:t>
      </w:r>
      <w:r>
        <w:rPr>
          <w:rFonts w:ascii="Cambria" w:hAnsi="Cambria"/>
          <w:sz w:val="24"/>
        </w:rPr>
        <w:t>S,</w:t>
      </w:r>
      <w:r>
        <w:rPr>
          <w:rFonts w:ascii="Cambria" w:hAnsi="Cambria"/>
          <w:spacing w:val="-8"/>
          <w:sz w:val="24"/>
        </w:rPr>
        <w:t> </w:t>
      </w:r>
      <w:r>
        <w:rPr>
          <w:rFonts w:ascii="Cambria" w:hAnsi="Cambria"/>
          <w:sz w:val="24"/>
        </w:rPr>
        <w:t>P,</w:t>
      </w:r>
      <w:r>
        <w:rPr>
          <w:rFonts w:ascii="Cambria" w:hAnsi="Cambria"/>
          <w:spacing w:val="-8"/>
          <w:sz w:val="24"/>
        </w:rPr>
        <w:t> </w:t>
      </w:r>
      <w:r>
        <w:rPr>
          <w:rFonts w:ascii="Cambria" w:hAnsi="Cambria"/>
          <w:sz w:val="24"/>
        </w:rPr>
        <w:t>R,</w:t>
      </w:r>
      <w:r>
        <w:rPr>
          <w:rFonts w:ascii="Cambria" w:hAnsi="Cambria"/>
          <w:spacing w:val="-9"/>
          <w:sz w:val="24"/>
        </w:rPr>
        <w:t> </w:t>
      </w:r>
      <w:r>
        <w:rPr>
          <w:rFonts w:ascii="Cambria" w:hAnsi="Cambria"/>
          <w:sz w:val="24"/>
        </w:rPr>
        <w:t>γ</w:t>
      </w:r>
      <w:r>
        <w:rPr>
          <w:rFonts w:ascii="Garamond" w:hAnsi="Garamond"/>
          <w:sz w:val="24"/>
        </w:rPr>
        <w:t>)</w:t>
      </w:r>
      <w:r>
        <w:rPr>
          <w:rFonts w:ascii="Garamond" w:hAnsi="Garamond"/>
          <w:spacing w:val="6"/>
          <w:sz w:val="24"/>
        </w:rPr>
        <w:t> </w:t>
      </w:r>
      <w:r>
        <w:rPr>
          <w:spacing w:val="-2"/>
          <w:sz w:val="24"/>
        </w:rPr>
        <w:t>where:</w:t>
      </w:r>
    </w:p>
    <w:p>
      <w:pPr>
        <w:pStyle w:val="ListParagraph"/>
        <w:numPr>
          <w:ilvl w:val="0"/>
          <w:numId w:val="19"/>
        </w:numPr>
        <w:tabs>
          <w:tab w:pos="1196" w:val="left" w:leader="none"/>
        </w:tabs>
        <w:spacing w:line="240" w:lineRule="auto" w:before="267" w:after="0"/>
        <w:ind w:left="1195" w:right="0" w:hanging="202"/>
        <w:jc w:val="left"/>
        <w:rPr>
          <w:sz w:val="24"/>
        </w:rPr>
      </w:pPr>
      <w:r>
        <w:rPr>
          <w:rFonts w:ascii="Cambria" w:hAnsi="Cambria"/>
          <w:sz w:val="24"/>
        </w:rPr>
        <w:t>S</w:t>
      </w:r>
      <w:r>
        <w:rPr>
          <w:rFonts w:ascii="Cambria" w:hAnsi="Cambria"/>
          <w:spacing w:val="20"/>
          <w:sz w:val="24"/>
        </w:rPr>
        <w:t> </w:t>
      </w:r>
      <w:r>
        <w:rPr>
          <w:sz w:val="24"/>
        </w:rPr>
        <w:t>is</w:t>
      </w:r>
      <w:r>
        <w:rPr>
          <w:spacing w:val="-1"/>
          <w:sz w:val="24"/>
        </w:rPr>
        <w:t> </w:t>
      </w:r>
      <w:r>
        <w:rPr>
          <w:sz w:val="24"/>
        </w:rPr>
        <w:t>a</w:t>
      </w:r>
      <w:r>
        <w:rPr>
          <w:spacing w:val="-1"/>
          <w:sz w:val="24"/>
        </w:rPr>
        <w:t> </w:t>
      </w:r>
      <w:r>
        <w:rPr>
          <w:sz w:val="24"/>
        </w:rPr>
        <w:t>finite</w:t>
      </w:r>
      <w:r>
        <w:rPr>
          <w:spacing w:val="-1"/>
          <w:sz w:val="24"/>
        </w:rPr>
        <w:t> </w:t>
      </w:r>
      <w:r>
        <w:rPr>
          <w:sz w:val="24"/>
        </w:rPr>
        <w:t>set of</w:t>
      </w:r>
      <w:r>
        <w:rPr>
          <w:spacing w:val="-1"/>
          <w:sz w:val="24"/>
        </w:rPr>
        <w:t> </w:t>
      </w:r>
      <w:r>
        <w:rPr>
          <w:spacing w:val="-2"/>
          <w:sz w:val="24"/>
        </w:rPr>
        <w:t>states</w:t>
      </w:r>
    </w:p>
    <w:p>
      <w:pPr>
        <w:pStyle w:val="BodyText"/>
      </w:pPr>
    </w:p>
    <w:p>
      <w:pPr>
        <w:pStyle w:val="ListParagraph"/>
        <w:numPr>
          <w:ilvl w:val="0"/>
          <w:numId w:val="19"/>
        </w:numPr>
        <w:tabs>
          <w:tab w:pos="1196" w:val="left" w:leader="none"/>
        </w:tabs>
        <w:spacing w:line="240" w:lineRule="auto" w:before="0" w:after="0"/>
        <w:ind w:left="1195" w:right="0" w:hanging="202"/>
        <w:jc w:val="left"/>
        <w:rPr>
          <w:sz w:val="24"/>
        </w:rPr>
      </w:pPr>
      <w:r>
        <w:rPr>
          <w:rFonts w:ascii="Cambria" w:hAnsi="Cambria"/>
          <w:sz w:val="24"/>
        </w:rPr>
        <w:t>P</w:t>
      </w:r>
      <w:r>
        <w:rPr>
          <w:rFonts w:ascii="Cambria" w:hAnsi="Cambria"/>
          <w:spacing w:val="35"/>
          <w:sz w:val="24"/>
        </w:rPr>
        <w:t> </w:t>
      </w:r>
      <w:r>
        <w:rPr>
          <w:sz w:val="24"/>
        </w:rPr>
        <w:t>is</w:t>
      </w:r>
      <w:r>
        <w:rPr>
          <w:spacing w:val="-2"/>
          <w:sz w:val="24"/>
        </w:rPr>
        <w:t> </w:t>
      </w:r>
      <w:r>
        <w:rPr>
          <w:sz w:val="24"/>
        </w:rPr>
        <w:t>a</w:t>
      </w:r>
      <w:r>
        <w:rPr>
          <w:spacing w:val="-3"/>
          <w:sz w:val="24"/>
        </w:rPr>
        <w:t> </w:t>
      </w:r>
      <w:r>
        <w:rPr>
          <w:sz w:val="24"/>
        </w:rPr>
        <w:t>transition</w:t>
      </w:r>
      <w:r>
        <w:rPr>
          <w:spacing w:val="-3"/>
          <w:sz w:val="24"/>
        </w:rPr>
        <w:t> </w:t>
      </w:r>
      <w:r>
        <w:rPr>
          <w:sz w:val="24"/>
        </w:rPr>
        <w:t>probability</w:t>
      </w:r>
      <w:r>
        <w:rPr>
          <w:spacing w:val="-2"/>
          <w:sz w:val="24"/>
        </w:rPr>
        <w:t> matrix</w:t>
      </w:r>
    </w:p>
    <w:p>
      <w:pPr>
        <w:pStyle w:val="BodyText"/>
        <w:spacing w:before="1"/>
      </w:pPr>
    </w:p>
    <w:p>
      <w:pPr>
        <w:pStyle w:val="ListParagraph"/>
        <w:numPr>
          <w:ilvl w:val="0"/>
          <w:numId w:val="19"/>
        </w:numPr>
        <w:tabs>
          <w:tab w:pos="1196" w:val="left" w:leader="none"/>
        </w:tabs>
        <w:spacing w:line="240" w:lineRule="auto" w:before="0" w:after="0"/>
        <w:ind w:left="1195" w:right="0" w:hanging="202"/>
        <w:jc w:val="left"/>
        <w:rPr>
          <w:sz w:val="24"/>
        </w:rPr>
      </w:pPr>
      <w:r>
        <w:rPr>
          <w:rFonts w:ascii="Cambria" w:hAnsi="Cambria"/>
          <w:sz w:val="24"/>
        </w:rPr>
        <w:t>R</w:t>
      </w:r>
      <w:r>
        <w:rPr>
          <w:rFonts w:ascii="Cambria" w:hAnsi="Cambria"/>
          <w:spacing w:val="8"/>
          <w:sz w:val="24"/>
        </w:rPr>
        <w:t> </w:t>
      </w:r>
      <w:r>
        <w:rPr>
          <w:sz w:val="24"/>
        </w:rPr>
        <w:t>is</w:t>
      </w:r>
      <w:r>
        <w:rPr>
          <w:spacing w:val="2"/>
          <w:sz w:val="24"/>
        </w:rPr>
        <w:t> </w:t>
      </w:r>
      <w:r>
        <w:rPr>
          <w:sz w:val="24"/>
        </w:rPr>
        <w:t>a</w:t>
      </w:r>
      <w:r>
        <w:rPr>
          <w:spacing w:val="1"/>
          <w:sz w:val="24"/>
        </w:rPr>
        <w:t> </w:t>
      </w:r>
      <w:r>
        <w:rPr>
          <w:sz w:val="24"/>
        </w:rPr>
        <w:t>reward</w:t>
      </w:r>
      <w:r>
        <w:rPr>
          <w:spacing w:val="2"/>
          <w:sz w:val="24"/>
        </w:rPr>
        <w:t> </w:t>
      </w:r>
      <w:r>
        <w:rPr>
          <w:spacing w:val="-2"/>
          <w:sz w:val="24"/>
        </w:rPr>
        <w:t>function</w:t>
      </w:r>
    </w:p>
    <w:p>
      <w:pPr>
        <w:pStyle w:val="ListParagraph"/>
        <w:numPr>
          <w:ilvl w:val="0"/>
          <w:numId w:val="19"/>
        </w:numPr>
        <w:tabs>
          <w:tab w:pos="1196" w:val="left" w:leader="none"/>
        </w:tabs>
        <w:spacing w:line="240" w:lineRule="auto" w:before="241" w:after="0"/>
        <w:ind w:left="1195" w:right="0" w:hanging="202"/>
        <w:jc w:val="left"/>
        <w:rPr>
          <w:sz w:val="24"/>
        </w:rPr>
      </w:pPr>
      <w:r>
        <w:rPr>
          <w:rFonts w:ascii="Cambria" w:hAnsi="Cambria"/>
          <w:sz w:val="24"/>
        </w:rPr>
        <w:t>γ</w:t>
      </w:r>
      <w:r>
        <w:rPr>
          <w:rFonts w:ascii="Cambria" w:hAnsi="Cambria"/>
          <w:spacing w:val="11"/>
          <w:sz w:val="24"/>
        </w:rPr>
        <w:t> </w:t>
      </w:r>
      <w:r>
        <w:rPr>
          <w:sz w:val="24"/>
        </w:rPr>
        <w:t>is</w:t>
      </w:r>
      <w:r>
        <w:rPr>
          <w:spacing w:val="-5"/>
          <w:sz w:val="24"/>
        </w:rPr>
        <w:t> </w:t>
      </w:r>
      <w:r>
        <w:rPr>
          <w:sz w:val="24"/>
        </w:rPr>
        <w:t>a</w:t>
      </w:r>
      <w:r>
        <w:rPr>
          <w:spacing w:val="-6"/>
          <w:sz w:val="24"/>
        </w:rPr>
        <w:t> </w:t>
      </w:r>
      <w:r>
        <w:rPr>
          <w:sz w:val="24"/>
        </w:rPr>
        <w:t>discount</w:t>
      </w:r>
      <w:r>
        <w:rPr>
          <w:spacing w:val="-5"/>
          <w:sz w:val="24"/>
        </w:rPr>
        <w:t> </w:t>
      </w:r>
      <w:r>
        <w:rPr>
          <w:sz w:val="24"/>
        </w:rPr>
        <w:t>factor</w:t>
      </w:r>
      <w:r>
        <w:rPr>
          <w:spacing w:val="-6"/>
          <w:sz w:val="24"/>
        </w:rPr>
        <w:t> </w:t>
      </w:r>
      <w:r>
        <w:rPr>
          <w:sz w:val="24"/>
        </w:rPr>
        <w:t>(</w:t>
      </w:r>
      <w:r>
        <w:rPr>
          <w:rFonts w:ascii="Cambria" w:hAnsi="Cambria"/>
          <w:sz w:val="24"/>
        </w:rPr>
        <w:t>γ</w:t>
      </w:r>
      <w:r>
        <w:rPr>
          <w:rFonts w:ascii="Cambria" w:hAnsi="Cambria"/>
          <w:spacing w:val="19"/>
          <w:sz w:val="24"/>
        </w:rPr>
        <w:t> </w:t>
      </w:r>
      <w:r>
        <w:rPr>
          <w:rFonts w:ascii="Lucida Sans Unicode" w:hAnsi="Lucida Sans Unicode"/>
          <w:sz w:val="24"/>
        </w:rPr>
        <w:t>∈</w:t>
      </w:r>
      <w:r>
        <w:rPr>
          <w:rFonts w:ascii="Lucida Sans Unicode" w:hAnsi="Lucida Sans Unicode"/>
          <w:spacing w:val="-15"/>
          <w:sz w:val="24"/>
        </w:rPr>
        <w:t> </w:t>
      </w:r>
      <w:r>
        <w:rPr>
          <w:rFonts w:ascii="Garamond" w:hAnsi="Garamond"/>
          <w:sz w:val="24"/>
        </w:rPr>
        <w:t>[0</w:t>
      </w:r>
      <w:r>
        <w:rPr>
          <w:rFonts w:ascii="Cambria" w:hAnsi="Cambria"/>
          <w:sz w:val="24"/>
        </w:rPr>
        <w:t>,</w:t>
      </w:r>
      <w:r>
        <w:rPr>
          <w:rFonts w:ascii="Cambria" w:hAnsi="Cambria"/>
          <w:spacing w:val="-13"/>
          <w:sz w:val="24"/>
        </w:rPr>
        <w:t> </w:t>
      </w:r>
      <w:r>
        <w:rPr>
          <w:rFonts w:ascii="Garamond" w:hAnsi="Garamond"/>
          <w:spacing w:val="-5"/>
          <w:sz w:val="24"/>
        </w:rPr>
        <w:t>1]</w:t>
      </w:r>
      <w:r>
        <w:rPr>
          <w:spacing w:val="-5"/>
          <w:sz w:val="24"/>
        </w:rPr>
        <w:t>)</w:t>
      </w:r>
    </w:p>
    <w:p>
      <w:pPr>
        <w:pStyle w:val="BodyText"/>
        <w:spacing w:line="358" w:lineRule="exact" w:before="166"/>
        <w:ind w:left="610" w:right="389" w:firstLine="351"/>
      </w:pPr>
      <w:r>
        <w:rPr/>
        <w:t>A</w:t>
      </w:r>
      <w:r>
        <w:rPr>
          <w:spacing w:val="-12"/>
        </w:rPr>
        <w:t> </w:t>
      </w:r>
      <w:r>
        <w:rPr/>
        <w:t>state</w:t>
      </w:r>
      <w:r>
        <w:rPr>
          <w:spacing w:val="-12"/>
        </w:rPr>
        <w:t> </w:t>
      </w:r>
      <w:r>
        <w:rPr>
          <w:rFonts w:ascii="Cambria" w:hAnsi="Cambria"/>
        </w:rPr>
        <w:t>s</w:t>
      </w:r>
      <w:r>
        <w:rPr>
          <w:rFonts w:ascii="Cambria" w:hAnsi="Cambria"/>
          <w:spacing w:val="-5"/>
        </w:rPr>
        <w:t> </w:t>
      </w:r>
      <w:r>
        <w:rPr/>
        <w:t>provides</w:t>
      </w:r>
      <w:r>
        <w:rPr>
          <w:spacing w:val="-12"/>
        </w:rPr>
        <w:t> </w:t>
      </w:r>
      <w:r>
        <w:rPr/>
        <w:t>information</w:t>
      </w:r>
      <w:r>
        <w:rPr>
          <w:spacing w:val="-12"/>
        </w:rPr>
        <w:t> </w:t>
      </w:r>
      <w:r>
        <w:rPr/>
        <w:t>about</w:t>
      </w:r>
      <w:r>
        <w:rPr>
          <w:spacing w:val="-12"/>
        </w:rPr>
        <w:t> </w:t>
      </w:r>
      <w:r>
        <w:rPr/>
        <w:t>the</w:t>
      </w:r>
      <w:r>
        <w:rPr>
          <w:spacing w:val="-12"/>
        </w:rPr>
        <w:t> </w:t>
      </w:r>
      <w:r>
        <w:rPr/>
        <w:t>environment,</w:t>
      </w:r>
      <w:r>
        <w:rPr>
          <w:spacing w:val="-11"/>
        </w:rPr>
        <w:t> </w:t>
      </w:r>
      <w:r>
        <w:rPr/>
        <w:t>through</w:t>
      </w:r>
      <w:r>
        <w:rPr>
          <w:spacing w:val="-12"/>
        </w:rPr>
        <w:t> </w:t>
      </w:r>
      <w:r>
        <w:rPr/>
        <w:t>which</w:t>
      </w:r>
      <w:r>
        <w:rPr>
          <w:spacing w:val="-12"/>
        </w:rPr>
        <w:t> </w:t>
      </w:r>
      <w:r>
        <w:rPr/>
        <w:t>a</w:t>
      </w:r>
      <w:r>
        <w:rPr>
          <w:spacing w:val="-12"/>
        </w:rPr>
        <w:t> </w:t>
      </w:r>
      <w:r>
        <w:rPr/>
        <w:t>value</w:t>
      </w:r>
      <w:r>
        <w:rPr>
          <w:spacing w:val="-12"/>
        </w:rPr>
        <w:t> </w:t>
      </w:r>
      <w:r>
        <w:rPr/>
        <w:t>function can be learnt (</w:t>
      </w:r>
      <w:hyperlink w:history="true" w:anchor="_bookmark301">
        <w:r>
          <w:rPr>
            <w:color w:val="FF0000"/>
          </w:rPr>
          <w:t>Sutton and Barto</w:t>
        </w:r>
      </w:hyperlink>
      <w:r>
        <w:rPr/>
        <w:t>,</w:t>
      </w:r>
      <w:hyperlink w:history="true" w:anchor="_bookmark301">
        <w:r>
          <w:rPr>
            <w:color w:val="FF0000"/>
          </w:rPr>
          <w:t>2018</w:t>
        </w:r>
      </w:hyperlink>
      <w:r>
        <w:rPr/>
        <w:t>).</w:t>
      </w:r>
      <w:r>
        <w:rPr>
          <w:spacing w:val="40"/>
        </w:rPr>
        <w:t> </w:t>
      </w:r>
      <w:r>
        <w:rPr/>
        <w:t>In an MRP, a Markov chain is represented by a finite sequence of states, termed an episode.</w:t>
      </w:r>
      <w:r>
        <w:rPr>
          <w:spacing w:val="27"/>
        </w:rPr>
        <w:t> </w:t>
      </w:r>
      <w:r>
        <w:rPr/>
        <w:t>Within rugby league, attacking </w:t>
      </w:r>
      <w:r>
        <w:rPr/>
        <w:t>possessions can</w:t>
      </w:r>
      <w:r>
        <w:rPr>
          <w:spacing w:val="-15"/>
        </w:rPr>
        <w:t> </w:t>
      </w:r>
      <w:r>
        <w:rPr/>
        <w:t>be</w:t>
      </w:r>
      <w:r>
        <w:rPr>
          <w:spacing w:val="-15"/>
        </w:rPr>
        <w:t> </w:t>
      </w:r>
      <w:r>
        <w:rPr/>
        <w:t>considered</w:t>
      </w:r>
      <w:r>
        <w:rPr>
          <w:spacing w:val="-15"/>
        </w:rPr>
        <w:t> </w:t>
      </w:r>
      <w:r>
        <w:rPr/>
        <w:t>as</w:t>
      </w:r>
      <w:r>
        <w:rPr>
          <w:spacing w:val="-15"/>
        </w:rPr>
        <w:t> </w:t>
      </w:r>
      <w:r>
        <w:rPr/>
        <w:t>episodes,</w:t>
      </w:r>
      <w:r>
        <w:rPr>
          <w:spacing w:val="-15"/>
        </w:rPr>
        <w:t> </w:t>
      </w:r>
      <w:r>
        <w:rPr/>
        <w:t>whereby</w:t>
      </w:r>
      <w:r>
        <w:rPr>
          <w:spacing w:val="-15"/>
        </w:rPr>
        <w:t> </w:t>
      </w:r>
      <w:r>
        <w:rPr/>
        <w:t>the</w:t>
      </w:r>
      <w:r>
        <w:rPr>
          <w:spacing w:val="-15"/>
        </w:rPr>
        <w:t> </w:t>
      </w:r>
      <w:r>
        <w:rPr/>
        <w:t>location</w:t>
      </w:r>
      <w:r>
        <w:rPr>
          <w:spacing w:val="-15"/>
        </w:rPr>
        <w:t> </w:t>
      </w:r>
      <w:r>
        <w:rPr/>
        <w:t>of</w:t>
      </w:r>
      <w:r>
        <w:rPr>
          <w:spacing w:val="-15"/>
        </w:rPr>
        <w:t> </w:t>
      </w:r>
      <w:r>
        <w:rPr/>
        <w:t>an</w:t>
      </w:r>
      <w:r>
        <w:rPr>
          <w:spacing w:val="-15"/>
        </w:rPr>
        <w:t> </w:t>
      </w:r>
      <w:r>
        <w:rPr/>
        <w:t>action</w:t>
      </w:r>
      <w:r>
        <w:rPr>
          <w:spacing w:val="-15"/>
        </w:rPr>
        <w:t> </w:t>
      </w:r>
      <w:r>
        <w:rPr/>
        <w:t>or</w:t>
      </w:r>
      <w:r>
        <w:rPr>
          <w:spacing w:val="-15"/>
        </w:rPr>
        <w:t> </w:t>
      </w:r>
      <w:r>
        <w:rPr/>
        <w:t>play</w:t>
      </w:r>
      <w:r>
        <w:rPr>
          <w:spacing w:val="-15"/>
        </w:rPr>
        <w:t> </w:t>
      </w:r>
      <w:r>
        <w:rPr/>
        <w:t>can</w:t>
      </w:r>
      <w:r>
        <w:rPr>
          <w:spacing w:val="-15"/>
        </w:rPr>
        <w:t> </w:t>
      </w:r>
      <w:r>
        <w:rPr/>
        <w:t>be</w:t>
      </w:r>
      <w:r>
        <w:rPr>
          <w:spacing w:val="-15"/>
        </w:rPr>
        <w:t> </w:t>
      </w:r>
      <w:r>
        <w:rPr/>
        <w:t>considered the state.</w:t>
      </w:r>
      <w:r>
        <w:rPr>
          <w:spacing w:val="39"/>
        </w:rPr>
        <w:t> </w:t>
      </w:r>
      <w:r>
        <w:rPr/>
        <w:t>As a rugby league match takes place within a finite area and in a finite period of</w:t>
      </w:r>
      <w:r>
        <w:rPr>
          <w:spacing w:val="-1"/>
        </w:rPr>
        <w:t> </w:t>
      </w:r>
      <w:r>
        <w:rPr/>
        <w:t>time, it</w:t>
      </w:r>
      <w:r>
        <w:rPr>
          <w:spacing w:val="-1"/>
        </w:rPr>
        <w:t> </w:t>
      </w:r>
      <w:r>
        <w:rPr/>
        <w:t>is</w:t>
      </w:r>
      <w:r>
        <w:rPr>
          <w:spacing w:val="-1"/>
        </w:rPr>
        <w:t> </w:t>
      </w:r>
      <w:r>
        <w:rPr/>
        <w:t>well</w:t>
      </w:r>
      <w:r>
        <w:rPr>
          <w:spacing w:val="-1"/>
        </w:rPr>
        <w:t> </w:t>
      </w:r>
      <w:r>
        <w:rPr/>
        <w:t>suited</w:t>
      </w:r>
      <w:r>
        <w:rPr>
          <w:spacing w:val="-1"/>
        </w:rPr>
        <w:t> </w:t>
      </w:r>
      <w:r>
        <w:rPr/>
        <w:t>to</w:t>
      </w:r>
      <w:r>
        <w:rPr>
          <w:spacing w:val="-1"/>
        </w:rPr>
        <w:t> </w:t>
      </w:r>
      <w:r>
        <w:rPr/>
        <w:t>Markovian</w:t>
      </w:r>
      <w:r>
        <w:rPr>
          <w:spacing w:val="-1"/>
        </w:rPr>
        <w:t> </w:t>
      </w:r>
      <w:r>
        <w:rPr/>
        <w:t>modelling. For</w:t>
      </w:r>
      <w:r>
        <w:rPr>
          <w:spacing w:val="-1"/>
        </w:rPr>
        <w:t> </w:t>
      </w:r>
      <w:r>
        <w:rPr/>
        <w:t>a</w:t>
      </w:r>
      <w:r>
        <w:rPr>
          <w:spacing w:val="-1"/>
        </w:rPr>
        <w:t> </w:t>
      </w:r>
      <w:r>
        <w:rPr/>
        <w:t>state</w:t>
      </w:r>
      <w:r>
        <w:rPr>
          <w:spacing w:val="-1"/>
        </w:rPr>
        <w:t> </w:t>
      </w:r>
      <w:r>
        <w:rPr>
          <w:rFonts w:ascii="Cambria" w:hAnsi="Cambria"/>
        </w:rPr>
        <w:t>s </w:t>
      </w:r>
      <w:r>
        <w:rPr/>
        <w:t>and</w:t>
      </w:r>
      <w:r>
        <w:rPr>
          <w:spacing w:val="-1"/>
        </w:rPr>
        <w:t> </w:t>
      </w:r>
      <w:r>
        <w:rPr/>
        <w:t>successor</w:t>
      </w:r>
      <w:r>
        <w:rPr>
          <w:spacing w:val="-1"/>
        </w:rPr>
        <w:t> </w:t>
      </w:r>
      <w:r>
        <w:rPr/>
        <w:t>state</w:t>
      </w:r>
      <w:r>
        <w:rPr>
          <w:spacing w:val="-1"/>
        </w:rPr>
        <w:t> </w:t>
      </w:r>
      <w:r>
        <w:rPr>
          <w:rFonts w:ascii="Cambria" w:hAnsi="Cambria"/>
        </w:rPr>
        <w:t>s</w:t>
      </w:r>
      <w:r>
        <w:rPr>
          <w:rFonts w:ascii="Lucida Sans Unicode" w:hAnsi="Lucida Sans Unicode"/>
          <w:vertAlign w:val="superscript"/>
        </w:rPr>
        <w:t>′</w:t>
      </w:r>
      <w:r>
        <w:rPr>
          <w:vertAlign w:val="baseline"/>
        </w:rPr>
        <w:t>, the </w:t>
      </w:r>
      <w:r>
        <w:rPr>
          <w:i/>
          <w:vertAlign w:val="baseline"/>
        </w:rPr>
        <w:t>state transition probability </w:t>
      </w:r>
      <w:r>
        <w:rPr>
          <w:vertAlign w:val="baseline"/>
        </w:rPr>
        <w:t>is defined by:</w:t>
      </w:r>
    </w:p>
    <w:p>
      <w:pPr>
        <w:pStyle w:val="BodyText"/>
        <w:spacing w:before="2"/>
        <w:rPr>
          <w:sz w:val="28"/>
        </w:rPr>
      </w:pPr>
    </w:p>
    <w:p>
      <w:pPr>
        <w:pStyle w:val="BodyText"/>
        <w:ind w:left="757" w:right="539"/>
        <w:jc w:val="center"/>
        <w:rPr>
          <w:rFonts w:ascii="Garamond" w:hAnsi="Garamond"/>
        </w:rPr>
      </w:pPr>
      <w:r>
        <w:rPr/>
        <w:pict>
          <v:shape style="position:absolute;margin-left:350.55899pt;margin-top:1.931982pt;width:2.3pt;height:8pt;mso-position-horizontal-relative:page;mso-position-vertical-relative:paragraph;z-index:-21795328" type="#_x0000_t202" id="docshape59" filled="false" stroked="false">
            <v:textbox inset="0,0,0,0">
              <w:txbxContent>
                <w:p>
                  <w:pPr>
                    <w:spacing w:line="159" w:lineRule="exact" w:before="0"/>
                    <w:ind w:left="0" w:right="0" w:firstLine="0"/>
                    <w:jc w:val="left"/>
                    <w:rPr>
                      <w:rFonts w:ascii="Lucida Sans Unicode" w:hAnsi="Lucida Sans Unicode"/>
                      <w:sz w:val="16"/>
                    </w:rPr>
                  </w:pPr>
                  <w:r>
                    <w:rPr>
                      <w:rFonts w:ascii="Lucida Sans Unicode" w:hAnsi="Lucida Sans Unicode"/>
                      <w:w w:val="88"/>
                      <w:sz w:val="16"/>
                    </w:rPr>
                    <w:t>′</w:t>
                  </w:r>
                </w:p>
              </w:txbxContent>
            </v:textbox>
            <w10:wrap type="none"/>
          </v:shape>
        </w:pict>
      </w:r>
      <w:r>
        <w:rPr>
          <w:rFonts w:ascii="Arial" w:hAnsi="Arial"/>
          <w:i/>
          <w:w w:val="110"/>
        </w:rPr>
        <w:t>P</w:t>
      </w:r>
      <w:r>
        <w:rPr>
          <w:rFonts w:ascii="Cambria" w:hAnsi="Cambria"/>
          <w:w w:val="110"/>
          <w:vertAlign w:val="subscript"/>
        </w:rPr>
        <w:t>ss</w:t>
      </w:r>
      <w:r>
        <w:rPr>
          <w:rFonts w:ascii="Cambria" w:hAnsi="Cambria"/>
          <w:w w:val="110"/>
          <w:position w:val="1"/>
          <w:sz w:val="12"/>
          <w:vertAlign w:val="baseline"/>
        </w:rPr>
        <w:t>′</w:t>
      </w:r>
      <w:r>
        <w:rPr>
          <w:rFonts w:ascii="Cambria" w:hAnsi="Cambria"/>
          <w:spacing w:val="62"/>
          <w:w w:val="110"/>
          <w:position w:val="1"/>
          <w:sz w:val="12"/>
          <w:vertAlign w:val="baseline"/>
        </w:rPr>
        <w:t> </w:t>
      </w:r>
      <w:r>
        <w:rPr>
          <w:rFonts w:ascii="Garamond" w:hAnsi="Garamond"/>
          <w:w w:val="110"/>
          <w:vertAlign w:val="baseline"/>
        </w:rPr>
        <w:t>=</w:t>
      </w:r>
      <w:r>
        <w:rPr>
          <w:rFonts w:ascii="Garamond" w:hAnsi="Garamond"/>
          <w:spacing w:val="4"/>
          <w:w w:val="110"/>
          <w:vertAlign w:val="baseline"/>
        </w:rPr>
        <w:t> </w:t>
      </w:r>
      <w:r>
        <w:rPr>
          <w:rFonts w:ascii="Cambria" w:hAnsi="Cambria"/>
          <w:w w:val="110"/>
          <w:vertAlign w:val="baseline"/>
        </w:rPr>
        <w:t>P</w:t>
      </w:r>
      <w:r>
        <w:rPr>
          <w:rFonts w:ascii="Garamond" w:hAnsi="Garamond"/>
          <w:w w:val="110"/>
          <w:vertAlign w:val="baseline"/>
        </w:rPr>
        <w:t>[</w:t>
      </w:r>
      <w:r>
        <w:rPr>
          <w:rFonts w:ascii="Cambria" w:hAnsi="Cambria"/>
          <w:w w:val="110"/>
          <w:vertAlign w:val="baseline"/>
        </w:rPr>
        <w:t>s</w:t>
      </w:r>
      <w:r>
        <w:rPr>
          <w:rFonts w:ascii="Cambria" w:hAnsi="Cambria"/>
          <w:w w:val="110"/>
          <w:vertAlign w:val="subscript"/>
        </w:rPr>
        <w:t>t</w:t>
      </w:r>
      <w:r>
        <w:rPr>
          <w:rFonts w:ascii="Georgia" w:hAnsi="Georgia"/>
          <w:w w:val="110"/>
          <w:vertAlign w:val="subscript"/>
        </w:rPr>
        <w:t>+1</w:t>
      </w:r>
      <w:r>
        <w:rPr>
          <w:rFonts w:ascii="Georgia" w:hAnsi="Georgia"/>
          <w:spacing w:val="18"/>
          <w:w w:val="110"/>
          <w:vertAlign w:val="baseline"/>
        </w:rPr>
        <w:t> </w:t>
      </w:r>
      <w:r>
        <w:rPr>
          <w:rFonts w:ascii="Garamond" w:hAnsi="Garamond"/>
          <w:w w:val="110"/>
          <w:vertAlign w:val="baseline"/>
        </w:rPr>
        <w:t>=</w:t>
      </w:r>
      <w:r>
        <w:rPr>
          <w:rFonts w:ascii="Garamond" w:hAnsi="Garamond"/>
          <w:spacing w:val="4"/>
          <w:w w:val="110"/>
          <w:vertAlign w:val="baseline"/>
        </w:rPr>
        <w:t> </w:t>
      </w:r>
      <w:r>
        <w:rPr>
          <w:rFonts w:ascii="Cambria" w:hAnsi="Cambria"/>
          <w:w w:val="110"/>
          <w:vertAlign w:val="baseline"/>
        </w:rPr>
        <w:t>s</w:t>
      </w:r>
      <w:r>
        <w:rPr>
          <w:rFonts w:ascii="Cambria" w:hAnsi="Cambria"/>
          <w:spacing w:val="2"/>
          <w:w w:val="110"/>
          <w:vertAlign w:val="baseline"/>
        </w:rPr>
        <w:t> </w:t>
      </w:r>
      <w:r>
        <w:rPr>
          <w:rFonts w:ascii="Lucida Sans Unicode" w:hAnsi="Lucida Sans Unicode"/>
          <w:w w:val="110"/>
          <w:vertAlign w:val="baseline"/>
        </w:rPr>
        <w:t>|</w:t>
      </w:r>
      <w:r>
        <w:rPr>
          <w:rFonts w:ascii="Cambria" w:hAnsi="Cambria"/>
          <w:w w:val="110"/>
          <w:vertAlign w:val="baseline"/>
        </w:rPr>
        <w:t>S</w:t>
      </w:r>
      <w:r>
        <w:rPr>
          <w:rFonts w:ascii="Cambria" w:hAnsi="Cambria"/>
          <w:w w:val="110"/>
          <w:vertAlign w:val="subscript"/>
        </w:rPr>
        <w:t>t</w:t>
      </w:r>
      <w:r>
        <w:rPr>
          <w:rFonts w:ascii="Cambria" w:hAnsi="Cambria"/>
          <w:spacing w:val="22"/>
          <w:w w:val="110"/>
          <w:vertAlign w:val="baseline"/>
        </w:rPr>
        <w:t> </w:t>
      </w:r>
      <w:r>
        <w:rPr>
          <w:rFonts w:ascii="Garamond" w:hAnsi="Garamond"/>
          <w:w w:val="110"/>
          <w:vertAlign w:val="baseline"/>
        </w:rPr>
        <w:t>=</w:t>
      </w:r>
      <w:r>
        <w:rPr>
          <w:rFonts w:ascii="Garamond" w:hAnsi="Garamond"/>
          <w:spacing w:val="5"/>
          <w:w w:val="110"/>
          <w:vertAlign w:val="baseline"/>
        </w:rPr>
        <w:t> </w:t>
      </w:r>
      <w:r>
        <w:rPr>
          <w:rFonts w:ascii="Cambria" w:hAnsi="Cambria"/>
          <w:spacing w:val="-5"/>
          <w:w w:val="110"/>
          <w:vertAlign w:val="baseline"/>
        </w:rPr>
        <w:t>s</w:t>
      </w:r>
      <w:r>
        <w:rPr>
          <w:rFonts w:ascii="Garamond" w:hAnsi="Garamond"/>
          <w:spacing w:val="-5"/>
          <w:w w:val="110"/>
          <w:vertAlign w:val="baseline"/>
        </w:rPr>
        <w:t>]</w:t>
      </w:r>
    </w:p>
    <w:p>
      <w:pPr>
        <w:pStyle w:val="BodyText"/>
        <w:spacing w:before="4"/>
        <w:rPr>
          <w:rFonts w:ascii="Garamond"/>
          <w:sz w:val="23"/>
        </w:rPr>
      </w:pPr>
    </w:p>
    <w:p>
      <w:pPr>
        <w:pStyle w:val="BodyText"/>
        <w:spacing w:line="358" w:lineRule="exact"/>
        <w:ind w:left="610" w:right="389"/>
        <w:jc w:val="both"/>
      </w:pPr>
      <w:r>
        <w:rPr/>
        <w:t>The</w:t>
      </w:r>
      <w:r>
        <w:rPr>
          <w:spacing w:val="-1"/>
        </w:rPr>
        <w:t> </w:t>
      </w:r>
      <w:r>
        <w:rPr/>
        <w:t>transition</w:t>
      </w:r>
      <w:r>
        <w:rPr>
          <w:spacing w:val="-1"/>
        </w:rPr>
        <w:t> </w:t>
      </w:r>
      <w:r>
        <w:rPr/>
        <w:t>probability</w:t>
      </w:r>
      <w:r>
        <w:rPr>
          <w:spacing w:val="-1"/>
        </w:rPr>
        <w:t> </w:t>
      </w:r>
      <w:r>
        <w:rPr/>
        <w:t>matrix</w:t>
      </w:r>
      <w:r>
        <w:rPr>
          <w:spacing w:val="-1"/>
        </w:rPr>
        <w:t> </w:t>
      </w:r>
      <w:r>
        <w:rPr>
          <w:rFonts w:ascii="Cambria" w:hAnsi="Cambria"/>
        </w:rPr>
        <w:t>P</w:t>
      </w:r>
      <w:r>
        <w:rPr>
          <w:rFonts w:ascii="Cambria" w:hAnsi="Cambria"/>
          <w:spacing w:val="37"/>
        </w:rPr>
        <w:t> </w:t>
      </w:r>
      <w:r>
        <w:rPr/>
        <w:t>defines</w:t>
      </w:r>
      <w:r>
        <w:rPr>
          <w:spacing w:val="-1"/>
        </w:rPr>
        <w:t> </w:t>
      </w:r>
      <w:r>
        <w:rPr/>
        <w:t>transition</w:t>
      </w:r>
      <w:r>
        <w:rPr>
          <w:spacing w:val="-1"/>
        </w:rPr>
        <w:t> </w:t>
      </w:r>
      <w:r>
        <w:rPr/>
        <w:t>probabilities</w:t>
      </w:r>
      <w:r>
        <w:rPr>
          <w:spacing w:val="-1"/>
        </w:rPr>
        <w:t> </w:t>
      </w:r>
      <w:r>
        <w:rPr/>
        <w:t>from</w:t>
      </w:r>
      <w:r>
        <w:rPr>
          <w:spacing w:val="-1"/>
        </w:rPr>
        <w:t> </w:t>
      </w:r>
      <w:r>
        <w:rPr/>
        <w:t>all</w:t>
      </w:r>
      <w:r>
        <w:rPr>
          <w:spacing w:val="-1"/>
        </w:rPr>
        <w:t> </w:t>
      </w:r>
      <w:r>
        <w:rPr/>
        <w:t>states</w:t>
      </w:r>
      <w:r>
        <w:rPr>
          <w:spacing w:val="-1"/>
        </w:rPr>
        <w:t> </w:t>
      </w:r>
      <w:r>
        <w:rPr>
          <w:rFonts w:ascii="Cambria" w:hAnsi="Cambria"/>
        </w:rPr>
        <w:t>s </w:t>
      </w:r>
      <w:r>
        <w:rPr/>
        <w:t>to</w:t>
      </w:r>
      <w:r>
        <w:rPr>
          <w:spacing w:val="-1"/>
        </w:rPr>
        <w:t> </w:t>
      </w:r>
      <w:r>
        <w:rPr/>
        <w:t>all successor</w:t>
      </w:r>
      <w:r>
        <w:rPr>
          <w:spacing w:val="-9"/>
        </w:rPr>
        <w:t> </w:t>
      </w:r>
      <w:r>
        <w:rPr/>
        <w:t>states</w:t>
      </w:r>
      <w:r>
        <w:rPr>
          <w:spacing w:val="-9"/>
        </w:rPr>
        <w:t> </w:t>
      </w:r>
      <w:r>
        <w:rPr>
          <w:rFonts w:ascii="Cambria" w:hAnsi="Cambria"/>
        </w:rPr>
        <w:t>s</w:t>
      </w:r>
      <w:r>
        <w:rPr>
          <w:rFonts w:ascii="Lucida Sans Unicode" w:hAnsi="Lucida Sans Unicode"/>
          <w:vertAlign w:val="superscript"/>
        </w:rPr>
        <w:t>′</w:t>
      </w:r>
      <w:r>
        <w:rPr>
          <w:vertAlign w:val="baseline"/>
        </w:rPr>
        <w:t>. It</w:t>
      </w:r>
      <w:r>
        <w:rPr>
          <w:spacing w:val="-9"/>
          <w:vertAlign w:val="baseline"/>
        </w:rPr>
        <w:t> </w:t>
      </w:r>
      <w:r>
        <w:rPr>
          <w:vertAlign w:val="baseline"/>
        </w:rPr>
        <w:t>can</w:t>
      </w:r>
      <w:r>
        <w:rPr>
          <w:spacing w:val="-9"/>
          <w:vertAlign w:val="baseline"/>
        </w:rPr>
        <w:t> </w:t>
      </w:r>
      <w:r>
        <w:rPr>
          <w:vertAlign w:val="baseline"/>
        </w:rPr>
        <w:t>be</w:t>
      </w:r>
      <w:r>
        <w:rPr>
          <w:spacing w:val="-9"/>
          <w:vertAlign w:val="baseline"/>
        </w:rPr>
        <w:t> </w:t>
      </w:r>
      <w:r>
        <w:rPr>
          <w:vertAlign w:val="baseline"/>
        </w:rPr>
        <w:t>estimated</w:t>
      </w:r>
      <w:r>
        <w:rPr>
          <w:spacing w:val="-9"/>
          <w:vertAlign w:val="baseline"/>
        </w:rPr>
        <w:t> </w:t>
      </w:r>
      <w:r>
        <w:rPr>
          <w:vertAlign w:val="baseline"/>
        </w:rPr>
        <w:t>explicitly,</w:t>
      </w:r>
      <w:r>
        <w:rPr>
          <w:spacing w:val="-9"/>
          <w:vertAlign w:val="baseline"/>
        </w:rPr>
        <w:t> </w:t>
      </w:r>
      <w:r>
        <w:rPr>
          <w:vertAlign w:val="baseline"/>
        </w:rPr>
        <w:t>through</w:t>
      </w:r>
      <w:r>
        <w:rPr>
          <w:spacing w:val="-9"/>
          <w:vertAlign w:val="baseline"/>
        </w:rPr>
        <w:t> </w:t>
      </w:r>
      <w:r>
        <w:rPr>
          <w:vertAlign w:val="baseline"/>
        </w:rPr>
        <w:t>dynamic</w:t>
      </w:r>
      <w:r>
        <w:rPr>
          <w:spacing w:val="-9"/>
          <w:vertAlign w:val="baseline"/>
        </w:rPr>
        <w:t> </w:t>
      </w:r>
      <w:r>
        <w:rPr>
          <w:vertAlign w:val="baseline"/>
        </w:rPr>
        <w:t>programming</w:t>
      </w:r>
      <w:r>
        <w:rPr>
          <w:spacing w:val="-9"/>
          <w:vertAlign w:val="baseline"/>
        </w:rPr>
        <w:t> </w:t>
      </w:r>
      <w:r>
        <w:rPr>
          <w:vertAlign w:val="baseline"/>
        </w:rPr>
        <w:t>(</w:t>
      </w:r>
      <w:hyperlink w:history="true" w:anchor="_bookmark263">
        <w:r>
          <w:rPr>
            <w:color w:val="FF0000"/>
            <w:vertAlign w:val="baseline"/>
          </w:rPr>
          <w:t>Kemp-</w:t>
        </w:r>
      </w:hyperlink>
      <w:r>
        <w:rPr>
          <w:color w:val="FF0000"/>
          <w:vertAlign w:val="baseline"/>
        </w:rPr>
        <w:t> </w:t>
      </w:r>
      <w:hyperlink w:history="true" w:anchor="_bookmark263">
        <w:r>
          <w:rPr>
            <w:color w:val="FF0000"/>
            <w:vertAlign w:val="baseline"/>
          </w:rPr>
          <w:t>ton</w:t>
        </w:r>
        <w:r>
          <w:rPr>
            <w:color w:val="FF0000"/>
            <w:spacing w:val="-8"/>
            <w:vertAlign w:val="baseline"/>
          </w:rPr>
          <w:t> </w:t>
        </w:r>
        <w:r>
          <w:rPr>
            <w:color w:val="FF0000"/>
            <w:vertAlign w:val="baseline"/>
          </w:rPr>
          <w:t>et</w:t>
        </w:r>
        <w:r>
          <w:rPr>
            <w:color w:val="FF0000"/>
            <w:spacing w:val="-8"/>
            <w:vertAlign w:val="baseline"/>
          </w:rPr>
          <w:t> </w:t>
        </w:r>
        <w:r>
          <w:rPr>
            <w:color w:val="FF0000"/>
            <w:vertAlign w:val="baseline"/>
          </w:rPr>
          <w:t>al.</w:t>
        </w:r>
      </w:hyperlink>
      <w:r>
        <w:rPr>
          <w:vertAlign w:val="baseline"/>
        </w:rPr>
        <w:t>,</w:t>
      </w:r>
      <w:hyperlink w:history="true" w:anchor="_bookmark263">
        <w:r>
          <w:rPr>
            <w:color w:val="FF0000"/>
            <w:vertAlign w:val="baseline"/>
          </w:rPr>
          <w:t>2016</w:t>
        </w:r>
      </w:hyperlink>
      <w:r>
        <w:rPr>
          <w:vertAlign w:val="baseline"/>
        </w:rPr>
        <w:t>),</w:t>
      </w:r>
      <w:r>
        <w:rPr>
          <w:spacing w:val="-7"/>
          <w:vertAlign w:val="baseline"/>
        </w:rPr>
        <w:t> </w:t>
      </w:r>
      <w:r>
        <w:rPr>
          <w:vertAlign w:val="baseline"/>
        </w:rPr>
        <w:t>or</w:t>
      </w:r>
      <w:r>
        <w:rPr>
          <w:spacing w:val="-8"/>
          <w:vertAlign w:val="baseline"/>
        </w:rPr>
        <w:t> </w:t>
      </w:r>
      <w:r>
        <w:rPr>
          <w:vertAlign w:val="baseline"/>
        </w:rPr>
        <w:t>learned</w:t>
      </w:r>
      <w:r>
        <w:rPr>
          <w:spacing w:val="-8"/>
          <w:vertAlign w:val="baseline"/>
        </w:rPr>
        <w:t> </w:t>
      </w:r>
      <w:r>
        <w:rPr>
          <w:vertAlign w:val="baseline"/>
        </w:rPr>
        <w:t>implicitly,</w:t>
      </w:r>
      <w:r>
        <w:rPr>
          <w:spacing w:val="-7"/>
          <w:vertAlign w:val="baseline"/>
        </w:rPr>
        <w:t> </w:t>
      </w:r>
      <w:r>
        <w:rPr>
          <w:vertAlign w:val="baseline"/>
        </w:rPr>
        <w:t>using</w:t>
      </w:r>
      <w:r>
        <w:rPr>
          <w:spacing w:val="-8"/>
          <w:vertAlign w:val="baseline"/>
        </w:rPr>
        <w:t> </w:t>
      </w:r>
      <w:r>
        <w:rPr>
          <w:vertAlign w:val="baseline"/>
        </w:rPr>
        <w:t>real</w:t>
      </w:r>
      <w:r>
        <w:rPr>
          <w:spacing w:val="-8"/>
          <w:vertAlign w:val="baseline"/>
        </w:rPr>
        <w:t> </w:t>
      </w:r>
      <w:r>
        <w:rPr>
          <w:vertAlign w:val="baseline"/>
        </w:rPr>
        <w:t>sequences</w:t>
      </w:r>
      <w:r>
        <w:rPr>
          <w:spacing w:val="-8"/>
          <w:vertAlign w:val="baseline"/>
        </w:rPr>
        <w:t> </w:t>
      </w:r>
      <w:r>
        <w:rPr>
          <w:vertAlign w:val="baseline"/>
        </w:rPr>
        <w:t>of</w:t>
      </w:r>
      <w:r>
        <w:rPr>
          <w:spacing w:val="-8"/>
          <w:vertAlign w:val="baseline"/>
        </w:rPr>
        <w:t> </w:t>
      </w:r>
      <w:r>
        <w:rPr>
          <w:vertAlign w:val="baseline"/>
        </w:rPr>
        <w:t>possessions. The</w:t>
      </w:r>
      <w:r>
        <w:rPr>
          <w:spacing w:val="-8"/>
          <w:vertAlign w:val="baseline"/>
        </w:rPr>
        <w:t> </w:t>
      </w:r>
      <w:r>
        <w:rPr>
          <w:vertAlign w:val="baseline"/>
        </w:rPr>
        <w:t>reward</w:t>
      </w:r>
      <w:r>
        <w:rPr>
          <w:spacing w:val="40"/>
          <w:vertAlign w:val="baseline"/>
        </w:rPr>
        <w:t> </w:t>
      </w:r>
      <w:r>
        <w:rPr>
          <w:rFonts w:ascii="Cambria" w:hAnsi="Cambria"/>
          <w:vertAlign w:val="baseline"/>
        </w:rPr>
        <w:t>R </w:t>
      </w:r>
      <w:r>
        <w:rPr>
          <w:vertAlign w:val="baseline"/>
        </w:rPr>
        <w:t>represents the value of performing a specific transition between states.</w:t>
      </w:r>
      <w:r>
        <w:rPr>
          <w:spacing w:val="37"/>
          <w:vertAlign w:val="baseline"/>
        </w:rPr>
        <w:t> </w:t>
      </w:r>
      <w:r>
        <w:rPr>
          <w:vertAlign w:val="baseline"/>
        </w:rPr>
        <w:t>In rugby league, it can be defined as the true points outcome achieved by the play in the team’s attacking </w:t>
      </w:r>
      <w:r>
        <w:rPr>
          <w:spacing w:val="-2"/>
          <w:vertAlign w:val="baseline"/>
        </w:rPr>
        <w:t>possession.</w:t>
      </w:r>
    </w:p>
    <w:p>
      <w:pPr>
        <w:pStyle w:val="BodyText"/>
        <w:spacing w:before="62"/>
        <w:ind w:left="961"/>
        <w:jc w:val="both"/>
      </w:pPr>
      <w:r>
        <w:rPr/>
        <w:t>In</w:t>
      </w:r>
      <w:r>
        <w:rPr>
          <w:spacing w:val="-5"/>
        </w:rPr>
        <w:t> </w:t>
      </w:r>
      <w:r>
        <w:rPr/>
        <w:t>an</w:t>
      </w:r>
      <w:r>
        <w:rPr>
          <w:spacing w:val="-4"/>
        </w:rPr>
        <w:t> </w:t>
      </w:r>
      <w:r>
        <w:rPr/>
        <w:t>MRP,</w:t>
      </w:r>
      <w:r>
        <w:rPr>
          <w:spacing w:val="-4"/>
        </w:rPr>
        <w:t> </w:t>
      </w:r>
      <w:r>
        <w:rPr/>
        <w:t>the</w:t>
      </w:r>
      <w:r>
        <w:rPr>
          <w:spacing w:val="-4"/>
        </w:rPr>
        <w:t> </w:t>
      </w:r>
      <w:r>
        <w:rPr/>
        <w:t>return</w:t>
      </w:r>
      <w:r>
        <w:rPr>
          <w:spacing w:val="-4"/>
        </w:rPr>
        <w:t> </w:t>
      </w:r>
      <w:r>
        <w:rPr>
          <w:rFonts w:ascii="Cambria"/>
        </w:rPr>
        <w:t>G</w:t>
      </w:r>
      <w:r>
        <w:rPr>
          <w:rFonts w:ascii="Cambria"/>
          <w:vertAlign w:val="subscript"/>
        </w:rPr>
        <w:t>t</w:t>
      </w:r>
      <w:r>
        <w:rPr>
          <w:rFonts w:ascii="Cambria"/>
          <w:spacing w:val="13"/>
          <w:vertAlign w:val="baseline"/>
        </w:rPr>
        <w:t> </w:t>
      </w:r>
      <w:r>
        <w:rPr>
          <w:vertAlign w:val="baseline"/>
        </w:rPr>
        <w:t>at</w:t>
      </w:r>
      <w:r>
        <w:rPr>
          <w:spacing w:val="-4"/>
          <w:vertAlign w:val="baseline"/>
        </w:rPr>
        <w:t> </w:t>
      </w:r>
      <w:r>
        <w:rPr>
          <w:vertAlign w:val="baseline"/>
        </w:rPr>
        <w:t>time</w:t>
      </w:r>
      <w:r>
        <w:rPr>
          <w:spacing w:val="-4"/>
          <w:vertAlign w:val="baseline"/>
        </w:rPr>
        <w:t> </w:t>
      </w:r>
      <w:r>
        <w:rPr>
          <w:rFonts w:ascii="Cambria"/>
          <w:vertAlign w:val="baseline"/>
        </w:rPr>
        <w:t>t</w:t>
      </w:r>
      <w:r>
        <w:rPr>
          <w:rFonts w:ascii="Cambria"/>
          <w:spacing w:val="3"/>
          <w:vertAlign w:val="baseline"/>
        </w:rPr>
        <w:t> </w:t>
      </w:r>
      <w:r>
        <w:rPr>
          <w:vertAlign w:val="baseline"/>
        </w:rPr>
        <w:t>is</w:t>
      </w:r>
      <w:r>
        <w:rPr>
          <w:spacing w:val="-4"/>
          <w:vertAlign w:val="baseline"/>
        </w:rPr>
        <w:t> </w:t>
      </w:r>
      <w:r>
        <w:rPr>
          <w:vertAlign w:val="baseline"/>
        </w:rPr>
        <w:t>defined</w:t>
      </w:r>
      <w:r>
        <w:rPr>
          <w:spacing w:val="-4"/>
          <w:vertAlign w:val="baseline"/>
        </w:rPr>
        <w:t> </w:t>
      </w:r>
      <w:r>
        <w:rPr>
          <w:vertAlign w:val="baseline"/>
        </w:rPr>
        <w:t>as</w:t>
      </w:r>
      <w:r>
        <w:rPr>
          <w:spacing w:val="-4"/>
          <w:vertAlign w:val="baseline"/>
        </w:rPr>
        <w:t> </w:t>
      </w:r>
      <w:r>
        <w:rPr>
          <w:vertAlign w:val="baseline"/>
        </w:rPr>
        <w:t>the</w:t>
      </w:r>
      <w:r>
        <w:rPr>
          <w:spacing w:val="-5"/>
          <w:vertAlign w:val="baseline"/>
        </w:rPr>
        <w:t> </w:t>
      </w:r>
      <w:r>
        <w:rPr>
          <w:vertAlign w:val="baseline"/>
        </w:rPr>
        <w:t>total</w:t>
      </w:r>
      <w:r>
        <w:rPr>
          <w:spacing w:val="-4"/>
          <w:vertAlign w:val="baseline"/>
        </w:rPr>
        <w:t> </w:t>
      </w:r>
      <w:r>
        <w:rPr>
          <w:vertAlign w:val="baseline"/>
        </w:rPr>
        <w:t>discounted</w:t>
      </w:r>
      <w:r>
        <w:rPr>
          <w:spacing w:val="-4"/>
          <w:vertAlign w:val="baseline"/>
        </w:rPr>
        <w:t> </w:t>
      </w:r>
      <w:r>
        <w:rPr>
          <w:vertAlign w:val="baseline"/>
        </w:rPr>
        <w:t>reward</w:t>
      </w:r>
      <w:r>
        <w:rPr>
          <w:spacing w:val="-4"/>
          <w:vertAlign w:val="baseline"/>
        </w:rPr>
        <w:t> </w:t>
      </w:r>
      <w:r>
        <w:rPr>
          <w:vertAlign w:val="baseline"/>
        </w:rPr>
        <w:t>from</w:t>
      </w:r>
      <w:r>
        <w:rPr>
          <w:spacing w:val="-4"/>
          <w:vertAlign w:val="baseline"/>
        </w:rPr>
        <w:t> time</w:t>
      </w:r>
    </w:p>
    <w:p>
      <w:pPr>
        <w:pStyle w:val="BodyText"/>
        <w:spacing w:line="225" w:lineRule="exact" w:before="77"/>
        <w:ind w:left="610"/>
      </w:pPr>
      <w:r>
        <w:rPr>
          <w:rFonts w:ascii="Cambria"/>
          <w:spacing w:val="-5"/>
        </w:rPr>
        <w:t>t</w:t>
      </w:r>
      <w:r>
        <w:rPr>
          <w:spacing w:val="-5"/>
        </w:rPr>
        <w:t>:</w:t>
      </w:r>
    </w:p>
    <w:p>
      <w:pPr>
        <w:spacing w:line="189" w:lineRule="exact" w:before="0"/>
        <w:ind w:left="0" w:right="239" w:firstLine="0"/>
        <w:jc w:val="center"/>
        <w:rPr>
          <w:rFonts w:ascii="Lucida Sans Unicode" w:hAnsi="Lucida Sans Unicode"/>
          <w:sz w:val="16"/>
        </w:rPr>
      </w:pPr>
      <w:r>
        <w:rPr/>
        <w:pict>
          <v:shape style="position:absolute;margin-left:306.960999pt;margin-top:.553807pt;width:17.3pt;height:44.4pt;mso-position-horizontal-relative:page;mso-position-vertical-relative:paragraph;z-index:-21794816" type="#_x0000_t202" id="docshape60" filled="false" stroked="false">
            <v:textbox inset="0,0,0,0">
              <w:txbxContent>
                <w:p>
                  <w:pPr>
                    <w:pStyle w:val="BodyText"/>
                    <w:spacing w:line="230" w:lineRule="exact"/>
                    <w:rPr>
                      <w:rFonts w:ascii="Arial"/>
                    </w:rPr>
                  </w:pPr>
                  <w:r>
                    <w:rPr>
                      <w:rFonts w:ascii="Arial"/>
                      <w:w w:val="258"/>
                    </w:rPr>
                    <w:t>L</w:t>
                  </w:r>
                </w:p>
              </w:txbxContent>
            </v:textbox>
            <w10:wrap type="none"/>
          </v:shape>
        </w:pict>
      </w:r>
      <w:r>
        <w:rPr>
          <w:rFonts w:ascii="Lucida Sans Unicode" w:hAnsi="Lucida Sans Unicode"/>
          <w:w w:val="112"/>
          <w:sz w:val="16"/>
        </w:rPr>
        <w:t>∞</w:t>
      </w:r>
    </w:p>
    <w:p>
      <w:pPr>
        <w:pStyle w:val="BodyText"/>
        <w:tabs>
          <w:tab w:pos="4844" w:val="left" w:leader="none"/>
          <w:tab w:pos="8656" w:val="left" w:leader="none"/>
        </w:tabs>
        <w:spacing w:before="1"/>
        <w:ind w:left="3888"/>
      </w:pPr>
      <w:r>
        <w:rPr>
          <w:rFonts w:ascii="Cambria" w:hAnsi="Cambria"/>
          <w:w w:val="115"/>
        </w:rPr>
        <w:t>G</w:t>
      </w:r>
      <w:r>
        <w:rPr>
          <w:rFonts w:ascii="Cambria" w:hAnsi="Cambria"/>
          <w:w w:val="115"/>
          <w:vertAlign w:val="subscript"/>
        </w:rPr>
        <w:t>t</w:t>
      </w:r>
      <w:r>
        <w:rPr>
          <w:rFonts w:ascii="Cambria" w:hAnsi="Cambria"/>
          <w:spacing w:val="28"/>
          <w:w w:val="115"/>
          <w:vertAlign w:val="baseline"/>
        </w:rPr>
        <w:t> </w:t>
      </w:r>
      <w:r>
        <w:rPr>
          <w:rFonts w:ascii="Garamond" w:hAnsi="Garamond"/>
          <w:spacing w:val="-10"/>
          <w:w w:val="115"/>
          <w:vertAlign w:val="baseline"/>
        </w:rPr>
        <w:t>=</w:t>
      </w:r>
      <w:r>
        <w:rPr>
          <w:rFonts w:ascii="Garamond" w:hAnsi="Garamond"/>
          <w:vertAlign w:val="baseline"/>
        </w:rPr>
        <w:tab/>
      </w:r>
      <w:r>
        <w:rPr>
          <w:rFonts w:ascii="Cambria" w:hAnsi="Cambria"/>
          <w:spacing w:val="-2"/>
          <w:w w:val="115"/>
          <w:vertAlign w:val="baseline"/>
        </w:rPr>
        <w:t>γ</w:t>
      </w:r>
      <w:r>
        <w:rPr>
          <w:rFonts w:ascii="Cambria" w:hAnsi="Cambria"/>
          <w:spacing w:val="-2"/>
          <w:w w:val="115"/>
          <w:vertAlign w:val="superscript"/>
        </w:rPr>
        <w:t>k</w:t>
      </w:r>
      <w:r>
        <w:rPr>
          <w:rFonts w:ascii="Cambria" w:hAnsi="Cambria"/>
          <w:spacing w:val="-2"/>
          <w:w w:val="115"/>
          <w:vertAlign w:val="baseline"/>
        </w:rPr>
        <w:t>R</w:t>
      </w:r>
      <w:r>
        <w:rPr>
          <w:rFonts w:ascii="Cambria" w:hAnsi="Cambria"/>
          <w:spacing w:val="-2"/>
          <w:w w:val="115"/>
          <w:vertAlign w:val="subscript"/>
        </w:rPr>
        <w:t>t</w:t>
      </w:r>
      <w:r>
        <w:rPr>
          <w:rFonts w:ascii="Georgia" w:hAnsi="Georgia"/>
          <w:spacing w:val="-2"/>
          <w:w w:val="115"/>
          <w:vertAlign w:val="subscript"/>
        </w:rPr>
        <w:t>+</w:t>
      </w:r>
      <w:r>
        <w:rPr>
          <w:rFonts w:ascii="Cambria" w:hAnsi="Cambria"/>
          <w:spacing w:val="-2"/>
          <w:w w:val="115"/>
          <w:vertAlign w:val="subscript"/>
        </w:rPr>
        <w:t>k</w:t>
      </w:r>
      <w:r>
        <w:rPr>
          <w:rFonts w:ascii="Georgia" w:hAnsi="Georgia"/>
          <w:spacing w:val="-2"/>
          <w:w w:val="115"/>
          <w:vertAlign w:val="subscript"/>
        </w:rPr>
        <w:t>+1</w:t>
      </w:r>
      <w:r>
        <w:rPr>
          <w:rFonts w:ascii="Cambria" w:hAnsi="Cambria"/>
          <w:spacing w:val="-2"/>
          <w:w w:val="115"/>
          <w:vertAlign w:val="baseline"/>
        </w:rPr>
        <w:t>,</w:t>
      </w:r>
      <w:r>
        <w:rPr>
          <w:rFonts w:ascii="Cambria" w:hAnsi="Cambria"/>
          <w:vertAlign w:val="baseline"/>
        </w:rPr>
        <w:tab/>
      </w:r>
      <w:r>
        <w:rPr>
          <w:spacing w:val="-2"/>
          <w:w w:val="115"/>
          <w:vertAlign w:val="baseline"/>
        </w:rPr>
        <w:t>(3.1)</w:t>
      </w:r>
    </w:p>
    <w:p>
      <w:pPr>
        <w:spacing w:before="66"/>
        <w:ind w:left="4331" w:right="4570" w:firstLine="0"/>
        <w:jc w:val="center"/>
        <w:rPr>
          <w:rFonts w:ascii="Georgia"/>
          <w:sz w:val="16"/>
        </w:rPr>
      </w:pPr>
      <w:r>
        <w:rPr>
          <w:rFonts w:ascii="Cambria"/>
          <w:spacing w:val="-5"/>
          <w:w w:val="105"/>
          <w:sz w:val="16"/>
        </w:rPr>
        <w:t>k</w:t>
      </w:r>
      <w:r>
        <w:rPr>
          <w:rFonts w:ascii="Georgia"/>
          <w:spacing w:val="-5"/>
          <w:w w:val="105"/>
          <w:sz w:val="16"/>
        </w:rPr>
        <w:t>=0</w:t>
      </w:r>
    </w:p>
    <w:p>
      <w:pPr>
        <w:spacing w:after="0"/>
        <w:jc w:val="center"/>
        <w:rPr>
          <w:rFonts w:ascii="Georgia"/>
          <w:sz w:val="16"/>
        </w:rPr>
        <w:sectPr>
          <w:pgSz w:w="11910" w:h="16840"/>
          <w:pgMar w:header="1961" w:footer="1428" w:top="2280" w:bottom="1620" w:left="1680" w:right="720"/>
        </w:sectPr>
      </w:pPr>
    </w:p>
    <w:p>
      <w:pPr>
        <w:pStyle w:val="BodyText"/>
        <w:rPr>
          <w:rFonts w:ascii="Georgia"/>
          <w:sz w:val="20"/>
        </w:rPr>
      </w:pPr>
    </w:p>
    <w:p>
      <w:pPr>
        <w:pStyle w:val="BodyText"/>
        <w:spacing w:before="9"/>
        <w:rPr>
          <w:rFonts w:ascii="Georgia"/>
          <w:sz w:val="21"/>
        </w:rPr>
      </w:pPr>
    </w:p>
    <w:p>
      <w:pPr>
        <w:pStyle w:val="BodyText"/>
        <w:spacing w:line="276" w:lineRule="auto" w:before="58"/>
        <w:ind w:left="610" w:right="389"/>
        <w:jc w:val="both"/>
      </w:pPr>
      <w:r>
        <w:rPr/>
        <w:t>where</w:t>
      </w:r>
      <w:r>
        <w:rPr>
          <w:spacing w:val="-15"/>
        </w:rPr>
        <w:t> </w:t>
      </w:r>
      <w:r>
        <w:rPr>
          <w:rFonts w:ascii="Cambria" w:hAnsi="Cambria"/>
        </w:rPr>
        <w:t>k </w:t>
      </w:r>
      <w:r>
        <w:rPr/>
        <w:t>represents</w:t>
      </w:r>
      <w:r>
        <w:rPr>
          <w:spacing w:val="-14"/>
        </w:rPr>
        <w:t> </w:t>
      </w:r>
      <w:r>
        <w:rPr/>
        <w:t>the</w:t>
      </w:r>
      <w:r>
        <w:rPr>
          <w:spacing w:val="-14"/>
        </w:rPr>
        <w:t> </w:t>
      </w:r>
      <w:r>
        <w:rPr/>
        <w:t>number</w:t>
      </w:r>
      <w:r>
        <w:rPr>
          <w:spacing w:val="-14"/>
        </w:rPr>
        <w:t> </w:t>
      </w:r>
      <w:r>
        <w:rPr/>
        <w:t>of</w:t>
      </w:r>
      <w:r>
        <w:rPr>
          <w:spacing w:val="-14"/>
        </w:rPr>
        <w:t> </w:t>
      </w:r>
      <w:r>
        <w:rPr/>
        <w:t>time</w:t>
      </w:r>
      <w:r>
        <w:rPr>
          <w:spacing w:val="-14"/>
        </w:rPr>
        <w:t> </w:t>
      </w:r>
      <w:r>
        <w:rPr/>
        <w:t>steps</w:t>
      </w:r>
      <w:r>
        <w:rPr>
          <w:spacing w:val="-14"/>
        </w:rPr>
        <w:t> </w:t>
      </w:r>
      <w:r>
        <w:rPr/>
        <w:t>in</w:t>
      </w:r>
      <w:r>
        <w:rPr>
          <w:spacing w:val="-14"/>
        </w:rPr>
        <w:t> </w:t>
      </w:r>
      <w:r>
        <w:rPr/>
        <w:t>the</w:t>
      </w:r>
      <w:r>
        <w:rPr>
          <w:spacing w:val="-14"/>
        </w:rPr>
        <w:t> </w:t>
      </w:r>
      <w:r>
        <w:rPr/>
        <w:t>future</w:t>
      </w:r>
      <w:r>
        <w:rPr>
          <w:spacing w:val="-14"/>
        </w:rPr>
        <w:t> </w:t>
      </w:r>
      <w:r>
        <w:rPr/>
        <w:t>and</w:t>
      </w:r>
      <w:r>
        <w:rPr>
          <w:spacing w:val="-14"/>
        </w:rPr>
        <w:t> </w:t>
      </w:r>
      <w:r>
        <w:rPr/>
        <w:t>the</w:t>
      </w:r>
      <w:r>
        <w:rPr>
          <w:spacing w:val="-14"/>
        </w:rPr>
        <w:t> </w:t>
      </w:r>
      <w:r>
        <w:rPr/>
        <w:t>discount</w:t>
      </w:r>
      <w:r>
        <w:rPr>
          <w:spacing w:val="-14"/>
        </w:rPr>
        <w:t> </w:t>
      </w:r>
      <w:r>
        <w:rPr/>
        <w:t>factor</w:t>
      </w:r>
      <w:r>
        <w:rPr>
          <w:spacing w:val="-14"/>
        </w:rPr>
        <w:t> </w:t>
      </w:r>
      <w:r>
        <w:rPr>
          <w:rFonts w:ascii="Cambria" w:hAnsi="Cambria"/>
        </w:rPr>
        <w:t>γ</w:t>
      </w:r>
      <w:r>
        <w:rPr>
          <w:rFonts w:ascii="Cambria" w:hAnsi="Cambria"/>
          <w:spacing w:val="20"/>
        </w:rPr>
        <w:t> </w:t>
      </w:r>
      <w:r>
        <w:rPr>
          <w:rFonts w:ascii="Lucida Sans Unicode" w:hAnsi="Lucida Sans Unicode"/>
        </w:rPr>
        <w:t>∈</w:t>
      </w:r>
      <w:r>
        <w:rPr>
          <w:rFonts w:ascii="Lucida Sans Unicode" w:hAnsi="Lucida Sans Unicode"/>
          <w:spacing w:val="-15"/>
        </w:rPr>
        <w:t> </w:t>
      </w:r>
      <w:r>
        <w:rPr>
          <w:rFonts w:ascii="Garamond" w:hAnsi="Garamond"/>
        </w:rPr>
        <w:t>[0</w:t>
      </w:r>
      <w:r>
        <w:rPr>
          <w:rFonts w:ascii="Cambria" w:hAnsi="Cambria"/>
        </w:rPr>
        <w:t>,</w:t>
      </w:r>
      <w:r>
        <w:rPr>
          <w:rFonts w:ascii="Cambria" w:hAnsi="Cambria"/>
          <w:spacing w:val="-14"/>
        </w:rPr>
        <w:t> </w:t>
      </w:r>
      <w:r>
        <w:rPr>
          <w:rFonts w:ascii="Garamond" w:hAnsi="Garamond"/>
        </w:rPr>
        <w:t>1] </w:t>
      </w:r>
      <w:r>
        <w:rPr/>
        <w:t>provides</w:t>
      </w:r>
      <w:r>
        <w:rPr>
          <w:spacing w:val="-4"/>
        </w:rPr>
        <w:t> </w:t>
      </w:r>
      <w:r>
        <w:rPr/>
        <w:t>the</w:t>
      </w:r>
      <w:r>
        <w:rPr>
          <w:spacing w:val="-4"/>
        </w:rPr>
        <w:t> </w:t>
      </w:r>
      <w:r>
        <w:rPr/>
        <w:t>present</w:t>
      </w:r>
      <w:r>
        <w:rPr>
          <w:spacing w:val="-4"/>
        </w:rPr>
        <w:t> </w:t>
      </w:r>
      <w:r>
        <w:rPr/>
        <w:t>value</w:t>
      </w:r>
      <w:r>
        <w:rPr>
          <w:spacing w:val="-5"/>
        </w:rPr>
        <w:t> </w:t>
      </w:r>
      <w:r>
        <w:rPr/>
        <w:t>of</w:t>
      </w:r>
      <w:r>
        <w:rPr>
          <w:spacing w:val="-4"/>
        </w:rPr>
        <w:t> </w:t>
      </w:r>
      <w:r>
        <w:rPr/>
        <w:t>future</w:t>
      </w:r>
      <w:r>
        <w:rPr>
          <w:spacing w:val="-4"/>
        </w:rPr>
        <w:t> </w:t>
      </w:r>
      <w:r>
        <w:rPr/>
        <w:t>rewards. The</w:t>
      </w:r>
      <w:r>
        <w:rPr>
          <w:spacing w:val="-4"/>
        </w:rPr>
        <w:t> </w:t>
      </w:r>
      <w:r>
        <w:rPr/>
        <w:t>value</w:t>
      </w:r>
      <w:r>
        <w:rPr>
          <w:spacing w:val="-4"/>
        </w:rPr>
        <w:t> </w:t>
      </w:r>
      <w:r>
        <w:rPr/>
        <w:t>of</w:t>
      </w:r>
      <w:r>
        <w:rPr>
          <w:spacing w:val="-4"/>
        </w:rPr>
        <w:t> </w:t>
      </w:r>
      <w:r>
        <w:rPr/>
        <w:t>receiving</w:t>
      </w:r>
      <w:r>
        <w:rPr>
          <w:spacing w:val="-5"/>
        </w:rPr>
        <w:t> </w:t>
      </w:r>
      <w:r>
        <w:rPr/>
        <w:t>reward</w:t>
      </w:r>
      <w:r>
        <w:rPr>
          <w:spacing w:val="-4"/>
        </w:rPr>
        <w:t> </w:t>
      </w:r>
      <w:r>
        <w:rPr>
          <w:rFonts w:ascii="Cambria" w:hAnsi="Cambria"/>
        </w:rPr>
        <w:t>R </w:t>
      </w:r>
      <w:r>
        <w:rPr/>
        <w:t>after</w:t>
      </w:r>
      <w:r>
        <w:rPr>
          <w:spacing w:val="-4"/>
        </w:rPr>
        <w:t> </w:t>
      </w:r>
      <w:r>
        <w:rPr>
          <w:rFonts w:ascii="Cambria" w:hAnsi="Cambria"/>
        </w:rPr>
        <w:t>k </w:t>
      </w:r>
      <w:r>
        <w:rPr>
          <w:rFonts w:ascii="Garamond" w:hAnsi="Garamond"/>
        </w:rPr>
        <w:t>+</w:t>
      </w:r>
      <w:r>
        <w:rPr>
          <w:rFonts w:ascii="Garamond" w:hAnsi="Garamond"/>
          <w:spacing w:val="-13"/>
        </w:rPr>
        <w:t> </w:t>
      </w:r>
      <w:r>
        <w:rPr>
          <w:rFonts w:ascii="Garamond" w:hAnsi="Garamond"/>
        </w:rPr>
        <w:t>1 </w:t>
      </w:r>
      <w:r>
        <w:rPr/>
        <w:t>time-steps is </w:t>
      </w:r>
      <w:r>
        <w:rPr>
          <w:rFonts w:ascii="Cambria" w:hAnsi="Cambria"/>
        </w:rPr>
        <w:t>γ</w:t>
      </w:r>
      <w:r>
        <w:rPr>
          <w:rFonts w:ascii="Cambria" w:hAnsi="Cambria"/>
          <w:vertAlign w:val="superscript"/>
        </w:rPr>
        <w:t>k</w:t>
      </w:r>
      <w:r>
        <w:rPr>
          <w:rFonts w:ascii="Cambria" w:hAnsi="Cambria"/>
          <w:vertAlign w:val="baseline"/>
        </w:rPr>
        <w:t>R</w:t>
      </w:r>
      <w:r>
        <w:rPr>
          <w:vertAlign w:val="baseline"/>
        </w:rPr>
        <w:t>.</w:t>
      </w:r>
    </w:p>
    <w:p>
      <w:pPr>
        <w:pStyle w:val="BodyText"/>
        <w:spacing w:line="302" w:lineRule="auto" w:before="29"/>
        <w:ind w:left="610" w:right="389" w:firstLine="351"/>
        <w:jc w:val="both"/>
      </w:pPr>
      <w:r>
        <w:rPr/>
        <w:t>Subsequently,</w:t>
      </w:r>
      <w:r>
        <w:rPr>
          <w:spacing w:val="-9"/>
        </w:rPr>
        <w:t> </w:t>
      </w:r>
      <w:r>
        <w:rPr/>
        <w:t>the</w:t>
      </w:r>
      <w:r>
        <w:rPr>
          <w:spacing w:val="-11"/>
        </w:rPr>
        <w:t> </w:t>
      </w:r>
      <w:r>
        <w:rPr/>
        <w:t>value</w:t>
      </w:r>
      <w:r>
        <w:rPr>
          <w:spacing w:val="-11"/>
        </w:rPr>
        <w:t> </w:t>
      </w:r>
      <w:r>
        <w:rPr/>
        <w:t>function</w:t>
      </w:r>
      <w:r>
        <w:rPr>
          <w:spacing w:val="-11"/>
        </w:rPr>
        <w:t> </w:t>
      </w:r>
      <w:r>
        <w:rPr>
          <w:rFonts w:ascii="Cambria"/>
        </w:rPr>
        <w:t>V</w:t>
      </w:r>
      <w:r>
        <w:rPr>
          <w:rFonts w:ascii="Cambria"/>
          <w:spacing w:val="-4"/>
        </w:rPr>
        <w:t> </w:t>
      </w:r>
      <w:r>
        <w:rPr>
          <w:rFonts w:ascii="Garamond"/>
        </w:rPr>
        <w:t>(</w:t>
      </w:r>
      <w:r>
        <w:rPr>
          <w:rFonts w:ascii="Cambria"/>
        </w:rPr>
        <w:t>s</w:t>
      </w:r>
      <w:r>
        <w:rPr>
          <w:rFonts w:ascii="Garamond"/>
        </w:rPr>
        <w:t>)</w:t>
      </w:r>
      <w:r>
        <w:rPr>
          <w:rFonts w:ascii="Garamond"/>
          <w:spacing w:val="-10"/>
        </w:rPr>
        <w:t> </w:t>
      </w:r>
      <w:r>
        <w:rPr/>
        <w:t>for</w:t>
      </w:r>
      <w:r>
        <w:rPr>
          <w:spacing w:val="-11"/>
        </w:rPr>
        <w:t> </w:t>
      </w:r>
      <w:r>
        <w:rPr/>
        <w:t>state</w:t>
      </w:r>
      <w:r>
        <w:rPr>
          <w:spacing w:val="-11"/>
        </w:rPr>
        <w:t> </w:t>
      </w:r>
      <w:r>
        <w:rPr>
          <w:rFonts w:ascii="Cambria"/>
        </w:rPr>
        <w:t>s</w:t>
      </w:r>
      <w:r>
        <w:rPr>
          <w:rFonts w:ascii="Cambria"/>
          <w:spacing w:val="-3"/>
        </w:rPr>
        <w:t> </w:t>
      </w:r>
      <w:r>
        <w:rPr/>
        <w:t>can</w:t>
      </w:r>
      <w:r>
        <w:rPr>
          <w:spacing w:val="-11"/>
        </w:rPr>
        <w:t> </w:t>
      </w:r>
      <w:r>
        <w:rPr/>
        <w:t>be</w:t>
      </w:r>
      <w:r>
        <w:rPr>
          <w:spacing w:val="-11"/>
        </w:rPr>
        <w:t> </w:t>
      </w:r>
      <w:r>
        <w:rPr/>
        <w:t>defined</w:t>
      </w:r>
      <w:r>
        <w:rPr>
          <w:spacing w:val="-11"/>
        </w:rPr>
        <w:t> </w:t>
      </w:r>
      <w:r>
        <w:rPr/>
        <w:t>as</w:t>
      </w:r>
      <w:r>
        <w:rPr>
          <w:spacing w:val="-11"/>
        </w:rPr>
        <w:t> </w:t>
      </w:r>
      <w:r>
        <w:rPr/>
        <w:t>the</w:t>
      </w:r>
      <w:r>
        <w:rPr>
          <w:spacing w:val="-11"/>
        </w:rPr>
        <w:t> </w:t>
      </w:r>
      <w:r>
        <w:rPr/>
        <w:t>expected</w:t>
      </w:r>
      <w:r>
        <w:rPr>
          <w:spacing w:val="-11"/>
        </w:rPr>
        <w:t> </w:t>
      </w:r>
      <w:r>
        <w:rPr/>
        <w:t>return when</w:t>
      </w:r>
      <w:r>
        <w:rPr>
          <w:spacing w:val="-1"/>
        </w:rPr>
        <w:t> </w:t>
      </w:r>
      <w:r>
        <w:rPr/>
        <w:t>starting</w:t>
      </w:r>
      <w:r>
        <w:rPr>
          <w:spacing w:val="-1"/>
        </w:rPr>
        <w:t> </w:t>
      </w:r>
      <w:r>
        <w:rPr/>
        <w:t>from</w:t>
      </w:r>
      <w:r>
        <w:rPr>
          <w:spacing w:val="-1"/>
        </w:rPr>
        <w:t> </w:t>
      </w:r>
      <w:r>
        <w:rPr/>
        <w:t>state</w:t>
      </w:r>
      <w:r>
        <w:rPr>
          <w:spacing w:val="-1"/>
        </w:rPr>
        <w:t> </w:t>
      </w:r>
      <w:r>
        <w:rPr>
          <w:rFonts w:ascii="Cambria"/>
        </w:rPr>
        <w:t>s </w:t>
      </w:r>
      <w:r>
        <w:rPr/>
        <w:t>(Definition</w:t>
      </w:r>
      <w:hyperlink w:history="true" w:anchor="_bookmark61">
        <w:r>
          <w:rPr>
            <w:color w:val="0000FF"/>
          </w:rPr>
          <w:t>3.2.2</w:t>
        </w:r>
      </w:hyperlink>
      <w:r>
        <w:rPr/>
        <w:t>). It</w:t>
      </w:r>
      <w:r>
        <w:rPr>
          <w:spacing w:val="-1"/>
        </w:rPr>
        <w:t> </w:t>
      </w:r>
      <w:r>
        <w:rPr/>
        <w:t>provides</w:t>
      </w:r>
      <w:r>
        <w:rPr>
          <w:spacing w:val="-1"/>
        </w:rPr>
        <w:t> </w:t>
      </w:r>
      <w:r>
        <w:rPr/>
        <w:t>the</w:t>
      </w:r>
      <w:r>
        <w:rPr>
          <w:spacing w:val="-1"/>
        </w:rPr>
        <w:t> </w:t>
      </w:r>
      <w:r>
        <w:rPr/>
        <w:t>long-term</w:t>
      </w:r>
      <w:r>
        <w:rPr>
          <w:spacing w:val="-1"/>
        </w:rPr>
        <w:t> </w:t>
      </w:r>
      <w:r>
        <w:rPr/>
        <w:t>value</w:t>
      </w:r>
      <w:r>
        <w:rPr>
          <w:spacing w:val="-1"/>
        </w:rPr>
        <w:t> </w:t>
      </w:r>
      <w:r>
        <w:rPr/>
        <w:t>of</w:t>
      </w:r>
      <w:r>
        <w:rPr>
          <w:spacing w:val="40"/>
        </w:rPr>
        <w:t> </w:t>
      </w:r>
      <w:r>
        <w:rPr>
          <w:rFonts w:ascii="Cambria"/>
        </w:rPr>
        <w:t>s</w:t>
      </w:r>
      <w:r>
        <w:rPr/>
        <w:t>, </w:t>
      </w:r>
      <w:r>
        <w:rPr/>
        <w:t>which in rugby league identifies the expected points obtained from state </w:t>
      </w:r>
      <w:r>
        <w:rPr>
          <w:rFonts w:ascii="Cambria"/>
        </w:rPr>
        <w:t>s </w:t>
      </w:r>
      <w:r>
        <w:rPr/>
        <w:t>at the end of the </w:t>
      </w:r>
      <w:r>
        <w:rPr>
          <w:spacing w:val="-2"/>
        </w:rPr>
        <w:t>possession.</w:t>
      </w:r>
    </w:p>
    <w:p>
      <w:pPr>
        <w:pStyle w:val="BodyText"/>
        <w:spacing w:line="295" w:lineRule="auto" w:before="213"/>
        <w:ind w:left="610" w:right="389"/>
        <w:jc w:val="both"/>
      </w:pPr>
      <w:bookmarkStart w:name="_bookmark61" w:id="115"/>
      <w:bookmarkEnd w:id="115"/>
      <w:r>
        <w:rPr/>
      </w:r>
      <w:r>
        <w:rPr>
          <w:b/>
        </w:rPr>
        <w:t>Definition</w:t>
      </w:r>
      <w:r>
        <w:rPr>
          <w:b/>
          <w:spacing w:val="-11"/>
        </w:rPr>
        <w:t> </w:t>
      </w:r>
      <w:r>
        <w:rPr>
          <w:b/>
        </w:rPr>
        <w:t>3.2.2.</w:t>
      </w:r>
      <w:r>
        <w:rPr>
          <w:b/>
          <w:spacing w:val="24"/>
        </w:rPr>
        <w:t> </w:t>
      </w:r>
      <w:r>
        <w:rPr/>
        <w:t>State</w:t>
      </w:r>
      <w:r>
        <w:rPr>
          <w:spacing w:val="-11"/>
        </w:rPr>
        <w:t> </w:t>
      </w:r>
      <w:r>
        <w:rPr/>
        <w:t>value</w:t>
      </w:r>
      <w:r>
        <w:rPr>
          <w:spacing w:val="-11"/>
        </w:rPr>
        <w:t> </w:t>
      </w:r>
      <w:r>
        <w:rPr/>
        <w:t>function</w:t>
      </w:r>
      <w:r>
        <w:rPr>
          <w:spacing w:val="-11"/>
        </w:rPr>
        <w:t> </w:t>
      </w:r>
      <w:r>
        <w:rPr>
          <w:rFonts w:ascii="Cambria"/>
        </w:rPr>
        <w:t>V</w:t>
      </w:r>
      <w:r>
        <w:rPr>
          <w:rFonts w:ascii="Cambria"/>
          <w:spacing w:val="-3"/>
        </w:rPr>
        <w:t> </w:t>
      </w:r>
      <w:r>
        <w:rPr>
          <w:rFonts w:ascii="Garamond"/>
        </w:rPr>
        <w:t>(</w:t>
      </w:r>
      <w:r>
        <w:rPr>
          <w:rFonts w:ascii="Cambria"/>
        </w:rPr>
        <w:t>s</w:t>
      </w:r>
      <w:r>
        <w:rPr>
          <w:rFonts w:ascii="Garamond"/>
        </w:rPr>
        <w:t>)</w:t>
      </w:r>
      <w:r>
        <w:rPr>
          <w:rFonts w:ascii="Garamond"/>
          <w:spacing w:val="-11"/>
        </w:rPr>
        <w:t> </w:t>
      </w:r>
      <w:r>
        <w:rPr/>
        <w:t>for</w:t>
      </w:r>
      <w:r>
        <w:rPr>
          <w:spacing w:val="-11"/>
        </w:rPr>
        <w:t> </w:t>
      </w:r>
      <w:r>
        <w:rPr/>
        <w:t>state</w:t>
      </w:r>
      <w:r>
        <w:rPr>
          <w:spacing w:val="-11"/>
        </w:rPr>
        <w:t> </w:t>
      </w:r>
      <w:r>
        <w:rPr>
          <w:rFonts w:ascii="Cambria"/>
        </w:rPr>
        <w:t>s</w:t>
      </w:r>
      <w:r>
        <w:rPr>
          <w:rFonts w:ascii="Cambria"/>
          <w:spacing w:val="-4"/>
        </w:rPr>
        <w:t> </w:t>
      </w:r>
      <w:r>
        <w:rPr/>
        <w:t>is</w:t>
      </w:r>
      <w:r>
        <w:rPr>
          <w:spacing w:val="-11"/>
        </w:rPr>
        <w:t> </w:t>
      </w:r>
      <w:r>
        <w:rPr/>
        <w:t>the</w:t>
      </w:r>
      <w:r>
        <w:rPr>
          <w:spacing w:val="-11"/>
        </w:rPr>
        <w:t> </w:t>
      </w:r>
      <w:r>
        <w:rPr/>
        <w:t>expected</w:t>
      </w:r>
      <w:r>
        <w:rPr>
          <w:spacing w:val="-11"/>
        </w:rPr>
        <w:t> </w:t>
      </w:r>
      <w:r>
        <w:rPr/>
        <w:t>return</w:t>
      </w:r>
      <w:r>
        <w:rPr>
          <w:spacing w:val="-11"/>
        </w:rPr>
        <w:t> </w:t>
      </w:r>
      <w:r>
        <w:rPr/>
        <w:t>when</w:t>
      </w:r>
      <w:r>
        <w:rPr>
          <w:spacing w:val="-11"/>
        </w:rPr>
        <w:t> </w:t>
      </w:r>
      <w:r>
        <w:rPr/>
        <w:t>starting from state </w:t>
      </w:r>
      <w:r>
        <w:rPr>
          <w:rFonts w:ascii="Cambria"/>
        </w:rPr>
        <w:t>s</w:t>
      </w:r>
      <w:r>
        <w:rPr/>
        <w:t>:</w:t>
      </w:r>
    </w:p>
    <w:p>
      <w:pPr>
        <w:pStyle w:val="BodyText"/>
        <w:tabs>
          <w:tab w:pos="8656" w:val="left" w:leader="none"/>
        </w:tabs>
        <w:spacing w:line="349" w:lineRule="exact"/>
        <w:ind w:left="3797"/>
      </w:pPr>
      <w:r>
        <w:rPr>
          <w:rFonts w:ascii="Cambria"/>
          <w:w w:val="110"/>
        </w:rPr>
        <w:t>V</w:t>
      </w:r>
      <w:r>
        <w:rPr>
          <w:rFonts w:ascii="Cambria"/>
          <w:spacing w:val="-7"/>
          <w:w w:val="110"/>
        </w:rPr>
        <w:t> </w:t>
      </w:r>
      <w:r>
        <w:rPr>
          <w:rFonts w:ascii="Garamond"/>
          <w:w w:val="110"/>
        </w:rPr>
        <w:t>(</w:t>
      </w:r>
      <w:r>
        <w:rPr>
          <w:rFonts w:ascii="Cambria"/>
          <w:w w:val="110"/>
        </w:rPr>
        <w:t>s</w:t>
      </w:r>
      <w:r>
        <w:rPr>
          <w:rFonts w:ascii="Garamond"/>
          <w:w w:val="110"/>
        </w:rPr>
        <w:t>) = </w:t>
      </w:r>
      <w:r>
        <w:rPr>
          <w:rFonts w:ascii="Georgia"/>
          <w:b/>
          <w:w w:val="110"/>
        </w:rPr>
        <w:t>E</w:t>
      </w:r>
      <w:r>
        <w:rPr>
          <w:rFonts w:ascii="Garamond"/>
          <w:w w:val="110"/>
        </w:rPr>
        <w:t>[</w:t>
      </w:r>
      <w:r>
        <w:rPr>
          <w:rFonts w:ascii="Cambria"/>
          <w:w w:val="110"/>
        </w:rPr>
        <w:t>G</w:t>
      </w:r>
      <w:r>
        <w:rPr>
          <w:rFonts w:ascii="Cambria"/>
          <w:w w:val="110"/>
          <w:vertAlign w:val="subscript"/>
        </w:rPr>
        <w:t>t</w:t>
      </w:r>
      <w:r>
        <w:rPr>
          <w:rFonts w:ascii="Lucida Sans Unicode"/>
          <w:w w:val="110"/>
          <w:vertAlign w:val="baseline"/>
        </w:rPr>
        <w:t>|</w:t>
      </w:r>
      <w:r>
        <w:rPr>
          <w:rFonts w:ascii="Cambria"/>
          <w:w w:val="110"/>
          <w:vertAlign w:val="baseline"/>
        </w:rPr>
        <w:t>S</w:t>
      </w:r>
      <w:r>
        <w:rPr>
          <w:rFonts w:ascii="Cambria"/>
          <w:w w:val="110"/>
          <w:vertAlign w:val="subscript"/>
        </w:rPr>
        <w:t>t</w:t>
      </w:r>
      <w:r>
        <w:rPr>
          <w:rFonts w:ascii="Cambria"/>
          <w:spacing w:val="17"/>
          <w:w w:val="110"/>
          <w:vertAlign w:val="baseline"/>
        </w:rPr>
        <w:t> </w:t>
      </w:r>
      <w:r>
        <w:rPr>
          <w:rFonts w:ascii="Garamond"/>
          <w:w w:val="110"/>
          <w:vertAlign w:val="baseline"/>
        </w:rPr>
        <w:t>= </w:t>
      </w:r>
      <w:r>
        <w:rPr>
          <w:rFonts w:ascii="Cambria"/>
          <w:spacing w:val="-5"/>
          <w:w w:val="110"/>
          <w:vertAlign w:val="baseline"/>
        </w:rPr>
        <w:t>s</w:t>
      </w:r>
      <w:r>
        <w:rPr>
          <w:rFonts w:ascii="Garamond"/>
          <w:spacing w:val="-5"/>
          <w:w w:val="110"/>
          <w:vertAlign w:val="baseline"/>
        </w:rPr>
        <w:t>]</w:t>
      </w:r>
      <w:r>
        <w:rPr>
          <w:rFonts w:ascii="Cambria"/>
          <w:spacing w:val="-5"/>
          <w:w w:val="110"/>
          <w:vertAlign w:val="baseline"/>
        </w:rPr>
        <w:t>,</w:t>
      </w:r>
      <w:r>
        <w:rPr>
          <w:rFonts w:ascii="Cambria"/>
          <w:vertAlign w:val="baseline"/>
        </w:rPr>
        <w:tab/>
      </w:r>
      <w:r>
        <w:rPr>
          <w:spacing w:val="-2"/>
          <w:w w:val="110"/>
          <w:vertAlign w:val="baseline"/>
        </w:rPr>
        <w:t>(3.2)</w:t>
      </w:r>
    </w:p>
    <w:p>
      <w:pPr>
        <w:pStyle w:val="BodyText"/>
        <w:spacing w:line="312" w:lineRule="auto" w:before="228"/>
        <w:ind w:left="610" w:right="389" w:firstLine="351"/>
      </w:pPr>
      <w:r>
        <w:rPr/>
        <w:t>There</w:t>
      </w:r>
      <w:r>
        <w:rPr>
          <w:spacing w:val="-10"/>
        </w:rPr>
        <w:t> </w:t>
      </w:r>
      <w:r>
        <w:rPr/>
        <w:t>are</w:t>
      </w:r>
      <w:r>
        <w:rPr>
          <w:spacing w:val="-10"/>
        </w:rPr>
        <w:t> </w:t>
      </w:r>
      <w:r>
        <w:rPr/>
        <w:t>three</w:t>
      </w:r>
      <w:r>
        <w:rPr>
          <w:spacing w:val="-10"/>
        </w:rPr>
        <w:t> </w:t>
      </w:r>
      <w:r>
        <w:rPr/>
        <w:t>main</w:t>
      </w:r>
      <w:r>
        <w:rPr>
          <w:spacing w:val="-10"/>
        </w:rPr>
        <w:t> </w:t>
      </w:r>
      <w:r>
        <w:rPr/>
        <w:t>methods</w:t>
      </w:r>
      <w:r>
        <w:rPr>
          <w:spacing w:val="-10"/>
        </w:rPr>
        <w:t> </w:t>
      </w:r>
      <w:r>
        <w:rPr/>
        <w:t>of</w:t>
      </w:r>
      <w:r>
        <w:rPr>
          <w:spacing w:val="-10"/>
        </w:rPr>
        <w:t> </w:t>
      </w:r>
      <w:r>
        <w:rPr/>
        <w:t>solving</w:t>
      </w:r>
      <w:r>
        <w:rPr>
          <w:spacing w:val="-10"/>
        </w:rPr>
        <w:t> </w:t>
      </w:r>
      <w:r>
        <w:rPr/>
        <w:t>MRPs: dynamic</w:t>
      </w:r>
      <w:r>
        <w:rPr>
          <w:spacing w:val="-10"/>
        </w:rPr>
        <w:t> </w:t>
      </w:r>
      <w:r>
        <w:rPr/>
        <w:t>programming,</w:t>
      </w:r>
      <w:r>
        <w:rPr>
          <w:spacing w:val="-9"/>
        </w:rPr>
        <w:t> </w:t>
      </w:r>
      <w:r>
        <w:rPr/>
        <w:t>Monte</w:t>
      </w:r>
      <w:r>
        <w:rPr>
          <w:spacing w:val="-10"/>
        </w:rPr>
        <w:t> </w:t>
      </w:r>
      <w:r>
        <w:rPr/>
        <w:t>Carlo learning</w:t>
      </w:r>
      <w:r>
        <w:rPr>
          <w:spacing w:val="32"/>
        </w:rPr>
        <w:t> </w:t>
      </w:r>
      <w:r>
        <w:rPr/>
        <w:t>or</w:t>
      </w:r>
      <w:r>
        <w:rPr>
          <w:spacing w:val="32"/>
        </w:rPr>
        <w:t> </w:t>
      </w:r>
      <w:r>
        <w:rPr/>
        <w:t>Temporal</w:t>
      </w:r>
      <w:r>
        <w:rPr>
          <w:spacing w:val="32"/>
        </w:rPr>
        <w:t> </w:t>
      </w:r>
      <w:r>
        <w:rPr/>
        <w:t>Difference</w:t>
      </w:r>
      <w:r>
        <w:rPr>
          <w:spacing w:val="32"/>
        </w:rPr>
        <w:t> </w:t>
      </w:r>
      <w:r>
        <w:rPr/>
        <w:t>learning.</w:t>
      </w:r>
      <w:r>
        <w:rPr>
          <w:spacing w:val="80"/>
        </w:rPr>
        <w:t> </w:t>
      </w:r>
      <w:r>
        <w:rPr/>
        <w:t>Dynamic</w:t>
      </w:r>
      <w:r>
        <w:rPr>
          <w:spacing w:val="32"/>
        </w:rPr>
        <w:t> </w:t>
      </w:r>
      <w:r>
        <w:rPr/>
        <w:t>programming</w:t>
      </w:r>
      <w:r>
        <w:rPr>
          <w:spacing w:val="32"/>
        </w:rPr>
        <w:t> </w:t>
      </w:r>
      <w:r>
        <w:rPr/>
        <w:t>(</w:t>
      </w:r>
      <w:hyperlink w:history="true" w:anchor="_bookmark225">
        <w:r>
          <w:rPr>
            <w:color w:val="FF0000"/>
          </w:rPr>
          <w:t>Bellman</w:t>
        </w:r>
      </w:hyperlink>
      <w:r>
        <w:rPr/>
        <w:t>,</w:t>
      </w:r>
      <w:hyperlink w:history="true" w:anchor="_bookmark225">
        <w:r>
          <w:rPr>
            <w:color w:val="FF0000"/>
          </w:rPr>
          <w:t>1954</w:t>
        </w:r>
        <w:r>
          <w:rPr/>
          <w:t>)</w:t>
        </w:r>
      </w:hyperlink>
      <w:r>
        <w:rPr>
          <w:spacing w:val="32"/>
        </w:rPr>
        <w:t> </w:t>
      </w:r>
      <w:r>
        <w:rPr/>
        <w:t>is a model based learning method.</w:t>
      </w:r>
      <w:r>
        <w:rPr>
          <w:spacing w:val="35"/>
        </w:rPr>
        <w:t> </w:t>
      </w:r>
      <w:r>
        <w:rPr/>
        <w:t>It is a collection of algorithms, which can calculate the MRP</w:t>
      </w:r>
      <w:r>
        <w:rPr>
          <w:spacing w:val="-15"/>
        </w:rPr>
        <w:t> </w:t>
      </w:r>
      <w:r>
        <w:rPr/>
        <w:t>when</w:t>
      </w:r>
      <w:r>
        <w:rPr>
          <w:spacing w:val="-15"/>
        </w:rPr>
        <w:t> </w:t>
      </w:r>
      <w:r>
        <w:rPr/>
        <w:t>the</w:t>
      </w:r>
      <w:r>
        <w:rPr>
          <w:spacing w:val="-15"/>
        </w:rPr>
        <w:t> </w:t>
      </w:r>
      <w:r>
        <w:rPr/>
        <w:t>transition</w:t>
      </w:r>
      <w:r>
        <w:rPr>
          <w:spacing w:val="-15"/>
        </w:rPr>
        <w:t> </w:t>
      </w:r>
      <w:r>
        <w:rPr/>
        <w:t>matrix</w:t>
      </w:r>
      <w:r>
        <w:rPr>
          <w:spacing w:val="-15"/>
        </w:rPr>
        <w:t> </w:t>
      </w:r>
      <w:r>
        <w:rPr/>
        <w:t>is</w:t>
      </w:r>
      <w:r>
        <w:rPr>
          <w:spacing w:val="-15"/>
        </w:rPr>
        <w:t> </w:t>
      </w:r>
      <w:r>
        <w:rPr/>
        <w:t>known</w:t>
      </w:r>
      <w:r>
        <w:rPr>
          <w:spacing w:val="-15"/>
        </w:rPr>
        <w:t> </w:t>
      </w:r>
      <w:r>
        <w:rPr/>
        <w:t>or</w:t>
      </w:r>
      <w:r>
        <w:rPr>
          <w:spacing w:val="-15"/>
        </w:rPr>
        <w:t> </w:t>
      </w:r>
      <w:r>
        <w:rPr/>
        <w:t>can</w:t>
      </w:r>
      <w:r>
        <w:rPr>
          <w:spacing w:val="-15"/>
        </w:rPr>
        <w:t> </w:t>
      </w:r>
      <w:r>
        <w:rPr/>
        <w:t>be</w:t>
      </w:r>
      <w:r>
        <w:rPr>
          <w:spacing w:val="-15"/>
        </w:rPr>
        <w:t> </w:t>
      </w:r>
      <w:r>
        <w:rPr/>
        <w:t>estimated.</w:t>
      </w:r>
      <w:r>
        <w:rPr>
          <w:spacing w:val="-15"/>
        </w:rPr>
        <w:t> </w:t>
      </w:r>
      <w:r>
        <w:rPr/>
        <w:t>Monte</w:t>
      </w:r>
      <w:r>
        <w:rPr>
          <w:spacing w:val="-15"/>
        </w:rPr>
        <w:t> </w:t>
      </w:r>
      <w:r>
        <w:rPr/>
        <w:t>Carlo</w:t>
      </w:r>
      <w:r>
        <w:rPr>
          <w:spacing w:val="-15"/>
        </w:rPr>
        <w:t> </w:t>
      </w:r>
      <w:r>
        <w:rPr/>
        <w:t>and</w:t>
      </w:r>
      <w:r>
        <w:rPr>
          <w:spacing w:val="-15"/>
        </w:rPr>
        <w:t> </w:t>
      </w:r>
      <w:r>
        <w:rPr/>
        <w:t>Temporal Difference learning (</w:t>
      </w:r>
      <w:hyperlink w:history="true" w:anchor="_bookmark301">
        <w:r>
          <w:rPr>
            <w:color w:val="FF0000"/>
          </w:rPr>
          <w:t>Sutton and Barto</w:t>
        </w:r>
      </w:hyperlink>
      <w:r>
        <w:rPr/>
        <w:t>,</w:t>
      </w:r>
      <w:hyperlink w:history="true" w:anchor="_bookmark301">
        <w:r>
          <w:rPr>
            <w:color w:val="FF0000"/>
          </w:rPr>
          <w:t>2018</w:t>
        </w:r>
        <w:r>
          <w:rPr/>
          <w:t>)</w:t>
        </w:r>
      </w:hyperlink>
      <w:r>
        <w:rPr/>
        <w:t> are model free learning methods.</w:t>
      </w:r>
      <w:r>
        <w:rPr>
          <w:spacing w:val="40"/>
        </w:rPr>
        <w:t> </w:t>
      </w:r>
      <w:r>
        <w:rPr/>
        <w:t>They do </w:t>
      </w:r>
      <w:r>
        <w:rPr>
          <w:spacing w:val="-2"/>
        </w:rPr>
        <w:t>not</w:t>
      </w:r>
      <w:r>
        <w:rPr>
          <w:spacing w:val="-9"/>
        </w:rPr>
        <w:t> </w:t>
      </w:r>
      <w:r>
        <w:rPr>
          <w:spacing w:val="-2"/>
        </w:rPr>
        <w:t>require</w:t>
      </w:r>
      <w:r>
        <w:rPr>
          <w:spacing w:val="-9"/>
        </w:rPr>
        <w:t> </w:t>
      </w:r>
      <w:r>
        <w:rPr>
          <w:spacing w:val="-2"/>
        </w:rPr>
        <w:t>the</w:t>
      </w:r>
      <w:r>
        <w:rPr>
          <w:spacing w:val="-9"/>
        </w:rPr>
        <w:t> </w:t>
      </w:r>
      <w:r>
        <w:rPr>
          <w:spacing w:val="-2"/>
        </w:rPr>
        <w:t>transition</w:t>
      </w:r>
      <w:r>
        <w:rPr>
          <w:spacing w:val="-9"/>
        </w:rPr>
        <w:t> </w:t>
      </w:r>
      <w:r>
        <w:rPr>
          <w:spacing w:val="-2"/>
        </w:rPr>
        <w:t>matrix</w:t>
      </w:r>
      <w:r>
        <w:rPr>
          <w:spacing w:val="-9"/>
        </w:rPr>
        <w:t> </w:t>
      </w:r>
      <w:r>
        <w:rPr>
          <w:spacing w:val="-2"/>
        </w:rPr>
        <w:t>to</w:t>
      </w:r>
      <w:r>
        <w:rPr>
          <w:spacing w:val="-9"/>
        </w:rPr>
        <w:t> </w:t>
      </w:r>
      <w:r>
        <w:rPr>
          <w:spacing w:val="-2"/>
        </w:rPr>
        <w:t>be</w:t>
      </w:r>
      <w:r>
        <w:rPr>
          <w:spacing w:val="-9"/>
        </w:rPr>
        <w:t> </w:t>
      </w:r>
      <w:r>
        <w:rPr>
          <w:spacing w:val="-2"/>
        </w:rPr>
        <w:t>estimated</w:t>
      </w:r>
      <w:r>
        <w:rPr>
          <w:spacing w:val="-9"/>
        </w:rPr>
        <w:t> </w:t>
      </w:r>
      <w:r>
        <w:rPr>
          <w:spacing w:val="-2"/>
        </w:rPr>
        <w:t>as</w:t>
      </w:r>
      <w:r>
        <w:rPr>
          <w:spacing w:val="-9"/>
        </w:rPr>
        <w:t> </w:t>
      </w:r>
      <w:r>
        <w:rPr>
          <w:spacing w:val="-2"/>
        </w:rPr>
        <w:t>they</w:t>
      </w:r>
      <w:r>
        <w:rPr>
          <w:spacing w:val="-9"/>
        </w:rPr>
        <w:t> </w:t>
      </w:r>
      <w:r>
        <w:rPr>
          <w:spacing w:val="-2"/>
        </w:rPr>
        <w:t>learn</w:t>
      </w:r>
      <w:r>
        <w:rPr>
          <w:spacing w:val="-9"/>
        </w:rPr>
        <w:t> </w:t>
      </w:r>
      <w:r>
        <w:rPr>
          <w:spacing w:val="-2"/>
        </w:rPr>
        <w:t>from</w:t>
      </w:r>
      <w:r>
        <w:rPr>
          <w:spacing w:val="-9"/>
        </w:rPr>
        <w:t> </w:t>
      </w:r>
      <w:r>
        <w:rPr>
          <w:spacing w:val="-2"/>
        </w:rPr>
        <w:t>experience.</w:t>
      </w:r>
      <w:r>
        <w:rPr>
          <w:spacing w:val="18"/>
        </w:rPr>
        <w:t> </w:t>
      </w:r>
      <w:r>
        <w:rPr>
          <w:spacing w:val="-2"/>
        </w:rPr>
        <w:t>Of</w:t>
      </w:r>
      <w:r>
        <w:rPr>
          <w:spacing w:val="-9"/>
        </w:rPr>
        <w:t> </w:t>
      </w:r>
      <w:r>
        <w:rPr>
          <w:spacing w:val="-2"/>
        </w:rPr>
        <w:t>the</w:t>
      </w:r>
      <w:r>
        <w:rPr>
          <w:spacing w:val="-9"/>
        </w:rPr>
        <w:t> </w:t>
      </w:r>
      <w:r>
        <w:rPr>
          <w:spacing w:val="-2"/>
        </w:rPr>
        <w:t>three </w:t>
      </w:r>
      <w:r>
        <w:rPr/>
        <w:t>methods, Monte Carlo learning is the only algorithm which utilises full episodes when updating</w:t>
      </w:r>
      <w:r>
        <w:rPr>
          <w:spacing w:val="-6"/>
        </w:rPr>
        <w:t> </w:t>
      </w:r>
      <w:r>
        <w:rPr/>
        <w:t>its</w:t>
      </w:r>
      <w:r>
        <w:rPr>
          <w:spacing w:val="-6"/>
        </w:rPr>
        <w:t> </w:t>
      </w:r>
      <w:r>
        <w:rPr/>
        <w:t>values. Consequently,</w:t>
      </w:r>
      <w:r>
        <w:rPr>
          <w:spacing w:val="-6"/>
        </w:rPr>
        <w:t> </w:t>
      </w:r>
      <w:r>
        <w:rPr/>
        <w:t>it</w:t>
      </w:r>
      <w:r>
        <w:rPr>
          <w:spacing w:val="-6"/>
        </w:rPr>
        <w:t> </w:t>
      </w:r>
      <w:r>
        <w:rPr/>
        <w:t>is</w:t>
      </w:r>
      <w:r>
        <w:rPr>
          <w:spacing w:val="-6"/>
        </w:rPr>
        <w:t> </w:t>
      </w:r>
      <w:r>
        <w:rPr/>
        <w:t>the</w:t>
      </w:r>
      <w:r>
        <w:rPr>
          <w:spacing w:val="-6"/>
        </w:rPr>
        <w:t> </w:t>
      </w:r>
      <w:r>
        <w:rPr/>
        <w:t>only</w:t>
      </w:r>
      <w:r>
        <w:rPr>
          <w:spacing w:val="-6"/>
        </w:rPr>
        <w:t> </w:t>
      </w:r>
      <w:r>
        <w:rPr/>
        <w:t>algorithm</w:t>
      </w:r>
      <w:r>
        <w:rPr>
          <w:spacing w:val="-6"/>
        </w:rPr>
        <w:t> </w:t>
      </w:r>
      <w:r>
        <w:rPr/>
        <w:t>which</w:t>
      </w:r>
      <w:r>
        <w:rPr>
          <w:spacing w:val="-6"/>
        </w:rPr>
        <w:t> </w:t>
      </w:r>
      <w:r>
        <w:rPr/>
        <w:t>does</w:t>
      </w:r>
      <w:r>
        <w:rPr>
          <w:spacing w:val="-6"/>
        </w:rPr>
        <w:t> </w:t>
      </w:r>
      <w:r>
        <w:rPr/>
        <w:t>not</w:t>
      </w:r>
      <w:r>
        <w:rPr>
          <w:spacing w:val="-6"/>
        </w:rPr>
        <w:t> </w:t>
      </w:r>
      <w:r>
        <w:rPr/>
        <w:t>provide</w:t>
      </w:r>
      <w:r>
        <w:rPr>
          <w:spacing w:val="-6"/>
        </w:rPr>
        <w:t> </w:t>
      </w:r>
      <w:r>
        <w:rPr/>
        <w:t>biased estimates (</w:t>
      </w:r>
      <w:hyperlink w:history="true" w:anchor="_bookmark301">
        <w:r>
          <w:rPr>
            <w:color w:val="FF0000"/>
          </w:rPr>
          <w:t>Sutton and Barto</w:t>
        </w:r>
      </w:hyperlink>
      <w:r>
        <w:rPr/>
        <w:t>,</w:t>
      </w:r>
      <w:hyperlink w:history="true" w:anchor="_bookmark301">
        <w:r>
          <w:rPr>
            <w:color w:val="FF0000"/>
          </w:rPr>
          <w:t>2018</w:t>
        </w:r>
      </w:hyperlink>
      <w:r>
        <w:rPr/>
        <w:t>).</w:t>
      </w:r>
      <w:r>
        <w:rPr>
          <w:spacing w:val="40"/>
        </w:rPr>
        <w:t> </w:t>
      </w:r>
      <w:r>
        <w:rPr/>
        <w:t>This is advantageous in rugby league as complete samples of attacking possessions from the 2019 Super League season could be used to update state values using the algorithm.</w:t>
      </w:r>
    </w:p>
    <w:p>
      <w:pPr>
        <w:pStyle w:val="BodyText"/>
        <w:spacing w:before="2"/>
        <w:rPr>
          <w:sz w:val="30"/>
        </w:rPr>
      </w:pPr>
    </w:p>
    <w:p>
      <w:pPr>
        <w:pStyle w:val="Heading4"/>
        <w:numPr>
          <w:ilvl w:val="3"/>
          <w:numId w:val="18"/>
        </w:numPr>
        <w:tabs>
          <w:tab w:pos="1506" w:val="left" w:leader="none"/>
          <w:tab w:pos="1508" w:val="left" w:leader="none"/>
        </w:tabs>
        <w:spacing w:line="240" w:lineRule="auto" w:before="0" w:after="0"/>
        <w:ind w:left="1507" w:right="0" w:hanging="898"/>
        <w:jc w:val="left"/>
      </w:pPr>
      <w:bookmarkStart w:name="_TOC_250041" w:id="116"/>
      <w:bookmarkStart w:name="3.2.3.1 Expected Possession Value" w:id="117"/>
      <w:r>
        <w:rPr>
          <w:b w:val="0"/>
        </w:rPr>
      </w:r>
      <w:bookmarkStart w:name="_bookmark62" w:id="118"/>
      <w:bookmarkEnd w:id="118"/>
      <w:r>
        <w:rPr/>
        <w:t>Expected</w:t>
      </w:r>
      <w:r>
        <w:rPr>
          <w:spacing w:val="-14"/>
        </w:rPr>
        <w:t> </w:t>
      </w:r>
      <w:r>
        <w:rPr/>
        <w:t>Possession</w:t>
      </w:r>
      <w:r>
        <w:rPr>
          <w:spacing w:val="-14"/>
        </w:rPr>
        <w:t> </w:t>
      </w:r>
      <w:bookmarkEnd w:id="116"/>
      <w:r>
        <w:rPr>
          <w:spacing w:val="-2"/>
        </w:rPr>
        <w:t>Value</w:t>
      </w:r>
    </w:p>
    <w:p>
      <w:pPr>
        <w:pStyle w:val="BodyText"/>
        <w:spacing w:line="304" w:lineRule="auto" w:before="244"/>
        <w:ind w:left="610" w:right="389"/>
        <w:jc w:val="both"/>
      </w:pPr>
      <w:r>
        <w:rPr/>
        <w:t>Recall the definition of EPV as an instantaneous snapshot of a possession’s value </w:t>
      </w:r>
      <w:r>
        <w:rPr/>
        <w:t>(Def- inition</w:t>
      </w:r>
      <w:hyperlink w:history="true" w:anchor="_bookmark23">
        <w:r>
          <w:rPr>
            <w:color w:val="0000FF"/>
          </w:rPr>
          <w:t>2.2.2</w:t>
        </w:r>
      </w:hyperlink>
      <w:r>
        <w:rPr/>
        <w:t>).</w:t>
      </w:r>
      <w:r>
        <w:rPr>
          <w:spacing w:val="40"/>
        </w:rPr>
        <w:t> </w:t>
      </w:r>
      <w:r>
        <w:rPr/>
        <w:t>The value function</w:t>
      </w:r>
      <w:r>
        <w:rPr>
          <w:spacing w:val="40"/>
        </w:rPr>
        <w:t> </w:t>
      </w:r>
      <w:r>
        <w:rPr>
          <w:rFonts w:ascii="Cambria" w:hAnsi="Cambria"/>
        </w:rPr>
        <w:t>V</w:t>
      </w:r>
      <w:r>
        <w:rPr>
          <w:rFonts w:ascii="Cambria" w:hAnsi="Cambria"/>
          <w:spacing w:val="-2"/>
        </w:rPr>
        <w:t> </w:t>
      </w:r>
      <w:r>
        <w:rPr>
          <w:rFonts w:ascii="Garamond" w:hAnsi="Garamond"/>
        </w:rPr>
        <w:t>(</w:t>
      </w:r>
      <w:r>
        <w:rPr>
          <w:rFonts w:ascii="Cambria" w:hAnsi="Cambria"/>
        </w:rPr>
        <w:t>s</w:t>
      </w:r>
      <w:r>
        <w:rPr>
          <w:rFonts w:ascii="Garamond" w:hAnsi="Garamond"/>
        </w:rPr>
        <w:t>) </w:t>
      </w:r>
      <w:r>
        <w:rPr/>
        <w:t>for state </w:t>
      </w:r>
      <w:r>
        <w:rPr>
          <w:rFonts w:ascii="Cambria" w:hAnsi="Cambria"/>
        </w:rPr>
        <w:t>s </w:t>
      </w:r>
      <w:r>
        <w:rPr/>
        <w:t>provides this instantaneous value for state</w:t>
      </w:r>
      <w:r>
        <w:rPr>
          <w:spacing w:val="-4"/>
        </w:rPr>
        <w:t> </w:t>
      </w:r>
      <w:r>
        <w:rPr>
          <w:rFonts w:ascii="Cambria" w:hAnsi="Cambria"/>
        </w:rPr>
        <w:t>s </w:t>
      </w:r>
      <w:r>
        <w:rPr/>
        <w:t>based</w:t>
      </w:r>
      <w:r>
        <w:rPr>
          <w:spacing w:val="-4"/>
        </w:rPr>
        <w:t> </w:t>
      </w:r>
      <w:r>
        <w:rPr/>
        <w:t>on</w:t>
      </w:r>
      <w:r>
        <w:rPr>
          <w:spacing w:val="-4"/>
        </w:rPr>
        <w:t> </w:t>
      </w:r>
      <w:r>
        <w:rPr/>
        <w:t>the</w:t>
      </w:r>
      <w:r>
        <w:rPr>
          <w:spacing w:val="-4"/>
        </w:rPr>
        <w:t> </w:t>
      </w:r>
      <w:r>
        <w:rPr/>
        <w:t>expected</w:t>
      </w:r>
      <w:r>
        <w:rPr>
          <w:spacing w:val="-4"/>
        </w:rPr>
        <w:t> </w:t>
      </w:r>
      <w:r>
        <w:rPr/>
        <w:t>points</w:t>
      </w:r>
      <w:r>
        <w:rPr>
          <w:spacing w:val="-4"/>
        </w:rPr>
        <w:t> </w:t>
      </w:r>
      <w:r>
        <w:rPr/>
        <w:t>obtained</w:t>
      </w:r>
      <w:r>
        <w:rPr>
          <w:spacing w:val="-4"/>
        </w:rPr>
        <w:t> </w:t>
      </w:r>
      <w:r>
        <w:rPr/>
        <w:t>at</w:t>
      </w:r>
      <w:r>
        <w:rPr>
          <w:spacing w:val="-4"/>
        </w:rPr>
        <w:t> </w:t>
      </w:r>
      <w:r>
        <w:rPr/>
        <w:t>the</w:t>
      </w:r>
      <w:r>
        <w:rPr>
          <w:spacing w:val="-4"/>
        </w:rPr>
        <w:t> </w:t>
      </w:r>
      <w:r>
        <w:rPr/>
        <w:t>end</w:t>
      </w:r>
      <w:r>
        <w:rPr>
          <w:spacing w:val="-4"/>
        </w:rPr>
        <w:t> </w:t>
      </w:r>
      <w:r>
        <w:rPr/>
        <w:t>of</w:t>
      </w:r>
      <w:r>
        <w:rPr>
          <w:spacing w:val="-4"/>
        </w:rPr>
        <w:t> </w:t>
      </w:r>
      <w:r>
        <w:rPr/>
        <w:t>the</w:t>
      </w:r>
      <w:r>
        <w:rPr>
          <w:spacing w:val="-4"/>
        </w:rPr>
        <w:t> </w:t>
      </w:r>
      <w:r>
        <w:rPr/>
        <w:t>possession. Consequently, within</w:t>
      </w:r>
      <w:r>
        <w:rPr>
          <w:spacing w:val="-7"/>
        </w:rPr>
        <w:t> </w:t>
      </w:r>
      <w:r>
        <w:rPr/>
        <w:t>the</w:t>
      </w:r>
      <w:r>
        <w:rPr>
          <w:spacing w:val="-8"/>
        </w:rPr>
        <w:t> </w:t>
      </w:r>
      <w:r>
        <w:rPr/>
        <w:t>MRP</w:t>
      </w:r>
      <w:r>
        <w:rPr>
          <w:spacing w:val="-7"/>
        </w:rPr>
        <w:t> </w:t>
      </w:r>
      <w:r>
        <w:rPr/>
        <w:t>framework,</w:t>
      </w:r>
      <w:r>
        <w:rPr>
          <w:spacing w:val="-7"/>
        </w:rPr>
        <w:t> </w:t>
      </w:r>
      <w:r>
        <w:rPr/>
        <w:t>the</w:t>
      </w:r>
      <w:r>
        <w:rPr>
          <w:spacing w:val="-7"/>
        </w:rPr>
        <w:t> </w:t>
      </w:r>
      <w:r>
        <w:rPr/>
        <w:t>EPV</w:t>
      </w:r>
      <w:r>
        <w:rPr>
          <w:spacing w:val="-7"/>
        </w:rPr>
        <w:t> </w:t>
      </w:r>
      <w:r>
        <w:rPr/>
        <w:t>for</w:t>
      </w:r>
      <w:r>
        <w:rPr>
          <w:spacing w:val="-7"/>
        </w:rPr>
        <w:t> </w:t>
      </w:r>
      <w:r>
        <w:rPr/>
        <w:t>state</w:t>
      </w:r>
      <w:r>
        <w:rPr>
          <w:spacing w:val="-8"/>
        </w:rPr>
        <w:t> </w:t>
      </w:r>
      <w:r>
        <w:rPr>
          <w:rFonts w:ascii="Cambria" w:hAnsi="Cambria"/>
        </w:rPr>
        <w:t>s </w:t>
      </w:r>
      <w:r>
        <w:rPr/>
        <w:t>can</w:t>
      </w:r>
      <w:r>
        <w:rPr>
          <w:spacing w:val="-7"/>
        </w:rPr>
        <w:t> </w:t>
      </w:r>
      <w:r>
        <w:rPr/>
        <w:t>be</w:t>
      </w:r>
      <w:r>
        <w:rPr>
          <w:spacing w:val="-7"/>
        </w:rPr>
        <w:t> </w:t>
      </w:r>
      <w:r>
        <w:rPr/>
        <w:t>considered</w:t>
      </w:r>
      <w:r>
        <w:rPr>
          <w:spacing w:val="-7"/>
        </w:rPr>
        <w:t> </w:t>
      </w:r>
      <w:r>
        <w:rPr/>
        <w:t>analogous</w:t>
      </w:r>
      <w:r>
        <w:rPr>
          <w:spacing w:val="-7"/>
        </w:rPr>
        <w:t> </w:t>
      </w:r>
      <w:r>
        <w:rPr/>
        <w:t>to</w:t>
      </w:r>
      <w:r>
        <w:rPr>
          <w:spacing w:val="-7"/>
        </w:rPr>
        <w:t> </w:t>
      </w:r>
      <w:r>
        <w:rPr/>
        <w:t>the</w:t>
      </w:r>
      <w:r>
        <w:rPr>
          <w:spacing w:val="-7"/>
        </w:rPr>
        <w:t> </w:t>
      </w:r>
      <w:r>
        <w:rPr/>
        <w:t>value function for state </w:t>
      </w:r>
      <w:r>
        <w:rPr>
          <w:rFonts w:ascii="Cambria" w:hAnsi="Cambria"/>
        </w:rPr>
        <w:t>s</w:t>
      </w:r>
      <w:r>
        <w:rPr/>
        <w:t>:</w:t>
      </w:r>
    </w:p>
    <w:p>
      <w:pPr>
        <w:pStyle w:val="BodyText"/>
        <w:spacing w:line="291" w:lineRule="exact"/>
        <w:ind w:left="757" w:right="538"/>
        <w:jc w:val="center"/>
        <w:rPr>
          <w:rFonts w:ascii="Garamond"/>
        </w:rPr>
      </w:pPr>
      <w:r>
        <w:rPr/>
        <w:t>EPV</w:t>
      </w:r>
      <w:r>
        <w:rPr>
          <w:rFonts w:ascii="Garamond"/>
        </w:rPr>
        <w:t>(</w:t>
      </w:r>
      <w:r>
        <w:rPr>
          <w:rFonts w:ascii="Cambria"/>
        </w:rPr>
        <w:t>s</w:t>
      </w:r>
      <w:r>
        <w:rPr>
          <w:rFonts w:ascii="Garamond"/>
        </w:rPr>
        <w:t>)</w:t>
      </w:r>
      <w:r>
        <w:rPr>
          <w:rFonts w:ascii="Garamond"/>
          <w:spacing w:val="25"/>
        </w:rPr>
        <w:t> </w:t>
      </w:r>
      <w:r>
        <w:rPr>
          <w:rFonts w:ascii="Garamond"/>
        </w:rPr>
        <w:t>=</w:t>
      </w:r>
      <w:r>
        <w:rPr>
          <w:rFonts w:ascii="Garamond"/>
          <w:spacing w:val="26"/>
        </w:rPr>
        <w:t> </w:t>
      </w:r>
      <w:r>
        <w:rPr>
          <w:rFonts w:ascii="Cambria"/>
        </w:rPr>
        <w:t>V</w:t>
      </w:r>
      <w:r>
        <w:rPr>
          <w:rFonts w:ascii="Cambria"/>
          <w:spacing w:val="14"/>
        </w:rPr>
        <w:t> </w:t>
      </w:r>
      <w:r>
        <w:rPr>
          <w:rFonts w:ascii="Garamond"/>
          <w:spacing w:val="-5"/>
        </w:rPr>
        <w:t>(</w:t>
      </w:r>
      <w:r>
        <w:rPr>
          <w:rFonts w:ascii="Cambria"/>
          <w:spacing w:val="-5"/>
        </w:rPr>
        <w:t>s</w:t>
      </w:r>
      <w:r>
        <w:rPr>
          <w:rFonts w:ascii="Garamond"/>
          <w:spacing w:val="-5"/>
        </w:rPr>
        <w:t>)</w:t>
      </w:r>
    </w:p>
    <w:p>
      <w:pPr>
        <w:pStyle w:val="BodyText"/>
        <w:spacing w:line="309" w:lineRule="auto" w:before="228"/>
        <w:ind w:left="610" w:right="389" w:firstLine="351"/>
      </w:pPr>
      <w:r>
        <w:rPr/>
        <w:t>EPV(</w:t>
      </w:r>
      <w:r>
        <w:rPr>
          <w:rFonts w:ascii="Cambria"/>
        </w:rPr>
        <w:t>s</w:t>
      </w:r>
      <w:r>
        <w:rPr/>
        <w:t>) was simulated using the Monte Carlo every visit algorithm for the reasons</w:t>
      </w:r>
      <w:r>
        <w:rPr>
          <w:spacing w:val="40"/>
        </w:rPr>
        <w:t> </w:t>
      </w:r>
      <w:r>
        <w:rPr/>
        <w:t>described</w:t>
      </w:r>
      <w:r>
        <w:rPr>
          <w:spacing w:val="-13"/>
        </w:rPr>
        <w:t> </w:t>
      </w:r>
      <w:r>
        <w:rPr/>
        <w:t>in</w:t>
      </w:r>
      <w:r>
        <w:rPr>
          <w:spacing w:val="-13"/>
        </w:rPr>
        <w:t> </w:t>
      </w:r>
      <w:r>
        <w:rPr/>
        <w:t>Section</w:t>
      </w:r>
      <w:hyperlink w:history="true" w:anchor="_bookmark60">
        <w:r>
          <w:rPr>
            <w:color w:val="0000FF"/>
          </w:rPr>
          <w:t>3.2.3</w:t>
        </w:r>
        <w:r>
          <w:rPr/>
          <w:t>.</w:t>
        </w:r>
      </w:hyperlink>
      <w:r>
        <w:rPr>
          <w:spacing w:val="8"/>
        </w:rPr>
        <w:t> </w:t>
      </w:r>
      <w:r>
        <w:rPr/>
        <w:t>The</w:t>
      </w:r>
      <w:r>
        <w:rPr>
          <w:spacing w:val="-13"/>
        </w:rPr>
        <w:t> </w:t>
      </w:r>
      <w:r>
        <w:rPr/>
        <w:t>Monte</w:t>
      </w:r>
      <w:r>
        <w:rPr>
          <w:spacing w:val="-13"/>
        </w:rPr>
        <w:t> </w:t>
      </w:r>
      <w:r>
        <w:rPr/>
        <w:t>Carlo</w:t>
      </w:r>
      <w:r>
        <w:rPr>
          <w:spacing w:val="-13"/>
        </w:rPr>
        <w:t> </w:t>
      </w:r>
      <w:r>
        <w:rPr/>
        <w:t>every</w:t>
      </w:r>
      <w:r>
        <w:rPr>
          <w:spacing w:val="-13"/>
        </w:rPr>
        <w:t> </w:t>
      </w:r>
      <w:r>
        <w:rPr/>
        <w:t>visit</w:t>
      </w:r>
      <w:r>
        <w:rPr>
          <w:spacing w:val="-13"/>
        </w:rPr>
        <w:t> </w:t>
      </w:r>
      <w:r>
        <w:rPr/>
        <w:t>algorithm</w:t>
      </w:r>
      <w:r>
        <w:rPr>
          <w:spacing w:val="-13"/>
        </w:rPr>
        <w:t> </w:t>
      </w:r>
      <w:r>
        <w:rPr/>
        <w:t>calculates</w:t>
      </w:r>
      <w:r>
        <w:rPr>
          <w:spacing w:val="-13"/>
        </w:rPr>
        <w:t> </w:t>
      </w:r>
      <w:r>
        <w:rPr/>
        <w:t>the</w:t>
      </w:r>
      <w:r>
        <w:rPr>
          <w:spacing w:val="-13"/>
        </w:rPr>
        <w:t> </w:t>
      </w:r>
      <w:r>
        <w:rPr/>
        <w:t>empirical</w:t>
      </w:r>
    </w:p>
    <w:p>
      <w:pPr>
        <w:spacing w:after="0" w:line="309" w:lineRule="auto"/>
        <w:sectPr>
          <w:pgSz w:w="11910" w:h="16840"/>
          <w:pgMar w:header="1961" w:footer="1428" w:top="2280" w:bottom="1620" w:left="1680" w:right="720"/>
        </w:sectPr>
      </w:pPr>
    </w:p>
    <w:p>
      <w:pPr>
        <w:pStyle w:val="BodyText"/>
        <w:rPr>
          <w:sz w:val="20"/>
        </w:rPr>
      </w:pPr>
    </w:p>
    <w:p>
      <w:pPr>
        <w:pStyle w:val="BodyText"/>
        <w:spacing w:before="11"/>
        <w:rPr>
          <w:sz w:val="18"/>
        </w:rPr>
      </w:pPr>
    </w:p>
    <w:p>
      <w:pPr>
        <w:pStyle w:val="BodyText"/>
        <w:rPr>
          <w:sz w:val="8"/>
        </w:rPr>
      </w:pPr>
      <w:r>
        <w:rPr/>
        <w:pict>
          <v:shape style="position:absolute;margin-left:114.519997pt;margin-top:5.799609pt;width:425.2pt;height:.1pt;mso-position-horizontal-relative:page;mso-position-vertical-relative:paragraph;z-index:-15706624;mso-wrap-distance-left:0;mso-wrap-distance-right:0" id="docshape61" coordorigin="2290,116" coordsize="8504,0" path="m2290,116l10794,116e" filled="false" stroked="true" strokeweight=".797pt" strokecolor="#000000">
            <v:path arrowok="t"/>
            <v:stroke dashstyle="solid"/>
            <w10:wrap type="topAndBottom"/>
          </v:shape>
        </w:pict>
      </w:r>
    </w:p>
    <w:p>
      <w:pPr>
        <w:spacing w:before="0"/>
        <w:ind w:left="610" w:right="0" w:firstLine="0"/>
        <w:jc w:val="left"/>
        <w:rPr>
          <w:sz w:val="24"/>
        </w:rPr>
      </w:pPr>
      <w:bookmarkStart w:name="_bookmark63" w:id="119"/>
      <w:bookmarkEnd w:id="119"/>
      <w:r>
        <w:rPr/>
      </w:r>
      <w:r>
        <w:rPr>
          <w:b/>
          <w:sz w:val="24"/>
        </w:rPr>
        <w:t>Algorithm</w:t>
      </w:r>
      <w:r>
        <w:rPr>
          <w:b/>
          <w:spacing w:val="-7"/>
          <w:sz w:val="24"/>
        </w:rPr>
        <w:t> </w:t>
      </w:r>
      <w:r>
        <w:rPr>
          <w:b/>
          <w:sz w:val="24"/>
        </w:rPr>
        <w:t>1</w:t>
      </w:r>
      <w:r>
        <w:rPr>
          <w:b/>
          <w:spacing w:val="-7"/>
          <w:sz w:val="24"/>
        </w:rPr>
        <w:t> </w:t>
      </w:r>
      <w:r>
        <w:rPr>
          <w:sz w:val="24"/>
        </w:rPr>
        <w:t>Monte</w:t>
      </w:r>
      <w:r>
        <w:rPr>
          <w:spacing w:val="-7"/>
          <w:sz w:val="24"/>
        </w:rPr>
        <w:t> </w:t>
      </w:r>
      <w:r>
        <w:rPr>
          <w:sz w:val="24"/>
        </w:rPr>
        <w:t>Carlo</w:t>
      </w:r>
      <w:r>
        <w:rPr>
          <w:spacing w:val="-6"/>
          <w:sz w:val="24"/>
        </w:rPr>
        <w:t> </w:t>
      </w:r>
      <w:r>
        <w:rPr>
          <w:sz w:val="24"/>
        </w:rPr>
        <w:t>algorithm</w:t>
      </w:r>
      <w:r>
        <w:rPr>
          <w:spacing w:val="-7"/>
          <w:sz w:val="24"/>
        </w:rPr>
        <w:t> </w:t>
      </w:r>
      <w:r>
        <w:rPr>
          <w:sz w:val="24"/>
        </w:rPr>
        <w:t>for</w:t>
      </w:r>
      <w:r>
        <w:rPr>
          <w:spacing w:val="-7"/>
          <w:sz w:val="24"/>
        </w:rPr>
        <w:t> </w:t>
      </w:r>
      <w:r>
        <w:rPr>
          <w:sz w:val="24"/>
        </w:rPr>
        <w:t>EPV</w:t>
      </w:r>
      <w:r>
        <w:rPr>
          <w:spacing w:val="-7"/>
          <w:sz w:val="24"/>
        </w:rPr>
        <w:t> </w:t>
      </w:r>
      <w:r>
        <w:rPr>
          <w:spacing w:val="-2"/>
          <w:sz w:val="24"/>
        </w:rPr>
        <w:t>calculation</w:t>
      </w:r>
    </w:p>
    <w:p>
      <w:pPr>
        <w:pStyle w:val="BodyText"/>
        <w:spacing w:line="249" w:lineRule="auto" w:before="4"/>
        <w:ind w:left="1493" w:right="496" w:hanging="884"/>
      </w:pPr>
      <w:r>
        <w:rPr/>
        <w:pict>
          <v:line style="position:absolute;mso-position-horizontal-relative:page;mso-position-vertical-relative:paragraph;z-index:15751680" from="114.519997pt,1.257339pt" to="539.716997pt,1.257339pt" stroked="true" strokeweight=".398pt" strokecolor="#000000">
            <v:stroke dashstyle="solid"/>
            <w10:wrap type="none"/>
          </v:line>
        </w:pict>
      </w:r>
      <w:r>
        <w:rPr>
          <w:b/>
        </w:rPr>
        <w:t>Input</w:t>
      </w:r>
      <w:r>
        <w:rPr>
          <w:b/>
          <w:spacing w:val="80"/>
        </w:rPr>
        <w:t> </w:t>
      </w:r>
      <w:r>
        <w:rPr>
          <w:b/>
        </w:rPr>
        <w:t>: </w:t>
      </w:r>
      <w:r>
        <w:rPr/>
        <w:t>Episode dataset, including states and rewards, </w:t>
      </w:r>
      <w:r>
        <w:rPr>
          <w:rFonts w:ascii="Cambria" w:hAnsi="Cambria"/>
        </w:rPr>
        <w:t>γ</w:t>
      </w:r>
      <w:r>
        <w:rPr/>
        <w:t>, empty returns list </w:t>
      </w:r>
      <w:r>
        <w:rPr/>
        <w:t>(Returns),</w:t>
      </w:r>
      <w:r>
        <w:rPr>
          <w:spacing w:val="40"/>
        </w:rPr>
        <w:t> </w:t>
      </w:r>
      <w:r>
        <w:rPr/>
        <w:t>empty counter list (Counter), empty state list (S)</w:t>
      </w:r>
    </w:p>
    <w:p>
      <w:pPr>
        <w:pStyle w:val="BodyText"/>
        <w:spacing w:before="2"/>
        <w:ind w:left="610"/>
      </w:pPr>
      <w:r>
        <w:rPr>
          <w:b/>
        </w:rPr>
        <w:t>Output:</w:t>
      </w:r>
      <w:r>
        <w:rPr>
          <w:b/>
          <w:spacing w:val="-13"/>
        </w:rPr>
        <w:t> </w:t>
      </w:r>
      <w:r>
        <w:rPr/>
        <w:t>EPV,</w:t>
      </w:r>
      <w:r>
        <w:rPr>
          <w:spacing w:val="-12"/>
        </w:rPr>
        <w:t> </w:t>
      </w:r>
      <w:r>
        <w:rPr/>
        <w:t>populated</w:t>
      </w:r>
      <w:r>
        <w:rPr>
          <w:spacing w:val="-12"/>
        </w:rPr>
        <w:t> </w:t>
      </w:r>
      <w:r>
        <w:rPr/>
        <w:t>with</w:t>
      </w:r>
      <w:r>
        <w:rPr>
          <w:spacing w:val="-12"/>
        </w:rPr>
        <w:t> </w:t>
      </w:r>
      <w:r>
        <w:rPr/>
        <w:t>results</w:t>
      </w:r>
      <w:r>
        <w:rPr>
          <w:spacing w:val="-12"/>
        </w:rPr>
        <w:t> </w:t>
      </w:r>
      <w:r>
        <w:rPr/>
        <w:t>of</w:t>
      </w:r>
      <w:r>
        <w:rPr>
          <w:spacing w:val="-12"/>
        </w:rPr>
        <w:t> </w:t>
      </w:r>
      <w:r>
        <w:rPr>
          <w:spacing w:val="-5"/>
        </w:rPr>
        <w:t>MRP</w:t>
      </w:r>
    </w:p>
    <w:p>
      <w:pPr>
        <w:spacing w:before="228"/>
        <w:ind w:left="610" w:right="0" w:firstLine="0"/>
        <w:jc w:val="left"/>
        <w:rPr>
          <w:b/>
          <w:sz w:val="24"/>
        </w:rPr>
      </w:pPr>
      <w:r>
        <w:rPr>
          <w:b/>
          <w:sz w:val="24"/>
        </w:rPr>
        <w:t>for</w:t>
      </w:r>
      <w:r>
        <w:rPr>
          <w:b/>
          <w:spacing w:val="-10"/>
          <w:sz w:val="24"/>
        </w:rPr>
        <w:t> </w:t>
      </w:r>
      <w:r>
        <w:rPr>
          <w:i/>
          <w:sz w:val="24"/>
        </w:rPr>
        <w:t>episode</w:t>
      </w:r>
      <w:r>
        <w:rPr>
          <w:i/>
          <w:spacing w:val="-9"/>
          <w:sz w:val="24"/>
        </w:rPr>
        <w:t> </w:t>
      </w:r>
      <w:r>
        <w:rPr>
          <w:b/>
          <w:spacing w:val="-5"/>
          <w:sz w:val="24"/>
        </w:rPr>
        <w:t>do</w:t>
      </w:r>
    </w:p>
    <w:p>
      <w:pPr>
        <w:spacing w:line="150" w:lineRule="exact" w:before="13"/>
        <w:ind w:left="969" w:right="0" w:firstLine="0"/>
        <w:jc w:val="left"/>
        <w:rPr>
          <w:b/>
          <w:sz w:val="24"/>
        </w:rPr>
      </w:pPr>
      <w:r>
        <w:rPr/>
        <w:pict>
          <v:line style="position:absolute;mso-position-horizontal-relative:page;mso-position-vertical-relative:paragraph;z-index:15752192" from="120.571999pt,84.840152pt" to="120.571999pt,1.741152pt" stroked="true" strokeweight=".398pt" strokecolor="#000000">
            <v:stroke dashstyle="solid"/>
            <w10:wrap type="none"/>
          </v:line>
        </w:pict>
      </w:r>
      <w:r>
        <w:rPr>
          <w:b/>
          <w:sz w:val="24"/>
        </w:rPr>
        <w:t>for</w:t>
      </w:r>
      <w:r>
        <w:rPr>
          <w:b/>
          <w:spacing w:val="-8"/>
          <w:sz w:val="24"/>
        </w:rPr>
        <w:t> </w:t>
      </w:r>
      <w:r>
        <w:rPr>
          <w:i/>
          <w:sz w:val="24"/>
        </w:rPr>
        <w:t>time-step,</w:t>
      </w:r>
      <w:r>
        <w:rPr>
          <w:i/>
          <w:spacing w:val="-7"/>
          <w:sz w:val="24"/>
        </w:rPr>
        <w:t> </w:t>
      </w:r>
      <w:r>
        <w:rPr>
          <w:i/>
          <w:sz w:val="24"/>
        </w:rPr>
        <w:t>t</w:t>
      </w:r>
      <w:r>
        <w:rPr>
          <w:i/>
          <w:spacing w:val="-3"/>
          <w:sz w:val="24"/>
        </w:rPr>
        <w:t> </w:t>
      </w:r>
      <w:r>
        <w:rPr>
          <w:b/>
          <w:spacing w:val="-5"/>
          <w:sz w:val="24"/>
        </w:rPr>
        <w:t>do</w:t>
      </w:r>
    </w:p>
    <w:p>
      <w:pPr>
        <w:spacing w:after="0" w:line="150" w:lineRule="exact"/>
        <w:jc w:val="left"/>
        <w:rPr>
          <w:sz w:val="24"/>
        </w:rPr>
        <w:sectPr>
          <w:pgSz w:w="11910" w:h="16840"/>
          <w:pgMar w:header="1961" w:footer="1428" w:top="2280" w:bottom="1620" w:left="1680" w:right="720"/>
        </w:sectPr>
      </w:pPr>
    </w:p>
    <w:p>
      <w:pPr>
        <w:pStyle w:val="BodyText"/>
        <w:spacing w:line="422" w:lineRule="exact"/>
        <w:ind w:left="1328"/>
        <w:rPr>
          <w:rFonts w:ascii="Lucida Sans Unicode" w:hAnsi="Lucida Sans Unicode"/>
          <w:sz w:val="16"/>
        </w:rPr>
      </w:pPr>
      <w:r>
        <w:rPr/>
        <w:pict>
          <v:line style="position:absolute;mso-position-horizontal-relative:page;mso-position-vertical-relative:paragraph;z-index:15752704" from="138.529007pt,61.285635pt" to="138.529007pt,8.074635pt" stroked="true" strokeweight=".398pt" strokecolor="#000000">
            <v:stroke dashstyle="solid"/>
            <w10:wrap type="none"/>
          </v:line>
        </w:pict>
      </w:r>
      <w:r>
        <w:rPr/>
        <w:pict>
          <v:shape style="position:absolute;margin-left:191.589996pt;margin-top:15.45706pt;width:15.45pt;height:8pt;mso-position-horizontal-relative:page;mso-position-vertical-relative:paragraph;z-index:-21791744" type="#_x0000_t202" id="docshape62" filled="false" stroked="false">
            <v:textbox inset="0,0,0,0">
              <w:txbxContent>
                <w:p>
                  <w:pPr>
                    <w:spacing w:line="155" w:lineRule="exact" w:before="0"/>
                    <w:ind w:left="0" w:right="0" w:firstLine="0"/>
                    <w:jc w:val="left"/>
                    <w:rPr>
                      <w:rFonts w:ascii="Georgia"/>
                      <w:sz w:val="16"/>
                    </w:rPr>
                  </w:pPr>
                  <w:r>
                    <w:rPr>
                      <w:rFonts w:ascii="Cambria"/>
                      <w:spacing w:val="-5"/>
                      <w:w w:val="105"/>
                      <w:sz w:val="16"/>
                    </w:rPr>
                    <w:t>k</w:t>
                  </w:r>
                  <w:r>
                    <w:rPr>
                      <w:rFonts w:ascii="Georgia"/>
                      <w:spacing w:val="-5"/>
                      <w:w w:val="105"/>
                      <w:sz w:val="16"/>
                    </w:rPr>
                    <w:t>=0</w:t>
                  </w:r>
                </w:p>
              </w:txbxContent>
            </v:textbox>
            <w10:wrap type="none"/>
          </v:shape>
        </w:pict>
      </w:r>
      <w:r>
        <w:rPr>
          <w:rFonts w:ascii="Cambria" w:hAnsi="Cambria"/>
          <w:w w:val="115"/>
        </w:rPr>
        <w:t>G</w:t>
      </w:r>
      <w:r>
        <w:rPr>
          <w:rFonts w:ascii="Cambria" w:hAnsi="Cambria"/>
          <w:w w:val="115"/>
          <w:vertAlign w:val="subscript"/>
        </w:rPr>
        <w:t>t</w:t>
      </w:r>
      <w:r>
        <w:rPr>
          <w:rFonts w:ascii="Cambria" w:hAnsi="Cambria"/>
          <w:spacing w:val="20"/>
          <w:w w:val="115"/>
          <w:vertAlign w:val="baseline"/>
        </w:rPr>
        <w:t> </w:t>
      </w:r>
      <w:r>
        <w:rPr>
          <w:rFonts w:ascii="Garamond" w:hAnsi="Garamond"/>
          <w:w w:val="115"/>
          <w:vertAlign w:val="baseline"/>
        </w:rPr>
        <w:t>=</w:t>
      </w:r>
      <w:r>
        <w:rPr>
          <w:rFonts w:ascii="Garamond" w:hAnsi="Garamond"/>
          <w:spacing w:val="1"/>
          <w:w w:val="115"/>
          <w:vertAlign w:val="baseline"/>
        </w:rPr>
        <w:t> </w:t>
      </w:r>
      <w:r>
        <w:rPr>
          <w:rFonts w:ascii="Arial" w:hAnsi="Arial"/>
          <w:spacing w:val="-5"/>
          <w:w w:val="115"/>
          <w:position w:val="18"/>
          <w:vertAlign w:val="baseline"/>
        </w:rPr>
        <w:t>P</w:t>
      </w:r>
      <w:r>
        <w:rPr>
          <w:rFonts w:ascii="Lucida Sans Unicode" w:hAnsi="Lucida Sans Unicode"/>
          <w:spacing w:val="-5"/>
          <w:w w:val="115"/>
          <w:position w:val="12"/>
          <w:sz w:val="16"/>
          <w:vertAlign w:val="baseline"/>
        </w:rPr>
        <w:t>∞</w:t>
      </w:r>
    </w:p>
    <w:p>
      <w:pPr>
        <w:spacing w:line="304" w:lineRule="exact" w:before="122"/>
        <w:ind w:left="149" w:right="0" w:firstLine="0"/>
        <w:jc w:val="left"/>
        <w:rPr>
          <w:rFonts w:ascii="Georgia" w:hAnsi="Georgia"/>
          <w:sz w:val="16"/>
        </w:rPr>
      </w:pPr>
      <w:r>
        <w:rPr/>
        <w:br w:type="column"/>
      </w:r>
      <w:r>
        <w:rPr>
          <w:rFonts w:ascii="Cambria" w:hAnsi="Cambria"/>
          <w:spacing w:val="-2"/>
          <w:w w:val="115"/>
          <w:position w:val="4"/>
          <w:sz w:val="24"/>
        </w:rPr>
        <w:t>γ</w:t>
      </w:r>
      <w:r>
        <w:rPr>
          <w:rFonts w:ascii="Cambria" w:hAnsi="Cambria"/>
          <w:spacing w:val="-2"/>
          <w:w w:val="115"/>
          <w:position w:val="12"/>
          <w:sz w:val="16"/>
        </w:rPr>
        <w:t>k</w:t>
      </w:r>
      <w:r>
        <w:rPr>
          <w:rFonts w:ascii="Cambria" w:hAnsi="Cambria"/>
          <w:spacing w:val="-2"/>
          <w:w w:val="115"/>
          <w:position w:val="4"/>
          <w:sz w:val="24"/>
        </w:rPr>
        <w:t>R</w:t>
      </w:r>
      <w:r>
        <w:rPr>
          <w:rFonts w:ascii="Cambria" w:hAnsi="Cambria"/>
          <w:spacing w:val="-2"/>
          <w:w w:val="115"/>
          <w:sz w:val="16"/>
        </w:rPr>
        <w:t>t</w:t>
      </w:r>
      <w:r>
        <w:rPr>
          <w:rFonts w:ascii="Georgia" w:hAnsi="Georgia"/>
          <w:spacing w:val="-2"/>
          <w:w w:val="115"/>
          <w:sz w:val="16"/>
        </w:rPr>
        <w:t>+</w:t>
      </w:r>
      <w:r>
        <w:rPr>
          <w:rFonts w:ascii="Cambria" w:hAnsi="Cambria"/>
          <w:spacing w:val="-2"/>
          <w:w w:val="115"/>
          <w:sz w:val="16"/>
        </w:rPr>
        <w:t>k</w:t>
      </w:r>
      <w:r>
        <w:rPr>
          <w:rFonts w:ascii="Georgia" w:hAnsi="Georgia"/>
          <w:spacing w:val="-2"/>
          <w:w w:val="115"/>
          <w:sz w:val="16"/>
        </w:rPr>
        <w:t>+1</w:t>
      </w:r>
    </w:p>
    <w:p>
      <w:pPr>
        <w:spacing w:after="0" w:line="304" w:lineRule="exact"/>
        <w:jc w:val="left"/>
        <w:rPr>
          <w:rFonts w:ascii="Georgia" w:hAnsi="Georgia"/>
          <w:sz w:val="16"/>
        </w:rPr>
        <w:sectPr>
          <w:type w:val="continuous"/>
          <w:pgSz w:w="11910" w:h="16840"/>
          <w:pgMar w:header="1961" w:footer="1428" w:top="1920" w:bottom="280" w:left="1680" w:right="720"/>
          <w:cols w:num="2" w:equalWidth="0">
            <w:col w:w="2322" w:space="40"/>
            <w:col w:w="7148"/>
          </w:cols>
        </w:sectPr>
      </w:pPr>
    </w:p>
    <w:p>
      <w:pPr>
        <w:pStyle w:val="BodyText"/>
        <w:rPr>
          <w:rFonts w:ascii="Georgia"/>
          <w:sz w:val="30"/>
        </w:rPr>
      </w:pPr>
    </w:p>
    <w:p>
      <w:pPr>
        <w:pStyle w:val="BodyText"/>
        <w:spacing w:before="2"/>
        <w:rPr>
          <w:rFonts w:ascii="Georgia"/>
          <w:sz w:val="40"/>
        </w:rPr>
      </w:pPr>
    </w:p>
    <w:p>
      <w:pPr>
        <w:pStyle w:val="Heading4"/>
        <w:spacing w:line="268" w:lineRule="auto" w:before="0"/>
        <w:ind w:left="610" w:right="-9" w:firstLine="359"/>
      </w:pPr>
      <w:r>
        <w:rPr>
          <w:spacing w:val="-4"/>
        </w:rPr>
        <w:t>end end</w:t>
      </w:r>
    </w:p>
    <w:p>
      <w:pPr>
        <w:pStyle w:val="BodyText"/>
        <w:spacing w:line="284" w:lineRule="exact"/>
        <w:ind w:left="64"/>
        <w:rPr>
          <w:rFonts w:ascii="Cambria"/>
        </w:rPr>
      </w:pPr>
      <w:r>
        <w:rPr/>
        <w:br w:type="column"/>
      </w:r>
      <w:r>
        <w:rPr>
          <w:w w:val="105"/>
        </w:rPr>
        <w:t>Returns</w:t>
      </w:r>
      <w:r>
        <w:rPr>
          <w:rFonts w:ascii="Garamond"/>
          <w:w w:val="105"/>
        </w:rPr>
        <w:t>(</w:t>
      </w:r>
      <w:r>
        <w:rPr>
          <w:rFonts w:ascii="Cambria"/>
          <w:w w:val="105"/>
        </w:rPr>
        <w:t>s</w:t>
      </w:r>
      <w:r>
        <w:rPr>
          <w:rFonts w:ascii="Garamond"/>
          <w:w w:val="105"/>
        </w:rPr>
        <w:t>)</w:t>
      </w:r>
      <w:r>
        <w:rPr>
          <w:rFonts w:ascii="Garamond"/>
          <w:spacing w:val="-14"/>
          <w:w w:val="105"/>
        </w:rPr>
        <w:t> </w:t>
      </w:r>
      <w:r>
        <w:rPr>
          <w:w w:val="105"/>
        </w:rPr>
        <w:t>=</w:t>
      </w:r>
      <w:r>
        <w:rPr>
          <w:spacing w:val="-13"/>
          <w:w w:val="105"/>
        </w:rPr>
        <w:t> </w:t>
      </w:r>
      <w:r>
        <w:rPr>
          <w:w w:val="105"/>
        </w:rPr>
        <w:t>Returns</w:t>
      </w:r>
      <w:r>
        <w:rPr>
          <w:rFonts w:ascii="Garamond"/>
          <w:w w:val="105"/>
        </w:rPr>
        <w:t>(</w:t>
      </w:r>
      <w:r>
        <w:rPr>
          <w:rFonts w:ascii="Cambria"/>
          <w:w w:val="105"/>
        </w:rPr>
        <w:t>s</w:t>
      </w:r>
      <w:r>
        <w:rPr>
          <w:rFonts w:ascii="Garamond"/>
          <w:w w:val="105"/>
        </w:rPr>
        <w:t>)</w:t>
      </w:r>
      <w:r>
        <w:rPr>
          <w:rFonts w:ascii="Garamond"/>
          <w:spacing w:val="-14"/>
          <w:w w:val="105"/>
        </w:rPr>
        <w:t> </w:t>
      </w:r>
      <w:r>
        <w:rPr>
          <w:w w:val="105"/>
        </w:rPr>
        <w:t>+</w:t>
      </w:r>
      <w:r>
        <w:rPr>
          <w:spacing w:val="-13"/>
          <w:w w:val="105"/>
        </w:rPr>
        <w:t> </w:t>
      </w:r>
      <w:r>
        <w:rPr>
          <w:rFonts w:ascii="Cambria"/>
          <w:spacing w:val="-5"/>
          <w:w w:val="105"/>
        </w:rPr>
        <w:t>G</w:t>
      </w:r>
      <w:r>
        <w:rPr>
          <w:rFonts w:ascii="Cambria"/>
          <w:spacing w:val="-5"/>
          <w:w w:val="105"/>
          <w:vertAlign w:val="subscript"/>
        </w:rPr>
        <w:t>t</w:t>
      </w:r>
    </w:p>
    <w:p>
      <w:pPr>
        <w:pStyle w:val="BodyText"/>
        <w:spacing w:line="290" w:lineRule="exact"/>
        <w:ind w:left="64"/>
      </w:pPr>
      <w:r>
        <w:rPr/>
        <w:t>Counter</w:t>
      </w:r>
      <w:r>
        <w:rPr>
          <w:rFonts w:ascii="Garamond"/>
        </w:rPr>
        <w:t>(</w:t>
      </w:r>
      <w:r>
        <w:rPr>
          <w:rFonts w:ascii="Cambria"/>
        </w:rPr>
        <w:t>s</w:t>
      </w:r>
      <w:r>
        <w:rPr>
          <w:rFonts w:ascii="Garamond"/>
        </w:rPr>
        <w:t>)</w:t>
      </w:r>
      <w:r>
        <w:rPr>
          <w:rFonts w:ascii="Garamond"/>
          <w:spacing w:val="17"/>
        </w:rPr>
        <w:t> </w:t>
      </w:r>
      <w:r>
        <w:rPr/>
        <w:t>=</w:t>
      </w:r>
      <w:r>
        <w:rPr>
          <w:spacing w:val="18"/>
        </w:rPr>
        <w:t> </w:t>
      </w:r>
      <w:r>
        <w:rPr/>
        <w:t>Counter</w:t>
      </w:r>
      <w:r>
        <w:rPr>
          <w:rFonts w:ascii="Garamond"/>
        </w:rPr>
        <w:t>(</w:t>
      </w:r>
      <w:r>
        <w:rPr>
          <w:rFonts w:ascii="Cambria"/>
        </w:rPr>
        <w:t>s</w:t>
      </w:r>
      <w:r>
        <w:rPr>
          <w:rFonts w:ascii="Garamond"/>
        </w:rPr>
        <w:t>)</w:t>
      </w:r>
      <w:r>
        <w:rPr>
          <w:rFonts w:ascii="Garamond"/>
          <w:spacing w:val="17"/>
        </w:rPr>
        <w:t> </w:t>
      </w:r>
      <w:r>
        <w:rPr/>
        <w:t>+</w:t>
      </w:r>
      <w:r>
        <w:rPr>
          <w:spacing w:val="18"/>
        </w:rPr>
        <w:t> </w:t>
      </w:r>
      <w:r>
        <w:rPr>
          <w:spacing w:val="-10"/>
        </w:rPr>
        <w:t>1</w:t>
      </w:r>
    </w:p>
    <w:p>
      <w:pPr>
        <w:spacing w:after="0" w:line="290" w:lineRule="exact"/>
        <w:sectPr>
          <w:type w:val="continuous"/>
          <w:pgSz w:w="11910" w:h="16840"/>
          <w:pgMar w:header="1961" w:footer="1428" w:top="1920" w:bottom="280" w:left="1680" w:right="720"/>
          <w:cols w:num="2" w:equalWidth="0">
            <w:col w:w="1342" w:space="40"/>
            <w:col w:w="8128"/>
          </w:cols>
        </w:sectPr>
      </w:pPr>
    </w:p>
    <w:p>
      <w:pPr>
        <w:spacing w:line="177" w:lineRule="exact" w:before="0"/>
        <w:ind w:left="1696" w:right="0" w:firstLine="0"/>
        <w:jc w:val="left"/>
        <w:rPr>
          <w:rFonts w:ascii="Georgia"/>
          <w:sz w:val="16"/>
        </w:rPr>
      </w:pPr>
      <w:r>
        <w:rPr/>
        <w:pict>
          <v:shape style="position:absolute;margin-left:114.519997pt;margin-top:1.709604pt;width:49.65pt;height:14.45pt;mso-position-horizontal-relative:page;mso-position-vertical-relative:paragraph;z-index:15753728" type="#_x0000_t202" id="docshape63" filled="false" stroked="false">
            <v:textbox inset="0,0,0,0">
              <w:txbxContent>
                <w:p>
                  <w:pPr>
                    <w:pStyle w:val="BodyText"/>
                    <w:spacing w:line="284" w:lineRule="exact"/>
                    <w:rPr>
                      <w:rFonts w:ascii="Garamond"/>
                    </w:rPr>
                  </w:pPr>
                  <w:r>
                    <w:rPr>
                      <w:w w:val="105"/>
                    </w:rPr>
                    <w:t>EPV</w:t>
                  </w:r>
                  <w:r>
                    <w:rPr>
                      <w:rFonts w:ascii="Garamond"/>
                      <w:w w:val="105"/>
                    </w:rPr>
                    <w:t>(</w:t>
                  </w:r>
                  <w:r>
                    <w:rPr>
                      <w:rFonts w:ascii="Cambria"/>
                      <w:w w:val="105"/>
                    </w:rPr>
                    <w:t>s</w:t>
                  </w:r>
                  <w:r>
                    <w:rPr>
                      <w:rFonts w:ascii="Garamond"/>
                      <w:w w:val="105"/>
                    </w:rPr>
                    <w:t>)</w:t>
                  </w:r>
                  <w:r>
                    <w:rPr>
                      <w:rFonts w:ascii="Garamond"/>
                      <w:spacing w:val="7"/>
                      <w:w w:val="110"/>
                    </w:rPr>
                    <w:t> </w:t>
                  </w:r>
                  <w:r>
                    <w:rPr>
                      <w:rFonts w:ascii="Garamond"/>
                      <w:spacing w:val="-10"/>
                      <w:w w:val="110"/>
                    </w:rPr>
                    <w:t>=</w:t>
                  </w:r>
                </w:p>
              </w:txbxContent>
            </v:textbox>
            <w10:wrap type="none"/>
          </v:shape>
        </w:pict>
      </w:r>
      <w:r>
        <w:rPr>
          <w:rFonts w:ascii="Cambria"/>
          <w:spacing w:val="-2"/>
          <w:w w:val="110"/>
          <w:sz w:val="16"/>
          <w:u w:val="single"/>
        </w:rPr>
        <w:t>Returns</w:t>
      </w:r>
      <w:r>
        <w:rPr>
          <w:rFonts w:ascii="Georgia"/>
          <w:spacing w:val="-2"/>
          <w:w w:val="110"/>
          <w:sz w:val="16"/>
          <w:u w:val="single"/>
        </w:rPr>
        <w:t>(</w:t>
      </w:r>
      <w:r>
        <w:rPr>
          <w:rFonts w:ascii="Cambria"/>
          <w:spacing w:val="-2"/>
          <w:w w:val="110"/>
          <w:sz w:val="16"/>
          <w:u w:val="single"/>
        </w:rPr>
        <w:t>s</w:t>
      </w:r>
      <w:r>
        <w:rPr>
          <w:rFonts w:ascii="Georgia"/>
          <w:spacing w:val="-2"/>
          <w:w w:val="110"/>
          <w:sz w:val="16"/>
          <w:u w:val="single"/>
        </w:rPr>
        <w:t>)</w:t>
      </w:r>
    </w:p>
    <w:p>
      <w:pPr>
        <w:spacing w:before="9"/>
        <w:ind w:left="1693" w:right="0" w:firstLine="0"/>
        <w:jc w:val="left"/>
        <w:rPr>
          <w:rFonts w:ascii="Georgia"/>
          <w:sz w:val="16"/>
        </w:rPr>
      </w:pPr>
      <w:r>
        <w:rPr/>
        <w:pict>
          <v:shape style="position:absolute;margin-left:114.519997pt;margin-top:12.235559pt;width:425.2pt;height:.1pt;mso-position-horizontal-relative:page;mso-position-vertical-relative:paragraph;z-index:-15706112;mso-wrap-distance-left:0;mso-wrap-distance-right:0" id="docshape64" coordorigin="2290,245" coordsize="8504,0" path="m2290,245l10794,245e" filled="false" stroked="true" strokeweight=".398pt" strokecolor="#000000">
            <v:path arrowok="t"/>
            <v:stroke dashstyle="solid"/>
            <w10:wrap type="topAndBottom"/>
          </v:shape>
        </w:pict>
      </w:r>
      <w:r>
        <w:rPr>
          <w:rFonts w:ascii="Cambria"/>
          <w:spacing w:val="-2"/>
          <w:w w:val="110"/>
          <w:sz w:val="16"/>
        </w:rPr>
        <w:t>Counter</w:t>
      </w:r>
      <w:r>
        <w:rPr>
          <w:rFonts w:ascii="Georgia"/>
          <w:spacing w:val="-2"/>
          <w:w w:val="110"/>
          <w:sz w:val="16"/>
        </w:rPr>
        <w:t>(</w:t>
      </w:r>
      <w:r>
        <w:rPr>
          <w:rFonts w:ascii="Cambria"/>
          <w:spacing w:val="-2"/>
          <w:w w:val="110"/>
          <w:sz w:val="16"/>
        </w:rPr>
        <w:t>s</w:t>
      </w:r>
      <w:r>
        <w:rPr>
          <w:rFonts w:ascii="Georgia"/>
          <w:spacing w:val="-2"/>
          <w:w w:val="110"/>
          <w:sz w:val="16"/>
        </w:rPr>
        <w:t>)</w:t>
      </w:r>
    </w:p>
    <w:p>
      <w:pPr>
        <w:pStyle w:val="BodyText"/>
        <w:spacing w:before="9"/>
        <w:rPr>
          <w:rFonts w:ascii="Georgia"/>
          <w:sz w:val="27"/>
        </w:rPr>
      </w:pPr>
    </w:p>
    <w:p>
      <w:pPr>
        <w:pStyle w:val="BodyText"/>
        <w:spacing w:line="309" w:lineRule="auto" w:before="97"/>
        <w:ind w:left="610" w:right="389"/>
        <w:jc w:val="both"/>
      </w:pPr>
      <w:r>
        <w:rPr/>
        <w:t>mean</w:t>
      </w:r>
      <w:r>
        <w:rPr>
          <w:spacing w:val="-14"/>
        </w:rPr>
        <w:t> </w:t>
      </w:r>
      <w:r>
        <w:rPr/>
        <w:t>of</w:t>
      </w:r>
      <w:r>
        <w:rPr>
          <w:spacing w:val="-14"/>
        </w:rPr>
        <w:t> </w:t>
      </w:r>
      <w:r>
        <w:rPr/>
        <w:t>each</w:t>
      </w:r>
      <w:r>
        <w:rPr>
          <w:spacing w:val="-14"/>
        </w:rPr>
        <w:t> </w:t>
      </w:r>
      <w:r>
        <w:rPr/>
        <w:t>zone</w:t>
      </w:r>
      <w:r>
        <w:rPr>
          <w:spacing w:val="-14"/>
        </w:rPr>
        <w:t> </w:t>
      </w:r>
      <w:r>
        <w:rPr/>
        <w:t>by</w:t>
      </w:r>
      <w:r>
        <w:rPr>
          <w:spacing w:val="-14"/>
        </w:rPr>
        <w:t> </w:t>
      </w:r>
      <w:r>
        <w:rPr/>
        <w:t>summing</w:t>
      </w:r>
      <w:r>
        <w:rPr>
          <w:spacing w:val="-14"/>
        </w:rPr>
        <w:t> </w:t>
      </w:r>
      <w:r>
        <w:rPr/>
        <w:t>the</w:t>
      </w:r>
      <w:r>
        <w:rPr>
          <w:spacing w:val="-14"/>
        </w:rPr>
        <w:t> </w:t>
      </w:r>
      <w:r>
        <w:rPr/>
        <w:t>discounted</w:t>
      </w:r>
      <w:r>
        <w:rPr>
          <w:spacing w:val="-14"/>
        </w:rPr>
        <w:t> </w:t>
      </w:r>
      <w:r>
        <w:rPr/>
        <w:t>rewards</w:t>
      </w:r>
      <w:r>
        <w:rPr>
          <w:spacing w:val="-14"/>
        </w:rPr>
        <w:t> </w:t>
      </w:r>
      <w:r>
        <w:rPr/>
        <w:t>achieved</w:t>
      </w:r>
      <w:r>
        <w:rPr>
          <w:spacing w:val="-14"/>
        </w:rPr>
        <w:t> </w:t>
      </w:r>
      <w:r>
        <w:rPr/>
        <w:t>by</w:t>
      </w:r>
      <w:r>
        <w:rPr>
          <w:spacing w:val="-14"/>
        </w:rPr>
        <w:t> </w:t>
      </w:r>
      <w:r>
        <w:rPr/>
        <w:t>the</w:t>
      </w:r>
      <w:r>
        <w:rPr>
          <w:spacing w:val="-14"/>
        </w:rPr>
        <w:t> </w:t>
      </w:r>
      <w:r>
        <w:rPr/>
        <w:t>zone</w:t>
      </w:r>
      <w:r>
        <w:rPr>
          <w:spacing w:val="-14"/>
        </w:rPr>
        <w:t> </w:t>
      </w:r>
      <w:r>
        <w:rPr/>
        <w:t>and</w:t>
      </w:r>
      <w:r>
        <w:rPr>
          <w:spacing w:val="-14"/>
        </w:rPr>
        <w:t> </w:t>
      </w:r>
      <w:r>
        <w:rPr/>
        <w:t>dividing by the total number of visits.</w:t>
      </w:r>
      <w:r>
        <w:rPr>
          <w:spacing w:val="40"/>
        </w:rPr>
        <w:t> </w:t>
      </w:r>
      <w:r>
        <w:rPr/>
        <w:t>The algorithm allows every visit to a zone to be valued, which</w:t>
      </w:r>
      <w:r>
        <w:rPr>
          <w:spacing w:val="-14"/>
        </w:rPr>
        <w:t> </w:t>
      </w:r>
      <w:r>
        <w:rPr/>
        <w:t>is</w:t>
      </w:r>
      <w:r>
        <w:rPr>
          <w:spacing w:val="-15"/>
        </w:rPr>
        <w:t> </w:t>
      </w:r>
      <w:r>
        <w:rPr/>
        <w:t>important</w:t>
      </w:r>
      <w:r>
        <w:rPr>
          <w:spacing w:val="-14"/>
        </w:rPr>
        <w:t> </w:t>
      </w:r>
      <w:r>
        <w:rPr/>
        <w:t>within</w:t>
      </w:r>
      <w:r>
        <w:rPr>
          <w:spacing w:val="-15"/>
        </w:rPr>
        <w:t> </w:t>
      </w:r>
      <w:r>
        <w:rPr/>
        <w:t>rugby</w:t>
      </w:r>
      <w:r>
        <w:rPr>
          <w:spacing w:val="-14"/>
        </w:rPr>
        <w:t> </w:t>
      </w:r>
      <w:r>
        <w:rPr/>
        <w:t>league</w:t>
      </w:r>
      <w:r>
        <w:rPr>
          <w:spacing w:val="-15"/>
        </w:rPr>
        <w:t> </w:t>
      </w:r>
      <w:r>
        <w:rPr/>
        <w:t>because</w:t>
      </w:r>
      <w:r>
        <w:rPr>
          <w:spacing w:val="-14"/>
        </w:rPr>
        <w:t> </w:t>
      </w:r>
      <w:r>
        <w:rPr/>
        <w:t>there</w:t>
      </w:r>
      <w:r>
        <w:rPr>
          <w:spacing w:val="-15"/>
        </w:rPr>
        <w:t> </w:t>
      </w:r>
      <w:r>
        <w:rPr/>
        <w:t>is</w:t>
      </w:r>
      <w:r>
        <w:rPr>
          <w:spacing w:val="-14"/>
        </w:rPr>
        <w:t> </w:t>
      </w:r>
      <w:r>
        <w:rPr/>
        <w:t>no</w:t>
      </w:r>
      <w:r>
        <w:rPr>
          <w:spacing w:val="-14"/>
        </w:rPr>
        <w:t> </w:t>
      </w:r>
      <w:r>
        <w:rPr/>
        <w:t>guarantee</w:t>
      </w:r>
      <w:r>
        <w:rPr>
          <w:spacing w:val="-15"/>
        </w:rPr>
        <w:t> </w:t>
      </w:r>
      <w:r>
        <w:rPr/>
        <w:t>that</w:t>
      </w:r>
      <w:r>
        <w:rPr>
          <w:spacing w:val="-14"/>
        </w:rPr>
        <w:t> </w:t>
      </w:r>
      <w:r>
        <w:rPr/>
        <w:t>plays</w:t>
      </w:r>
      <w:r>
        <w:rPr>
          <w:spacing w:val="-15"/>
        </w:rPr>
        <w:t> </w:t>
      </w:r>
      <w:r>
        <w:rPr/>
        <w:t>will</w:t>
      </w:r>
      <w:r>
        <w:rPr>
          <w:spacing w:val="-14"/>
        </w:rPr>
        <w:t> </w:t>
      </w:r>
      <w:r>
        <w:rPr/>
        <w:t>move between</w:t>
      </w:r>
      <w:r>
        <w:rPr>
          <w:spacing w:val="-12"/>
        </w:rPr>
        <w:t> </w:t>
      </w:r>
      <w:r>
        <w:rPr/>
        <w:t>states</w:t>
      </w:r>
      <w:r>
        <w:rPr>
          <w:spacing w:val="-12"/>
        </w:rPr>
        <w:t> </w:t>
      </w:r>
      <w:r>
        <w:rPr/>
        <w:t>as</w:t>
      </w:r>
      <w:r>
        <w:rPr>
          <w:spacing w:val="-12"/>
        </w:rPr>
        <w:t> </w:t>
      </w:r>
      <w:r>
        <w:rPr/>
        <w:t>the</w:t>
      </w:r>
      <w:r>
        <w:rPr>
          <w:spacing w:val="-12"/>
        </w:rPr>
        <w:t> </w:t>
      </w:r>
      <w:r>
        <w:rPr/>
        <w:t>opposition</w:t>
      </w:r>
      <w:r>
        <w:rPr>
          <w:spacing w:val="-12"/>
        </w:rPr>
        <w:t> </w:t>
      </w:r>
      <w:r>
        <w:rPr/>
        <w:t>defence</w:t>
      </w:r>
      <w:r>
        <w:rPr>
          <w:spacing w:val="-12"/>
        </w:rPr>
        <w:t> </w:t>
      </w:r>
      <w:r>
        <w:rPr/>
        <w:t>aims</w:t>
      </w:r>
      <w:r>
        <w:rPr>
          <w:spacing w:val="-12"/>
        </w:rPr>
        <w:t> </w:t>
      </w:r>
      <w:r>
        <w:rPr/>
        <w:t>to</w:t>
      </w:r>
      <w:r>
        <w:rPr>
          <w:spacing w:val="-12"/>
        </w:rPr>
        <w:t> </w:t>
      </w:r>
      <w:r>
        <w:rPr/>
        <w:t>stop</w:t>
      </w:r>
      <w:r>
        <w:rPr>
          <w:spacing w:val="-12"/>
        </w:rPr>
        <w:t> </w:t>
      </w:r>
      <w:r>
        <w:rPr/>
        <w:t>progression</w:t>
      </w:r>
      <w:r>
        <w:rPr>
          <w:spacing w:val="-12"/>
        </w:rPr>
        <w:t> </w:t>
      </w:r>
      <w:r>
        <w:rPr/>
        <w:t>up</w:t>
      </w:r>
      <w:r>
        <w:rPr>
          <w:spacing w:val="-12"/>
        </w:rPr>
        <w:t> </w:t>
      </w:r>
      <w:r>
        <w:rPr/>
        <w:t>the</w:t>
      </w:r>
      <w:r>
        <w:rPr>
          <w:spacing w:val="-12"/>
        </w:rPr>
        <w:t> </w:t>
      </w:r>
      <w:r>
        <w:rPr/>
        <w:t>pitch. Algorithm </w:t>
      </w:r>
      <w:hyperlink w:history="true" w:anchor="_bookmark63">
        <w:r>
          <w:rPr>
            <w:color w:val="0000FF"/>
          </w:rPr>
          <w:t>1</w:t>
        </w:r>
      </w:hyperlink>
      <w:r>
        <w:rPr/>
        <w:t>provides</w:t>
      </w:r>
      <w:r>
        <w:rPr>
          <w:spacing w:val="-15"/>
        </w:rPr>
        <w:t> </w:t>
      </w:r>
      <w:r>
        <w:rPr/>
        <w:t>pseudocode</w:t>
      </w:r>
      <w:r>
        <w:rPr>
          <w:spacing w:val="-15"/>
        </w:rPr>
        <w:t> </w:t>
      </w:r>
      <w:r>
        <w:rPr/>
        <w:t>for</w:t>
      </w:r>
      <w:r>
        <w:rPr>
          <w:spacing w:val="-15"/>
        </w:rPr>
        <w:t> </w:t>
      </w:r>
      <w:r>
        <w:rPr/>
        <w:t>the</w:t>
      </w:r>
      <w:r>
        <w:rPr>
          <w:spacing w:val="-15"/>
        </w:rPr>
        <w:t> </w:t>
      </w:r>
      <w:r>
        <w:rPr/>
        <w:t>Monte</w:t>
      </w:r>
      <w:r>
        <w:rPr>
          <w:spacing w:val="-15"/>
        </w:rPr>
        <w:t> </w:t>
      </w:r>
      <w:r>
        <w:rPr/>
        <w:t>Carlo</w:t>
      </w:r>
      <w:r>
        <w:rPr>
          <w:spacing w:val="-15"/>
        </w:rPr>
        <w:t> </w:t>
      </w:r>
      <w:r>
        <w:rPr/>
        <w:t>every</w:t>
      </w:r>
      <w:r>
        <w:rPr>
          <w:spacing w:val="-15"/>
        </w:rPr>
        <w:t> </w:t>
      </w:r>
      <w:r>
        <w:rPr/>
        <w:t>visit</w:t>
      </w:r>
      <w:r>
        <w:rPr>
          <w:spacing w:val="-15"/>
        </w:rPr>
        <w:t> </w:t>
      </w:r>
      <w:r>
        <w:rPr/>
        <w:t>algorithm</w:t>
      </w:r>
      <w:r>
        <w:rPr>
          <w:spacing w:val="-15"/>
        </w:rPr>
        <w:t> </w:t>
      </w:r>
      <w:r>
        <w:rPr/>
        <w:t>used</w:t>
      </w:r>
      <w:r>
        <w:rPr>
          <w:spacing w:val="-15"/>
        </w:rPr>
        <w:t> </w:t>
      </w:r>
      <w:r>
        <w:rPr/>
        <w:t>to</w:t>
      </w:r>
      <w:r>
        <w:rPr>
          <w:spacing w:val="-15"/>
        </w:rPr>
        <w:t> </w:t>
      </w:r>
      <w:r>
        <w:rPr/>
        <w:t>simulate</w:t>
      </w:r>
      <w:r>
        <w:rPr>
          <w:spacing w:val="-15"/>
        </w:rPr>
        <w:t> </w:t>
      </w:r>
      <w:r>
        <w:rPr/>
        <w:t>the</w:t>
      </w:r>
      <w:r>
        <w:rPr>
          <w:spacing w:val="-15"/>
        </w:rPr>
        <w:t> </w:t>
      </w:r>
      <w:r>
        <w:rPr/>
        <w:t>EPV for each state.</w:t>
      </w:r>
      <w:r>
        <w:rPr>
          <w:spacing w:val="40"/>
        </w:rPr>
        <w:t> </w:t>
      </w:r>
      <w:r>
        <w:rPr/>
        <w:t>The algorithm loops through each episode and time-step </w:t>
      </w:r>
      <w:r>
        <w:rPr>
          <w:rFonts w:ascii="Cambria"/>
        </w:rPr>
        <w:t>t</w:t>
      </w:r>
      <w:r>
        <w:rPr/>
        <w:t>, calculating</w:t>
      </w:r>
      <w:r>
        <w:rPr>
          <w:spacing w:val="40"/>
        </w:rPr>
        <w:t> </w:t>
      </w:r>
      <w:r>
        <w:rPr/>
        <w:t>the return </w:t>
      </w:r>
      <w:r>
        <w:rPr>
          <w:rFonts w:ascii="Cambria"/>
        </w:rPr>
        <w:t>G</w:t>
      </w:r>
      <w:r>
        <w:rPr>
          <w:rFonts w:ascii="Cambria"/>
          <w:vertAlign w:val="subscript"/>
        </w:rPr>
        <w:t>t</w:t>
      </w:r>
      <w:r>
        <w:rPr>
          <w:vertAlign w:val="baseline"/>
        </w:rPr>
        <w:t>.</w:t>
      </w:r>
      <w:r>
        <w:rPr>
          <w:spacing w:val="40"/>
          <w:vertAlign w:val="baseline"/>
        </w:rPr>
        <w:t> </w:t>
      </w:r>
      <w:r>
        <w:rPr>
          <w:vertAlign w:val="baseline"/>
        </w:rPr>
        <w:t>The return is added to the returns list for state </w:t>
      </w:r>
      <w:r>
        <w:rPr>
          <w:rFonts w:ascii="Cambria"/>
          <w:vertAlign w:val="baseline"/>
        </w:rPr>
        <w:t>s </w:t>
      </w:r>
      <w:r>
        <w:rPr>
          <w:vertAlign w:val="baseline"/>
        </w:rPr>
        <w:t>and the counter list is incremented by 1.</w:t>
      </w:r>
      <w:r>
        <w:rPr>
          <w:spacing w:val="40"/>
          <w:vertAlign w:val="baseline"/>
        </w:rPr>
        <w:t> </w:t>
      </w:r>
      <w:r>
        <w:rPr>
          <w:vertAlign w:val="baseline"/>
        </w:rPr>
        <w:t>At the end of this loop, the total returns are divided by the counter count for each state to provide a list of EPVs.</w:t>
      </w:r>
    </w:p>
    <w:p>
      <w:pPr>
        <w:pStyle w:val="BodyText"/>
        <w:spacing w:line="312" w:lineRule="auto" w:before="9"/>
        <w:ind w:left="610" w:right="395" w:firstLine="351"/>
      </w:pPr>
      <w:r>
        <w:rPr/>
        <w:t>In</w:t>
      </w:r>
      <w:r>
        <w:rPr>
          <w:spacing w:val="-12"/>
        </w:rPr>
        <w:t> </w:t>
      </w:r>
      <w:r>
        <w:rPr/>
        <w:t>this</w:t>
      </w:r>
      <w:r>
        <w:rPr>
          <w:spacing w:val="-12"/>
        </w:rPr>
        <w:t> </w:t>
      </w:r>
      <w:r>
        <w:rPr/>
        <w:t>study,</w:t>
      </w:r>
      <w:r>
        <w:rPr>
          <w:spacing w:val="-11"/>
        </w:rPr>
        <w:t> </w:t>
      </w:r>
      <w:r>
        <w:rPr/>
        <w:t>the</w:t>
      </w:r>
      <w:r>
        <w:rPr>
          <w:spacing w:val="-12"/>
        </w:rPr>
        <w:t> </w:t>
      </w:r>
      <w:r>
        <w:rPr/>
        <w:t>5m</w:t>
      </w:r>
      <w:r>
        <w:rPr>
          <w:spacing w:val="-12"/>
        </w:rPr>
        <w:t> </w:t>
      </w:r>
      <w:r>
        <w:rPr/>
        <w:t>x</w:t>
      </w:r>
      <w:r>
        <w:rPr>
          <w:spacing w:val="-12"/>
        </w:rPr>
        <w:t> </w:t>
      </w:r>
      <w:r>
        <w:rPr/>
        <w:t>5m</w:t>
      </w:r>
      <w:r>
        <w:rPr>
          <w:spacing w:val="-12"/>
        </w:rPr>
        <w:t> </w:t>
      </w:r>
      <w:r>
        <w:rPr/>
        <w:t>zone</w:t>
      </w:r>
      <w:r>
        <w:rPr>
          <w:spacing w:val="-12"/>
        </w:rPr>
        <w:t> </w:t>
      </w:r>
      <w:r>
        <w:rPr/>
        <w:t>of</w:t>
      </w:r>
      <w:r>
        <w:rPr>
          <w:spacing w:val="-12"/>
        </w:rPr>
        <w:t> </w:t>
      </w:r>
      <w:r>
        <w:rPr/>
        <w:t>the</w:t>
      </w:r>
      <w:r>
        <w:rPr>
          <w:spacing w:val="-12"/>
        </w:rPr>
        <w:t> </w:t>
      </w:r>
      <w:r>
        <w:rPr/>
        <w:t>location</w:t>
      </w:r>
      <w:r>
        <w:rPr>
          <w:spacing w:val="-12"/>
        </w:rPr>
        <w:t> </w:t>
      </w:r>
      <w:r>
        <w:rPr/>
        <w:t>of</w:t>
      </w:r>
      <w:r>
        <w:rPr>
          <w:spacing w:val="-12"/>
        </w:rPr>
        <w:t> </w:t>
      </w:r>
      <w:r>
        <w:rPr/>
        <w:t>the</w:t>
      </w:r>
      <w:r>
        <w:rPr>
          <w:spacing w:val="-12"/>
        </w:rPr>
        <w:t> </w:t>
      </w:r>
      <w:r>
        <w:rPr/>
        <w:t>first</w:t>
      </w:r>
      <w:r>
        <w:rPr>
          <w:spacing w:val="-12"/>
        </w:rPr>
        <w:t> </w:t>
      </w:r>
      <w:r>
        <w:rPr/>
        <w:t>action</w:t>
      </w:r>
      <w:r>
        <w:rPr>
          <w:spacing w:val="-12"/>
        </w:rPr>
        <w:t> </w:t>
      </w:r>
      <w:r>
        <w:rPr/>
        <w:t>of</w:t>
      </w:r>
      <w:r>
        <w:rPr>
          <w:spacing w:val="-12"/>
        </w:rPr>
        <w:t> </w:t>
      </w:r>
      <w:r>
        <w:rPr/>
        <w:t>each</w:t>
      </w:r>
      <w:r>
        <w:rPr>
          <w:spacing w:val="-12"/>
        </w:rPr>
        <w:t> </w:t>
      </w:r>
      <w:r>
        <w:rPr/>
        <w:t>play</w:t>
      </w:r>
      <w:r>
        <w:rPr>
          <w:spacing w:val="-12"/>
        </w:rPr>
        <w:t> </w:t>
      </w:r>
      <w:r>
        <w:rPr/>
        <w:t>was</w:t>
      </w:r>
      <w:r>
        <w:rPr>
          <w:spacing w:val="-12"/>
        </w:rPr>
        <w:t> </w:t>
      </w:r>
      <w:r>
        <w:rPr/>
        <w:t>used as</w:t>
      </w:r>
      <w:r>
        <w:rPr>
          <w:spacing w:val="-6"/>
        </w:rPr>
        <w:t> </w:t>
      </w:r>
      <w:r>
        <w:rPr/>
        <w:t>the</w:t>
      </w:r>
      <w:r>
        <w:rPr>
          <w:spacing w:val="-6"/>
        </w:rPr>
        <w:t> </w:t>
      </w:r>
      <w:r>
        <w:rPr/>
        <w:t>state</w:t>
      </w:r>
      <w:r>
        <w:rPr>
          <w:spacing w:val="-6"/>
        </w:rPr>
        <w:t> </w:t>
      </w:r>
      <w:r>
        <w:rPr/>
        <w:t>for</w:t>
      </w:r>
      <w:r>
        <w:rPr>
          <w:spacing w:val="-6"/>
        </w:rPr>
        <w:t> </w:t>
      </w:r>
      <w:r>
        <w:rPr/>
        <w:t>the</w:t>
      </w:r>
      <w:r>
        <w:rPr>
          <w:spacing w:val="-6"/>
        </w:rPr>
        <w:t> </w:t>
      </w:r>
      <w:r>
        <w:rPr/>
        <w:t>MRP.</w:t>
      </w:r>
      <w:r>
        <w:rPr>
          <w:spacing w:val="-6"/>
        </w:rPr>
        <w:t> </w:t>
      </w:r>
      <w:r>
        <w:rPr/>
        <w:t>Episodes</w:t>
      </w:r>
      <w:r>
        <w:rPr>
          <w:spacing w:val="-6"/>
        </w:rPr>
        <w:t> </w:t>
      </w:r>
      <w:r>
        <w:rPr/>
        <w:t>were</w:t>
      </w:r>
      <w:r>
        <w:rPr>
          <w:spacing w:val="-6"/>
        </w:rPr>
        <w:t> </w:t>
      </w:r>
      <w:r>
        <w:rPr/>
        <w:t>defined</w:t>
      </w:r>
      <w:r>
        <w:rPr>
          <w:spacing w:val="-6"/>
        </w:rPr>
        <w:t> </w:t>
      </w:r>
      <w:r>
        <w:rPr/>
        <w:t>as</w:t>
      </w:r>
      <w:r>
        <w:rPr>
          <w:spacing w:val="-6"/>
        </w:rPr>
        <w:t> </w:t>
      </w:r>
      <w:r>
        <w:rPr/>
        <w:t>a</w:t>
      </w:r>
      <w:r>
        <w:rPr>
          <w:spacing w:val="-6"/>
        </w:rPr>
        <w:t> </w:t>
      </w:r>
      <w:r>
        <w:rPr/>
        <w:t>sequence</w:t>
      </w:r>
      <w:r>
        <w:rPr>
          <w:spacing w:val="-6"/>
        </w:rPr>
        <w:t> </w:t>
      </w:r>
      <w:r>
        <w:rPr/>
        <w:t>of</w:t>
      </w:r>
      <w:r>
        <w:rPr>
          <w:spacing w:val="-6"/>
        </w:rPr>
        <w:t> </w:t>
      </w:r>
      <w:r>
        <w:rPr/>
        <w:t>these</w:t>
      </w:r>
      <w:r>
        <w:rPr>
          <w:spacing w:val="-6"/>
        </w:rPr>
        <w:t> </w:t>
      </w:r>
      <w:r>
        <w:rPr/>
        <w:t>zone</w:t>
      </w:r>
      <w:r>
        <w:rPr>
          <w:spacing w:val="-6"/>
        </w:rPr>
        <w:t> </w:t>
      </w:r>
      <w:r>
        <w:rPr/>
        <w:t>locations</w:t>
      </w:r>
      <w:r>
        <w:rPr>
          <w:spacing w:val="-6"/>
        </w:rPr>
        <w:t> </w:t>
      </w:r>
      <w:r>
        <w:rPr/>
        <w:t>for each attacking possession performed by a team (Section</w:t>
      </w:r>
      <w:hyperlink w:history="true" w:anchor="_bookmark54">
        <w:r>
          <w:rPr>
            <w:color w:val="0000FF"/>
          </w:rPr>
          <w:t>3.2.2</w:t>
        </w:r>
      </w:hyperlink>
      <w:r>
        <w:rPr/>
        <w:t>).</w:t>
      </w:r>
      <w:r>
        <w:rPr>
          <w:spacing w:val="40"/>
        </w:rPr>
        <w:t> </w:t>
      </w:r>
      <w:r>
        <w:rPr/>
        <w:t>Unique episodes were created for every attacking possession.</w:t>
      </w:r>
      <w:r>
        <w:rPr>
          <w:spacing w:val="40"/>
        </w:rPr>
        <w:t> </w:t>
      </w:r>
      <w:r>
        <w:rPr/>
        <w:t>Rewards were calculated as the points outcome of the play:</w:t>
      </w:r>
      <w:r>
        <w:rPr>
          <w:spacing w:val="27"/>
        </w:rPr>
        <w:t> </w:t>
      </w:r>
      <w:r>
        <w:rPr/>
        <w:t>converted try scored (+6); unconverted try scored (+4); penalty goal scored (+2);</w:t>
      </w:r>
      <w:r>
        <w:rPr>
          <w:spacing w:val="-7"/>
        </w:rPr>
        <w:t> </w:t>
      </w:r>
      <w:r>
        <w:rPr/>
        <w:t>drop</w:t>
      </w:r>
      <w:r>
        <w:rPr>
          <w:spacing w:val="-9"/>
        </w:rPr>
        <w:t> </w:t>
      </w:r>
      <w:r>
        <w:rPr/>
        <w:t>goal</w:t>
      </w:r>
      <w:r>
        <w:rPr>
          <w:spacing w:val="-9"/>
        </w:rPr>
        <w:t> </w:t>
      </w:r>
      <w:r>
        <w:rPr/>
        <w:t>scored</w:t>
      </w:r>
      <w:r>
        <w:rPr>
          <w:spacing w:val="-9"/>
        </w:rPr>
        <w:t> </w:t>
      </w:r>
      <w:r>
        <w:rPr/>
        <w:t>(+1);</w:t>
      </w:r>
      <w:r>
        <w:rPr>
          <w:spacing w:val="-7"/>
        </w:rPr>
        <w:t> </w:t>
      </w:r>
      <w:r>
        <w:rPr/>
        <w:t>loss</w:t>
      </w:r>
      <w:r>
        <w:rPr>
          <w:spacing w:val="-9"/>
        </w:rPr>
        <w:t> </w:t>
      </w:r>
      <w:r>
        <w:rPr/>
        <w:t>of</w:t>
      </w:r>
      <w:r>
        <w:rPr>
          <w:spacing w:val="-9"/>
        </w:rPr>
        <w:t> </w:t>
      </w:r>
      <w:r>
        <w:rPr/>
        <w:t>possession</w:t>
      </w:r>
      <w:r>
        <w:rPr>
          <w:spacing w:val="-9"/>
        </w:rPr>
        <w:t> </w:t>
      </w:r>
      <w:r>
        <w:rPr/>
        <w:t>or</w:t>
      </w:r>
      <w:r>
        <w:rPr>
          <w:spacing w:val="-9"/>
        </w:rPr>
        <w:t> </w:t>
      </w:r>
      <w:r>
        <w:rPr/>
        <w:t>missed</w:t>
      </w:r>
      <w:r>
        <w:rPr>
          <w:spacing w:val="-9"/>
        </w:rPr>
        <w:t> </w:t>
      </w:r>
      <w:r>
        <w:rPr/>
        <w:t>goal</w:t>
      </w:r>
      <w:r>
        <w:rPr>
          <w:spacing w:val="-9"/>
        </w:rPr>
        <w:t> </w:t>
      </w:r>
      <w:r>
        <w:rPr/>
        <w:t>attempt</w:t>
      </w:r>
      <w:r>
        <w:rPr>
          <w:spacing w:val="-9"/>
        </w:rPr>
        <w:t> </w:t>
      </w:r>
      <w:r>
        <w:rPr/>
        <w:t>(0). In</w:t>
      </w:r>
      <w:r>
        <w:rPr>
          <w:spacing w:val="-9"/>
        </w:rPr>
        <w:t> </w:t>
      </w:r>
      <w:r>
        <w:rPr/>
        <w:t>plays</w:t>
      </w:r>
      <w:r>
        <w:rPr>
          <w:spacing w:val="-9"/>
        </w:rPr>
        <w:t> </w:t>
      </w:r>
      <w:r>
        <w:rPr/>
        <w:t>where none</w:t>
      </w:r>
      <w:r>
        <w:rPr>
          <w:spacing w:val="-8"/>
        </w:rPr>
        <w:t> </w:t>
      </w:r>
      <w:r>
        <w:rPr/>
        <w:t>of</w:t>
      </w:r>
      <w:r>
        <w:rPr>
          <w:spacing w:val="-8"/>
        </w:rPr>
        <w:t> </w:t>
      </w:r>
      <w:r>
        <w:rPr/>
        <w:t>these</w:t>
      </w:r>
      <w:r>
        <w:rPr>
          <w:spacing w:val="-8"/>
        </w:rPr>
        <w:t> </w:t>
      </w:r>
      <w:r>
        <w:rPr/>
        <w:t>scoring</w:t>
      </w:r>
      <w:r>
        <w:rPr>
          <w:spacing w:val="-8"/>
        </w:rPr>
        <w:t> </w:t>
      </w:r>
      <w:r>
        <w:rPr/>
        <w:t>events</w:t>
      </w:r>
      <w:r>
        <w:rPr>
          <w:spacing w:val="-8"/>
        </w:rPr>
        <w:t> </w:t>
      </w:r>
      <w:r>
        <w:rPr/>
        <w:t>occurred,</w:t>
      </w:r>
      <w:r>
        <w:rPr>
          <w:spacing w:val="-8"/>
        </w:rPr>
        <w:t> </w:t>
      </w:r>
      <w:r>
        <w:rPr/>
        <w:t>a</w:t>
      </w:r>
      <w:r>
        <w:rPr>
          <w:spacing w:val="-8"/>
        </w:rPr>
        <w:t> </w:t>
      </w:r>
      <w:r>
        <w:rPr/>
        <w:t>reward</w:t>
      </w:r>
      <w:r>
        <w:rPr>
          <w:spacing w:val="-8"/>
        </w:rPr>
        <w:t> </w:t>
      </w:r>
      <w:r>
        <w:rPr/>
        <w:t>of</w:t>
      </w:r>
      <w:r>
        <w:rPr>
          <w:spacing w:val="-8"/>
        </w:rPr>
        <w:t> </w:t>
      </w:r>
      <w:r>
        <w:rPr/>
        <w:t>0</w:t>
      </w:r>
      <w:r>
        <w:rPr>
          <w:spacing w:val="-8"/>
        </w:rPr>
        <w:t> </w:t>
      </w:r>
      <w:r>
        <w:rPr/>
        <w:t>was</w:t>
      </w:r>
      <w:r>
        <w:rPr>
          <w:spacing w:val="-8"/>
        </w:rPr>
        <w:t> </w:t>
      </w:r>
      <w:r>
        <w:rPr/>
        <w:t>assigned. Each</w:t>
      </w:r>
      <w:r>
        <w:rPr>
          <w:spacing w:val="-8"/>
        </w:rPr>
        <w:t> </w:t>
      </w:r>
      <w:r>
        <w:rPr/>
        <w:t>time-step</w:t>
      </w:r>
      <w:r>
        <w:rPr>
          <w:spacing w:val="-8"/>
        </w:rPr>
        <w:t> </w:t>
      </w:r>
      <w:r>
        <w:rPr/>
        <w:t>within the attacking possession sequence was assigned a reward, so it was possible for a </w:t>
      </w:r>
      <w:r>
        <w:rPr/>
        <w:t>zone</w:t>
      </w:r>
      <w:r>
        <w:rPr>
          <w:spacing w:val="40"/>
        </w:rPr>
        <w:t> </w:t>
      </w:r>
      <w:r>
        <w:rPr/>
        <w:t>to</w:t>
      </w:r>
      <w:r>
        <w:rPr>
          <w:spacing w:val="-5"/>
        </w:rPr>
        <w:t> </w:t>
      </w:r>
      <w:r>
        <w:rPr/>
        <w:t>receive</w:t>
      </w:r>
      <w:r>
        <w:rPr>
          <w:spacing w:val="-4"/>
        </w:rPr>
        <w:t> </w:t>
      </w:r>
      <w:r>
        <w:rPr/>
        <w:t>multiple</w:t>
      </w:r>
      <w:r>
        <w:rPr>
          <w:spacing w:val="-5"/>
        </w:rPr>
        <w:t> </w:t>
      </w:r>
      <w:r>
        <w:rPr/>
        <w:t>rewards</w:t>
      </w:r>
      <w:r>
        <w:rPr>
          <w:spacing w:val="-4"/>
        </w:rPr>
        <w:t> </w:t>
      </w:r>
      <w:r>
        <w:rPr/>
        <w:t>in</w:t>
      </w:r>
      <w:r>
        <w:rPr>
          <w:spacing w:val="-5"/>
        </w:rPr>
        <w:t> </w:t>
      </w:r>
      <w:r>
        <w:rPr/>
        <w:t>an</w:t>
      </w:r>
      <w:r>
        <w:rPr>
          <w:spacing w:val="-4"/>
        </w:rPr>
        <w:t> </w:t>
      </w:r>
      <w:r>
        <w:rPr/>
        <w:t>episode</w:t>
      </w:r>
      <w:r>
        <w:rPr>
          <w:spacing w:val="-5"/>
        </w:rPr>
        <w:t> </w:t>
      </w:r>
      <w:r>
        <w:rPr/>
        <w:t>if</w:t>
      </w:r>
      <w:r>
        <w:rPr>
          <w:spacing w:val="-4"/>
        </w:rPr>
        <w:t> </w:t>
      </w:r>
      <w:r>
        <w:rPr/>
        <w:t>more</w:t>
      </w:r>
      <w:r>
        <w:rPr>
          <w:spacing w:val="-5"/>
        </w:rPr>
        <w:t> </w:t>
      </w:r>
      <w:r>
        <w:rPr/>
        <w:t>than</w:t>
      </w:r>
      <w:r>
        <w:rPr>
          <w:spacing w:val="-4"/>
        </w:rPr>
        <w:t> </w:t>
      </w:r>
      <w:r>
        <w:rPr/>
        <w:t>one</w:t>
      </w:r>
      <w:r>
        <w:rPr>
          <w:spacing w:val="-5"/>
        </w:rPr>
        <w:t> </w:t>
      </w:r>
      <w:r>
        <w:rPr/>
        <w:t>play</w:t>
      </w:r>
      <w:r>
        <w:rPr>
          <w:spacing w:val="-4"/>
        </w:rPr>
        <w:t> </w:t>
      </w:r>
      <w:r>
        <w:rPr/>
        <w:t>began</w:t>
      </w:r>
      <w:r>
        <w:rPr>
          <w:spacing w:val="-5"/>
        </w:rPr>
        <w:t> </w:t>
      </w:r>
      <w:r>
        <w:rPr/>
        <w:t>in</w:t>
      </w:r>
      <w:r>
        <w:rPr>
          <w:spacing w:val="-4"/>
        </w:rPr>
        <w:t> </w:t>
      </w:r>
      <w:r>
        <w:rPr/>
        <w:t>a</w:t>
      </w:r>
      <w:r>
        <w:rPr>
          <w:spacing w:val="-5"/>
        </w:rPr>
        <w:t> </w:t>
      </w:r>
      <w:r>
        <w:rPr/>
        <w:t>given</w:t>
      </w:r>
      <w:r>
        <w:rPr>
          <w:spacing w:val="-4"/>
        </w:rPr>
        <w:t> </w:t>
      </w:r>
      <w:r>
        <w:rPr/>
        <w:t>location within</w:t>
      </w:r>
      <w:r>
        <w:rPr>
          <w:spacing w:val="-15"/>
        </w:rPr>
        <w:t> </w:t>
      </w:r>
      <w:r>
        <w:rPr/>
        <w:t>the</w:t>
      </w:r>
      <w:r>
        <w:rPr>
          <w:spacing w:val="-15"/>
        </w:rPr>
        <w:t> </w:t>
      </w:r>
      <w:r>
        <w:rPr/>
        <w:t>same</w:t>
      </w:r>
      <w:r>
        <w:rPr>
          <w:spacing w:val="-15"/>
        </w:rPr>
        <w:t> </w:t>
      </w:r>
      <w:r>
        <w:rPr/>
        <w:t>attacking</w:t>
      </w:r>
      <w:r>
        <w:rPr>
          <w:spacing w:val="-15"/>
        </w:rPr>
        <w:t> </w:t>
      </w:r>
      <w:r>
        <w:rPr/>
        <w:t>possession. However,</w:t>
      </w:r>
      <w:r>
        <w:rPr>
          <w:spacing w:val="-14"/>
        </w:rPr>
        <w:t> </w:t>
      </w:r>
      <w:r>
        <w:rPr/>
        <w:t>a</w:t>
      </w:r>
      <w:r>
        <w:rPr>
          <w:spacing w:val="-15"/>
        </w:rPr>
        <w:t> </w:t>
      </w:r>
      <w:r>
        <w:rPr/>
        <w:t>point</w:t>
      </w:r>
      <w:r>
        <w:rPr>
          <w:spacing w:val="-15"/>
        </w:rPr>
        <w:t> </w:t>
      </w:r>
      <w:r>
        <w:rPr/>
        <w:t>scoring</w:t>
      </w:r>
      <w:r>
        <w:rPr>
          <w:spacing w:val="-15"/>
        </w:rPr>
        <w:t> </w:t>
      </w:r>
      <w:r>
        <w:rPr/>
        <w:t>reward</w:t>
      </w:r>
      <w:r>
        <w:rPr>
          <w:spacing w:val="-15"/>
        </w:rPr>
        <w:t> </w:t>
      </w:r>
      <w:r>
        <w:rPr/>
        <w:t>was</w:t>
      </w:r>
      <w:r>
        <w:rPr>
          <w:spacing w:val="-15"/>
        </w:rPr>
        <w:t> </w:t>
      </w:r>
      <w:r>
        <w:rPr/>
        <w:t>only</w:t>
      </w:r>
      <w:r>
        <w:rPr>
          <w:spacing w:val="-15"/>
        </w:rPr>
        <w:t> </w:t>
      </w:r>
      <w:r>
        <w:rPr/>
        <w:t>obtained once per attacking possession (i.e. it was treated as a transition to a terminal state).</w:t>
      </w:r>
    </w:p>
    <w:p>
      <w:pPr>
        <w:spacing w:after="0" w:line="312" w:lineRule="auto"/>
        <w:sectPr>
          <w:type w:val="continuous"/>
          <w:pgSz w:w="11910" w:h="16840"/>
          <w:pgMar w:header="1961" w:footer="1428" w:top="1920" w:bottom="280" w:left="1680" w:right="720"/>
        </w:sectPr>
      </w:pPr>
    </w:p>
    <w:p>
      <w:pPr>
        <w:pStyle w:val="BodyText"/>
        <w:rPr>
          <w:sz w:val="20"/>
        </w:rPr>
      </w:pPr>
    </w:p>
    <w:p>
      <w:pPr>
        <w:pStyle w:val="BodyText"/>
        <w:spacing w:before="6"/>
        <w:rPr>
          <w:sz w:val="16"/>
        </w:rPr>
      </w:pPr>
    </w:p>
    <w:p>
      <w:pPr>
        <w:pStyle w:val="Heading3"/>
        <w:numPr>
          <w:ilvl w:val="2"/>
          <w:numId w:val="18"/>
        </w:numPr>
        <w:tabs>
          <w:tab w:pos="1471" w:val="left" w:leader="none"/>
          <w:tab w:pos="1472" w:val="left" w:leader="none"/>
        </w:tabs>
        <w:spacing w:line="240" w:lineRule="auto" w:before="114" w:after="0"/>
        <w:ind w:left="1471" w:right="0" w:hanging="862"/>
        <w:jc w:val="left"/>
      </w:pPr>
      <w:bookmarkStart w:name="_TOC_250040" w:id="120"/>
      <w:bookmarkStart w:name="3.2.4 Configuration of Zone Sizes" w:id="121"/>
      <w:r>
        <w:rPr>
          <w:b w:val="0"/>
        </w:rPr>
      </w:r>
      <w:bookmarkStart w:name="_bookmark64" w:id="122"/>
      <w:bookmarkEnd w:id="122"/>
      <w:r>
        <w:rPr/>
        <w:t>Configuration</w:t>
      </w:r>
      <w:r>
        <w:rPr>
          <w:spacing w:val="12"/>
        </w:rPr>
        <w:t> </w:t>
      </w:r>
      <w:r>
        <w:rPr/>
        <w:t>of</w:t>
      </w:r>
      <w:r>
        <w:rPr>
          <w:spacing w:val="12"/>
        </w:rPr>
        <w:t> </w:t>
      </w:r>
      <w:r>
        <w:rPr/>
        <w:t>Zone</w:t>
      </w:r>
      <w:r>
        <w:rPr>
          <w:spacing w:val="12"/>
        </w:rPr>
        <w:t> </w:t>
      </w:r>
      <w:bookmarkEnd w:id="120"/>
      <w:r>
        <w:rPr>
          <w:spacing w:val="-2"/>
        </w:rPr>
        <w:t>Sizes</w:t>
      </w:r>
    </w:p>
    <w:p>
      <w:pPr>
        <w:pStyle w:val="BodyText"/>
        <w:spacing w:line="312" w:lineRule="auto" w:before="232"/>
        <w:ind w:left="610" w:right="389"/>
      </w:pPr>
      <w:r>
        <w:rPr>
          <w:spacing w:val="-2"/>
        </w:rPr>
        <w:t>EPV</w:t>
      </w:r>
      <w:r>
        <w:rPr>
          <w:spacing w:val="-8"/>
        </w:rPr>
        <w:t> </w:t>
      </w:r>
      <w:r>
        <w:rPr>
          <w:spacing w:val="-2"/>
        </w:rPr>
        <w:t>models</w:t>
      </w:r>
      <w:r>
        <w:rPr>
          <w:spacing w:val="-8"/>
        </w:rPr>
        <w:t> </w:t>
      </w:r>
      <w:r>
        <w:rPr>
          <w:spacing w:val="-2"/>
        </w:rPr>
        <w:t>provide</w:t>
      </w:r>
      <w:r>
        <w:rPr>
          <w:spacing w:val="-8"/>
        </w:rPr>
        <w:t> </w:t>
      </w:r>
      <w:r>
        <w:rPr>
          <w:spacing w:val="-2"/>
        </w:rPr>
        <w:t>the</w:t>
      </w:r>
      <w:r>
        <w:rPr>
          <w:spacing w:val="-9"/>
        </w:rPr>
        <w:t> </w:t>
      </w:r>
      <w:r>
        <w:rPr>
          <w:spacing w:val="-2"/>
        </w:rPr>
        <w:t>expected</w:t>
      </w:r>
      <w:r>
        <w:rPr>
          <w:spacing w:val="-8"/>
        </w:rPr>
        <w:t> </w:t>
      </w:r>
      <w:r>
        <w:rPr>
          <w:spacing w:val="-2"/>
        </w:rPr>
        <w:t>points</w:t>
      </w:r>
      <w:r>
        <w:rPr>
          <w:spacing w:val="-9"/>
        </w:rPr>
        <w:t> </w:t>
      </w:r>
      <w:r>
        <w:rPr>
          <w:spacing w:val="-2"/>
        </w:rPr>
        <w:t>obtained</w:t>
      </w:r>
      <w:r>
        <w:rPr>
          <w:spacing w:val="-8"/>
        </w:rPr>
        <w:t> </w:t>
      </w:r>
      <w:r>
        <w:rPr>
          <w:spacing w:val="-2"/>
        </w:rPr>
        <w:t>from</w:t>
      </w:r>
      <w:r>
        <w:rPr>
          <w:spacing w:val="-8"/>
        </w:rPr>
        <w:t> </w:t>
      </w:r>
      <w:r>
        <w:rPr>
          <w:spacing w:val="-2"/>
        </w:rPr>
        <w:t>state</w:t>
      </w:r>
      <w:r>
        <w:rPr>
          <w:spacing w:val="-9"/>
        </w:rPr>
        <w:t> </w:t>
      </w:r>
      <w:r>
        <w:rPr>
          <w:rFonts w:ascii="Cambria"/>
          <w:spacing w:val="-2"/>
        </w:rPr>
        <w:t>s </w:t>
      </w:r>
      <w:r>
        <w:rPr>
          <w:spacing w:val="-2"/>
        </w:rPr>
        <w:t>at</w:t>
      </w:r>
      <w:r>
        <w:rPr>
          <w:spacing w:val="-8"/>
        </w:rPr>
        <w:t> </w:t>
      </w:r>
      <w:r>
        <w:rPr>
          <w:spacing w:val="-2"/>
        </w:rPr>
        <w:t>the</w:t>
      </w:r>
      <w:r>
        <w:rPr>
          <w:spacing w:val="-9"/>
        </w:rPr>
        <w:t> </w:t>
      </w:r>
      <w:r>
        <w:rPr>
          <w:spacing w:val="-2"/>
        </w:rPr>
        <w:t>end</w:t>
      </w:r>
      <w:r>
        <w:rPr>
          <w:spacing w:val="-8"/>
        </w:rPr>
        <w:t> </w:t>
      </w:r>
      <w:r>
        <w:rPr>
          <w:spacing w:val="-2"/>
        </w:rPr>
        <w:t>of</w:t>
      </w:r>
      <w:r>
        <w:rPr>
          <w:spacing w:val="-9"/>
        </w:rPr>
        <w:t> </w:t>
      </w:r>
      <w:r>
        <w:rPr>
          <w:spacing w:val="-2"/>
        </w:rPr>
        <w:t>the</w:t>
      </w:r>
      <w:r>
        <w:rPr>
          <w:spacing w:val="-8"/>
        </w:rPr>
        <w:t> </w:t>
      </w:r>
      <w:r>
        <w:rPr>
          <w:spacing w:val="-2"/>
        </w:rPr>
        <w:t>possession. </w:t>
      </w:r>
      <w:r>
        <w:rPr/>
        <w:t>In</w:t>
      </w:r>
      <w:r>
        <w:rPr>
          <w:spacing w:val="-11"/>
        </w:rPr>
        <w:t> </w:t>
      </w:r>
      <w:r>
        <w:rPr/>
        <w:t>this</w:t>
      </w:r>
      <w:r>
        <w:rPr>
          <w:spacing w:val="-11"/>
        </w:rPr>
        <w:t> </w:t>
      </w:r>
      <w:r>
        <w:rPr/>
        <w:t>study,</w:t>
      </w:r>
      <w:r>
        <w:rPr>
          <w:spacing w:val="-9"/>
        </w:rPr>
        <w:t> </w:t>
      </w:r>
      <w:r>
        <w:rPr/>
        <w:t>the</w:t>
      </w:r>
      <w:r>
        <w:rPr>
          <w:spacing w:val="-11"/>
        </w:rPr>
        <w:t> </w:t>
      </w:r>
      <w:r>
        <w:rPr/>
        <w:t>state</w:t>
      </w:r>
      <w:r>
        <w:rPr>
          <w:spacing w:val="-11"/>
        </w:rPr>
        <w:t> </w:t>
      </w:r>
      <w:r>
        <w:rPr/>
        <w:t>refers</w:t>
      </w:r>
      <w:r>
        <w:rPr>
          <w:spacing w:val="-11"/>
        </w:rPr>
        <w:t> </w:t>
      </w:r>
      <w:r>
        <w:rPr/>
        <w:t>to</w:t>
      </w:r>
      <w:r>
        <w:rPr>
          <w:spacing w:val="-11"/>
        </w:rPr>
        <w:t> </w:t>
      </w:r>
      <w:r>
        <w:rPr/>
        <w:t>an</w:t>
      </w:r>
      <w:r>
        <w:rPr>
          <w:spacing w:val="-11"/>
        </w:rPr>
        <w:t> </w:t>
      </w:r>
      <w:r>
        <w:rPr/>
        <w:t>area</w:t>
      </w:r>
      <w:r>
        <w:rPr>
          <w:spacing w:val="-11"/>
        </w:rPr>
        <w:t> </w:t>
      </w:r>
      <w:r>
        <w:rPr/>
        <w:t>on</w:t>
      </w:r>
      <w:r>
        <w:rPr>
          <w:spacing w:val="-11"/>
        </w:rPr>
        <w:t> </w:t>
      </w:r>
      <w:r>
        <w:rPr/>
        <w:t>the</w:t>
      </w:r>
      <w:r>
        <w:rPr>
          <w:spacing w:val="-11"/>
        </w:rPr>
        <w:t> </w:t>
      </w:r>
      <w:r>
        <w:rPr/>
        <w:t>rugby</w:t>
      </w:r>
      <w:r>
        <w:rPr>
          <w:spacing w:val="-11"/>
        </w:rPr>
        <w:t> </w:t>
      </w:r>
      <w:r>
        <w:rPr/>
        <w:t>league</w:t>
      </w:r>
      <w:r>
        <w:rPr>
          <w:spacing w:val="-11"/>
        </w:rPr>
        <w:t> </w:t>
      </w:r>
      <w:r>
        <w:rPr/>
        <w:t>pitch</w:t>
      </w:r>
      <w:r>
        <w:rPr>
          <w:spacing w:val="-11"/>
        </w:rPr>
        <w:t> </w:t>
      </w:r>
      <w:r>
        <w:rPr/>
        <w:t>in</w:t>
      </w:r>
      <w:r>
        <w:rPr>
          <w:spacing w:val="-11"/>
        </w:rPr>
        <w:t> </w:t>
      </w:r>
      <w:r>
        <w:rPr/>
        <w:t>which</w:t>
      </w:r>
      <w:r>
        <w:rPr>
          <w:spacing w:val="-11"/>
        </w:rPr>
        <w:t> </w:t>
      </w:r>
      <w:r>
        <w:rPr/>
        <w:t>the</w:t>
      </w:r>
      <w:r>
        <w:rPr>
          <w:spacing w:val="-11"/>
        </w:rPr>
        <w:t> </w:t>
      </w:r>
      <w:r>
        <w:rPr/>
        <w:t>play</w:t>
      </w:r>
      <w:r>
        <w:rPr>
          <w:spacing w:val="-11"/>
        </w:rPr>
        <w:t> </w:t>
      </w:r>
      <w:r>
        <w:rPr/>
        <w:t>begins. Previous studies in rugby league</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and football (</w:t>
      </w:r>
      <w:hyperlink w:history="true" w:anchor="_bookmark294">
        <w:r>
          <w:rPr>
            <w:color w:val="FF0000"/>
          </w:rPr>
          <w:t>Singh</w:t>
        </w:r>
        <w:r>
          <w:rPr/>
          <w:t>,</w:t>
        </w:r>
      </w:hyperlink>
      <w:r>
        <w:rPr>
          <w:color w:val="FF0000"/>
        </w:rPr>
        <w:t>n.d.</w:t>
      </w:r>
      <w:hyperlink w:history="true" w:anchor="_bookmark294">
        <w:r>
          <w:rPr/>
          <w:t>)</w:t>
        </w:r>
      </w:hyperlink>
      <w:r>
        <w:rPr>
          <w:spacing w:val="40"/>
        </w:rPr>
        <w:t> </w:t>
      </w:r>
      <w:r>
        <w:rPr/>
        <w:t>have used</w:t>
      </w:r>
      <w:r>
        <w:rPr>
          <w:spacing w:val="28"/>
        </w:rPr>
        <w:t> </w:t>
      </w:r>
      <w:r>
        <w:rPr/>
        <w:t>arbitrarily</w:t>
      </w:r>
      <w:r>
        <w:rPr>
          <w:spacing w:val="28"/>
        </w:rPr>
        <w:t> </w:t>
      </w:r>
      <w:r>
        <w:rPr/>
        <w:t>selected</w:t>
      </w:r>
      <w:r>
        <w:rPr>
          <w:spacing w:val="28"/>
        </w:rPr>
        <w:t> </w:t>
      </w:r>
      <w:r>
        <w:rPr/>
        <w:t>zone</w:t>
      </w:r>
      <w:r>
        <w:rPr>
          <w:spacing w:val="28"/>
        </w:rPr>
        <w:t> </w:t>
      </w:r>
      <w:r>
        <w:rPr/>
        <w:t>sizes,</w:t>
      </w:r>
      <w:r>
        <w:rPr>
          <w:spacing w:val="36"/>
        </w:rPr>
        <w:t> </w:t>
      </w:r>
      <w:r>
        <w:rPr/>
        <w:t>which</w:t>
      </w:r>
      <w:r>
        <w:rPr>
          <w:spacing w:val="28"/>
        </w:rPr>
        <w:t> </w:t>
      </w:r>
      <w:r>
        <w:rPr/>
        <w:t>may</w:t>
      </w:r>
      <w:r>
        <w:rPr>
          <w:spacing w:val="28"/>
        </w:rPr>
        <w:t> </w:t>
      </w:r>
      <w:r>
        <w:rPr/>
        <w:t>or</w:t>
      </w:r>
      <w:r>
        <w:rPr>
          <w:spacing w:val="28"/>
        </w:rPr>
        <w:t> </w:t>
      </w:r>
      <w:r>
        <w:rPr/>
        <w:t>may</w:t>
      </w:r>
      <w:r>
        <w:rPr>
          <w:spacing w:val="28"/>
        </w:rPr>
        <w:t> </w:t>
      </w:r>
      <w:r>
        <w:rPr/>
        <w:t>not</w:t>
      </w:r>
      <w:r>
        <w:rPr>
          <w:spacing w:val="28"/>
        </w:rPr>
        <w:t> </w:t>
      </w:r>
      <w:r>
        <w:rPr/>
        <w:t>provide</w:t>
      </w:r>
      <w:r>
        <w:rPr>
          <w:spacing w:val="28"/>
        </w:rPr>
        <w:t> </w:t>
      </w:r>
      <w:r>
        <w:rPr/>
        <w:t>the</w:t>
      </w:r>
      <w:r>
        <w:rPr>
          <w:spacing w:val="28"/>
        </w:rPr>
        <w:t> </w:t>
      </w:r>
      <w:r>
        <w:rPr/>
        <w:t>most</w:t>
      </w:r>
      <w:r>
        <w:rPr>
          <w:spacing w:val="28"/>
        </w:rPr>
        <w:t> </w:t>
      </w:r>
      <w:r>
        <w:rPr/>
        <w:t>suitable configuration for use in the sport.</w:t>
      </w:r>
      <w:r>
        <w:rPr>
          <w:spacing w:val="40"/>
        </w:rPr>
        <w:t> </w:t>
      </w:r>
      <w:r>
        <w:rPr/>
        <w:t>This study aimed to adapt and extend previous work (</w:t>
      </w:r>
      <w:hyperlink w:history="true" w:anchor="_bookmark263">
        <w:r>
          <w:rPr>
            <w:color w:val="FF0000"/>
          </w:rPr>
          <w:t>Kempton et al.</w:t>
        </w:r>
      </w:hyperlink>
      <w:r>
        <w:rPr/>
        <w:t>,</w:t>
      </w:r>
      <w:hyperlink w:history="true" w:anchor="_bookmark263">
        <w:r>
          <w:rPr>
            <w:color w:val="FF0000"/>
          </w:rPr>
          <w:t>2016</w:t>
        </w:r>
        <w:r>
          <w:rPr/>
          <w:t>;</w:t>
        </w:r>
      </w:hyperlink>
      <w:hyperlink w:history="true" w:anchor="_bookmark294">
        <w:r>
          <w:rPr>
            <w:color w:val="FF0000"/>
          </w:rPr>
          <w:t>Singh</w:t>
        </w:r>
        <w:r>
          <w:rPr/>
          <w:t>,</w:t>
        </w:r>
      </w:hyperlink>
      <w:r>
        <w:rPr>
          <w:color w:val="FF0000"/>
        </w:rPr>
        <w:t>n.d.</w:t>
      </w:r>
      <w:hyperlink w:history="true" w:anchor="_bookmark294">
        <w:r>
          <w:rPr/>
          <w:t>)</w:t>
        </w:r>
      </w:hyperlink>
      <w:r>
        <w:rPr/>
        <w:t> by empirically evaluating the most suitable zone size for</w:t>
      </w:r>
      <w:r>
        <w:rPr>
          <w:spacing w:val="-3"/>
        </w:rPr>
        <w:t> </w:t>
      </w:r>
      <w:r>
        <w:rPr/>
        <w:t>use</w:t>
      </w:r>
      <w:r>
        <w:rPr>
          <w:spacing w:val="-3"/>
        </w:rPr>
        <w:t> </w:t>
      </w:r>
      <w:r>
        <w:rPr/>
        <w:t>within</w:t>
      </w:r>
      <w:r>
        <w:rPr>
          <w:spacing w:val="-3"/>
        </w:rPr>
        <w:t> </w:t>
      </w:r>
      <w:r>
        <w:rPr/>
        <w:t>the</w:t>
      </w:r>
      <w:r>
        <w:rPr>
          <w:spacing w:val="-3"/>
        </w:rPr>
        <w:t> </w:t>
      </w:r>
      <w:r>
        <w:rPr/>
        <w:t>sport.</w:t>
      </w:r>
      <w:r>
        <w:rPr>
          <w:spacing w:val="17"/>
        </w:rPr>
        <w:t> </w:t>
      </w:r>
      <w:r>
        <w:rPr/>
        <w:t>In</w:t>
      </w:r>
      <w:r>
        <w:rPr>
          <w:spacing w:val="-3"/>
        </w:rPr>
        <w:t> </w:t>
      </w:r>
      <w:r>
        <w:rPr/>
        <w:t>order</w:t>
      </w:r>
      <w:r>
        <w:rPr>
          <w:spacing w:val="-3"/>
        </w:rPr>
        <w:t> </w:t>
      </w:r>
      <w:r>
        <w:rPr/>
        <w:t>to</w:t>
      </w:r>
      <w:r>
        <w:rPr>
          <w:spacing w:val="-3"/>
        </w:rPr>
        <w:t> </w:t>
      </w:r>
      <w:r>
        <w:rPr/>
        <w:t>achieve</w:t>
      </w:r>
      <w:r>
        <w:rPr>
          <w:spacing w:val="-3"/>
        </w:rPr>
        <w:t> </w:t>
      </w:r>
      <w:r>
        <w:rPr/>
        <w:t>this</w:t>
      </w:r>
      <w:r>
        <w:rPr>
          <w:spacing w:val="-3"/>
        </w:rPr>
        <w:t> </w:t>
      </w:r>
      <w:r>
        <w:rPr/>
        <w:t>aim,</w:t>
      </w:r>
      <w:r>
        <w:rPr>
          <w:spacing w:val="-2"/>
        </w:rPr>
        <w:t> </w:t>
      </w:r>
      <w:r>
        <w:rPr/>
        <w:t>six</w:t>
      </w:r>
      <w:r>
        <w:rPr>
          <w:spacing w:val="-3"/>
        </w:rPr>
        <w:t> </w:t>
      </w:r>
      <w:r>
        <w:rPr/>
        <w:t>zone</w:t>
      </w:r>
      <w:r>
        <w:rPr>
          <w:spacing w:val="-3"/>
        </w:rPr>
        <w:t> </w:t>
      </w:r>
      <w:r>
        <w:rPr/>
        <w:t>configurations</w:t>
      </w:r>
      <w:r>
        <w:rPr>
          <w:spacing w:val="-3"/>
        </w:rPr>
        <w:t> </w:t>
      </w:r>
      <w:r>
        <w:rPr/>
        <w:t>of</w:t>
      </w:r>
      <w:r>
        <w:rPr>
          <w:spacing w:val="-3"/>
        </w:rPr>
        <w:t> </w:t>
      </w:r>
      <w:r>
        <w:rPr/>
        <w:t>different granularities</w:t>
      </w:r>
      <w:r>
        <w:rPr>
          <w:spacing w:val="-9"/>
        </w:rPr>
        <w:t> </w:t>
      </w:r>
      <w:r>
        <w:rPr/>
        <w:t>were</w:t>
      </w:r>
      <w:r>
        <w:rPr>
          <w:spacing w:val="-9"/>
        </w:rPr>
        <w:t> </w:t>
      </w:r>
      <w:r>
        <w:rPr/>
        <w:t>evaluated</w:t>
      </w:r>
      <w:r>
        <w:rPr>
          <w:spacing w:val="-8"/>
        </w:rPr>
        <w:t> </w:t>
      </w:r>
      <w:r>
        <w:rPr/>
        <w:t>by</w:t>
      </w:r>
      <w:r>
        <w:rPr>
          <w:spacing w:val="-9"/>
        </w:rPr>
        <w:t> </w:t>
      </w:r>
      <w:r>
        <w:rPr/>
        <w:t>the</w:t>
      </w:r>
      <w:r>
        <w:rPr>
          <w:spacing w:val="-9"/>
        </w:rPr>
        <w:t> </w:t>
      </w:r>
      <w:r>
        <w:rPr/>
        <w:t>Kullback-Leibler</w:t>
      </w:r>
      <w:r>
        <w:rPr>
          <w:spacing w:val="-8"/>
        </w:rPr>
        <w:t> </w:t>
      </w:r>
      <w:r>
        <w:rPr/>
        <w:t>Divergence</w:t>
      </w:r>
      <w:r>
        <w:rPr>
          <w:spacing w:val="-8"/>
        </w:rPr>
        <w:t> </w:t>
      </w:r>
      <w:r>
        <w:rPr/>
        <w:t>based</w:t>
      </w:r>
      <w:r>
        <w:rPr>
          <w:spacing w:val="-9"/>
        </w:rPr>
        <w:t> </w:t>
      </w:r>
      <w:r>
        <w:rPr/>
        <w:t>on</w:t>
      </w:r>
      <w:r>
        <w:rPr>
          <w:spacing w:val="-9"/>
        </w:rPr>
        <w:t> </w:t>
      </w:r>
      <w:r>
        <w:rPr/>
        <w:t>their</w:t>
      </w:r>
      <w:r>
        <w:rPr>
          <w:spacing w:val="-8"/>
        </w:rPr>
        <w:t> </w:t>
      </w:r>
      <w:r>
        <w:rPr/>
        <w:t>ability</w:t>
      </w:r>
      <w:r>
        <w:rPr>
          <w:spacing w:val="-9"/>
        </w:rPr>
        <w:t> </w:t>
      </w:r>
      <w:r>
        <w:rPr/>
        <w:t>to reproduce future team attacking performances.</w:t>
      </w:r>
    </w:p>
    <w:p>
      <w:pPr>
        <w:pStyle w:val="BodyText"/>
        <w:spacing w:line="312" w:lineRule="auto"/>
        <w:ind w:left="610" w:right="389" w:firstLine="351"/>
      </w:pPr>
      <w:r>
        <w:rPr>
          <w:spacing w:val="-2"/>
        </w:rPr>
        <w:t>Two</w:t>
      </w:r>
      <w:r>
        <w:rPr>
          <w:spacing w:val="-11"/>
        </w:rPr>
        <w:t> </w:t>
      </w:r>
      <w:r>
        <w:rPr>
          <w:spacing w:val="-2"/>
        </w:rPr>
        <w:t>fixed</w:t>
      </w:r>
      <w:r>
        <w:rPr>
          <w:spacing w:val="-11"/>
        </w:rPr>
        <w:t> </w:t>
      </w:r>
      <w:r>
        <w:rPr>
          <w:spacing w:val="-2"/>
        </w:rPr>
        <w:t>zone</w:t>
      </w:r>
      <w:r>
        <w:rPr>
          <w:spacing w:val="-11"/>
        </w:rPr>
        <w:t> </w:t>
      </w:r>
      <w:r>
        <w:rPr>
          <w:spacing w:val="-2"/>
        </w:rPr>
        <w:t>size</w:t>
      </w:r>
      <w:r>
        <w:rPr>
          <w:spacing w:val="-11"/>
        </w:rPr>
        <w:t> </w:t>
      </w:r>
      <w:r>
        <w:rPr>
          <w:spacing w:val="-2"/>
        </w:rPr>
        <w:t>configurations</w:t>
      </w:r>
      <w:r>
        <w:rPr>
          <w:spacing w:val="-11"/>
        </w:rPr>
        <w:t> </w:t>
      </w:r>
      <w:r>
        <w:rPr>
          <w:spacing w:val="-2"/>
        </w:rPr>
        <w:t>were</w:t>
      </w:r>
      <w:r>
        <w:rPr>
          <w:spacing w:val="-11"/>
        </w:rPr>
        <w:t> </w:t>
      </w:r>
      <w:r>
        <w:rPr>
          <w:spacing w:val="-2"/>
        </w:rPr>
        <w:t>used.</w:t>
      </w:r>
      <w:r>
        <w:rPr>
          <w:spacing w:val="10"/>
        </w:rPr>
        <w:t> </w:t>
      </w:r>
      <w:r>
        <w:rPr>
          <w:spacing w:val="-2"/>
        </w:rPr>
        <w:t>The</w:t>
      </w:r>
      <w:r>
        <w:rPr>
          <w:spacing w:val="-11"/>
        </w:rPr>
        <w:t> </w:t>
      </w:r>
      <w:r>
        <w:rPr>
          <w:spacing w:val="-2"/>
        </w:rPr>
        <w:t>EPV-308</w:t>
      </w:r>
      <w:r>
        <w:rPr>
          <w:spacing w:val="-11"/>
        </w:rPr>
        <w:t> </w:t>
      </w:r>
      <w:r>
        <w:rPr>
          <w:spacing w:val="-2"/>
        </w:rPr>
        <w:t>contained</w:t>
      </w:r>
      <w:r>
        <w:rPr>
          <w:spacing w:val="-11"/>
        </w:rPr>
        <w:t> </w:t>
      </w:r>
      <w:r>
        <w:rPr>
          <w:spacing w:val="-2"/>
        </w:rPr>
        <w:t>5m</w:t>
      </w:r>
      <w:r>
        <w:rPr>
          <w:spacing w:val="-11"/>
        </w:rPr>
        <w:t> </w:t>
      </w:r>
      <w:r>
        <w:rPr>
          <w:spacing w:val="-2"/>
        </w:rPr>
        <w:t>x</w:t>
      </w:r>
      <w:r>
        <w:rPr>
          <w:spacing w:val="-11"/>
        </w:rPr>
        <w:t> </w:t>
      </w:r>
      <w:r>
        <w:rPr>
          <w:spacing w:val="-2"/>
        </w:rPr>
        <w:t>5m</w:t>
      </w:r>
      <w:r>
        <w:rPr>
          <w:spacing w:val="-11"/>
        </w:rPr>
        <w:t> </w:t>
      </w:r>
      <w:r>
        <w:rPr>
          <w:spacing w:val="-2"/>
        </w:rPr>
        <w:t>zones </w:t>
      </w:r>
      <w:r>
        <w:rPr/>
        <w:t>and</w:t>
      </w:r>
      <w:r>
        <w:rPr>
          <w:spacing w:val="-4"/>
        </w:rPr>
        <w:t> </w:t>
      </w:r>
      <w:r>
        <w:rPr/>
        <w:t>used</w:t>
      </w:r>
      <w:r>
        <w:rPr>
          <w:spacing w:val="-5"/>
        </w:rPr>
        <w:t> </w:t>
      </w:r>
      <w:r>
        <w:rPr/>
        <w:t>the</w:t>
      </w:r>
      <w:r>
        <w:rPr>
          <w:spacing w:val="-4"/>
        </w:rPr>
        <w:t> </w:t>
      </w:r>
      <w:r>
        <w:rPr/>
        <w:t>EPV</w:t>
      </w:r>
      <w:r>
        <w:rPr>
          <w:spacing w:val="-4"/>
        </w:rPr>
        <w:t> </w:t>
      </w:r>
      <w:r>
        <w:rPr/>
        <w:t>values</w:t>
      </w:r>
      <w:r>
        <w:rPr>
          <w:spacing w:val="-5"/>
        </w:rPr>
        <w:t> </w:t>
      </w:r>
      <w:r>
        <w:rPr/>
        <w:t>obtained</w:t>
      </w:r>
      <w:r>
        <w:rPr>
          <w:spacing w:val="-4"/>
        </w:rPr>
        <w:t> </w:t>
      </w:r>
      <w:r>
        <w:rPr/>
        <w:t>from</w:t>
      </w:r>
      <w:r>
        <w:rPr>
          <w:spacing w:val="-5"/>
        </w:rPr>
        <w:t> </w:t>
      </w:r>
      <w:r>
        <w:rPr/>
        <w:t>the</w:t>
      </w:r>
      <w:r>
        <w:rPr>
          <w:spacing w:val="-4"/>
        </w:rPr>
        <w:t> </w:t>
      </w:r>
      <w:r>
        <w:rPr/>
        <w:t>Monte</w:t>
      </w:r>
      <w:r>
        <w:rPr>
          <w:spacing w:val="-4"/>
        </w:rPr>
        <w:t> </w:t>
      </w:r>
      <w:r>
        <w:rPr/>
        <w:t>Carlo</w:t>
      </w:r>
      <w:r>
        <w:rPr>
          <w:spacing w:val="-5"/>
        </w:rPr>
        <w:t> </w:t>
      </w:r>
      <w:r>
        <w:rPr/>
        <w:t>every</w:t>
      </w:r>
      <w:r>
        <w:rPr>
          <w:spacing w:val="-4"/>
        </w:rPr>
        <w:t> </w:t>
      </w:r>
      <w:r>
        <w:rPr/>
        <w:t>visit</w:t>
      </w:r>
      <w:r>
        <w:rPr>
          <w:spacing w:val="-4"/>
        </w:rPr>
        <w:t> </w:t>
      </w:r>
      <w:r>
        <w:rPr/>
        <w:t>algorithm</w:t>
      </w:r>
      <w:r>
        <w:rPr>
          <w:spacing w:val="-5"/>
        </w:rPr>
        <w:t> </w:t>
      </w:r>
      <w:r>
        <w:rPr/>
        <w:t>as</w:t>
      </w:r>
      <w:r>
        <w:rPr>
          <w:spacing w:val="-4"/>
        </w:rPr>
        <w:t> </w:t>
      </w:r>
      <w:r>
        <w:rPr/>
        <w:t>defined in Section</w:t>
      </w:r>
      <w:hyperlink w:history="true" w:anchor="_bookmark62">
        <w:r>
          <w:rPr>
            <w:color w:val="0000FF"/>
          </w:rPr>
          <w:t>3.2.3.1</w:t>
        </w:r>
        <w:r>
          <w:rPr/>
          <w:t>.</w:t>
        </w:r>
      </w:hyperlink>
      <w:r>
        <w:rPr>
          <w:spacing w:val="40"/>
        </w:rPr>
        <w:t> </w:t>
      </w:r>
      <w:r>
        <w:rPr/>
        <w:t>For comparison with the literature, the EPV-77 was produced using the same zones at</w:t>
      </w:r>
      <w:r>
        <w:rPr>
          <w:color w:val="FF0000"/>
        </w:rPr>
        <w:t>K</w:t>
      </w:r>
      <w:hyperlink w:history="true" w:anchor="_bookmark263">
        <w:r>
          <w:rPr>
            <w:color w:val="FF0000"/>
          </w:rPr>
          <w:t>empton et al.</w:t>
        </w:r>
        <w:r>
          <w:rPr/>
          <w:t>(</w:t>
        </w:r>
      </w:hyperlink>
      <w:hyperlink w:history="true" w:anchor="_bookmark263">
        <w:r>
          <w:rPr>
            <w:color w:val="FF0000"/>
          </w:rPr>
          <w:t>2016</w:t>
        </w:r>
        <w:r>
          <w:rPr/>
          <w:t>)</w:t>
        </w:r>
      </w:hyperlink>
      <w:r>
        <w:rPr/>
        <w:t> in the field of play, plus a further 7 zones in the team’s own try area.</w:t>
      </w:r>
      <w:r>
        <w:rPr>
          <w:spacing w:val="40"/>
        </w:rPr>
        <w:t> </w:t>
      </w:r>
      <w:r>
        <w:rPr/>
        <w:t>The EPVs for the EPV-77 zones were calculated as the weighted average of the four 5m x 5m EPV-308 zones they encompassed.</w:t>
      </w:r>
    </w:p>
    <w:p>
      <w:pPr>
        <w:pStyle w:val="BodyText"/>
        <w:spacing w:line="307" w:lineRule="auto"/>
        <w:ind w:left="610" w:right="389" w:firstLine="351"/>
        <w:jc w:val="both"/>
      </w:pPr>
      <w:r>
        <w:rPr/>
        <w:t>Four further zone configurations were produced through statistical analysis of </w:t>
      </w:r>
      <w:r>
        <w:rPr/>
        <w:t>the EPV-308</w:t>
      </w:r>
      <w:r>
        <w:rPr>
          <w:spacing w:val="-5"/>
        </w:rPr>
        <w:t> </w:t>
      </w:r>
      <w:r>
        <w:rPr/>
        <w:t>column</w:t>
      </w:r>
      <w:r>
        <w:rPr>
          <w:spacing w:val="-2"/>
        </w:rPr>
        <w:t> </w:t>
      </w:r>
      <w:r>
        <w:rPr/>
        <w:t>and</w:t>
      </w:r>
      <w:r>
        <w:rPr>
          <w:spacing w:val="-1"/>
        </w:rPr>
        <w:t> </w:t>
      </w:r>
      <w:r>
        <w:rPr/>
        <w:t>row</w:t>
      </w:r>
      <w:r>
        <w:rPr>
          <w:spacing w:val="-2"/>
        </w:rPr>
        <w:t> </w:t>
      </w:r>
      <w:r>
        <w:rPr/>
        <w:t>match</w:t>
      </w:r>
      <w:r>
        <w:rPr>
          <w:spacing w:val="-2"/>
        </w:rPr>
        <w:t> </w:t>
      </w:r>
      <w:r>
        <w:rPr/>
        <w:t>EPVs.</w:t>
      </w:r>
      <w:r>
        <w:rPr>
          <w:spacing w:val="21"/>
        </w:rPr>
        <w:t> </w:t>
      </w:r>
      <w:r>
        <w:rPr/>
        <w:t>The</w:t>
      </w:r>
      <w:r>
        <w:rPr>
          <w:spacing w:val="-2"/>
        </w:rPr>
        <w:t> </w:t>
      </w:r>
      <w:r>
        <w:rPr/>
        <w:t>match</w:t>
      </w:r>
      <w:r>
        <w:rPr>
          <w:spacing w:val="-1"/>
        </w:rPr>
        <w:t> </w:t>
      </w:r>
      <w:r>
        <w:rPr/>
        <w:t>EPV,</w:t>
      </w:r>
      <w:r>
        <w:rPr>
          <w:spacing w:val="-2"/>
        </w:rPr>
        <w:t> </w:t>
      </w:r>
      <w:r>
        <w:rPr/>
        <w:t>EPV(</w:t>
      </w:r>
      <w:r>
        <w:rPr>
          <w:rFonts w:ascii="Cambria"/>
        </w:rPr>
        <w:t>s,</w:t>
      </w:r>
      <w:r>
        <w:rPr>
          <w:rFonts w:ascii="Cambria"/>
          <w:spacing w:val="-14"/>
        </w:rPr>
        <w:t> </w:t>
      </w:r>
      <w:r>
        <w:rPr>
          <w:rFonts w:ascii="Cambria"/>
        </w:rPr>
        <w:t>m</w:t>
      </w:r>
      <w:r>
        <w:rPr/>
        <w:t>), obtained</w:t>
      </w:r>
      <w:r>
        <w:rPr>
          <w:spacing w:val="-2"/>
        </w:rPr>
        <w:t> </w:t>
      </w:r>
      <w:r>
        <w:rPr/>
        <w:t>by</w:t>
      </w:r>
      <w:r>
        <w:rPr>
          <w:spacing w:val="-2"/>
        </w:rPr>
        <w:t> </w:t>
      </w:r>
      <w:r>
        <w:rPr/>
        <w:t>zone</w:t>
      </w:r>
      <w:r>
        <w:rPr>
          <w:spacing w:val="-2"/>
        </w:rPr>
        <w:t> </w:t>
      </w:r>
      <w:r>
        <w:rPr>
          <w:rFonts w:ascii="Cambria"/>
        </w:rPr>
        <w:t>s </w:t>
      </w:r>
      <w:r>
        <w:rPr/>
        <w:t>in match </w:t>
      </w:r>
      <w:r>
        <w:rPr>
          <w:rFonts w:ascii="Cambria"/>
        </w:rPr>
        <w:t>m </w:t>
      </w:r>
      <w:r>
        <w:rPr/>
        <w:t>was calculated as</w:t>
      </w:r>
    </w:p>
    <w:p>
      <w:pPr>
        <w:pStyle w:val="BodyText"/>
        <w:rPr>
          <w:sz w:val="17"/>
        </w:rPr>
      </w:pPr>
    </w:p>
    <w:p>
      <w:pPr>
        <w:pStyle w:val="BodyText"/>
        <w:tabs>
          <w:tab w:pos="5336" w:val="left" w:leader="none"/>
          <w:tab w:pos="8656" w:val="left" w:leader="none"/>
        </w:tabs>
        <w:spacing w:before="93"/>
        <w:ind w:left="3579"/>
      </w:pPr>
      <w:r>
        <w:rPr/>
        <w:pict>
          <v:shape style="position:absolute;margin-left:331.47699pt;margin-top:-4.271057pt;width:17.3pt;height:44.4pt;mso-position-horizontal-relative:page;mso-position-vertical-relative:paragraph;z-index:-21790720" type="#_x0000_t202" id="docshape65" filled="false" stroked="false">
            <v:textbox inset="0,0,0,0">
              <w:txbxContent>
                <w:p>
                  <w:pPr>
                    <w:pStyle w:val="BodyText"/>
                    <w:spacing w:line="230" w:lineRule="exact"/>
                    <w:rPr>
                      <w:rFonts w:ascii="Arial"/>
                    </w:rPr>
                  </w:pPr>
                  <w:r>
                    <w:rPr>
                      <w:rFonts w:ascii="Arial"/>
                      <w:w w:val="258"/>
                    </w:rPr>
                    <w:t>L</w:t>
                  </w:r>
                </w:p>
              </w:txbxContent>
            </v:textbox>
            <w10:wrap type="none"/>
          </v:shape>
        </w:pict>
      </w:r>
      <w:r>
        <w:rPr>
          <w:w w:val="105"/>
        </w:rPr>
        <w:t>EPV</w:t>
      </w:r>
      <w:r>
        <w:rPr>
          <w:rFonts w:ascii="Garamond"/>
          <w:w w:val="105"/>
        </w:rPr>
        <w:t>(</w:t>
      </w:r>
      <w:r>
        <w:rPr>
          <w:rFonts w:ascii="Cambria"/>
          <w:w w:val="105"/>
        </w:rPr>
        <w:t>s,</w:t>
      </w:r>
      <w:r>
        <w:rPr>
          <w:rFonts w:ascii="Cambria"/>
          <w:spacing w:val="-11"/>
          <w:w w:val="105"/>
        </w:rPr>
        <w:t> </w:t>
      </w:r>
      <w:r>
        <w:rPr>
          <w:rFonts w:ascii="Cambria"/>
          <w:w w:val="105"/>
        </w:rPr>
        <w:t>m</w:t>
      </w:r>
      <w:r>
        <w:rPr>
          <w:rFonts w:ascii="Garamond"/>
          <w:w w:val="105"/>
        </w:rPr>
        <w:t>)</w:t>
      </w:r>
      <w:r>
        <w:rPr>
          <w:rFonts w:ascii="Garamond"/>
          <w:spacing w:val="11"/>
          <w:w w:val="105"/>
        </w:rPr>
        <w:t> </w:t>
      </w:r>
      <w:r>
        <w:rPr>
          <w:rFonts w:ascii="Garamond"/>
          <w:spacing w:val="-10"/>
          <w:w w:val="105"/>
        </w:rPr>
        <w:t>=</w:t>
      </w:r>
      <w:r>
        <w:rPr>
          <w:rFonts w:ascii="Garamond"/>
        </w:rPr>
        <w:tab/>
      </w:r>
      <w:r>
        <w:rPr>
          <w:spacing w:val="-2"/>
          <w:w w:val="110"/>
        </w:rPr>
        <w:t>EPV</w:t>
      </w:r>
      <w:r>
        <w:rPr>
          <w:rFonts w:ascii="Garamond"/>
          <w:spacing w:val="-2"/>
          <w:w w:val="110"/>
        </w:rPr>
        <w:t>(</w:t>
      </w:r>
      <w:r>
        <w:rPr>
          <w:rFonts w:ascii="Cambria"/>
          <w:spacing w:val="-2"/>
          <w:w w:val="110"/>
        </w:rPr>
        <w:t>s</w:t>
      </w:r>
      <w:r>
        <w:rPr>
          <w:rFonts w:ascii="Garamond"/>
          <w:spacing w:val="-2"/>
          <w:w w:val="110"/>
        </w:rPr>
        <w:t>)</w:t>
      </w:r>
      <w:r>
        <w:rPr>
          <w:rFonts w:ascii="Cambria"/>
          <w:spacing w:val="-2"/>
          <w:w w:val="110"/>
        </w:rPr>
        <w:t>,</w:t>
      </w:r>
      <w:r>
        <w:rPr>
          <w:rFonts w:ascii="Cambria"/>
        </w:rPr>
        <w:tab/>
      </w:r>
      <w:r>
        <w:rPr>
          <w:spacing w:val="-2"/>
          <w:w w:val="110"/>
        </w:rPr>
        <w:t>(3.3)</w:t>
      </w:r>
    </w:p>
    <w:p>
      <w:pPr>
        <w:spacing w:before="36"/>
        <w:ind w:left="757" w:right="19" w:firstLine="0"/>
        <w:jc w:val="center"/>
        <w:rPr>
          <w:rFonts w:ascii="Cambria" w:hAnsi="Cambria"/>
          <w:sz w:val="16"/>
        </w:rPr>
      </w:pPr>
      <w:r>
        <w:rPr>
          <w:rFonts w:ascii="Cambria" w:hAnsi="Cambria"/>
          <w:spacing w:val="-5"/>
          <w:w w:val="105"/>
          <w:sz w:val="16"/>
        </w:rPr>
        <w:t>z</w:t>
      </w:r>
      <w:r>
        <w:rPr>
          <w:rFonts w:ascii="Lucida Sans Unicode" w:hAnsi="Lucida Sans Unicode"/>
          <w:spacing w:val="-5"/>
          <w:w w:val="105"/>
          <w:sz w:val="16"/>
        </w:rPr>
        <w:t>∈</w:t>
      </w:r>
      <w:r>
        <w:rPr>
          <w:rFonts w:ascii="Cambria" w:hAnsi="Cambria"/>
          <w:spacing w:val="-5"/>
          <w:w w:val="105"/>
          <w:sz w:val="16"/>
        </w:rPr>
        <w:t>m</w:t>
      </w:r>
    </w:p>
    <w:p>
      <w:pPr>
        <w:pStyle w:val="BodyText"/>
        <w:spacing w:before="4"/>
        <w:rPr>
          <w:rFonts w:ascii="Cambria"/>
          <w:sz w:val="15"/>
        </w:rPr>
      </w:pPr>
    </w:p>
    <w:p>
      <w:pPr>
        <w:pStyle w:val="BodyText"/>
        <w:ind w:left="610"/>
      </w:pPr>
      <w:r>
        <w:rPr/>
        <w:t>where</w:t>
      </w:r>
      <w:r>
        <w:rPr>
          <w:spacing w:val="-6"/>
        </w:rPr>
        <w:t> </w:t>
      </w:r>
      <w:r>
        <w:rPr>
          <w:rFonts w:ascii="Cambria" w:hAnsi="Cambria"/>
        </w:rPr>
        <w:t>z</w:t>
      </w:r>
      <w:r>
        <w:rPr>
          <w:rFonts w:ascii="Cambria" w:hAnsi="Cambria"/>
          <w:spacing w:val="19"/>
        </w:rPr>
        <w:t> </w:t>
      </w:r>
      <w:r>
        <w:rPr>
          <w:rFonts w:ascii="Lucida Sans Unicode" w:hAnsi="Lucida Sans Unicode"/>
        </w:rPr>
        <w:t>∈</w:t>
      </w:r>
      <w:r>
        <w:rPr>
          <w:rFonts w:ascii="Lucida Sans Unicode" w:hAnsi="Lucida Sans Unicode"/>
          <w:spacing w:val="-15"/>
        </w:rPr>
        <w:t> </w:t>
      </w:r>
      <w:r>
        <w:rPr>
          <w:rFonts w:ascii="Cambria" w:hAnsi="Cambria"/>
        </w:rPr>
        <w:t>m</w:t>
      </w:r>
      <w:r>
        <w:rPr>
          <w:rFonts w:ascii="Cambria" w:hAnsi="Cambria"/>
          <w:spacing w:val="3"/>
        </w:rPr>
        <w:t> </w:t>
      </w:r>
      <w:r>
        <w:rPr/>
        <w:t>refers</w:t>
      </w:r>
      <w:r>
        <w:rPr>
          <w:spacing w:val="-5"/>
        </w:rPr>
        <w:t> </w:t>
      </w:r>
      <w:r>
        <w:rPr/>
        <w:t>to</w:t>
      </w:r>
      <w:r>
        <w:rPr>
          <w:spacing w:val="-5"/>
        </w:rPr>
        <w:t> </w:t>
      </w:r>
      <w:r>
        <w:rPr/>
        <w:t>the</w:t>
      </w:r>
      <w:r>
        <w:rPr>
          <w:spacing w:val="-5"/>
        </w:rPr>
        <w:t> </w:t>
      </w:r>
      <w:r>
        <w:rPr/>
        <w:t>set</w:t>
      </w:r>
      <w:r>
        <w:rPr>
          <w:spacing w:val="-5"/>
        </w:rPr>
        <w:t> </w:t>
      </w:r>
      <w:r>
        <w:rPr/>
        <w:t>of</w:t>
      </w:r>
      <w:r>
        <w:rPr>
          <w:spacing w:val="-6"/>
        </w:rPr>
        <w:t> </w:t>
      </w:r>
      <w:r>
        <w:rPr/>
        <w:t>all</w:t>
      </w:r>
      <w:r>
        <w:rPr>
          <w:spacing w:val="-5"/>
        </w:rPr>
        <w:t> </w:t>
      </w:r>
      <w:r>
        <w:rPr/>
        <w:t>unique</w:t>
      </w:r>
      <w:r>
        <w:rPr>
          <w:spacing w:val="-5"/>
        </w:rPr>
        <w:t> </w:t>
      </w:r>
      <w:r>
        <w:rPr/>
        <w:t>visits</w:t>
      </w:r>
      <w:r>
        <w:rPr>
          <w:spacing w:val="-5"/>
        </w:rPr>
        <w:t> </w:t>
      </w:r>
      <w:r>
        <w:rPr/>
        <w:t>to</w:t>
      </w:r>
      <w:r>
        <w:rPr>
          <w:spacing w:val="-5"/>
        </w:rPr>
        <w:t> </w:t>
      </w:r>
      <w:r>
        <w:rPr/>
        <w:t>zone</w:t>
      </w:r>
      <w:r>
        <w:rPr>
          <w:spacing w:val="-5"/>
        </w:rPr>
        <w:t> </w:t>
      </w:r>
      <w:r>
        <w:rPr>
          <w:rFonts w:ascii="Cambria" w:hAnsi="Cambria"/>
        </w:rPr>
        <w:t>s</w:t>
      </w:r>
      <w:r>
        <w:rPr>
          <w:rFonts w:ascii="Cambria" w:hAnsi="Cambria"/>
          <w:spacing w:val="2"/>
        </w:rPr>
        <w:t> </w:t>
      </w:r>
      <w:r>
        <w:rPr/>
        <w:t>in</w:t>
      </w:r>
      <w:r>
        <w:rPr>
          <w:spacing w:val="-6"/>
        </w:rPr>
        <w:t> </w:t>
      </w:r>
      <w:r>
        <w:rPr/>
        <w:t>match</w:t>
      </w:r>
      <w:r>
        <w:rPr>
          <w:spacing w:val="-5"/>
        </w:rPr>
        <w:t> </w:t>
      </w:r>
      <w:r>
        <w:rPr>
          <w:rFonts w:ascii="Cambria" w:hAnsi="Cambria"/>
          <w:spacing w:val="-5"/>
        </w:rPr>
        <w:t>m</w:t>
      </w:r>
      <w:r>
        <w:rPr>
          <w:spacing w:val="-5"/>
        </w:rPr>
        <w:t>.</w:t>
      </w:r>
    </w:p>
    <w:p>
      <w:pPr>
        <w:pStyle w:val="BodyText"/>
        <w:spacing w:line="312" w:lineRule="auto" w:before="29"/>
        <w:ind w:left="610" w:right="389" w:firstLine="351"/>
      </w:pPr>
      <w:r>
        <w:rPr/>
        <w:t>The zones’ match EPVs were summed at the column and row level to produce </w:t>
      </w:r>
      <w:r>
        <w:rPr/>
        <w:t>14</w:t>
      </w:r>
      <w:r>
        <w:rPr>
          <w:spacing w:val="80"/>
          <w:w w:val="150"/>
        </w:rPr>
        <w:t> </w:t>
      </w:r>
      <w:r>
        <w:rPr/>
        <w:t>column</w:t>
      </w:r>
      <w:r>
        <w:rPr>
          <w:spacing w:val="-15"/>
        </w:rPr>
        <w:t> </w:t>
      </w:r>
      <w:r>
        <w:rPr/>
        <w:t>match</w:t>
      </w:r>
      <w:r>
        <w:rPr>
          <w:spacing w:val="-15"/>
        </w:rPr>
        <w:t> </w:t>
      </w:r>
      <w:r>
        <w:rPr/>
        <w:t>EPVs</w:t>
      </w:r>
      <w:r>
        <w:rPr>
          <w:spacing w:val="-15"/>
        </w:rPr>
        <w:t> </w:t>
      </w:r>
      <w:r>
        <w:rPr/>
        <w:t>for</w:t>
      </w:r>
      <w:r>
        <w:rPr>
          <w:spacing w:val="-15"/>
        </w:rPr>
        <w:t> </w:t>
      </w:r>
      <w:r>
        <w:rPr/>
        <w:t>each</w:t>
      </w:r>
      <w:r>
        <w:rPr>
          <w:spacing w:val="-15"/>
        </w:rPr>
        <w:t> </w:t>
      </w:r>
      <w:r>
        <w:rPr/>
        <w:t>match</w:t>
      </w:r>
      <w:r>
        <w:rPr>
          <w:spacing w:val="-15"/>
        </w:rPr>
        <w:t> </w:t>
      </w:r>
      <w:r>
        <w:rPr/>
        <w:t>and</w:t>
      </w:r>
      <w:r>
        <w:rPr>
          <w:spacing w:val="-15"/>
        </w:rPr>
        <w:t> </w:t>
      </w:r>
      <w:r>
        <w:rPr/>
        <w:t>22</w:t>
      </w:r>
      <w:r>
        <w:rPr>
          <w:spacing w:val="-15"/>
        </w:rPr>
        <w:t> </w:t>
      </w:r>
      <w:r>
        <w:rPr/>
        <w:t>row</w:t>
      </w:r>
      <w:r>
        <w:rPr>
          <w:spacing w:val="-15"/>
        </w:rPr>
        <w:t> </w:t>
      </w:r>
      <w:r>
        <w:rPr/>
        <w:t>match</w:t>
      </w:r>
      <w:r>
        <w:rPr>
          <w:spacing w:val="-15"/>
        </w:rPr>
        <w:t> </w:t>
      </w:r>
      <w:r>
        <w:rPr/>
        <w:t>EPVs.</w:t>
      </w:r>
      <w:r>
        <w:rPr>
          <w:spacing w:val="-6"/>
        </w:rPr>
        <w:t> </w:t>
      </w:r>
      <w:r>
        <w:rPr/>
        <w:t>This</w:t>
      </w:r>
      <w:r>
        <w:rPr>
          <w:spacing w:val="-15"/>
        </w:rPr>
        <w:t> </w:t>
      </w:r>
      <w:r>
        <w:rPr/>
        <w:t>process</w:t>
      </w:r>
      <w:r>
        <w:rPr>
          <w:spacing w:val="-15"/>
        </w:rPr>
        <w:t> </w:t>
      </w:r>
      <w:r>
        <w:rPr/>
        <w:t>was</w:t>
      </w:r>
      <w:r>
        <w:rPr>
          <w:spacing w:val="-15"/>
        </w:rPr>
        <w:t> </w:t>
      </w:r>
      <w:r>
        <w:rPr/>
        <w:t>completed individually for each match.</w:t>
      </w:r>
      <w:r>
        <w:rPr>
          <w:spacing w:val="40"/>
        </w:rPr>
        <w:t> </w:t>
      </w:r>
      <w:r>
        <w:rPr/>
        <w:t>Figure</w:t>
      </w:r>
      <w:hyperlink w:history="true" w:anchor="_bookmark65">
        <w:r>
          <w:rPr>
            <w:color w:val="0000FF"/>
          </w:rPr>
          <w:t>3.4</w:t>
        </w:r>
      </w:hyperlink>
      <w:r>
        <w:rPr/>
        <w:t>depicts the process, showing how the 308 zonal match EPVs were summed to create the row and column match EPVs.</w:t>
      </w:r>
    </w:p>
    <w:p>
      <w:pPr>
        <w:pStyle w:val="BodyText"/>
        <w:spacing w:line="295" w:lineRule="auto"/>
        <w:ind w:left="610" w:right="389" w:firstLine="351"/>
        <w:jc w:val="both"/>
      </w:pPr>
      <w:r>
        <w:rPr>
          <w:spacing w:val="-2"/>
        </w:rPr>
        <w:t>Visual</w:t>
      </w:r>
      <w:r>
        <w:rPr>
          <w:spacing w:val="-12"/>
        </w:rPr>
        <w:t> </w:t>
      </w:r>
      <w:r>
        <w:rPr>
          <w:spacing w:val="-2"/>
        </w:rPr>
        <w:t>inspection</w:t>
      </w:r>
      <w:r>
        <w:rPr>
          <w:spacing w:val="-12"/>
        </w:rPr>
        <w:t> </w:t>
      </w:r>
      <w:r>
        <w:rPr>
          <w:spacing w:val="-2"/>
        </w:rPr>
        <w:t>of</w:t>
      </w:r>
      <w:r>
        <w:rPr>
          <w:spacing w:val="-12"/>
        </w:rPr>
        <w:t> </w:t>
      </w:r>
      <w:r>
        <w:rPr>
          <w:spacing w:val="-2"/>
        </w:rPr>
        <w:t>the</w:t>
      </w:r>
      <w:r>
        <w:rPr>
          <w:spacing w:val="-12"/>
        </w:rPr>
        <w:t> </w:t>
      </w:r>
      <w:r>
        <w:rPr>
          <w:spacing w:val="-2"/>
        </w:rPr>
        <w:t>initial</w:t>
      </w:r>
      <w:r>
        <w:rPr>
          <w:spacing w:val="-12"/>
        </w:rPr>
        <w:t> </w:t>
      </w:r>
      <w:r>
        <w:rPr>
          <w:spacing w:val="-2"/>
        </w:rPr>
        <w:t>column</w:t>
      </w:r>
      <w:r>
        <w:rPr>
          <w:spacing w:val="-12"/>
        </w:rPr>
        <w:t> </w:t>
      </w:r>
      <w:r>
        <w:rPr>
          <w:spacing w:val="-2"/>
        </w:rPr>
        <w:t>and</w:t>
      </w:r>
      <w:r>
        <w:rPr>
          <w:spacing w:val="-12"/>
        </w:rPr>
        <w:t> </w:t>
      </w:r>
      <w:r>
        <w:rPr>
          <w:spacing w:val="-2"/>
        </w:rPr>
        <w:t>row</w:t>
      </w:r>
      <w:r>
        <w:rPr>
          <w:spacing w:val="-12"/>
        </w:rPr>
        <w:t> </w:t>
      </w:r>
      <w:r>
        <w:rPr>
          <w:spacing w:val="-2"/>
        </w:rPr>
        <w:t>match</w:t>
      </w:r>
      <w:r>
        <w:rPr>
          <w:spacing w:val="-12"/>
        </w:rPr>
        <w:t> </w:t>
      </w:r>
      <w:r>
        <w:rPr>
          <w:spacing w:val="-2"/>
        </w:rPr>
        <w:t>EPV’s</w:t>
      </w:r>
      <w:r>
        <w:rPr>
          <w:spacing w:val="-12"/>
        </w:rPr>
        <w:t> </w:t>
      </w:r>
      <w:r>
        <w:rPr>
          <w:spacing w:val="-2"/>
        </w:rPr>
        <w:t>showed</w:t>
      </w:r>
      <w:r>
        <w:rPr>
          <w:spacing w:val="-12"/>
        </w:rPr>
        <w:t> </w:t>
      </w:r>
      <w:r>
        <w:rPr>
          <w:spacing w:val="-2"/>
        </w:rPr>
        <w:t>that</w:t>
      </w:r>
      <w:r>
        <w:rPr>
          <w:spacing w:val="-12"/>
        </w:rPr>
        <w:t> </w:t>
      </w:r>
      <w:r>
        <w:rPr>
          <w:spacing w:val="-2"/>
        </w:rPr>
        <w:t>they</w:t>
      </w:r>
      <w:r>
        <w:rPr>
          <w:spacing w:val="-12"/>
        </w:rPr>
        <w:t> </w:t>
      </w:r>
      <w:r>
        <w:rPr>
          <w:spacing w:val="-2"/>
        </w:rPr>
        <w:t>could</w:t>
      </w:r>
      <w:r>
        <w:rPr>
          <w:spacing w:val="-12"/>
        </w:rPr>
        <w:t> </w:t>
      </w:r>
      <w:r>
        <w:rPr>
          <w:spacing w:val="-2"/>
        </w:rPr>
        <w:t>be smoothed</w:t>
      </w:r>
      <w:r>
        <w:rPr>
          <w:spacing w:val="-7"/>
        </w:rPr>
        <w:t> </w:t>
      </w:r>
      <w:r>
        <w:rPr>
          <w:spacing w:val="-2"/>
        </w:rPr>
        <w:t>based</w:t>
      </w:r>
      <w:r>
        <w:rPr>
          <w:spacing w:val="-7"/>
        </w:rPr>
        <w:t> </w:t>
      </w:r>
      <w:r>
        <w:rPr>
          <w:spacing w:val="-2"/>
        </w:rPr>
        <w:t>on</w:t>
      </w:r>
      <w:r>
        <w:rPr>
          <w:spacing w:val="-7"/>
        </w:rPr>
        <w:t> </w:t>
      </w:r>
      <w:r>
        <w:rPr>
          <w:spacing w:val="-2"/>
        </w:rPr>
        <w:t>their</w:t>
      </w:r>
      <w:r>
        <w:rPr>
          <w:spacing w:val="-7"/>
        </w:rPr>
        <w:t> </w:t>
      </w:r>
      <w:r>
        <w:rPr>
          <w:spacing w:val="-2"/>
        </w:rPr>
        <w:t>spatial</w:t>
      </w:r>
      <w:r>
        <w:rPr>
          <w:spacing w:val="-7"/>
        </w:rPr>
        <w:t> </w:t>
      </w:r>
      <w:r>
        <w:rPr>
          <w:spacing w:val="-2"/>
        </w:rPr>
        <w:t>similarity.</w:t>
      </w:r>
      <w:r>
        <w:rPr>
          <w:spacing w:val="19"/>
        </w:rPr>
        <w:t> </w:t>
      </w:r>
      <w:r>
        <w:rPr>
          <w:spacing w:val="-2"/>
        </w:rPr>
        <w:t>Therefore,</w:t>
      </w:r>
      <w:r>
        <w:rPr>
          <w:spacing w:val="-5"/>
        </w:rPr>
        <w:t> </w:t>
      </w:r>
      <w:r>
        <w:rPr>
          <w:spacing w:val="-2"/>
        </w:rPr>
        <w:t>the</w:t>
      </w:r>
      <w:r>
        <w:rPr>
          <w:spacing w:val="-7"/>
        </w:rPr>
        <w:t> </w:t>
      </w:r>
      <w:r>
        <w:rPr>
          <w:spacing w:val="-2"/>
        </w:rPr>
        <w:t>fourteen</w:t>
      </w:r>
      <w:r>
        <w:rPr>
          <w:spacing w:val="-7"/>
        </w:rPr>
        <w:t> </w:t>
      </w:r>
      <w:r>
        <w:rPr>
          <w:spacing w:val="-2"/>
        </w:rPr>
        <w:t>columns</w:t>
      </w:r>
      <w:r>
        <w:rPr>
          <w:spacing w:val="-7"/>
        </w:rPr>
        <w:t> </w:t>
      </w:r>
      <w:r>
        <w:rPr>
          <w:spacing w:val="-2"/>
        </w:rPr>
        <w:t>were</w:t>
      </w:r>
      <w:r>
        <w:rPr>
          <w:spacing w:val="-7"/>
        </w:rPr>
        <w:t> </w:t>
      </w:r>
      <w:r>
        <w:rPr>
          <w:spacing w:val="-2"/>
        </w:rPr>
        <w:t>averaged </w:t>
      </w:r>
      <w:r>
        <w:rPr/>
        <w:t>at</w:t>
      </w:r>
      <w:r>
        <w:rPr>
          <w:spacing w:val="-15"/>
        </w:rPr>
        <w:t> </w:t>
      </w:r>
      <w:r>
        <w:rPr/>
        <w:t>the</w:t>
      </w:r>
      <w:r>
        <w:rPr>
          <w:spacing w:val="-14"/>
        </w:rPr>
        <w:t> </w:t>
      </w:r>
      <w:r>
        <w:rPr/>
        <w:t>5m</w:t>
      </w:r>
      <w:r>
        <w:rPr>
          <w:spacing w:val="-12"/>
        </w:rPr>
        <w:t> </w:t>
      </w:r>
      <w:r>
        <w:rPr/>
        <w:t>level</w:t>
      </w:r>
      <w:r>
        <w:rPr>
          <w:spacing w:val="-11"/>
        </w:rPr>
        <w:t> </w:t>
      </w:r>
      <w:r>
        <w:rPr/>
        <w:t>symmetrically</w:t>
      </w:r>
      <w:r>
        <w:rPr>
          <w:spacing w:val="-11"/>
        </w:rPr>
        <w:t> </w:t>
      </w:r>
      <w:r>
        <w:rPr/>
        <w:t>to</w:t>
      </w:r>
      <w:r>
        <w:rPr>
          <w:spacing w:val="-11"/>
        </w:rPr>
        <w:t> </w:t>
      </w:r>
      <w:r>
        <w:rPr/>
        <w:t>form</w:t>
      </w:r>
      <w:r>
        <w:rPr>
          <w:spacing w:val="-12"/>
        </w:rPr>
        <w:t> </w:t>
      </w:r>
      <w:r>
        <w:rPr/>
        <w:t>seven</w:t>
      </w:r>
      <w:r>
        <w:rPr>
          <w:spacing w:val="-11"/>
        </w:rPr>
        <w:t> </w:t>
      </w:r>
      <w:r>
        <w:rPr>
          <w:rFonts w:ascii="Lucida Sans Unicode" w:hAnsi="Lucida Sans Unicode"/>
        </w:rPr>
        <w:t>∼</w:t>
      </w:r>
      <w:r>
        <w:rPr>
          <w:rFonts w:ascii="Lucida Sans Unicode" w:hAnsi="Lucida Sans Unicode"/>
          <w:spacing w:val="-21"/>
        </w:rPr>
        <w:t> </w:t>
      </w:r>
      <w:r>
        <w:rPr/>
        <w:t>10m</w:t>
      </w:r>
      <w:r>
        <w:rPr>
          <w:spacing w:val="-11"/>
        </w:rPr>
        <w:t> </w:t>
      </w:r>
      <w:r>
        <w:rPr/>
        <w:t>columns</w:t>
      </w:r>
      <w:r>
        <w:rPr>
          <w:spacing w:val="-11"/>
        </w:rPr>
        <w:t> </w:t>
      </w:r>
      <w:r>
        <w:rPr/>
        <w:t>(i.e.</w:t>
      </w:r>
      <w:r>
        <w:rPr>
          <w:spacing w:val="4"/>
        </w:rPr>
        <w:t> </w:t>
      </w:r>
      <w:r>
        <w:rPr/>
        <w:t>the</w:t>
      </w:r>
      <w:r>
        <w:rPr>
          <w:spacing w:val="-12"/>
        </w:rPr>
        <w:t> </w:t>
      </w:r>
      <w:r>
        <w:rPr/>
        <w:t>two</w:t>
      </w:r>
      <w:r>
        <w:rPr>
          <w:spacing w:val="-11"/>
        </w:rPr>
        <w:t> </w:t>
      </w:r>
      <w:r>
        <w:rPr/>
        <w:t>widest</w:t>
      </w:r>
      <w:r>
        <w:rPr>
          <w:spacing w:val="-11"/>
        </w:rPr>
        <w:t> </w:t>
      </w:r>
      <w:r>
        <w:rPr>
          <w:spacing w:val="-2"/>
        </w:rPr>
        <w:t>columns</w:t>
      </w:r>
    </w:p>
    <w:p>
      <w:pPr>
        <w:pStyle w:val="BodyText"/>
        <w:spacing w:line="219" w:lineRule="exact"/>
        <w:ind w:left="610"/>
        <w:jc w:val="both"/>
      </w:pPr>
      <w:r>
        <w:rPr/>
        <w:t>were</w:t>
      </w:r>
      <w:r>
        <w:rPr>
          <w:spacing w:val="-11"/>
        </w:rPr>
        <w:t> </w:t>
      </w:r>
      <w:r>
        <w:rPr/>
        <w:t>averaged,</w:t>
      </w:r>
      <w:r>
        <w:rPr>
          <w:spacing w:val="-10"/>
        </w:rPr>
        <w:t> </w:t>
      </w:r>
      <w:r>
        <w:rPr/>
        <w:t>then</w:t>
      </w:r>
      <w:r>
        <w:rPr>
          <w:spacing w:val="-11"/>
        </w:rPr>
        <w:t> </w:t>
      </w:r>
      <w:r>
        <w:rPr/>
        <w:t>the</w:t>
      </w:r>
      <w:r>
        <w:rPr>
          <w:spacing w:val="-11"/>
        </w:rPr>
        <w:t> </w:t>
      </w:r>
      <w:r>
        <w:rPr/>
        <w:t>two</w:t>
      </w:r>
      <w:r>
        <w:rPr>
          <w:spacing w:val="-10"/>
        </w:rPr>
        <w:t> </w:t>
      </w:r>
      <w:r>
        <w:rPr/>
        <w:t>second</w:t>
      </w:r>
      <w:r>
        <w:rPr>
          <w:spacing w:val="-11"/>
        </w:rPr>
        <w:t> </w:t>
      </w:r>
      <w:r>
        <w:rPr/>
        <w:t>widest,</w:t>
      </w:r>
      <w:r>
        <w:rPr>
          <w:spacing w:val="-10"/>
        </w:rPr>
        <w:t> </w:t>
      </w:r>
      <w:r>
        <w:rPr/>
        <w:t>through</w:t>
      </w:r>
      <w:r>
        <w:rPr>
          <w:spacing w:val="-10"/>
        </w:rPr>
        <w:t> </w:t>
      </w:r>
      <w:r>
        <w:rPr/>
        <w:t>to</w:t>
      </w:r>
      <w:r>
        <w:rPr>
          <w:spacing w:val="-11"/>
        </w:rPr>
        <w:t> </w:t>
      </w:r>
      <w:r>
        <w:rPr/>
        <w:t>the</w:t>
      </w:r>
      <w:r>
        <w:rPr>
          <w:spacing w:val="-10"/>
        </w:rPr>
        <w:t> </w:t>
      </w:r>
      <w:r>
        <w:rPr/>
        <w:t>two</w:t>
      </w:r>
      <w:r>
        <w:rPr>
          <w:spacing w:val="-11"/>
        </w:rPr>
        <w:t> </w:t>
      </w:r>
      <w:r>
        <w:rPr/>
        <w:t>most</w:t>
      </w:r>
      <w:r>
        <w:rPr>
          <w:spacing w:val="-11"/>
        </w:rPr>
        <w:t> </w:t>
      </w:r>
      <w:r>
        <w:rPr/>
        <w:t>central</w:t>
      </w:r>
      <w:r>
        <w:rPr>
          <w:spacing w:val="-10"/>
        </w:rPr>
        <w:t> </w:t>
      </w:r>
      <w:r>
        <w:rPr/>
        <w:t>columns)</w:t>
      </w:r>
      <w:r>
        <w:rPr>
          <w:spacing w:val="-11"/>
        </w:rPr>
        <w:t> </w:t>
      </w:r>
      <w:r>
        <w:rPr>
          <w:spacing w:val="-5"/>
        </w:rPr>
        <w:t>and</w:t>
      </w:r>
    </w:p>
    <w:p>
      <w:pPr>
        <w:pStyle w:val="BodyText"/>
        <w:spacing w:before="82"/>
        <w:ind w:left="610"/>
        <w:jc w:val="both"/>
      </w:pPr>
      <w:r>
        <w:rPr>
          <w:spacing w:val="-2"/>
        </w:rPr>
        <w:t>the</w:t>
      </w:r>
      <w:r>
        <w:rPr>
          <w:spacing w:val="-8"/>
        </w:rPr>
        <w:t> </w:t>
      </w:r>
      <w:r>
        <w:rPr>
          <w:spacing w:val="-2"/>
        </w:rPr>
        <w:t>twenty</w:t>
      </w:r>
      <w:r>
        <w:rPr>
          <w:spacing w:val="-8"/>
        </w:rPr>
        <w:t> </w:t>
      </w:r>
      <w:r>
        <w:rPr>
          <w:spacing w:val="-2"/>
        </w:rPr>
        <w:t>two</w:t>
      </w:r>
      <w:r>
        <w:rPr>
          <w:spacing w:val="-8"/>
        </w:rPr>
        <w:t> </w:t>
      </w:r>
      <w:r>
        <w:rPr>
          <w:spacing w:val="-2"/>
        </w:rPr>
        <w:t>5m</w:t>
      </w:r>
      <w:r>
        <w:rPr>
          <w:spacing w:val="-8"/>
        </w:rPr>
        <w:t> </w:t>
      </w:r>
      <w:r>
        <w:rPr>
          <w:spacing w:val="-2"/>
        </w:rPr>
        <w:t>rows</w:t>
      </w:r>
      <w:r>
        <w:rPr>
          <w:spacing w:val="-7"/>
        </w:rPr>
        <w:t> </w:t>
      </w:r>
      <w:r>
        <w:rPr>
          <w:spacing w:val="-2"/>
        </w:rPr>
        <w:t>were</w:t>
      </w:r>
      <w:r>
        <w:rPr>
          <w:spacing w:val="-8"/>
        </w:rPr>
        <w:t> </w:t>
      </w:r>
      <w:r>
        <w:rPr>
          <w:spacing w:val="-2"/>
        </w:rPr>
        <w:t>aggregated</w:t>
      </w:r>
      <w:r>
        <w:rPr>
          <w:spacing w:val="-8"/>
        </w:rPr>
        <w:t> </w:t>
      </w:r>
      <w:r>
        <w:rPr>
          <w:spacing w:val="-2"/>
        </w:rPr>
        <w:t>sequentially</w:t>
      </w:r>
      <w:r>
        <w:rPr>
          <w:spacing w:val="-8"/>
        </w:rPr>
        <w:t> </w:t>
      </w:r>
      <w:r>
        <w:rPr>
          <w:spacing w:val="-2"/>
        </w:rPr>
        <w:t>to</w:t>
      </w:r>
      <w:r>
        <w:rPr>
          <w:spacing w:val="-8"/>
        </w:rPr>
        <w:t> </w:t>
      </w:r>
      <w:r>
        <w:rPr>
          <w:spacing w:val="-2"/>
        </w:rPr>
        <w:t>produce</w:t>
      </w:r>
      <w:r>
        <w:rPr>
          <w:spacing w:val="-7"/>
        </w:rPr>
        <w:t> </w:t>
      </w:r>
      <w:r>
        <w:rPr>
          <w:spacing w:val="-2"/>
        </w:rPr>
        <w:t>eleven</w:t>
      </w:r>
      <w:r>
        <w:rPr>
          <w:spacing w:val="-8"/>
        </w:rPr>
        <w:t> </w:t>
      </w:r>
      <w:r>
        <w:rPr>
          <w:spacing w:val="-2"/>
        </w:rPr>
        <w:t>10m</w:t>
      </w:r>
      <w:r>
        <w:rPr>
          <w:spacing w:val="-8"/>
        </w:rPr>
        <w:t> </w:t>
      </w:r>
      <w:r>
        <w:rPr>
          <w:spacing w:val="-2"/>
        </w:rPr>
        <w:t>rows</w:t>
      </w:r>
      <w:r>
        <w:rPr>
          <w:spacing w:val="-8"/>
        </w:rPr>
        <w:t> </w:t>
      </w:r>
      <w:r>
        <w:rPr>
          <w:spacing w:val="-2"/>
        </w:rPr>
        <w:t>similar</w:t>
      </w:r>
    </w:p>
    <w:p>
      <w:pPr>
        <w:spacing w:after="0"/>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5" w:after="1"/>
        <w:rPr>
          <w:sz w:val="17"/>
        </w:rPr>
      </w:pPr>
    </w:p>
    <w:p>
      <w:pPr>
        <w:pStyle w:val="BodyText"/>
        <w:ind w:left="2652"/>
        <w:rPr>
          <w:sz w:val="20"/>
        </w:rPr>
      </w:pPr>
      <w:r>
        <w:rPr>
          <w:sz w:val="20"/>
        </w:rPr>
        <w:drawing>
          <wp:inline distT="0" distB="0" distL="0" distR="0">
            <wp:extent cx="2870073" cy="3487292"/>
            <wp:effectExtent l="0" t="0" r="0" b="0"/>
            <wp:docPr id="41" name="image21.png"/>
            <wp:cNvGraphicFramePr>
              <a:graphicFrameLocks noChangeAspect="1"/>
            </wp:cNvGraphicFramePr>
            <a:graphic>
              <a:graphicData uri="http://schemas.openxmlformats.org/drawingml/2006/picture">
                <pic:pic>
                  <pic:nvPicPr>
                    <pic:cNvPr id="42" name="image21.png"/>
                    <pic:cNvPicPr/>
                  </pic:nvPicPr>
                  <pic:blipFill>
                    <a:blip r:embed="rId64" cstate="print"/>
                    <a:stretch>
                      <a:fillRect/>
                    </a:stretch>
                  </pic:blipFill>
                  <pic:spPr>
                    <a:xfrm>
                      <a:off x="0" y="0"/>
                      <a:ext cx="2870073" cy="3487292"/>
                    </a:xfrm>
                    <a:prstGeom prst="rect">
                      <a:avLst/>
                    </a:prstGeom>
                  </pic:spPr>
                </pic:pic>
              </a:graphicData>
            </a:graphic>
          </wp:inline>
        </w:drawing>
      </w:r>
      <w:r>
        <w:rPr>
          <w:sz w:val="20"/>
        </w:rPr>
      </w:r>
    </w:p>
    <w:p>
      <w:pPr>
        <w:pStyle w:val="BodyText"/>
        <w:spacing w:before="5"/>
        <w:rPr>
          <w:sz w:val="9"/>
        </w:rPr>
      </w:pPr>
    </w:p>
    <w:p>
      <w:pPr>
        <w:pStyle w:val="BodyText"/>
        <w:spacing w:line="252" w:lineRule="auto" w:before="106"/>
        <w:ind w:left="610" w:right="389"/>
        <w:jc w:val="both"/>
      </w:pPr>
      <w:bookmarkStart w:name="_bookmark65" w:id="123"/>
      <w:bookmarkEnd w:id="123"/>
      <w:r>
        <w:rPr/>
      </w:r>
      <w:r>
        <w:rPr>
          <w:b/>
        </w:rPr>
        <w:t>Figure 3.4:</w:t>
      </w:r>
      <w:r>
        <w:rPr>
          <w:b/>
          <w:spacing w:val="40"/>
        </w:rPr>
        <w:t> </w:t>
      </w:r>
      <w:r>
        <w:rPr/>
        <w:t>Depiction of relationship between EPV-308 zones and columns/rows </w:t>
      </w:r>
      <w:r>
        <w:rPr/>
        <w:t>used for statistical analysis.</w:t>
      </w:r>
      <w:r>
        <w:rPr>
          <w:spacing w:val="40"/>
        </w:rPr>
        <w:t> </w:t>
      </w:r>
      <w:r>
        <w:rPr/>
        <w:t>Top figure represents the 5m x 5m EPV-308 zones.</w:t>
      </w:r>
      <w:r>
        <w:rPr>
          <w:spacing w:val="40"/>
        </w:rPr>
        <w:t> </w:t>
      </w:r>
      <w:r>
        <w:rPr/>
        <w:t>Bottom left figure</w:t>
      </w:r>
      <w:r>
        <w:rPr>
          <w:spacing w:val="-15"/>
        </w:rPr>
        <w:t> </w:t>
      </w:r>
      <w:r>
        <w:rPr/>
        <w:t>represents</w:t>
      </w:r>
      <w:r>
        <w:rPr>
          <w:spacing w:val="-15"/>
        </w:rPr>
        <w:t> </w:t>
      </w:r>
      <w:r>
        <w:rPr/>
        <w:t>the</w:t>
      </w:r>
      <w:r>
        <w:rPr>
          <w:spacing w:val="-15"/>
        </w:rPr>
        <w:t> </w:t>
      </w:r>
      <w:r>
        <w:rPr/>
        <w:t>columns;</w:t>
      </w:r>
      <w:r>
        <w:rPr>
          <w:spacing w:val="-15"/>
        </w:rPr>
        <w:t> </w:t>
      </w:r>
      <w:r>
        <w:rPr/>
        <w:t>column</w:t>
      </w:r>
      <w:r>
        <w:rPr>
          <w:spacing w:val="-15"/>
        </w:rPr>
        <w:t> </w:t>
      </w:r>
      <w:r>
        <w:rPr/>
        <w:t>match</w:t>
      </w:r>
      <w:r>
        <w:rPr>
          <w:spacing w:val="-15"/>
        </w:rPr>
        <w:t> </w:t>
      </w:r>
      <w:r>
        <w:rPr/>
        <w:t>EPVs</w:t>
      </w:r>
      <w:r>
        <w:rPr>
          <w:spacing w:val="-15"/>
        </w:rPr>
        <w:t> </w:t>
      </w:r>
      <w:r>
        <w:rPr/>
        <w:t>were</w:t>
      </w:r>
      <w:r>
        <w:rPr>
          <w:spacing w:val="-15"/>
        </w:rPr>
        <w:t> </w:t>
      </w:r>
      <w:r>
        <w:rPr/>
        <w:t>produced</w:t>
      </w:r>
      <w:r>
        <w:rPr>
          <w:spacing w:val="-15"/>
        </w:rPr>
        <w:t> </w:t>
      </w:r>
      <w:r>
        <w:rPr/>
        <w:t>by</w:t>
      </w:r>
      <w:r>
        <w:rPr>
          <w:spacing w:val="-15"/>
        </w:rPr>
        <w:t> </w:t>
      </w:r>
      <w:r>
        <w:rPr/>
        <w:t>summing</w:t>
      </w:r>
      <w:r>
        <w:rPr>
          <w:spacing w:val="-15"/>
        </w:rPr>
        <w:t> </w:t>
      </w:r>
      <w:r>
        <w:rPr/>
        <w:t>the</w:t>
      </w:r>
      <w:r>
        <w:rPr>
          <w:spacing w:val="-15"/>
        </w:rPr>
        <w:t> </w:t>
      </w:r>
      <w:r>
        <w:rPr/>
        <w:t>match EPV for all zones from the EPV-308 in the column.</w:t>
      </w:r>
      <w:r>
        <w:rPr>
          <w:spacing w:val="40"/>
        </w:rPr>
        <w:t> </w:t>
      </w:r>
      <w:r>
        <w:rPr/>
        <w:t>Bottom right figure represents the rows;</w:t>
      </w:r>
      <w:r>
        <w:rPr>
          <w:spacing w:val="-8"/>
        </w:rPr>
        <w:t> </w:t>
      </w:r>
      <w:r>
        <w:rPr/>
        <w:t>row</w:t>
      </w:r>
      <w:r>
        <w:rPr>
          <w:spacing w:val="-9"/>
        </w:rPr>
        <w:t> </w:t>
      </w:r>
      <w:r>
        <w:rPr/>
        <w:t>match</w:t>
      </w:r>
      <w:r>
        <w:rPr>
          <w:spacing w:val="-9"/>
        </w:rPr>
        <w:t> </w:t>
      </w:r>
      <w:r>
        <w:rPr/>
        <w:t>EPVs</w:t>
      </w:r>
      <w:r>
        <w:rPr>
          <w:spacing w:val="-9"/>
        </w:rPr>
        <w:t> </w:t>
      </w:r>
      <w:r>
        <w:rPr/>
        <w:t>were</w:t>
      </w:r>
      <w:r>
        <w:rPr>
          <w:spacing w:val="-9"/>
        </w:rPr>
        <w:t> </w:t>
      </w:r>
      <w:r>
        <w:rPr/>
        <w:t>produced</w:t>
      </w:r>
      <w:r>
        <w:rPr>
          <w:spacing w:val="-9"/>
        </w:rPr>
        <w:t> </w:t>
      </w:r>
      <w:r>
        <w:rPr/>
        <w:t>by</w:t>
      </w:r>
      <w:r>
        <w:rPr>
          <w:spacing w:val="-9"/>
        </w:rPr>
        <w:t> </w:t>
      </w:r>
      <w:r>
        <w:rPr/>
        <w:t>summing</w:t>
      </w:r>
      <w:r>
        <w:rPr>
          <w:spacing w:val="-9"/>
        </w:rPr>
        <w:t> </w:t>
      </w:r>
      <w:r>
        <w:rPr/>
        <w:t>the</w:t>
      </w:r>
      <w:r>
        <w:rPr>
          <w:spacing w:val="-9"/>
        </w:rPr>
        <w:t> </w:t>
      </w:r>
      <w:r>
        <w:rPr/>
        <w:t>match</w:t>
      </w:r>
      <w:r>
        <w:rPr>
          <w:spacing w:val="-9"/>
        </w:rPr>
        <w:t> </w:t>
      </w:r>
      <w:r>
        <w:rPr/>
        <w:t>EPV</w:t>
      </w:r>
      <w:r>
        <w:rPr>
          <w:spacing w:val="-9"/>
        </w:rPr>
        <w:t> </w:t>
      </w:r>
      <w:r>
        <w:rPr/>
        <w:t>for</w:t>
      </w:r>
      <w:r>
        <w:rPr>
          <w:spacing w:val="-9"/>
        </w:rPr>
        <w:t> </w:t>
      </w:r>
      <w:r>
        <w:rPr/>
        <w:t>all</w:t>
      </w:r>
      <w:r>
        <w:rPr>
          <w:spacing w:val="-9"/>
        </w:rPr>
        <w:t> </w:t>
      </w:r>
      <w:r>
        <w:rPr/>
        <w:t>zones</w:t>
      </w:r>
      <w:r>
        <w:rPr>
          <w:spacing w:val="-9"/>
        </w:rPr>
        <w:t> </w:t>
      </w:r>
      <w:r>
        <w:rPr/>
        <w:t>from</w:t>
      </w:r>
      <w:r>
        <w:rPr>
          <w:spacing w:val="-9"/>
        </w:rPr>
        <w:t> </w:t>
      </w:r>
      <w:r>
        <w:rPr/>
        <w:t>the EPV-308 in the row.</w:t>
      </w:r>
      <w:r>
        <w:rPr>
          <w:spacing w:val="27"/>
        </w:rPr>
        <w:t> </w:t>
      </w:r>
      <w:r>
        <w:rPr/>
        <w:t>Pitch lines represent own try area, half way line and opposition try area for team attacking in upwards direction.</w:t>
      </w:r>
    </w:p>
    <w:p>
      <w:pPr>
        <w:pStyle w:val="BodyText"/>
        <w:rPr>
          <w:sz w:val="28"/>
        </w:rPr>
      </w:pPr>
    </w:p>
    <w:p>
      <w:pPr>
        <w:pStyle w:val="BodyText"/>
        <w:spacing w:before="10"/>
        <w:rPr>
          <w:sz w:val="31"/>
        </w:rPr>
      </w:pPr>
    </w:p>
    <w:p>
      <w:pPr>
        <w:pStyle w:val="BodyText"/>
        <w:spacing w:line="312" w:lineRule="auto"/>
        <w:ind w:left="610" w:right="527"/>
        <w:jc w:val="both"/>
      </w:pPr>
      <w:r>
        <w:rPr/>
        <w:t>to</w:t>
      </w:r>
      <w:r>
        <w:rPr>
          <w:color w:val="FF0000"/>
        </w:rPr>
        <w:t>K</w:t>
      </w:r>
      <w:hyperlink w:history="true" w:anchor="_bookmark263">
        <w:r>
          <w:rPr>
            <w:color w:val="FF0000"/>
          </w:rPr>
          <w:t>empton et al.</w:t>
        </w:r>
        <w:r>
          <w:rPr/>
          <w:t>(</w:t>
        </w:r>
      </w:hyperlink>
      <w:hyperlink w:history="true" w:anchor="_bookmark263">
        <w:r>
          <w:rPr>
            <w:color w:val="FF0000"/>
          </w:rPr>
          <w:t>2016</w:t>
        </w:r>
        <w:r>
          <w:rPr/>
          <w:t>)</w:t>
        </w:r>
      </w:hyperlink>
      <w:r>
        <w:rPr/>
        <w:t> (i.e.</w:t>
      </w:r>
      <w:r>
        <w:rPr>
          <w:spacing w:val="32"/>
        </w:rPr>
        <w:t> </w:t>
      </w:r>
      <w:r>
        <w:rPr/>
        <w:t>the bottom two rows were averaged, followed by the </w:t>
      </w:r>
      <w:r>
        <w:rPr/>
        <w:t>next two rows, through to the top two rows).</w:t>
      </w:r>
    </w:p>
    <w:p>
      <w:pPr>
        <w:pStyle w:val="BodyText"/>
        <w:spacing w:line="312" w:lineRule="auto"/>
        <w:ind w:left="610" w:right="389" w:firstLine="351"/>
        <w:jc w:val="both"/>
      </w:pPr>
      <w:r>
        <w:rPr/>
        <w:t>Linear mixed models were then used to evaluate whether the columns or rows could be aggregated further.</w:t>
      </w:r>
      <w:r>
        <w:rPr>
          <w:spacing w:val="40"/>
        </w:rPr>
        <w:t> </w:t>
      </w:r>
      <w:r>
        <w:rPr/>
        <w:t>In separate models, the column match EPV and row match </w:t>
      </w:r>
      <w:r>
        <w:rPr/>
        <w:t>EPV were</w:t>
      </w:r>
      <w:r>
        <w:rPr>
          <w:spacing w:val="-10"/>
        </w:rPr>
        <w:t> </w:t>
      </w:r>
      <w:r>
        <w:rPr/>
        <w:t>added</w:t>
      </w:r>
      <w:r>
        <w:rPr>
          <w:spacing w:val="-10"/>
        </w:rPr>
        <w:t> </w:t>
      </w:r>
      <w:r>
        <w:rPr/>
        <w:t>as</w:t>
      </w:r>
      <w:r>
        <w:rPr>
          <w:spacing w:val="-10"/>
        </w:rPr>
        <w:t> </w:t>
      </w:r>
      <w:r>
        <w:rPr/>
        <w:t>dependent</w:t>
      </w:r>
      <w:r>
        <w:rPr>
          <w:spacing w:val="-10"/>
        </w:rPr>
        <w:t> </w:t>
      </w:r>
      <w:r>
        <w:rPr/>
        <w:t>variables,</w:t>
      </w:r>
      <w:r>
        <w:rPr>
          <w:spacing w:val="-10"/>
        </w:rPr>
        <w:t> </w:t>
      </w:r>
      <w:r>
        <w:rPr/>
        <w:t>with</w:t>
      </w:r>
      <w:r>
        <w:rPr>
          <w:spacing w:val="-10"/>
        </w:rPr>
        <w:t> </w:t>
      </w:r>
      <w:r>
        <w:rPr/>
        <w:t>team</w:t>
      </w:r>
      <w:r>
        <w:rPr>
          <w:spacing w:val="-10"/>
        </w:rPr>
        <w:t> </w:t>
      </w:r>
      <w:r>
        <w:rPr/>
        <w:t>and</w:t>
      </w:r>
      <w:r>
        <w:rPr>
          <w:spacing w:val="-10"/>
        </w:rPr>
        <w:t> </w:t>
      </w:r>
      <w:r>
        <w:rPr/>
        <w:t>fixture</w:t>
      </w:r>
      <w:r>
        <w:rPr>
          <w:spacing w:val="-10"/>
        </w:rPr>
        <w:t> </w:t>
      </w:r>
      <w:r>
        <w:rPr/>
        <w:t>ID</w:t>
      </w:r>
      <w:r>
        <w:rPr>
          <w:spacing w:val="-10"/>
        </w:rPr>
        <w:t> </w:t>
      </w:r>
      <w:r>
        <w:rPr/>
        <w:t>added</w:t>
      </w:r>
      <w:r>
        <w:rPr>
          <w:spacing w:val="-10"/>
        </w:rPr>
        <w:t> </w:t>
      </w:r>
      <w:r>
        <w:rPr/>
        <w:t>as</w:t>
      </w:r>
      <w:r>
        <w:rPr>
          <w:spacing w:val="-10"/>
        </w:rPr>
        <w:t> </w:t>
      </w:r>
      <w:r>
        <w:rPr/>
        <w:t>random</w:t>
      </w:r>
      <w:r>
        <w:rPr>
          <w:spacing w:val="-10"/>
        </w:rPr>
        <w:t> </w:t>
      </w:r>
      <w:r>
        <w:rPr/>
        <w:t>effects. To identify</w:t>
      </w:r>
      <w:r>
        <w:rPr>
          <w:spacing w:val="-8"/>
        </w:rPr>
        <w:t> </w:t>
      </w:r>
      <w:r>
        <w:rPr/>
        <w:t>differences</w:t>
      </w:r>
      <w:r>
        <w:rPr>
          <w:spacing w:val="-8"/>
        </w:rPr>
        <w:t> </w:t>
      </w:r>
      <w:r>
        <w:rPr/>
        <w:t>in</w:t>
      </w:r>
      <w:r>
        <w:rPr>
          <w:spacing w:val="-8"/>
        </w:rPr>
        <w:t> </w:t>
      </w:r>
      <w:r>
        <w:rPr/>
        <w:t>their</w:t>
      </w:r>
      <w:r>
        <w:rPr>
          <w:spacing w:val="-8"/>
        </w:rPr>
        <w:t> </w:t>
      </w:r>
      <w:r>
        <w:rPr/>
        <w:t>match</w:t>
      </w:r>
      <w:r>
        <w:rPr>
          <w:spacing w:val="-8"/>
        </w:rPr>
        <w:t> </w:t>
      </w:r>
      <w:r>
        <w:rPr/>
        <w:t>EPVs,</w:t>
      </w:r>
      <w:r>
        <w:rPr>
          <w:spacing w:val="-8"/>
        </w:rPr>
        <w:t> </w:t>
      </w:r>
      <w:r>
        <w:rPr/>
        <w:t>column</w:t>
      </w:r>
      <w:r>
        <w:rPr>
          <w:spacing w:val="-8"/>
        </w:rPr>
        <w:t> </w:t>
      </w:r>
      <w:r>
        <w:rPr/>
        <w:t>and</w:t>
      </w:r>
      <w:r>
        <w:rPr>
          <w:spacing w:val="-8"/>
        </w:rPr>
        <w:t> </w:t>
      </w:r>
      <w:r>
        <w:rPr/>
        <w:t>row</w:t>
      </w:r>
      <w:r>
        <w:rPr>
          <w:spacing w:val="-8"/>
        </w:rPr>
        <w:t> </w:t>
      </w:r>
      <w:r>
        <w:rPr/>
        <w:t>indexes</w:t>
      </w:r>
      <w:r>
        <w:rPr>
          <w:spacing w:val="-8"/>
        </w:rPr>
        <w:t> </w:t>
      </w:r>
      <w:r>
        <w:rPr/>
        <w:t>were</w:t>
      </w:r>
      <w:r>
        <w:rPr>
          <w:spacing w:val="-8"/>
        </w:rPr>
        <w:t> </w:t>
      </w:r>
      <w:r>
        <w:rPr/>
        <w:t>added</w:t>
      </w:r>
      <w:r>
        <w:rPr>
          <w:spacing w:val="-8"/>
        </w:rPr>
        <w:t> </w:t>
      </w:r>
      <w:r>
        <w:rPr/>
        <w:t>to</w:t>
      </w:r>
      <w:r>
        <w:rPr>
          <w:spacing w:val="-8"/>
        </w:rPr>
        <w:t> </w:t>
      </w:r>
      <w:r>
        <w:rPr/>
        <w:t>their</w:t>
      </w:r>
      <w:r>
        <w:rPr>
          <w:spacing w:val="-8"/>
        </w:rPr>
        <w:t> </w:t>
      </w:r>
      <w:r>
        <w:rPr/>
        <w:t>re- spective</w:t>
      </w:r>
      <w:r>
        <w:rPr>
          <w:spacing w:val="-11"/>
        </w:rPr>
        <w:t> </w:t>
      </w:r>
      <w:r>
        <w:rPr/>
        <w:t>models</w:t>
      </w:r>
      <w:r>
        <w:rPr>
          <w:spacing w:val="-11"/>
        </w:rPr>
        <w:t> </w:t>
      </w:r>
      <w:r>
        <w:rPr/>
        <w:t>as</w:t>
      </w:r>
      <w:r>
        <w:rPr>
          <w:spacing w:val="-11"/>
        </w:rPr>
        <w:t> </w:t>
      </w:r>
      <w:r>
        <w:rPr/>
        <w:t>categorical</w:t>
      </w:r>
      <w:r>
        <w:rPr>
          <w:spacing w:val="-11"/>
        </w:rPr>
        <w:t> </w:t>
      </w:r>
      <w:r>
        <w:rPr/>
        <w:t>fixed</w:t>
      </w:r>
      <w:r>
        <w:rPr>
          <w:spacing w:val="-11"/>
        </w:rPr>
        <w:t> </w:t>
      </w:r>
      <w:r>
        <w:rPr/>
        <w:t>effects. Minimal</w:t>
      </w:r>
      <w:r>
        <w:rPr>
          <w:spacing w:val="-11"/>
        </w:rPr>
        <w:t> </w:t>
      </w:r>
      <w:r>
        <w:rPr/>
        <w:t>effects</w:t>
      </w:r>
      <w:r>
        <w:rPr>
          <w:spacing w:val="-11"/>
        </w:rPr>
        <w:t> </w:t>
      </w:r>
      <w:r>
        <w:rPr/>
        <w:t>testing</w:t>
      </w:r>
      <w:r>
        <w:rPr>
          <w:spacing w:val="-11"/>
        </w:rPr>
        <w:t> </w:t>
      </w:r>
      <w:r>
        <w:rPr/>
        <w:t>(</w:t>
      </w:r>
      <w:hyperlink w:history="true" w:anchor="_bookmark276">
        <w:r>
          <w:rPr>
            <w:color w:val="FF0000"/>
          </w:rPr>
          <w:t>Murphy</w:t>
        </w:r>
        <w:r>
          <w:rPr>
            <w:color w:val="FF0000"/>
            <w:spacing w:val="-11"/>
          </w:rPr>
          <w:t> </w:t>
        </w:r>
        <w:r>
          <w:rPr>
            <w:color w:val="FF0000"/>
          </w:rPr>
          <w:t>and</w:t>
        </w:r>
        <w:r>
          <w:rPr>
            <w:color w:val="FF0000"/>
            <w:spacing w:val="-11"/>
          </w:rPr>
          <w:t> </w:t>
        </w:r>
        <w:r>
          <w:rPr>
            <w:color w:val="FF0000"/>
          </w:rPr>
          <w:t>Myors</w:t>
        </w:r>
      </w:hyperlink>
      <w:r>
        <w:rPr/>
        <w:t>, </w:t>
      </w:r>
      <w:hyperlink w:history="true" w:anchor="_bookmark276">
        <w:r>
          <w:rPr>
            <w:color w:val="FF0000"/>
          </w:rPr>
          <w:t>1999</w:t>
        </w:r>
      </w:hyperlink>
      <w:r>
        <w:rPr/>
        <w:t>)</w:t>
      </w:r>
      <w:r>
        <w:rPr>
          <w:spacing w:val="-8"/>
        </w:rPr>
        <w:t> </w:t>
      </w:r>
      <w:r>
        <w:rPr/>
        <w:t>was</w:t>
      </w:r>
      <w:r>
        <w:rPr>
          <w:spacing w:val="-7"/>
        </w:rPr>
        <w:t> </w:t>
      </w:r>
      <w:r>
        <w:rPr/>
        <w:t>used</w:t>
      </w:r>
      <w:r>
        <w:rPr>
          <w:spacing w:val="-8"/>
        </w:rPr>
        <w:t> </w:t>
      </w:r>
      <w:r>
        <w:rPr/>
        <w:t>in</w:t>
      </w:r>
      <w:r>
        <w:rPr>
          <w:spacing w:val="-7"/>
        </w:rPr>
        <w:t> </w:t>
      </w:r>
      <w:r>
        <w:rPr/>
        <w:t>four</w:t>
      </w:r>
      <w:r>
        <w:rPr>
          <w:spacing w:val="-8"/>
        </w:rPr>
        <w:t> </w:t>
      </w:r>
      <w:r>
        <w:rPr/>
        <w:t>separate</w:t>
      </w:r>
      <w:r>
        <w:rPr>
          <w:spacing w:val="-7"/>
        </w:rPr>
        <w:t> </w:t>
      </w:r>
      <w:r>
        <w:rPr/>
        <w:t>models</w:t>
      </w:r>
      <w:r>
        <w:rPr>
          <w:spacing w:val="-8"/>
        </w:rPr>
        <w:t> </w:t>
      </w:r>
      <w:r>
        <w:rPr/>
        <w:t>to</w:t>
      </w:r>
      <w:r>
        <w:rPr>
          <w:spacing w:val="-7"/>
        </w:rPr>
        <w:t> </w:t>
      </w:r>
      <w:r>
        <w:rPr/>
        <w:t>determine</w:t>
      </w:r>
      <w:r>
        <w:rPr>
          <w:spacing w:val="-8"/>
        </w:rPr>
        <w:t> </w:t>
      </w:r>
      <w:r>
        <w:rPr/>
        <w:t>whether</w:t>
      </w:r>
      <w:r>
        <w:rPr>
          <w:spacing w:val="-7"/>
        </w:rPr>
        <w:t> </w:t>
      </w:r>
      <w:r>
        <w:rPr/>
        <w:t>two</w:t>
      </w:r>
      <w:r>
        <w:rPr>
          <w:spacing w:val="-8"/>
        </w:rPr>
        <w:t> </w:t>
      </w:r>
      <w:r>
        <w:rPr/>
        <w:t>columns</w:t>
      </w:r>
      <w:r>
        <w:rPr>
          <w:spacing w:val="-7"/>
        </w:rPr>
        <w:t> </w:t>
      </w:r>
      <w:r>
        <w:rPr/>
        <w:t>or</w:t>
      </w:r>
      <w:r>
        <w:rPr>
          <w:spacing w:val="-8"/>
        </w:rPr>
        <w:t> </w:t>
      </w:r>
      <w:r>
        <w:rPr/>
        <w:t>rows</w:t>
      </w:r>
      <w:r>
        <w:rPr>
          <w:spacing w:val="-7"/>
        </w:rPr>
        <w:t> </w:t>
      </w:r>
      <w:r>
        <w:rPr/>
        <w:t>could be</w:t>
      </w:r>
      <w:r>
        <w:rPr>
          <w:spacing w:val="18"/>
        </w:rPr>
        <w:t> </w:t>
      </w:r>
      <w:r>
        <w:rPr/>
        <w:t>combined</w:t>
      </w:r>
      <w:r>
        <w:rPr>
          <w:spacing w:val="18"/>
        </w:rPr>
        <w:t> </w:t>
      </w:r>
      <w:r>
        <w:rPr/>
        <w:t>against</w:t>
      </w:r>
      <w:r>
        <w:rPr>
          <w:spacing w:val="19"/>
        </w:rPr>
        <w:t> </w:t>
      </w:r>
      <w:r>
        <w:rPr/>
        <w:t>a</w:t>
      </w:r>
      <w:r>
        <w:rPr>
          <w:spacing w:val="18"/>
        </w:rPr>
        <w:t> </w:t>
      </w:r>
      <w:r>
        <w:rPr/>
        <w:t>smallest</w:t>
      </w:r>
      <w:r>
        <w:rPr>
          <w:spacing w:val="19"/>
        </w:rPr>
        <w:t> </w:t>
      </w:r>
      <w:r>
        <w:rPr/>
        <w:t>effect</w:t>
      </w:r>
      <w:r>
        <w:rPr>
          <w:spacing w:val="18"/>
        </w:rPr>
        <w:t> </w:t>
      </w:r>
      <w:r>
        <w:rPr/>
        <w:t>size</w:t>
      </w:r>
      <w:r>
        <w:rPr>
          <w:spacing w:val="19"/>
        </w:rPr>
        <w:t> </w:t>
      </w:r>
      <w:r>
        <w:rPr/>
        <w:t>of</w:t>
      </w:r>
      <w:r>
        <w:rPr>
          <w:spacing w:val="18"/>
        </w:rPr>
        <w:t> </w:t>
      </w:r>
      <w:r>
        <w:rPr/>
        <w:t>interest</w:t>
      </w:r>
      <w:r>
        <w:rPr>
          <w:spacing w:val="18"/>
        </w:rPr>
        <w:t> </w:t>
      </w:r>
      <w:r>
        <w:rPr/>
        <w:t>(SESOI)</w:t>
      </w:r>
      <w:r>
        <w:rPr>
          <w:spacing w:val="18"/>
        </w:rPr>
        <w:t> </w:t>
      </w:r>
      <w:r>
        <w:rPr/>
        <w:t>of</w:t>
      </w:r>
      <w:r>
        <w:rPr>
          <w:spacing w:val="19"/>
        </w:rPr>
        <w:t> </w:t>
      </w:r>
      <w:r>
        <w:rPr/>
        <w:t>0.5,</w:t>
      </w:r>
      <w:r>
        <w:rPr>
          <w:spacing w:val="25"/>
        </w:rPr>
        <w:t> </w:t>
      </w:r>
      <w:r>
        <w:rPr/>
        <w:t>1.0,</w:t>
      </w:r>
      <w:r>
        <w:rPr>
          <w:spacing w:val="24"/>
        </w:rPr>
        <w:t> </w:t>
      </w:r>
      <w:r>
        <w:rPr/>
        <w:t>1.5</w:t>
      </w:r>
      <w:r>
        <w:rPr>
          <w:spacing w:val="18"/>
        </w:rPr>
        <w:t> </w:t>
      </w:r>
      <w:r>
        <w:rPr/>
        <w:t>and</w:t>
      </w:r>
      <w:r>
        <w:rPr>
          <w:spacing w:val="19"/>
        </w:rPr>
        <w:t> </w:t>
      </w:r>
      <w:r>
        <w:rPr>
          <w:spacing w:val="-5"/>
        </w:rPr>
        <w:t>2.0</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units</w:t>
      </w:r>
      <w:r>
        <w:rPr>
          <w:spacing w:val="-13"/>
        </w:rPr>
        <w:t> </w:t>
      </w:r>
      <w:r>
        <w:rPr/>
        <w:t>of</w:t>
      </w:r>
      <w:r>
        <w:rPr>
          <w:spacing w:val="-13"/>
        </w:rPr>
        <w:t> </w:t>
      </w:r>
      <w:r>
        <w:rPr/>
        <w:t>match</w:t>
      </w:r>
      <w:r>
        <w:rPr>
          <w:spacing w:val="-13"/>
        </w:rPr>
        <w:t> </w:t>
      </w:r>
      <w:r>
        <w:rPr/>
        <w:t>EPV</w:t>
      </w:r>
      <w:r>
        <w:rPr>
          <w:spacing w:val="-13"/>
        </w:rPr>
        <w:t> </w:t>
      </w:r>
      <w:r>
        <w:rPr/>
        <w:t>respectively. These</w:t>
      </w:r>
      <w:r>
        <w:rPr>
          <w:spacing w:val="-13"/>
        </w:rPr>
        <w:t> </w:t>
      </w:r>
      <w:r>
        <w:rPr/>
        <w:t>values</w:t>
      </w:r>
      <w:r>
        <w:rPr>
          <w:spacing w:val="-13"/>
        </w:rPr>
        <w:t> </w:t>
      </w:r>
      <w:r>
        <w:rPr/>
        <w:t>were</w:t>
      </w:r>
      <w:r>
        <w:rPr>
          <w:spacing w:val="-13"/>
        </w:rPr>
        <w:t> </w:t>
      </w:r>
      <w:r>
        <w:rPr/>
        <w:t>chosen</w:t>
      </w:r>
      <w:r>
        <w:rPr>
          <w:spacing w:val="-13"/>
        </w:rPr>
        <w:t> </w:t>
      </w:r>
      <w:r>
        <w:rPr/>
        <w:t>to</w:t>
      </w:r>
      <w:r>
        <w:rPr>
          <w:spacing w:val="-13"/>
        </w:rPr>
        <w:t> </w:t>
      </w:r>
      <w:r>
        <w:rPr/>
        <w:t>provide</w:t>
      </w:r>
      <w:r>
        <w:rPr>
          <w:spacing w:val="-13"/>
        </w:rPr>
        <w:t> </w:t>
      </w:r>
      <w:r>
        <w:rPr/>
        <w:t>a</w:t>
      </w:r>
      <w:r>
        <w:rPr>
          <w:spacing w:val="-13"/>
        </w:rPr>
        <w:t> </w:t>
      </w:r>
      <w:r>
        <w:rPr/>
        <w:t>range</w:t>
      </w:r>
      <w:r>
        <w:rPr>
          <w:spacing w:val="-13"/>
        </w:rPr>
        <w:t> </w:t>
      </w:r>
      <w:r>
        <w:rPr/>
        <w:t>of</w:t>
      </w:r>
      <w:r>
        <w:rPr>
          <w:spacing w:val="-13"/>
        </w:rPr>
        <w:t> </w:t>
      </w:r>
      <w:r>
        <w:rPr/>
        <w:t>possible EPV models within the constraints of realistic point scoring differences that could hap- </w:t>
      </w:r>
      <w:r>
        <w:rPr>
          <w:w w:val="105"/>
        </w:rPr>
        <w:t>pen</w:t>
      </w:r>
      <w:r>
        <w:rPr>
          <w:spacing w:val="-16"/>
          <w:w w:val="105"/>
        </w:rPr>
        <w:t> </w:t>
      </w:r>
      <w:r>
        <w:rPr>
          <w:w w:val="105"/>
        </w:rPr>
        <w:t>(i.e.</w:t>
      </w:r>
      <w:r>
        <w:rPr>
          <w:spacing w:val="-16"/>
          <w:w w:val="105"/>
        </w:rPr>
        <w:t> </w:t>
      </w:r>
      <w:r>
        <w:rPr>
          <w:w w:val="105"/>
        </w:rPr>
        <w:t>it</w:t>
      </w:r>
      <w:r>
        <w:rPr>
          <w:spacing w:val="-16"/>
          <w:w w:val="105"/>
        </w:rPr>
        <w:t> </w:t>
      </w:r>
      <w:r>
        <w:rPr>
          <w:w w:val="105"/>
        </w:rPr>
        <w:t>is</w:t>
      </w:r>
      <w:r>
        <w:rPr>
          <w:spacing w:val="-15"/>
          <w:w w:val="105"/>
        </w:rPr>
        <w:t> </w:t>
      </w:r>
      <w:r>
        <w:rPr>
          <w:w w:val="105"/>
        </w:rPr>
        <w:t>unlikely</w:t>
      </w:r>
      <w:r>
        <w:rPr>
          <w:spacing w:val="-16"/>
          <w:w w:val="105"/>
        </w:rPr>
        <w:t> </w:t>
      </w:r>
      <w:r>
        <w:rPr>
          <w:w w:val="105"/>
        </w:rPr>
        <w:t>that</w:t>
      </w:r>
      <w:r>
        <w:rPr>
          <w:spacing w:val="-16"/>
          <w:w w:val="105"/>
        </w:rPr>
        <w:t> </w:t>
      </w:r>
      <w:r>
        <w:rPr>
          <w:w w:val="105"/>
        </w:rPr>
        <w:t>a</w:t>
      </w:r>
      <w:r>
        <w:rPr>
          <w:spacing w:val="-16"/>
          <w:w w:val="105"/>
        </w:rPr>
        <w:t> </w:t>
      </w:r>
      <w:r>
        <w:rPr>
          <w:w w:val="105"/>
        </w:rPr>
        <w:t>team</w:t>
      </w:r>
      <w:r>
        <w:rPr>
          <w:spacing w:val="-15"/>
          <w:w w:val="105"/>
        </w:rPr>
        <w:t> </w:t>
      </w:r>
      <w:r>
        <w:rPr>
          <w:w w:val="105"/>
        </w:rPr>
        <w:t>would</w:t>
      </w:r>
      <w:r>
        <w:rPr>
          <w:spacing w:val="-16"/>
          <w:w w:val="105"/>
        </w:rPr>
        <w:t> </w:t>
      </w:r>
      <w:r>
        <w:rPr>
          <w:w w:val="105"/>
        </w:rPr>
        <w:t>produce</w:t>
      </w:r>
      <w:r>
        <w:rPr>
          <w:spacing w:val="-16"/>
          <w:w w:val="105"/>
        </w:rPr>
        <w:t> </w:t>
      </w:r>
      <w:r>
        <w:rPr>
          <w:w w:val="105"/>
        </w:rPr>
        <w:t>more</w:t>
      </w:r>
      <w:r>
        <w:rPr>
          <w:spacing w:val="-16"/>
          <w:w w:val="105"/>
        </w:rPr>
        <w:t> </w:t>
      </w:r>
      <w:r>
        <w:rPr>
          <w:w w:val="105"/>
        </w:rPr>
        <w:t>than</w:t>
      </w:r>
      <w:r>
        <w:rPr>
          <w:spacing w:val="-15"/>
          <w:w w:val="105"/>
        </w:rPr>
        <w:t> </w:t>
      </w:r>
      <w:r>
        <w:rPr>
          <w:w w:val="105"/>
        </w:rPr>
        <w:t>2</w:t>
      </w:r>
      <w:r>
        <w:rPr>
          <w:spacing w:val="-16"/>
          <w:w w:val="105"/>
        </w:rPr>
        <w:t> </w:t>
      </w:r>
      <w:r>
        <w:rPr>
          <w:w w:val="105"/>
        </w:rPr>
        <w:t>points</w:t>
      </w:r>
      <w:r>
        <w:rPr>
          <w:spacing w:val="-16"/>
          <w:w w:val="105"/>
        </w:rPr>
        <w:t> </w:t>
      </w:r>
      <w:r>
        <w:rPr>
          <w:w w:val="105"/>
        </w:rPr>
        <w:t>greater</w:t>
      </w:r>
      <w:r>
        <w:rPr>
          <w:spacing w:val="-16"/>
          <w:w w:val="105"/>
        </w:rPr>
        <w:t> </w:t>
      </w:r>
      <w:r>
        <w:rPr>
          <w:w w:val="105"/>
        </w:rPr>
        <w:t>value</w:t>
      </w:r>
      <w:r>
        <w:rPr>
          <w:spacing w:val="-15"/>
          <w:w w:val="105"/>
        </w:rPr>
        <w:t> </w:t>
      </w:r>
      <w:r>
        <w:rPr>
          <w:w w:val="105"/>
        </w:rPr>
        <w:t>from </w:t>
      </w:r>
      <w:r>
        <w:rPr/>
        <w:t>any</w:t>
      </w:r>
      <w:r>
        <w:rPr>
          <w:spacing w:val="-12"/>
        </w:rPr>
        <w:t> </w:t>
      </w:r>
      <w:r>
        <w:rPr/>
        <w:t>given</w:t>
      </w:r>
      <w:r>
        <w:rPr>
          <w:spacing w:val="-12"/>
        </w:rPr>
        <w:t> </w:t>
      </w:r>
      <w:r>
        <w:rPr/>
        <w:t>zone</w:t>
      </w:r>
      <w:r>
        <w:rPr>
          <w:spacing w:val="-12"/>
        </w:rPr>
        <w:t> </w:t>
      </w:r>
      <w:r>
        <w:rPr/>
        <w:t>per</w:t>
      </w:r>
      <w:r>
        <w:rPr>
          <w:spacing w:val="-12"/>
        </w:rPr>
        <w:t> </w:t>
      </w:r>
      <w:r>
        <w:rPr/>
        <w:t>match). Pairwise</w:t>
      </w:r>
      <w:r>
        <w:rPr>
          <w:spacing w:val="-12"/>
        </w:rPr>
        <w:t> </w:t>
      </w:r>
      <w:r>
        <w:rPr/>
        <w:t>least</w:t>
      </w:r>
      <w:r>
        <w:rPr>
          <w:spacing w:val="-12"/>
        </w:rPr>
        <w:t> </w:t>
      </w:r>
      <w:r>
        <w:rPr/>
        <w:t>square</w:t>
      </w:r>
      <w:r>
        <w:rPr>
          <w:spacing w:val="-12"/>
        </w:rPr>
        <w:t> </w:t>
      </w:r>
      <w:r>
        <w:rPr/>
        <w:t>mean</w:t>
      </w:r>
      <w:r>
        <w:rPr>
          <w:spacing w:val="-12"/>
        </w:rPr>
        <w:t> </w:t>
      </w:r>
      <w:r>
        <w:rPr/>
        <w:t>comparisons</w:t>
      </w:r>
      <w:r>
        <w:rPr>
          <w:spacing w:val="-12"/>
        </w:rPr>
        <w:t> </w:t>
      </w:r>
      <w:r>
        <w:rPr/>
        <w:t>between</w:t>
      </w:r>
      <w:r>
        <w:rPr>
          <w:spacing w:val="-12"/>
        </w:rPr>
        <w:t> </w:t>
      </w:r>
      <w:r>
        <w:rPr/>
        <w:t>consecutive columns or rows were used to evaluate whether they should be aggregated or differenti- ated. If</w:t>
      </w:r>
      <w:r>
        <w:rPr>
          <w:spacing w:val="-4"/>
        </w:rPr>
        <w:t> </w:t>
      </w:r>
      <w:r>
        <w:rPr/>
        <w:t>the</w:t>
      </w:r>
      <w:r>
        <w:rPr>
          <w:spacing w:val="-3"/>
        </w:rPr>
        <w:t> </w:t>
      </w:r>
      <w:r>
        <w:rPr/>
        <w:t>difference</w:t>
      </w:r>
      <w:r>
        <w:rPr>
          <w:spacing w:val="-4"/>
        </w:rPr>
        <w:t> </w:t>
      </w:r>
      <w:r>
        <w:rPr/>
        <w:t>between</w:t>
      </w:r>
      <w:r>
        <w:rPr>
          <w:spacing w:val="-3"/>
        </w:rPr>
        <w:t> </w:t>
      </w:r>
      <w:r>
        <w:rPr/>
        <w:t>two</w:t>
      </w:r>
      <w:r>
        <w:rPr>
          <w:spacing w:val="-3"/>
        </w:rPr>
        <w:t> </w:t>
      </w:r>
      <w:r>
        <w:rPr/>
        <w:t>columns</w:t>
      </w:r>
      <w:r>
        <w:rPr>
          <w:spacing w:val="-4"/>
        </w:rPr>
        <w:t> </w:t>
      </w:r>
      <w:r>
        <w:rPr/>
        <w:t>or</w:t>
      </w:r>
      <w:r>
        <w:rPr>
          <w:spacing w:val="-3"/>
        </w:rPr>
        <w:t> </w:t>
      </w:r>
      <w:r>
        <w:rPr/>
        <w:t>rows</w:t>
      </w:r>
      <w:r>
        <w:rPr>
          <w:spacing w:val="-4"/>
        </w:rPr>
        <w:t> </w:t>
      </w:r>
      <w:r>
        <w:rPr/>
        <w:t>was</w:t>
      </w:r>
      <w:r>
        <w:rPr>
          <w:spacing w:val="-3"/>
        </w:rPr>
        <w:t> </w:t>
      </w:r>
      <w:r>
        <w:rPr/>
        <w:t>statistically</w:t>
      </w:r>
      <w:r>
        <w:rPr>
          <w:spacing w:val="-4"/>
        </w:rPr>
        <w:t> </w:t>
      </w:r>
      <w:r>
        <w:rPr/>
        <w:t>significant</w:t>
      </w:r>
      <w:r>
        <w:rPr>
          <w:spacing w:val="-3"/>
        </w:rPr>
        <w:t> </w:t>
      </w:r>
      <w:r>
        <w:rPr/>
        <w:t>(i.e. P</w:t>
      </w:r>
      <w:r>
        <w:rPr>
          <w:spacing w:val="-4"/>
        </w:rPr>
        <w:t> </w:t>
      </w:r>
      <w:r>
        <w:rPr>
          <w:rFonts w:ascii="Cambria" w:hAnsi="Cambria"/>
        </w:rPr>
        <w:t>&lt; </w:t>
      </w:r>
      <w:r>
        <w:rPr/>
        <w:t>0.05),</w:t>
      </w:r>
      <w:r>
        <w:rPr>
          <w:spacing w:val="-13"/>
        </w:rPr>
        <w:t> </w:t>
      </w:r>
      <w:r>
        <w:rPr/>
        <w:t>they</w:t>
      </w:r>
      <w:r>
        <w:rPr>
          <w:spacing w:val="-14"/>
        </w:rPr>
        <w:t> </w:t>
      </w:r>
      <w:r>
        <w:rPr/>
        <w:t>remained</w:t>
      </w:r>
      <w:r>
        <w:rPr>
          <w:spacing w:val="-14"/>
        </w:rPr>
        <w:t> </w:t>
      </w:r>
      <w:r>
        <w:rPr/>
        <w:t>separate</w:t>
      </w:r>
      <w:r>
        <w:rPr>
          <w:spacing w:val="-14"/>
        </w:rPr>
        <w:t> </w:t>
      </w:r>
      <w:r>
        <w:rPr/>
        <w:t>as</w:t>
      </w:r>
      <w:r>
        <w:rPr>
          <w:spacing w:val="-14"/>
        </w:rPr>
        <w:t> </w:t>
      </w:r>
      <w:r>
        <w:rPr/>
        <w:t>the</w:t>
      </w:r>
      <w:r>
        <w:rPr>
          <w:spacing w:val="-14"/>
        </w:rPr>
        <w:t> </w:t>
      </w:r>
      <w:r>
        <w:rPr/>
        <w:t>difference</w:t>
      </w:r>
      <w:r>
        <w:rPr>
          <w:spacing w:val="-14"/>
        </w:rPr>
        <w:t> </w:t>
      </w:r>
      <w:r>
        <w:rPr/>
        <w:t>in</w:t>
      </w:r>
      <w:r>
        <w:rPr>
          <w:spacing w:val="-14"/>
        </w:rPr>
        <w:t> </w:t>
      </w:r>
      <w:r>
        <w:rPr/>
        <w:t>match</w:t>
      </w:r>
      <w:r>
        <w:rPr>
          <w:spacing w:val="-14"/>
        </w:rPr>
        <w:t> </w:t>
      </w:r>
      <w:r>
        <w:rPr/>
        <w:t>EPV</w:t>
      </w:r>
      <w:r>
        <w:rPr>
          <w:spacing w:val="-14"/>
        </w:rPr>
        <w:t> </w:t>
      </w:r>
      <w:r>
        <w:rPr/>
        <w:t>generated</w:t>
      </w:r>
      <w:r>
        <w:rPr>
          <w:spacing w:val="-14"/>
        </w:rPr>
        <w:t> </w:t>
      </w:r>
      <w:r>
        <w:rPr/>
        <w:t>by</w:t>
      </w:r>
      <w:r>
        <w:rPr>
          <w:spacing w:val="-14"/>
        </w:rPr>
        <w:t> </w:t>
      </w:r>
      <w:r>
        <w:rPr/>
        <w:t>the</w:t>
      </w:r>
      <w:r>
        <w:rPr>
          <w:spacing w:val="-14"/>
        </w:rPr>
        <w:t> </w:t>
      </w:r>
      <w:r>
        <w:rPr/>
        <w:t>two</w:t>
      </w:r>
      <w:r>
        <w:rPr>
          <w:spacing w:val="-14"/>
        </w:rPr>
        <w:t> </w:t>
      </w:r>
      <w:r>
        <w:rPr/>
        <w:t>factors was</w:t>
      </w:r>
      <w:r>
        <w:rPr>
          <w:spacing w:val="-3"/>
        </w:rPr>
        <w:t> </w:t>
      </w:r>
      <w:r>
        <w:rPr/>
        <w:t>greater</w:t>
      </w:r>
      <w:r>
        <w:rPr>
          <w:spacing w:val="-3"/>
        </w:rPr>
        <w:t> </w:t>
      </w:r>
      <w:r>
        <w:rPr/>
        <w:t>than</w:t>
      </w:r>
      <w:r>
        <w:rPr>
          <w:spacing w:val="-3"/>
        </w:rPr>
        <w:t> </w:t>
      </w:r>
      <w:r>
        <w:rPr/>
        <w:t>the</w:t>
      </w:r>
      <w:r>
        <w:rPr>
          <w:spacing w:val="-3"/>
        </w:rPr>
        <w:t> </w:t>
      </w:r>
      <w:r>
        <w:rPr/>
        <w:t>SESOI.</w:t>
      </w:r>
      <w:r>
        <w:rPr>
          <w:spacing w:val="-3"/>
        </w:rPr>
        <w:t> </w:t>
      </w:r>
      <w:r>
        <w:rPr/>
        <w:t>Otherwise,</w:t>
      </w:r>
      <w:r>
        <w:rPr>
          <w:spacing w:val="-2"/>
        </w:rPr>
        <w:t> </w:t>
      </w:r>
      <w:r>
        <w:rPr/>
        <w:t>the</w:t>
      </w:r>
      <w:r>
        <w:rPr>
          <w:spacing w:val="-3"/>
        </w:rPr>
        <w:t> </w:t>
      </w:r>
      <w:r>
        <w:rPr/>
        <w:t>column/row</w:t>
      </w:r>
      <w:r>
        <w:rPr>
          <w:spacing w:val="-3"/>
        </w:rPr>
        <w:t> </w:t>
      </w:r>
      <w:r>
        <w:rPr/>
        <w:t>match</w:t>
      </w:r>
      <w:r>
        <w:rPr>
          <w:spacing w:val="-3"/>
        </w:rPr>
        <w:t> </w:t>
      </w:r>
      <w:r>
        <w:rPr/>
        <w:t>EPVs</w:t>
      </w:r>
      <w:r>
        <w:rPr>
          <w:spacing w:val="-3"/>
        </w:rPr>
        <w:t> </w:t>
      </w:r>
      <w:r>
        <w:rPr/>
        <w:t>were</w:t>
      </w:r>
      <w:r>
        <w:rPr>
          <w:spacing w:val="-3"/>
        </w:rPr>
        <w:t> </w:t>
      </w:r>
      <w:r>
        <w:rPr/>
        <w:t>averaged</w:t>
      </w:r>
      <w:r>
        <w:rPr>
          <w:spacing w:val="-3"/>
        </w:rPr>
        <w:t> </w:t>
      </w:r>
      <w:r>
        <w:rPr/>
        <w:t>and compared</w:t>
      </w:r>
      <w:r>
        <w:rPr>
          <w:spacing w:val="-1"/>
        </w:rPr>
        <w:t> </w:t>
      </w:r>
      <w:r>
        <w:rPr/>
        <w:t>to</w:t>
      </w:r>
      <w:r>
        <w:rPr>
          <w:spacing w:val="-1"/>
        </w:rPr>
        <w:t> </w:t>
      </w:r>
      <w:r>
        <w:rPr/>
        <w:t>the</w:t>
      </w:r>
      <w:r>
        <w:rPr>
          <w:spacing w:val="-1"/>
        </w:rPr>
        <w:t> </w:t>
      </w:r>
      <w:r>
        <w:rPr/>
        <w:t>next</w:t>
      </w:r>
      <w:r>
        <w:rPr>
          <w:spacing w:val="-1"/>
        </w:rPr>
        <w:t> </w:t>
      </w:r>
      <w:r>
        <w:rPr/>
        <w:t>column</w:t>
      </w:r>
      <w:r>
        <w:rPr>
          <w:spacing w:val="-1"/>
        </w:rPr>
        <w:t> </w:t>
      </w:r>
      <w:r>
        <w:rPr/>
        <w:t>or</w:t>
      </w:r>
      <w:r>
        <w:rPr>
          <w:spacing w:val="-1"/>
        </w:rPr>
        <w:t> </w:t>
      </w:r>
      <w:r>
        <w:rPr/>
        <w:t>row’s</w:t>
      </w:r>
      <w:r>
        <w:rPr>
          <w:spacing w:val="-1"/>
        </w:rPr>
        <w:t> </w:t>
      </w:r>
      <w:r>
        <w:rPr/>
        <w:t>match</w:t>
      </w:r>
      <w:r>
        <w:rPr>
          <w:spacing w:val="-1"/>
        </w:rPr>
        <w:t> </w:t>
      </w:r>
      <w:r>
        <w:rPr/>
        <w:t>EPV.</w:t>
      </w:r>
      <w:r>
        <w:rPr>
          <w:spacing w:val="-1"/>
        </w:rPr>
        <w:t> </w:t>
      </w:r>
      <w:r>
        <w:rPr/>
        <w:t>This</w:t>
      </w:r>
      <w:r>
        <w:rPr>
          <w:spacing w:val="-1"/>
        </w:rPr>
        <w:t> </w:t>
      </w:r>
      <w:r>
        <w:rPr/>
        <w:t>iterative</w:t>
      </w:r>
      <w:r>
        <w:rPr>
          <w:spacing w:val="-1"/>
        </w:rPr>
        <w:t> </w:t>
      </w:r>
      <w:r>
        <w:rPr/>
        <w:t>process</w:t>
      </w:r>
      <w:r>
        <w:rPr>
          <w:spacing w:val="-1"/>
        </w:rPr>
        <w:t> </w:t>
      </w:r>
      <w:r>
        <w:rPr/>
        <w:t>was</w:t>
      </w:r>
      <w:r>
        <w:rPr>
          <w:spacing w:val="-1"/>
        </w:rPr>
        <w:t> </w:t>
      </w:r>
      <w:r>
        <w:rPr/>
        <w:t>conducted </w:t>
      </w:r>
      <w:r>
        <w:rPr>
          <w:w w:val="105"/>
        </w:rPr>
        <w:t>independently</w:t>
      </w:r>
      <w:r>
        <w:rPr>
          <w:spacing w:val="-13"/>
          <w:w w:val="105"/>
        </w:rPr>
        <w:t> </w:t>
      </w:r>
      <w:r>
        <w:rPr>
          <w:w w:val="105"/>
        </w:rPr>
        <w:t>for</w:t>
      </w:r>
      <w:r>
        <w:rPr>
          <w:spacing w:val="-13"/>
          <w:w w:val="105"/>
        </w:rPr>
        <w:t> </w:t>
      </w:r>
      <w:r>
        <w:rPr>
          <w:w w:val="105"/>
        </w:rPr>
        <w:t>the</w:t>
      </w:r>
      <w:r>
        <w:rPr>
          <w:spacing w:val="-13"/>
          <w:w w:val="105"/>
        </w:rPr>
        <w:t> </w:t>
      </w:r>
      <w:r>
        <w:rPr>
          <w:w w:val="105"/>
        </w:rPr>
        <w:t>columns</w:t>
      </w:r>
      <w:r>
        <w:rPr>
          <w:spacing w:val="-13"/>
          <w:w w:val="105"/>
        </w:rPr>
        <w:t> </w:t>
      </w:r>
      <w:r>
        <w:rPr>
          <w:w w:val="105"/>
        </w:rPr>
        <w:t>and</w:t>
      </w:r>
      <w:r>
        <w:rPr>
          <w:spacing w:val="-13"/>
          <w:w w:val="105"/>
        </w:rPr>
        <w:t> </w:t>
      </w:r>
      <w:r>
        <w:rPr>
          <w:w w:val="105"/>
        </w:rPr>
        <w:t>rows.</w:t>
      </w:r>
    </w:p>
    <w:p>
      <w:pPr>
        <w:pStyle w:val="BodyText"/>
        <w:spacing w:line="312" w:lineRule="auto"/>
        <w:ind w:left="610" w:right="389" w:firstLine="351"/>
      </w:pPr>
      <w:r>
        <w:rPr/>
        <w:t>At</w:t>
      </w:r>
      <w:r>
        <w:rPr>
          <w:spacing w:val="-15"/>
        </w:rPr>
        <w:t> </w:t>
      </w:r>
      <w:r>
        <w:rPr/>
        <w:t>the</w:t>
      </w:r>
      <w:r>
        <w:rPr>
          <w:spacing w:val="-15"/>
        </w:rPr>
        <w:t> </w:t>
      </w:r>
      <w:r>
        <w:rPr/>
        <w:t>end</w:t>
      </w:r>
      <w:r>
        <w:rPr>
          <w:spacing w:val="-15"/>
        </w:rPr>
        <w:t> </w:t>
      </w:r>
      <w:r>
        <w:rPr/>
        <w:t>of</w:t>
      </w:r>
      <w:r>
        <w:rPr>
          <w:spacing w:val="-15"/>
        </w:rPr>
        <w:t> </w:t>
      </w:r>
      <w:r>
        <w:rPr/>
        <w:t>this</w:t>
      </w:r>
      <w:r>
        <w:rPr>
          <w:spacing w:val="-15"/>
        </w:rPr>
        <w:t> </w:t>
      </w:r>
      <w:r>
        <w:rPr/>
        <w:t>iterative</w:t>
      </w:r>
      <w:r>
        <w:rPr>
          <w:spacing w:val="-15"/>
        </w:rPr>
        <w:t> </w:t>
      </w:r>
      <w:r>
        <w:rPr/>
        <w:t>process,</w:t>
      </w:r>
      <w:r>
        <w:rPr>
          <w:spacing w:val="-13"/>
        </w:rPr>
        <w:t> </w:t>
      </w:r>
      <w:r>
        <w:rPr/>
        <w:t>the</w:t>
      </w:r>
      <w:r>
        <w:rPr>
          <w:spacing w:val="-15"/>
        </w:rPr>
        <w:t> </w:t>
      </w:r>
      <w:r>
        <w:rPr/>
        <w:t>remaining</w:t>
      </w:r>
      <w:r>
        <w:rPr>
          <w:spacing w:val="-15"/>
        </w:rPr>
        <w:t> </w:t>
      </w:r>
      <w:r>
        <w:rPr/>
        <w:t>columns</w:t>
      </w:r>
      <w:r>
        <w:rPr>
          <w:spacing w:val="-15"/>
        </w:rPr>
        <w:t> </w:t>
      </w:r>
      <w:r>
        <w:rPr/>
        <w:t>and</w:t>
      </w:r>
      <w:r>
        <w:rPr>
          <w:spacing w:val="-15"/>
        </w:rPr>
        <w:t> </w:t>
      </w:r>
      <w:r>
        <w:rPr/>
        <w:t>rows</w:t>
      </w:r>
      <w:r>
        <w:rPr>
          <w:spacing w:val="-15"/>
        </w:rPr>
        <w:t> </w:t>
      </w:r>
      <w:r>
        <w:rPr/>
        <w:t>were</w:t>
      </w:r>
      <w:r>
        <w:rPr>
          <w:spacing w:val="-15"/>
        </w:rPr>
        <w:t> </w:t>
      </w:r>
      <w:r>
        <w:rPr/>
        <w:t>combined</w:t>
      </w:r>
      <w:r>
        <w:rPr>
          <w:spacing w:val="-15"/>
        </w:rPr>
        <w:t> </w:t>
      </w:r>
      <w:r>
        <w:rPr/>
        <w:t>to form</w:t>
      </w:r>
      <w:r>
        <w:rPr>
          <w:spacing w:val="-5"/>
        </w:rPr>
        <w:t> </w:t>
      </w:r>
      <w:r>
        <w:rPr/>
        <w:t>a</w:t>
      </w:r>
      <w:r>
        <w:rPr>
          <w:spacing w:val="-5"/>
        </w:rPr>
        <w:t> </w:t>
      </w:r>
      <w:r>
        <w:rPr/>
        <w:t>grid. The</w:t>
      </w:r>
      <w:r>
        <w:rPr>
          <w:spacing w:val="-5"/>
        </w:rPr>
        <w:t> </w:t>
      </w:r>
      <w:r>
        <w:rPr/>
        <w:t>zones</w:t>
      </w:r>
      <w:r>
        <w:rPr>
          <w:spacing w:val="-5"/>
        </w:rPr>
        <w:t> </w:t>
      </w:r>
      <w:r>
        <w:rPr/>
        <w:t>were</w:t>
      </w:r>
      <w:r>
        <w:rPr>
          <w:spacing w:val="-5"/>
        </w:rPr>
        <w:t> </w:t>
      </w:r>
      <w:r>
        <w:rPr/>
        <w:t>aggregated</w:t>
      </w:r>
      <w:r>
        <w:rPr>
          <w:spacing w:val="-5"/>
        </w:rPr>
        <w:t> </w:t>
      </w:r>
      <w:r>
        <w:rPr/>
        <w:t>at</w:t>
      </w:r>
      <w:r>
        <w:rPr>
          <w:spacing w:val="-5"/>
        </w:rPr>
        <w:t> </w:t>
      </w:r>
      <w:r>
        <w:rPr/>
        <w:t>a</w:t>
      </w:r>
      <w:r>
        <w:rPr>
          <w:spacing w:val="-5"/>
        </w:rPr>
        <w:t> </w:t>
      </w:r>
      <w:r>
        <w:rPr/>
        <w:t>row</w:t>
      </w:r>
      <w:r>
        <w:rPr>
          <w:spacing w:val="-5"/>
        </w:rPr>
        <w:t> </w:t>
      </w:r>
      <w:r>
        <w:rPr/>
        <w:t>level</w:t>
      </w:r>
      <w:r>
        <w:rPr>
          <w:spacing w:val="-5"/>
        </w:rPr>
        <w:t> </w:t>
      </w:r>
      <w:r>
        <w:rPr/>
        <w:t>between</w:t>
      </w:r>
      <w:r>
        <w:rPr>
          <w:spacing w:val="-5"/>
        </w:rPr>
        <w:t> </w:t>
      </w:r>
      <w:r>
        <w:rPr/>
        <w:t>-10m</w:t>
      </w:r>
      <w:r>
        <w:rPr>
          <w:spacing w:val="-5"/>
        </w:rPr>
        <w:t> </w:t>
      </w:r>
      <w:r>
        <w:rPr/>
        <w:t>and</w:t>
      </w:r>
      <w:r>
        <w:rPr>
          <w:spacing w:val="-5"/>
        </w:rPr>
        <w:t> </w:t>
      </w:r>
      <w:r>
        <w:rPr/>
        <w:t>10m,</w:t>
      </w:r>
      <w:r>
        <w:rPr>
          <w:spacing w:val="-4"/>
        </w:rPr>
        <w:t> </w:t>
      </w:r>
      <w:r>
        <w:rPr/>
        <w:t>but</w:t>
      </w:r>
      <w:r>
        <w:rPr>
          <w:spacing w:val="-5"/>
        </w:rPr>
        <w:t> </w:t>
      </w:r>
      <w:r>
        <w:rPr/>
        <w:t>not</w:t>
      </w:r>
      <w:r>
        <w:rPr>
          <w:spacing w:val="-5"/>
        </w:rPr>
        <w:t> </w:t>
      </w:r>
      <w:r>
        <w:rPr/>
        <w:t>at the</w:t>
      </w:r>
      <w:r>
        <w:rPr>
          <w:spacing w:val="-3"/>
        </w:rPr>
        <w:t> </w:t>
      </w:r>
      <w:r>
        <w:rPr/>
        <w:t>column</w:t>
      </w:r>
      <w:r>
        <w:rPr>
          <w:spacing w:val="-3"/>
        </w:rPr>
        <w:t> </w:t>
      </w:r>
      <w:r>
        <w:rPr/>
        <w:t>level. This</w:t>
      </w:r>
      <w:r>
        <w:rPr>
          <w:spacing w:val="-3"/>
        </w:rPr>
        <w:t> </w:t>
      </w:r>
      <w:r>
        <w:rPr/>
        <w:t>decision</w:t>
      </w:r>
      <w:r>
        <w:rPr>
          <w:spacing w:val="-3"/>
        </w:rPr>
        <w:t> </w:t>
      </w:r>
      <w:r>
        <w:rPr/>
        <w:t>was</w:t>
      </w:r>
      <w:r>
        <w:rPr>
          <w:spacing w:val="-3"/>
        </w:rPr>
        <w:t> </w:t>
      </w:r>
      <w:r>
        <w:rPr/>
        <w:t>made</w:t>
      </w:r>
      <w:r>
        <w:rPr>
          <w:spacing w:val="-3"/>
        </w:rPr>
        <w:t> </w:t>
      </w:r>
      <w:r>
        <w:rPr/>
        <w:t>because</w:t>
      </w:r>
      <w:r>
        <w:rPr>
          <w:spacing w:val="-3"/>
        </w:rPr>
        <w:t> </w:t>
      </w:r>
      <w:r>
        <w:rPr/>
        <w:t>the</w:t>
      </w:r>
      <w:r>
        <w:rPr>
          <w:spacing w:val="-3"/>
        </w:rPr>
        <w:t> </w:t>
      </w:r>
      <w:r>
        <w:rPr/>
        <w:t>zones</w:t>
      </w:r>
      <w:r>
        <w:rPr>
          <w:spacing w:val="-3"/>
        </w:rPr>
        <w:t> </w:t>
      </w:r>
      <w:r>
        <w:rPr/>
        <w:t>within</w:t>
      </w:r>
      <w:r>
        <w:rPr>
          <w:spacing w:val="-3"/>
        </w:rPr>
        <w:t> </w:t>
      </w:r>
      <w:r>
        <w:rPr/>
        <w:t>the</w:t>
      </w:r>
      <w:r>
        <w:rPr>
          <w:spacing w:val="-3"/>
        </w:rPr>
        <w:t> </w:t>
      </w:r>
      <w:r>
        <w:rPr/>
        <w:t>row</w:t>
      </w:r>
      <w:r>
        <w:rPr>
          <w:spacing w:val="-3"/>
        </w:rPr>
        <w:t> </w:t>
      </w:r>
      <w:r>
        <w:rPr/>
        <w:t>were</w:t>
      </w:r>
      <w:r>
        <w:rPr>
          <w:spacing w:val="-3"/>
        </w:rPr>
        <w:t> </w:t>
      </w:r>
      <w:r>
        <w:rPr/>
        <w:t>visited infrequently relative to other zones on the pitch and so had highly variable values.</w:t>
      </w:r>
      <w:r>
        <w:rPr>
          <w:spacing w:val="40"/>
        </w:rPr>
        <w:t> </w:t>
      </w:r>
      <w:r>
        <w:rPr/>
        <w:t>At</w:t>
      </w:r>
      <w:r>
        <w:rPr>
          <w:spacing w:val="80"/>
        </w:rPr>
        <w:t> </w:t>
      </w:r>
      <w:r>
        <w:rPr/>
        <w:t>SESOI</w:t>
      </w:r>
      <w:r>
        <w:rPr>
          <w:spacing w:val="-7"/>
        </w:rPr>
        <w:t> </w:t>
      </w:r>
      <w:r>
        <w:rPr/>
        <w:t>0.5,</w:t>
      </w:r>
      <w:r>
        <w:rPr>
          <w:spacing w:val="-7"/>
        </w:rPr>
        <w:t> </w:t>
      </w:r>
      <w:r>
        <w:rPr/>
        <w:t>7</w:t>
      </w:r>
      <w:r>
        <w:rPr>
          <w:spacing w:val="-7"/>
        </w:rPr>
        <w:t> </w:t>
      </w:r>
      <w:r>
        <w:rPr/>
        <w:t>rows</w:t>
      </w:r>
      <w:r>
        <w:rPr>
          <w:spacing w:val="-7"/>
        </w:rPr>
        <w:t> </w:t>
      </w:r>
      <w:r>
        <w:rPr/>
        <w:t>and</w:t>
      </w:r>
      <w:r>
        <w:rPr>
          <w:spacing w:val="-7"/>
        </w:rPr>
        <w:t> </w:t>
      </w:r>
      <w:r>
        <w:rPr/>
        <w:t>columns</w:t>
      </w:r>
      <w:r>
        <w:rPr>
          <w:spacing w:val="-7"/>
        </w:rPr>
        <w:t> </w:t>
      </w:r>
      <w:r>
        <w:rPr/>
        <w:t>were</w:t>
      </w:r>
      <w:r>
        <w:rPr>
          <w:spacing w:val="-7"/>
        </w:rPr>
        <w:t> </w:t>
      </w:r>
      <w:r>
        <w:rPr/>
        <w:t>present,</w:t>
      </w:r>
      <w:r>
        <w:rPr>
          <w:spacing w:val="-7"/>
        </w:rPr>
        <w:t> </w:t>
      </w:r>
      <w:r>
        <w:rPr/>
        <w:t>resulting</w:t>
      </w:r>
      <w:r>
        <w:rPr>
          <w:spacing w:val="-7"/>
        </w:rPr>
        <w:t> </w:t>
      </w:r>
      <w:r>
        <w:rPr/>
        <w:t>in</w:t>
      </w:r>
      <w:r>
        <w:rPr>
          <w:spacing w:val="-7"/>
        </w:rPr>
        <w:t> </w:t>
      </w:r>
      <w:r>
        <w:rPr/>
        <w:t>37</w:t>
      </w:r>
      <w:r>
        <w:rPr>
          <w:spacing w:val="-7"/>
        </w:rPr>
        <w:t> </w:t>
      </w:r>
      <w:r>
        <w:rPr/>
        <w:t>zones</w:t>
      </w:r>
      <w:r>
        <w:rPr>
          <w:spacing w:val="-7"/>
        </w:rPr>
        <w:t> </w:t>
      </w:r>
      <w:r>
        <w:rPr/>
        <w:t>(EPV-37). At</w:t>
      </w:r>
      <w:r>
        <w:rPr>
          <w:spacing w:val="-7"/>
        </w:rPr>
        <w:t> </w:t>
      </w:r>
      <w:r>
        <w:rPr/>
        <w:t>SESOI 1.0,</w:t>
      </w:r>
      <w:r>
        <w:rPr>
          <w:spacing w:val="-9"/>
        </w:rPr>
        <w:t> </w:t>
      </w:r>
      <w:r>
        <w:rPr/>
        <w:t>4</w:t>
      </w:r>
      <w:r>
        <w:rPr>
          <w:spacing w:val="-10"/>
        </w:rPr>
        <w:t> </w:t>
      </w:r>
      <w:r>
        <w:rPr/>
        <w:t>rows</w:t>
      </w:r>
      <w:r>
        <w:rPr>
          <w:spacing w:val="-10"/>
        </w:rPr>
        <w:t> </w:t>
      </w:r>
      <w:r>
        <w:rPr/>
        <w:t>and</w:t>
      </w:r>
      <w:r>
        <w:rPr>
          <w:spacing w:val="-10"/>
        </w:rPr>
        <w:t> </w:t>
      </w:r>
      <w:r>
        <w:rPr/>
        <w:t>6</w:t>
      </w:r>
      <w:r>
        <w:rPr>
          <w:spacing w:val="-10"/>
        </w:rPr>
        <w:t> </w:t>
      </w:r>
      <w:r>
        <w:rPr/>
        <w:t>columns</w:t>
      </w:r>
      <w:r>
        <w:rPr>
          <w:spacing w:val="-10"/>
        </w:rPr>
        <w:t> </w:t>
      </w:r>
      <w:r>
        <w:rPr/>
        <w:t>were</w:t>
      </w:r>
      <w:r>
        <w:rPr>
          <w:spacing w:val="-10"/>
        </w:rPr>
        <w:t> </w:t>
      </w:r>
      <w:r>
        <w:rPr/>
        <w:t>present,</w:t>
      </w:r>
      <w:r>
        <w:rPr>
          <w:spacing w:val="-9"/>
        </w:rPr>
        <w:t> </w:t>
      </w:r>
      <w:r>
        <w:rPr/>
        <w:t>resulting</w:t>
      </w:r>
      <w:r>
        <w:rPr>
          <w:spacing w:val="-10"/>
        </w:rPr>
        <w:t> </w:t>
      </w:r>
      <w:r>
        <w:rPr/>
        <w:t>in</w:t>
      </w:r>
      <w:r>
        <w:rPr>
          <w:spacing w:val="-10"/>
        </w:rPr>
        <w:t> </w:t>
      </w:r>
      <w:r>
        <w:rPr/>
        <w:t>19</w:t>
      </w:r>
      <w:r>
        <w:rPr>
          <w:spacing w:val="-10"/>
        </w:rPr>
        <w:t> </w:t>
      </w:r>
      <w:r>
        <w:rPr/>
        <w:t>zones</w:t>
      </w:r>
      <w:r>
        <w:rPr>
          <w:spacing w:val="-10"/>
        </w:rPr>
        <w:t> </w:t>
      </w:r>
      <w:r>
        <w:rPr/>
        <w:t>(EPV-19). At</w:t>
      </w:r>
      <w:r>
        <w:rPr>
          <w:spacing w:val="-10"/>
        </w:rPr>
        <w:t> </w:t>
      </w:r>
      <w:r>
        <w:rPr/>
        <w:t>SESOI</w:t>
      </w:r>
      <w:r>
        <w:rPr>
          <w:spacing w:val="-10"/>
        </w:rPr>
        <w:t> </w:t>
      </w:r>
      <w:r>
        <w:rPr/>
        <w:t>1.5,</w:t>
      </w:r>
      <w:r>
        <w:rPr>
          <w:spacing w:val="-9"/>
        </w:rPr>
        <w:t> </w:t>
      </w:r>
      <w:r>
        <w:rPr/>
        <w:t>4 rows</w:t>
      </w:r>
      <w:r>
        <w:rPr>
          <w:spacing w:val="-5"/>
        </w:rPr>
        <w:t> </w:t>
      </w:r>
      <w:r>
        <w:rPr/>
        <w:t>and</w:t>
      </w:r>
      <w:r>
        <w:rPr>
          <w:spacing w:val="-5"/>
        </w:rPr>
        <w:t> </w:t>
      </w:r>
      <w:r>
        <w:rPr/>
        <w:t>4</w:t>
      </w:r>
      <w:r>
        <w:rPr>
          <w:spacing w:val="-5"/>
        </w:rPr>
        <w:t> </w:t>
      </w:r>
      <w:r>
        <w:rPr/>
        <w:t>columns</w:t>
      </w:r>
      <w:r>
        <w:rPr>
          <w:spacing w:val="-5"/>
        </w:rPr>
        <w:t> </w:t>
      </w:r>
      <w:r>
        <w:rPr/>
        <w:t>were</w:t>
      </w:r>
      <w:r>
        <w:rPr>
          <w:spacing w:val="-5"/>
        </w:rPr>
        <w:t> </w:t>
      </w:r>
      <w:r>
        <w:rPr/>
        <w:t>present,</w:t>
      </w:r>
      <w:r>
        <w:rPr>
          <w:spacing w:val="-5"/>
        </w:rPr>
        <w:t> </w:t>
      </w:r>
      <w:r>
        <w:rPr/>
        <w:t>resulting</w:t>
      </w:r>
      <w:r>
        <w:rPr>
          <w:spacing w:val="-5"/>
        </w:rPr>
        <w:t> </w:t>
      </w:r>
      <w:r>
        <w:rPr/>
        <w:t>in</w:t>
      </w:r>
      <w:r>
        <w:rPr>
          <w:spacing w:val="-5"/>
        </w:rPr>
        <w:t> </w:t>
      </w:r>
      <w:r>
        <w:rPr/>
        <w:t>13</w:t>
      </w:r>
      <w:r>
        <w:rPr>
          <w:spacing w:val="-5"/>
        </w:rPr>
        <w:t> </w:t>
      </w:r>
      <w:r>
        <w:rPr/>
        <w:t>zones</w:t>
      </w:r>
      <w:r>
        <w:rPr>
          <w:spacing w:val="-5"/>
        </w:rPr>
        <w:t> </w:t>
      </w:r>
      <w:r>
        <w:rPr/>
        <w:t>(EPV-13). At</w:t>
      </w:r>
      <w:r>
        <w:rPr>
          <w:spacing w:val="-5"/>
        </w:rPr>
        <w:t> </w:t>
      </w:r>
      <w:r>
        <w:rPr/>
        <w:t>SESOI</w:t>
      </w:r>
      <w:r>
        <w:rPr>
          <w:spacing w:val="-5"/>
        </w:rPr>
        <w:t> </w:t>
      </w:r>
      <w:r>
        <w:rPr/>
        <w:t>2.0,</w:t>
      </w:r>
      <w:r>
        <w:rPr>
          <w:spacing w:val="-5"/>
        </w:rPr>
        <w:t> </w:t>
      </w:r>
      <w:r>
        <w:rPr/>
        <w:t>3</w:t>
      </w:r>
      <w:r>
        <w:rPr>
          <w:spacing w:val="-5"/>
        </w:rPr>
        <w:t> </w:t>
      </w:r>
      <w:r>
        <w:rPr/>
        <w:t>rows and 4 columns were present, resulting in 9 zones (EPV-9).</w:t>
      </w:r>
      <w:r>
        <w:rPr>
          <w:spacing w:val="40"/>
        </w:rPr>
        <w:t> </w:t>
      </w:r>
      <w:r>
        <w:rPr/>
        <w:t>The aggregated zone values were</w:t>
      </w:r>
      <w:r>
        <w:rPr>
          <w:spacing w:val="-15"/>
        </w:rPr>
        <w:t> </w:t>
      </w:r>
      <w:r>
        <w:rPr/>
        <w:t>calculated</w:t>
      </w:r>
      <w:r>
        <w:rPr>
          <w:spacing w:val="-15"/>
        </w:rPr>
        <w:t> </w:t>
      </w:r>
      <w:r>
        <w:rPr/>
        <w:t>as</w:t>
      </w:r>
      <w:r>
        <w:rPr>
          <w:spacing w:val="-15"/>
        </w:rPr>
        <w:t> </w:t>
      </w:r>
      <w:r>
        <w:rPr/>
        <w:t>a</w:t>
      </w:r>
      <w:r>
        <w:rPr>
          <w:spacing w:val="-15"/>
        </w:rPr>
        <w:t> </w:t>
      </w:r>
      <w:r>
        <w:rPr/>
        <w:t>weighted</w:t>
      </w:r>
      <w:r>
        <w:rPr>
          <w:spacing w:val="-15"/>
        </w:rPr>
        <w:t> </w:t>
      </w:r>
      <w:r>
        <w:rPr/>
        <w:t>average</w:t>
      </w:r>
      <w:r>
        <w:rPr>
          <w:spacing w:val="-15"/>
        </w:rPr>
        <w:t> </w:t>
      </w:r>
      <w:r>
        <w:rPr/>
        <w:t>of</w:t>
      </w:r>
      <w:r>
        <w:rPr>
          <w:spacing w:val="-15"/>
        </w:rPr>
        <w:t> </w:t>
      </w:r>
      <w:r>
        <w:rPr/>
        <w:t>the</w:t>
      </w:r>
      <w:r>
        <w:rPr>
          <w:spacing w:val="-15"/>
        </w:rPr>
        <w:t> </w:t>
      </w:r>
      <w:r>
        <w:rPr/>
        <w:t>values</w:t>
      </w:r>
      <w:r>
        <w:rPr>
          <w:spacing w:val="-15"/>
        </w:rPr>
        <w:t> </w:t>
      </w:r>
      <w:r>
        <w:rPr/>
        <w:t>of</w:t>
      </w:r>
      <w:r>
        <w:rPr>
          <w:spacing w:val="-15"/>
        </w:rPr>
        <w:t> </w:t>
      </w:r>
      <w:r>
        <w:rPr/>
        <w:t>the</w:t>
      </w:r>
      <w:r>
        <w:rPr>
          <w:spacing w:val="-15"/>
        </w:rPr>
        <w:t> </w:t>
      </w:r>
      <w:r>
        <w:rPr/>
        <w:t>EPV-308</w:t>
      </w:r>
      <w:r>
        <w:rPr>
          <w:spacing w:val="-15"/>
        </w:rPr>
        <w:t> </w:t>
      </w:r>
      <w:r>
        <w:rPr/>
        <w:t>zones</w:t>
      </w:r>
      <w:r>
        <w:rPr>
          <w:spacing w:val="-15"/>
        </w:rPr>
        <w:t> </w:t>
      </w:r>
      <w:r>
        <w:rPr/>
        <w:t>they</w:t>
      </w:r>
      <w:r>
        <w:rPr>
          <w:spacing w:val="-15"/>
        </w:rPr>
        <w:t> </w:t>
      </w:r>
      <w:r>
        <w:rPr/>
        <w:t>were</w:t>
      </w:r>
      <w:r>
        <w:rPr>
          <w:spacing w:val="-15"/>
        </w:rPr>
        <w:t> </w:t>
      </w:r>
      <w:r>
        <w:rPr/>
        <w:t>com- posed of.</w:t>
      </w:r>
      <w:r>
        <w:rPr>
          <w:spacing w:val="40"/>
        </w:rPr>
        <w:t> </w:t>
      </w:r>
      <w:r>
        <w:rPr/>
        <w:t>Figure</w:t>
      </w:r>
      <w:hyperlink w:history="true" w:anchor="_bookmark67">
        <w:r>
          <w:rPr>
            <w:color w:val="0000FF"/>
          </w:rPr>
          <w:t>3.5</w:t>
        </w:r>
      </w:hyperlink>
      <w:r>
        <w:rPr/>
        <w:t>highlights this process by depicting the similarities and differences between</w:t>
      </w:r>
      <w:r>
        <w:rPr>
          <w:spacing w:val="-4"/>
        </w:rPr>
        <w:t> </w:t>
      </w:r>
      <w:r>
        <w:rPr/>
        <w:t>the</w:t>
      </w:r>
      <w:r>
        <w:rPr>
          <w:spacing w:val="-4"/>
        </w:rPr>
        <w:t> </w:t>
      </w:r>
      <w:r>
        <w:rPr/>
        <w:t>EPV-308,</w:t>
      </w:r>
      <w:r>
        <w:rPr>
          <w:spacing w:val="-3"/>
        </w:rPr>
        <w:t> </w:t>
      </w:r>
      <w:r>
        <w:rPr/>
        <w:t>EPV-77</w:t>
      </w:r>
      <w:r>
        <w:rPr>
          <w:spacing w:val="-4"/>
        </w:rPr>
        <w:t> </w:t>
      </w:r>
      <w:r>
        <w:rPr/>
        <w:t>and</w:t>
      </w:r>
      <w:r>
        <w:rPr>
          <w:spacing w:val="-4"/>
        </w:rPr>
        <w:t> </w:t>
      </w:r>
      <w:r>
        <w:rPr/>
        <w:t>EPV-19</w:t>
      </w:r>
      <w:r>
        <w:rPr>
          <w:spacing w:val="-5"/>
        </w:rPr>
        <w:t> </w:t>
      </w:r>
      <w:r>
        <w:rPr/>
        <w:t>in</w:t>
      </w:r>
      <w:r>
        <w:rPr>
          <w:spacing w:val="-4"/>
        </w:rPr>
        <w:t> </w:t>
      </w:r>
      <w:r>
        <w:rPr/>
        <w:t>the</w:t>
      </w:r>
      <w:r>
        <w:rPr>
          <w:spacing w:val="-4"/>
        </w:rPr>
        <w:t> </w:t>
      </w:r>
      <w:r>
        <w:rPr/>
        <w:t>30m</w:t>
      </w:r>
      <w:r>
        <w:rPr>
          <w:spacing w:val="-4"/>
        </w:rPr>
        <w:t> </w:t>
      </w:r>
      <w:r>
        <w:rPr/>
        <w:t>closest</w:t>
      </w:r>
      <w:r>
        <w:rPr>
          <w:spacing w:val="-4"/>
        </w:rPr>
        <w:t> </w:t>
      </w:r>
      <w:r>
        <w:rPr/>
        <w:t>to</w:t>
      </w:r>
      <w:r>
        <w:rPr>
          <w:spacing w:val="-5"/>
        </w:rPr>
        <w:t> </w:t>
      </w:r>
      <w:r>
        <w:rPr/>
        <w:t>the</w:t>
      </w:r>
      <w:r>
        <w:rPr>
          <w:spacing w:val="-4"/>
        </w:rPr>
        <w:t> </w:t>
      </w:r>
      <w:r>
        <w:rPr/>
        <w:t>opposition</w:t>
      </w:r>
      <w:r>
        <w:rPr>
          <w:spacing w:val="-4"/>
        </w:rPr>
        <w:t> </w:t>
      </w:r>
      <w:r>
        <w:rPr/>
        <w:t>try</w:t>
      </w:r>
      <w:r>
        <w:rPr>
          <w:spacing w:val="-4"/>
        </w:rPr>
        <w:t> </w:t>
      </w:r>
      <w:r>
        <w:rPr/>
        <w:t>line. It</w:t>
      </w:r>
      <w:r>
        <w:rPr>
          <w:spacing w:val="-12"/>
        </w:rPr>
        <w:t> </w:t>
      </w:r>
      <w:r>
        <w:rPr/>
        <w:t>shows</w:t>
      </w:r>
      <w:r>
        <w:rPr>
          <w:spacing w:val="-12"/>
        </w:rPr>
        <w:t> </w:t>
      </w:r>
      <w:r>
        <w:rPr/>
        <w:t>the</w:t>
      </w:r>
      <w:r>
        <w:rPr>
          <w:spacing w:val="-12"/>
        </w:rPr>
        <w:t> </w:t>
      </w:r>
      <w:r>
        <w:rPr/>
        <w:t>symmetrical</w:t>
      </w:r>
      <w:r>
        <w:rPr>
          <w:spacing w:val="-12"/>
        </w:rPr>
        <w:t> </w:t>
      </w:r>
      <w:r>
        <w:rPr/>
        <w:t>aggregation</w:t>
      </w:r>
      <w:r>
        <w:rPr>
          <w:spacing w:val="-12"/>
        </w:rPr>
        <w:t> </w:t>
      </w:r>
      <w:r>
        <w:rPr/>
        <w:t>of</w:t>
      </w:r>
      <w:r>
        <w:rPr>
          <w:spacing w:val="-12"/>
        </w:rPr>
        <w:t> </w:t>
      </w:r>
      <w:r>
        <w:rPr/>
        <w:t>columns</w:t>
      </w:r>
      <w:r>
        <w:rPr>
          <w:spacing w:val="-12"/>
        </w:rPr>
        <w:t> </w:t>
      </w:r>
      <w:r>
        <w:rPr/>
        <w:t>for</w:t>
      </w:r>
      <w:r>
        <w:rPr>
          <w:spacing w:val="-12"/>
        </w:rPr>
        <w:t> </w:t>
      </w:r>
      <w:r>
        <w:rPr/>
        <w:t>EPV-19,</w:t>
      </w:r>
      <w:r>
        <w:rPr>
          <w:spacing w:val="-11"/>
        </w:rPr>
        <w:t> </w:t>
      </w:r>
      <w:r>
        <w:rPr/>
        <w:t>compared</w:t>
      </w:r>
      <w:r>
        <w:rPr>
          <w:spacing w:val="-12"/>
        </w:rPr>
        <w:t> </w:t>
      </w:r>
      <w:r>
        <w:rPr/>
        <w:t>to</w:t>
      </w:r>
      <w:r>
        <w:rPr>
          <w:spacing w:val="-12"/>
        </w:rPr>
        <w:t> </w:t>
      </w:r>
      <w:r>
        <w:rPr/>
        <w:t>the</w:t>
      </w:r>
      <w:r>
        <w:rPr>
          <w:spacing w:val="-12"/>
        </w:rPr>
        <w:t> </w:t>
      </w:r>
      <w:r>
        <w:rPr/>
        <w:t>sequential aggregation for EPV-77.</w:t>
      </w:r>
    </w:p>
    <w:p>
      <w:pPr>
        <w:pStyle w:val="BodyText"/>
        <w:spacing w:before="4"/>
        <w:rPr>
          <w:sz w:val="29"/>
        </w:rPr>
      </w:pPr>
    </w:p>
    <w:p>
      <w:pPr>
        <w:pStyle w:val="Heading4"/>
        <w:numPr>
          <w:ilvl w:val="3"/>
          <w:numId w:val="18"/>
        </w:numPr>
        <w:tabs>
          <w:tab w:pos="1506" w:val="left" w:leader="none"/>
          <w:tab w:pos="1508" w:val="left" w:leader="none"/>
        </w:tabs>
        <w:spacing w:line="240" w:lineRule="auto" w:before="0" w:after="0"/>
        <w:ind w:left="1507" w:right="0" w:hanging="898"/>
        <w:jc w:val="left"/>
      </w:pPr>
      <w:bookmarkStart w:name="_TOC_250039" w:id="124"/>
      <w:bookmarkStart w:name="3.2.4.1 Kullback-Leibler Divergence" w:id="125"/>
      <w:r>
        <w:rPr>
          <w:b w:val="0"/>
        </w:rPr>
      </w:r>
      <w:bookmarkStart w:name="_bookmark66" w:id="126"/>
      <w:bookmarkEnd w:id="126"/>
      <w:r>
        <w:rPr>
          <w:spacing w:val="-2"/>
        </w:rPr>
        <w:t>K</w:t>
      </w:r>
      <w:r>
        <w:rPr>
          <w:spacing w:val="-2"/>
        </w:rPr>
        <w:t>ullback-Leibler</w:t>
      </w:r>
      <w:r>
        <w:rPr>
          <w:spacing w:val="9"/>
        </w:rPr>
        <w:t> </w:t>
      </w:r>
      <w:bookmarkEnd w:id="124"/>
      <w:r>
        <w:rPr>
          <w:spacing w:val="-2"/>
        </w:rPr>
        <w:t>Divergence</w:t>
      </w:r>
    </w:p>
    <w:p>
      <w:pPr>
        <w:pStyle w:val="BodyText"/>
        <w:spacing w:line="312" w:lineRule="auto" w:before="244"/>
        <w:ind w:left="610" w:right="389"/>
        <w:jc w:val="both"/>
      </w:pPr>
      <w:r>
        <w:rPr/>
        <w:t>To empirically evaluate the most suitable zone sizes for use within rugby league, a cri- terion measure was required.</w:t>
      </w:r>
      <w:r>
        <w:rPr>
          <w:spacing w:val="40"/>
        </w:rPr>
        <w:t> </w:t>
      </w:r>
      <w:r>
        <w:rPr/>
        <w:t>In this study, this was defined from a team performance analysis perspective.</w:t>
      </w:r>
      <w:r>
        <w:rPr>
          <w:spacing w:val="40"/>
        </w:rPr>
        <w:t> </w:t>
      </w:r>
      <w:r>
        <w:rPr/>
        <w:t>In order for a model to be useful in practice, it must bear some semblance</w:t>
      </w:r>
      <w:r>
        <w:rPr>
          <w:spacing w:val="-14"/>
        </w:rPr>
        <w:t> </w:t>
      </w:r>
      <w:r>
        <w:rPr/>
        <w:t>to</w:t>
      </w:r>
      <w:r>
        <w:rPr>
          <w:spacing w:val="-13"/>
        </w:rPr>
        <w:t> </w:t>
      </w:r>
      <w:r>
        <w:rPr/>
        <w:t>future</w:t>
      </w:r>
      <w:r>
        <w:rPr>
          <w:spacing w:val="-14"/>
        </w:rPr>
        <w:t> </w:t>
      </w:r>
      <w:r>
        <w:rPr/>
        <w:t>performances. Therefore,</w:t>
      </w:r>
      <w:r>
        <w:rPr>
          <w:spacing w:val="-12"/>
        </w:rPr>
        <w:t> </w:t>
      </w:r>
      <w:r>
        <w:rPr/>
        <w:t>the</w:t>
      </w:r>
      <w:r>
        <w:rPr>
          <w:spacing w:val="-13"/>
        </w:rPr>
        <w:t> </w:t>
      </w:r>
      <w:r>
        <w:rPr/>
        <w:t>reproducibility</w:t>
      </w:r>
      <w:r>
        <w:rPr>
          <w:spacing w:val="-14"/>
        </w:rPr>
        <w:t> </w:t>
      </w:r>
      <w:r>
        <w:rPr/>
        <w:t>of</w:t>
      </w:r>
      <w:r>
        <w:rPr>
          <w:spacing w:val="-14"/>
        </w:rPr>
        <w:t> </w:t>
      </w:r>
      <w:r>
        <w:rPr/>
        <w:t>future</w:t>
      </w:r>
      <w:r>
        <w:rPr>
          <w:spacing w:val="-13"/>
        </w:rPr>
        <w:t> </w:t>
      </w:r>
      <w:r>
        <w:rPr/>
        <w:t>team</w:t>
      </w:r>
      <w:r>
        <w:rPr>
          <w:spacing w:val="-14"/>
        </w:rPr>
        <w:t> </w:t>
      </w:r>
      <w:r>
        <w:rPr/>
        <w:t>attacking performances</w:t>
      </w:r>
      <w:r>
        <w:rPr>
          <w:spacing w:val="-15"/>
        </w:rPr>
        <w:t> </w:t>
      </w:r>
      <w:r>
        <w:rPr/>
        <w:t>by</w:t>
      </w:r>
      <w:r>
        <w:rPr>
          <w:spacing w:val="-15"/>
        </w:rPr>
        <w:t> </w:t>
      </w:r>
      <w:r>
        <w:rPr/>
        <w:t>a</w:t>
      </w:r>
      <w:r>
        <w:rPr>
          <w:spacing w:val="-14"/>
        </w:rPr>
        <w:t> </w:t>
      </w:r>
      <w:r>
        <w:rPr/>
        <w:t>set</w:t>
      </w:r>
      <w:r>
        <w:rPr>
          <w:spacing w:val="-15"/>
        </w:rPr>
        <w:t> </w:t>
      </w:r>
      <w:r>
        <w:rPr/>
        <w:t>of</w:t>
      </w:r>
      <w:r>
        <w:rPr>
          <w:spacing w:val="-15"/>
        </w:rPr>
        <w:t> </w:t>
      </w:r>
      <w:r>
        <w:rPr/>
        <w:t>previous</w:t>
      </w:r>
      <w:r>
        <w:rPr>
          <w:spacing w:val="-15"/>
        </w:rPr>
        <w:t> </w:t>
      </w:r>
      <w:r>
        <w:rPr/>
        <w:t>matches</w:t>
      </w:r>
      <w:r>
        <w:rPr>
          <w:spacing w:val="-14"/>
        </w:rPr>
        <w:t> </w:t>
      </w:r>
      <w:r>
        <w:rPr/>
        <w:t>was</w:t>
      </w:r>
      <w:r>
        <w:rPr>
          <w:spacing w:val="-15"/>
        </w:rPr>
        <w:t> </w:t>
      </w:r>
      <w:r>
        <w:rPr/>
        <w:t>used</w:t>
      </w:r>
      <w:r>
        <w:rPr>
          <w:spacing w:val="-15"/>
        </w:rPr>
        <w:t> </w:t>
      </w:r>
      <w:r>
        <w:rPr/>
        <w:t>to</w:t>
      </w:r>
      <w:r>
        <w:rPr>
          <w:spacing w:val="-15"/>
        </w:rPr>
        <w:t> </w:t>
      </w:r>
      <w:r>
        <w:rPr/>
        <w:t>empirically</w:t>
      </w:r>
      <w:r>
        <w:rPr>
          <w:spacing w:val="-14"/>
        </w:rPr>
        <w:t> </w:t>
      </w:r>
      <w:r>
        <w:rPr/>
        <w:t>evaluate</w:t>
      </w:r>
      <w:r>
        <w:rPr>
          <w:spacing w:val="-14"/>
        </w:rPr>
        <w:t> </w:t>
      </w:r>
      <w:r>
        <w:rPr/>
        <w:t>the</w:t>
      </w:r>
      <w:r>
        <w:rPr>
          <w:spacing w:val="-15"/>
        </w:rPr>
        <w:t> </w:t>
      </w:r>
      <w:r>
        <w:rPr/>
        <w:t>suitability of</w:t>
      </w:r>
      <w:r>
        <w:rPr>
          <w:spacing w:val="-6"/>
        </w:rPr>
        <w:t> </w:t>
      </w:r>
      <w:r>
        <w:rPr/>
        <w:t>EPV</w:t>
      </w:r>
      <w:r>
        <w:rPr>
          <w:spacing w:val="-6"/>
        </w:rPr>
        <w:t> </w:t>
      </w:r>
      <w:r>
        <w:rPr/>
        <w:t>model</w:t>
      </w:r>
      <w:r>
        <w:rPr>
          <w:spacing w:val="-6"/>
        </w:rPr>
        <w:t> </w:t>
      </w:r>
      <w:r>
        <w:rPr/>
        <w:t>zone</w:t>
      </w:r>
      <w:r>
        <w:rPr>
          <w:spacing w:val="-6"/>
        </w:rPr>
        <w:t> </w:t>
      </w:r>
      <w:r>
        <w:rPr/>
        <w:t>sizes</w:t>
      </w:r>
      <w:r>
        <w:rPr>
          <w:spacing w:val="-6"/>
        </w:rPr>
        <w:t> </w:t>
      </w:r>
      <w:r>
        <w:rPr/>
        <w:t>in</w:t>
      </w:r>
      <w:r>
        <w:rPr>
          <w:spacing w:val="-6"/>
        </w:rPr>
        <w:t> </w:t>
      </w:r>
      <w:r>
        <w:rPr/>
        <w:t>rugby</w:t>
      </w:r>
      <w:r>
        <w:rPr>
          <w:spacing w:val="-6"/>
        </w:rPr>
        <w:t> </w:t>
      </w:r>
      <w:r>
        <w:rPr/>
        <w:t>league. The</w:t>
      </w:r>
      <w:r>
        <w:rPr>
          <w:spacing w:val="-6"/>
        </w:rPr>
        <w:t> </w:t>
      </w:r>
      <w:r>
        <w:rPr/>
        <w:t>Kullback-Leibler</w:t>
      </w:r>
      <w:r>
        <w:rPr>
          <w:spacing w:val="-6"/>
        </w:rPr>
        <w:t> </w:t>
      </w:r>
      <w:r>
        <w:rPr/>
        <w:t>(KL)</w:t>
      </w:r>
      <w:r>
        <w:rPr>
          <w:spacing w:val="-6"/>
        </w:rPr>
        <w:t> </w:t>
      </w:r>
      <w:r>
        <w:rPr/>
        <w:t>Divergence</w:t>
      </w:r>
      <w:r>
        <w:rPr>
          <w:spacing w:val="-6"/>
        </w:rPr>
        <w:t> </w:t>
      </w:r>
      <w:r>
        <w:rPr/>
        <w:t>(</w:t>
      </w:r>
      <w:hyperlink w:history="true" w:anchor="_bookmark265">
        <w:r>
          <w:rPr>
            <w:color w:val="FF0000"/>
          </w:rPr>
          <w:t>Kull-</w:t>
        </w:r>
      </w:hyperlink>
      <w:r>
        <w:rPr>
          <w:color w:val="FF0000"/>
        </w:rPr>
        <w:t> </w:t>
      </w:r>
      <w:hyperlink w:history="true" w:anchor="_bookmark265">
        <w:r>
          <w:rPr>
            <w:color w:val="FF0000"/>
          </w:rPr>
          <w:t>back and Leibler</w:t>
        </w:r>
      </w:hyperlink>
      <w:r>
        <w:rPr/>
        <w:t>,</w:t>
      </w:r>
      <w:hyperlink w:history="true" w:anchor="_bookmark265">
        <w:r>
          <w:rPr>
            <w:color w:val="FF0000"/>
          </w:rPr>
          <w:t>1951</w:t>
        </w:r>
        <w:r>
          <w:rPr/>
          <w:t>)</w:t>
        </w:r>
      </w:hyperlink>
      <w:r>
        <w:rPr/>
        <w:t> was used to evaluate this reproducibility.</w:t>
      </w:r>
      <w:r>
        <w:rPr>
          <w:spacing w:val="40"/>
        </w:rPr>
        <w:t> </w:t>
      </w:r>
      <w:r>
        <w:rPr/>
        <w:t>The KL Divergence</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5" w:after="1"/>
        <w:rPr>
          <w:sz w:val="16"/>
        </w:rPr>
      </w:pPr>
    </w:p>
    <w:p>
      <w:pPr>
        <w:pStyle w:val="BodyText"/>
        <w:ind w:left="662"/>
        <w:rPr>
          <w:sz w:val="20"/>
        </w:rPr>
      </w:pPr>
      <w:r>
        <w:rPr>
          <w:sz w:val="20"/>
        </w:rPr>
        <w:drawing>
          <wp:inline distT="0" distB="0" distL="0" distR="0">
            <wp:extent cx="5349811" cy="4515135"/>
            <wp:effectExtent l="0" t="0" r="0" b="0"/>
            <wp:docPr id="43" name="image22.png"/>
            <wp:cNvGraphicFramePr>
              <a:graphicFrameLocks noChangeAspect="1"/>
            </wp:cNvGraphicFramePr>
            <a:graphic>
              <a:graphicData uri="http://schemas.openxmlformats.org/drawingml/2006/picture">
                <pic:pic>
                  <pic:nvPicPr>
                    <pic:cNvPr id="44" name="image22.png"/>
                    <pic:cNvPicPr/>
                  </pic:nvPicPr>
                  <pic:blipFill>
                    <a:blip r:embed="rId65" cstate="print"/>
                    <a:stretch>
                      <a:fillRect/>
                    </a:stretch>
                  </pic:blipFill>
                  <pic:spPr>
                    <a:xfrm>
                      <a:off x="0" y="0"/>
                      <a:ext cx="5349811" cy="4515135"/>
                    </a:xfrm>
                    <a:prstGeom prst="rect">
                      <a:avLst/>
                    </a:prstGeom>
                  </pic:spPr>
                </pic:pic>
              </a:graphicData>
            </a:graphic>
          </wp:inline>
        </w:drawing>
      </w:r>
      <w:r>
        <w:rPr>
          <w:sz w:val="20"/>
        </w:rPr>
      </w:r>
    </w:p>
    <w:p>
      <w:pPr>
        <w:pStyle w:val="BodyText"/>
        <w:spacing w:before="7"/>
        <w:rPr>
          <w:sz w:val="11"/>
        </w:rPr>
      </w:pPr>
    </w:p>
    <w:p>
      <w:pPr>
        <w:pStyle w:val="BodyText"/>
        <w:spacing w:line="252" w:lineRule="auto" w:before="105"/>
        <w:ind w:left="610" w:right="389"/>
        <w:jc w:val="both"/>
      </w:pPr>
      <w:bookmarkStart w:name="_bookmark67" w:id="127"/>
      <w:bookmarkEnd w:id="127"/>
      <w:r>
        <w:rPr/>
      </w:r>
      <w:r>
        <w:rPr>
          <w:b/>
        </w:rPr>
        <w:t>Figure</w:t>
      </w:r>
      <w:r>
        <w:rPr>
          <w:b/>
          <w:spacing w:val="-7"/>
        </w:rPr>
        <w:t> </w:t>
      </w:r>
      <w:r>
        <w:rPr>
          <w:b/>
        </w:rPr>
        <w:t>3.5: </w:t>
      </w:r>
      <w:r>
        <w:rPr/>
        <w:t>Depiction</w:t>
      </w:r>
      <w:r>
        <w:rPr>
          <w:spacing w:val="-7"/>
        </w:rPr>
        <w:t> </w:t>
      </w:r>
      <w:r>
        <w:rPr/>
        <w:t>of</w:t>
      </w:r>
      <w:r>
        <w:rPr>
          <w:spacing w:val="-7"/>
        </w:rPr>
        <w:t> </w:t>
      </w:r>
      <w:r>
        <w:rPr/>
        <w:t>similarities</w:t>
      </w:r>
      <w:r>
        <w:rPr>
          <w:spacing w:val="-7"/>
        </w:rPr>
        <w:t> </w:t>
      </w:r>
      <w:r>
        <w:rPr/>
        <w:t>and</w:t>
      </w:r>
      <w:r>
        <w:rPr>
          <w:spacing w:val="-7"/>
        </w:rPr>
        <w:t> </w:t>
      </w:r>
      <w:r>
        <w:rPr/>
        <w:t>differences</w:t>
      </w:r>
      <w:r>
        <w:rPr>
          <w:spacing w:val="-7"/>
        </w:rPr>
        <w:t> </w:t>
      </w:r>
      <w:r>
        <w:rPr/>
        <w:t>between</w:t>
      </w:r>
      <w:r>
        <w:rPr>
          <w:spacing w:val="-7"/>
        </w:rPr>
        <w:t> </w:t>
      </w:r>
      <w:r>
        <w:rPr/>
        <w:t>EPV-308</w:t>
      </w:r>
      <w:r>
        <w:rPr>
          <w:spacing w:val="-7"/>
        </w:rPr>
        <w:t> </w:t>
      </w:r>
      <w:r>
        <w:rPr/>
        <w:t>(A),</w:t>
      </w:r>
      <w:r>
        <w:rPr>
          <w:spacing w:val="-7"/>
        </w:rPr>
        <w:t> </w:t>
      </w:r>
      <w:r>
        <w:rPr/>
        <w:t>EPV-77</w:t>
      </w:r>
      <w:r>
        <w:rPr>
          <w:spacing w:val="-7"/>
        </w:rPr>
        <w:t> </w:t>
      </w:r>
      <w:r>
        <w:rPr/>
        <w:t>(B) and</w:t>
      </w:r>
      <w:r>
        <w:rPr>
          <w:spacing w:val="-10"/>
        </w:rPr>
        <w:t> </w:t>
      </w:r>
      <w:r>
        <w:rPr/>
        <w:t>EPV-19</w:t>
      </w:r>
      <w:r>
        <w:rPr>
          <w:spacing w:val="-10"/>
        </w:rPr>
        <w:t> </w:t>
      </w:r>
      <w:r>
        <w:rPr/>
        <w:t>(C)</w:t>
      </w:r>
      <w:r>
        <w:rPr>
          <w:spacing w:val="-10"/>
        </w:rPr>
        <w:t> </w:t>
      </w:r>
      <w:r>
        <w:rPr/>
        <w:t>in</w:t>
      </w:r>
      <w:r>
        <w:rPr>
          <w:spacing w:val="-10"/>
        </w:rPr>
        <w:t> </w:t>
      </w:r>
      <w:r>
        <w:rPr/>
        <w:t>the</w:t>
      </w:r>
      <w:r>
        <w:rPr>
          <w:spacing w:val="-10"/>
        </w:rPr>
        <w:t> </w:t>
      </w:r>
      <w:r>
        <w:rPr/>
        <w:t>30m</w:t>
      </w:r>
      <w:r>
        <w:rPr>
          <w:spacing w:val="-10"/>
        </w:rPr>
        <w:t> </w:t>
      </w:r>
      <w:r>
        <w:rPr/>
        <w:t>closest</w:t>
      </w:r>
      <w:r>
        <w:rPr>
          <w:spacing w:val="-10"/>
        </w:rPr>
        <w:t> </w:t>
      </w:r>
      <w:r>
        <w:rPr/>
        <w:t>to</w:t>
      </w:r>
      <w:r>
        <w:rPr>
          <w:spacing w:val="-10"/>
        </w:rPr>
        <w:t> </w:t>
      </w:r>
      <w:r>
        <w:rPr/>
        <w:t>the</w:t>
      </w:r>
      <w:r>
        <w:rPr>
          <w:spacing w:val="-10"/>
        </w:rPr>
        <w:t> </w:t>
      </w:r>
      <w:r>
        <w:rPr/>
        <w:t>opposition</w:t>
      </w:r>
      <w:r>
        <w:rPr>
          <w:spacing w:val="-10"/>
        </w:rPr>
        <w:t> </w:t>
      </w:r>
      <w:r>
        <w:rPr/>
        <w:t>try</w:t>
      </w:r>
      <w:r>
        <w:rPr>
          <w:spacing w:val="-10"/>
        </w:rPr>
        <w:t> </w:t>
      </w:r>
      <w:r>
        <w:rPr/>
        <w:t>line. Each</w:t>
      </w:r>
      <w:r>
        <w:rPr>
          <w:spacing w:val="-10"/>
        </w:rPr>
        <w:t> </w:t>
      </w:r>
      <w:r>
        <w:rPr/>
        <w:t>zone</w:t>
      </w:r>
      <w:r>
        <w:rPr>
          <w:spacing w:val="-10"/>
        </w:rPr>
        <w:t> </w:t>
      </w:r>
      <w:r>
        <w:rPr/>
        <w:t>from</w:t>
      </w:r>
      <w:r>
        <w:rPr>
          <w:spacing w:val="-10"/>
        </w:rPr>
        <w:t> </w:t>
      </w:r>
      <w:r>
        <w:rPr/>
        <w:t>the</w:t>
      </w:r>
      <w:r>
        <w:rPr>
          <w:spacing w:val="-10"/>
        </w:rPr>
        <w:t> </w:t>
      </w:r>
      <w:r>
        <w:rPr/>
        <w:t>EPV-77 and EPV-19 is a weighted average of the EPV-308 zones they are composed of.</w:t>
      </w:r>
      <w:r>
        <w:rPr>
          <w:spacing w:val="39"/>
        </w:rPr>
        <w:t> </w:t>
      </w:r>
      <w:r>
        <w:rPr/>
        <w:t>Dotted line represents the opposition 20m line.</w:t>
      </w:r>
    </w:p>
    <w:p>
      <w:pPr>
        <w:pStyle w:val="BodyText"/>
        <w:rPr>
          <w:sz w:val="28"/>
        </w:rPr>
      </w:pPr>
    </w:p>
    <w:p>
      <w:pPr>
        <w:pStyle w:val="BodyText"/>
        <w:spacing w:before="1"/>
        <w:rPr>
          <w:sz w:val="32"/>
        </w:rPr>
      </w:pPr>
    </w:p>
    <w:p>
      <w:pPr>
        <w:pStyle w:val="BodyText"/>
        <w:spacing w:line="312" w:lineRule="auto"/>
        <w:ind w:left="610" w:right="389"/>
        <w:jc w:val="both"/>
      </w:pPr>
      <w:r>
        <w:rPr/>
        <w:t>was used to assess the number of matches required before a team’s future attacking </w:t>
      </w:r>
      <w:r>
        <w:rPr/>
        <w:t>per- formances (i.e. their next fixture’s performances) were reproduced by previous fixtures.</w:t>
      </w:r>
    </w:p>
    <w:p>
      <w:pPr>
        <w:pStyle w:val="BodyText"/>
        <w:spacing w:line="304" w:lineRule="auto" w:before="195"/>
        <w:ind w:left="610" w:right="389"/>
        <w:jc w:val="both"/>
      </w:pPr>
      <w:r>
        <w:rPr>
          <w:b/>
        </w:rPr>
        <w:t>Definition</w:t>
      </w:r>
      <w:r>
        <w:rPr>
          <w:b/>
          <w:spacing w:val="-2"/>
        </w:rPr>
        <w:t> </w:t>
      </w:r>
      <w:r>
        <w:rPr>
          <w:b/>
        </w:rPr>
        <w:t>3.2.3.</w:t>
      </w:r>
      <w:r>
        <w:rPr>
          <w:b/>
          <w:spacing w:val="38"/>
        </w:rPr>
        <w:t> </w:t>
      </w:r>
      <w:r>
        <w:rPr/>
        <w:t>The</w:t>
      </w:r>
      <w:r>
        <w:rPr>
          <w:spacing w:val="-2"/>
        </w:rPr>
        <w:t> </w:t>
      </w:r>
      <w:r>
        <w:rPr/>
        <w:t>KL</w:t>
      </w:r>
      <w:r>
        <w:rPr>
          <w:spacing w:val="-2"/>
        </w:rPr>
        <w:t> </w:t>
      </w:r>
      <w:r>
        <w:rPr/>
        <w:t>Divergence</w:t>
      </w:r>
      <w:r>
        <w:rPr>
          <w:spacing w:val="-2"/>
        </w:rPr>
        <w:t> </w:t>
      </w:r>
      <w:r>
        <w:rPr>
          <w:rFonts w:ascii="Cambria"/>
        </w:rPr>
        <w:t>D</w:t>
      </w:r>
      <w:r>
        <w:rPr>
          <w:rFonts w:ascii="Cambria"/>
          <w:vertAlign w:val="subscript"/>
        </w:rPr>
        <w:t>KL</w:t>
      </w:r>
      <w:r>
        <w:rPr>
          <w:rFonts w:ascii="Cambria"/>
          <w:vertAlign w:val="baseline"/>
        </w:rPr>
        <w:t> </w:t>
      </w:r>
      <w:r>
        <w:rPr>
          <w:vertAlign w:val="baseline"/>
        </w:rPr>
        <w:t>calculates</w:t>
      </w:r>
      <w:r>
        <w:rPr>
          <w:spacing w:val="-2"/>
          <w:vertAlign w:val="baseline"/>
        </w:rPr>
        <w:t> </w:t>
      </w:r>
      <w:r>
        <w:rPr>
          <w:vertAlign w:val="baseline"/>
        </w:rPr>
        <w:t>the</w:t>
      </w:r>
      <w:r>
        <w:rPr>
          <w:spacing w:val="-2"/>
          <w:vertAlign w:val="baseline"/>
        </w:rPr>
        <w:t> </w:t>
      </w:r>
      <w:r>
        <w:rPr>
          <w:vertAlign w:val="baseline"/>
        </w:rPr>
        <w:t>similarity</w:t>
      </w:r>
      <w:r>
        <w:rPr>
          <w:spacing w:val="-2"/>
          <w:vertAlign w:val="baseline"/>
        </w:rPr>
        <w:t> </w:t>
      </w:r>
      <w:r>
        <w:rPr>
          <w:vertAlign w:val="baseline"/>
        </w:rPr>
        <w:t>between</w:t>
      </w:r>
      <w:r>
        <w:rPr>
          <w:spacing w:val="-2"/>
          <w:vertAlign w:val="baseline"/>
        </w:rPr>
        <w:t> </w:t>
      </w:r>
      <w:r>
        <w:rPr>
          <w:vertAlign w:val="baseline"/>
        </w:rPr>
        <w:t>a</w:t>
      </w:r>
      <w:r>
        <w:rPr>
          <w:spacing w:val="-2"/>
          <w:vertAlign w:val="baseline"/>
        </w:rPr>
        <w:t> </w:t>
      </w:r>
      <w:r>
        <w:rPr>
          <w:vertAlign w:val="baseline"/>
        </w:rPr>
        <w:t>true</w:t>
      </w:r>
      <w:r>
        <w:rPr>
          <w:spacing w:val="-2"/>
          <w:vertAlign w:val="baseline"/>
        </w:rPr>
        <w:t> </w:t>
      </w:r>
      <w:r>
        <w:rPr>
          <w:vertAlign w:val="baseline"/>
        </w:rPr>
        <w:t>distri- </w:t>
      </w:r>
      <w:r>
        <w:rPr>
          <w:w w:val="105"/>
          <w:vertAlign w:val="baseline"/>
        </w:rPr>
        <w:t>bution</w:t>
      </w:r>
      <w:r>
        <w:rPr>
          <w:spacing w:val="-8"/>
          <w:w w:val="105"/>
          <w:vertAlign w:val="baseline"/>
        </w:rPr>
        <w:t> </w:t>
      </w:r>
      <w:r>
        <w:rPr>
          <w:rFonts w:ascii="Cambria"/>
          <w:w w:val="105"/>
          <w:vertAlign w:val="baseline"/>
        </w:rPr>
        <w:t>P</w:t>
      </w:r>
      <w:r>
        <w:rPr>
          <w:rFonts w:ascii="Cambria"/>
          <w:spacing w:val="30"/>
          <w:w w:val="105"/>
          <w:vertAlign w:val="baseline"/>
        </w:rPr>
        <w:t> </w:t>
      </w:r>
      <w:r>
        <w:rPr>
          <w:w w:val="105"/>
          <w:vertAlign w:val="baseline"/>
        </w:rPr>
        <w:t>and</w:t>
      </w:r>
      <w:r>
        <w:rPr>
          <w:spacing w:val="-8"/>
          <w:w w:val="105"/>
          <w:vertAlign w:val="baseline"/>
        </w:rPr>
        <w:t> </w:t>
      </w:r>
      <w:r>
        <w:rPr>
          <w:w w:val="105"/>
          <w:vertAlign w:val="baseline"/>
        </w:rPr>
        <w:t>an</w:t>
      </w:r>
      <w:r>
        <w:rPr>
          <w:spacing w:val="-8"/>
          <w:w w:val="105"/>
          <w:vertAlign w:val="baseline"/>
        </w:rPr>
        <w:t> </w:t>
      </w:r>
      <w:r>
        <w:rPr>
          <w:w w:val="105"/>
          <w:vertAlign w:val="baseline"/>
        </w:rPr>
        <w:t>approximating</w:t>
      </w:r>
      <w:r>
        <w:rPr>
          <w:spacing w:val="-8"/>
          <w:w w:val="105"/>
          <w:vertAlign w:val="baseline"/>
        </w:rPr>
        <w:t> </w:t>
      </w:r>
      <w:r>
        <w:rPr>
          <w:w w:val="105"/>
          <w:vertAlign w:val="baseline"/>
        </w:rPr>
        <w:t>distribution</w:t>
      </w:r>
      <w:r>
        <w:rPr>
          <w:spacing w:val="-8"/>
          <w:w w:val="105"/>
          <w:vertAlign w:val="baseline"/>
        </w:rPr>
        <w:t> </w:t>
      </w:r>
      <w:r>
        <w:rPr>
          <w:rFonts w:ascii="Cambria"/>
          <w:w w:val="105"/>
          <w:vertAlign w:val="baseline"/>
        </w:rPr>
        <w:t>Q</w:t>
      </w:r>
      <w:r>
        <w:rPr>
          <w:w w:val="105"/>
          <w:vertAlign w:val="baseline"/>
        </w:rPr>
        <w:t>:</w:t>
      </w:r>
    </w:p>
    <w:p>
      <w:pPr>
        <w:pStyle w:val="BodyText"/>
        <w:spacing w:before="8"/>
        <w:rPr>
          <w:sz w:val="12"/>
        </w:rPr>
      </w:pPr>
    </w:p>
    <w:p>
      <w:pPr>
        <w:spacing w:after="0"/>
        <w:rPr>
          <w:sz w:val="12"/>
        </w:rPr>
        <w:sectPr>
          <w:pgSz w:w="11910" w:h="16840"/>
          <w:pgMar w:header="1961" w:footer="1428" w:top="2280" w:bottom="1620" w:left="1680" w:right="720"/>
        </w:sectPr>
      </w:pPr>
    </w:p>
    <w:p>
      <w:pPr>
        <w:spacing w:before="209"/>
        <w:ind w:left="0" w:right="0" w:firstLine="0"/>
        <w:jc w:val="right"/>
        <w:rPr>
          <w:rFonts w:ascii="Cambria"/>
          <w:sz w:val="16"/>
        </w:rPr>
      </w:pPr>
      <w:r>
        <w:rPr>
          <w:rFonts w:ascii="Cambria"/>
          <w:spacing w:val="-5"/>
          <w:w w:val="130"/>
          <w:position w:val="4"/>
          <w:sz w:val="24"/>
        </w:rPr>
        <w:t>D</w:t>
      </w:r>
      <w:r>
        <w:rPr>
          <w:rFonts w:ascii="Cambria"/>
          <w:spacing w:val="-5"/>
          <w:w w:val="130"/>
          <w:sz w:val="16"/>
        </w:rPr>
        <w:t>KL</w:t>
      </w:r>
    </w:p>
    <w:p>
      <w:pPr>
        <w:pStyle w:val="BodyText"/>
        <w:tabs>
          <w:tab w:pos="1353" w:val="left" w:leader="none"/>
          <w:tab w:pos="2412" w:val="left" w:leader="none"/>
          <w:tab w:pos="3129" w:val="left" w:leader="none"/>
          <w:tab w:pos="5139" w:val="left" w:leader="none"/>
        </w:tabs>
        <w:spacing w:line="409" w:lineRule="exact" w:before="53"/>
        <w:ind w:left="-30"/>
      </w:pPr>
      <w:r>
        <w:rPr/>
        <w:br w:type="column"/>
      </w:r>
      <w:r>
        <w:rPr>
          <w:rFonts w:ascii="Garamond"/>
          <w:w w:val="105"/>
        </w:rPr>
        <w:t>(</w:t>
      </w:r>
      <w:r>
        <w:rPr>
          <w:rFonts w:ascii="Cambria"/>
          <w:w w:val="105"/>
        </w:rPr>
        <w:t>P</w:t>
      </w:r>
      <w:r>
        <w:rPr>
          <w:rFonts w:ascii="Cambria"/>
          <w:spacing w:val="-23"/>
          <w:w w:val="105"/>
        </w:rPr>
        <w:t> </w:t>
      </w:r>
      <w:r>
        <w:rPr>
          <w:rFonts w:ascii="Lucida Sans Unicode"/>
          <w:w w:val="105"/>
        </w:rPr>
        <w:t>||</w:t>
      </w:r>
      <w:r>
        <w:rPr>
          <w:rFonts w:ascii="Cambria"/>
          <w:w w:val="105"/>
        </w:rPr>
        <w:t>Q</w:t>
      </w:r>
      <w:r>
        <w:rPr>
          <w:rFonts w:ascii="Garamond"/>
          <w:w w:val="105"/>
        </w:rPr>
        <w:t>)</w:t>
      </w:r>
      <w:r>
        <w:rPr>
          <w:rFonts w:ascii="Garamond"/>
          <w:spacing w:val="5"/>
          <w:w w:val="105"/>
        </w:rPr>
        <w:t> </w:t>
      </w:r>
      <w:r>
        <w:rPr>
          <w:rFonts w:ascii="Garamond"/>
          <w:spacing w:val="-10"/>
          <w:w w:val="105"/>
        </w:rPr>
        <w:t>=</w:t>
      </w:r>
      <w:r>
        <w:rPr>
          <w:rFonts w:ascii="Garamond"/>
        </w:rPr>
        <w:tab/>
      </w:r>
      <w:r>
        <w:rPr>
          <w:rFonts w:ascii="Cambria"/>
          <w:w w:val="110"/>
        </w:rPr>
        <w:t>P</w:t>
      </w:r>
      <w:r>
        <w:rPr>
          <w:rFonts w:ascii="Garamond"/>
          <w:w w:val="110"/>
        </w:rPr>
        <w:t>(</w:t>
      </w:r>
      <w:r>
        <w:rPr>
          <w:rFonts w:ascii="Cambria"/>
          <w:w w:val="110"/>
        </w:rPr>
        <w:t>s</w:t>
      </w:r>
      <w:r>
        <w:rPr>
          <w:rFonts w:ascii="Garamond"/>
          <w:w w:val="110"/>
        </w:rPr>
        <w:t>)</w:t>
      </w:r>
      <w:r>
        <w:rPr>
          <w:rFonts w:ascii="Garamond"/>
          <w:spacing w:val="28"/>
          <w:w w:val="110"/>
        </w:rPr>
        <w:t> </w:t>
      </w:r>
      <w:r>
        <w:rPr>
          <w:rFonts w:ascii="Garamond"/>
          <w:spacing w:val="-5"/>
          <w:w w:val="110"/>
        </w:rPr>
        <w:t>log</w:t>
      </w:r>
      <w:r>
        <w:rPr>
          <w:rFonts w:ascii="Garamond"/>
        </w:rPr>
        <w:tab/>
      </w:r>
      <w:r>
        <w:rPr>
          <w:rFonts w:ascii="Cambria"/>
          <w:spacing w:val="-4"/>
          <w:w w:val="105"/>
          <w:position w:val="16"/>
        </w:rPr>
        <w:t>P</w:t>
      </w:r>
      <w:r>
        <w:rPr>
          <w:rFonts w:ascii="Garamond"/>
          <w:spacing w:val="-4"/>
          <w:w w:val="105"/>
          <w:position w:val="16"/>
        </w:rPr>
        <w:t>(</w:t>
      </w:r>
      <w:r>
        <w:rPr>
          <w:rFonts w:ascii="Cambria"/>
          <w:spacing w:val="-4"/>
          <w:w w:val="105"/>
          <w:position w:val="16"/>
        </w:rPr>
        <w:t>s</w:t>
      </w:r>
      <w:r>
        <w:rPr>
          <w:rFonts w:ascii="Garamond"/>
          <w:spacing w:val="-4"/>
          <w:w w:val="105"/>
          <w:position w:val="16"/>
        </w:rPr>
        <w:t>)</w:t>
      </w:r>
      <w:r>
        <w:rPr>
          <w:rFonts w:ascii="Garamond"/>
          <w:position w:val="16"/>
        </w:rPr>
        <w:tab/>
      </w:r>
      <w:r>
        <w:rPr>
          <w:rFonts w:ascii="Cambria"/>
          <w:spacing w:val="-10"/>
          <w:w w:val="110"/>
        </w:rPr>
        <w:t>,</w:t>
      </w:r>
      <w:r>
        <w:rPr>
          <w:rFonts w:ascii="Cambria"/>
        </w:rPr>
        <w:tab/>
      </w:r>
      <w:r>
        <w:rPr>
          <w:spacing w:val="-2"/>
          <w:w w:val="105"/>
        </w:rPr>
        <w:t>(3.4)</w:t>
      </w:r>
    </w:p>
    <w:p>
      <w:pPr>
        <w:pStyle w:val="BodyText"/>
        <w:spacing w:line="145" w:lineRule="exact"/>
        <w:ind w:left="2402" w:right="3087"/>
        <w:jc w:val="center"/>
        <w:rPr>
          <w:rFonts w:ascii="Garamond"/>
        </w:rPr>
      </w:pPr>
      <w:r>
        <w:rPr/>
        <w:pict>
          <v:line style="position:absolute;mso-position-horizontal-relative:page;mso-position-vertical-relative:paragraph;z-index:-21790208" from="380.437012pt,-4.026978pt" to="404.327012pt,-4.026978pt" stroked="true" strokeweight=".478pt" strokecolor="#000000">
            <v:stroke dashstyle="solid"/>
            <w10:wrap type="none"/>
          </v:line>
        </w:pict>
      </w:r>
      <w:r>
        <w:rPr/>
        <w:pict>
          <v:shape style="position:absolute;margin-left:308.285004pt;margin-top:-26.861378pt;width:106.05pt;height:49.9pt;mso-position-horizontal-relative:page;mso-position-vertical-relative:paragraph;z-index:-21789696" type="#_x0000_t202" id="docshape66" filled="false" stroked="false">
            <v:textbox inset="0,0,0,0">
              <w:txbxContent>
                <w:p>
                  <w:pPr>
                    <w:pStyle w:val="BodyText"/>
                    <w:tabs>
                      <w:tab w:pos="1243" w:val="left" w:leader="none"/>
                      <w:tab w:pos="1944" w:val="left" w:leader="none"/>
                    </w:tabs>
                    <w:spacing w:before="64"/>
                    <w:rPr>
                      <w:rFonts w:ascii="Arial"/>
                    </w:rPr>
                  </w:pPr>
                  <w:r>
                    <w:rPr>
                      <w:rFonts w:ascii="Arial"/>
                      <w:spacing w:val="-10"/>
                      <w:w w:val="260"/>
                      <w:position w:val="-10"/>
                    </w:rPr>
                    <w:t>L</w:t>
                  </w:r>
                  <w:r>
                    <w:rPr>
                      <w:rFonts w:ascii="Arial"/>
                      <w:position w:val="-10"/>
                    </w:rPr>
                    <w:tab/>
                  </w:r>
                  <w:r>
                    <w:rPr>
                      <w:rFonts w:ascii="Arial"/>
                    </w:rPr>
                    <w:tab/>
                    <w:t> </w:t>
                  </w:r>
                </w:p>
              </w:txbxContent>
            </v:textbox>
            <w10:wrap type="none"/>
          </v:shape>
        </w:pict>
      </w:r>
      <w:r>
        <w:rPr>
          <w:rFonts w:ascii="Cambria"/>
          <w:spacing w:val="-4"/>
          <w:w w:val="120"/>
        </w:rPr>
        <w:t>Q</w:t>
      </w:r>
      <w:r>
        <w:rPr>
          <w:rFonts w:ascii="Garamond"/>
          <w:spacing w:val="-4"/>
          <w:w w:val="120"/>
        </w:rPr>
        <w:t>(</w:t>
      </w:r>
      <w:r>
        <w:rPr>
          <w:rFonts w:ascii="Cambria"/>
          <w:spacing w:val="-4"/>
          <w:w w:val="120"/>
        </w:rPr>
        <w:t>s</w:t>
      </w:r>
      <w:r>
        <w:rPr>
          <w:rFonts w:ascii="Garamond"/>
          <w:spacing w:val="-4"/>
          <w:w w:val="120"/>
        </w:rPr>
        <w:t>)</w:t>
      </w:r>
    </w:p>
    <w:p>
      <w:pPr>
        <w:spacing w:line="185" w:lineRule="exact" w:before="0"/>
        <w:ind w:left="989" w:right="0" w:firstLine="0"/>
        <w:jc w:val="left"/>
        <w:rPr>
          <w:rFonts w:ascii="Cambria" w:hAnsi="Cambria"/>
          <w:sz w:val="16"/>
        </w:rPr>
      </w:pPr>
      <w:r>
        <w:rPr>
          <w:rFonts w:ascii="Cambria" w:hAnsi="Cambria"/>
          <w:spacing w:val="-5"/>
          <w:w w:val="110"/>
          <w:sz w:val="16"/>
        </w:rPr>
        <w:t>s</w:t>
      </w:r>
      <w:r>
        <w:rPr>
          <w:rFonts w:ascii="Lucida Sans Unicode" w:hAnsi="Lucida Sans Unicode"/>
          <w:spacing w:val="-5"/>
          <w:w w:val="110"/>
          <w:sz w:val="16"/>
        </w:rPr>
        <w:t>∈</w:t>
      </w:r>
      <w:r>
        <w:rPr>
          <w:rFonts w:ascii="Cambria" w:hAnsi="Cambria"/>
          <w:spacing w:val="-5"/>
          <w:w w:val="110"/>
          <w:sz w:val="16"/>
        </w:rPr>
        <w:t>S</w:t>
      </w:r>
    </w:p>
    <w:p>
      <w:pPr>
        <w:spacing w:after="0" w:line="185" w:lineRule="exact"/>
        <w:jc w:val="left"/>
        <w:rPr>
          <w:rFonts w:ascii="Cambria" w:hAnsi="Cambria"/>
          <w:sz w:val="16"/>
        </w:rPr>
        <w:sectPr>
          <w:type w:val="continuous"/>
          <w:pgSz w:w="11910" w:h="16840"/>
          <w:pgMar w:header="1961" w:footer="1428" w:top="1920" w:bottom="280" w:left="1680" w:right="720"/>
          <w:cols w:num="2" w:equalWidth="0">
            <w:col w:w="3477" w:space="40"/>
            <w:col w:w="5993"/>
          </w:cols>
        </w:sectPr>
      </w:pPr>
    </w:p>
    <w:p>
      <w:pPr>
        <w:pStyle w:val="BodyText"/>
        <w:rPr>
          <w:rFonts w:ascii="Cambria"/>
          <w:sz w:val="20"/>
        </w:rPr>
      </w:pPr>
    </w:p>
    <w:p>
      <w:pPr>
        <w:pStyle w:val="BodyText"/>
        <w:spacing w:before="6"/>
        <w:rPr>
          <w:rFonts w:ascii="Cambria"/>
          <w:sz w:val="20"/>
        </w:rPr>
      </w:pPr>
    </w:p>
    <w:p>
      <w:pPr>
        <w:pStyle w:val="BodyText"/>
        <w:spacing w:line="309" w:lineRule="auto" w:before="93"/>
        <w:ind w:left="610" w:right="389"/>
      </w:pPr>
      <w:r>
        <w:rPr/>
        <w:t>where </w:t>
      </w:r>
      <w:r>
        <w:rPr>
          <w:rFonts w:ascii="Cambria"/>
        </w:rPr>
        <w:t>s </w:t>
      </w:r>
      <w:r>
        <w:rPr/>
        <w:t>refers to the finite elements of the distribution, in this case the zones within the EPV models</w:t>
      </w:r>
    </w:p>
    <w:p>
      <w:pPr>
        <w:pStyle w:val="BodyText"/>
        <w:spacing w:line="312" w:lineRule="auto" w:before="201"/>
        <w:ind w:left="610" w:right="389" w:firstLine="351"/>
        <w:jc w:val="both"/>
      </w:pPr>
      <w:r>
        <w:rPr/>
        <w:t>The KL Divergence is a measure used in information theory and provides an under- </w:t>
      </w:r>
      <w:r>
        <w:rPr>
          <w:spacing w:val="-2"/>
        </w:rPr>
        <w:t>standing</w:t>
      </w:r>
      <w:r>
        <w:rPr>
          <w:spacing w:val="-8"/>
        </w:rPr>
        <w:t> </w:t>
      </w:r>
      <w:r>
        <w:rPr>
          <w:spacing w:val="-2"/>
        </w:rPr>
        <w:t>of</w:t>
      </w:r>
      <w:r>
        <w:rPr>
          <w:spacing w:val="-8"/>
        </w:rPr>
        <w:t> </w:t>
      </w:r>
      <w:r>
        <w:rPr>
          <w:spacing w:val="-2"/>
        </w:rPr>
        <w:t>the</w:t>
      </w:r>
      <w:r>
        <w:rPr>
          <w:spacing w:val="-8"/>
        </w:rPr>
        <w:t> </w:t>
      </w:r>
      <w:r>
        <w:rPr>
          <w:spacing w:val="-2"/>
        </w:rPr>
        <w:t>similarity</w:t>
      </w:r>
      <w:r>
        <w:rPr>
          <w:spacing w:val="-8"/>
        </w:rPr>
        <w:t> </w:t>
      </w:r>
      <w:r>
        <w:rPr>
          <w:spacing w:val="-2"/>
        </w:rPr>
        <w:t>between</w:t>
      </w:r>
      <w:r>
        <w:rPr>
          <w:spacing w:val="-8"/>
        </w:rPr>
        <w:t> </w:t>
      </w:r>
      <w:r>
        <w:rPr>
          <w:spacing w:val="-2"/>
        </w:rPr>
        <w:t>two</w:t>
      </w:r>
      <w:r>
        <w:rPr>
          <w:spacing w:val="-8"/>
        </w:rPr>
        <w:t> </w:t>
      </w:r>
      <w:r>
        <w:rPr>
          <w:spacing w:val="-2"/>
        </w:rPr>
        <w:t>distributions</w:t>
      </w:r>
      <w:r>
        <w:rPr>
          <w:spacing w:val="-8"/>
        </w:rPr>
        <w:t> </w:t>
      </w:r>
      <w:r>
        <w:rPr>
          <w:spacing w:val="-2"/>
        </w:rPr>
        <w:t>of</w:t>
      </w:r>
      <w:r>
        <w:rPr>
          <w:spacing w:val="-8"/>
        </w:rPr>
        <w:t> </w:t>
      </w:r>
      <w:r>
        <w:rPr>
          <w:spacing w:val="-2"/>
        </w:rPr>
        <w:t>values.</w:t>
      </w:r>
      <w:r>
        <w:rPr>
          <w:spacing w:val="18"/>
        </w:rPr>
        <w:t> </w:t>
      </w:r>
      <w:r>
        <w:rPr>
          <w:spacing w:val="-2"/>
        </w:rPr>
        <w:t>It</w:t>
      </w:r>
      <w:r>
        <w:rPr>
          <w:spacing w:val="-8"/>
        </w:rPr>
        <w:t> </w:t>
      </w:r>
      <w:r>
        <w:rPr>
          <w:spacing w:val="-2"/>
        </w:rPr>
        <w:t>is</w:t>
      </w:r>
      <w:r>
        <w:rPr>
          <w:spacing w:val="-8"/>
        </w:rPr>
        <w:t> </w:t>
      </w:r>
      <w:r>
        <w:rPr>
          <w:spacing w:val="-2"/>
        </w:rPr>
        <w:t>an</w:t>
      </w:r>
      <w:r>
        <w:rPr>
          <w:spacing w:val="-8"/>
        </w:rPr>
        <w:t> </w:t>
      </w:r>
      <w:r>
        <w:rPr>
          <w:spacing w:val="-2"/>
        </w:rPr>
        <w:t>unbounded</w:t>
      </w:r>
      <w:r>
        <w:rPr>
          <w:spacing w:val="-8"/>
        </w:rPr>
        <w:t> </w:t>
      </w:r>
      <w:r>
        <w:rPr>
          <w:spacing w:val="-2"/>
        </w:rPr>
        <w:t>measure, </w:t>
      </w:r>
      <w:r>
        <w:rPr/>
        <w:t>where</w:t>
      </w:r>
      <w:r>
        <w:rPr>
          <w:spacing w:val="-15"/>
        </w:rPr>
        <w:t> </w:t>
      </w:r>
      <w:r>
        <w:rPr/>
        <w:t>a</w:t>
      </w:r>
      <w:r>
        <w:rPr>
          <w:spacing w:val="-15"/>
        </w:rPr>
        <w:t> </w:t>
      </w:r>
      <w:r>
        <w:rPr/>
        <w:t>value</w:t>
      </w:r>
      <w:r>
        <w:rPr>
          <w:spacing w:val="-15"/>
        </w:rPr>
        <w:t> </w:t>
      </w:r>
      <w:r>
        <w:rPr/>
        <w:t>of</w:t>
      </w:r>
      <w:r>
        <w:rPr>
          <w:spacing w:val="-15"/>
        </w:rPr>
        <w:t> </w:t>
      </w:r>
      <w:r>
        <w:rPr/>
        <w:t>0</w:t>
      </w:r>
      <w:r>
        <w:rPr>
          <w:spacing w:val="-15"/>
        </w:rPr>
        <w:t> </w:t>
      </w:r>
      <w:r>
        <w:rPr/>
        <w:t>indicates</w:t>
      </w:r>
      <w:r>
        <w:rPr>
          <w:spacing w:val="-15"/>
        </w:rPr>
        <w:t> </w:t>
      </w:r>
      <w:r>
        <w:rPr/>
        <w:t>two</w:t>
      </w:r>
      <w:r>
        <w:rPr>
          <w:spacing w:val="-15"/>
        </w:rPr>
        <w:t> </w:t>
      </w:r>
      <w:r>
        <w:rPr/>
        <w:t>distributions</w:t>
      </w:r>
      <w:r>
        <w:rPr>
          <w:spacing w:val="-15"/>
        </w:rPr>
        <w:t> </w:t>
      </w:r>
      <w:r>
        <w:rPr/>
        <w:t>are</w:t>
      </w:r>
      <w:r>
        <w:rPr>
          <w:spacing w:val="-15"/>
        </w:rPr>
        <w:t> </w:t>
      </w:r>
      <w:r>
        <w:rPr/>
        <w:t>perfectly</w:t>
      </w:r>
      <w:r>
        <w:rPr>
          <w:spacing w:val="-15"/>
        </w:rPr>
        <w:t> </w:t>
      </w:r>
      <w:r>
        <w:rPr/>
        <w:t>matched,</w:t>
      </w:r>
      <w:r>
        <w:rPr>
          <w:spacing w:val="-15"/>
        </w:rPr>
        <w:t> </w:t>
      </w:r>
      <w:r>
        <w:rPr/>
        <w:t>but</w:t>
      </w:r>
      <w:r>
        <w:rPr>
          <w:spacing w:val="-15"/>
        </w:rPr>
        <w:t> </w:t>
      </w:r>
      <w:r>
        <w:rPr/>
        <w:t>a</w:t>
      </w:r>
      <w:r>
        <w:rPr>
          <w:spacing w:val="-15"/>
        </w:rPr>
        <w:t> </w:t>
      </w:r>
      <w:r>
        <w:rPr/>
        <w:t>value</w:t>
      </w:r>
      <w:r>
        <w:rPr>
          <w:spacing w:val="-15"/>
        </w:rPr>
        <w:t> </w:t>
      </w:r>
      <w:r>
        <w:rPr/>
        <w:t>of</w:t>
      </w:r>
      <w:r>
        <w:rPr>
          <w:spacing w:val="-15"/>
        </w:rPr>
        <w:t> </w:t>
      </w:r>
      <w:r>
        <w:rPr/>
        <w:t>infinity indicates that there is no relationship between the two distributions.</w:t>
      </w:r>
      <w:r>
        <w:rPr>
          <w:spacing w:val="40"/>
        </w:rPr>
        <w:t> </w:t>
      </w:r>
      <w:r>
        <w:rPr/>
        <w:t>A value of infinity typically</w:t>
      </w:r>
      <w:r>
        <w:rPr>
          <w:spacing w:val="-6"/>
        </w:rPr>
        <w:t> </w:t>
      </w:r>
      <w:r>
        <w:rPr/>
        <w:t>occurs</w:t>
      </w:r>
      <w:r>
        <w:rPr>
          <w:spacing w:val="-6"/>
        </w:rPr>
        <w:t> </w:t>
      </w:r>
      <w:r>
        <w:rPr/>
        <w:t>when</w:t>
      </w:r>
      <w:r>
        <w:rPr>
          <w:spacing w:val="-6"/>
        </w:rPr>
        <w:t> </w:t>
      </w:r>
      <w:r>
        <w:rPr/>
        <w:t>an</w:t>
      </w:r>
      <w:r>
        <w:rPr>
          <w:spacing w:val="-6"/>
        </w:rPr>
        <w:t> </w:t>
      </w:r>
      <w:r>
        <w:rPr/>
        <w:t>element</w:t>
      </w:r>
      <w:r>
        <w:rPr>
          <w:spacing w:val="-6"/>
        </w:rPr>
        <w:t> </w:t>
      </w:r>
      <w:r>
        <w:rPr/>
        <w:t>of</w:t>
      </w:r>
      <w:r>
        <w:rPr>
          <w:spacing w:val="-6"/>
        </w:rPr>
        <w:t> </w:t>
      </w:r>
      <w:r>
        <w:rPr/>
        <w:t>the</w:t>
      </w:r>
      <w:r>
        <w:rPr>
          <w:spacing w:val="-6"/>
        </w:rPr>
        <w:t> </w:t>
      </w:r>
      <w:r>
        <w:rPr/>
        <w:t>approximating</w:t>
      </w:r>
      <w:r>
        <w:rPr>
          <w:spacing w:val="-6"/>
        </w:rPr>
        <w:t> </w:t>
      </w:r>
      <w:r>
        <w:rPr/>
        <w:t>distribution</w:t>
      </w:r>
      <w:r>
        <w:rPr>
          <w:spacing w:val="-6"/>
        </w:rPr>
        <w:t> </w:t>
      </w:r>
      <w:r>
        <w:rPr/>
        <w:t>has</w:t>
      </w:r>
      <w:r>
        <w:rPr>
          <w:spacing w:val="-6"/>
        </w:rPr>
        <w:t> </w:t>
      </w:r>
      <w:r>
        <w:rPr/>
        <w:t>no</w:t>
      </w:r>
      <w:r>
        <w:rPr>
          <w:spacing w:val="-6"/>
        </w:rPr>
        <w:t> </w:t>
      </w:r>
      <w:r>
        <w:rPr/>
        <w:t>value</w:t>
      </w:r>
      <w:r>
        <w:rPr>
          <w:spacing w:val="-6"/>
        </w:rPr>
        <w:t> </w:t>
      </w:r>
      <w:r>
        <w:rPr/>
        <w:t>(i.e. has not been visited), but has been visited by the true distribution.</w:t>
      </w:r>
    </w:p>
    <w:p>
      <w:pPr>
        <w:pStyle w:val="BodyText"/>
        <w:spacing w:line="309" w:lineRule="auto"/>
        <w:ind w:left="610" w:right="389" w:firstLine="351"/>
        <w:jc w:val="both"/>
      </w:pPr>
      <w:r>
        <w:rPr/>
        <w:t>In this study, the subsequent fixture was used as the true distribution.</w:t>
      </w:r>
      <w:r>
        <w:rPr>
          <w:spacing w:val="40"/>
        </w:rPr>
        <w:t> </w:t>
      </w:r>
      <w:r>
        <w:rPr/>
        <w:t>The 1 to 10 previous fixtures were separately used as the approximating distribution to identify how many previous fixtures were required to establish an understanding of the team’s </w:t>
      </w:r>
      <w:r>
        <w:rPr/>
        <w:t>future attacking performances.</w:t>
      </w:r>
      <w:r>
        <w:rPr>
          <w:spacing w:val="38"/>
        </w:rPr>
        <w:t> </w:t>
      </w:r>
      <w:r>
        <w:rPr/>
        <w:t>Prior to evaluation by the KL Divergence, all EPV’s were nor- malised</w:t>
      </w:r>
      <w:r>
        <w:rPr>
          <w:spacing w:val="-8"/>
        </w:rPr>
        <w:t> </w:t>
      </w:r>
      <w:r>
        <w:rPr/>
        <w:t>to</w:t>
      </w:r>
      <w:r>
        <w:rPr>
          <w:spacing w:val="-9"/>
        </w:rPr>
        <w:t> </w:t>
      </w:r>
      <w:r>
        <w:rPr/>
        <w:t>produce</w:t>
      </w:r>
      <w:r>
        <w:rPr>
          <w:spacing w:val="-8"/>
        </w:rPr>
        <w:t> </w:t>
      </w:r>
      <w:r>
        <w:rPr/>
        <w:t>an</w:t>
      </w:r>
      <w:r>
        <w:rPr>
          <w:spacing w:val="-8"/>
        </w:rPr>
        <w:t> </w:t>
      </w:r>
      <w:r>
        <w:rPr/>
        <w:t>EPV</w:t>
      </w:r>
      <w:r>
        <w:rPr>
          <w:spacing w:val="-8"/>
        </w:rPr>
        <w:t> </w:t>
      </w:r>
      <w:r>
        <w:rPr/>
        <w:t>distribution</w:t>
      </w:r>
      <w:r>
        <w:rPr>
          <w:spacing w:val="-8"/>
        </w:rPr>
        <w:t> </w:t>
      </w:r>
      <w:r>
        <w:rPr/>
        <w:t>(EPVD).</w:t>
      </w:r>
      <w:r>
        <w:rPr>
          <w:spacing w:val="-8"/>
        </w:rPr>
        <w:t> </w:t>
      </w:r>
      <w:r>
        <w:rPr/>
        <w:t>The</w:t>
      </w:r>
      <w:r>
        <w:rPr>
          <w:spacing w:val="-8"/>
        </w:rPr>
        <w:t> </w:t>
      </w:r>
      <w:r>
        <w:rPr/>
        <w:t>EPV</w:t>
      </w:r>
      <w:r>
        <w:rPr>
          <w:spacing w:val="-8"/>
        </w:rPr>
        <w:t> </w:t>
      </w:r>
      <w:r>
        <w:rPr/>
        <w:t>distribution</w:t>
      </w:r>
      <w:r>
        <w:rPr>
          <w:spacing w:val="-8"/>
        </w:rPr>
        <w:t> </w:t>
      </w:r>
      <w:r>
        <w:rPr/>
        <w:t>for</w:t>
      </w:r>
      <w:r>
        <w:rPr>
          <w:spacing w:val="-9"/>
        </w:rPr>
        <w:t> </w:t>
      </w:r>
      <w:r>
        <w:rPr/>
        <w:t>each</w:t>
      </w:r>
      <w:r>
        <w:rPr>
          <w:spacing w:val="-8"/>
        </w:rPr>
        <w:t> </w:t>
      </w:r>
      <w:r>
        <w:rPr/>
        <w:t>zone</w:t>
      </w:r>
      <w:r>
        <w:rPr>
          <w:spacing w:val="-8"/>
        </w:rPr>
        <w:t> </w:t>
      </w:r>
      <w:r>
        <w:rPr>
          <w:rFonts w:ascii="Cambria" w:hAnsi="Cambria"/>
        </w:rPr>
        <w:t>s</w:t>
      </w:r>
      <w:r>
        <w:rPr>
          <w:rFonts w:ascii="Cambria" w:hAnsi="Cambria"/>
          <w:spacing w:val="-1"/>
        </w:rPr>
        <w:t> </w:t>
      </w:r>
      <w:r>
        <w:rPr/>
        <w:t>in </w:t>
      </w:r>
      <w:r>
        <w:rPr>
          <w:rFonts w:ascii="Cambria" w:hAnsi="Cambria"/>
        </w:rPr>
        <w:t>k </w:t>
      </w:r>
      <w:r>
        <w:rPr/>
        <w:t>matches prior to match </w:t>
      </w:r>
      <w:r>
        <w:rPr>
          <w:rFonts w:ascii="Cambria" w:hAnsi="Cambria"/>
        </w:rPr>
        <w:t>i </w:t>
      </w:r>
      <w:r>
        <w:rPr/>
        <w:t>was calculated as</w:t>
      </w:r>
    </w:p>
    <w:p>
      <w:pPr>
        <w:pStyle w:val="BodyText"/>
        <w:rPr>
          <w:sz w:val="20"/>
        </w:rPr>
      </w:pPr>
    </w:p>
    <w:p>
      <w:pPr>
        <w:spacing w:after="0"/>
        <w:rPr>
          <w:sz w:val="20"/>
        </w:rPr>
        <w:sectPr>
          <w:pgSz w:w="11910" w:h="16840"/>
          <w:pgMar w:header="1961" w:footer="1428" w:top="2280" w:bottom="1620" w:left="1680" w:right="720"/>
        </w:sectPr>
      </w:pPr>
    </w:p>
    <w:p>
      <w:pPr>
        <w:tabs>
          <w:tab w:pos="4477" w:val="left" w:leader="none"/>
          <w:tab w:pos="5874" w:val="left" w:leader="none"/>
        </w:tabs>
        <w:spacing w:before="193"/>
        <w:ind w:left="3656" w:right="0" w:firstLine="0"/>
        <w:jc w:val="left"/>
        <w:rPr>
          <w:rFonts w:ascii="Cambria" w:hAnsi="Cambria"/>
          <w:sz w:val="24"/>
        </w:rPr>
      </w:pPr>
      <w:r>
        <w:rPr/>
        <w:pict>
          <v:shape style="position:absolute;margin-left:235.600998pt;margin-top:8.63925pt;width:31.25pt;height:14.45pt;mso-position-horizontal-relative:page;mso-position-vertical-relative:paragraph;z-index:15755776" type="#_x0000_t202" id="docshape67" filled="false" stroked="false">
            <v:textbox inset="0,0,0,0">
              <w:txbxContent>
                <w:p>
                  <w:pPr>
                    <w:pStyle w:val="BodyText"/>
                    <w:spacing w:line="273" w:lineRule="exact"/>
                  </w:pPr>
                  <w:r>
                    <w:rPr>
                      <w:spacing w:val="-4"/>
                    </w:rPr>
                    <w:t>EPVD</w:t>
                  </w:r>
                </w:p>
              </w:txbxContent>
            </v:textbox>
            <w10:wrap type="none"/>
          </v:shape>
        </w:pict>
      </w:r>
      <w:r>
        <w:rPr/>
        <w:pict>
          <v:shape style="position:absolute;margin-left:276.29599pt;margin-top:7.921592pt;width:263.45pt;height:15.15pt;mso-position-horizontal-relative:page;mso-position-vertical-relative:paragraph;z-index:-21788672" type="#_x0000_t202" id="docshape68" filled="false" stroked="false">
            <v:textbox inset="0,0,0,0">
              <w:txbxContent>
                <w:p>
                  <w:pPr>
                    <w:pStyle w:val="BodyText"/>
                    <w:tabs>
                      <w:tab w:pos="1181" w:val="left" w:leader="none"/>
                      <w:tab w:pos="2757" w:val="left" w:leader="none"/>
                      <w:tab w:pos="4810" w:val="left" w:leader="none"/>
                    </w:tabs>
                    <w:spacing w:before="7"/>
                  </w:pPr>
                  <w:r>
                    <w:rPr>
                      <w:rFonts w:ascii="Garamond"/>
                      <w:w w:val="115"/>
                    </w:rPr>
                    <w:t>(</w:t>
                  </w:r>
                  <w:r>
                    <w:rPr>
                      <w:rFonts w:ascii="Cambria"/>
                      <w:w w:val="115"/>
                    </w:rPr>
                    <w:t>s</w:t>
                  </w:r>
                  <w:r>
                    <w:rPr>
                      <w:rFonts w:ascii="Garamond"/>
                      <w:w w:val="115"/>
                    </w:rPr>
                    <w:t>) =</w:t>
                  </w:r>
                  <w:r>
                    <w:rPr>
                      <w:rFonts w:ascii="Garamond"/>
                      <w:spacing w:val="30"/>
                      <w:w w:val="115"/>
                    </w:rPr>
                    <w:t> </w:t>
                  </w:r>
                  <w:r>
                    <w:rPr>
                      <w:u w:val="single"/>
                      <w:vertAlign w:val="baseline"/>
                    </w:rPr>
                    <w:tab/>
                  </w:r>
                  <w:r>
                    <w:rPr>
                      <w:rFonts w:ascii="Cambria"/>
                      <w:spacing w:val="-5"/>
                      <w:w w:val="115"/>
                      <w:u w:val="single"/>
                      <w:vertAlign w:val="superscript"/>
                    </w:rPr>
                    <w:t>k</w:t>
                  </w:r>
                  <w:r>
                    <w:rPr>
                      <w:rFonts w:ascii="Georgia"/>
                      <w:spacing w:val="-5"/>
                      <w:w w:val="115"/>
                      <w:u w:val="single"/>
                      <w:vertAlign w:val="superscript"/>
                    </w:rPr>
                    <w:t>=1</w:t>
                  </w:r>
                  <w:r>
                    <w:rPr>
                      <w:rFonts w:ascii="Georgia"/>
                      <w:u w:val="single"/>
                      <w:vertAlign w:val="baseline"/>
                    </w:rPr>
                    <w:tab/>
                  </w:r>
                  <w:r>
                    <w:rPr>
                      <w:rFonts w:ascii="Cambria"/>
                      <w:spacing w:val="-10"/>
                      <w:w w:val="115"/>
                      <w:vertAlign w:val="baseline"/>
                    </w:rPr>
                    <w:t>,</w:t>
                  </w:r>
                  <w:r>
                    <w:rPr>
                      <w:rFonts w:ascii="Cambria"/>
                      <w:vertAlign w:val="baseline"/>
                    </w:rPr>
                    <w:tab/>
                  </w:r>
                  <w:r>
                    <w:rPr>
                      <w:spacing w:val="-4"/>
                      <w:vertAlign w:val="baseline"/>
                    </w:rPr>
                    <w:t>(3.5)</w:t>
                  </w:r>
                </w:p>
              </w:txbxContent>
            </v:textbox>
            <w10:wrap type="none"/>
          </v:shape>
        </w:pict>
      </w:r>
      <w:r>
        <w:rPr/>
        <w:pict>
          <v:shape style="position:absolute;margin-left:322.779999pt;margin-top:-6.396546pt;width:76.5pt;height:44.4pt;mso-position-horizontal-relative:page;mso-position-vertical-relative:paragraph;z-index:-21788160" type="#_x0000_t202" id="docshape69" filled="false" stroked="false">
            <v:textbox inset="0,0,0,0">
              <w:txbxContent>
                <w:p>
                  <w:pPr>
                    <w:spacing w:line="240" w:lineRule="auto" w:before="0"/>
                    <w:ind w:left="0" w:right="0" w:firstLine="0"/>
                    <w:jc w:val="left"/>
                    <w:rPr>
                      <w:rFonts w:ascii="Garamond" w:hAnsi="Garamond"/>
                      <w:sz w:val="24"/>
                    </w:rPr>
                  </w:pPr>
                  <w:r>
                    <w:rPr>
                      <w:rFonts w:ascii="Arial" w:hAnsi="Arial"/>
                      <w:w w:val="120"/>
                      <w:position w:val="6"/>
                      <w:sz w:val="24"/>
                    </w:rPr>
                    <w:t>L.</w:t>
                  </w:r>
                  <w:r>
                    <w:rPr>
                      <w:rFonts w:ascii="Cambria" w:hAnsi="Cambria"/>
                      <w:w w:val="120"/>
                      <w:sz w:val="16"/>
                    </w:rPr>
                    <w:t>k</w:t>
                  </w:r>
                  <w:r>
                    <w:rPr>
                      <w:rFonts w:ascii="Georgia" w:hAnsi="Georgia"/>
                      <w:w w:val="120"/>
                      <w:sz w:val="16"/>
                    </w:rPr>
                    <w:t>=</w:t>
                  </w:r>
                  <w:r>
                    <w:rPr>
                      <w:rFonts w:ascii="Cambria" w:hAnsi="Cambria"/>
                      <w:w w:val="120"/>
                      <w:sz w:val="16"/>
                    </w:rPr>
                    <w:t>i</w:t>
                  </w:r>
                  <w:r>
                    <w:rPr>
                      <w:rFonts w:ascii="Lucida Sans Unicode" w:hAnsi="Lucida Sans Unicode"/>
                      <w:w w:val="120"/>
                      <w:sz w:val="16"/>
                    </w:rPr>
                    <w:t>−</w:t>
                  </w:r>
                  <w:r>
                    <w:rPr>
                      <w:rFonts w:ascii="Georgia" w:hAnsi="Georgia"/>
                      <w:w w:val="120"/>
                      <w:sz w:val="16"/>
                    </w:rPr>
                    <w:t>1</w:t>
                  </w:r>
                  <w:r>
                    <w:rPr>
                      <w:rFonts w:ascii="Georgia" w:hAnsi="Georgia"/>
                      <w:spacing w:val="-2"/>
                      <w:w w:val="120"/>
                      <w:sz w:val="16"/>
                    </w:rPr>
                    <w:t> </w:t>
                  </w:r>
                  <w:r>
                    <w:rPr>
                      <w:rFonts w:ascii="Cambria" w:hAnsi="Cambria"/>
                      <w:spacing w:val="-2"/>
                      <w:w w:val="120"/>
                      <w:position w:val="-11"/>
                      <w:sz w:val="24"/>
                    </w:rPr>
                    <w:t>G</w:t>
                  </w:r>
                  <w:r>
                    <w:rPr>
                      <w:rFonts w:ascii="Cambria" w:hAnsi="Cambria"/>
                      <w:spacing w:val="-2"/>
                      <w:w w:val="120"/>
                      <w:position w:val="-14"/>
                      <w:sz w:val="16"/>
                    </w:rPr>
                    <w:t>mk</w:t>
                  </w:r>
                  <w:r>
                    <w:rPr>
                      <w:rFonts w:ascii="Garamond" w:hAnsi="Garamond"/>
                      <w:spacing w:val="-2"/>
                      <w:w w:val="120"/>
                      <w:position w:val="-11"/>
                      <w:sz w:val="24"/>
                    </w:rPr>
                    <w:t>(</w:t>
                  </w:r>
                  <w:r>
                    <w:rPr>
                      <w:rFonts w:ascii="Cambria" w:hAnsi="Cambria"/>
                      <w:spacing w:val="-2"/>
                      <w:w w:val="120"/>
                      <w:position w:val="-11"/>
                      <w:sz w:val="24"/>
                    </w:rPr>
                    <w:t>s</w:t>
                  </w:r>
                  <w:r>
                    <w:rPr>
                      <w:rFonts w:ascii="Garamond" w:hAnsi="Garamond"/>
                      <w:spacing w:val="-2"/>
                      <w:w w:val="120"/>
                      <w:position w:val="-11"/>
                      <w:sz w:val="24"/>
                    </w:rPr>
                    <w:t>)</w:t>
                  </w:r>
                </w:p>
              </w:txbxContent>
            </v:textbox>
            <w10:wrap type="none"/>
          </v:shape>
        </w:pict>
      </w:r>
      <w:r>
        <w:rPr/>
        <w:pict>
          <v:shape style="position:absolute;margin-left:320.476013pt;margin-top:27.226278pt;width:15.45pt;height:8pt;mso-position-horizontal-relative:page;mso-position-vertical-relative:paragraph;z-index:-21787648" type="#_x0000_t202" id="docshape70" filled="false" stroked="false">
            <v:textbox inset="0,0,0,0">
              <w:txbxContent>
                <w:p>
                  <w:pPr>
                    <w:spacing w:line="155" w:lineRule="exact" w:before="0"/>
                    <w:ind w:left="0" w:right="0" w:firstLine="0"/>
                    <w:jc w:val="left"/>
                    <w:rPr>
                      <w:rFonts w:ascii="Georgia"/>
                      <w:sz w:val="16"/>
                    </w:rPr>
                  </w:pPr>
                  <w:r>
                    <w:rPr>
                      <w:rFonts w:ascii="Cambria"/>
                      <w:spacing w:val="-5"/>
                      <w:w w:val="115"/>
                      <w:sz w:val="16"/>
                    </w:rPr>
                    <w:t>k</w:t>
                  </w:r>
                  <w:r>
                    <w:rPr>
                      <w:rFonts w:ascii="Georgia"/>
                      <w:spacing w:val="-5"/>
                      <w:w w:val="115"/>
                      <w:sz w:val="16"/>
                    </w:rPr>
                    <w:t>=1</w:t>
                  </w:r>
                </w:p>
              </w:txbxContent>
            </v:textbox>
            <w10:wrap type="none"/>
          </v:shape>
        </w:pict>
      </w:r>
      <w:r>
        <w:rPr/>
        <w:pict>
          <v:shape style="position:absolute;margin-left:360.497986pt;margin-top:27.226278pt;width:14.75pt;height:8pt;mso-position-horizontal-relative:page;mso-position-vertical-relative:paragraph;z-index:-21787136" type="#_x0000_t202" id="docshape71" filled="false" stroked="false">
            <v:textbox inset="0,0,0,0">
              <w:txbxContent>
                <w:p>
                  <w:pPr>
                    <w:spacing w:line="155" w:lineRule="exact" w:before="0"/>
                    <w:ind w:left="0" w:right="0" w:firstLine="0"/>
                    <w:jc w:val="left"/>
                    <w:rPr>
                      <w:rFonts w:ascii="Georgia"/>
                      <w:sz w:val="16"/>
                    </w:rPr>
                  </w:pPr>
                  <w:r>
                    <w:rPr>
                      <w:rFonts w:ascii="Cambria"/>
                      <w:spacing w:val="-5"/>
                      <w:w w:val="120"/>
                      <w:sz w:val="16"/>
                    </w:rPr>
                    <w:t>s</w:t>
                  </w:r>
                  <w:r>
                    <w:rPr>
                      <w:rFonts w:ascii="Georgia"/>
                      <w:spacing w:val="-5"/>
                      <w:w w:val="120"/>
                      <w:sz w:val="16"/>
                    </w:rPr>
                    <w:t>=1</w:t>
                  </w:r>
                </w:p>
              </w:txbxContent>
            </v:textbox>
            <w10:wrap type="none"/>
          </v:shape>
        </w:pict>
      </w:r>
      <w:bookmarkStart w:name="_bookmark68" w:id="128"/>
      <w:bookmarkEnd w:id="128"/>
      <w:r>
        <w:rPr/>
      </w:r>
      <w:r>
        <w:rPr>
          <w:rFonts w:ascii="Cambria" w:hAnsi="Cambria"/>
          <w:spacing w:val="-10"/>
          <w:w w:val="125"/>
          <w:position w:val="5"/>
          <w:sz w:val="16"/>
        </w:rPr>
        <w:t>M</w:t>
      </w:r>
      <w:r>
        <w:rPr>
          <w:rFonts w:ascii="Cambria" w:hAnsi="Cambria"/>
          <w:position w:val="5"/>
          <w:sz w:val="16"/>
        </w:rPr>
        <w:tab/>
      </w:r>
      <w:r>
        <w:rPr>
          <w:rFonts w:ascii="Arial" w:hAnsi="Arial"/>
          <w:w w:val="120"/>
          <w:position w:val="6"/>
          <w:sz w:val="24"/>
        </w:rPr>
        <w:t>L.</w:t>
      </w:r>
      <w:r>
        <w:rPr>
          <w:rFonts w:ascii="Cambria" w:hAnsi="Cambria"/>
          <w:w w:val="120"/>
          <w:sz w:val="16"/>
        </w:rPr>
        <w:t>k</w:t>
      </w:r>
      <w:r>
        <w:rPr>
          <w:rFonts w:ascii="Georgia" w:hAnsi="Georgia"/>
          <w:w w:val="120"/>
          <w:sz w:val="16"/>
        </w:rPr>
        <w:t>=</w:t>
      </w:r>
      <w:r>
        <w:rPr>
          <w:rFonts w:ascii="Cambria" w:hAnsi="Cambria"/>
          <w:w w:val="120"/>
          <w:sz w:val="16"/>
        </w:rPr>
        <w:t>i</w:t>
      </w:r>
      <w:r>
        <w:rPr>
          <w:rFonts w:ascii="Lucida Sans Unicode" w:hAnsi="Lucida Sans Unicode"/>
          <w:w w:val="120"/>
          <w:sz w:val="16"/>
        </w:rPr>
        <w:t>−</w:t>
      </w:r>
      <w:r>
        <w:rPr>
          <w:rFonts w:ascii="Georgia" w:hAnsi="Georgia"/>
          <w:w w:val="120"/>
          <w:sz w:val="16"/>
        </w:rPr>
        <w:t>1</w:t>
      </w:r>
      <w:r>
        <w:rPr>
          <w:rFonts w:ascii="Georgia" w:hAnsi="Georgia"/>
          <w:spacing w:val="-2"/>
          <w:w w:val="120"/>
          <w:sz w:val="16"/>
        </w:rPr>
        <w:t> </w:t>
      </w:r>
      <w:r>
        <w:rPr>
          <w:rFonts w:ascii="Arial" w:hAnsi="Arial"/>
          <w:spacing w:val="-5"/>
          <w:w w:val="125"/>
          <w:position w:val="6"/>
          <w:sz w:val="24"/>
        </w:rPr>
        <w:t>L.</w:t>
      </w:r>
      <w:r>
        <w:rPr>
          <w:rFonts w:ascii="Cambria" w:hAnsi="Cambria"/>
          <w:spacing w:val="-5"/>
          <w:w w:val="125"/>
          <w:sz w:val="16"/>
        </w:rPr>
        <w:t>S</w:t>
      </w:r>
      <w:r>
        <w:rPr>
          <w:rFonts w:ascii="Cambria" w:hAnsi="Cambria"/>
          <w:sz w:val="16"/>
        </w:rPr>
        <w:tab/>
      </w:r>
      <w:r>
        <w:rPr>
          <w:rFonts w:ascii="Cambria" w:hAnsi="Cambria"/>
          <w:spacing w:val="-10"/>
          <w:w w:val="125"/>
          <w:position w:val="-11"/>
          <w:sz w:val="24"/>
        </w:rPr>
        <w:t>G</w:t>
      </w:r>
    </w:p>
    <w:p>
      <w:pPr>
        <w:spacing w:line="240" w:lineRule="auto" w:before="3"/>
        <w:rPr>
          <w:rFonts w:ascii="Cambria"/>
          <w:sz w:val="31"/>
        </w:rPr>
      </w:pPr>
      <w:r>
        <w:rPr/>
        <w:br w:type="column"/>
      </w:r>
      <w:r>
        <w:rPr>
          <w:rFonts w:ascii="Cambria"/>
          <w:sz w:val="31"/>
        </w:rPr>
      </w:r>
    </w:p>
    <w:p>
      <w:pPr>
        <w:pStyle w:val="BodyText"/>
        <w:ind w:left="212"/>
        <w:rPr>
          <w:rFonts w:ascii="Garamond"/>
        </w:rPr>
      </w:pPr>
      <w:r>
        <w:rPr/>
        <w:pict>
          <v:shape style="position:absolute;margin-left:386.959015pt;margin-top:7.218759pt;width:11.95pt;height:8pt;mso-position-horizontal-relative:page;mso-position-vertical-relative:paragraph;z-index:15758336" type="#_x0000_t202" id="docshape72" filled="false" stroked="false">
            <v:textbox inset="0,0,0,0">
              <w:txbxContent>
                <w:p>
                  <w:pPr>
                    <w:spacing w:line="155" w:lineRule="exact" w:before="0"/>
                    <w:ind w:left="0" w:right="0" w:firstLine="0"/>
                    <w:jc w:val="left"/>
                    <w:rPr>
                      <w:rFonts w:ascii="Cambria"/>
                      <w:sz w:val="16"/>
                    </w:rPr>
                  </w:pPr>
                  <w:r>
                    <w:rPr>
                      <w:rFonts w:ascii="Cambria"/>
                      <w:spacing w:val="-5"/>
                      <w:w w:val="110"/>
                      <w:sz w:val="16"/>
                    </w:rPr>
                    <w:t>mk</w:t>
                  </w:r>
                </w:p>
              </w:txbxContent>
            </v:textbox>
            <w10:wrap type="none"/>
          </v:shape>
        </w:pict>
      </w:r>
      <w:r>
        <w:rPr>
          <w:rFonts w:ascii="Garamond"/>
          <w:spacing w:val="-5"/>
          <w:w w:val="120"/>
        </w:rPr>
        <w:t>(</w:t>
      </w:r>
      <w:r>
        <w:rPr>
          <w:rFonts w:ascii="Cambria"/>
          <w:spacing w:val="-5"/>
          <w:w w:val="120"/>
        </w:rPr>
        <w:t>s</w:t>
      </w:r>
      <w:r>
        <w:rPr>
          <w:rFonts w:ascii="Garamond"/>
          <w:spacing w:val="-5"/>
          <w:w w:val="120"/>
        </w:rPr>
        <w:t>)</w:t>
      </w:r>
    </w:p>
    <w:p>
      <w:pPr>
        <w:spacing w:after="0"/>
        <w:rPr>
          <w:rFonts w:ascii="Garamond"/>
        </w:rPr>
        <w:sectPr>
          <w:type w:val="continuous"/>
          <w:pgSz w:w="11910" w:h="16840"/>
          <w:pgMar w:header="1961" w:footer="1428" w:top="1920" w:bottom="280" w:left="1680" w:right="720"/>
          <w:cols w:num="2" w:equalWidth="0">
            <w:col w:w="6060" w:space="40"/>
            <w:col w:w="3410"/>
          </w:cols>
        </w:sectPr>
      </w:pPr>
    </w:p>
    <w:p>
      <w:pPr>
        <w:pStyle w:val="BodyText"/>
        <w:spacing w:before="11"/>
        <w:rPr>
          <w:rFonts w:ascii="Garamond"/>
          <w:sz w:val="14"/>
        </w:rPr>
      </w:pPr>
    </w:p>
    <w:p>
      <w:pPr>
        <w:pStyle w:val="BodyText"/>
        <w:spacing w:before="93"/>
        <w:ind w:left="610"/>
        <w:jc w:val="both"/>
      </w:pPr>
      <w:r>
        <w:rPr/>
        <w:t>where</w:t>
      </w:r>
      <w:r>
        <w:rPr>
          <w:spacing w:val="-1"/>
        </w:rPr>
        <w:t> </w:t>
      </w:r>
      <w:r>
        <w:rPr>
          <w:rFonts w:ascii="Cambria"/>
        </w:rPr>
        <w:t>M</w:t>
      </w:r>
      <w:r>
        <w:rPr>
          <w:rFonts w:ascii="Cambria"/>
          <w:spacing w:val="30"/>
        </w:rPr>
        <w:t> </w:t>
      </w:r>
      <w:r>
        <w:rPr/>
        <w:t>is</w:t>
      </w:r>
      <w:r>
        <w:rPr>
          <w:spacing w:val="-1"/>
        </w:rPr>
        <w:t> </w:t>
      </w:r>
      <w:r>
        <w:rPr/>
        <w:t>the</w:t>
      </w:r>
      <w:r>
        <w:rPr>
          <w:spacing w:val="-1"/>
        </w:rPr>
        <w:t> </w:t>
      </w:r>
      <w:r>
        <w:rPr/>
        <w:t>set</w:t>
      </w:r>
      <w:r>
        <w:rPr>
          <w:spacing w:val="-1"/>
        </w:rPr>
        <w:t> </w:t>
      </w:r>
      <w:r>
        <w:rPr/>
        <w:t>of</w:t>
      </w:r>
      <w:r>
        <w:rPr>
          <w:spacing w:val="-1"/>
        </w:rPr>
        <w:t> </w:t>
      </w:r>
      <w:r>
        <w:rPr>
          <w:rFonts w:ascii="Cambria"/>
        </w:rPr>
        <w:t>k</w:t>
      </w:r>
      <w:r>
        <w:rPr>
          <w:rFonts w:ascii="Cambria"/>
          <w:spacing w:val="15"/>
        </w:rPr>
        <w:t> </w:t>
      </w:r>
      <w:r>
        <w:rPr/>
        <w:t>matches</w:t>
      </w:r>
      <w:r>
        <w:rPr>
          <w:spacing w:val="-1"/>
        </w:rPr>
        <w:t> </w:t>
      </w:r>
      <w:r>
        <w:rPr/>
        <w:t>and</w:t>
      </w:r>
      <w:r>
        <w:rPr>
          <w:spacing w:val="-1"/>
        </w:rPr>
        <w:t> </w:t>
      </w:r>
      <w:r>
        <w:rPr>
          <w:rFonts w:ascii="Cambria"/>
        </w:rPr>
        <w:t>S</w:t>
      </w:r>
      <w:r>
        <w:rPr>
          <w:rFonts w:ascii="Cambria"/>
          <w:spacing w:val="20"/>
        </w:rPr>
        <w:t> </w:t>
      </w:r>
      <w:r>
        <w:rPr/>
        <w:t>is</w:t>
      </w:r>
      <w:r>
        <w:rPr>
          <w:spacing w:val="-1"/>
        </w:rPr>
        <w:t> </w:t>
      </w:r>
      <w:r>
        <w:rPr/>
        <w:t>the</w:t>
      </w:r>
      <w:r>
        <w:rPr>
          <w:spacing w:val="-1"/>
        </w:rPr>
        <w:t> </w:t>
      </w:r>
      <w:r>
        <w:rPr/>
        <w:t>set</w:t>
      </w:r>
      <w:r>
        <w:rPr>
          <w:spacing w:val="-1"/>
        </w:rPr>
        <w:t> </w:t>
      </w:r>
      <w:r>
        <w:rPr/>
        <w:t>of</w:t>
      </w:r>
      <w:r>
        <w:rPr>
          <w:spacing w:val="-1"/>
        </w:rPr>
        <w:t> </w:t>
      </w:r>
      <w:r>
        <w:rPr/>
        <w:t>all</w:t>
      </w:r>
      <w:r>
        <w:rPr>
          <w:spacing w:val="-1"/>
        </w:rPr>
        <w:t> </w:t>
      </w:r>
      <w:r>
        <w:rPr/>
        <w:t>zones</w:t>
      </w:r>
      <w:r>
        <w:rPr>
          <w:spacing w:val="-1"/>
        </w:rPr>
        <w:t> </w:t>
      </w:r>
      <w:r>
        <w:rPr/>
        <w:t>in</w:t>
      </w:r>
      <w:r>
        <w:rPr>
          <w:spacing w:val="-1"/>
        </w:rPr>
        <w:t> </w:t>
      </w:r>
      <w:r>
        <w:rPr/>
        <w:t>the</w:t>
      </w:r>
      <w:r>
        <w:rPr>
          <w:spacing w:val="-1"/>
        </w:rPr>
        <w:t> </w:t>
      </w:r>
      <w:r>
        <w:rPr>
          <w:spacing w:val="-2"/>
        </w:rPr>
        <w:t>model.</w:t>
      </w:r>
    </w:p>
    <w:p>
      <w:pPr>
        <w:pStyle w:val="BodyText"/>
        <w:spacing w:line="312" w:lineRule="auto" w:before="81"/>
        <w:ind w:left="610" w:right="389" w:firstLine="351"/>
        <w:jc w:val="both"/>
      </w:pPr>
      <w:r>
        <w:rPr/>
        <w:t>The percentage of non-infinity values was used to provide an understanding of </w:t>
      </w:r>
      <w:r>
        <w:rPr/>
        <w:t>how many of the subsequent match’s zones were visited in the previous matches.</w:t>
      </w:r>
      <w:r>
        <w:rPr>
          <w:spacing w:val="40"/>
        </w:rPr>
        <w:t> </w:t>
      </w:r>
      <w:r>
        <w:rPr/>
        <w:t>The KL Divergence</w:t>
      </w:r>
      <w:r>
        <w:rPr>
          <w:spacing w:val="-13"/>
        </w:rPr>
        <w:t> </w:t>
      </w:r>
      <w:r>
        <w:rPr/>
        <w:t>value</w:t>
      </w:r>
      <w:r>
        <w:rPr>
          <w:spacing w:val="-13"/>
        </w:rPr>
        <w:t> </w:t>
      </w:r>
      <w:r>
        <w:rPr/>
        <w:t>was</w:t>
      </w:r>
      <w:r>
        <w:rPr>
          <w:spacing w:val="-13"/>
        </w:rPr>
        <w:t> </w:t>
      </w:r>
      <w:r>
        <w:rPr/>
        <w:t>used</w:t>
      </w:r>
      <w:r>
        <w:rPr>
          <w:spacing w:val="-13"/>
        </w:rPr>
        <w:t> </w:t>
      </w:r>
      <w:r>
        <w:rPr/>
        <w:t>as</w:t>
      </w:r>
      <w:r>
        <w:rPr>
          <w:spacing w:val="-13"/>
        </w:rPr>
        <w:t> </w:t>
      </w:r>
      <w:r>
        <w:rPr/>
        <w:t>a</w:t>
      </w:r>
      <w:r>
        <w:rPr>
          <w:spacing w:val="-13"/>
        </w:rPr>
        <w:t> </w:t>
      </w:r>
      <w:r>
        <w:rPr/>
        <w:t>measure</w:t>
      </w:r>
      <w:r>
        <w:rPr>
          <w:spacing w:val="-13"/>
        </w:rPr>
        <w:t> </w:t>
      </w:r>
      <w:r>
        <w:rPr/>
        <w:t>of</w:t>
      </w:r>
      <w:r>
        <w:rPr>
          <w:spacing w:val="-13"/>
        </w:rPr>
        <w:t> </w:t>
      </w:r>
      <w:r>
        <w:rPr/>
        <w:t>similarity</w:t>
      </w:r>
      <w:r>
        <w:rPr>
          <w:spacing w:val="-13"/>
        </w:rPr>
        <w:t> </w:t>
      </w:r>
      <w:r>
        <w:rPr/>
        <w:t>between</w:t>
      </w:r>
      <w:r>
        <w:rPr>
          <w:spacing w:val="-13"/>
        </w:rPr>
        <w:t> </w:t>
      </w:r>
      <w:r>
        <w:rPr/>
        <w:t>the</w:t>
      </w:r>
      <w:r>
        <w:rPr>
          <w:spacing w:val="-13"/>
        </w:rPr>
        <w:t> </w:t>
      </w:r>
      <w:r>
        <w:rPr/>
        <w:t>two</w:t>
      </w:r>
      <w:r>
        <w:rPr>
          <w:spacing w:val="-13"/>
        </w:rPr>
        <w:t> </w:t>
      </w:r>
      <w:r>
        <w:rPr/>
        <w:t>EPV</w:t>
      </w:r>
      <w:r>
        <w:rPr>
          <w:spacing w:val="-13"/>
        </w:rPr>
        <w:t> </w:t>
      </w:r>
      <w:r>
        <w:rPr/>
        <w:t>distributions’ values. All</w:t>
      </w:r>
      <w:r>
        <w:rPr>
          <w:spacing w:val="-12"/>
        </w:rPr>
        <w:t> </w:t>
      </w:r>
      <w:r>
        <w:rPr/>
        <w:t>results</w:t>
      </w:r>
      <w:r>
        <w:rPr>
          <w:spacing w:val="-12"/>
        </w:rPr>
        <w:t> </w:t>
      </w:r>
      <w:r>
        <w:rPr/>
        <w:t>are</w:t>
      </w:r>
      <w:r>
        <w:rPr>
          <w:spacing w:val="-12"/>
        </w:rPr>
        <w:t> </w:t>
      </w:r>
      <w:r>
        <w:rPr/>
        <w:t>provided</w:t>
      </w:r>
      <w:r>
        <w:rPr>
          <w:spacing w:val="-12"/>
        </w:rPr>
        <w:t> </w:t>
      </w:r>
      <w:r>
        <w:rPr/>
        <w:t>as</w:t>
      </w:r>
      <w:r>
        <w:rPr>
          <w:spacing w:val="-12"/>
        </w:rPr>
        <w:t> </w:t>
      </w:r>
      <w:r>
        <w:rPr/>
        <w:t>a</w:t>
      </w:r>
      <w:r>
        <w:rPr>
          <w:spacing w:val="-12"/>
        </w:rPr>
        <w:t> </w:t>
      </w:r>
      <w:r>
        <w:rPr/>
        <w:t>mean</w:t>
      </w:r>
      <w:r>
        <w:rPr>
          <w:spacing w:val="-12"/>
        </w:rPr>
        <w:t> </w:t>
      </w:r>
      <w:r>
        <w:rPr/>
        <w:t>and</w:t>
      </w:r>
      <w:r>
        <w:rPr>
          <w:spacing w:val="-12"/>
        </w:rPr>
        <w:t> </w:t>
      </w:r>
      <w:r>
        <w:rPr/>
        <w:t>standard</w:t>
      </w:r>
      <w:r>
        <w:rPr>
          <w:spacing w:val="-12"/>
        </w:rPr>
        <w:t> </w:t>
      </w:r>
      <w:r>
        <w:rPr/>
        <w:t>deviation</w:t>
      </w:r>
      <w:r>
        <w:rPr>
          <w:spacing w:val="-12"/>
        </w:rPr>
        <w:t> </w:t>
      </w:r>
      <w:r>
        <w:rPr/>
        <w:t>values</w:t>
      </w:r>
      <w:r>
        <w:rPr>
          <w:spacing w:val="-12"/>
        </w:rPr>
        <w:t> </w:t>
      </w:r>
      <w:r>
        <w:rPr/>
        <w:t>across</w:t>
      </w:r>
      <w:r>
        <w:rPr>
          <w:spacing w:val="-12"/>
        </w:rPr>
        <w:t> </w:t>
      </w:r>
      <w:r>
        <w:rPr/>
        <w:t>the</w:t>
      </w:r>
      <w:r>
        <w:rPr>
          <w:spacing w:val="-12"/>
        </w:rPr>
        <w:t> </w:t>
      </w:r>
      <w:r>
        <w:rPr/>
        <w:t>twelve Super League clubs.</w:t>
      </w:r>
    </w:p>
    <w:p>
      <w:pPr>
        <w:pStyle w:val="BodyText"/>
        <w:spacing w:before="7"/>
        <w:rPr>
          <w:sz w:val="34"/>
        </w:rPr>
      </w:pPr>
    </w:p>
    <w:p>
      <w:pPr>
        <w:pStyle w:val="Heading3"/>
        <w:numPr>
          <w:ilvl w:val="2"/>
          <w:numId w:val="18"/>
        </w:numPr>
        <w:tabs>
          <w:tab w:pos="1471" w:val="left" w:leader="none"/>
          <w:tab w:pos="1472" w:val="left" w:leader="none"/>
        </w:tabs>
        <w:spacing w:line="240" w:lineRule="auto" w:before="0" w:after="0"/>
        <w:ind w:left="1471" w:right="0" w:hanging="862"/>
        <w:jc w:val="left"/>
      </w:pPr>
      <w:bookmarkStart w:name="_TOC_250038" w:id="129"/>
      <w:bookmarkStart w:name="3.2.5 Z-score Analysis" w:id="130"/>
      <w:r>
        <w:rPr>
          <w:b w:val="0"/>
        </w:rPr>
      </w:r>
      <w:bookmarkStart w:name="_bookmark69" w:id="131"/>
      <w:bookmarkEnd w:id="131"/>
      <w:r>
        <w:rPr/>
        <w:t>Z</w:t>
      </w:r>
      <w:r>
        <w:rPr/>
        <w:t>-score</w:t>
      </w:r>
      <w:r>
        <w:rPr>
          <w:spacing w:val="13"/>
        </w:rPr>
        <w:t> </w:t>
      </w:r>
      <w:bookmarkEnd w:id="129"/>
      <w:r>
        <w:rPr>
          <w:spacing w:val="-2"/>
        </w:rPr>
        <w:t>Analysis</w:t>
      </w:r>
    </w:p>
    <w:p>
      <w:pPr>
        <w:pStyle w:val="BodyText"/>
        <w:spacing w:line="312" w:lineRule="auto" w:before="235"/>
        <w:ind w:left="610" w:right="377"/>
        <w:jc w:val="both"/>
      </w:pPr>
      <w:r>
        <w:rPr>
          <w:spacing w:val="-2"/>
        </w:rPr>
        <w:t>After</w:t>
      </w:r>
      <w:r>
        <w:rPr>
          <w:spacing w:val="-10"/>
        </w:rPr>
        <w:t> </w:t>
      </w:r>
      <w:r>
        <w:rPr>
          <w:spacing w:val="-2"/>
        </w:rPr>
        <w:t>identifying</w:t>
      </w:r>
      <w:r>
        <w:rPr>
          <w:spacing w:val="-10"/>
        </w:rPr>
        <w:t> </w:t>
      </w:r>
      <w:r>
        <w:rPr>
          <w:spacing w:val="-2"/>
        </w:rPr>
        <w:t>the</w:t>
      </w:r>
      <w:r>
        <w:rPr>
          <w:spacing w:val="-10"/>
        </w:rPr>
        <w:t> </w:t>
      </w:r>
      <w:r>
        <w:rPr>
          <w:spacing w:val="-2"/>
        </w:rPr>
        <w:t>most</w:t>
      </w:r>
      <w:r>
        <w:rPr>
          <w:spacing w:val="-10"/>
        </w:rPr>
        <w:t> </w:t>
      </w:r>
      <w:r>
        <w:rPr>
          <w:spacing w:val="-2"/>
        </w:rPr>
        <w:t>suitable</w:t>
      </w:r>
      <w:r>
        <w:rPr>
          <w:spacing w:val="-10"/>
        </w:rPr>
        <w:t> </w:t>
      </w:r>
      <w:r>
        <w:rPr>
          <w:spacing w:val="-2"/>
        </w:rPr>
        <w:t>zone</w:t>
      </w:r>
      <w:r>
        <w:rPr>
          <w:spacing w:val="-10"/>
        </w:rPr>
        <w:t> </w:t>
      </w:r>
      <w:r>
        <w:rPr>
          <w:spacing w:val="-2"/>
        </w:rPr>
        <w:t>sizes</w:t>
      </w:r>
      <w:r>
        <w:rPr>
          <w:spacing w:val="-10"/>
        </w:rPr>
        <w:t> </w:t>
      </w:r>
      <w:r>
        <w:rPr>
          <w:spacing w:val="-2"/>
        </w:rPr>
        <w:t>for</w:t>
      </w:r>
      <w:r>
        <w:rPr>
          <w:spacing w:val="-10"/>
        </w:rPr>
        <w:t> </w:t>
      </w:r>
      <w:r>
        <w:rPr>
          <w:spacing w:val="-2"/>
        </w:rPr>
        <w:t>use</w:t>
      </w:r>
      <w:r>
        <w:rPr>
          <w:spacing w:val="-10"/>
        </w:rPr>
        <w:t> </w:t>
      </w:r>
      <w:r>
        <w:rPr>
          <w:spacing w:val="-2"/>
        </w:rPr>
        <w:t>within</w:t>
      </w:r>
      <w:r>
        <w:rPr>
          <w:spacing w:val="-10"/>
        </w:rPr>
        <w:t> </w:t>
      </w:r>
      <w:r>
        <w:rPr>
          <w:spacing w:val="-2"/>
        </w:rPr>
        <w:t>rugby</w:t>
      </w:r>
      <w:r>
        <w:rPr>
          <w:spacing w:val="-10"/>
        </w:rPr>
        <w:t> </w:t>
      </w:r>
      <w:r>
        <w:rPr>
          <w:spacing w:val="-2"/>
        </w:rPr>
        <w:t>league</w:t>
      </w:r>
      <w:r>
        <w:rPr>
          <w:spacing w:val="-10"/>
        </w:rPr>
        <w:t> </w:t>
      </w:r>
      <w:r>
        <w:rPr>
          <w:spacing w:val="-2"/>
        </w:rPr>
        <w:t>(EPV-19</w:t>
      </w:r>
      <w:r>
        <w:rPr>
          <w:spacing w:val="-10"/>
        </w:rPr>
        <w:t> </w:t>
      </w:r>
      <w:r>
        <w:rPr>
          <w:spacing w:val="-2"/>
        </w:rPr>
        <w:t>model), </w:t>
      </w:r>
      <w:r>
        <w:rPr/>
        <w:t>z-score</w:t>
      </w:r>
      <w:r>
        <w:rPr>
          <w:spacing w:val="-12"/>
        </w:rPr>
        <w:t> </w:t>
      </w:r>
      <w:r>
        <w:rPr/>
        <w:t>analysis</w:t>
      </w:r>
      <w:r>
        <w:rPr>
          <w:spacing w:val="-12"/>
        </w:rPr>
        <w:t> </w:t>
      </w:r>
      <w:r>
        <w:rPr/>
        <w:t>was</w:t>
      </w:r>
      <w:r>
        <w:rPr>
          <w:spacing w:val="-12"/>
        </w:rPr>
        <w:t> </w:t>
      </w:r>
      <w:r>
        <w:rPr/>
        <w:t>proposed</w:t>
      </w:r>
      <w:r>
        <w:rPr>
          <w:spacing w:val="-12"/>
        </w:rPr>
        <w:t> </w:t>
      </w:r>
      <w:r>
        <w:rPr/>
        <w:t>as</w:t>
      </w:r>
      <w:r>
        <w:rPr>
          <w:spacing w:val="-12"/>
        </w:rPr>
        <w:t> </w:t>
      </w:r>
      <w:r>
        <w:rPr/>
        <w:t>a</w:t>
      </w:r>
      <w:r>
        <w:rPr>
          <w:spacing w:val="-12"/>
        </w:rPr>
        <w:t> </w:t>
      </w:r>
      <w:r>
        <w:rPr/>
        <w:t>novel</w:t>
      </w:r>
      <w:r>
        <w:rPr>
          <w:spacing w:val="-12"/>
        </w:rPr>
        <w:t> </w:t>
      </w:r>
      <w:r>
        <w:rPr/>
        <w:t>method</w:t>
      </w:r>
      <w:r>
        <w:rPr>
          <w:spacing w:val="-12"/>
        </w:rPr>
        <w:t> </w:t>
      </w:r>
      <w:r>
        <w:rPr/>
        <w:t>of</w:t>
      </w:r>
      <w:r>
        <w:rPr>
          <w:spacing w:val="-12"/>
        </w:rPr>
        <w:t> </w:t>
      </w:r>
      <w:r>
        <w:rPr/>
        <w:t>quantifying</w:t>
      </w:r>
      <w:r>
        <w:rPr>
          <w:spacing w:val="-12"/>
        </w:rPr>
        <w:t> </w:t>
      </w:r>
      <w:r>
        <w:rPr/>
        <w:t>individual</w:t>
      </w:r>
      <w:r>
        <w:rPr>
          <w:spacing w:val="-12"/>
        </w:rPr>
        <w:t> </w:t>
      </w:r>
      <w:r>
        <w:rPr/>
        <w:t>team</w:t>
      </w:r>
      <w:r>
        <w:rPr>
          <w:spacing w:val="-12"/>
        </w:rPr>
        <w:t> </w:t>
      </w:r>
      <w:r>
        <w:rPr/>
        <w:t>attacking performances. Each</w:t>
      </w:r>
      <w:r>
        <w:rPr>
          <w:spacing w:val="-10"/>
        </w:rPr>
        <w:t> </w:t>
      </w:r>
      <w:r>
        <w:rPr/>
        <w:t>team’s</w:t>
      </w:r>
      <w:r>
        <w:rPr>
          <w:spacing w:val="-10"/>
        </w:rPr>
        <w:t> </w:t>
      </w:r>
      <w:r>
        <w:rPr/>
        <w:t>EPV</w:t>
      </w:r>
      <w:r>
        <w:rPr>
          <w:spacing w:val="-10"/>
        </w:rPr>
        <w:t> </w:t>
      </w:r>
      <w:r>
        <w:rPr/>
        <w:t>distribution</w:t>
      </w:r>
      <w:r>
        <w:rPr>
          <w:spacing w:val="-10"/>
        </w:rPr>
        <w:t> </w:t>
      </w:r>
      <w:r>
        <w:rPr/>
        <w:t>across</w:t>
      </w:r>
      <w:r>
        <w:rPr>
          <w:spacing w:val="-10"/>
        </w:rPr>
        <w:t> </w:t>
      </w:r>
      <w:r>
        <w:rPr/>
        <w:t>the</w:t>
      </w:r>
      <w:r>
        <w:rPr>
          <w:spacing w:val="-10"/>
        </w:rPr>
        <w:t> </w:t>
      </w:r>
      <w:r>
        <w:rPr/>
        <w:t>whole</w:t>
      </w:r>
      <w:r>
        <w:rPr>
          <w:spacing w:val="-10"/>
        </w:rPr>
        <w:t> </w:t>
      </w:r>
      <w:r>
        <w:rPr/>
        <w:t>2019</w:t>
      </w:r>
      <w:r>
        <w:rPr>
          <w:spacing w:val="-10"/>
        </w:rPr>
        <w:t> </w:t>
      </w:r>
      <w:r>
        <w:rPr/>
        <w:t>Super</w:t>
      </w:r>
      <w:r>
        <w:rPr>
          <w:spacing w:val="-10"/>
        </w:rPr>
        <w:t> </w:t>
      </w:r>
      <w:r>
        <w:rPr/>
        <w:t>League</w:t>
      </w:r>
      <w:r>
        <w:rPr>
          <w:spacing w:val="-10"/>
        </w:rPr>
        <w:t> </w:t>
      </w:r>
      <w:r>
        <w:rPr/>
        <w:t>season was</w:t>
      </w:r>
      <w:r>
        <w:rPr>
          <w:spacing w:val="-11"/>
        </w:rPr>
        <w:t> </w:t>
      </w:r>
      <w:r>
        <w:rPr/>
        <w:t>calculated</w:t>
      </w:r>
      <w:r>
        <w:rPr>
          <w:spacing w:val="-11"/>
        </w:rPr>
        <w:t> </w:t>
      </w:r>
      <w:r>
        <w:rPr/>
        <w:t>for</w:t>
      </w:r>
      <w:r>
        <w:rPr>
          <w:spacing w:val="-11"/>
        </w:rPr>
        <w:t> </w:t>
      </w:r>
      <w:r>
        <w:rPr/>
        <w:t>the</w:t>
      </w:r>
      <w:r>
        <w:rPr>
          <w:spacing w:val="-11"/>
        </w:rPr>
        <w:t> </w:t>
      </w:r>
      <w:r>
        <w:rPr/>
        <w:t>EPV-19</w:t>
      </w:r>
      <w:r>
        <w:rPr>
          <w:spacing w:val="-11"/>
        </w:rPr>
        <w:t> </w:t>
      </w:r>
      <w:r>
        <w:rPr/>
        <w:t>via</w:t>
      </w:r>
      <w:r>
        <w:rPr>
          <w:spacing w:val="-11"/>
        </w:rPr>
        <w:t> </w:t>
      </w:r>
      <w:r>
        <w:rPr/>
        <w:t>Equation</w:t>
      </w:r>
      <w:hyperlink w:history="true" w:anchor="_bookmark68">
        <w:r>
          <w:rPr>
            <w:color w:val="0000FF"/>
          </w:rPr>
          <w:t>3.5</w:t>
        </w:r>
        <w:r>
          <w:rPr/>
          <w:t>.</w:t>
        </w:r>
      </w:hyperlink>
      <w:r>
        <w:rPr/>
        <w:t> Z-score</w:t>
      </w:r>
      <w:r>
        <w:rPr>
          <w:spacing w:val="-11"/>
        </w:rPr>
        <w:t> </w:t>
      </w:r>
      <w:r>
        <w:rPr/>
        <w:t>analysis</w:t>
      </w:r>
      <w:r>
        <w:rPr>
          <w:spacing w:val="-11"/>
        </w:rPr>
        <w:t> </w:t>
      </w:r>
      <w:r>
        <w:rPr/>
        <w:t>of</w:t>
      </w:r>
      <w:r>
        <w:rPr>
          <w:spacing w:val="-11"/>
        </w:rPr>
        <w:t> </w:t>
      </w:r>
      <w:r>
        <w:rPr/>
        <w:t>the</w:t>
      </w:r>
      <w:r>
        <w:rPr>
          <w:spacing w:val="-11"/>
        </w:rPr>
        <w:t> </w:t>
      </w:r>
      <w:r>
        <w:rPr/>
        <w:t>EPV</w:t>
      </w:r>
      <w:r>
        <w:rPr>
          <w:spacing w:val="-11"/>
        </w:rPr>
        <w:t> </w:t>
      </w:r>
      <w:r>
        <w:rPr/>
        <w:t>distributions was</w:t>
      </w:r>
      <w:r>
        <w:rPr>
          <w:spacing w:val="-8"/>
        </w:rPr>
        <w:t> </w:t>
      </w:r>
      <w:r>
        <w:rPr/>
        <w:t>used</w:t>
      </w:r>
      <w:r>
        <w:rPr>
          <w:spacing w:val="-8"/>
        </w:rPr>
        <w:t> </w:t>
      </w:r>
      <w:r>
        <w:rPr/>
        <w:t>to</w:t>
      </w:r>
      <w:r>
        <w:rPr>
          <w:spacing w:val="-8"/>
        </w:rPr>
        <w:t> </w:t>
      </w:r>
      <w:r>
        <w:rPr/>
        <w:t>calculate</w:t>
      </w:r>
      <w:r>
        <w:rPr>
          <w:spacing w:val="-8"/>
        </w:rPr>
        <w:t> </w:t>
      </w:r>
      <w:r>
        <w:rPr/>
        <w:t>a</w:t>
      </w:r>
      <w:r>
        <w:rPr>
          <w:spacing w:val="-8"/>
        </w:rPr>
        <w:t> </w:t>
      </w:r>
      <w:r>
        <w:rPr/>
        <w:t>standardised</w:t>
      </w:r>
      <w:r>
        <w:rPr>
          <w:spacing w:val="-8"/>
        </w:rPr>
        <w:t> </w:t>
      </w:r>
      <w:r>
        <w:rPr/>
        <w:t>value</w:t>
      </w:r>
      <w:r>
        <w:rPr>
          <w:spacing w:val="-8"/>
        </w:rPr>
        <w:t> </w:t>
      </w:r>
      <w:r>
        <w:rPr/>
        <w:t>evaluating</w:t>
      </w:r>
      <w:r>
        <w:rPr>
          <w:spacing w:val="-8"/>
        </w:rPr>
        <w:t> </w:t>
      </w:r>
      <w:r>
        <w:rPr/>
        <w:t>how</w:t>
      </w:r>
      <w:r>
        <w:rPr>
          <w:spacing w:val="-8"/>
        </w:rPr>
        <w:t> </w:t>
      </w:r>
      <w:r>
        <w:rPr/>
        <w:t>the</w:t>
      </w:r>
      <w:r>
        <w:rPr>
          <w:spacing w:val="-8"/>
        </w:rPr>
        <w:t> </w:t>
      </w:r>
      <w:r>
        <w:rPr/>
        <w:t>proportion</w:t>
      </w:r>
      <w:r>
        <w:rPr>
          <w:spacing w:val="-8"/>
        </w:rPr>
        <w:t> </w:t>
      </w:r>
      <w:r>
        <w:rPr/>
        <w:t>of</w:t>
      </w:r>
      <w:r>
        <w:rPr>
          <w:spacing w:val="-8"/>
        </w:rPr>
        <w:t> </w:t>
      </w:r>
      <w:r>
        <w:rPr/>
        <w:t>match</w:t>
      </w:r>
      <w:r>
        <w:rPr>
          <w:spacing w:val="-8"/>
        </w:rPr>
        <w:t> </w:t>
      </w:r>
      <w:r>
        <w:rPr/>
        <w:t>EPV</w:t>
      </w:r>
      <w:r>
        <w:rPr>
          <w:spacing w:val="-8"/>
        </w:rPr>
        <w:t> </w:t>
      </w:r>
      <w:r>
        <w:rPr/>
        <w:t>a team</w:t>
      </w:r>
      <w:r>
        <w:rPr>
          <w:spacing w:val="-10"/>
        </w:rPr>
        <w:t> </w:t>
      </w:r>
      <w:r>
        <w:rPr/>
        <w:t>obtained</w:t>
      </w:r>
      <w:r>
        <w:rPr>
          <w:spacing w:val="-9"/>
        </w:rPr>
        <w:t> </w:t>
      </w:r>
      <w:r>
        <w:rPr/>
        <w:t>from</w:t>
      </w:r>
      <w:r>
        <w:rPr>
          <w:spacing w:val="-9"/>
        </w:rPr>
        <w:t> </w:t>
      </w:r>
      <w:r>
        <w:rPr/>
        <w:t>a</w:t>
      </w:r>
      <w:r>
        <w:rPr>
          <w:spacing w:val="-9"/>
        </w:rPr>
        <w:t> </w:t>
      </w:r>
      <w:r>
        <w:rPr/>
        <w:t>zone</w:t>
      </w:r>
      <w:r>
        <w:rPr>
          <w:spacing w:val="-10"/>
        </w:rPr>
        <w:t> </w:t>
      </w:r>
      <w:r>
        <w:rPr/>
        <w:t>compared</w:t>
      </w:r>
      <w:r>
        <w:rPr>
          <w:spacing w:val="-9"/>
        </w:rPr>
        <w:t> </w:t>
      </w:r>
      <w:r>
        <w:rPr/>
        <w:t>to</w:t>
      </w:r>
      <w:r>
        <w:rPr>
          <w:spacing w:val="-9"/>
        </w:rPr>
        <w:t> </w:t>
      </w:r>
      <w:r>
        <w:rPr/>
        <w:t>the</w:t>
      </w:r>
      <w:r>
        <w:rPr>
          <w:spacing w:val="-9"/>
        </w:rPr>
        <w:t> </w:t>
      </w:r>
      <w:r>
        <w:rPr/>
        <w:t>average</w:t>
      </w:r>
      <w:r>
        <w:rPr>
          <w:spacing w:val="-9"/>
        </w:rPr>
        <w:t> </w:t>
      </w:r>
      <w:r>
        <w:rPr/>
        <w:t>across</w:t>
      </w:r>
      <w:r>
        <w:rPr>
          <w:spacing w:val="-10"/>
        </w:rPr>
        <w:t> </w:t>
      </w:r>
      <w:r>
        <w:rPr/>
        <w:t>all</w:t>
      </w:r>
      <w:r>
        <w:rPr>
          <w:spacing w:val="-9"/>
        </w:rPr>
        <w:t> </w:t>
      </w:r>
      <w:r>
        <w:rPr/>
        <w:t>teams</w:t>
      </w:r>
      <w:r>
        <w:rPr>
          <w:spacing w:val="-9"/>
        </w:rPr>
        <w:t> </w:t>
      </w:r>
      <w:r>
        <w:rPr/>
        <w:t>in</w:t>
      </w:r>
      <w:r>
        <w:rPr>
          <w:spacing w:val="-9"/>
        </w:rPr>
        <w:t> </w:t>
      </w:r>
      <w:r>
        <w:rPr/>
        <w:t>the</w:t>
      </w:r>
      <w:r>
        <w:rPr>
          <w:spacing w:val="-10"/>
        </w:rPr>
        <w:t> </w:t>
      </w:r>
      <w:r>
        <w:rPr/>
        <w:t>Super</w:t>
      </w:r>
      <w:r>
        <w:rPr>
          <w:spacing w:val="-9"/>
        </w:rPr>
        <w:t> </w:t>
      </w:r>
      <w:r>
        <w:rPr>
          <w:spacing w:val="-2"/>
        </w:rPr>
        <w:t>League.</w:t>
      </w:r>
    </w:p>
    <w:p>
      <w:pPr>
        <w:spacing w:after="0" w:line="312" w:lineRule="auto"/>
        <w:jc w:val="both"/>
        <w:sectPr>
          <w:type w:val="continuous"/>
          <w:pgSz w:w="11910" w:h="16840"/>
          <w:pgMar w:header="1961" w:footer="1428" w:top="1920" w:bottom="28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Values</w:t>
      </w:r>
      <w:r>
        <w:rPr>
          <w:spacing w:val="-12"/>
        </w:rPr>
        <w:t> </w:t>
      </w:r>
      <w:r>
        <w:rPr/>
        <w:t>of</w:t>
      </w:r>
      <w:r>
        <w:rPr>
          <w:spacing w:val="-12"/>
        </w:rPr>
        <w:t> </w:t>
      </w:r>
      <w:r>
        <w:rPr/>
        <w:t>+1</w:t>
      </w:r>
      <w:r>
        <w:rPr>
          <w:spacing w:val="-12"/>
        </w:rPr>
        <w:t> </w:t>
      </w:r>
      <w:r>
        <w:rPr/>
        <w:t>and</w:t>
      </w:r>
      <w:r>
        <w:rPr>
          <w:spacing w:val="-12"/>
        </w:rPr>
        <w:t> </w:t>
      </w:r>
      <w:r>
        <w:rPr/>
        <w:t>+2</w:t>
      </w:r>
      <w:r>
        <w:rPr>
          <w:spacing w:val="-12"/>
        </w:rPr>
        <w:t> </w:t>
      </w:r>
      <w:r>
        <w:rPr/>
        <w:t>z-scores</w:t>
      </w:r>
      <w:r>
        <w:rPr>
          <w:spacing w:val="-12"/>
        </w:rPr>
        <w:t> </w:t>
      </w:r>
      <w:r>
        <w:rPr/>
        <w:t>were</w:t>
      </w:r>
      <w:r>
        <w:rPr>
          <w:spacing w:val="-12"/>
        </w:rPr>
        <w:t> </w:t>
      </w:r>
      <w:r>
        <w:rPr/>
        <w:t>chosen</w:t>
      </w:r>
      <w:r>
        <w:rPr>
          <w:spacing w:val="-12"/>
        </w:rPr>
        <w:t> </w:t>
      </w:r>
      <w:r>
        <w:rPr/>
        <w:t>to</w:t>
      </w:r>
      <w:r>
        <w:rPr>
          <w:spacing w:val="-12"/>
        </w:rPr>
        <w:t> </w:t>
      </w:r>
      <w:r>
        <w:rPr/>
        <w:t>represent</w:t>
      </w:r>
      <w:r>
        <w:rPr>
          <w:spacing w:val="-12"/>
        </w:rPr>
        <w:t> </w:t>
      </w:r>
      <w:r>
        <w:rPr/>
        <w:t>a</w:t>
      </w:r>
      <w:r>
        <w:rPr>
          <w:spacing w:val="-12"/>
        </w:rPr>
        <w:t> </w:t>
      </w:r>
      <w:r>
        <w:rPr/>
        <w:t>greater</w:t>
      </w:r>
      <w:r>
        <w:rPr>
          <w:spacing w:val="-12"/>
        </w:rPr>
        <w:t> </w:t>
      </w:r>
      <w:r>
        <w:rPr/>
        <w:t>and</w:t>
      </w:r>
      <w:r>
        <w:rPr>
          <w:spacing w:val="-12"/>
        </w:rPr>
        <w:t> </w:t>
      </w:r>
      <w:r>
        <w:rPr/>
        <w:t>much</w:t>
      </w:r>
      <w:r>
        <w:rPr>
          <w:spacing w:val="-12"/>
        </w:rPr>
        <w:t> </w:t>
      </w:r>
      <w:r>
        <w:rPr/>
        <w:t>greater</w:t>
      </w:r>
      <w:r>
        <w:rPr>
          <w:spacing w:val="-12"/>
        </w:rPr>
        <w:t> </w:t>
      </w:r>
      <w:r>
        <w:rPr/>
        <w:t>propor- tion</w:t>
      </w:r>
      <w:r>
        <w:rPr>
          <w:spacing w:val="-3"/>
        </w:rPr>
        <w:t> </w:t>
      </w:r>
      <w:r>
        <w:rPr/>
        <w:t>of</w:t>
      </w:r>
      <w:r>
        <w:rPr>
          <w:spacing w:val="-3"/>
        </w:rPr>
        <w:t> </w:t>
      </w:r>
      <w:r>
        <w:rPr/>
        <w:t>match</w:t>
      </w:r>
      <w:r>
        <w:rPr>
          <w:spacing w:val="-3"/>
        </w:rPr>
        <w:t> </w:t>
      </w:r>
      <w:r>
        <w:rPr/>
        <w:t>EPV</w:t>
      </w:r>
      <w:r>
        <w:rPr>
          <w:spacing w:val="-3"/>
        </w:rPr>
        <w:t> </w:t>
      </w:r>
      <w:r>
        <w:rPr/>
        <w:t>generated</w:t>
      </w:r>
      <w:r>
        <w:rPr>
          <w:spacing w:val="-3"/>
        </w:rPr>
        <w:t> </w:t>
      </w:r>
      <w:r>
        <w:rPr/>
        <w:t>by</w:t>
      </w:r>
      <w:r>
        <w:rPr>
          <w:spacing w:val="-3"/>
        </w:rPr>
        <w:t> </w:t>
      </w:r>
      <w:r>
        <w:rPr/>
        <w:t>the</w:t>
      </w:r>
      <w:r>
        <w:rPr>
          <w:spacing w:val="-3"/>
        </w:rPr>
        <w:t> </w:t>
      </w:r>
      <w:r>
        <w:rPr/>
        <w:t>zones</w:t>
      </w:r>
      <w:r>
        <w:rPr>
          <w:spacing w:val="-3"/>
        </w:rPr>
        <w:t> </w:t>
      </w:r>
      <w:r>
        <w:rPr/>
        <w:t>relative</w:t>
      </w:r>
      <w:r>
        <w:rPr>
          <w:spacing w:val="-3"/>
        </w:rPr>
        <w:t> </w:t>
      </w:r>
      <w:r>
        <w:rPr/>
        <w:t>to</w:t>
      </w:r>
      <w:r>
        <w:rPr>
          <w:spacing w:val="-3"/>
        </w:rPr>
        <w:t> </w:t>
      </w:r>
      <w:r>
        <w:rPr/>
        <w:t>the</w:t>
      </w:r>
      <w:r>
        <w:rPr>
          <w:spacing w:val="-3"/>
        </w:rPr>
        <w:t> </w:t>
      </w:r>
      <w:r>
        <w:rPr/>
        <w:t>average</w:t>
      </w:r>
      <w:r>
        <w:rPr>
          <w:spacing w:val="-3"/>
        </w:rPr>
        <w:t> </w:t>
      </w:r>
      <w:r>
        <w:rPr/>
        <w:t>team</w:t>
      </w:r>
      <w:r>
        <w:rPr>
          <w:spacing w:val="-3"/>
        </w:rPr>
        <w:t> </w:t>
      </w:r>
      <w:r>
        <w:rPr/>
        <w:t>(i.e. the</w:t>
      </w:r>
      <w:r>
        <w:rPr>
          <w:spacing w:val="-3"/>
        </w:rPr>
        <w:t> </w:t>
      </w:r>
      <w:r>
        <w:rPr/>
        <w:t>zone</w:t>
      </w:r>
      <w:r>
        <w:rPr>
          <w:spacing w:val="-3"/>
        </w:rPr>
        <w:t> </w:t>
      </w:r>
      <w:r>
        <w:rPr/>
        <w:t>was more</w:t>
      </w:r>
      <w:r>
        <w:rPr>
          <w:spacing w:val="-1"/>
        </w:rPr>
        <w:t> </w:t>
      </w:r>
      <w:r>
        <w:rPr/>
        <w:t>valuable</w:t>
      </w:r>
      <w:r>
        <w:rPr>
          <w:spacing w:val="-1"/>
        </w:rPr>
        <w:t> </w:t>
      </w:r>
      <w:r>
        <w:rPr/>
        <w:t>to</w:t>
      </w:r>
      <w:r>
        <w:rPr>
          <w:spacing w:val="-1"/>
        </w:rPr>
        <w:t> </w:t>
      </w:r>
      <w:r>
        <w:rPr/>
        <w:t>the</w:t>
      </w:r>
      <w:r>
        <w:rPr>
          <w:spacing w:val="-1"/>
        </w:rPr>
        <w:t> </w:t>
      </w:r>
      <w:r>
        <w:rPr/>
        <w:t>team), values</w:t>
      </w:r>
      <w:r>
        <w:rPr>
          <w:spacing w:val="-1"/>
        </w:rPr>
        <w:t> </w:t>
      </w:r>
      <w:r>
        <w:rPr/>
        <w:t>of</w:t>
      </w:r>
      <w:r>
        <w:rPr>
          <w:spacing w:val="-1"/>
        </w:rPr>
        <w:t> </w:t>
      </w:r>
      <w:r>
        <w:rPr/>
        <w:t>-1</w:t>
      </w:r>
      <w:r>
        <w:rPr>
          <w:spacing w:val="-1"/>
        </w:rPr>
        <w:t> </w:t>
      </w:r>
      <w:r>
        <w:rPr/>
        <w:t>and</w:t>
      </w:r>
      <w:r>
        <w:rPr>
          <w:spacing w:val="-1"/>
        </w:rPr>
        <w:t> </w:t>
      </w:r>
      <w:r>
        <w:rPr/>
        <w:t>-2</w:t>
      </w:r>
      <w:r>
        <w:rPr>
          <w:spacing w:val="-1"/>
        </w:rPr>
        <w:t> </w:t>
      </w:r>
      <w:r>
        <w:rPr/>
        <w:t>were</w:t>
      </w:r>
      <w:r>
        <w:rPr>
          <w:spacing w:val="-1"/>
        </w:rPr>
        <w:t> </w:t>
      </w:r>
      <w:r>
        <w:rPr/>
        <w:t>used</w:t>
      </w:r>
      <w:r>
        <w:rPr>
          <w:spacing w:val="-1"/>
        </w:rPr>
        <w:t> </w:t>
      </w:r>
      <w:r>
        <w:rPr/>
        <w:t>to</w:t>
      </w:r>
      <w:r>
        <w:rPr>
          <w:spacing w:val="-1"/>
        </w:rPr>
        <w:t> </w:t>
      </w:r>
      <w:r>
        <w:rPr/>
        <w:t>represent</w:t>
      </w:r>
      <w:r>
        <w:rPr>
          <w:spacing w:val="-1"/>
        </w:rPr>
        <w:t> </w:t>
      </w:r>
      <w:r>
        <w:rPr/>
        <w:t>a</w:t>
      </w:r>
      <w:r>
        <w:rPr>
          <w:spacing w:val="-1"/>
        </w:rPr>
        <w:t> </w:t>
      </w:r>
      <w:r>
        <w:rPr/>
        <w:t>lower</w:t>
      </w:r>
      <w:r>
        <w:rPr>
          <w:spacing w:val="-1"/>
        </w:rPr>
        <w:t> </w:t>
      </w:r>
      <w:r>
        <w:rPr/>
        <w:t>and</w:t>
      </w:r>
      <w:r>
        <w:rPr>
          <w:spacing w:val="-1"/>
        </w:rPr>
        <w:t> </w:t>
      </w:r>
      <w:r>
        <w:rPr/>
        <w:t>much lower proportion of match EPV generated (i.e. the zone was less valuable to the team).</w:t>
      </w:r>
    </w:p>
    <w:p>
      <w:pPr>
        <w:pStyle w:val="BodyText"/>
        <w:spacing w:before="8"/>
        <w:rPr>
          <w:sz w:val="40"/>
        </w:rPr>
      </w:pPr>
    </w:p>
    <w:p>
      <w:pPr>
        <w:pStyle w:val="Heading2"/>
        <w:numPr>
          <w:ilvl w:val="1"/>
          <w:numId w:val="18"/>
        </w:numPr>
        <w:tabs>
          <w:tab w:pos="1385" w:val="left" w:leader="none"/>
          <w:tab w:pos="1386" w:val="left" w:leader="none"/>
        </w:tabs>
        <w:spacing w:line="240" w:lineRule="auto" w:before="0" w:after="0"/>
        <w:ind w:left="1385" w:right="0" w:hanging="776"/>
        <w:jc w:val="left"/>
      </w:pPr>
      <w:bookmarkStart w:name="_TOC_250037" w:id="132"/>
      <w:bookmarkStart w:name="3.3 Results" w:id="133"/>
      <w:r>
        <w:rPr>
          <w:b w:val="0"/>
        </w:rPr>
      </w:r>
      <w:bookmarkStart w:name="_bookmark70" w:id="134"/>
      <w:bookmarkEnd w:id="132"/>
      <w:r>
        <w:rPr>
          <w:spacing w:val="-2"/>
        </w:rPr>
        <w:t>Results</w:t>
      </w:r>
    </w:p>
    <w:p>
      <w:pPr>
        <w:pStyle w:val="BodyText"/>
        <w:tabs>
          <w:tab w:pos="8539" w:val="left" w:leader="none"/>
        </w:tabs>
        <w:spacing w:line="358" w:lineRule="exact" w:before="246"/>
        <w:ind w:left="610" w:right="389"/>
      </w:pPr>
      <w:r>
        <w:rPr/>
        <w:t>The</w:t>
      </w:r>
      <w:r>
        <w:rPr>
          <w:spacing w:val="27"/>
        </w:rPr>
        <w:t> </w:t>
      </w:r>
      <w:r>
        <w:rPr/>
        <w:t>aim</w:t>
      </w:r>
      <w:r>
        <w:rPr>
          <w:spacing w:val="27"/>
        </w:rPr>
        <w:t> </w:t>
      </w:r>
      <w:r>
        <w:rPr/>
        <w:t>of</w:t>
      </w:r>
      <w:r>
        <w:rPr>
          <w:spacing w:val="27"/>
        </w:rPr>
        <w:t> </w:t>
      </w:r>
      <w:r>
        <w:rPr/>
        <w:t>this</w:t>
      </w:r>
      <w:r>
        <w:rPr>
          <w:spacing w:val="27"/>
        </w:rPr>
        <w:t> </w:t>
      </w:r>
      <w:r>
        <w:rPr/>
        <w:t>study</w:t>
      </w:r>
      <w:r>
        <w:rPr>
          <w:spacing w:val="27"/>
        </w:rPr>
        <w:t> </w:t>
      </w:r>
      <w:r>
        <w:rPr/>
        <w:t>was</w:t>
      </w:r>
      <w:r>
        <w:rPr>
          <w:spacing w:val="27"/>
        </w:rPr>
        <w:t> </w:t>
      </w:r>
      <w:r>
        <w:rPr/>
        <w:t>to</w:t>
      </w:r>
      <w:r>
        <w:rPr>
          <w:spacing w:val="27"/>
        </w:rPr>
        <w:t> </w:t>
      </w:r>
      <w:r>
        <w:rPr/>
        <w:t>apply,</w:t>
      </w:r>
      <w:r>
        <w:rPr>
          <w:spacing w:val="34"/>
        </w:rPr>
        <w:t> </w:t>
      </w:r>
      <w:r>
        <w:rPr/>
        <w:t>adapt</w:t>
      </w:r>
      <w:r>
        <w:rPr>
          <w:spacing w:val="27"/>
        </w:rPr>
        <w:t> </w:t>
      </w:r>
      <w:r>
        <w:rPr/>
        <w:t>and</w:t>
      </w:r>
      <w:r>
        <w:rPr>
          <w:spacing w:val="27"/>
        </w:rPr>
        <w:t> </w:t>
      </w:r>
      <w:r>
        <w:rPr/>
        <w:t>extend</w:t>
      </w:r>
      <w:r>
        <w:rPr>
          <w:spacing w:val="27"/>
        </w:rPr>
        <w:t> </w:t>
      </w:r>
      <w:r>
        <w:rPr/>
        <w:t>previous</w:t>
      </w:r>
      <w:r>
        <w:rPr>
          <w:spacing w:val="27"/>
        </w:rPr>
        <w:t> </w:t>
      </w:r>
      <w:r>
        <w:rPr/>
        <w:t>work</w:t>
      </w:r>
      <w:r>
        <w:rPr>
          <w:spacing w:val="27"/>
        </w:rPr>
        <w:t> </w:t>
      </w:r>
      <w:r>
        <w:rPr/>
        <w:t>in</w:t>
      </w:r>
      <w:r>
        <w:rPr>
          <w:spacing w:val="27"/>
        </w:rPr>
        <w:t> </w:t>
      </w:r>
      <w:r>
        <w:rPr/>
        <w:t>rugby</w:t>
      </w:r>
      <w:r>
        <w:rPr>
          <w:spacing w:val="27"/>
        </w:rPr>
        <w:t> </w:t>
      </w:r>
      <w:r>
        <w:rPr/>
        <w:t>league (</w:t>
      </w:r>
      <w:hyperlink w:history="true" w:anchor="_bookmark263">
        <w:r>
          <w:rPr>
            <w:color w:val="FF0000"/>
          </w:rPr>
          <w:t>Kempton et al.</w:t>
        </w:r>
      </w:hyperlink>
      <w:r>
        <w:rPr/>
        <w:t>,</w:t>
      </w:r>
      <w:hyperlink w:history="true" w:anchor="_bookmark263">
        <w:r>
          <w:rPr>
            <w:color w:val="FF0000"/>
          </w:rPr>
          <w:t>2016</w:t>
        </w:r>
        <w:r>
          <w:rPr/>
          <w:t>)</w:t>
        </w:r>
      </w:hyperlink>
      <w:r>
        <w:rPr/>
        <w:t> and football (</w:t>
      </w:r>
      <w:hyperlink w:history="true" w:anchor="_bookmark294">
        <w:r>
          <w:rPr>
            <w:color w:val="FF0000"/>
          </w:rPr>
          <w:t>Singh</w:t>
        </w:r>
        <w:r>
          <w:rPr/>
          <w:t>,</w:t>
        </w:r>
      </w:hyperlink>
      <w:r>
        <w:rPr>
          <w:color w:val="FF0000"/>
        </w:rPr>
        <w:t>n.d.</w:t>
      </w:r>
      <w:hyperlink w:history="true" w:anchor="_bookmark294">
        <w:r>
          <w:rPr/>
          <w:t>),</w:t>
        </w:r>
      </w:hyperlink>
      <w:r>
        <w:rPr>
          <w:spacing w:val="40"/>
        </w:rPr>
        <w:t> </w:t>
      </w:r>
      <w:r>
        <w:rPr/>
        <w:t>which used EPV models with arbi-</w:t>
      </w:r>
      <w:r>
        <w:rPr>
          <w:spacing w:val="80"/>
        </w:rPr>
        <w:t> </w:t>
      </w:r>
      <w:r>
        <w:rPr/>
        <w:t>trarily selected zone sizes.</w:t>
      </w:r>
      <w:r>
        <w:rPr>
          <w:spacing w:val="80"/>
        </w:rPr>
        <w:t> </w:t>
      </w:r>
      <w:r>
        <w:rPr/>
        <w:t>To achieve this aim,</w:t>
      </w:r>
      <w:r>
        <w:rPr>
          <w:spacing w:val="26"/>
        </w:rPr>
        <w:t> </w:t>
      </w:r>
      <w:r>
        <w:rPr/>
        <w:t>180 xml files provided by Opta were</w:t>
      </w:r>
      <w:r>
        <w:rPr>
          <w:spacing w:val="80"/>
        </w:rPr>
        <w:t> </w:t>
      </w:r>
      <w:r>
        <w:rPr/>
        <w:t>preprocessed into a table of 59,233 rows and 7 columns (Table</w:t>
      </w:r>
      <w:hyperlink w:history="true" w:anchor="_bookmark58">
        <w:r>
          <w:rPr>
            <w:color w:val="0000FF"/>
          </w:rPr>
          <w:t>3.4</w:t>
        </w:r>
      </w:hyperlink>
      <w:r>
        <w:rPr/>
        <w:t>).</w:t>
      </w:r>
      <w:r>
        <w:rPr>
          <w:spacing w:val="40"/>
        </w:rPr>
        <w:t> </w:t>
      </w:r>
      <w:r>
        <w:rPr/>
        <w:t>Using this data, an MRP, similar to</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produced the EPV-308 model from 308</w:t>
        <w:tab/>
      </w:r>
      <w:r>
        <w:rPr>
          <w:rFonts w:ascii="Lucida Sans Unicode" w:hAnsi="Lucida Sans Unicode"/>
        </w:rPr>
        <w:t>∼</w:t>
      </w:r>
      <w:r>
        <w:rPr>
          <w:rFonts w:ascii="Lucida Sans Unicode" w:hAnsi="Lucida Sans Unicode"/>
          <w:spacing w:val="-19"/>
        </w:rPr>
        <w:t> </w:t>
      </w:r>
      <w:r>
        <w:rPr/>
        <w:t>5m x 5m zones.</w:t>
      </w:r>
      <w:r>
        <w:rPr>
          <w:spacing w:val="40"/>
        </w:rPr>
        <w:t> </w:t>
      </w:r>
      <w:r>
        <w:rPr/>
        <w:t>To adapt and improve previous work (</w:t>
      </w:r>
      <w:hyperlink w:history="true" w:anchor="_bookmark263">
        <w:r>
          <w:rPr>
            <w:color w:val="FF0000"/>
          </w:rPr>
          <w:t>Kempton et al.</w:t>
        </w:r>
      </w:hyperlink>
      <w:r>
        <w:rPr/>
        <w:t>,</w:t>
      </w:r>
      <w:hyperlink w:history="true" w:anchor="_bookmark263">
        <w:r>
          <w:rPr>
            <w:color w:val="FF0000"/>
          </w:rPr>
          <w:t>2016</w:t>
        </w:r>
      </w:hyperlink>
      <w:r>
        <w:rPr/>
        <w:t>), five further EPV</w:t>
      </w:r>
      <w:r>
        <w:rPr>
          <w:spacing w:val="-9"/>
        </w:rPr>
        <w:t> </w:t>
      </w:r>
      <w:r>
        <w:rPr/>
        <w:t>models</w:t>
      </w:r>
      <w:r>
        <w:rPr>
          <w:spacing w:val="-10"/>
        </w:rPr>
        <w:t> </w:t>
      </w:r>
      <w:r>
        <w:rPr/>
        <w:t>were</w:t>
      </w:r>
      <w:r>
        <w:rPr>
          <w:spacing w:val="-9"/>
        </w:rPr>
        <w:t> </w:t>
      </w:r>
      <w:r>
        <w:rPr/>
        <w:t>produced</w:t>
      </w:r>
      <w:r>
        <w:rPr>
          <w:spacing w:val="-9"/>
        </w:rPr>
        <w:t> </w:t>
      </w:r>
      <w:r>
        <w:rPr/>
        <w:t>from</w:t>
      </w:r>
      <w:r>
        <w:rPr>
          <w:spacing w:val="-9"/>
        </w:rPr>
        <w:t> </w:t>
      </w:r>
      <w:r>
        <w:rPr/>
        <w:t>the</w:t>
      </w:r>
      <w:r>
        <w:rPr>
          <w:spacing w:val="-9"/>
        </w:rPr>
        <w:t> </w:t>
      </w:r>
      <w:r>
        <w:rPr/>
        <w:t>EPV-308</w:t>
      </w:r>
      <w:r>
        <w:rPr>
          <w:spacing w:val="-9"/>
        </w:rPr>
        <w:t> </w:t>
      </w:r>
      <w:r>
        <w:rPr/>
        <w:t>zones.</w:t>
      </w:r>
      <w:r>
        <w:rPr>
          <w:spacing w:val="5"/>
        </w:rPr>
        <w:t> </w:t>
      </w:r>
      <w:r>
        <w:rPr/>
        <w:t>In</w:t>
      </w:r>
      <w:r>
        <w:rPr>
          <w:spacing w:val="-9"/>
        </w:rPr>
        <w:t> </w:t>
      </w:r>
      <w:r>
        <w:rPr/>
        <w:t>total,</w:t>
      </w:r>
      <w:r>
        <w:rPr>
          <w:spacing w:val="-9"/>
        </w:rPr>
        <w:t> </w:t>
      </w:r>
      <w:r>
        <w:rPr/>
        <w:t>six</w:t>
      </w:r>
      <w:r>
        <w:rPr>
          <w:spacing w:val="-9"/>
        </w:rPr>
        <w:t> </w:t>
      </w:r>
      <w:r>
        <w:rPr/>
        <w:t>models</w:t>
      </w:r>
      <w:r>
        <w:rPr>
          <w:spacing w:val="-9"/>
        </w:rPr>
        <w:t> </w:t>
      </w:r>
      <w:r>
        <w:rPr/>
        <w:t>were</w:t>
      </w:r>
      <w:r>
        <w:rPr>
          <w:spacing w:val="-9"/>
        </w:rPr>
        <w:t> </w:t>
      </w:r>
      <w:r>
        <w:rPr>
          <w:spacing w:val="-2"/>
        </w:rPr>
        <w:t>produced</w:t>
      </w:r>
    </w:p>
    <w:p>
      <w:pPr>
        <w:pStyle w:val="BodyText"/>
        <w:spacing w:line="312" w:lineRule="auto" w:before="66"/>
        <w:ind w:left="610" w:right="389"/>
        <w:jc w:val="both"/>
      </w:pPr>
      <w:r>
        <w:rPr/>
        <w:t>- two with fixed zone sizes:</w:t>
      </w:r>
      <w:r>
        <w:rPr>
          <w:spacing w:val="40"/>
        </w:rPr>
        <w:t> </w:t>
      </w:r>
      <w:r>
        <w:rPr/>
        <w:t>EPV-308 and EPV-77; and four with zones aggregated or differentiated</w:t>
      </w:r>
      <w:r>
        <w:rPr>
          <w:spacing w:val="-6"/>
        </w:rPr>
        <w:t> </w:t>
      </w:r>
      <w:r>
        <w:rPr/>
        <w:t>based</w:t>
      </w:r>
      <w:r>
        <w:rPr>
          <w:spacing w:val="-6"/>
        </w:rPr>
        <w:t> </w:t>
      </w:r>
      <w:r>
        <w:rPr/>
        <w:t>on</w:t>
      </w:r>
      <w:r>
        <w:rPr>
          <w:spacing w:val="-6"/>
        </w:rPr>
        <w:t> </w:t>
      </w:r>
      <w:r>
        <w:rPr/>
        <w:t>statistical</w:t>
      </w:r>
      <w:r>
        <w:rPr>
          <w:spacing w:val="-6"/>
        </w:rPr>
        <w:t> </w:t>
      </w:r>
      <w:r>
        <w:rPr/>
        <w:t>evaluation</w:t>
      </w:r>
      <w:r>
        <w:rPr>
          <w:spacing w:val="-6"/>
        </w:rPr>
        <w:t> </w:t>
      </w:r>
      <w:r>
        <w:rPr/>
        <w:t>of</w:t>
      </w:r>
      <w:r>
        <w:rPr>
          <w:spacing w:val="-6"/>
        </w:rPr>
        <w:t> </w:t>
      </w:r>
      <w:r>
        <w:rPr/>
        <w:t>their</w:t>
      </w:r>
      <w:r>
        <w:rPr>
          <w:spacing w:val="-6"/>
        </w:rPr>
        <w:t> </w:t>
      </w:r>
      <w:r>
        <w:rPr/>
        <w:t>column</w:t>
      </w:r>
      <w:r>
        <w:rPr>
          <w:spacing w:val="-6"/>
        </w:rPr>
        <w:t> </w:t>
      </w:r>
      <w:r>
        <w:rPr/>
        <w:t>and</w:t>
      </w:r>
      <w:r>
        <w:rPr>
          <w:spacing w:val="-6"/>
        </w:rPr>
        <w:t> </w:t>
      </w:r>
      <w:r>
        <w:rPr/>
        <w:t>row</w:t>
      </w:r>
      <w:r>
        <w:rPr>
          <w:spacing w:val="-6"/>
        </w:rPr>
        <w:t> </w:t>
      </w:r>
      <w:r>
        <w:rPr/>
        <w:t>match</w:t>
      </w:r>
      <w:r>
        <w:rPr>
          <w:spacing w:val="-6"/>
        </w:rPr>
        <w:t> </w:t>
      </w:r>
      <w:r>
        <w:rPr/>
        <w:t>EPVs: </w:t>
      </w:r>
      <w:r>
        <w:rPr/>
        <w:t>EPV</w:t>
      </w:r>
      <w:r>
        <w:rPr/>
        <w:t>-</w:t>
      </w:r>
      <w:r>
        <w:rPr/>
        <w:t> 37, EPV-19, EPV-13 and EPV-9.</w:t>
      </w:r>
      <w:r>
        <w:rPr>
          <w:spacing w:val="40"/>
        </w:rPr>
        <w:t> </w:t>
      </w:r>
      <w:r>
        <w:rPr/>
        <w:t>The KL Divergence was used to empirically evaluate the zone configurations’ ability to reproduce future team attacking performances.</w:t>
      </w:r>
      <w:r>
        <w:rPr>
          <w:spacing w:val="77"/>
        </w:rPr>
        <w:t> </w:t>
      </w:r>
      <w:r>
        <w:rPr/>
        <w:t>The</w:t>
      </w:r>
      <w:r>
        <w:rPr/>
        <w:t> EPV-19 was validated as the most suitable model for use within rugby league.</w:t>
      </w:r>
      <w:r>
        <w:rPr>
          <w:spacing w:val="52"/>
        </w:rPr>
        <w:t> </w:t>
      </w:r>
      <w:r>
        <w:rPr/>
        <w:t>Z-score</w:t>
      </w:r>
      <w:r>
        <w:rPr/>
        <w:t> analysis</w:t>
      </w:r>
      <w:r>
        <w:rPr>
          <w:spacing w:val="-8"/>
        </w:rPr>
        <w:t> </w:t>
      </w:r>
      <w:r>
        <w:rPr/>
        <w:t>was</w:t>
      </w:r>
      <w:r>
        <w:rPr>
          <w:spacing w:val="-8"/>
        </w:rPr>
        <w:t> </w:t>
      </w:r>
      <w:r>
        <w:rPr/>
        <w:t>proposed</w:t>
      </w:r>
      <w:r>
        <w:rPr>
          <w:spacing w:val="-8"/>
        </w:rPr>
        <w:t> </w:t>
      </w:r>
      <w:r>
        <w:rPr/>
        <w:t>as</w:t>
      </w:r>
      <w:r>
        <w:rPr>
          <w:spacing w:val="-8"/>
        </w:rPr>
        <w:t> </w:t>
      </w:r>
      <w:r>
        <w:rPr/>
        <w:t>a</w:t>
      </w:r>
      <w:r>
        <w:rPr>
          <w:spacing w:val="-8"/>
        </w:rPr>
        <w:t> </w:t>
      </w:r>
      <w:r>
        <w:rPr/>
        <w:t>novel</w:t>
      </w:r>
      <w:r>
        <w:rPr>
          <w:spacing w:val="-8"/>
        </w:rPr>
        <w:t> </w:t>
      </w:r>
      <w:r>
        <w:rPr/>
        <w:t>method</w:t>
      </w:r>
      <w:r>
        <w:rPr>
          <w:spacing w:val="-8"/>
        </w:rPr>
        <w:t> </w:t>
      </w:r>
      <w:r>
        <w:rPr/>
        <w:t>of</w:t>
      </w:r>
      <w:r>
        <w:rPr>
          <w:spacing w:val="-8"/>
        </w:rPr>
        <w:t> </w:t>
      </w:r>
      <w:r>
        <w:rPr/>
        <w:t>quantifying</w:t>
      </w:r>
      <w:r>
        <w:rPr>
          <w:spacing w:val="-8"/>
        </w:rPr>
        <w:t> </w:t>
      </w:r>
      <w:r>
        <w:rPr/>
        <w:t>the</w:t>
      </w:r>
      <w:r>
        <w:rPr>
          <w:spacing w:val="-8"/>
        </w:rPr>
        <w:t> </w:t>
      </w:r>
      <w:r>
        <w:rPr/>
        <w:t>differences</w:t>
      </w:r>
      <w:r>
        <w:rPr>
          <w:spacing w:val="-8"/>
        </w:rPr>
        <w:t> </w:t>
      </w:r>
      <w:r>
        <w:rPr/>
        <w:t>in</w:t>
      </w:r>
      <w:r>
        <w:rPr>
          <w:spacing w:val="-8"/>
        </w:rPr>
        <w:t> </w:t>
      </w:r>
      <w:r>
        <w:rPr/>
        <w:t>team</w:t>
      </w:r>
      <w:r>
        <w:rPr>
          <w:spacing w:val="-8"/>
        </w:rPr>
        <w:t> </w:t>
      </w:r>
      <w:r>
        <w:rPr/>
        <w:t>attacking performances across the 2019 Super League season using the EPV-19.</w:t>
      </w:r>
    </w:p>
    <w:p>
      <w:pPr>
        <w:pStyle w:val="BodyText"/>
        <w:spacing w:before="6"/>
        <w:rPr>
          <w:sz w:val="34"/>
        </w:rPr>
      </w:pPr>
    </w:p>
    <w:p>
      <w:pPr>
        <w:pStyle w:val="Heading3"/>
        <w:numPr>
          <w:ilvl w:val="2"/>
          <w:numId w:val="18"/>
        </w:numPr>
        <w:tabs>
          <w:tab w:pos="1471" w:val="left" w:leader="none"/>
          <w:tab w:pos="1472" w:val="left" w:leader="none"/>
        </w:tabs>
        <w:spacing w:line="240" w:lineRule="auto" w:before="1" w:after="0"/>
        <w:ind w:left="1471" w:right="0" w:hanging="862"/>
        <w:jc w:val="left"/>
      </w:pPr>
      <w:bookmarkStart w:name="_TOC_250036" w:id="135"/>
      <w:bookmarkStart w:name="3.3.1 EPV models" w:id="136"/>
      <w:r>
        <w:rPr>
          <w:b w:val="0"/>
        </w:rPr>
      </w:r>
      <w:bookmarkStart w:name="_bookmark71" w:id="137"/>
      <w:bookmarkEnd w:id="137"/>
      <w:r>
        <w:rPr/>
        <w:t>EPV</w:t>
      </w:r>
      <w:r>
        <w:rPr>
          <w:spacing w:val="12"/>
        </w:rPr>
        <w:t> </w:t>
      </w:r>
      <w:bookmarkEnd w:id="135"/>
      <w:r>
        <w:rPr>
          <w:spacing w:val="-2"/>
        </w:rPr>
        <w:t>models</w:t>
      </w:r>
    </w:p>
    <w:p>
      <w:pPr>
        <w:pStyle w:val="BodyText"/>
        <w:spacing w:line="247" w:lineRule="auto" w:before="196"/>
        <w:ind w:left="610" w:right="389"/>
      </w:pPr>
      <w:r>
        <w:rPr/>
        <w:t>Six EPV models were developed in this study, two with fixed zone sizes:</w:t>
      </w:r>
      <w:r>
        <w:rPr>
          <w:spacing w:val="39"/>
        </w:rPr>
        <w:t> </w:t>
      </w:r>
      <w:r>
        <w:rPr/>
        <w:t>EPV-308 (</w:t>
      </w:r>
      <w:r>
        <w:rPr>
          <w:rFonts w:ascii="Lucida Sans Unicode" w:hAnsi="Lucida Sans Unicode"/>
        </w:rPr>
        <w:t>∼ </w:t>
      </w:r>
      <w:r>
        <w:rPr/>
        <w:t>5m</w:t>
      </w:r>
      <w:r>
        <w:rPr>
          <w:spacing w:val="-3"/>
        </w:rPr>
        <w:t> </w:t>
      </w:r>
      <w:r>
        <w:rPr/>
        <w:t>x</w:t>
      </w:r>
      <w:r>
        <w:rPr>
          <w:spacing w:val="-4"/>
        </w:rPr>
        <w:t> </w:t>
      </w:r>
      <w:r>
        <w:rPr/>
        <w:t>5m</w:t>
      </w:r>
      <w:r>
        <w:rPr>
          <w:spacing w:val="-3"/>
        </w:rPr>
        <w:t> </w:t>
      </w:r>
      <w:r>
        <w:rPr/>
        <w:t>zones),</w:t>
      </w:r>
      <w:r>
        <w:rPr>
          <w:spacing w:val="-3"/>
        </w:rPr>
        <w:t> </w:t>
      </w:r>
      <w:r>
        <w:rPr/>
        <w:t>EPV-77</w:t>
      </w:r>
      <w:r>
        <w:rPr>
          <w:spacing w:val="-3"/>
        </w:rPr>
        <w:t> </w:t>
      </w:r>
      <w:r>
        <w:rPr/>
        <w:t>(</w:t>
      </w:r>
      <w:r>
        <w:rPr>
          <w:rFonts w:ascii="Lucida Sans Unicode" w:hAnsi="Lucida Sans Unicode"/>
        </w:rPr>
        <w:t>∼</w:t>
      </w:r>
      <w:r>
        <w:rPr>
          <w:rFonts w:ascii="Lucida Sans Unicode" w:hAnsi="Lucida Sans Unicode"/>
          <w:spacing w:val="-19"/>
        </w:rPr>
        <w:t> </w:t>
      </w:r>
      <w:r>
        <w:rPr/>
        <w:t>10m</w:t>
      </w:r>
      <w:r>
        <w:rPr>
          <w:spacing w:val="-3"/>
        </w:rPr>
        <w:t> </w:t>
      </w:r>
      <w:r>
        <w:rPr/>
        <w:t>x</w:t>
      </w:r>
      <w:r>
        <w:rPr>
          <w:spacing w:val="-4"/>
        </w:rPr>
        <w:t> </w:t>
      </w:r>
      <w:r>
        <w:rPr/>
        <w:t>10m</w:t>
      </w:r>
      <w:r>
        <w:rPr>
          <w:spacing w:val="-3"/>
        </w:rPr>
        <w:t> </w:t>
      </w:r>
      <w:r>
        <w:rPr/>
        <w:t>zones,</w:t>
      </w:r>
      <w:r>
        <w:rPr>
          <w:spacing w:val="-3"/>
        </w:rPr>
        <w:t> </w:t>
      </w:r>
      <w:r>
        <w:rPr/>
        <w:t>equivalent</w:t>
      </w:r>
      <w:r>
        <w:rPr>
          <w:spacing w:val="-3"/>
        </w:rPr>
        <w:t> </w:t>
      </w:r>
      <w:r>
        <w:rPr/>
        <w:t>to</w:t>
      </w:r>
      <w:hyperlink w:history="true" w:anchor="_bookmark263">
        <w:r>
          <w:rPr>
            <w:color w:val="FF0000"/>
          </w:rPr>
          <w:t>Kempton</w:t>
        </w:r>
        <w:r>
          <w:rPr>
            <w:color w:val="FF0000"/>
            <w:spacing w:val="-4"/>
          </w:rPr>
          <w:t> </w:t>
        </w:r>
        <w:r>
          <w:rPr>
            <w:color w:val="FF0000"/>
          </w:rPr>
          <w:t>et</w:t>
        </w:r>
        <w:r>
          <w:rPr>
            <w:color w:val="FF0000"/>
            <w:spacing w:val="-3"/>
          </w:rPr>
          <w:t> </w:t>
        </w:r>
        <w:r>
          <w:rPr>
            <w:color w:val="FF0000"/>
          </w:rPr>
          <w:t>al.</w:t>
        </w:r>
        <w:r>
          <w:rPr/>
          <w:t>(</w:t>
        </w:r>
      </w:hyperlink>
      <w:hyperlink w:history="true" w:anchor="_bookmark263">
        <w:r>
          <w:rPr>
            <w:color w:val="FF0000"/>
          </w:rPr>
          <w:t>2016</w:t>
        </w:r>
      </w:hyperlink>
      <w:r>
        <w:rPr/>
        <w:t>));</w:t>
      </w:r>
      <w:r>
        <w:rPr>
          <w:spacing w:val="-3"/>
        </w:rPr>
        <w:t> </w:t>
      </w:r>
      <w:r>
        <w:rPr/>
        <w:t>and four</w:t>
      </w:r>
      <w:r>
        <w:rPr>
          <w:spacing w:val="-15"/>
        </w:rPr>
        <w:t> </w:t>
      </w:r>
      <w:r>
        <w:rPr/>
        <w:t>with</w:t>
      </w:r>
      <w:r>
        <w:rPr>
          <w:spacing w:val="-15"/>
        </w:rPr>
        <w:t> </w:t>
      </w:r>
      <w:r>
        <w:rPr/>
        <w:t>statistically</w:t>
      </w:r>
      <w:r>
        <w:rPr>
          <w:spacing w:val="-15"/>
        </w:rPr>
        <w:t> </w:t>
      </w:r>
      <w:r>
        <w:rPr/>
        <w:t>calculated</w:t>
      </w:r>
      <w:r>
        <w:rPr>
          <w:spacing w:val="-15"/>
        </w:rPr>
        <w:t> </w:t>
      </w:r>
      <w:r>
        <w:rPr/>
        <w:t>variable</w:t>
      </w:r>
      <w:r>
        <w:rPr>
          <w:spacing w:val="-15"/>
        </w:rPr>
        <w:t> </w:t>
      </w:r>
      <w:r>
        <w:rPr/>
        <w:t>zone</w:t>
      </w:r>
      <w:r>
        <w:rPr>
          <w:spacing w:val="-15"/>
        </w:rPr>
        <w:t> </w:t>
      </w:r>
      <w:r>
        <w:rPr/>
        <w:t>sizes:</w:t>
      </w:r>
      <w:r>
        <w:rPr>
          <w:spacing w:val="-11"/>
        </w:rPr>
        <w:t> </w:t>
      </w:r>
      <w:r>
        <w:rPr/>
        <w:t>EPV-37,</w:t>
      </w:r>
      <w:r>
        <w:rPr>
          <w:spacing w:val="-15"/>
        </w:rPr>
        <w:t> </w:t>
      </w:r>
      <w:r>
        <w:rPr/>
        <w:t>EPV-19,</w:t>
      </w:r>
      <w:r>
        <w:rPr>
          <w:spacing w:val="-15"/>
        </w:rPr>
        <w:t> </w:t>
      </w:r>
      <w:r>
        <w:rPr/>
        <w:t>EPV-13</w:t>
      </w:r>
      <w:r>
        <w:rPr>
          <w:spacing w:val="-15"/>
        </w:rPr>
        <w:t> </w:t>
      </w:r>
      <w:r>
        <w:rPr/>
        <w:t>and</w:t>
      </w:r>
      <w:r>
        <w:rPr>
          <w:spacing w:val="-15"/>
        </w:rPr>
        <w:t> </w:t>
      </w:r>
      <w:r>
        <w:rPr/>
        <w:t>EPV-</w:t>
      </w:r>
    </w:p>
    <w:p>
      <w:pPr>
        <w:pStyle w:val="BodyText"/>
        <w:spacing w:line="312" w:lineRule="auto" w:before="71"/>
        <w:ind w:left="610" w:right="389"/>
      </w:pPr>
      <w:r>
        <w:rPr/>
        <w:t>9. Figure</w:t>
      </w:r>
      <w:hyperlink w:history="true" w:anchor="_bookmark72">
        <w:r>
          <w:rPr>
            <w:color w:val="0000FF"/>
          </w:rPr>
          <w:t>3.6</w:t>
        </w:r>
      </w:hyperlink>
      <w:r>
        <w:rPr/>
        <w:t>illustrates the zone values for all six EPV models. Tables</w:t>
      </w:r>
      <w:r>
        <w:rPr>
          <w:color w:val="0000FF"/>
        </w:rPr>
        <w:t>3.5</w:t>
      </w:r>
      <w:hyperlink w:history="true" w:anchor="_bookmark73">
        <w:r>
          <w:rPr/>
          <w:t>to</w:t>
        </w:r>
      </w:hyperlink>
      <w:r>
        <w:rPr>
          <w:color w:val="0000FF"/>
        </w:rPr>
        <w:t>3.16</w:t>
      </w:r>
      <w:r>
        <w:rPr/>
        <w:t>outline</w:t>
      </w:r>
      <w:r>
        <w:rPr/>
        <w:t> </w:t>
      </w:r>
      <w:r>
        <w:rPr>
          <w:spacing w:val="-2"/>
        </w:rPr>
        <w:t>the</w:t>
      </w:r>
      <w:r>
        <w:rPr>
          <w:spacing w:val="-8"/>
        </w:rPr>
        <w:t> </w:t>
      </w:r>
      <w:r>
        <w:rPr>
          <w:spacing w:val="-2"/>
        </w:rPr>
        <w:t>results</w:t>
      </w:r>
      <w:r>
        <w:rPr>
          <w:spacing w:val="-8"/>
        </w:rPr>
        <w:t> </w:t>
      </w:r>
      <w:r>
        <w:rPr>
          <w:spacing w:val="-2"/>
        </w:rPr>
        <w:t>of</w:t>
      </w:r>
      <w:r>
        <w:rPr>
          <w:spacing w:val="-8"/>
        </w:rPr>
        <w:t> </w:t>
      </w:r>
      <w:r>
        <w:rPr>
          <w:spacing w:val="-2"/>
        </w:rPr>
        <w:t>the</w:t>
      </w:r>
      <w:r>
        <w:rPr>
          <w:spacing w:val="-8"/>
        </w:rPr>
        <w:t> </w:t>
      </w:r>
      <w:r>
        <w:rPr>
          <w:spacing w:val="-2"/>
        </w:rPr>
        <w:t>statistical</w:t>
      </w:r>
      <w:r>
        <w:rPr>
          <w:spacing w:val="-8"/>
        </w:rPr>
        <w:t> </w:t>
      </w:r>
      <w:r>
        <w:rPr>
          <w:spacing w:val="-2"/>
        </w:rPr>
        <w:t>analyses</w:t>
      </w:r>
      <w:r>
        <w:rPr>
          <w:spacing w:val="-8"/>
        </w:rPr>
        <w:t> </w:t>
      </w:r>
      <w:r>
        <w:rPr>
          <w:spacing w:val="-2"/>
        </w:rPr>
        <w:t>conducted</w:t>
      </w:r>
      <w:r>
        <w:rPr>
          <w:spacing w:val="-8"/>
        </w:rPr>
        <w:t> </w:t>
      </w:r>
      <w:r>
        <w:rPr>
          <w:spacing w:val="-2"/>
        </w:rPr>
        <w:t>to</w:t>
      </w:r>
      <w:r>
        <w:rPr>
          <w:spacing w:val="-8"/>
        </w:rPr>
        <w:t> </w:t>
      </w:r>
      <w:r>
        <w:rPr>
          <w:spacing w:val="-2"/>
        </w:rPr>
        <w:t>obtain</w:t>
      </w:r>
      <w:r>
        <w:rPr>
          <w:spacing w:val="-8"/>
        </w:rPr>
        <w:t> </w:t>
      </w:r>
      <w:r>
        <w:rPr>
          <w:spacing w:val="-2"/>
        </w:rPr>
        <w:t>the</w:t>
      </w:r>
      <w:r>
        <w:rPr>
          <w:spacing w:val="-8"/>
        </w:rPr>
        <w:t> </w:t>
      </w:r>
      <w:r>
        <w:rPr>
          <w:spacing w:val="-2"/>
        </w:rPr>
        <w:t>four</w:t>
      </w:r>
      <w:r>
        <w:rPr>
          <w:spacing w:val="-8"/>
        </w:rPr>
        <w:t> </w:t>
      </w:r>
      <w:r>
        <w:rPr>
          <w:spacing w:val="-2"/>
        </w:rPr>
        <w:t>variable</w:t>
      </w:r>
      <w:r>
        <w:rPr>
          <w:spacing w:val="-8"/>
        </w:rPr>
        <w:t> </w:t>
      </w:r>
      <w:r>
        <w:rPr>
          <w:spacing w:val="-2"/>
        </w:rPr>
        <w:t>zone</w:t>
      </w:r>
      <w:r>
        <w:rPr>
          <w:spacing w:val="-8"/>
        </w:rPr>
        <w:t> </w:t>
      </w:r>
      <w:r>
        <w:rPr>
          <w:spacing w:val="-2"/>
        </w:rPr>
        <w:t>size</w:t>
      </w:r>
      <w:r>
        <w:rPr>
          <w:spacing w:val="-8"/>
        </w:rPr>
        <w:t> </w:t>
      </w:r>
      <w:r>
        <w:rPr>
          <w:spacing w:val="-2"/>
        </w:rPr>
        <w:t>model</w:t>
      </w:r>
      <w:r>
        <w:rPr>
          <w:spacing w:val="-2"/>
        </w:rPr>
        <w:t>s</w:t>
      </w:r>
      <w:r>
        <w:rPr>
          <w:spacing w:val="-2"/>
        </w:rPr>
        <w:t> </w:t>
      </w:r>
      <w:r>
        <w:rPr/>
        <w:t>(EPV-37, EPV-19, EPV-13, EPV-9).</w:t>
      </w:r>
      <w:r>
        <w:rPr>
          <w:spacing w:val="40"/>
        </w:rPr>
        <w:t> </w:t>
      </w:r>
      <w:r>
        <w:rPr/>
        <w:t>Tables</w:t>
      </w:r>
      <w:hyperlink w:history="true" w:anchor="_bookmark73">
        <w:r>
          <w:rPr>
            <w:color w:val="0000FF"/>
          </w:rPr>
          <w:t>3.5</w:t>
        </w:r>
      </w:hyperlink>
      <w:r>
        <w:rPr/>
        <w:t>and</w:t>
      </w:r>
      <w:r>
        <w:rPr>
          <w:color w:val="0000FF"/>
        </w:rPr>
        <w:t>3.6</w:t>
      </w:r>
      <w:r>
        <w:rPr/>
        <w:t>provide the column match EPV and row match EPV respectively for the EPV-308. Tables</w:t>
      </w:r>
      <w:hyperlink w:history="true" w:anchor="_bookmark75">
        <w:r>
          <w:rPr>
            <w:color w:val="0000FF"/>
          </w:rPr>
          <w:t>3.7</w:t>
        </w:r>
      </w:hyperlink>
      <w:r>
        <w:rPr/>
        <w:t>and</w:t>
      </w:r>
      <w:r>
        <w:rPr>
          <w:color w:val="0000FF"/>
        </w:rPr>
        <w:t>3.8</w:t>
      </w:r>
      <w:r>
        <w:rPr/>
        <w:t>outline the column and row match EPVs, aggregated after visual inspection, from which the statistical tests for the EPV-37, EPV-19, EPV-13, EPV-9 began.</w:t>
      </w:r>
    </w:p>
    <w:p>
      <w:pPr>
        <w:spacing w:after="0" w:line="312" w:lineRule="auto"/>
        <w:sectPr>
          <w:headerReference w:type="default" r:id="rId66"/>
          <w:footerReference w:type="default" r:id="rId67"/>
          <w:pgSz w:w="11910" w:h="16840"/>
          <w:pgMar w:header="1961" w:footer="1428" w:top="2280" w:bottom="1620" w:left="1680" w:right="720"/>
        </w:sectPr>
      </w:pPr>
    </w:p>
    <w:p>
      <w:pPr>
        <w:pStyle w:val="BodyText"/>
        <w:rPr>
          <w:sz w:val="20"/>
        </w:rPr>
      </w:pPr>
    </w:p>
    <w:p>
      <w:pPr>
        <w:pStyle w:val="BodyText"/>
        <w:spacing w:before="4" w:after="1"/>
        <w:rPr>
          <w:sz w:val="28"/>
        </w:rPr>
      </w:pPr>
    </w:p>
    <w:p>
      <w:pPr>
        <w:pStyle w:val="BodyText"/>
        <w:ind w:left="1770"/>
        <w:rPr>
          <w:sz w:val="20"/>
        </w:rPr>
      </w:pPr>
      <w:r>
        <w:rPr>
          <w:sz w:val="20"/>
        </w:rPr>
        <w:drawing>
          <wp:inline distT="0" distB="0" distL="0" distR="0">
            <wp:extent cx="3991355" cy="4433697"/>
            <wp:effectExtent l="0" t="0" r="0" b="0"/>
            <wp:docPr id="45" name="image23.jpeg"/>
            <wp:cNvGraphicFramePr>
              <a:graphicFrameLocks noChangeAspect="1"/>
            </wp:cNvGraphicFramePr>
            <a:graphic>
              <a:graphicData uri="http://schemas.openxmlformats.org/drawingml/2006/picture">
                <pic:pic>
                  <pic:nvPicPr>
                    <pic:cNvPr id="46" name="image23.jpeg"/>
                    <pic:cNvPicPr/>
                  </pic:nvPicPr>
                  <pic:blipFill>
                    <a:blip r:embed="rId68" cstate="print"/>
                    <a:stretch>
                      <a:fillRect/>
                    </a:stretch>
                  </pic:blipFill>
                  <pic:spPr>
                    <a:xfrm>
                      <a:off x="0" y="0"/>
                      <a:ext cx="3991355" cy="4433697"/>
                    </a:xfrm>
                    <a:prstGeom prst="rect">
                      <a:avLst/>
                    </a:prstGeom>
                  </pic:spPr>
                </pic:pic>
              </a:graphicData>
            </a:graphic>
          </wp:inline>
        </w:drawing>
      </w:r>
      <w:r>
        <w:rPr>
          <w:sz w:val="20"/>
        </w:rPr>
      </w:r>
    </w:p>
    <w:p>
      <w:pPr>
        <w:pStyle w:val="BodyText"/>
        <w:spacing w:before="172"/>
        <w:ind w:left="610"/>
        <w:jc w:val="both"/>
      </w:pPr>
      <w:bookmarkStart w:name="_bookmark72" w:id="138"/>
      <w:bookmarkEnd w:id="138"/>
      <w:r>
        <w:rPr/>
      </w:r>
      <w:r>
        <w:rPr>
          <w:b/>
          <w:spacing w:val="-2"/>
        </w:rPr>
        <w:t>Figure</w:t>
      </w:r>
      <w:r>
        <w:rPr>
          <w:b/>
          <w:spacing w:val="-13"/>
        </w:rPr>
        <w:t> </w:t>
      </w:r>
      <w:r>
        <w:rPr>
          <w:b/>
          <w:spacing w:val="-2"/>
        </w:rPr>
        <w:t>3.6:</w:t>
      </w:r>
      <w:r>
        <w:rPr>
          <w:b/>
          <w:spacing w:val="-11"/>
        </w:rPr>
        <w:t> </w:t>
      </w:r>
      <w:r>
        <w:rPr>
          <w:spacing w:val="-2"/>
        </w:rPr>
        <w:t>EPV-308</w:t>
      </w:r>
      <w:r>
        <w:rPr>
          <w:spacing w:val="-13"/>
        </w:rPr>
        <w:t> </w:t>
      </w:r>
      <w:r>
        <w:rPr>
          <w:spacing w:val="-2"/>
        </w:rPr>
        <w:t>(A),</w:t>
      </w:r>
      <w:r>
        <w:rPr>
          <w:spacing w:val="-13"/>
        </w:rPr>
        <w:t> </w:t>
      </w:r>
      <w:r>
        <w:rPr>
          <w:spacing w:val="-2"/>
        </w:rPr>
        <w:t>EPV-77</w:t>
      </w:r>
      <w:r>
        <w:rPr>
          <w:spacing w:val="-13"/>
        </w:rPr>
        <w:t> </w:t>
      </w:r>
      <w:r>
        <w:rPr>
          <w:spacing w:val="-2"/>
        </w:rPr>
        <w:t>(B),</w:t>
      </w:r>
      <w:r>
        <w:rPr>
          <w:spacing w:val="-13"/>
        </w:rPr>
        <w:t> </w:t>
      </w:r>
      <w:r>
        <w:rPr>
          <w:spacing w:val="-2"/>
        </w:rPr>
        <w:t>EPV-37</w:t>
      </w:r>
      <w:r>
        <w:rPr>
          <w:spacing w:val="-13"/>
        </w:rPr>
        <w:t> </w:t>
      </w:r>
      <w:r>
        <w:rPr>
          <w:spacing w:val="-2"/>
        </w:rPr>
        <w:t>(C),</w:t>
      </w:r>
      <w:r>
        <w:rPr>
          <w:spacing w:val="-13"/>
        </w:rPr>
        <w:t> </w:t>
      </w:r>
      <w:r>
        <w:rPr>
          <w:spacing w:val="-2"/>
        </w:rPr>
        <w:t>EPV-19</w:t>
      </w:r>
      <w:r>
        <w:rPr>
          <w:spacing w:val="-13"/>
        </w:rPr>
        <w:t> </w:t>
      </w:r>
      <w:r>
        <w:rPr>
          <w:spacing w:val="-2"/>
        </w:rPr>
        <w:t>(D),</w:t>
      </w:r>
      <w:r>
        <w:rPr>
          <w:spacing w:val="-13"/>
        </w:rPr>
        <w:t> </w:t>
      </w:r>
      <w:r>
        <w:rPr>
          <w:spacing w:val="-2"/>
        </w:rPr>
        <w:t>EPV-13</w:t>
      </w:r>
      <w:r>
        <w:rPr>
          <w:spacing w:val="-13"/>
        </w:rPr>
        <w:t> </w:t>
      </w:r>
      <w:r>
        <w:rPr>
          <w:spacing w:val="-2"/>
        </w:rPr>
        <w:t>(E),</w:t>
      </w:r>
      <w:r>
        <w:rPr>
          <w:spacing w:val="-13"/>
        </w:rPr>
        <w:t> </w:t>
      </w:r>
      <w:r>
        <w:rPr>
          <w:spacing w:val="-2"/>
        </w:rPr>
        <w:t>EPV-9</w:t>
      </w:r>
      <w:r>
        <w:rPr>
          <w:spacing w:val="-13"/>
        </w:rPr>
        <w:t> </w:t>
      </w:r>
      <w:r>
        <w:rPr>
          <w:spacing w:val="-4"/>
        </w:rPr>
        <w:t>(F).</w:t>
      </w:r>
    </w:p>
    <w:p>
      <w:pPr>
        <w:pStyle w:val="BodyText"/>
        <w:spacing w:line="252" w:lineRule="auto" w:before="13"/>
        <w:ind w:left="610" w:right="389"/>
        <w:jc w:val="both"/>
      </w:pPr>
      <w:r>
        <w:rPr/>
        <w:t>These are the six EPV-models produced in this study, where the number represents </w:t>
      </w:r>
      <w:r>
        <w:rPr/>
        <w:t>the number of zones present within the model.</w:t>
      </w:r>
      <w:r>
        <w:rPr>
          <w:spacing w:val="40"/>
        </w:rPr>
        <w:t> </w:t>
      </w:r>
      <w:r>
        <w:rPr/>
        <w:t>Lines represent the 20m line and 50m line. All zone values are shaded to the same scale.</w:t>
      </w:r>
    </w:p>
    <w:p>
      <w:pPr>
        <w:pStyle w:val="BodyText"/>
        <w:rPr>
          <w:sz w:val="28"/>
        </w:rPr>
      </w:pPr>
    </w:p>
    <w:p>
      <w:pPr>
        <w:pStyle w:val="BodyText"/>
        <w:spacing w:before="1"/>
        <w:rPr>
          <w:sz w:val="32"/>
        </w:rPr>
      </w:pPr>
    </w:p>
    <w:p>
      <w:pPr>
        <w:pStyle w:val="BodyText"/>
        <w:spacing w:line="312" w:lineRule="auto"/>
        <w:ind w:left="610" w:right="389" w:firstLine="351"/>
      </w:pPr>
      <w:r>
        <w:rPr/>
        <w:t>The</w:t>
      </w:r>
      <w:r>
        <w:rPr>
          <w:spacing w:val="32"/>
        </w:rPr>
        <w:t> </w:t>
      </w:r>
      <w:r>
        <w:rPr/>
        <w:t>statistical</w:t>
      </w:r>
      <w:r>
        <w:rPr>
          <w:spacing w:val="32"/>
        </w:rPr>
        <w:t> </w:t>
      </w:r>
      <w:r>
        <w:rPr/>
        <w:t>tests</w:t>
      </w:r>
      <w:r>
        <w:rPr>
          <w:spacing w:val="32"/>
        </w:rPr>
        <w:t> </w:t>
      </w:r>
      <w:r>
        <w:rPr/>
        <w:t>used</w:t>
      </w:r>
      <w:r>
        <w:rPr>
          <w:spacing w:val="32"/>
        </w:rPr>
        <w:t> </w:t>
      </w:r>
      <w:r>
        <w:rPr/>
        <w:t>to</w:t>
      </w:r>
      <w:r>
        <w:rPr>
          <w:spacing w:val="32"/>
        </w:rPr>
        <w:t> </w:t>
      </w:r>
      <w:r>
        <w:rPr/>
        <w:t>identify</w:t>
      </w:r>
      <w:r>
        <w:rPr>
          <w:spacing w:val="32"/>
        </w:rPr>
        <w:t> </w:t>
      </w:r>
      <w:r>
        <w:rPr/>
        <w:t>the</w:t>
      </w:r>
      <w:r>
        <w:rPr>
          <w:spacing w:val="32"/>
        </w:rPr>
        <w:t> </w:t>
      </w:r>
      <w:r>
        <w:rPr/>
        <w:t>columns</w:t>
      </w:r>
      <w:r>
        <w:rPr>
          <w:spacing w:val="32"/>
        </w:rPr>
        <w:t> </w:t>
      </w:r>
      <w:r>
        <w:rPr/>
        <w:t>and</w:t>
      </w:r>
      <w:r>
        <w:rPr>
          <w:spacing w:val="32"/>
        </w:rPr>
        <w:t> </w:t>
      </w:r>
      <w:r>
        <w:rPr/>
        <w:t>rows</w:t>
      </w:r>
      <w:r>
        <w:rPr>
          <w:spacing w:val="32"/>
        </w:rPr>
        <w:t> </w:t>
      </w:r>
      <w:r>
        <w:rPr/>
        <w:t>of</w:t>
      </w:r>
      <w:r>
        <w:rPr>
          <w:spacing w:val="32"/>
        </w:rPr>
        <w:t> </w:t>
      </w:r>
      <w:r>
        <w:rPr/>
        <w:t>EPV-37,</w:t>
      </w:r>
      <w:r>
        <w:rPr>
          <w:spacing w:val="40"/>
        </w:rPr>
        <w:t> </w:t>
      </w:r>
      <w:r>
        <w:rPr/>
        <w:t>where</w:t>
      </w:r>
      <w:r>
        <w:rPr>
          <w:spacing w:val="32"/>
        </w:rPr>
        <w:t> </w:t>
      </w:r>
      <w:r>
        <w:rPr/>
        <w:t>the SESOI was 0.5, are shown in Tables</w:t>
      </w:r>
      <w:hyperlink w:history="true" w:anchor="_bookmark77">
        <w:r>
          <w:rPr>
            <w:color w:val="0000FF"/>
          </w:rPr>
          <w:t>3.9</w:t>
        </w:r>
      </w:hyperlink>
      <w:r>
        <w:rPr/>
        <w:t>and</w:t>
      </w:r>
      <w:r>
        <w:rPr>
          <w:color w:val="0000FF"/>
        </w:rPr>
        <w:t>3.10</w:t>
      </w:r>
      <w:hyperlink w:history="true" w:anchor="_bookmark78">
        <w:r>
          <w:rPr/>
          <w:t>.</w:t>
        </w:r>
      </w:hyperlink>
      <w:r>
        <w:rPr/>
        <w:t> The tests used to identify the columns and rows of EPV-19, where the SESOI was 1.0, are shown in Tables</w:t>
      </w:r>
      <w:hyperlink w:history="true" w:anchor="_bookmark79">
        <w:r>
          <w:rPr>
            <w:color w:val="0000FF"/>
          </w:rPr>
          <w:t>3.11</w:t>
        </w:r>
      </w:hyperlink>
      <w:r>
        <w:rPr/>
        <w:t>and</w:t>
      </w:r>
      <w:r>
        <w:rPr>
          <w:color w:val="0000FF"/>
        </w:rPr>
        <w:t>3.12</w:t>
      </w:r>
      <w:hyperlink w:history="true" w:anchor="_bookmark80">
        <w:r>
          <w:rPr/>
          <w:t>.</w:t>
        </w:r>
      </w:hyperlink>
      <w:r>
        <w:rPr>
          <w:spacing w:val="40"/>
        </w:rPr>
        <w:t> </w:t>
      </w:r>
      <w:r>
        <w:rPr/>
        <w:t>The tests used to identify the columns and rows of EPV-13,</w:t>
      </w:r>
      <w:r>
        <w:rPr>
          <w:spacing w:val="21"/>
        </w:rPr>
        <w:t> </w:t>
      </w:r>
      <w:r>
        <w:rPr/>
        <w:t>where the SESOI was 1.5,</w:t>
      </w:r>
      <w:r>
        <w:rPr>
          <w:spacing w:val="21"/>
        </w:rPr>
        <w:t> </w:t>
      </w:r>
      <w:r>
        <w:rPr/>
        <w:t>are</w:t>
      </w:r>
      <w:r>
        <w:rPr>
          <w:spacing w:val="40"/>
        </w:rPr>
        <w:t> </w:t>
      </w:r>
      <w:r>
        <w:rPr/>
        <w:t>shown</w:t>
      </w:r>
      <w:r>
        <w:rPr>
          <w:spacing w:val="-3"/>
        </w:rPr>
        <w:t> </w:t>
      </w:r>
      <w:r>
        <w:rPr/>
        <w:t>in</w:t>
      </w:r>
      <w:r>
        <w:rPr>
          <w:spacing w:val="-4"/>
        </w:rPr>
        <w:t> </w:t>
      </w:r>
      <w:r>
        <w:rPr/>
        <w:t>Tables</w:t>
      </w:r>
      <w:hyperlink w:history="true" w:anchor="_bookmark81">
        <w:r>
          <w:rPr>
            <w:color w:val="0000FF"/>
          </w:rPr>
          <w:t>3.13</w:t>
        </w:r>
      </w:hyperlink>
      <w:r>
        <w:rPr/>
        <w:t>and</w:t>
      </w:r>
      <w:r>
        <w:rPr>
          <w:color w:val="0000FF"/>
        </w:rPr>
        <w:t>3.14</w:t>
      </w:r>
      <w:hyperlink w:history="true" w:anchor="_bookmark82">
        <w:r>
          <w:rPr/>
          <w:t>.</w:t>
        </w:r>
      </w:hyperlink>
      <w:r>
        <w:rPr/>
        <w:t> The</w:t>
      </w:r>
      <w:r>
        <w:rPr>
          <w:spacing w:val="-4"/>
        </w:rPr>
        <w:t> </w:t>
      </w:r>
      <w:r>
        <w:rPr/>
        <w:t>tests</w:t>
      </w:r>
      <w:r>
        <w:rPr>
          <w:spacing w:val="-3"/>
        </w:rPr>
        <w:t> </w:t>
      </w:r>
      <w:r>
        <w:rPr/>
        <w:t>used</w:t>
      </w:r>
      <w:r>
        <w:rPr>
          <w:spacing w:val="-3"/>
        </w:rPr>
        <w:t> </w:t>
      </w:r>
      <w:r>
        <w:rPr/>
        <w:t>to</w:t>
      </w:r>
      <w:r>
        <w:rPr>
          <w:spacing w:val="-4"/>
        </w:rPr>
        <w:t> </w:t>
      </w:r>
      <w:r>
        <w:rPr/>
        <w:t>identify</w:t>
      </w:r>
      <w:r>
        <w:rPr>
          <w:spacing w:val="-3"/>
        </w:rPr>
        <w:t> </w:t>
      </w:r>
      <w:r>
        <w:rPr/>
        <w:t>the</w:t>
      </w:r>
      <w:r>
        <w:rPr>
          <w:spacing w:val="-3"/>
        </w:rPr>
        <w:t> </w:t>
      </w:r>
      <w:r>
        <w:rPr/>
        <w:t>columns</w:t>
      </w:r>
      <w:r>
        <w:rPr>
          <w:spacing w:val="-3"/>
        </w:rPr>
        <w:t> </w:t>
      </w:r>
      <w:r>
        <w:rPr/>
        <w:t>and</w:t>
      </w:r>
      <w:r>
        <w:rPr>
          <w:spacing w:val="-4"/>
        </w:rPr>
        <w:t> </w:t>
      </w:r>
      <w:r>
        <w:rPr/>
        <w:t>rows</w:t>
      </w:r>
      <w:r>
        <w:rPr>
          <w:spacing w:val="-3"/>
        </w:rPr>
        <w:t> </w:t>
      </w:r>
      <w:r>
        <w:rPr/>
        <w:t>of</w:t>
      </w:r>
      <w:r>
        <w:rPr>
          <w:spacing w:val="-3"/>
        </w:rPr>
        <w:t> </w:t>
      </w:r>
      <w:r>
        <w:rPr/>
        <w:t>EPV-9, where the SESOI was 2.0 are shown in Tables</w:t>
      </w:r>
      <w:hyperlink w:history="true" w:anchor="_bookmark83">
        <w:r>
          <w:rPr>
            <w:color w:val="0000FF"/>
          </w:rPr>
          <w:t>3.15</w:t>
        </w:r>
      </w:hyperlink>
      <w:r>
        <w:rPr/>
        <w:t>and</w:t>
      </w:r>
      <w:r>
        <w:rPr>
          <w:color w:val="0000FF"/>
        </w:rPr>
        <w:t>3.16</w:t>
      </w:r>
      <w:hyperlink w:history="true" w:anchor="_bookmark84">
        <w:r>
          <w:rPr/>
          <w:t>.</w:t>
        </w:r>
      </w:hyperlink>
    </w:p>
    <w:p>
      <w:pPr>
        <w:pStyle w:val="BodyText"/>
        <w:spacing w:line="312" w:lineRule="auto"/>
        <w:ind w:left="610" w:right="389" w:firstLine="351"/>
      </w:pPr>
      <w:r>
        <w:rPr/>
        <w:t>Across</w:t>
      </w:r>
      <w:r>
        <w:rPr>
          <w:spacing w:val="-5"/>
        </w:rPr>
        <w:t> </w:t>
      </w:r>
      <w:r>
        <w:rPr/>
        <w:t>all</w:t>
      </w:r>
      <w:r>
        <w:rPr>
          <w:spacing w:val="-5"/>
        </w:rPr>
        <w:t> </w:t>
      </w:r>
      <w:r>
        <w:rPr/>
        <w:t>models,</w:t>
      </w:r>
      <w:r>
        <w:rPr>
          <w:spacing w:val="-5"/>
        </w:rPr>
        <w:t> </w:t>
      </w:r>
      <w:r>
        <w:rPr/>
        <w:t>there</w:t>
      </w:r>
      <w:r>
        <w:rPr>
          <w:spacing w:val="-5"/>
        </w:rPr>
        <w:t> </w:t>
      </w:r>
      <w:r>
        <w:rPr/>
        <w:t>is</w:t>
      </w:r>
      <w:r>
        <w:rPr>
          <w:spacing w:val="-5"/>
        </w:rPr>
        <w:t> </w:t>
      </w:r>
      <w:r>
        <w:rPr/>
        <w:t>a</w:t>
      </w:r>
      <w:r>
        <w:rPr>
          <w:spacing w:val="-5"/>
        </w:rPr>
        <w:t> </w:t>
      </w:r>
      <w:r>
        <w:rPr/>
        <w:t>general</w:t>
      </w:r>
      <w:r>
        <w:rPr>
          <w:spacing w:val="-5"/>
        </w:rPr>
        <w:t> </w:t>
      </w:r>
      <w:r>
        <w:rPr/>
        <w:t>trend</w:t>
      </w:r>
      <w:r>
        <w:rPr>
          <w:spacing w:val="-5"/>
        </w:rPr>
        <w:t> </w:t>
      </w:r>
      <w:r>
        <w:rPr/>
        <w:t>that</w:t>
      </w:r>
      <w:r>
        <w:rPr>
          <w:spacing w:val="-5"/>
        </w:rPr>
        <w:t> </w:t>
      </w:r>
      <w:r>
        <w:rPr/>
        <w:t>the</w:t>
      </w:r>
      <w:r>
        <w:rPr>
          <w:spacing w:val="-5"/>
        </w:rPr>
        <w:t> </w:t>
      </w:r>
      <w:r>
        <w:rPr/>
        <w:t>closer</w:t>
      </w:r>
      <w:r>
        <w:rPr>
          <w:spacing w:val="-5"/>
        </w:rPr>
        <w:t> </w:t>
      </w:r>
      <w:r>
        <w:rPr/>
        <w:t>the</w:t>
      </w:r>
      <w:r>
        <w:rPr>
          <w:spacing w:val="-5"/>
        </w:rPr>
        <w:t> </w:t>
      </w:r>
      <w:r>
        <w:rPr/>
        <w:t>zone</w:t>
      </w:r>
      <w:r>
        <w:rPr>
          <w:spacing w:val="-5"/>
        </w:rPr>
        <w:t> </w:t>
      </w:r>
      <w:r>
        <w:rPr/>
        <w:t>is</w:t>
      </w:r>
      <w:r>
        <w:rPr>
          <w:spacing w:val="-5"/>
        </w:rPr>
        <w:t> </w:t>
      </w:r>
      <w:r>
        <w:rPr/>
        <w:t>to</w:t>
      </w:r>
      <w:r>
        <w:rPr>
          <w:spacing w:val="-5"/>
        </w:rPr>
        <w:t> </w:t>
      </w:r>
      <w:r>
        <w:rPr/>
        <w:t>the</w:t>
      </w:r>
      <w:r>
        <w:rPr>
          <w:spacing w:val="-5"/>
        </w:rPr>
        <w:t> </w:t>
      </w:r>
      <w:r>
        <w:rPr/>
        <w:t>opposition try</w:t>
      </w:r>
      <w:r>
        <w:rPr>
          <w:spacing w:val="14"/>
        </w:rPr>
        <w:t> </w:t>
      </w:r>
      <w:r>
        <w:rPr/>
        <w:t>line,</w:t>
      </w:r>
      <w:r>
        <w:rPr>
          <w:spacing w:val="19"/>
        </w:rPr>
        <w:t> </w:t>
      </w:r>
      <w:r>
        <w:rPr/>
        <w:t>the</w:t>
      </w:r>
      <w:r>
        <w:rPr>
          <w:spacing w:val="15"/>
        </w:rPr>
        <w:t> </w:t>
      </w:r>
      <w:r>
        <w:rPr/>
        <w:t>more</w:t>
      </w:r>
      <w:r>
        <w:rPr>
          <w:spacing w:val="14"/>
        </w:rPr>
        <w:t> </w:t>
      </w:r>
      <w:r>
        <w:rPr/>
        <w:t>valuable</w:t>
      </w:r>
      <w:r>
        <w:rPr>
          <w:spacing w:val="15"/>
        </w:rPr>
        <w:t> </w:t>
      </w:r>
      <w:r>
        <w:rPr/>
        <w:t>it</w:t>
      </w:r>
      <w:r>
        <w:rPr>
          <w:spacing w:val="14"/>
        </w:rPr>
        <w:t> </w:t>
      </w:r>
      <w:r>
        <w:rPr/>
        <w:t>is.</w:t>
      </w:r>
      <w:r>
        <w:rPr>
          <w:spacing w:val="67"/>
        </w:rPr>
        <w:t> </w:t>
      </w:r>
      <w:r>
        <w:rPr/>
        <w:t>Similarly,</w:t>
      </w:r>
      <w:r>
        <w:rPr>
          <w:spacing w:val="19"/>
        </w:rPr>
        <w:t> </w:t>
      </w:r>
      <w:r>
        <w:rPr/>
        <w:t>central</w:t>
      </w:r>
      <w:r>
        <w:rPr>
          <w:spacing w:val="15"/>
        </w:rPr>
        <w:t> </w:t>
      </w:r>
      <w:r>
        <w:rPr/>
        <w:t>zones</w:t>
      </w:r>
      <w:r>
        <w:rPr>
          <w:spacing w:val="14"/>
        </w:rPr>
        <w:t> </w:t>
      </w:r>
      <w:r>
        <w:rPr/>
        <w:t>are</w:t>
      </w:r>
      <w:r>
        <w:rPr>
          <w:spacing w:val="15"/>
        </w:rPr>
        <w:t> </w:t>
      </w:r>
      <w:r>
        <w:rPr/>
        <w:t>more</w:t>
      </w:r>
      <w:r>
        <w:rPr>
          <w:spacing w:val="14"/>
        </w:rPr>
        <w:t> </w:t>
      </w:r>
      <w:r>
        <w:rPr/>
        <w:t>valuable</w:t>
      </w:r>
      <w:r>
        <w:rPr>
          <w:spacing w:val="15"/>
        </w:rPr>
        <w:t> </w:t>
      </w:r>
      <w:r>
        <w:rPr/>
        <w:t>than</w:t>
      </w:r>
      <w:r>
        <w:rPr>
          <w:spacing w:val="14"/>
        </w:rPr>
        <w:t> </w:t>
      </w:r>
      <w:r>
        <w:rPr>
          <w:spacing w:val="-2"/>
        </w:rPr>
        <w:t>wider</w:t>
      </w:r>
    </w:p>
    <w:p>
      <w:pPr>
        <w:spacing w:after="0" w:line="312" w:lineRule="auto"/>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73" w:id="139"/>
      <w:bookmarkEnd w:id="139"/>
      <w:r>
        <w:rPr/>
      </w:r>
      <w:r>
        <w:rPr>
          <w:b/>
        </w:rPr>
        <w:t>Table 3.5:</w:t>
      </w:r>
      <w:r>
        <w:rPr>
          <w:b/>
          <w:spacing w:val="40"/>
        </w:rPr>
        <w:t> </w:t>
      </w:r>
      <w:r>
        <w:rPr/>
        <w:t>Linear mixed model derived average column match EPV for EPV-308 columns.</w:t>
      </w:r>
      <w:r>
        <w:rPr>
          <w:spacing w:val="40"/>
        </w:rPr>
        <w:t> </w:t>
      </w:r>
      <w:r>
        <w:rPr/>
        <w:t>Bracketed values are metres included for column and 95% confidence </w:t>
      </w:r>
      <w:r>
        <w:rPr/>
        <w:t>inter- vals for column match EPV.</w:t>
      </w:r>
    </w:p>
    <w:p>
      <w:pPr>
        <w:pStyle w:val="BodyText"/>
        <w:rPr>
          <w:sz w:val="20"/>
        </w:rPr>
      </w:pPr>
    </w:p>
    <w:p>
      <w:pPr>
        <w:pStyle w:val="BodyText"/>
        <w:spacing w:before="10"/>
        <w:rPr>
          <w:sz w:val="21"/>
        </w:rPr>
      </w:pPr>
    </w:p>
    <w:tbl>
      <w:tblPr>
        <w:tblW w:w="0" w:type="auto"/>
        <w:jc w:val="left"/>
        <w:tblInd w:w="11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322"/>
        <w:gridCol w:w="2312"/>
        <w:gridCol w:w="1442"/>
        <w:gridCol w:w="2312"/>
      </w:tblGrid>
      <w:tr>
        <w:trPr>
          <w:trHeight w:val="272" w:hRule="atLeast"/>
        </w:trPr>
        <w:tc>
          <w:tcPr>
            <w:tcW w:w="1322" w:type="dxa"/>
            <w:tcBorders>
              <w:top w:val="single" w:sz="4" w:space="0" w:color="000000"/>
              <w:bottom w:val="single" w:sz="4" w:space="0" w:color="000000"/>
            </w:tcBorders>
          </w:tcPr>
          <w:p>
            <w:pPr>
              <w:pStyle w:val="TableParagraph"/>
              <w:spacing w:line="253" w:lineRule="exact"/>
              <w:ind w:left="109" w:right="109"/>
              <w:rPr>
                <w:sz w:val="24"/>
              </w:rPr>
            </w:pPr>
            <w:r>
              <w:rPr>
                <w:spacing w:val="-2"/>
                <w:sz w:val="24"/>
              </w:rPr>
              <w:t>Column</w:t>
            </w:r>
          </w:p>
        </w:tc>
        <w:tc>
          <w:tcPr>
            <w:tcW w:w="2312" w:type="dxa"/>
            <w:tcBorders>
              <w:top w:val="single" w:sz="4" w:space="0" w:color="000000"/>
              <w:bottom w:val="single" w:sz="4" w:space="0" w:color="000000"/>
            </w:tcBorders>
          </w:tcPr>
          <w:p>
            <w:pPr>
              <w:pStyle w:val="TableParagraph"/>
              <w:spacing w:line="253" w:lineRule="exact"/>
              <w:ind w:left="183" w:right="184"/>
              <w:rPr>
                <w:sz w:val="24"/>
              </w:rPr>
            </w:pPr>
            <w:r>
              <w:rPr>
                <w:sz w:val="24"/>
              </w:rPr>
              <w:t>Column</w:t>
            </w:r>
            <w:r>
              <w:rPr>
                <w:spacing w:val="-8"/>
                <w:sz w:val="24"/>
              </w:rPr>
              <w:t> </w:t>
            </w:r>
            <w:r>
              <w:rPr>
                <w:sz w:val="24"/>
              </w:rPr>
              <w:t>match</w:t>
            </w:r>
            <w:r>
              <w:rPr>
                <w:spacing w:val="-8"/>
                <w:sz w:val="24"/>
              </w:rPr>
              <w:t> </w:t>
            </w:r>
            <w:r>
              <w:rPr>
                <w:spacing w:val="-5"/>
                <w:sz w:val="24"/>
              </w:rPr>
              <w:t>EPV</w:t>
            </w:r>
          </w:p>
        </w:tc>
        <w:tc>
          <w:tcPr>
            <w:tcW w:w="1442" w:type="dxa"/>
            <w:tcBorders>
              <w:top w:val="single" w:sz="4" w:space="0" w:color="000000"/>
              <w:bottom w:val="single" w:sz="4" w:space="0" w:color="000000"/>
            </w:tcBorders>
          </w:tcPr>
          <w:p>
            <w:pPr>
              <w:pStyle w:val="TableParagraph"/>
              <w:spacing w:line="253" w:lineRule="exact"/>
              <w:ind w:left="333"/>
              <w:jc w:val="left"/>
              <w:rPr>
                <w:sz w:val="24"/>
              </w:rPr>
            </w:pPr>
            <w:r>
              <w:rPr>
                <w:spacing w:val="-2"/>
                <w:sz w:val="24"/>
              </w:rPr>
              <w:t>Column</w:t>
            </w:r>
          </w:p>
        </w:tc>
        <w:tc>
          <w:tcPr>
            <w:tcW w:w="2312" w:type="dxa"/>
            <w:tcBorders>
              <w:top w:val="single" w:sz="4" w:space="0" w:color="000000"/>
              <w:bottom w:val="single" w:sz="4" w:space="0" w:color="000000"/>
            </w:tcBorders>
          </w:tcPr>
          <w:p>
            <w:pPr>
              <w:pStyle w:val="TableParagraph"/>
              <w:spacing w:line="253" w:lineRule="exact"/>
              <w:ind w:left="182" w:right="185"/>
              <w:rPr>
                <w:sz w:val="24"/>
              </w:rPr>
            </w:pPr>
            <w:r>
              <w:rPr>
                <w:sz w:val="24"/>
              </w:rPr>
              <w:t>Column</w:t>
            </w:r>
            <w:r>
              <w:rPr>
                <w:spacing w:val="-8"/>
                <w:sz w:val="24"/>
              </w:rPr>
              <w:t> </w:t>
            </w:r>
            <w:r>
              <w:rPr>
                <w:sz w:val="24"/>
              </w:rPr>
              <w:t>match</w:t>
            </w:r>
            <w:r>
              <w:rPr>
                <w:spacing w:val="-8"/>
                <w:sz w:val="24"/>
              </w:rPr>
              <w:t> </w:t>
            </w:r>
            <w:r>
              <w:rPr>
                <w:spacing w:val="-5"/>
                <w:sz w:val="24"/>
              </w:rPr>
              <w:t>EPV</w:t>
            </w:r>
          </w:p>
        </w:tc>
      </w:tr>
      <w:tr>
        <w:trPr>
          <w:trHeight w:val="283" w:hRule="atLeast"/>
        </w:trPr>
        <w:tc>
          <w:tcPr>
            <w:tcW w:w="1322" w:type="dxa"/>
            <w:tcBorders>
              <w:top w:val="single" w:sz="4" w:space="0" w:color="000000"/>
            </w:tcBorders>
          </w:tcPr>
          <w:p>
            <w:pPr>
              <w:pStyle w:val="TableParagraph"/>
              <w:spacing w:line="249" w:lineRule="exact"/>
              <w:ind w:left="109" w:right="109"/>
              <w:rPr>
                <w:sz w:val="24"/>
              </w:rPr>
            </w:pPr>
            <w:r>
              <w:rPr>
                <w:sz w:val="24"/>
              </w:rPr>
              <w:t>1</w:t>
            </w:r>
            <w:r>
              <w:rPr>
                <w:spacing w:val="-5"/>
                <w:sz w:val="24"/>
              </w:rPr>
              <w:t> </w:t>
            </w:r>
            <w:r>
              <w:rPr>
                <w:sz w:val="24"/>
              </w:rPr>
              <w:t>(0-</w:t>
            </w:r>
            <w:r>
              <w:rPr>
                <w:spacing w:val="-5"/>
                <w:sz w:val="24"/>
              </w:rPr>
              <w:t>3m)</w:t>
            </w:r>
          </w:p>
        </w:tc>
        <w:tc>
          <w:tcPr>
            <w:tcW w:w="2312" w:type="dxa"/>
            <w:tcBorders>
              <w:top w:val="single" w:sz="4" w:space="0" w:color="000000"/>
            </w:tcBorders>
          </w:tcPr>
          <w:p>
            <w:pPr>
              <w:pStyle w:val="TableParagraph"/>
              <w:spacing w:line="249" w:lineRule="exact"/>
              <w:ind w:left="318"/>
              <w:jc w:val="left"/>
              <w:rPr>
                <w:sz w:val="24"/>
              </w:rPr>
            </w:pPr>
            <w:r>
              <w:rPr>
                <w:sz w:val="24"/>
              </w:rPr>
              <w:t>1.41</w:t>
            </w:r>
            <w:r>
              <w:rPr>
                <w:spacing w:val="-5"/>
                <w:sz w:val="24"/>
              </w:rPr>
              <w:t> </w:t>
            </w:r>
            <w:r>
              <w:rPr>
                <w:sz w:val="24"/>
              </w:rPr>
              <w:t>(1.04</w:t>
            </w:r>
            <w:r>
              <w:rPr>
                <w:spacing w:val="-4"/>
                <w:sz w:val="24"/>
              </w:rPr>
              <w:t> </w:t>
            </w:r>
            <w:r>
              <w:rPr>
                <w:sz w:val="24"/>
              </w:rPr>
              <w:t>-</w:t>
            </w:r>
            <w:r>
              <w:rPr>
                <w:spacing w:val="-4"/>
                <w:sz w:val="24"/>
              </w:rPr>
              <w:t> </w:t>
            </w:r>
            <w:r>
              <w:rPr>
                <w:spacing w:val="-2"/>
                <w:sz w:val="24"/>
              </w:rPr>
              <w:t>1.78)</w:t>
            </w:r>
          </w:p>
        </w:tc>
        <w:tc>
          <w:tcPr>
            <w:tcW w:w="1442" w:type="dxa"/>
            <w:tcBorders>
              <w:top w:val="single" w:sz="4" w:space="0" w:color="000000"/>
            </w:tcBorders>
          </w:tcPr>
          <w:p>
            <w:pPr>
              <w:pStyle w:val="TableParagraph"/>
              <w:spacing w:line="249" w:lineRule="exact"/>
              <w:ind w:left="178"/>
              <w:jc w:val="left"/>
              <w:rPr>
                <w:sz w:val="24"/>
              </w:rPr>
            </w:pPr>
            <w:r>
              <w:rPr>
                <w:sz w:val="24"/>
              </w:rPr>
              <w:t>8</w:t>
            </w:r>
            <w:r>
              <w:rPr>
                <w:spacing w:val="-7"/>
                <w:sz w:val="24"/>
              </w:rPr>
              <w:t> </w:t>
            </w:r>
            <w:r>
              <w:rPr>
                <w:sz w:val="24"/>
              </w:rPr>
              <w:t>(34-</w:t>
            </w:r>
            <w:r>
              <w:rPr>
                <w:spacing w:val="-4"/>
                <w:sz w:val="24"/>
              </w:rPr>
              <w:t>38m)</w:t>
            </w:r>
          </w:p>
        </w:tc>
        <w:tc>
          <w:tcPr>
            <w:tcW w:w="2312" w:type="dxa"/>
            <w:tcBorders>
              <w:top w:val="single" w:sz="4" w:space="0" w:color="000000"/>
            </w:tcBorders>
          </w:tcPr>
          <w:p>
            <w:pPr>
              <w:pStyle w:val="TableParagraph"/>
              <w:spacing w:line="249" w:lineRule="exact"/>
              <w:ind w:left="117"/>
              <w:jc w:val="left"/>
              <w:rPr>
                <w:sz w:val="24"/>
              </w:rPr>
            </w:pPr>
            <w:r>
              <w:rPr>
                <w:sz w:val="24"/>
              </w:rPr>
              <w:t>12.27</w:t>
            </w:r>
            <w:r>
              <w:rPr>
                <w:spacing w:val="-6"/>
                <w:sz w:val="24"/>
              </w:rPr>
              <w:t> </w:t>
            </w:r>
            <w:r>
              <w:rPr>
                <w:sz w:val="24"/>
              </w:rPr>
              <w:t>(11.92</w:t>
            </w:r>
            <w:r>
              <w:rPr>
                <w:spacing w:val="-5"/>
                <w:sz w:val="24"/>
              </w:rPr>
              <w:t> </w:t>
            </w:r>
            <w:r>
              <w:rPr>
                <w:sz w:val="24"/>
              </w:rPr>
              <w:t>–</w:t>
            </w:r>
            <w:r>
              <w:rPr>
                <w:spacing w:val="-5"/>
                <w:sz w:val="24"/>
              </w:rPr>
              <w:t> </w:t>
            </w:r>
            <w:r>
              <w:rPr>
                <w:spacing w:val="-2"/>
                <w:sz w:val="24"/>
              </w:rPr>
              <w:t>12.61)</w:t>
            </w:r>
          </w:p>
        </w:tc>
      </w:tr>
      <w:tr>
        <w:trPr>
          <w:trHeight w:val="288" w:hRule="atLeast"/>
        </w:trPr>
        <w:tc>
          <w:tcPr>
            <w:tcW w:w="1322" w:type="dxa"/>
          </w:tcPr>
          <w:p>
            <w:pPr>
              <w:pStyle w:val="TableParagraph"/>
              <w:ind w:left="109" w:right="109"/>
              <w:rPr>
                <w:sz w:val="24"/>
              </w:rPr>
            </w:pPr>
            <w:r>
              <w:rPr>
                <w:sz w:val="24"/>
              </w:rPr>
              <w:t>2</w:t>
            </w:r>
            <w:r>
              <w:rPr>
                <w:spacing w:val="-5"/>
                <w:sz w:val="24"/>
              </w:rPr>
              <w:t> </w:t>
            </w:r>
            <w:r>
              <w:rPr>
                <w:sz w:val="24"/>
              </w:rPr>
              <w:t>(4-</w:t>
            </w:r>
            <w:r>
              <w:rPr>
                <w:spacing w:val="-5"/>
                <w:sz w:val="24"/>
              </w:rPr>
              <w:t>8m)</w:t>
            </w:r>
          </w:p>
        </w:tc>
        <w:tc>
          <w:tcPr>
            <w:tcW w:w="2312" w:type="dxa"/>
          </w:tcPr>
          <w:p>
            <w:pPr>
              <w:pStyle w:val="TableParagraph"/>
              <w:ind w:left="318"/>
              <w:jc w:val="left"/>
              <w:rPr>
                <w:sz w:val="24"/>
              </w:rPr>
            </w:pPr>
            <w:r>
              <w:rPr>
                <w:sz w:val="24"/>
              </w:rPr>
              <w:t>2.72</w:t>
            </w:r>
            <w:r>
              <w:rPr>
                <w:spacing w:val="-5"/>
                <w:sz w:val="24"/>
              </w:rPr>
              <w:t> </w:t>
            </w:r>
            <w:r>
              <w:rPr>
                <w:sz w:val="24"/>
              </w:rPr>
              <w:t>(2.38</w:t>
            </w:r>
            <w:r>
              <w:rPr>
                <w:spacing w:val="-4"/>
                <w:sz w:val="24"/>
              </w:rPr>
              <w:t> </w:t>
            </w:r>
            <w:r>
              <w:rPr>
                <w:sz w:val="24"/>
              </w:rPr>
              <w:t>-</w:t>
            </w:r>
            <w:r>
              <w:rPr>
                <w:spacing w:val="-4"/>
                <w:sz w:val="24"/>
              </w:rPr>
              <w:t> </w:t>
            </w:r>
            <w:r>
              <w:rPr>
                <w:spacing w:val="-2"/>
                <w:sz w:val="24"/>
              </w:rPr>
              <w:t>3.06)</w:t>
            </w:r>
          </w:p>
        </w:tc>
        <w:tc>
          <w:tcPr>
            <w:tcW w:w="1442" w:type="dxa"/>
          </w:tcPr>
          <w:p>
            <w:pPr>
              <w:pStyle w:val="TableParagraph"/>
              <w:ind w:left="178"/>
              <w:jc w:val="left"/>
              <w:rPr>
                <w:sz w:val="24"/>
              </w:rPr>
            </w:pPr>
            <w:r>
              <w:rPr>
                <w:sz w:val="24"/>
              </w:rPr>
              <w:t>9</w:t>
            </w:r>
            <w:r>
              <w:rPr>
                <w:spacing w:val="-7"/>
                <w:sz w:val="24"/>
              </w:rPr>
              <w:t> </w:t>
            </w:r>
            <w:r>
              <w:rPr>
                <w:sz w:val="24"/>
              </w:rPr>
              <w:t>(39-</w:t>
            </w:r>
            <w:r>
              <w:rPr>
                <w:spacing w:val="-4"/>
                <w:sz w:val="24"/>
              </w:rPr>
              <w:t>43m)</w:t>
            </w:r>
          </w:p>
        </w:tc>
        <w:tc>
          <w:tcPr>
            <w:tcW w:w="2312" w:type="dxa"/>
          </w:tcPr>
          <w:p>
            <w:pPr>
              <w:pStyle w:val="TableParagraph"/>
              <w:ind w:left="236"/>
              <w:jc w:val="left"/>
              <w:rPr>
                <w:sz w:val="24"/>
              </w:rPr>
            </w:pPr>
            <w:r>
              <w:rPr>
                <w:sz w:val="24"/>
              </w:rPr>
              <w:t>9.72</w:t>
            </w:r>
            <w:r>
              <w:rPr>
                <w:spacing w:val="-5"/>
                <w:sz w:val="24"/>
              </w:rPr>
              <w:t> </w:t>
            </w:r>
            <w:r>
              <w:rPr>
                <w:sz w:val="24"/>
              </w:rPr>
              <w:t>(9.38</w:t>
            </w:r>
            <w:r>
              <w:rPr>
                <w:spacing w:val="-4"/>
                <w:sz w:val="24"/>
              </w:rPr>
              <w:t> </w:t>
            </w:r>
            <w:r>
              <w:rPr>
                <w:sz w:val="24"/>
              </w:rPr>
              <w:t>–</w:t>
            </w:r>
            <w:r>
              <w:rPr>
                <w:spacing w:val="-5"/>
                <w:sz w:val="24"/>
              </w:rPr>
              <w:t> </w:t>
            </w:r>
            <w:r>
              <w:rPr>
                <w:spacing w:val="-2"/>
                <w:sz w:val="24"/>
              </w:rPr>
              <w:t>10.07)</w:t>
            </w:r>
          </w:p>
        </w:tc>
      </w:tr>
      <w:tr>
        <w:trPr>
          <w:trHeight w:val="288" w:hRule="atLeast"/>
        </w:trPr>
        <w:tc>
          <w:tcPr>
            <w:tcW w:w="1322" w:type="dxa"/>
          </w:tcPr>
          <w:p>
            <w:pPr>
              <w:pStyle w:val="TableParagraph"/>
              <w:ind w:left="109" w:right="109"/>
              <w:rPr>
                <w:sz w:val="24"/>
              </w:rPr>
            </w:pPr>
            <w:r>
              <w:rPr>
                <w:sz w:val="24"/>
              </w:rPr>
              <w:t>3</w:t>
            </w:r>
            <w:r>
              <w:rPr>
                <w:spacing w:val="-5"/>
                <w:sz w:val="24"/>
              </w:rPr>
              <w:t> </w:t>
            </w:r>
            <w:r>
              <w:rPr>
                <w:sz w:val="24"/>
              </w:rPr>
              <w:t>(9-</w:t>
            </w:r>
            <w:r>
              <w:rPr>
                <w:spacing w:val="-4"/>
                <w:sz w:val="24"/>
              </w:rPr>
              <w:t>13m)</w:t>
            </w:r>
          </w:p>
        </w:tc>
        <w:tc>
          <w:tcPr>
            <w:tcW w:w="2312" w:type="dxa"/>
          </w:tcPr>
          <w:p>
            <w:pPr>
              <w:pStyle w:val="TableParagraph"/>
              <w:ind w:left="318"/>
              <w:jc w:val="left"/>
              <w:rPr>
                <w:sz w:val="24"/>
              </w:rPr>
            </w:pPr>
            <w:r>
              <w:rPr>
                <w:sz w:val="24"/>
              </w:rPr>
              <w:t>4.52</w:t>
            </w:r>
            <w:r>
              <w:rPr>
                <w:spacing w:val="-5"/>
                <w:sz w:val="24"/>
              </w:rPr>
              <w:t> </w:t>
            </w:r>
            <w:r>
              <w:rPr>
                <w:sz w:val="24"/>
              </w:rPr>
              <w:t>(4.18</w:t>
            </w:r>
            <w:r>
              <w:rPr>
                <w:spacing w:val="-4"/>
                <w:sz w:val="24"/>
              </w:rPr>
              <w:t> </w:t>
            </w:r>
            <w:r>
              <w:rPr>
                <w:sz w:val="24"/>
              </w:rPr>
              <w:t>-</w:t>
            </w:r>
            <w:r>
              <w:rPr>
                <w:spacing w:val="-4"/>
                <w:sz w:val="24"/>
              </w:rPr>
              <w:t> </w:t>
            </w:r>
            <w:r>
              <w:rPr>
                <w:spacing w:val="-2"/>
                <w:sz w:val="24"/>
              </w:rPr>
              <w:t>4.87)</w:t>
            </w:r>
          </w:p>
        </w:tc>
        <w:tc>
          <w:tcPr>
            <w:tcW w:w="1442" w:type="dxa"/>
          </w:tcPr>
          <w:p>
            <w:pPr>
              <w:pStyle w:val="TableParagraph"/>
              <w:ind w:left="118"/>
              <w:jc w:val="left"/>
              <w:rPr>
                <w:sz w:val="24"/>
              </w:rPr>
            </w:pPr>
            <w:r>
              <w:rPr>
                <w:sz w:val="24"/>
              </w:rPr>
              <w:t>10</w:t>
            </w:r>
            <w:r>
              <w:rPr>
                <w:spacing w:val="-8"/>
                <w:sz w:val="24"/>
              </w:rPr>
              <w:t> </w:t>
            </w:r>
            <w:r>
              <w:rPr>
                <w:sz w:val="24"/>
              </w:rPr>
              <w:t>(44-</w:t>
            </w:r>
            <w:r>
              <w:rPr>
                <w:spacing w:val="-4"/>
                <w:sz w:val="24"/>
              </w:rPr>
              <w:t>48m)</w:t>
            </w:r>
          </w:p>
        </w:tc>
        <w:tc>
          <w:tcPr>
            <w:tcW w:w="2312" w:type="dxa"/>
          </w:tcPr>
          <w:p>
            <w:pPr>
              <w:pStyle w:val="TableParagraph"/>
              <w:ind w:left="296"/>
              <w:jc w:val="left"/>
              <w:rPr>
                <w:sz w:val="24"/>
              </w:rPr>
            </w:pPr>
            <w:r>
              <w:rPr>
                <w:sz w:val="24"/>
              </w:rPr>
              <w:t>7.76</w:t>
            </w:r>
            <w:r>
              <w:rPr>
                <w:spacing w:val="-5"/>
                <w:sz w:val="24"/>
              </w:rPr>
              <w:t> </w:t>
            </w:r>
            <w:r>
              <w:rPr>
                <w:sz w:val="24"/>
              </w:rPr>
              <w:t>(7.41</w:t>
            </w:r>
            <w:r>
              <w:rPr>
                <w:spacing w:val="-4"/>
                <w:sz w:val="24"/>
              </w:rPr>
              <w:t> </w:t>
            </w:r>
            <w:r>
              <w:rPr>
                <w:sz w:val="24"/>
              </w:rPr>
              <w:t>–</w:t>
            </w:r>
            <w:r>
              <w:rPr>
                <w:spacing w:val="-5"/>
                <w:sz w:val="24"/>
              </w:rPr>
              <w:t> </w:t>
            </w:r>
            <w:r>
              <w:rPr>
                <w:spacing w:val="-2"/>
                <w:sz w:val="24"/>
              </w:rPr>
              <w:t>8.10)</w:t>
            </w:r>
          </w:p>
        </w:tc>
      </w:tr>
      <w:tr>
        <w:trPr>
          <w:trHeight w:val="288" w:hRule="atLeast"/>
        </w:trPr>
        <w:tc>
          <w:tcPr>
            <w:tcW w:w="1322" w:type="dxa"/>
          </w:tcPr>
          <w:p>
            <w:pPr>
              <w:pStyle w:val="TableParagraph"/>
              <w:ind w:left="109" w:right="109"/>
              <w:rPr>
                <w:sz w:val="24"/>
              </w:rPr>
            </w:pPr>
            <w:r>
              <w:rPr>
                <w:sz w:val="24"/>
              </w:rPr>
              <w:t>4</w:t>
            </w:r>
            <w:r>
              <w:rPr>
                <w:spacing w:val="-7"/>
                <w:sz w:val="24"/>
              </w:rPr>
              <w:t> </w:t>
            </w:r>
            <w:r>
              <w:rPr>
                <w:sz w:val="24"/>
              </w:rPr>
              <w:t>(14-</w:t>
            </w:r>
            <w:r>
              <w:rPr>
                <w:spacing w:val="-4"/>
                <w:sz w:val="24"/>
              </w:rPr>
              <w:t>18m)</w:t>
            </w:r>
          </w:p>
        </w:tc>
        <w:tc>
          <w:tcPr>
            <w:tcW w:w="2312" w:type="dxa"/>
          </w:tcPr>
          <w:p>
            <w:pPr>
              <w:pStyle w:val="TableParagraph"/>
              <w:ind w:left="298"/>
              <w:jc w:val="left"/>
              <w:rPr>
                <w:sz w:val="24"/>
              </w:rPr>
            </w:pPr>
            <w:r>
              <w:rPr>
                <w:sz w:val="24"/>
              </w:rPr>
              <w:t>6.06</w:t>
            </w:r>
            <w:r>
              <w:rPr>
                <w:spacing w:val="-5"/>
                <w:sz w:val="24"/>
              </w:rPr>
              <w:t> </w:t>
            </w:r>
            <w:r>
              <w:rPr>
                <w:sz w:val="24"/>
              </w:rPr>
              <w:t>(5.72</w:t>
            </w:r>
            <w:r>
              <w:rPr>
                <w:spacing w:val="-4"/>
                <w:sz w:val="24"/>
              </w:rPr>
              <w:t> </w:t>
            </w:r>
            <w:r>
              <w:rPr>
                <w:sz w:val="24"/>
              </w:rPr>
              <w:t>–</w:t>
            </w:r>
            <w:r>
              <w:rPr>
                <w:spacing w:val="-5"/>
                <w:sz w:val="24"/>
              </w:rPr>
              <w:t> </w:t>
            </w:r>
            <w:r>
              <w:rPr>
                <w:spacing w:val="-2"/>
                <w:sz w:val="24"/>
              </w:rPr>
              <w:t>6.40)</w:t>
            </w:r>
          </w:p>
        </w:tc>
        <w:tc>
          <w:tcPr>
            <w:tcW w:w="1442" w:type="dxa"/>
          </w:tcPr>
          <w:p>
            <w:pPr>
              <w:pStyle w:val="TableParagraph"/>
              <w:ind w:left="118"/>
              <w:jc w:val="left"/>
              <w:rPr>
                <w:sz w:val="24"/>
              </w:rPr>
            </w:pPr>
            <w:r>
              <w:rPr>
                <w:sz w:val="24"/>
              </w:rPr>
              <w:t>11</w:t>
            </w:r>
            <w:r>
              <w:rPr>
                <w:spacing w:val="-8"/>
                <w:sz w:val="24"/>
              </w:rPr>
              <w:t> </w:t>
            </w:r>
            <w:r>
              <w:rPr>
                <w:sz w:val="24"/>
              </w:rPr>
              <w:t>(49-</w:t>
            </w:r>
            <w:r>
              <w:rPr>
                <w:spacing w:val="-4"/>
                <w:sz w:val="24"/>
              </w:rPr>
              <w:t>53m)</w:t>
            </w:r>
          </w:p>
        </w:tc>
        <w:tc>
          <w:tcPr>
            <w:tcW w:w="2312" w:type="dxa"/>
          </w:tcPr>
          <w:p>
            <w:pPr>
              <w:pStyle w:val="TableParagraph"/>
              <w:ind w:left="296"/>
              <w:jc w:val="left"/>
              <w:rPr>
                <w:sz w:val="24"/>
              </w:rPr>
            </w:pPr>
            <w:r>
              <w:rPr>
                <w:sz w:val="24"/>
              </w:rPr>
              <w:t>5.71</w:t>
            </w:r>
            <w:r>
              <w:rPr>
                <w:spacing w:val="-5"/>
                <w:sz w:val="24"/>
              </w:rPr>
              <w:t> </w:t>
            </w:r>
            <w:r>
              <w:rPr>
                <w:sz w:val="24"/>
              </w:rPr>
              <w:t>(5.37</w:t>
            </w:r>
            <w:r>
              <w:rPr>
                <w:spacing w:val="-4"/>
                <w:sz w:val="24"/>
              </w:rPr>
              <w:t> </w:t>
            </w:r>
            <w:r>
              <w:rPr>
                <w:sz w:val="24"/>
              </w:rPr>
              <w:t>–</w:t>
            </w:r>
            <w:r>
              <w:rPr>
                <w:spacing w:val="-5"/>
                <w:sz w:val="24"/>
              </w:rPr>
              <w:t> </w:t>
            </w:r>
            <w:r>
              <w:rPr>
                <w:spacing w:val="-2"/>
                <w:sz w:val="24"/>
              </w:rPr>
              <w:t>6.05)</w:t>
            </w:r>
          </w:p>
        </w:tc>
      </w:tr>
      <w:tr>
        <w:trPr>
          <w:trHeight w:val="288" w:hRule="atLeast"/>
        </w:trPr>
        <w:tc>
          <w:tcPr>
            <w:tcW w:w="1322" w:type="dxa"/>
          </w:tcPr>
          <w:p>
            <w:pPr>
              <w:pStyle w:val="TableParagraph"/>
              <w:ind w:left="109" w:right="109"/>
              <w:rPr>
                <w:sz w:val="24"/>
              </w:rPr>
            </w:pPr>
            <w:r>
              <w:rPr>
                <w:sz w:val="24"/>
              </w:rPr>
              <w:t>5</w:t>
            </w:r>
            <w:r>
              <w:rPr>
                <w:spacing w:val="-7"/>
                <w:sz w:val="24"/>
              </w:rPr>
              <w:t> </w:t>
            </w:r>
            <w:r>
              <w:rPr>
                <w:sz w:val="24"/>
              </w:rPr>
              <w:t>(19-</w:t>
            </w:r>
            <w:r>
              <w:rPr>
                <w:spacing w:val="-4"/>
                <w:sz w:val="24"/>
              </w:rPr>
              <w:t>23m)</w:t>
            </w:r>
          </w:p>
        </w:tc>
        <w:tc>
          <w:tcPr>
            <w:tcW w:w="2312" w:type="dxa"/>
          </w:tcPr>
          <w:p>
            <w:pPr>
              <w:pStyle w:val="TableParagraph"/>
              <w:ind w:left="298"/>
              <w:jc w:val="left"/>
              <w:rPr>
                <w:sz w:val="24"/>
              </w:rPr>
            </w:pPr>
            <w:r>
              <w:rPr>
                <w:sz w:val="24"/>
              </w:rPr>
              <w:t>7.10</w:t>
            </w:r>
            <w:r>
              <w:rPr>
                <w:spacing w:val="-5"/>
                <w:sz w:val="24"/>
              </w:rPr>
              <w:t> </w:t>
            </w:r>
            <w:r>
              <w:rPr>
                <w:sz w:val="24"/>
              </w:rPr>
              <w:t>(6.75</w:t>
            </w:r>
            <w:r>
              <w:rPr>
                <w:spacing w:val="-4"/>
                <w:sz w:val="24"/>
              </w:rPr>
              <w:t> </w:t>
            </w:r>
            <w:r>
              <w:rPr>
                <w:sz w:val="24"/>
              </w:rPr>
              <w:t>–</w:t>
            </w:r>
            <w:r>
              <w:rPr>
                <w:spacing w:val="-5"/>
                <w:sz w:val="24"/>
              </w:rPr>
              <w:t> </w:t>
            </w:r>
            <w:r>
              <w:rPr>
                <w:spacing w:val="-2"/>
                <w:sz w:val="24"/>
              </w:rPr>
              <w:t>7.44)</w:t>
            </w:r>
          </w:p>
        </w:tc>
        <w:tc>
          <w:tcPr>
            <w:tcW w:w="1442" w:type="dxa"/>
          </w:tcPr>
          <w:p>
            <w:pPr>
              <w:pStyle w:val="TableParagraph"/>
              <w:ind w:left="118"/>
              <w:jc w:val="left"/>
              <w:rPr>
                <w:sz w:val="24"/>
              </w:rPr>
            </w:pPr>
            <w:r>
              <w:rPr>
                <w:sz w:val="24"/>
              </w:rPr>
              <w:t>12</w:t>
            </w:r>
            <w:r>
              <w:rPr>
                <w:spacing w:val="-8"/>
                <w:sz w:val="24"/>
              </w:rPr>
              <w:t> </w:t>
            </w:r>
            <w:r>
              <w:rPr>
                <w:sz w:val="24"/>
              </w:rPr>
              <w:t>(54-</w:t>
            </w:r>
            <w:r>
              <w:rPr>
                <w:spacing w:val="-4"/>
                <w:sz w:val="24"/>
              </w:rPr>
              <w:t>58m)</w:t>
            </w:r>
          </w:p>
        </w:tc>
        <w:tc>
          <w:tcPr>
            <w:tcW w:w="2312" w:type="dxa"/>
          </w:tcPr>
          <w:p>
            <w:pPr>
              <w:pStyle w:val="TableParagraph"/>
              <w:ind w:left="296"/>
              <w:jc w:val="left"/>
              <w:rPr>
                <w:sz w:val="24"/>
              </w:rPr>
            </w:pPr>
            <w:r>
              <w:rPr>
                <w:sz w:val="24"/>
              </w:rPr>
              <w:t>5.43</w:t>
            </w:r>
            <w:r>
              <w:rPr>
                <w:spacing w:val="-5"/>
                <w:sz w:val="24"/>
              </w:rPr>
              <w:t> </w:t>
            </w:r>
            <w:r>
              <w:rPr>
                <w:sz w:val="24"/>
              </w:rPr>
              <w:t>(5.09</w:t>
            </w:r>
            <w:r>
              <w:rPr>
                <w:spacing w:val="-4"/>
                <w:sz w:val="24"/>
              </w:rPr>
              <w:t> </w:t>
            </w:r>
            <w:r>
              <w:rPr>
                <w:sz w:val="24"/>
              </w:rPr>
              <w:t>–</w:t>
            </w:r>
            <w:r>
              <w:rPr>
                <w:spacing w:val="-5"/>
                <w:sz w:val="24"/>
              </w:rPr>
              <w:t> </w:t>
            </w:r>
            <w:r>
              <w:rPr>
                <w:spacing w:val="-2"/>
                <w:sz w:val="24"/>
              </w:rPr>
              <w:t>5.78)</w:t>
            </w:r>
          </w:p>
        </w:tc>
      </w:tr>
      <w:tr>
        <w:trPr>
          <w:trHeight w:val="288" w:hRule="atLeast"/>
        </w:trPr>
        <w:tc>
          <w:tcPr>
            <w:tcW w:w="1322" w:type="dxa"/>
          </w:tcPr>
          <w:p>
            <w:pPr>
              <w:pStyle w:val="TableParagraph"/>
              <w:ind w:left="109" w:right="109"/>
              <w:rPr>
                <w:sz w:val="24"/>
              </w:rPr>
            </w:pPr>
            <w:r>
              <w:rPr>
                <w:sz w:val="24"/>
              </w:rPr>
              <w:t>6</w:t>
            </w:r>
            <w:r>
              <w:rPr>
                <w:spacing w:val="-7"/>
                <w:sz w:val="24"/>
              </w:rPr>
              <w:t> </w:t>
            </w:r>
            <w:r>
              <w:rPr>
                <w:sz w:val="24"/>
              </w:rPr>
              <w:t>(24-</w:t>
            </w:r>
            <w:r>
              <w:rPr>
                <w:spacing w:val="-4"/>
                <w:sz w:val="24"/>
              </w:rPr>
              <w:t>28m)</w:t>
            </w:r>
          </w:p>
        </w:tc>
        <w:tc>
          <w:tcPr>
            <w:tcW w:w="2312" w:type="dxa"/>
          </w:tcPr>
          <w:p>
            <w:pPr>
              <w:pStyle w:val="TableParagraph"/>
              <w:ind w:left="298"/>
              <w:jc w:val="left"/>
              <w:rPr>
                <w:sz w:val="24"/>
              </w:rPr>
            </w:pPr>
            <w:r>
              <w:rPr>
                <w:sz w:val="24"/>
              </w:rPr>
              <w:t>8.57</w:t>
            </w:r>
            <w:r>
              <w:rPr>
                <w:spacing w:val="-5"/>
                <w:sz w:val="24"/>
              </w:rPr>
              <w:t> </w:t>
            </w:r>
            <w:r>
              <w:rPr>
                <w:sz w:val="24"/>
              </w:rPr>
              <w:t>(8.23</w:t>
            </w:r>
            <w:r>
              <w:rPr>
                <w:spacing w:val="-4"/>
                <w:sz w:val="24"/>
              </w:rPr>
              <w:t> </w:t>
            </w:r>
            <w:r>
              <w:rPr>
                <w:sz w:val="24"/>
              </w:rPr>
              <w:t>–</w:t>
            </w:r>
            <w:r>
              <w:rPr>
                <w:spacing w:val="-5"/>
                <w:sz w:val="24"/>
              </w:rPr>
              <w:t> </w:t>
            </w:r>
            <w:r>
              <w:rPr>
                <w:spacing w:val="-2"/>
                <w:sz w:val="24"/>
              </w:rPr>
              <w:t>8.92)</w:t>
            </w:r>
          </w:p>
        </w:tc>
        <w:tc>
          <w:tcPr>
            <w:tcW w:w="1442" w:type="dxa"/>
          </w:tcPr>
          <w:p>
            <w:pPr>
              <w:pStyle w:val="TableParagraph"/>
              <w:ind w:left="118"/>
              <w:jc w:val="left"/>
              <w:rPr>
                <w:sz w:val="24"/>
              </w:rPr>
            </w:pPr>
            <w:r>
              <w:rPr>
                <w:sz w:val="24"/>
              </w:rPr>
              <w:t>13</w:t>
            </w:r>
            <w:r>
              <w:rPr>
                <w:spacing w:val="-8"/>
                <w:sz w:val="24"/>
              </w:rPr>
              <w:t> </w:t>
            </w:r>
            <w:r>
              <w:rPr>
                <w:sz w:val="24"/>
              </w:rPr>
              <w:t>(59-</w:t>
            </w:r>
            <w:r>
              <w:rPr>
                <w:spacing w:val="-4"/>
                <w:sz w:val="24"/>
              </w:rPr>
              <w:t>63m)</w:t>
            </w:r>
          </w:p>
        </w:tc>
        <w:tc>
          <w:tcPr>
            <w:tcW w:w="2312" w:type="dxa"/>
          </w:tcPr>
          <w:p>
            <w:pPr>
              <w:pStyle w:val="TableParagraph"/>
              <w:ind w:left="296"/>
              <w:jc w:val="left"/>
              <w:rPr>
                <w:sz w:val="24"/>
              </w:rPr>
            </w:pPr>
            <w:r>
              <w:rPr>
                <w:sz w:val="24"/>
              </w:rPr>
              <w:t>2.55</w:t>
            </w:r>
            <w:r>
              <w:rPr>
                <w:spacing w:val="-5"/>
                <w:sz w:val="24"/>
              </w:rPr>
              <w:t> </w:t>
            </w:r>
            <w:r>
              <w:rPr>
                <w:sz w:val="24"/>
              </w:rPr>
              <w:t>(2.20</w:t>
            </w:r>
            <w:r>
              <w:rPr>
                <w:spacing w:val="-4"/>
                <w:sz w:val="24"/>
              </w:rPr>
              <w:t> </w:t>
            </w:r>
            <w:r>
              <w:rPr>
                <w:sz w:val="24"/>
              </w:rPr>
              <w:t>–</w:t>
            </w:r>
            <w:r>
              <w:rPr>
                <w:spacing w:val="-5"/>
                <w:sz w:val="24"/>
              </w:rPr>
              <w:t> </w:t>
            </w:r>
            <w:r>
              <w:rPr>
                <w:spacing w:val="-2"/>
                <w:sz w:val="24"/>
              </w:rPr>
              <w:t>2.89)</w:t>
            </w:r>
          </w:p>
        </w:tc>
      </w:tr>
      <w:tr>
        <w:trPr>
          <w:trHeight w:val="306" w:hRule="atLeast"/>
        </w:trPr>
        <w:tc>
          <w:tcPr>
            <w:tcW w:w="1322" w:type="dxa"/>
            <w:tcBorders>
              <w:bottom w:val="single" w:sz="4" w:space="0" w:color="000000"/>
            </w:tcBorders>
          </w:tcPr>
          <w:p>
            <w:pPr>
              <w:pStyle w:val="TableParagraph"/>
              <w:spacing w:line="273" w:lineRule="exact"/>
              <w:ind w:left="109" w:right="109"/>
              <w:rPr>
                <w:sz w:val="24"/>
              </w:rPr>
            </w:pPr>
            <w:r>
              <w:rPr>
                <w:sz w:val="24"/>
              </w:rPr>
              <w:t>7</w:t>
            </w:r>
            <w:r>
              <w:rPr>
                <w:spacing w:val="-7"/>
                <w:sz w:val="24"/>
              </w:rPr>
              <w:t> </w:t>
            </w:r>
            <w:r>
              <w:rPr>
                <w:sz w:val="24"/>
              </w:rPr>
              <w:t>(29-</w:t>
            </w:r>
            <w:r>
              <w:rPr>
                <w:spacing w:val="-4"/>
                <w:sz w:val="24"/>
              </w:rPr>
              <w:t>33m)</w:t>
            </w:r>
          </w:p>
        </w:tc>
        <w:tc>
          <w:tcPr>
            <w:tcW w:w="2312" w:type="dxa"/>
            <w:tcBorders>
              <w:bottom w:val="single" w:sz="4" w:space="0" w:color="000000"/>
            </w:tcBorders>
          </w:tcPr>
          <w:p>
            <w:pPr>
              <w:pStyle w:val="TableParagraph"/>
              <w:spacing w:line="273" w:lineRule="exact"/>
              <w:ind w:left="119"/>
              <w:jc w:val="left"/>
              <w:rPr>
                <w:sz w:val="24"/>
              </w:rPr>
            </w:pPr>
            <w:r>
              <w:rPr>
                <w:sz w:val="24"/>
              </w:rPr>
              <w:t>12.78</w:t>
            </w:r>
            <w:r>
              <w:rPr>
                <w:spacing w:val="-6"/>
                <w:sz w:val="24"/>
              </w:rPr>
              <w:t> </w:t>
            </w:r>
            <w:r>
              <w:rPr>
                <w:sz w:val="24"/>
              </w:rPr>
              <w:t>(12.44</w:t>
            </w:r>
            <w:r>
              <w:rPr>
                <w:spacing w:val="-5"/>
                <w:sz w:val="24"/>
              </w:rPr>
              <w:t> </w:t>
            </w:r>
            <w:r>
              <w:rPr>
                <w:sz w:val="24"/>
              </w:rPr>
              <w:t>–</w:t>
            </w:r>
            <w:r>
              <w:rPr>
                <w:spacing w:val="-5"/>
                <w:sz w:val="24"/>
              </w:rPr>
              <w:t> </w:t>
            </w:r>
            <w:r>
              <w:rPr>
                <w:spacing w:val="-2"/>
                <w:sz w:val="24"/>
              </w:rPr>
              <w:t>13.12)</w:t>
            </w:r>
          </w:p>
        </w:tc>
        <w:tc>
          <w:tcPr>
            <w:tcW w:w="1442" w:type="dxa"/>
            <w:tcBorders>
              <w:bottom w:val="single" w:sz="4" w:space="0" w:color="000000"/>
            </w:tcBorders>
          </w:tcPr>
          <w:p>
            <w:pPr>
              <w:pStyle w:val="TableParagraph"/>
              <w:spacing w:line="273" w:lineRule="exact"/>
              <w:ind w:left="118"/>
              <w:jc w:val="left"/>
              <w:rPr>
                <w:sz w:val="24"/>
              </w:rPr>
            </w:pPr>
            <w:r>
              <w:rPr>
                <w:sz w:val="24"/>
              </w:rPr>
              <w:t>14</w:t>
            </w:r>
            <w:r>
              <w:rPr>
                <w:spacing w:val="-8"/>
                <w:sz w:val="24"/>
              </w:rPr>
              <w:t> </w:t>
            </w:r>
            <w:r>
              <w:rPr>
                <w:sz w:val="24"/>
              </w:rPr>
              <w:t>(64-</w:t>
            </w:r>
            <w:r>
              <w:rPr>
                <w:spacing w:val="-4"/>
                <w:sz w:val="24"/>
              </w:rPr>
              <w:t>68m)</w:t>
            </w:r>
          </w:p>
        </w:tc>
        <w:tc>
          <w:tcPr>
            <w:tcW w:w="2312" w:type="dxa"/>
            <w:tcBorders>
              <w:bottom w:val="single" w:sz="4" w:space="0" w:color="000000"/>
            </w:tcBorders>
          </w:tcPr>
          <w:p>
            <w:pPr>
              <w:pStyle w:val="TableParagraph"/>
              <w:spacing w:line="273" w:lineRule="exact"/>
              <w:ind w:left="296"/>
              <w:jc w:val="left"/>
              <w:rPr>
                <w:sz w:val="24"/>
              </w:rPr>
            </w:pPr>
            <w:r>
              <w:rPr>
                <w:sz w:val="24"/>
              </w:rPr>
              <w:t>1.13</w:t>
            </w:r>
            <w:r>
              <w:rPr>
                <w:spacing w:val="-5"/>
                <w:sz w:val="24"/>
              </w:rPr>
              <w:t> </w:t>
            </w:r>
            <w:r>
              <w:rPr>
                <w:sz w:val="24"/>
              </w:rPr>
              <w:t>(0.76</w:t>
            </w:r>
            <w:r>
              <w:rPr>
                <w:spacing w:val="-4"/>
                <w:sz w:val="24"/>
              </w:rPr>
              <w:t> </w:t>
            </w:r>
            <w:r>
              <w:rPr>
                <w:sz w:val="24"/>
              </w:rPr>
              <w:t>–</w:t>
            </w:r>
            <w:r>
              <w:rPr>
                <w:spacing w:val="-5"/>
                <w:sz w:val="24"/>
              </w:rPr>
              <w:t> </w:t>
            </w:r>
            <w:r>
              <w:rPr>
                <w:spacing w:val="-2"/>
                <w:sz w:val="24"/>
              </w:rPr>
              <w:t>1.50)</w:t>
            </w:r>
          </w:p>
        </w:tc>
      </w:tr>
    </w:tbl>
    <w:p>
      <w:pPr>
        <w:pStyle w:val="BodyText"/>
        <w:rPr>
          <w:sz w:val="20"/>
        </w:rPr>
      </w:pPr>
    </w:p>
    <w:p>
      <w:pPr>
        <w:pStyle w:val="BodyText"/>
        <w:spacing w:line="252" w:lineRule="auto" w:before="246"/>
        <w:ind w:left="610" w:right="389"/>
        <w:jc w:val="both"/>
      </w:pPr>
      <w:bookmarkStart w:name="_bookmark74" w:id="140"/>
      <w:bookmarkEnd w:id="140"/>
      <w:r>
        <w:rPr/>
      </w:r>
      <w:r>
        <w:rPr>
          <w:b/>
        </w:rPr>
        <w:t>Table 3.6:</w:t>
      </w:r>
      <w:r>
        <w:rPr>
          <w:b/>
          <w:spacing w:val="40"/>
        </w:rPr>
        <w:t> </w:t>
      </w:r>
      <w:r>
        <w:rPr/>
        <w:t>Linear mixed model derived average row match EPV for EPV-308 rows. Bracketed</w:t>
      </w:r>
      <w:r>
        <w:rPr>
          <w:spacing w:val="-15"/>
        </w:rPr>
        <w:t> </w:t>
      </w:r>
      <w:r>
        <w:rPr/>
        <w:t>values</w:t>
      </w:r>
      <w:r>
        <w:rPr>
          <w:spacing w:val="-15"/>
        </w:rPr>
        <w:t> </w:t>
      </w:r>
      <w:r>
        <w:rPr/>
        <w:t>are</w:t>
      </w:r>
      <w:r>
        <w:rPr>
          <w:spacing w:val="-15"/>
        </w:rPr>
        <w:t> </w:t>
      </w:r>
      <w:r>
        <w:rPr/>
        <w:t>metres</w:t>
      </w:r>
      <w:r>
        <w:rPr>
          <w:spacing w:val="-15"/>
        </w:rPr>
        <w:t> </w:t>
      </w:r>
      <w:r>
        <w:rPr/>
        <w:t>included</w:t>
      </w:r>
      <w:r>
        <w:rPr>
          <w:spacing w:val="-15"/>
        </w:rPr>
        <w:t> </w:t>
      </w:r>
      <w:r>
        <w:rPr/>
        <w:t>for</w:t>
      </w:r>
      <w:r>
        <w:rPr>
          <w:spacing w:val="-15"/>
        </w:rPr>
        <w:t> </w:t>
      </w:r>
      <w:r>
        <w:rPr/>
        <w:t>row</w:t>
      </w:r>
      <w:r>
        <w:rPr>
          <w:spacing w:val="-15"/>
        </w:rPr>
        <w:t> </w:t>
      </w:r>
      <w:r>
        <w:rPr/>
        <w:t>and</w:t>
      </w:r>
      <w:r>
        <w:rPr>
          <w:spacing w:val="-15"/>
        </w:rPr>
        <w:t> </w:t>
      </w:r>
      <w:r>
        <w:rPr/>
        <w:t>95%</w:t>
      </w:r>
      <w:r>
        <w:rPr>
          <w:spacing w:val="-15"/>
        </w:rPr>
        <w:t> </w:t>
      </w:r>
      <w:r>
        <w:rPr/>
        <w:t>confidence</w:t>
      </w:r>
      <w:r>
        <w:rPr>
          <w:spacing w:val="-15"/>
        </w:rPr>
        <w:t> </w:t>
      </w:r>
      <w:r>
        <w:rPr/>
        <w:t>intervals</w:t>
      </w:r>
      <w:r>
        <w:rPr>
          <w:spacing w:val="-15"/>
        </w:rPr>
        <w:t> </w:t>
      </w:r>
      <w:r>
        <w:rPr/>
        <w:t>for</w:t>
      </w:r>
      <w:r>
        <w:rPr>
          <w:spacing w:val="-15"/>
        </w:rPr>
        <w:t> </w:t>
      </w:r>
      <w:r>
        <w:rPr/>
        <w:t>row</w:t>
      </w:r>
      <w:r>
        <w:rPr>
          <w:spacing w:val="-15"/>
        </w:rPr>
        <w:t> </w:t>
      </w:r>
      <w:r>
        <w:rPr/>
        <w:t>match </w:t>
      </w:r>
      <w:r>
        <w:rPr>
          <w:spacing w:val="-4"/>
        </w:rPr>
        <w:t>EPV.</w:t>
      </w:r>
    </w:p>
    <w:p>
      <w:pPr>
        <w:pStyle w:val="BodyText"/>
        <w:rPr>
          <w:sz w:val="20"/>
        </w:rPr>
      </w:pPr>
    </w:p>
    <w:p>
      <w:pPr>
        <w:pStyle w:val="BodyText"/>
        <w:spacing w:before="10"/>
        <w:rPr>
          <w:sz w:val="21"/>
        </w:rPr>
      </w:pPr>
    </w:p>
    <w:tbl>
      <w:tblPr>
        <w:tblW w:w="0" w:type="auto"/>
        <w:jc w:val="left"/>
        <w:tblInd w:w="1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587"/>
        <w:gridCol w:w="2032"/>
        <w:gridCol w:w="1560"/>
        <w:gridCol w:w="2311"/>
      </w:tblGrid>
      <w:tr>
        <w:trPr>
          <w:trHeight w:val="272" w:hRule="atLeast"/>
        </w:trPr>
        <w:tc>
          <w:tcPr>
            <w:tcW w:w="1587" w:type="dxa"/>
            <w:tcBorders>
              <w:top w:val="single" w:sz="4" w:space="0" w:color="000000"/>
              <w:bottom w:val="single" w:sz="4" w:space="0" w:color="000000"/>
            </w:tcBorders>
          </w:tcPr>
          <w:p>
            <w:pPr>
              <w:pStyle w:val="TableParagraph"/>
              <w:spacing w:line="253" w:lineRule="exact"/>
              <w:ind w:left="109" w:right="109"/>
              <w:rPr>
                <w:sz w:val="24"/>
              </w:rPr>
            </w:pPr>
            <w:r>
              <w:rPr>
                <w:spacing w:val="-5"/>
                <w:sz w:val="24"/>
              </w:rPr>
              <w:t>Row</w:t>
            </w:r>
          </w:p>
        </w:tc>
        <w:tc>
          <w:tcPr>
            <w:tcW w:w="2032" w:type="dxa"/>
            <w:tcBorders>
              <w:top w:val="single" w:sz="4" w:space="0" w:color="000000"/>
              <w:bottom w:val="single" w:sz="4" w:space="0" w:color="000000"/>
            </w:tcBorders>
          </w:tcPr>
          <w:p>
            <w:pPr>
              <w:pStyle w:val="TableParagraph"/>
              <w:spacing w:line="253" w:lineRule="exact"/>
              <w:ind w:right="213"/>
              <w:jc w:val="right"/>
              <w:rPr>
                <w:sz w:val="24"/>
              </w:rPr>
            </w:pPr>
            <w:r>
              <w:rPr>
                <w:sz w:val="24"/>
              </w:rPr>
              <w:t>Row</w:t>
            </w:r>
            <w:r>
              <w:rPr>
                <w:spacing w:val="-10"/>
                <w:sz w:val="24"/>
              </w:rPr>
              <w:t> </w:t>
            </w:r>
            <w:r>
              <w:rPr>
                <w:sz w:val="24"/>
              </w:rPr>
              <w:t>match</w:t>
            </w:r>
            <w:r>
              <w:rPr>
                <w:spacing w:val="-9"/>
                <w:sz w:val="24"/>
              </w:rPr>
              <w:t> </w:t>
            </w:r>
            <w:r>
              <w:rPr>
                <w:spacing w:val="-5"/>
                <w:sz w:val="24"/>
              </w:rPr>
              <w:t>EPV</w:t>
            </w:r>
          </w:p>
        </w:tc>
        <w:tc>
          <w:tcPr>
            <w:tcW w:w="1560" w:type="dxa"/>
            <w:tcBorders>
              <w:top w:val="single" w:sz="4" w:space="0" w:color="000000"/>
              <w:bottom w:val="single" w:sz="4" w:space="0" w:color="000000"/>
            </w:tcBorders>
          </w:tcPr>
          <w:p>
            <w:pPr>
              <w:pStyle w:val="TableParagraph"/>
              <w:spacing w:line="253" w:lineRule="exact"/>
              <w:ind w:left="106" w:right="105"/>
              <w:rPr>
                <w:sz w:val="24"/>
              </w:rPr>
            </w:pPr>
            <w:r>
              <w:rPr>
                <w:spacing w:val="-5"/>
                <w:sz w:val="24"/>
              </w:rPr>
              <w:t>Row</w:t>
            </w:r>
          </w:p>
        </w:tc>
        <w:tc>
          <w:tcPr>
            <w:tcW w:w="2311" w:type="dxa"/>
            <w:tcBorders>
              <w:top w:val="single" w:sz="4" w:space="0" w:color="000000"/>
              <w:bottom w:val="single" w:sz="4" w:space="0" w:color="000000"/>
            </w:tcBorders>
          </w:tcPr>
          <w:p>
            <w:pPr>
              <w:pStyle w:val="TableParagraph"/>
              <w:spacing w:line="253" w:lineRule="exact"/>
              <w:ind w:left="346" w:right="345"/>
              <w:rPr>
                <w:sz w:val="24"/>
              </w:rPr>
            </w:pPr>
            <w:r>
              <w:rPr>
                <w:sz w:val="24"/>
              </w:rPr>
              <w:t>Row</w:t>
            </w:r>
            <w:r>
              <w:rPr>
                <w:spacing w:val="-10"/>
                <w:sz w:val="24"/>
              </w:rPr>
              <w:t> </w:t>
            </w:r>
            <w:r>
              <w:rPr>
                <w:sz w:val="24"/>
              </w:rPr>
              <w:t>match</w:t>
            </w:r>
            <w:r>
              <w:rPr>
                <w:spacing w:val="-9"/>
                <w:sz w:val="24"/>
              </w:rPr>
              <w:t> </w:t>
            </w:r>
            <w:r>
              <w:rPr>
                <w:spacing w:val="-5"/>
                <w:sz w:val="24"/>
              </w:rPr>
              <w:t>EPV</w:t>
            </w:r>
          </w:p>
        </w:tc>
      </w:tr>
      <w:tr>
        <w:trPr>
          <w:trHeight w:val="283" w:hRule="atLeast"/>
        </w:trPr>
        <w:tc>
          <w:tcPr>
            <w:tcW w:w="1587" w:type="dxa"/>
            <w:tcBorders>
              <w:top w:val="single" w:sz="4" w:space="0" w:color="000000"/>
            </w:tcBorders>
          </w:tcPr>
          <w:p>
            <w:pPr>
              <w:pStyle w:val="TableParagraph"/>
              <w:spacing w:line="249" w:lineRule="exact"/>
              <w:ind w:left="109" w:right="109"/>
              <w:rPr>
                <w:sz w:val="24"/>
              </w:rPr>
            </w:pPr>
            <w:r>
              <w:rPr>
                <w:sz w:val="24"/>
              </w:rPr>
              <w:t>1</w:t>
            </w:r>
            <w:r>
              <w:rPr>
                <w:spacing w:val="-4"/>
                <w:sz w:val="24"/>
              </w:rPr>
              <w:t> </w:t>
            </w:r>
            <w:r>
              <w:rPr>
                <w:sz w:val="24"/>
              </w:rPr>
              <w:t>(-10</w:t>
            </w:r>
            <w:r>
              <w:rPr>
                <w:spacing w:val="-4"/>
                <w:sz w:val="24"/>
              </w:rPr>
              <w:t> </w:t>
            </w:r>
            <w:r>
              <w:rPr>
                <w:sz w:val="24"/>
              </w:rPr>
              <w:t>to</w:t>
            </w:r>
            <w:r>
              <w:rPr>
                <w:spacing w:val="-3"/>
                <w:sz w:val="24"/>
              </w:rPr>
              <w:t> </w:t>
            </w:r>
            <w:r>
              <w:rPr>
                <w:sz w:val="24"/>
              </w:rPr>
              <w:t>-</w:t>
            </w:r>
            <w:r>
              <w:rPr>
                <w:spacing w:val="-5"/>
                <w:sz w:val="24"/>
              </w:rPr>
              <w:t>5m)</w:t>
            </w:r>
          </w:p>
        </w:tc>
        <w:tc>
          <w:tcPr>
            <w:tcW w:w="2032" w:type="dxa"/>
            <w:tcBorders>
              <w:top w:val="single" w:sz="4" w:space="0" w:color="000000"/>
            </w:tcBorders>
          </w:tcPr>
          <w:p>
            <w:pPr>
              <w:pStyle w:val="TableParagraph"/>
              <w:spacing w:line="249" w:lineRule="exact"/>
              <w:ind w:right="117"/>
              <w:jc w:val="right"/>
              <w:rPr>
                <w:sz w:val="24"/>
              </w:rPr>
            </w:pPr>
            <w:r>
              <w:rPr>
                <w:sz w:val="24"/>
              </w:rPr>
              <w:t>0.19</w:t>
            </w:r>
            <w:r>
              <w:rPr>
                <w:spacing w:val="-5"/>
                <w:sz w:val="24"/>
              </w:rPr>
              <w:t> </w:t>
            </w:r>
            <w:r>
              <w:rPr>
                <w:sz w:val="24"/>
              </w:rPr>
              <w:t>(-0.38</w:t>
            </w:r>
            <w:r>
              <w:rPr>
                <w:spacing w:val="-5"/>
                <w:sz w:val="24"/>
              </w:rPr>
              <w:t> </w:t>
            </w:r>
            <w:r>
              <w:rPr>
                <w:sz w:val="24"/>
              </w:rPr>
              <w:t>–</w:t>
            </w:r>
            <w:r>
              <w:rPr>
                <w:spacing w:val="-5"/>
                <w:sz w:val="24"/>
              </w:rPr>
              <w:t> </w:t>
            </w:r>
            <w:r>
              <w:rPr>
                <w:spacing w:val="-2"/>
                <w:sz w:val="24"/>
              </w:rPr>
              <w:t>0.76)</w:t>
            </w:r>
          </w:p>
        </w:tc>
        <w:tc>
          <w:tcPr>
            <w:tcW w:w="1560" w:type="dxa"/>
            <w:tcBorders>
              <w:top w:val="single" w:sz="4" w:space="0" w:color="000000"/>
            </w:tcBorders>
          </w:tcPr>
          <w:p>
            <w:pPr>
              <w:pStyle w:val="TableParagraph"/>
              <w:spacing w:line="249" w:lineRule="exact"/>
              <w:ind w:left="106" w:right="105"/>
              <w:rPr>
                <w:sz w:val="24"/>
              </w:rPr>
            </w:pPr>
            <w:r>
              <w:rPr>
                <w:sz w:val="24"/>
              </w:rPr>
              <w:t>12</w:t>
            </w:r>
            <w:r>
              <w:rPr>
                <w:spacing w:val="-8"/>
                <w:sz w:val="24"/>
              </w:rPr>
              <w:t> </w:t>
            </w:r>
            <w:r>
              <w:rPr>
                <w:sz w:val="24"/>
              </w:rPr>
              <w:t>(46-</w:t>
            </w:r>
            <w:r>
              <w:rPr>
                <w:spacing w:val="-4"/>
                <w:sz w:val="24"/>
              </w:rPr>
              <w:t>50m)</w:t>
            </w:r>
          </w:p>
        </w:tc>
        <w:tc>
          <w:tcPr>
            <w:tcW w:w="2311" w:type="dxa"/>
            <w:tcBorders>
              <w:top w:val="single" w:sz="4" w:space="0" w:color="000000"/>
            </w:tcBorders>
          </w:tcPr>
          <w:p>
            <w:pPr>
              <w:pStyle w:val="TableParagraph"/>
              <w:spacing w:line="249" w:lineRule="exact"/>
              <w:ind w:left="299"/>
              <w:jc w:val="left"/>
              <w:rPr>
                <w:sz w:val="24"/>
              </w:rPr>
            </w:pPr>
            <w:r>
              <w:rPr>
                <w:sz w:val="24"/>
              </w:rPr>
              <w:t>3.03</w:t>
            </w:r>
            <w:r>
              <w:rPr>
                <w:spacing w:val="-5"/>
                <w:sz w:val="24"/>
              </w:rPr>
              <w:t> </w:t>
            </w:r>
            <w:r>
              <w:rPr>
                <w:sz w:val="24"/>
              </w:rPr>
              <w:t>(2.77</w:t>
            </w:r>
            <w:r>
              <w:rPr>
                <w:spacing w:val="-4"/>
                <w:sz w:val="24"/>
              </w:rPr>
              <w:t> </w:t>
            </w:r>
            <w:r>
              <w:rPr>
                <w:sz w:val="24"/>
              </w:rPr>
              <w:t>–</w:t>
            </w:r>
            <w:r>
              <w:rPr>
                <w:spacing w:val="-5"/>
                <w:sz w:val="24"/>
              </w:rPr>
              <w:t> </w:t>
            </w:r>
            <w:r>
              <w:rPr>
                <w:spacing w:val="-2"/>
                <w:sz w:val="24"/>
              </w:rPr>
              <w:t>3.29)</w:t>
            </w:r>
          </w:p>
        </w:tc>
      </w:tr>
      <w:tr>
        <w:trPr>
          <w:trHeight w:val="288" w:hRule="atLeast"/>
        </w:trPr>
        <w:tc>
          <w:tcPr>
            <w:tcW w:w="1587" w:type="dxa"/>
          </w:tcPr>
          <w:p>
            <w:pPr>
              <w:pStyle w:val="TableParagraph"/>
              <w:ind w:left="109" w:right="109"/>
              <w:rPr>
                <w:sz w:val="24"/>
              </w:rPr>
            </w:pPr>
            <w:r>
              <w:rPr>
                <w:sz w:val="24"/>
              </w:rPr>
              <w:t>2</w:t>
            </w:r>
            <w:r>
              <w:rPr>
                <w:spacing w:val="-3"/>
                <w:sz w:val="24"/>
              </w:rPr>
              <w:t> </w:t>
            </w:r>
            <w:r>
              <w:rPr>
                <w:sz w:val="24"/>
              </w:rPr>
              <w:t>(-4</w:t>
            </w:r>
            <w:r>
              <w:rPr>
                <w:spacing w:val="-3"/>
                <w:sz w:val="24"/>
              </w:rPr>
              <w:t> </w:t>
            </w:r>
            <w:r>
              <w:rPr>
                <w:sz w:val="24"/>
              </w:rPr>
              <w:t>to</w:t>
            </w:r>
            <w:r>
              <w:rPr>
                <w:spacing w:val="-3"/>
                <w:sz w:val="24"/>
              </w:rPr>
              <w:t> </w:t>
            </w:r>
            <w:r>
              <w:rPr>
                <w:spacing w:val="-5"/>
                <w:sz w:val="24"/>
              </w:rPr>
              <w:t>0m)</w:t>
            </w:r>
          </w:p>
        </w:tc>
        <w:tc>
          <w:tcPr>
            <w:tcW w:w="2032" w:type="dxa"/>
          </w:tcPr>
          <w:p>
            <w:pPr>
              <w:pStyle w:val="TableParagraph"/>
              <w:ind w:right="157"/>
              <w:jc w:val="right"/>
              <w:rPr>
                <w:sz w:val="24"/>
              </w:rPr>
            </w:pPr>
            <w:r>
              <w:rPr>
                <w:sz w:val="24"/>
              </w:rPr>
              <w:t>0.45</w:t>
            </w:r>
            <w:r>
              <w:rPr>
                <w:spacing w:val="-5"/>
                <w:sz w:val="24"/>
              </w:rPr>
              <w:t> </w:t>
            </w:r>
            <w:r>
              <w:rPr>
                <w:sz w:val="24"/>
              </w:rPr>
              <w:t>(0.09</w:t>
            </w:r>
            <w:r>
              <w:rPr>
                <w:spacing w:val="-4"/>
                <w:sz w:val="24"/>
              </w:rPr>
              <w:t> </w:t>
            </w:r>
            <w:r>
              <w:rPr>
                <w:sz w:val="24"/>
              </w:rPr>
              <w:t>–</w:t>
            </w:r>
            <w:r>
              <w:rPr>
                <w:spacing w:val="-5"/>
                <w:sz w:val="24"/>
              </w:rPr>
              <w:t> </w:t>
            </w:r>
            <w:r>
              <w:rPr>
                <w:spacing w:val="-2"/>
                <w:sz w:val="24"/>
              </w:rPr>
              <w:t>0.81)</w:t>
            </w:r>
          </w:p>
        </w:tc>
        <w:tc>
          <w:tcPr>
            <w:tcW w:w="1560" w:type="dxa"/>
          </w:tcPr>
          <w:p>
            <w:pPr>
              <w:pStyle w:val="TableParagraph"/>
              <w:ind w:left="106" w:right="105"/>
              <w:rPr>
                <w:sz w:val="24"/>
              </w:rPr>
            </w:pPr>
            <w:r>
              <w:rPr>
                <w:sz w:val="24"/>
              </w:rPr>
              <w:t>13</w:t>
            </w:r>
            <w:r>
              <w:rPr>
                <w:spacing w:val="-8"/>
                <w:sz w:val="24"/>
              </w:rPr>
              <w:t> </w:t>
            </w:r>
            <w:r>
              <w:rPr>
                <w:sz w:val="24"/>
              </w:rPr>
              <w:t>(51-</w:t>
            </w:r>
            <w:r>
              <w:rPr>
                <w:spacing w:val="-4"/>
                <w:sz w:val="24"/>
              </w:rPr>
              <w:t>55m)</w:t>
            </w:r>
          </w:p>
        </w:tc>
        <w:tc>
          <w:tcPr>
            <w:tcW w:w="2311" w:type="dxa"/>
          </w:tcPr>
          <w:p>
            <w:pPr>
              <w:pStyle w:val="TableParagraph"/>
              <w:ind w:left="299"/>
              <w:jc w:val="left"/>
              <w:rPr>
                <w:sz w:val="24"/>
              </w:rPr>
            </w:pPr>
            <w:r>
              <w:rPr>
                <w:sz w:val="24"/>
              </w:rPr>
              <w:t>3.59</w:t>
            </w:r>
            <w:r>
              <w:rPr>
                <w:spacing w:val="-5"/>
                <w:sz w:val="24"/>
              </w:rPr>
              <w:t> </w:t>
            </w:r>
            <w:r>
              <w:rPr>
                <w:sz w:val="24"/>
              </w:rPr>
              <w:t>(3.33</w:t>
            </w:r>
            <w:r>
              <w:rPr>
                <w:spacing w:val="-4"/>
                <w:sz w:val="24"/>
              </w:rPr>
              <w:t> </w:t>
            </w:r>
            <w:r>
              <w:rPr>
                <w:sz w:val="24"/>
              </w:rPr>
              <w:t>–</w:t>
            </w:r>
            <w:r>
              <w:rPr>
                <w:spacing w:val="-5"/>
                <w:sz w:val="24"/>
              </w:rPr>
              <w:t> </w:t>
            </w:r>
            <w:r>
              <w:rPr>
                <w:spacing w:val="-2"/>
                <w:sz w:val="24"/>
              </w:rPr>
              <w:t>3.85)</w:t>
            </w:r>
          </w:p>
        </w:tc>
      </w:tr>
      <w:tr>
        <w:trPr>
          <w:trHeight w:val="288" w:hRule="atLeast"/>
        </w:trPr>
        <w:tc>
          <w:tcPr>
            <w:tcW w:w="1587" w:type="dxa"/>
          </w:tcPr>
          <w:p>
            <w:pPr>
              <w:pStyle w:val="TableParagraph"/>
              <w:ind w:left="109" w:right="109"/>
              <w:rPr>
                <w:sz w:val="24"/>
              </w:rPr>
            </w:pPr>
            <w:r>
              <w:rPr>
                <w:sz w:val="24"/>
              </w:rPr>
              <w:t>3</w:t>
            </w:r>
            <w:r>
              <w:rPr>
                <w:spacing w:val="-5"/>
                <w:sz w:val="24"/>
              </w:rPr>
              <w:t> </w:t>
            </w:r>
            <w:r>
              <w:rPr>
                <w:sz w:val="24"/>
              </w:rPr>
              <w:t>(1-</w:t>
            </w:r>
            <w:r>
              <w:rPr>
                <w:spacing w:val="-5"/>
                <w:sz w:val="24"/>
              </w:rPr>
              <w:t>5m)</w:t>
            </w:r>
          </w:p>
        </w:tc>
        <w:tc>
          <w:tcPr>
            <w:tcW w:w="2032" w:type="dxa"/>
          </w:tcPr>
          <w:p>
            <w:pPr>
              <w:pStyle w:val="TableParagraph"/>
              <w:ind w:right="157"/>
              <w:jc w:val="right"/>
              <w:rPr>
                <w:sz w:val="24"/>
              </w:rPr>
            </w:pPr>
            <w:r>
              <w:rPr>
                <w:sz w:val="24"/>
              </w:rPr>
              <w:t>1.12</w:t>
            </w:r>
            <w:r>
              <w:rPr>
                <w:spacing w:val="-5"/>
                <w:sz w:val="24"/>
              </w:rPr>
              <w:t> </w:t>
            </w:r>
            <w:r>
              <w:rPr>
                <w:sz w:val="24"/>
              </w:rPr>
              <w:t>(0.86</w:t>
            </w:r>
            <w:r>
              <w:rPr>
                <w:spacing w:val="-4"/>
                <w:sz w:val="24"/>
              </w:rPr>
              <w:t> </w:t>
            </w:r>
            <w:r>
              <w:rPr>
                <w:sz w:val="24"/>
              </w:rPr>
              <w:t>–</w:t>
            </w:r>
            <w:r>
              <w:rPr>
                <w:spacing w:val="-5"/>
                <w:sz w:val="24"/>
              </w:rPr>
              <w:t> </w:t>
            </w:r>
            <w:r>
              <w:rPr>
                <w:spacing w:val="-2"/>
                <w:sz w:val="24"/>
              </w:rPr>
              <w:t>1.38)</w:t>
            </w:r>
          </w:p>
        </w:tc>
        <w:tc>
          <w:tcPr>
            <w:tcW w:w="1560" w:type="dxa"/>
          </w:tcPr>
          <w:p>
            <w:pPr>
              <w:pStyle w:val="TableParagraph"/>
              <w:ind w:left="106" w:right="105"/>
              <w:rPr>
                <w:sz w:val="24"/>
              </w:rPr>
            </w:pPr>
            <w:r>
              <w:rPr>
                <w:sz w:val="24"/>
              </w:rPr>
              <w:t>14</w:t>
            </w:r>
            <w:r>
              <w:rPr>
                <w:spacing w:val="-8"/>
                <w:sz w:val="24"/>
              </w:rPr>
              <w:t> </w:t>
            </w:r>
            <w:r>
              <w:rPr>
                <w:sz w:val="24"/>
              </w:rPr>
              <w:t>(56-</w:t>
            </w:r>
            <w:r>
              <w:rPr>
                <w:spacing w:val="-4"/>
                <w:sz w:val="24"/>
              </w:rPr>
              <w:t>60m)</w:t>
            </w:r>
          </w:p>
        </w:tc>
        <w:tc>
          <w:tcPr>
            <w:tcW w:w="2311" w:type="dxa"/>
          </w:tcPr>
          <w:p>
            <w:pPr>
              <w:pStyle w:val="TableParagraph"/>
              <w:ind w:left="299"/>
              <w:jc w:val="left"/>
              <w:rPr>
                <w:sz w:val="24"/>
              </w:rPr>
            </w:pPr>
            <w:r>
              <w:rPr>
                <w:sz w:val="24"/>
              </w:rPr>
              <w:t>4.16</w:t>
            </w:r>
            <w:r>
              <w:rPr>
                <w:spacing w:val="-5"/>
                <w:sz w:val="24"/>
              </w:rPr>
              <w:t> </w:t>
            </w:r>
            <w:r>
              <w:rPr>
                <w:sz w:val="24"/>
              </w:rPr>
              <w:t>(3.90</w:t>
            </w:r>
            <w:r>
              <w:rPr>
                <w:spacing w:val="-4"/>
                <w:sz w:val="24"/>
              </w:rPr>
              <w:t> </w:t>
            </w:r>
            <w:r>
              <w:rPr>
                <w:sz w:val="24"/>
              </w:rPr>
              <w:t>–</w:t>
            </w:r>
            <w:r>
              <w:rPr>
                <w:spacing w:val="-5"/>
                <w:sz w:val="24"/>
              </w:rPr>
              <w:t> </w:t>
            </w:r>
            <w:r>
              <w:rPr>
                <w:spacing w:val="-2"/>
                <w:sz w:val="24"/>
              </w:rPr>
              <w:t>4.42)</w:t>
            </w:r>
          </w:p>
        </w:tc>
      </w:tr>
      <w:tr>
        <w:trPr>
          <w:trHeight w:val="288" w:hRule="atLeast"/>
        </w:trPr>
        <w:tc>
          <w:tcPr>
            <w:tcW w:w="1587" w:type="dxa"/>
          </w:tcPr>
          <w:p>
            <w:pPr>
              <w:pStyle w:val="TableParagraph"/>
              <w:ind w:left="109" w:right="109"/>
              <w:rPr>
                <w:sz w:val="24"/>
              </w:rPr>
            </w:pPr>
            <w:r>
              <w:rPr>
                <w:sz w:val="24"/>
              </w:rPr>
              <w:t>4</w:t>
            </w:r>
            <w:r>
              <w:rPr>
                <w:spacing w:val="-5"/>
                <w:sz w:val="24"/>
              </w:rPr>
              <w:t> </w:t>
            </w:r>
            <w:r>
              <w:rPr>
                <w:sz w:val="24"/>
              </w:rPr>
              <w:t>(6-</w:t>
            </w:r>
            <w:r>
              <w:rPr>
                <w:spacing w:val="-4"/>
                <w:sz w:val="24"/>
              </w:rPr>
              <w:t>10m)</w:t>
            </w:r>
          </w:p>
        </w:tc>
        <w:tc>
          <w:tcPr>
            <w:tcW w:w="2032" w:type="dxa"/>
          </w:tcPr>
          <w:p>
            <w:pPr>
              <w:pStyle w:val="TableParagraph"/>
              <w:ind w:right="157"/>
              <w:jc w:val="right"/>
              <w:rPr>
                <w:sz w:val="24"/>
              </w:rPr>
            </w:pPr>
            <w:r>
              <w:rPr>
                <w:sz w:val="24"/>
              </w:rPr>
              <w:t>2.12</w:t>
            </w:r>
            <w:r>
              <w:rPr>
                <w:spacing w:val="-5"/>
                <w:sz w:val="24"/>
              </w:rPr>
              <w:t> </w:t>
            </w:r>
            <w:r>
              <w:rPr>
                <w:sz w:val="24"/>
              </w:rPr>
              <w:t>(1.86</w:t>
            </w:r>
            <w:r>
              <w:rPr>
                <w:spacing w:val="-4"/>
                <w:sz w:val="24"/>
              </w:rPr>
              <w:t> </w:t>
            </w:r>
            <w:r>
              <w:rPr>
                <w:sz w:val="24"/>
              </w:rPr>
              <w:t>–</w:t>
            </w:r>
            <w:r>
              <w:rPr>
                <w:spacing w:val="-5"/>
                <w:sz w:val="24"/>
              </w:rPr>
              <w:t> </w:t>
            </w:r>
            <w:r>
              <w:rPr>
                <w:spacing w:val="-2"/>
                <w:sz w:val="24"/>
              </w:rPr>
              <w:t>2.38)</w:t>
            </w:r>
          </w:p>
        </w:tc>
        <w:tc>
          <w:tcPr>
            <w:tcW w:w="1560" w:type="dxa"/>
          </w:tcPr>
          <w:p>
            <w:pPr>
              <w:pStyle w:val="TableParagraph"/>
              <w:ind w:left="106" w:right="105"/>
              <w:rPr>
                <w:sz w:val="24"/>
              </w:rPr>
            </w:pPr>
            <w:r>
              <w:rPr>
                <w:sz w:val="24"/>
              </w:rPr>
              <w:t>15</w:t>
            </w:r>
            <w:r>
              <w:rPr>
                <w:spacing w:val="-8"/>
                <w:sz w:val="24"/>
              </w:rPr>
              <w:t> </w:t>
            </w:r>
            <w:r>
              <w:rPr>
                <w:sz w:val="24"/>
              </w:rPr>
              <w:t>(61-</w:t>
            </w:r>
            <w:r>
              <w:rPr>
                <w:spacing w:val="-4"/>
                <w:sz w:val="24"/>
              </w:rPr>
              <w:t>65m)</w:t>
            </w:r>
          </w:p>
        </w:tc>
        <w:tc>
          <w:tcPr>
            <w:tcW w:w="2311" w:type="dxa"/>
          </w:tcPr>
          <w:p>
            <w:pPr>
              <w:pStyle w:val="TableParagraph"/>
              <w:ind w:left="299"/>
              <w:jc w:val="left"/>
              <w:rPr>
                <w:sz w:val="24"/>
              </w:rPr>
            </w:pPr>
            <w:r>
              <w:rPr>
                <w:sz w:val="24"/>
              </w:rPr>
              <w:t>3.67</w:t>
            </w:r>
            <w:r>
              <w:rPr>
                <w:spacing w:val="-5"/>
                <w:sz w:val="24"/>
              </w:rPr>
              <w:t> </w:t>
            </w:r>
            <w:r>
              <w:rPr>
                <w:sz w:val="24"/>
              </w:rPr>
              <w:t>(3.42</w:t>
            </w:r>
            <w:r>
              <w:rPr>
                <w:spacing w:val="-4"/>
                <w:sz w:val="24"/>
              </w:rPr>
              <w:t> </w:t>
            </w:r>
            <w:r>
              <w:rPr>
                <w:sz w:val="24"/>
              </w:rPr>
              <w:t>–</w:t>
            </w:r>
            <w:r>
              <w:rPr>
                <w:spacing w:val="-5"/>
                <w:sz w:val="24"/>
              </w:rPr>
              <w:t> </w:t>
            </w:r>
            <w:r>
              <w:rPr>
                <w:spacing w:val="-2"/>
                <w:sz w:val="24"/>
              </w:rPr>
              <w:t>3.93)</w:t>
            </w:r>
          </w:p>
        </w:tc>
      </w:tr>
      <w:tr>
        <w:trPr>
          <w:trHeight w:val="288" w:hRule="atLeast"/>
        </w:trPr>
        <w:tc>
          <w:tcPr>
            <w:tcW w:w="1587" w:type="dxa"/>
          </w:tcPr>
          <w:p>
            <w:pPr>
              <w:pStyle w:val="TableParagraph"/>
              <w:ind w:left="109" w:right="109"/>
              <w:rPr>
                <w:sz w:val="24"/>
              </w:rPr>
            </w:pPr>
            <w:r>
              <w:rPr>
                <w:sz w:val="24"/>
              </w:rPr>
              <w:t>5</w:t>
            </w:r>
            <w:r>
              <w:rPr>
                <w:spacing w:val="-7"/>
                <w:sz w:val="24"/>
              </w:rPr>
              <w:t> </w:t>
            </w:r>
            <w:r>
              <w:rPr>
                <w:sz w:val="24"/>
              </w:rPr>
              <w:t>(11-</w:t>
            </w:r>
            <w:r>
              <w:rPr>
                <w:spacing w:val="-4"/>
                <w:sz w:val="24"/>
              </w:rPr>
              <w:t>15m)</w:t>
            </w:r>
          </w:p>
        </w:tc>
        <w:tc>
          <w:tcPr>
            <w:tcW w:w="2032" w:type="dxa"/>
          </w:tcPr>
          <w:p>
            <w:pPr>
              <w:pStyle w:val="TableParagraph"/>
              <w:ind w:right="157"/>
              <w:jc w:val="right"/>
              <w:rPr>
                <w:sz w:val="24"/>
              </w:rPr>
            </w:pPr>
            <w:r>
              <w:rPr>
                <w:sz w:val="24"/>
              </w:rPr>
              <w:t>3.31</w:t>
            </w:r>
            <w:r>
              <w:rPr>
                <w:spacing w:val="-5"/>
                <w:sz w:val="24"/>
              </w:rPr>
              <w:t> </w:t>
            </w:r>
            <w:r>
              <w:rPr>
                <w:sz w:val="24"/>
              </w:rPr>
              <w:t>(3.05</w:t>
            </w:r>
            <w:r>
              <w:rPr>
                <w:spacing w:val="-4"/>
                <w:sz w:val="24"/>
              </w:rPr>
              <w:t> </w:t>
            </w:r>
            <w:r>
              <w:rPr>
                <w:sz w:val="24"/>
              </w:rPr>
              <w:t>–</w:t>
            </w:r>
            <w:r>
              <w:rPr>
                <w:spacing w:val="-5"/>
                <w:sz w:val="24"/>
              </w:rPr>
              <w:t> </w:t>
            </w:r>
            <w:r>
              <w:rPr>
                <w:spacing w:val="-2"/>
                <w:sz w:val="24"/>
              </w:rPr>
              <w:t>3.57)</w:t>
            </w:r>
          </w:p>
        </w:tc>
        <w:tc>
          <w:tcPr>
            <w:tcW w:w="1560" w:type="dxa"/>
          </w:tcPr>
          <w:p>
            <w:pPr>
              <w:pStyle w:val="TableParagraph"/>
              <w:ind w:left="105" w:right="105"/>
              <w:rPr>
                <w:sz w:val="24"/>
              </w:rPr>
            </w:pPr>
            <w:r>
              <w:rPr>
                <w:sz w:val="24"/>
              </w:rPr>
              <w:t>16</w:t>
            </w:r>
            <w:r>
              <w:rPr>
                <w:spacing w:val="-8"/>
                <w:sz w:val="24"/>
              </w:rPr>
              <w:t> </w:t>
            </w:r>
            <w:r>
              <w:rPr>
                <w:sz w:val="24"/>
              </w:rPr>
              <w:t>(66-</w:t>
            </w:r>
            <w:r>
              <w:rPr>
                <w:spacing w:val="-4"/>
                <w:sz w:val="24"/>
              </w:rPr>
              <w:t>70m)</w:t>
            </w:r>
          </w:p>
        </w:tc>
        <w:tc>
          <w:tcPr>
            <w:tcW w:w="2311" w:type="dxa"/>
          </w:tcPr>
          <w:p>
            <w:pPr>
              <w:pStyle w:val="TableParagraph"/>
              <w:ind w:left="299"/>
              <w:jc w:val="left"/>
              <w:rPr>
                <w:sz w:val="24"/>
              </w:rPr>
            </w:pPr>
            <w:r>
              <w:rPr>
                <w:sz w:val="24"/>
              </w:rPr>
              <w:t>4.03</w:t>
            </w:r>
            <w:r>
              <w:rPr>
                <w:spacing w:val="-5"/>
                <w:sz w:val="24"/>
              </w:rPr>
              <w:t> </w:t>
            </w:r>
            <w:r>
              <w:rPr>
                <w:sz w:val="24"/>
              </w:rPr>
              <w:t>(3.77</w:t>
            </w:r>
            <w:r>
              <w:rPr>
                <w:spacing w:val="-4"/>
                <w:sz w:val="24"/>
              </w:rPr>
              <w:t> </w:t>
            </w:r>
            <w:r>
              <w:rPr>
                <w:sz w:val="24"/>
              </w:rPr>
              <w:t>–</w:t>
            </w:r>
            <w:r>
              <w:rPr>
                <w:spacing w:val="-5"/>
                <w:sz w:val="24"/>
              </w:rPr>
              <w:t> </w:t>
            </w:r>
            <w:r>
              <w:rPr>
                <w:spacing w:val="-2"/>
                <w:sz w:val="24"/>
              </w:rPr>
              <w:t>4.28)</w:t>
            </w:r>
          </w:p>
        </w:tc>
      </w:tr>
      <w:tr>
        <w:trPr>
          <w:trHeight w:val="288" w:hRule="atLeast"/>
        </w:trPr>
        <w:tc>
          <w:tcPr>
            <w:tcW w:w="1587" w:type="dxa"/>
          </w:tcPr>
          <w:p>
            <w:pPr>
              <w:pStyle w:val="TableParagraph"/>
              <w:ind w:left="109" w:right="109"/>
              <w:rPr>
                <w:sz w:val="24"/>
              </w:rPr>
            </w:pPr>
            <w:r>
              <w:rPr>
                <w:sz w:val="24"/>
              </w:rPr>
              <w:t>6</w:t>
            </w:r>
            <w:r>
              <w:rPr>
                <w:spacing w:val="-7"/>
                <w:sz w:val="24"/>
              </w:rPr>
              <w:t> </w:t>
            </w:r>
            <w:r>
              <w:rPr>
                <w:sz w:val="24"/>
              </w:rPr>
              <w:t>(16-</w:t>
            </w:r>
            <w:r>
              <w:rPr>
                <w:spacing w:val="-4"/>
                <w:sz w:val="24"/>
              </w:rPr>
              <w:t>20m)</w:t>
            </w:r>
          </w:p>
        </w:tc>
        <w:tc>
          <w:tcPr>
            <w:tcW w:w="2032" w:type="dxa"/>
          </w:tcPr>
          <w:p>
            <w:pPr>
              <w:pStyle w:val="TableParagraph"/>
              <w:ind w:right="157"/>
              <w:jc w:val="right"/>
              <w:rPr>
                <w:sz w:val="24"/>
              </w:rPr>
            </w:pPr>
            <w:r>
              <w:rPr>
                <w:sz w:val="24"/>
              </w:rPr>
              <w:t>3.21</w:t>
            </w:r>
            <w:r>
              <w:rPr>
                <w:spacing w:val="-5"/>
                <w:sz w:val="24"/>
              </w:rPr>
              <w:t> </w:t>
            </w:r>
            <w:r>
              <w:rPr>
                <w:sz w:val="24"/>
              </w:rPr>
              <w:t>(2.95</w:t>
            </w:r>
            <w:r>
              <w:rPr>
                <w:spacing w:val="-4"/>
                <w:sz w:val="24"/>
              </w:rPr>
              <w:t> </w:t>
            </w:r>
            <w:r>
              <w:rPr>
                <w:sz w:val="24"/>
              </w:rPr>
              <w:t>–</w:t>
            </w:r>
            <w:r>
              <w:rPr>
                <w:spacing w:val="-5"/>
                <w:sz w:val="24"/>
              </w:rPr>
              <w:t> </w:t>
            </w:r>
            <w:r>
              <w:rPr>
                <w:spacing w:val="-2"/>
                <w:sz w:val="24"/>
              </w:rPr>
              <w:t>3.47)</w:t>
            </w:r>
          </w:p>
        </w:tc>
        <w:tc>
          <w:tcPr>
            <w:tcW w:w="1560" w:type="dxa"/>
          </w:tcPr>
          <w:p>
            <w:pPr>
              <w:pStyle w:val="TableParagraph"/>
              <w:ind w:left="105" w:right="105"/>
              <w:rPr>
                <w:sz w:val="24"/>
              </w:rPr>
            </w:pPr>
            <w:r>
              <w:rPr>
                <w:sz w:val="24"/>
              </w:rPr>
              <w:t>17</w:t>
            </w:r>
            <w:r>
              <w:rPr>
                <w:spacing w:val="-8"/>
                <w:sz w:val="24"/>
              </w:rPr>
              <w:t> </w:t>
            </w:r>
            <w:r>
              <w:rPr>
                <w:sz w:val="24"/>
              </w:rPr>
              <w:t>(71-</w:t>
            </w:r>
            <w:r>
              <w:rPr>
                <w:spacing w:val="-4"/>
                <w:sz w:val="24"/>
              </w:rPr>
              <w:t>75m)</w:t>
            </w:r>
          </w:p>
        </w:tc>
        <w:tc>
          <w:tcPr>
            <w:tcW w:w="2311" w:type="dxa"/>
          </w:tcPr>
          <w:p>
            <w:pPr>
              <w:pStyle w:val="TableParagraph"/>
              <w:ind w:left="299"/>
              <w:jc w:val="left"/>
              <w:rPr>
                <w:sz w:val="24"/>
              </w:rPr>
            </w:pPr>
            <w:r>
              <w:rPr>
                <w:sz w:val="24"/>
              </w:rPr>
              <w:t>4.91</w:t>
            </w:r>
            <w:r>
              <w:rPr>
                <w:spacing w:val="-5"/>
                <w:sz w:val="24"/>
              </w:rPr>
              <w:t> </w:t>
            </w:r>
            <w:r>
              <w:rPr>
                <w:sz w:val="24"/>
              </w:rPr>
              <w:t>(4.65</w:t>
            </w:r>
            <w:r>
              <w:rPr>
                <w:spacing w:val="-4"/>
                <w:sz w:val="24"/>
              </w:rPr>
              <w:t> </w:t>
            </w:r>
            <w:r>
              <w:rPr>
                <w:sz w:val="24"/>
              </w:rPr>
              <w:t>–</w:t>
            </w:r>
            <w:r>
              <w:rPr>
                <w:spacing w:val="-5"/>
                <w:sz w:val="24"/>
              </w:rPr>
              <w:t> </w:t>
            </w:r>
            <w:r>
              <w:rPr>
                <w:spacing w:val="-2"/>
                <w:sz w:val="24"/>
              </w:rPr>
              <w:t>5.17)</w:t>
            </w:r>
          </w:p>
        </w:tc>
      </w:tr>
      <w:tr>
        <w:trPr>
          <w:trHeight w:val="288" w:hRule="atLeast"/>
        </w:trPr>
        <w:tc>
          <w:tcPr>
            <w:tcW w:w="1587" w:type="dxa"/>
          </w:tcPr>
          <w:p>
            <w:pPr>
              <w:pStyle w:val="TableParagraph"/>
              <w:ind w:left="109" w:right="109"/>
              <w:rPr>
                <w:sz w:val="24"/>
              </w:rPr>
            </w:pPr>
            <w:r>
              <w:rPr>
                <w:sz w:val="24"/>
              </w:rPr>
              <w:t>7</w:t>
            </w:r>
            <w:r>
              <w:rPr>
                <w:spacing w:val="-7"/>
                <w:sz w:val="24"/>
              </w:rPr>
              <w:t> </w:t>
            </w:r>
            <w:r>
              <w:rPr>
                <w:sz w:val="24"/>
              </w:rPr>
              <w:t>(21-</w:t>
            </w:r>
            <w:r>
              <w:rPr>
                <w:spacing w:val="-4"/>
                <w:sz w:val="24"/>
              </w:rPr>
              <w:t>25m)</w:t>
            </w:r>
          </w:p>
        </w:tc>
        <w:tc>
          <w:tcPr>
            <w:tcW w:w="2032" w:type="dxa"/>
          </w:tcPr>
          <w:p>
            <w:pPr>
              <w:pStyle w:val="TableParagraph"/>
              <w:ind w:right="157"/>
              <w:jc w:val="right"/>
              <w:rPr>
                <w:sz w:val="24"/>
              </w:rPr>
            </w:pPr>
            <w:r>
              <w:rPr>
                <w:sz w:val="24"/>
              </w:rPr>
              <w:t>3.15</w:t>
            </w:r>
            <w:r>
              <w:rPr>
                <w:spacing w:val="-5"/>
                <w:sz w:val="24"/>
              </w:rPr>
              <w:t> </w:t>
            </w:r>
            <w:r>
              <w:rPr>
                <w:sz w:val="24"/>
              </w:rPr>
              <w:t>(2.89</w:t>
            </w:r>
            <w:r>
              <w:rPr>
                <w:spacing w:val="-4"/>
                <w:sz w:val="24"/>
              </w:rPr>
              <w:t> </w:t>
            </w:r>
            <w:r>
              <w:rPr>
                <w:sz w:val="24"/>
              </w:rPr>
              <w:t>–</w:t>
            </w:r>
            <w:r>
              <w:rPr>
                <w:spacing w:val="-5"/>
                <w:sz w:val="24"/>
              </w:rPr>
              <w:t> </w:t>
            </w:r>
            <w:r>
              <w:rPr>
                <w:spacing w:val="-2"/>
                <w:sz w:val="24"/>
              </w:rPr>
              <w:t>3.41)</w:t>
            </w:r>
          </w:p>
        </w:tc>
        <w:tc>
          <w:tcPr>
            <w:tcW w:w="1560" w:type="dxa"/>
          </w:tcPr>
          <w:p>
            <w:pPr>
              <w:pStyle w:val="TableParagraph"/>
              <w:ind w:left="105" w:right="105"/>
              <w:rPr>
                <w:sz w:val="24"/>
              </w:rPr>
            </w:pPr>
            <w:r>
              <w:rPr>
                <w:sz w:val="24"/>
              </w:rPr>
              <w:t>18</w:t>
            </w:r>
            <w:r>
              <w:rPr>
                <w:spacing w:val="-8"/>
                <w:sz w:val="24"/>
              </w:rPr>
              <w:t> </w:t>
            </w:r>
            <w:r>
              <w:rPr>
                <w:sz w:val="24"/>
              </w:rPr>
              <w:t>(76-</w:t>
            </w:r>
            <w:r>
              <w:rPr>
                <w:spacing w:val="-4"/>
                <w:sz w:val="24"/>
              </w:rPr>
              <w:t>80m)</w:t>
            </w:r>
          </w:p>
        </w:tc>
        <w:tc>
          <w:tcPr>
            <w:tcW w:w="2311" w:type="dxa"/>
          </w:tcPr>
          <w:p>
            <w:pPr>
              <w:pStyle w:val="TableParagraph"/>
              <w:ind w:left="299"/>
              <w:jc w:val="left"/>
              <w:rPr>
                <w:sz w:val="24"/>
              </w:rPr>
            </w:pPr>
            <w:r>
              <w:rPr>
                <w:sz w:val="24"/>
              </w:rPr>
              <w:t>5.29</w:t>
            </w:r>
            <w:r>
              <w:rPr>
                <w:spacing w:val="-5"/>
                <w:sz w:val="24"/>
              </w:rPr>
              <w:t> </w:t>
            </w:r>
            <w:r>
              <w:rPr>
                <w:sz w:val="24"/>
              </w:rPr>
              <w:t>(5.03</w:t>
            </w:r>
            <w:r>
              <w:rPr>
                <w:spacing w:val="-4"/>
                <w:sz w:val="24"/>
              </w:rPr>
              <w:t> </w:t>
            </w:r>
            <w:r>
              <w:rPr>
                <w:sz w:val="24"/>
              </w:rPr>
              <w:t>–</w:t>
            </w:r>
            <w:r>
              <w:rPr>
                <w:spacing w:val="-5"/>
                <w:sz w:val="24"/>
              </w:rPr>
              <w:t> </w:t>
            </w:r>
            <w:r>
              <w:rPr>
                <w:spacing w:val="-2"/>
                <w:sz w:val="24"/>
              </w:rPr>
              <w:t>5.55)</w:t>
            </w:r>
          </w:p>
        </w:tc>
      </w:tr>
      <w:tr>
        <w:trPr>
          <w:trHeight w:val="288" w:hRule="atLeast"/>
        </w:trPr>
        <w:tc>
          <w:tcPr>
            <w:tcW w:w="1587" w:type="dxa"/>
          </w:tcPr>
          <w:p>
            <w:pPr>
              <w:pStyle w:val="TableParagraph"/>
              <w:ind w:left="109" w:right="109"/>
              <w:rPr>
                <w:sz w:val="24"/>
              </w:rPr>
            </w:pPr>
            <w:r>
              <w:rPr>
                <w:sz w:val="24"/>
              </w:rPr>
              <w:t>8</w:t>
            </w:r>
            <w:r>
              <w:rPr>
                <w:spacing w:val="-7"/>
                <w:sz w:val="24"/>
              </w:rPr>
              <w:t> </w:t>
            </w:r>
            <w:r>
              <w:rPr>
                <w:sz w:val="24"/>
              </w:rPr>
              <w:t>(26-</w:t>
            </w:r>
            <w:r>
              <w:rPr>
                <w:spacing w:val="-4"/>
                <w:sz w:val="24"/>
              </w:rPr>
              <w:t>30m)</w:t>
            </w:r>
          </w:p>
        </w:tc>
        <w:tc>
          <w:tcPr>
            <w:tcW w:w="2032" w:type="dxa"/>
          </w:tcPr>
          <w:p>
            <w:pPr>
              <w:pStyle w:val="TableParagraph"/>
              <w:ind w:right="157"/>
              <w:jc w:val="right"/>
              <w:rPr>
                <w:sz w:val="24"/>
              </w:rPr>
            </w:pPr>
            <w:r>
              <w:rPr>
                <w:sz w:val="24"/>
              </w:rPr>
              <w:t>3.22</w:t>
            </w:r>
            <w:r>
              <w:rPr>
                <w:spacing w:val="-5"/>
                <w:sz w:val="24"/>
              </w:rPr>
              <w:t> </w:t>
            </w:r>
            <w:r>
              <w:rPr>
                <w:sz w:val="24"/>
              </w:rPr>
              <w:t>(2.97</w:t>
            </w:r>
            <w:r>
              <w:rPr>
                <w:spacing w:val="-4"/>
                <w:sz w:val="24"/>
              </w:rPr>
              <w:t> </w:t>
            </w:r>
            <w:r>
              <w:rPr>
                <w:sz w:val="24"/>
              </w:rPr>
              <w:t>–</w:t>
            </w:r>
            <w:r>
              <w:rPr>
                <w:spacing w:val="-5"/>
                <w:sz w:val="24"/>
              </w:rPr>
              <w:t> </w:t>
            </w:r>
            <w:r>
              <w:rPr>
                <w:spacing w:val="-2"/>
                <w:sz w:val="24"/>
              </w:rPr>
              <w:t>3.48)</w:t>
            </w:r>
          </w:p>
        </w:tc>
        <w:tc>
          <w:tcPr>
            <w:tcW w:w="1560" w:type="dxa"/>
          </w:tcPr>
          <w:p>
            <w:pPr>
              <w:pStyle w:val="TableParagraph"/>
              <w:ind w:left="105" w:right="105"/>
              <w:rPr>
                <w:sz w:val="24"/>
              </w:rPr>
            </w:pPr>
            <w:r>
              <w:rPr>
                <w:sz w:val="24"/>
              </w:rPr>
              <w:t>19</w:t>
            </w:r>
            <w:r>
              <w:rPr>
                <w:spacing w:val="-8"/>
                <w:sz w:val="24"/>
              </w:rPr>
              <w:t> </w:t>
            </w:r>
            <w:r>
              <w:rPr>
                <w:sz w:val="24"/>
              </w:rPr>
              <w:t>(81-</w:t>
            </w:r>
            <w:r>
              <w:rPr>
                <w:spacing w:val="-4"/>
                <w:sz w:val="24"/>
              </w:rPr>
              <w:t>85m)</w:t>
            </w:r>
          </w:p>
        </w:tc>
        <w:tc>
          <w:tcPr>
            <w:tcW w:w="2311" w:type="dxa"/>
          </w:tcPr>
          <w:p>
            <w:pPr>
              <w:pStyle w:val="TableParagraph"/>
              <w:ind w:left="299"/>
              <w:jc w:val="left"/>
              <w:rPr>
                <w:sz w:val="24"/>
              </w:rPr>
            </w:pPr>
            <w:r>
              <w:rPr>
                <w:sz w:val="24"/>
              </w:rPr>
              <w:t>6.72</w:t>
            </w:r>
            <w:r>
              <w:rPr>
                <w:spacing w:val="-5"/>
                <w:sz w:val="24"/>
              </w:rPr>
              <w:t> </w:t>
            </w:r>
            <w:r>
              <w:rPr>
                <w:sz w:val="24"/>
              </w:rPr>
              <w:t>(6.46</w:t>
            </w:r>
            <w:r>
              <w:rPr>
                <w:spacing w:val="-4"/>
                <w:sz w:val="24"/>
              </w:rPr>
              <w:t> </w:t>
            </w:r>
            <w:r>
              <w:rPr>
                <w:sz w:val="24"/>
              </w:rPr>
              <w:t>–</w:t>
            </w:r>
            <w:r>
              <w:rPr>
                <w:spacing w:val="-5"/>
                <w:sz w:val="24"/>
              </w:rPr>
              <w:t> </w:t>
            </w:r>
            <w:r>
              <w:rPr>
                <w:spacing w:val="-2"/>
                <w:sz w:val="24"/>
              </w:rPr>
              <w:t>6.98)</w:t>
            </w:r>
          </w:p>
        </w:tc>
      </w:tr>
      <w:tr>
        <w:trPr>
          <w:trHeight w:val="288" w:hRule="atLeast"/>
        </w:trPr>
        <w:tc>
          <w:tcPr>
            <w:tcW w:w="1587" w:type="dxa"/>
          </w:tcPr>
          <w:p>
            <w:pPr>
              <w:pStyle w:val="TableParagraph"/>
              <w:ind w:left="109" w:right="109"/>
              <w:rPr>
                <w:sz w:val="24"/>
              </w:rPr>
            </w:pPr>
            <w:r>
              <w:rPr>
                <w:sz w:val="24"/>
              </w:rPr>
              <w:t>9</w:t>
            </w:r>
            <w:r>
              <w:rPr>
                <w:spacing w:val="-7"/>
                <w:sz w:val="24"/>
              </w:rPr>
              <w:t> </w:t>
            </w:r>
            <w:r>
              <w:rPr>
                <w:sz w:val="24"/>
              </w:rPr>
              <w:t>(31-</w:t>
            </w:r>
            <w:r>
              <w:rPr>
                <w:spacing w:val="-4"/>
                <w:sz w:val="24"/>
              </w:rPr>
              <w:t>35m)</w:t>
            </w:r>
          </w:p>
        </w:tc>
        <w:tc>
          <w:tcPr>
            <w:tcW w:w="2032" w:type="dxa"/>
          </w:tcPr>
          <w:p>
            <w:pPr>
              <w:pStyle w:val="TableParagraph"/>
              <w:ind w:right="157"/>
              <w:jc w:val="right"/>
              <w:rPr>
                <w:sz w:val="24"/>
              </w:rPr>
            </w:pPr>
            <w:r>
              <w:rPr>
                <w:sz w:val="24"/>
              </w:rPr>
              <w:t>2.88</w:t>
            </w:r>
            <w:r>
              <w:rPr>
                <w:spacing w:val="-5"/>
                <w:sz w:val="24"/>
              </w:rPr>
              <w:t> </w:t>
            </w:r>
            <w:r>
              <w:rPr>
                <w:sz w:val="24"/>
              </w:rPr>
              <w:t>(2.62</w:t>
            </w:r>
            <w:r>
              <w:rPr>
                <w:spacing w:val="-4"/>
                <w:sz w:val="24"/>
              </w:rPr>
              <w:t> </w:t>
            </w:r>
            <w:r>
              <w:rPr>
                <w:sz w:val="24"/>
              </w:rPr>
              <w:t>–</w:t>
            </w:r>
            <w:r>
              <w:rPr>
                <w:spacing w:val="-5"/>
                <w:sz w:val="24"/>
              </w:rPr>
              <w:t> </w:t>
            </w:r>
            <w:r>
              <w:rPr>
                <w:spacing w:val="-2"/>
                <w:sz w:val="24"/>
              </w:rPr>
              <w:t>3.14)</w:t>
            </w:r>
          </w:p>
        </w:tc>
        <w:tc>
          <w:tcPr>
            <w:tcW w:w="1560" w:type="dxa"/>
          </w:tcPr>
          <w:p>
            <w:pPr>
              <w:pStyle w:val="TableParagraph"/>
              <w:ind w:left="105" w:right="105"/>
              <w:rPr>
                <w:sz w:val="24"/>
              </w:rPr>
            </w:pPr>
            <w:r>
              <w:rPr>
                <w:sz w:val="24"/>
              </w:rPr>
              <w:t>20</w:t>
            </w:r>
            <w:r>
              <w:rPr>
                <w:spacing w:val="-8"/>
                <w:sz w:val="24"/>
              </w:rPr>
              <w:t> </w:t>
            </w:r>
            <w:r>
              <w:rPr>
                <w:sz w:val="24"/>
              </w:rPr>
              <w:t>(86-</w:t>
            </w:r>
            <w:r>
              <w:rPr>
                <w:spacing w:val="-4"/>
                <w:sz w:val="24"/>
              </w:rPr>
              <w:t>90m)</w:t>
            </w:r>
          </w:p>
        </w:tc>
        <w:tc>
          <w:tcPr>
            <w:tcW w:w="2311" w:type="dxa"/>
          </w:tcPr>
          <w:p>
            <w:pPr>
              <w:pStyle w:val="TableParagraph"/>
              <w:ind w:left="299"/>
              <w:jc w:val="left"/>
              <w:rPr>
                <w:sz w:val="24"/>
              </w:rPr>
            </w:pPr>
            <w:r>
              <w:rPr>
                <w:sz w:val="24"/>
              </w:rPr>
              <w:t>9.12</w:t>
            </w:r>
            <w:r>
              <w:rPr>
                <w:spacing w:val="-5"/>
                <w:sz w:val="24"/>
              </w:rPr>
              <w:t> </w:t>
            </w:r>
            <w:r>
              <w:rPr>
                <w:sz w:val="24"/>
              </w:rPr>
              <w:t>(8.86</w:t>
            </w:r>
            <w:r>
              <w:rPr>
                <w:spacing w:val="-4"/>
                <w:sz w:val="24"/>
              </w:rPr>
              <w:t> </w:t>
            </w:r>
            <w:r>
              <w:rPr>
                <w:sz w:val="24"/>
              </w:rPr>
              <w:t>–</w:t>
            </w:r>
            <w:r>
              <w:rPr>
                <w:spacing w:val="-5"/>
                <w:sz w:val="24"/>
              </w:rPr>
              <w:t> </w:t>
            </w:r>
            <w:r>
              <w:rPr>
                <w:spacing w:val="-2"/>
                <w:sz w:val="24"/>
              </w:rPr>
              <w:t>9.38)</w:t>
            </w:r>
          </w:p>
        </w:tc>
      </w:tr>
      <w:tr>
        <w:trPr>
          <w:trHeight w:val="288" w:hRule="atLeast"/>
        </w:trPr>
        <w:tc>
          <w:tcPr>
            <w:tcW w:w="1587" w:type="dxa"/>
          </w:tcPr>
          <w:p>
            <w:pPr>
              <w:pStyle w:val="TableParagraph"/>
              <w:ind w:left="109" w:right="109"/>
              <w:rPr>
                <w:sz w:val="24"/>
              </w:rPr>
            </w:pPr>
            <w:r>
              <w:rPr>
                <w:sz w:val="24"/>
              </w:rPr>
              <w:t>10</w:t>
            </w:r>
            <w:r>
              <w:rPr>
                <w:spacing w:val="-8"/>
                <w:sz w:val="24"/>
              </w:rPr>
              <w:t> </w:t>
            </w:r>
            <w:r>
              <w:rPr>
                <w:sz w:val="24"/>
              </w:rPr>
              <w:t>(36-</w:t>
            </w:r>
            <w:r>
              <w:rPr>
                <w:spacing w:val="-4"/>
                <w:sz w:val="24"/>
              </w:rPr>
              <w:t>40m)</w:t>
            </w:r>
          </w:p>
        </w:tc>
        <w:tc>
          <w:tcPr>
            <w:tcW w:w="2032" w:type="dxa"/>
          </w:tcPr>
          <w:p>
            <w:pPr>
              <w:pStyle w:val="TableParagraph"/>
              <w:ind w:right="157"/>
              <w:jc w:val="right"/>
              <w:rPr>
                <w:sz w:val="24"/>
              </w:rPr>
            </w:pPr>
            <w:r>
              <w:rPr>
                <w:sz w:val="24"/>
              </w:rPr>
              <w:t>3.00</w:t>
            </w:r>
            <w:r>
              <w:rPr>
                <w:spacing w:val="-5"/>
                <w:sz w:val="24"/>
              </w:rPr>
              <w:t> </w:t>
            </w:r>
            <w:r>
              <w:rPr>
                <w:sz w:val="24"/>
              </w:rPr>
              <w:t>(2.75</w:t>
            </w:r>
            <w:r>
              <w:rPr>
                <w:spacing w:val="-4"/>
                <w:sz w:val="24"/>
              </w:rPr>
              <w:t> </w:t>
            </w:r>
            <w:r>
              <w:rPr>
                <w:sz w:val="24"/>
              </w:rPr>
              <w:t>–</w:t>
            </w:r>
            <w:r>
              <w:rPr>
                <w:spacing w:val="-5"/>
                <w:sz w:val="24"/>
              </w:rPr>
              <w:t> </w:t>
            </w:r>
            <w:r>
              <w:rPr>
                <w:spacing w:val="-2"/>
                <w:sz w:val="24"/>
              </w:rPr>
              <w:t>3.26)</w:t>
            </w:r>
          </w:p>
        </w:tc>
        <w:tc>
          <w:tcPr>
            <w:tcW w:w="1560" w:type="dxa"/>
          </w:tcPr>
          <w:p>
            <w:pPr>
              <w:pStyle w:val="TableParagraph"/>
              <w:ind w:left="106" w:right="105"/>
              <w:rPr>
                <w:sz w:val="24"/>
              </w:rPr>
            </w:pPr>
            <w:r>
              <w:rPr>
                <w:sz w:val="24"/>
              </w:rPr>
              <w:t>21</w:t>
            </w:r>
            <w:r>
              <w:rPr>
                <w:spacing w:val="-8"/>
                <w:sz w:val="24"/>
              </w:rPr>
              <w:t> </w:t>
            </w:r>
            <w:r>
              <w:rPr>
                <w:sz w:val="24"/>
              </w:rPr>
              <w:t>(91-</w:t>
            </w:r>
            <w:r>
              <w:rPr>
                <w:spacing w:val="-4"/>
                <w:sz w:val="24"/>
              </w:rPr>
              <w:t>95m)</w:t>
            </w:r>
          </w:p>
        </w:tc>
        <w:tc>
          <w:tcPr>
            <w:tcW w:w="2311" w:type="dxa"/>
          </w:tcPr>
          <w:p>
            <w:pPr>
              <w:pStyle w:val="TableParagraph"/>
              <w:ind w:left="120"/>
              <w:jc w:val="left"/>
              <w:rPr>
                <w:sz w:val="24"/>
              </w:rPr>
            </w:pPr>
            <w:r>
              <w:rPr>
                <w:sz w:val="24"/>
              </w:rPr>
              <w:t>11.43</w:t>
            </w:r>
            <w:r>
              <w:rPr>
                <w:spacing w:val="-6"/>
                <w:sz w:val="24"/>
              </w:rPr>
              <w:t> </w:t>
            </w:r>
            <w:r>
              <w:rPr>
                <w:sz w:val="24"/>
              </w:rPr>
              <w:t>(11.17</w:t>
            </w:r>
            <w:r>
              <w:rPr>
                <w:spacing w:val="-5"/>
                <w:sz w:val="24"/>
              </w:rPr>
              <w:t> </w:t>
            </w:r>
            <w:r>
              <w:rPr>
                <w:sz w:val="24"/>
              </w:rPr>
              <w:t>–</w:t>
            </w:r>
            <w:r>
              <w:rPr>
                <w:spacing w:val="-5"/>
                <w:sz w:val="24"/>
              </w:rPr>
              <w:t> </w:t>
            </w:r>
            <w:r>
              <w:rPr>
                <w:spacing w:val="-2"/>
                <w:sz w:val="24"/>
              </w:rPr>
              <w:t>11.68)</w:t>
            </w:r>
          </w:p>
        </w:tc>
      </w:tr>
      <w:tr>
        <w:trPr>
          <w:trHeight w:val="306" w:hRule="atLeast"/>
        </w:trPr>
        <w:tc>
          <w:tcPr>
            <w:tcW w:w="1587" w:type="dxa"/>
            <w:tcBorders>
              <w:bottom w:val="single" w:sz="4" w:space="0" w:color="000000"/>
            </w:tcBorders>
          </w:tcPr>
          <w:p>
            <w:pPr>
              <w:pStyle w:val="TableParagraph"/>
              <w:spacing w:line="273" w:lineRule="exact"/>
              <w:ind w:left="109" w:right="109"/>
              <w:rPr>
                <w:sz w:val="24"/>
              </w:rPr>
            </w:pPr>
            <w:r>
              <w:rPr>
                <w:sz w:val="24"/>
              </w:rPr>
              <w:t>11</w:t>
            </w:r>
            <w:r>
              <w:rPr>
                <w:spacing w:val="-8"/>
                <w:sz w:val="24"/>
              </w:rPr>
              <w:t> </w:t>
            </w:r>
            <w:r>
              <w:rPr>
                <w:sz w:val="24"/>
              </w:rPr>
              <w:t>(41-</w:t>
            </w:r>
            <w:r>
              <w:rPr>
                <w:spacing w:val="-4"/>
                <w:sz w:val="24"/>
              </w:rPr>
              <w:t>45m)</w:t>
            </w:r>
          </w:p>
        </w:tc>
        <w:tc>
          <w:tcPr>
            <w:tcW w:w="2032" w:type="dxa"/>
            <w:tcBorders>
              <w:bottom w:val="single" w:sz="4" w:space="0" w:color="000000"/>
            </w:tcBorders>
          </w:tcPr>
          <w:p>
            <w:pPr>
              <w:pStyle w:val="TableParagraph"/>
              <w:spacing w:line="273" w:lineRule="exact"/>
              <w:ind w:right="157"/>
              <w:jc w:val="right"/>
              <w:rPr>
                <w:sz w:val="24"/>
              </w:rPr>
            </w:pPr>
            <w:r>
              <w:rPr>
                <w:sz w:val="24"/>
              </w:rPr>
              <w:t>3.38</w:t>
            </w:r>
            <w:r>
              <w:rPr>
                <w:spacing w:val="-5"/>
                <w:sz w:val="24"/>
              </w:rPr>
              <w:t> </w:t>
            </w:r>
            <w:r>
              <w:rPr>
                <w:sz w:val="24"/>
              </w:rPr>
              <w:t>(3.12</w:t>
            </w:r>
            <w:r>
              <w:rPr>
                <w:spacing w:val="-4"/>
                <w:sz w:val="24"/>
              </w:rPr>
              <w:t> </w:t>
            </w:r>
            <w:r>
              <w:rPr>
                <w:sz w:val="24"/>
              </w:rPr>
              <w:t>–</w:t>
            </w:r>
            <w:r>
              <w:rPr>
                <w:spacing w:val="-5"/>
                <w:sz w:val="24"/>
              </w:rPr>
              <w:t> </w:t>
            </w:r>
            <w:r>
              <w:rPr>
                <w:spacing w:val="-2"/>
                <w:sz w:val="24"/>
              </w:rPr>
              <w:t>3.64)</w:t>
            </w:r>
          </w:p>
        </w:tc>
        <w:tc>
          <w:tcPr>
            <w:tcW w:w="1560" w:type="dxa"/>
            <w:tcBorders>
              <w:bottom w:val="single" w:sz="4" w:space="0" w:color="000000"/>
            </w:tcBorders>
          </w:tcPr>
          <w:p>
            <w:pPr>
              <w:pStyle w:val="TableParagraph"/>
              <w:spacing w:line="273" w:lineRule="exact"/>
              <w:ind w:left="106" w:right="105"/>
              <w:rPr>
                <w:sz w:val="24"/>
              </w:rPr>
            </w:pPr>
            <w:r>
              <w:rPr>
                <w:sz w:val="24"/>
              </w:rPr>
              <w:t>22</w:t>
            </w:r>
            <w:r>
              <w:rPr>
                <w:spacing w:val="-8"/>
                <w:sz w:val="24"/>
              </w:rPr>
              <w:t> </w:t>
            </w:r>
            <w:r>
              <w:rPr>
                <w:sz w:val="24"/>
              </w:rPr>
              <w:t>(96-</w:t>
            </w:r>
            <w:r>
              <w:rPr>
                <w:spacing w:val="-2"/>
                <w:sz w:val="24"/>
              </w:rPr>
              <w:t>100m)</w:t>
            </w:r>
          </w:p>
        </w:tc>
        <w:tc>
          <w:tcPr>
            <w:tcW w:w="2311" w:type="dxa"/>
            <w:tcBorders>
              <w:bottom w:val="single" w:sz="4" w:space="0" w:color="000000"/>
            </w:tcBorders>
          </w:tcPr>
          <w:p>
            <w:pPr>
              <w:pStyle w:val="TableParagraph"/>
              <w:spacing w:line="273" w:lineRule="exact"/>
              <w:ind w:left="299"/>
              <w:jc w:val="left"/>
              <w:rPr>
                <w:sz w:val="24"/>
              </w:rPr>
            </w:pPr>
            <w:r>
              <w:rPr>
                <w:sz w:val="24"/>
              </w:rPr>
              <w:t>6.52</w:t>
            </w:r>
            <w:r>
              <w:rPr>
                <w:spacing w:val="-5"/>
                <w:sz w:val="24"/>
              </w:rPr>
              <w:t> </w:t>
            </w:r>
            <w:r>
              <w:rPr>
                <w:sz w:val="24"/>
              </w:rPr>
              <w:t>(6.25</w:t>
            </w:r>
            <w:r>
              <w:rPr>
                <w:spacing w:val="-4"/>
                <w:sz w:val="24"/>
              </w:rPr>
              <w:t> </w:t>
            </w:r>
            <w:r>
              <w:rPr>
                <w:sz w:val="24"/>
              </w:rPr>
              <w:t>–</w:t>
            </w:r>
            <w:r>
              <w:rPr>
                <w:spacing w:val="-5"/>
                <w:sz w:val="24"/>
              </w:rPr>
              <w:t> </w:t>
            </w:r>
            <w:r>
              <w:rPr>
                <w:spacing w:val="-2"/>
                <w:sz w:val="24"/>
              </w:rPr>
              <w:t>6.79)</w:t>
            </w:r>
          </w:p>
        </w:tc>
      </w:tr>
    </w:tbl>
    <w:p>
      <w:pPr>
        <w:pStyle w:val="BodyText"/>
        <w:rPr>
          <w:sz w:val="20"/>
        </w:rPr>
      </w:pPr>
    </w:p>
    <w:p>
      <w:pPr>
        <w:pStyle w:val="BodyText"/>
        <w:rPr>
          <w:sz w:val="20"/>
        </w:rPr>
      </w:pPr>
    </w:p>
    <w:p>
      <w:pPr>
        <w:pStyle w:val="BodyText"/>
        <w:spacing w:line="312" w:lineRule="auto" w:before="216"/>
        <w:ind w:left="610" w:right="389"/>
      </w:pPr>
      <w:r>
        <w:rPr/>
        <w:t>zones</w:t>
      </w:r>
      <w:r>
        <w:rPr>
          <w:spacing w:val="23"/>
        </w:rPr>
        <w:t> </w:t>
      </w:r>
      <w:r>
        <w:rPr/>
        <w:t>as</w:t>
      </w:r>
      <w:r>
        <w:rPr>
          <w:spacing w:val="23"/>
        </w:rPr>
        <w:t> </w:t>
      </w:r>
      <w:r>
        <w:rPr/>
        <w:t>indicated</w:t>
      </w:r>
      <w:r>
        <w:rPr>
          <w:spacing w:val="23"/>
        </w:rPr>
        <w:t> </w:t>
      </w:r>
      <w:r>
        <w:rPr/>
        <w:t>by</w:t>
      </w:r>
      <w:r>
        <w:rPr>
          <w:spacing w:val="23"/>
        </w:rPr>
        <w:t> </w:t>
      </w:r>
      <w:r>
        <w:rPr/>
        <w:t>the</w:t>
      </w:r>
      <w:r>
        <w:rPr>
          <w:spacing w:val="23"/>
        </w:rPr>
        <w:t> </w:t>
      </w:r>
      <w:r>
        <w:rPr/>
        <w:t>darker</w:t>
      </w:r>
      <w:r>
        <w:rPr>
          <w:spacing w:val="23"/>
        </w:rPr>
        <w:t> </w:t>
      </w:r>
      <w:r>
        <w:rPr/>
        <w:t>colours</w:t>
      </w:r>
      <w:r>
        <w:rPr>
          <w:spacing w:val="23"/>
        </w:rPr>
        <w:t> </w:t>
      </w:r>
      <w:r>
        <w:rPr/>
        <w:t>in</w:t>
      </w:r>
      <w:r>
        <w:rPr>
          <w:spacing w:val="23"/>
        </w:rPr>
        <w:t> </w:t>
      </w:r>
      <w:r>
        <w:rPr/>
        <w:t>these</w:t>
      </w:r>
      <w:r>
        <w:rPr>
          <w:spacing w:val="23"/>
        </w:rPr>
        <w:t> </w:t>
      </w:r>
      <w:r>
        <w:rPr/>
        <w:t>areas.</w:t>
      </w:r>
      <w:r>
        <w:rPr>
          <w:spacing w:val="80"/>
        </w:rPr>
        <w:t> </w:t>
      </w:r>
      <w:r>
        <w:rPr/>
        <w:t>These</w:t>
      </w:r>
      <w:r>
        <w:rPr>
          <w:spacing w:val="23"/>
        </w:rPr>
        <w:t> </w:t>
      </w:r>
      <w:r>
        <w:rPr/>
        <w:t>findings</w:t>
      </w:r>
      <w:r>
        <w:rPr>
          <w:spacing w:val="23"/>
        </w:rPr>
        <w:t> </w:t>
      </w:r>
      <w:r>
        <w:rPr/>
        <w:t>are</w:t>
      </w:r>
      <w:r>
        <w:rPr>
          <w:spacing w:val="23"/>
        </w:rPr>
        <w:t> </w:t>
      </w:r>
      <w:r>
        <w:rPr/>
        <w:t>congruent with those of</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spacing w:val="40"/>
        </w:rPr>
        <w:t> </w:t>
      </w:r>
      <w:r>
        <w:rPr/>
        <w:t>Similarly, in all six models much greater value is generated</w:t>
      </w:r>
      <w:r>
        <w:rPr>
          <w:spacing w:val="-1"/>
        </w:rPr>
        <w:t> </w:t>
      </w:r>
      <w:r>
        <w:rPr/>
        <w:t>within</w:t>
      </w:r>
      <w:r>
        <w:rPr>
          <w:spacing w:val="-1"/>
        </w:rPr>
        <w:t> </w:t>
      </w:r>
      <w:r>
        <w:rPr/>
        <w:t>20-30m</w:t>
      </w:r>
      <w:r>
        <w:rPr>
          <w:spacing w:val="-1"/>
        </w:rPr>
        <w:t> </w:t>
      </w:r>
      <w:r>
        <w:rPr/>
        <w:t>of</w:t>
      </w:r>
      <w:r>
        <w:rPr>
          <w:spacing w:val="-1"/>
        </w:rPr>
        <w:t> </w:t>
      </w:r>
      <w:r>
        <w:rPr/>
        <w:t>the</w:t>
      </w:r>
      <w:r>
        <w:rPr>
          <w:spacing w:val="-1"/>
        </w:rPr>
        <w:t> </w:t>
      </w:r>
      <w:r>
        <w:rPr/>
        <w:t>opposition</w:t>
      </w:r>
      <w:r>
        <w:rPr>
          <w:spacing w:val="-1"/>
        </w:rPr>
        <w:t> </w:t>
      </w:r>
      <w:r>
        <w:rPr/>
        <w:t>try</w:t>
      </w:r>
      <w:r>
        <w:rPr>
          <w:spacing w:val="-1"/>
        </w:rPr>
        <w:t> </w:t>
      </w:r>
      <w:r>
        <w:rPr/>
        <w:t>line, compared</w:t>
      </w:r>
      <w:r>
        <w:rPr>
          <w:spacing w:val="-1"/>
        </w:rPr>
        <w:t> </w:t>
      </w:r>
      <w:r>
        <w:rPr/>
        <w:t>with</w:t>
      </w:r>
      <w:r>
        <w:rPr>
          <w:spacing w:val="-1"/>
        </w:rPr>
        <w:t> </w:t>
      </w:r>
      <w:r>
        <w:rPr/>
        <w:t>more</w:t>
      </w:r>
      <w:r>
        <w:rPr>
          <w:spacing w:val="-1"/>
        </w:rPr>
        <w:t> </w:t>
      </w:r>
      <w:r>
        <w:rPr/>
        <w:t>than</w:t>
      </w:r>
      <w:r>
        <w:rPr>
          <w:spacing w:val="-1"/>
        </w:rPr>
        <w:t> </w:t>
      </w:r>
      <w:r>
        <w:rPr/>
        <w:t>30m</w:t>
      </w:r>
      <w:r>
        <w:rPr>
          <w:spacing w:val="-1"/>
        </w:rPr>
        <w:t> </w:t>
      </w:r>
      <w:r>
        <w:rPr/>
        <w:t>away from</w:t>
      </w:r>
      <w:r>
        <w:rPr>
          <w:spacing w:val="-15"/>
        </w:rPr>
        <w:t> </w:t>
      </w:r>
      <w:r>
        <w:rPr/>
        <w:t>the</w:t>
      </w:r>
      <w:r>
        <w:rPr>
          <w:spacing w:val="-15"/>
        </w:rPr>
        <w:t> </w:t>
      </w:r>
      <w:r>
        <w:rPr/>
        <w:t>try</w:t>
      </w:r>
      <w:r>
        <w:rPr>
          <w:spacing w:val="-15"/>
        </w:rPr>
        <w:t> </w:t>
      </w:r>
      <w:r>
        <w:rPr/>
        <w:t>line.</w:t>
      </w:r>
      <w:r>
        <w:rPr>
          <w:spacing w:val="3"/>
        </w:rPr>
        <w:t> </w:t>
      </w:r>
      <w:r>
        <w:rPr/>
        <w:t>This</w:t>
      </w:r>
      <w:r>
        <w:rPr>
          <w:spacing w:val="-15"/>
        </w:rPr>
        <w:t> </w:t>
      </w:r>
      <w:r>
        <w:rPr/>
        <w:t>finding</w:t>
      </w:r>
      <w:r>
        <w:rPr>
          <w:spacing w:val="-15"/>
        </w:rPr>
        <w:t> </w:t>
      </w:r>
      <w:r>
        <w:rPr/>
        <w:t>is</w:t>
      </w:r>
      <w:r>
        <w:rPr>
          <w:spacing w:val="-15"/>
        </w:rPr>
        <w:t> </w:t>
      </w:r>
      <w:r>
        <w:rPr/>
        <w:t>similar</w:t>
      </w:r>
      <w:r>
        <w:rPr>
          <w:spacing w:val="-15"/>
        </w:rPr>
        <w:t> </w:t>
      </w:r>
      <w:r>
        <w:rPr/>
        <w:t>to</w:t>
      </w:r>
      <w:r>
        <w:rPr>
          <w:spacing w:val="-15"/>
        </w:rPr>
        <w:t> </w:t>
      </w:r>
      <w:r>
        <w:rPr/>
        <w:t>previous</w:t>
      </w:r>
      <w:r>
        <w:rPr>
          <w:spacing w:val="-15"/>
        </w:rPr>
        <w:t> </w:t>
      </w:r>
      <w:r>
        <w:rPr/>
        <w:t>research</w:t>
      </w:r>
      <w:r>
        <w:rPr>
          <w:spacing w:val="-15"/>
        </w:rPr>
        <w:t> </w:t>
      </w:r>
      <w:r>
        <w:rPr/>
        <w:t>within</w:t>
      </w:r>
      <w:r>
        <w:rPr>
          <w:spacing w:val="-15"/>
        </w:rPr>
        <w:t> </w:t>
      </w:r>
      <w:r>
        <w:rPr/>
        <w:t>football,</w:t>
      </w:r>
      <w:r>
        <w:rPr>
          <w:spacing w:val="-13"/>
        </w:rPr>
        <w:t> </w:t>
      </w:r>
      <w:r>
        <w:rPr/>
        <w:t>which</w:t>
      </w:r>
      <w:r>
        <w:rPr>
          <w:spacing w:val="-15"/>
        </w:rPr>
        <w:t> </w:t>
      </w:r>
      <w:r>
        <w:rPr/>
        <w:t>shows that</w:t>
      </w:r>
      <w:r>
        <w:rPr>
          <w:spacing w:val="-12"/>
        </w:rPr>
        <w:t> </w:t>
      </w:r>
      <w:r>
        <w:rPr/>
        <w:t>the</w:t>
      </w:r>
      <w:r>
        <w:rPr>
          <w:spacing w:val="-11"/>
        </w:rPr>
        <w:t> </w:t>
      </w:r>
      <w:r>
        <w:rPr/>
        <w:t>chance</w:t>
      </w:r>
      <w:r>
        <w:rPr>
          <w:spacing w:val="-12"/>
        </w:rPr>
        <w:t> </w:t>
      </w:r>
      <w:r>
        <w:rPr/>
        <w:t>of</w:t>
      </w:r>
      <w:r>
        <w:rPr>
          <w:spacing w:val="-11"/>
        </w:rPr>
        <w:t> </w:t>
      </w:r>
      <w:r>
        <w:rPr/>
        <w:t>scoring</w:t>
      </w:r>
      <w:r>
        <w:rPr>
          <w:spacing w:val="-12"/>
        </w:rPr>
        <w:t> </w:t>
      </w:r>
      <w:r>
        <w:rPr/>
        <w:t>is</w:t>
      </w:r>
      <w:r>
        <w:rPr>
          <w:spacing w:val="-12"/>
        </w:rPr>
        <w:t> </w:t>
      </w:r>
      <w:r>
        <w:rPr/>
        <w:t>significantly</w:t>
      </w:r>
      <w:r>
        <w:rPr>
          <w:spacing w:val="-11"/>
        </w:rPr>
        <w:t> </w:t>
      </w:r>
      <w:r>
        <w:rPr/>
        <w:t>reduced</w:t>
      </w:r>
      <w:r>
        <w:rPr>
          <w:spacing w:val="-12"/>
        </w:rPr>
        <w:t> </w:t>
      </w:r>
      <w:r>
        <w:rPr/>
        <w:t>to</w:t>
      </w:r>
      <w:r>
        <w:rPr>
          <w:spacing w:val="-12"/>
        </w:rPr>
        <w:t> </w:t>
      </w:r>
      <w:r>
        <w:rPr/>
        <w:t>below</w:t>
      </w:r>
      <w:r>
        <w:rPr>
          <w:spacing w:val="-11"/>
        </w:rPr>
        <w:t> </w:t>
      </w:r>
      <w:r>
        <w:rPr/>
        <w:t>7%</w:t>
      </w:r>
      <w:r>
        <w:rPr>
          <w:spacing w:val="-12"/>
        </w:rPr>
        <w:t> </w:t>
      </w:r>
      <w:r>
        <w:rPr/>
        <w:t>when</w:t>
      </w:r>
      <w:r>
        <w:rPr>
          <w:spacing w:val="-11"/>
        </w:rPr>
        <w:t> </w:t>
      </w:r>
      <w:r>
        <w:rPr/>
        <w:t>shots</w:t>
      </w:r>
      <w:r>
        <w:rPr>
          <w:spacing w:val="-12"/>
        </w:rPr>
        <w:t> </w:t>
      </w:r>
      <w:r>
        <w:rPr/>
        <w:t>are</w:t>
      </w:r>
      <w:r>
        <w:rPr>
          <w:spacing w:val="-12"/>
        </w:rPr>
        <w:t> </w:t>
      </w:r>
      <w:r>
        <w:rPr/>
        <w:t>taken</w:t>
      </w:r>
      <w:r>
        <w:rPr>
          <w:spacing w:val="-11"/>
        </w:rPr>
        <w:t> </w:t>
      </w:r>
      <w:r>
        <w:rPr/>
        <w:t>from outside the 18 yard box (</w:t>
      </w:r>
      <w:hyperlink w:history="true" w:anchor="_bookmark297">
        <w:r>
          <w:rPr>
            <w:color w:val="FF0000"/>
          </w:rPr>
          <w:t>Spearman</w:t>
        </w:r>
      </w:hyperlink>
      <w:r>
        <w:rPr/>
        <w:t>,</w:t>
      </w:r>
      <w:hyperlink w:history="true" w:anchor="_bookmark297">
        <w:r>
          <w:rPr>
            <w:color w:val="FF0000"/>
          </w:rPr>
          <w:t>2018</w:t>
        </w:r>
      </w:hyperlink>
      <w:r>
        <w:rPr/>
        <w:t>).</w:t>
      </w:r>
      <w:r>
        <w:rPr>
          <w:spacing w:val="40"/>
        </w:rPr>
        <w:t> </w:t>
      </w:r>
      <w:r>
        <w:rPr/>
        <w:t>The identification of these zones of value in</w:t>
      </w:r>
    </w:p>
    <w:p>
      <w:pPr>
        <w:spacing w:after="0" w:line="312" w:lineRule="auto"/>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75" w:id="141"/>
      <w:bookmarkEnd w:id="141"/>
      <w:r>
        <w:rPr/>
      </w:r>
      <w:r>
        <w:rPr>
          <w:b/>
        </w:rPr>
        <w:t>Table 3.7: </w:t>
      </w:r>
      <w:r>
        <w:rPr/>
        <w:t>EPV-308 symmetrically aggregated column match EPVs.</w:t>
      </w:r>
      <w:r>
        <w:rPr>
          <w:spacing w:val="40"/>
        </w:rPr>
        <w:t> </w:t>
      </w:r>
      <w:r>
        <w:rPr/>
        <w:t>Bracketed values are</w:t>
      </w:r>
      <w:r>
        <w:rPr>
          <w:spacing w:val="-15"/>
        </w:rPr>
        <w:t> </w:t>
      </w:r>
      <w:r>
        <w:rPr/>
        <w:t>metres</w:t>
      </w:r>
      <w:r>
        <w:rPr>
          <w:spacing w:val="-15"/>
        </w:rPr>
        <w:t> </w:t>
      </w:r>
      <w:r>
        <w:rPr/>
        <w:t>included</w:t>
      </w:r>
      <w:r>
        <w:rPr>
          <w:spacing w:val="-15"/>
        </w:rPr>
        <w:t> </w:t>
      </w:r>
      <w:r>
        <w:rPr/>
        <w:t>for</w:t>
      </w:r>
      <w:r>
        <w:rPr>
          <w:spacing w:val="-15"/>
        </w:rPr>
        <w:t> </w:t>
      </w:r>
      <w:r>
        <w:rPr/>
        <w:t>column</w:t>
      </w:r>
      <w:r>
        <w:rPr>
          <w:spacing w:val="-15"/>
        </w:rPr>
        <w:t> </w:t>
      </w:r>
      <w:r>
        <w:rPr/>
        <w:t>and</w:t>
      </w:r>
      <w:r>
        <w:rPr>
          <w:spacing w:val="-15"/>
        </w:rPr>
        <w:t> </w:t>
      </w:r>
      <w:r>
        <w:rPr/>
        <w:t>95%</w:t>
      </w:r>
      <w:r>
        <w:rPr>
          <w:spacing w:val="-15"/>
        </w:rPr>
        <w:t> </w:t>
      </w:r>
      <w:r>
        <w:rPr/>
        <w:t>confidence</w:t>
      </w:r>
      <w:r>
        <w:rPr>
          <w:spacing w:val="-15"/>
        </w:rPr>
        <w:t> </w:t>
      </w:r>
      <w:r>
        <w:rPr/>
        <w:t>intervals</w:t>
      </w:r>
      <w:r>
        <w:rPr>
          <w:spacing w:val="-15"/>
        </w:rPr>
        <w:t> </w:t>
      </w:r>
      <w:r>
        <w:rPr/>
        <w:t>for</w:t>
      </w:r>
      <w:r>
        <w:rPr>
          <w:spacing w:val="-15"/>
        </w:rPr>
        <w:t> </w:t>
      </w:r>
      <w:r>
        <w:rPr/>
        <w:t>column</w:t>
      </w:r>
      <w:r>
        <w:rPr>
          <w:spacing w:val="-15"/>
        </w:rPr>
        <w:t> </w:t>
      </w:r>
      <w:r>
        <w:rPr/>
        <w:t>EPV</w:t>
      </w:r>
      <w:r>
        <w:rPr>
          <w:spacing w:val="-15"/>
        </w:rPr>
        <w:t> </w:t>
      </w:r>
      <w:r>
        <w:rPr/>
        <w:t>from</w:t>
      </w:r>
      <w:r>
        <w:rPr>
          <w:spacing w:val="-15"/>
        </w:rPr>
        <w:t> </w:t>
      </w:r>
      <w:r>
        <w:rPr/>
        <w:t>linear mixed model.</w:t>
      </w:r>
    </w:p>
    <w:p>
      <w:pPr>
        <w:pStyle w:val="BodyText"/>
        <w:rPr>
          <w:sz w:val="20"/>
        </w:rPr>
      </w:pPr>
    </w:p>
    <w:p>
      <w:pPr>
        <w:pStyle w:val="BodyText"/>
        <w:spacing w:before="9"/>
        <w:rPr>
          <w:sz w:val="19"/>
        </w:rPr>
      </w:pPr>
      <w:r>
        <w:rPr/>
        <w:pict>
          <v:shape style="position:absolute;margin-left:221.513pt;margin-top:12.574072pt;width:211.25pt;height:.1pt;mso-position-horizontal-relative:page;mso-position-vertical-relative:paragraph;z-index:-15698432;mso-wrap-distance-left:0;mso-wrap-distance-right:0" id="docshape75" coordorigin="4430,251" coordsize="4225,0" path="m4430,251l8654,251e" filled="false" stroked="true" strokeweight=".398pt" strokecolor="#000000">
            <v:path arrowok="t"/>
            <v:stroke dashstyle="solid"/>
            <w10:wrap type="topAndBottom"/>
          </v:shape>
        </w:pict>
      </w:r>
    </w:p>
    <w:p>
      <w:pPr>
        <w:pStyle w:val="BodyText"/>
        <w:tabs>
          <w:tab w:pos="3879" w:val="left" w:leader="none"/>
        </w:tabs>
        <w:spacing w:line="255" w:lineRule="exact" w:after="39"/>
        <w:ind w:left="2869"/>
      </w:pPr>
      <w:r>
        <w:rPr>
          <w:spacing w:val="-2"/>
        </w:rPr>
        <w:t>Column</w:t>
      </w:r>
      <w:r>
        <w:rPr/>
        <w:tab/>
        <w:t>Column</w:t>
      </w:r>
      <w:r>
        <w:rPr>
          <w:spacing w:val="-7"/>
        </w:rPr>
        <w:t> </w:t>
      </w:r>
      <w:r>
        <w:rPr/>
        <w:t>match</w:t>
      </w:r>
      <w:r>
        <w:rPr>
          <w:spacing w:val="-6"/>
        </w:rPr>
        <w:t> </w:t>
      </w:r>
      <w:r>
        <w:rPr/>
        <w:t>EPV</w:t>
      </w:r>
      <w:r>
        <w:rPr>
          <w:spacing w:val="-6"/>
        </w:rPr>
        <w:t> </w:t>
      </w:r>
      <w:r>
        <w:rPr/>
        <w:t>per</w:t>
      </w:r>
      <w:r>
        <w:rPr>
          <w:spacing w:val="-7"/>
        </w:rPr>
        <w:t> </w:t>
      </w:r>
      <w:r>
        <w:rPr>
          <w:spacing w:val="-2"/>
        </w:rPr>
        <w:t>fixture</w:t>
      </w:r>
    </w:p>
    <w:p>
      <w:pPr>
        <w:pStyle w:val="BodyText"/>
        <w:spacing w:line="20" w:lineRule="exact"/>
        <w:ind w:left="2750"/>
        <w:rPr>
          <w:sz w:val="2"/>
        </w:rPr>
      </w:pPr>
      <w:r>
        <w:rPr>
          <w:sz w:val="2"/>
        </w:rPr>
        <w:pict>
          <v:group style="width:211.25pt;height:.4pt;mso-position-horizontal-relative:char;mso-position-vertical-relative:line" id="docshapegroup76" coordorigin="0,0" coordsize="4225,8">
            <v:line style="position:absolute" from="0,4" to="4224,4" stroked="true" strokeweight=".398pt" strokecolor="#000000">
              <v:stroke dashstyle="solid"/>
            </v:line>
          </v:group>
        </w:pict>
      </w:r>
      <w:r>
        <w:rPr>
          <w:sz w:val="2"/>
        </w:rPr>
      </w:r>
    </w:p>
    <w:p>
      <w:pPr>
        <w:pStyle w:val="BodyText"/>
        <w:tabs>
          <w:tab w:pos="4510" w:val="left" w:leader="none"/>
        </w:tabs>
        <w:ind w:left="2876"/>
      </w:pPr>
      <w:r>
        <w:rPr/>
        <w:t>1</w:t>
      </w:r>
      <w:r>
        <w:rPr>
          <w:spacing w:val="-3"/>
        </w:rPr>
        <w:t> </w:t>
      </w:r>
      <w:r>
        <w:rPr>
          <w:spacing w:val="-2"/>
        </w:rPr>
        <w:t>(1,14)</w:t>
      </w:r>
      <w:r>
        <w:rPr/>
        <w:tab/>
        <w:t>1.27</w:t>
      </w:r>
      <w:r>
        <w:rPr>
          <w:spacing w:val="-5"/>
        </w:rPr>
        <w:t> </w:t>
      </w:r>
      <w:r>
        <w:rPr/>
        <w:t>(0.97</w:t>
      </w:r>
      <w:r>
        <w:rPr>
          <w:spacing w:val="-4"/>
        </w:rPr>
        <w:t> </w:t>
      </w:r>
      <w:r>
        <w:rPr/>
        <w:t>–</w:t>
      </w:r>
      <w:r>
        <w:rPr>
          <w:spacing w:val="-5"/>
        </w:rPr>
        <w:t> </w:t>
      </w:r>
      <w:r>
        <w:rPr>
          <w:spacing w:val="-2"/>
        </w:rPr>
        <w:t>1.57)</w:t>
      </w:r>
    </w:p>
    <w:p>
      <w:pPr>
        <w:pStyle w:val="BodyText"/>
        <w:tabs>
          <w:tab w:pos="4510" w:val="left" w:leader="none"/>
        </w:tabs>
        <w:ind w:left="2876"/>
      </w:pPr>
      <w:r>
        <w:rPr/>
        <w:t>2</w:t>
      </w:r>
      <w:r>
        <w:rPr>
          <w:spacing w:val="-3"/>
        </w:rPr>
        <w:t> </w:t>
      </w:r>
      <w:r>
        <w:rPr>
          <w:spacing w:val="-2"/>
        </w:rPr>
        <w:t>(2,13)</w:t>
      </w:r>
      <w:r>
        <w:rPr/>
        <w:tab/>
        <w:t>2.63</w:t>
      </w:r>
      <w:r>
        <w:rPr>
          <w:spacing w:val="-5"/>
        </w:rPr>
        <w:t> </w:t>
      </w:r>
      <w:r>
        <w:rPr/>
        <w:t>(2.35</w:t>
      </w:r>
      <w:r>
        <w:rPr>
          <w:spacing w:val="-4"/>
        </w:rPr>
        <w:t> </w:t>
      </w:r>
      <w:r>
        <w:rPr/>
        <w:t>–</w:t>
      </w:r>
      <w:r>
        <w:rPr>
          <w:spacing w:val="-5"/>
        </w:rPr>
        <w:t> </w:t>
      </w:r>
      <w:r>
        <w:rPr>
          <w:spacing w:val="-2"/>
        </w:rPr>
        <w:t>2.92)</w:t>
      </w:r>
    </w:p>
    <w:p>
      <w:pPr>
        <w:pStyle w:val="BodyText"/>
        <w:tabs>
          <w:tab w:pos="4510" w:val="left" w:leader="none"/>
        </w:tabs>
        <w:ind w:left="2876"/>
      </w:pPr>
      <w:r>
        <w:rPr/>
        <w:t>3</w:t>
      </w:r>
      <w:r>
        <w:rPr>
          <w:spacing w:val="-3"/>
        </w:rPr>
        <w:t> </w:t>
      </w:r>
      <w:r>
        <w:rPr>
          <w:spacing w:val="-2"/>
        </w:rPr>
        <w:t>(3,12)</w:t>
      </w:r>
      <w:r>
        <w:rPr/>
        <w:tab/>
        <w:t>4.98</w:t>
      </w:r>
      <w:r>
        <w:rPr>
          <w:spacing w:val="-5"/>
        </w:rPr>
        <w:t> </w:t>
      </w:r>
      <w:r>
        <w:rPr/>
        <w:t>(4.70</w:t>
      </w:r>
      <w:r>
        <w:rPr>
          <w:spacing w:val="-4"/>
        </w:rPr>
        <w:t> </w:t>
      </w:r>
      <w:r>
        <w:rPr/>
        <w:t>–</w:t>
      </w:r>
      <w:r>
        <w:rPr>
          <w:spacing w:val="-5"/>
        </w:rPr>
        <w:t> </w:t>
      </w:r>
      <w:r>
        <w:rPr>
          <w:spacing w:val="-2"/>
        </w:rPr>
        <w:t>5.26)</w:t>
      </w:r>
    </w:p>
    <w:p>
      <w:pPr>
        <w:pStyle w:val="BodyText"/>
        <w:tabs>
          <w:tab w:pos="4510" w:val="left" w:leader="none"/>
        </w:tabs>
        <w:spacing w:before="1"/>
        <w:ind w:left="2876"/>
      </w:pPr>
      <w:r>
        <w:rPr/>
        <w:t>4</w:t>
      </w:r>
      <w:r>
        <w:rPr>
          <w:spacing w:val="-3"/>
        </w:rPr>
        <w:t> </w:t>
      </w:r>
      <w:r>
        <w:rPr>
          <w:spacing w:val="-2"/>
        </w:rPr>
        <w:t>(4,11)</w:t>
      </w:r>
      <w:r>
        <w:rPr/>
        <w:tab/>
        <w:t>5.88</w:t>
      </w:r>
      <w:r>
        <w:rPr>
          <w:spacing w:val="-5"/>
        </w:rPr>
        <w:t> </w:t>
      </w:r>
      <w:r>
        <w:rPr/>
        <w:t>(5.60</w:t>
      </w:r>
      <w:r>
        <w:rPr>
          <w:spacing w:val="-4"/>
        </w:rPr>
        <w:t> </w:t>
      </w:r>
      <w:r>
        <w:rPr/>
        <w:t>–</w:t>
      </w:r>
      <w:r>
        <w:rPr>
          <w:spacing w:val="-5"/>
        </w:rPr>
        <w:t> </w:t>
      </w:r>
      <w:r>
        <w:rPr>
          <w:spacing w:val="-2"/>
        </w:rPr>
        <w:t>6.17)</w:t>
      </w:r>
    </w:p>
    <w:p>
      <w:pPr>
        <w:pStyle w:val="BodyText"/>
        <w:tabs>
          <w:tab w:pos="4510" w:val="left" w:leader="none"/>
        </w:tabs>
        <w:spacing w:before="13"/>
        <w:ind w:left="2876"/>
      </w:pPr>
      <w:r>
        <w:rPr/>
        <w:t>5</w:t>
      </w:r>
      <w:r>
        <w:rPr>
          <w:spacing w:val="-3"/>
        </w:rPr>
        <w:t> </w:t>
      </w:r>
      <w:r>
        <w:rPr>
          <w:spacing w:val="-2"/>
        </w:rPr>
        <w:t>(5,10)</w:t>
      </w:r>
      <w:r>
        <w:rPr/>
        <w:tab/>
        <w:t>7.43</w:t>
      </w:r>
      <w:r>
        <w:rPr>
          <w:spacing w:val="-5"/>
        </w:rPr>
        <w:t> </w:t>
      </w:r>
      <w:r>
        <w:rPr/>
        <w:t>(7.14</w:t>
      </w:r>
      <w:r>
        <w:rPr>
          <w:spacing w:val="-4"/>
        </w:rPr>
        <w:t> </w:t>
      </w:r>
      <w:r>
        <w:rPr/>
        <w:t>–</w:t>
      </w:r>
      <w:r>
        <w:rPr>
          <w:spacing w:val="-5"/>
        </w:rPr>
        <w:t> </w:t>
      </w:r>
      <w:r>
        <w:rPr>
          <w:spacing w:val="-2"/>
        </w:rPr>
        <w:t>7.71)</w:t>
      </w:r>
    </w:p>
    <w:p>
      <w:pPr>
        <w:pStyle w:val="BodyText"/>
        <w:tabs>
          <w:tab w:pos="4510" w:val="left" w:leader="none"/>
        </w:tabs>
        <w:spacing w:before="13"/>
        <w:ind w:left="2936"/>
      </w:pPr>
      <w:r>
        <w:rPr/>
        <w:t>6</w:t>
      </w:r>
      <w:r>
        <w:rPr>
          <w:spacing w:val="-3"/>
        </w:rPr>
        <w:t> </w:t>
      </w:r>
      <w:r>
        <w:rPr>
          <w:spacing w:val="-2"/>
        </w:rPr>
        <w:t>(6,9)</w:t>
      </w:r>
      <w:r>
        <w:rPr/>
        <w:tab/>
        <w:t>9.15</w:t>
      </w:r>
      <w:r>
        <w:rPr>
          <w:spacing w:val="-5"/>
        </w:rPr>
        <w:t> </w:t>
      </w:r>
      <w:r>
        <w:rPr/>
        <w:t>(8.87</w:t>
      </w:r>
      <w:r>
        <w:rPr>
          <w:spacing w:val="-4"/>
        </w:rPr>
        <w:t> </w:t>
      </w:r>
      <w:r>
        <w:rPr/>
        <w:t>–</w:t>
      </w:r>
      <w:r>
        <w:rPr>
          <w:spacing w:val="-5"/>
        </w:rPr>
        <w:t> </w:t>
      </w:r>
      <w:r>
        <w:rPr>
          <w:spacing w:val="-2"/>
        </w:rPr>
        <w:t>9.43)</w:t>
      </w:r>
    </w:p>
    <w:p>
      <w:pPr>
        <w:pStyle w:val="BodyText"/>
        <w:tabs>
          <w:tab w:pos="4331" w:val="left" w:leader="none"/>
        </w:tabs>
        <w:spacing w:before="12"/>
        <w:ind w:left="2936"/>
      </w:pPr>
      <w:r>
        <w:rPr/>
        <w:pict>
          <v:shape style="position:absolute;margin-left:221.513pt;margin-top:16.336115pt;width:211.25pt;height:.1pt;mso-position-horizontal-relative:page;mso-position-vertical-relative:paragraph;z-index:-15697408;mso-wrap-distance-left:0;mso-wrap-distance-right:0" id="docshape77" coordorigin="4430,327" coordsize="4225,0" path="m4430,327l8654,327e" filled="false" stroked="true" strokeweight=".398pt" strokecolor="#000000">
            <v:path arrowok="t"/>
            <v:stroke dashstyle="solid"/>
            <w10:wrap type="topAndBottom"/>
          </v:shape>
        </w:pict>
      </w:r>
      <w:r>
        <w:rPr/>
        <w:t>7</w:t>
      </w:r>
      <w:r>
        <w:rPr>
          <w:spacing w:val="-3"/>
        </w:rPr>
        <w:t> </w:t>
      </w:r>
      <w:r>
        <w:rPr>
          <w:spacing w:val="-2"/>
        </w:rPr>
        <w:t>(7,8)</w:t>
      </w:r>
      <w:r>
        <w:rPr/>
        <w:tab/>
        <w:t>12.52</w:t>
      </w:r>
      <w:r>
        <w:rPr>
          <w:spacing w:val="-6"/>
        </w:rPr>
        <w:t> </w:t>
      </w:r>
      <w:r>
        <w:rPr/>
        <w:t>(12.24</w:t>
      </w:r>
      <w:r>
        <w:rPr>
          <w:spacing w:val="-5"/>
        </w:rPr>
        <w:t> </w:t>
      </w:r>
      <w:r>
        <w:rPr/>
        <w:t>–</w:t>
      </w:r>
      <w:r>
        <w:rPr>
          <w:spacing w:val="-5"/>
        </w:rPr>
        <w:t> </w:t>
      </w:r>
      <w:r>
        <w:rPr>
          <w:spacing w:val="-2"/>
        </w:rPr>
        <w:t>12.81)</w:t>
      </w:r>
    </w:p>
    <w:p>
      <w:pPr>
        <w:pStyle w:val="BodyText"/>
        <w:rPr>
          <w:sz w:val="20"/>
        </w:rPr>
      </w:pPr>
    </w:p>
    <w:p>
      <w:pPr>
        <w:pStyle w:val="BodyText"/>
        <w:spacing w:line="252" w:lineRule="auto" w:before="246"/>
        <w:ind w:left="610" w:right="389"/>
        <w:jc w:val="both"/>
      </w:pPr>
      <w:bookmarkStart w:name="_bookmark76" w:id="142"/>
      <w:bookmarkEnd w:id="142"/>
      <w:r>
        <w:rPr/>
      </w:r>
      <w:r>
        <w:rPr>
          <w:b/>
        </w:rPr>
        <w:t>Table 3.8: </w:t>
      </w:r>
      <w:r>
        <w:rPr/>
        <w:t>EPV-308 sequentially aggregated row match EPVs.</w:t>
      </w:r>
      <w:r>
        <w:rPr>
          <w:spacing w:val="40"/>
        </w:rPr>
        <w:t> </w:t>
      </w:r>
      <w:r>
        <w:rPr/>
        <w:t>Bracketed values are metres included for row and 95% confidence intervals for row EPV from linear mixed </w:t>
      </w:r>
      <w:r>
        <w:rPr>
          <w:spacing w:val="-2"/>
        </w:rPr>
        <w:t>model.</w:t>
      </w:r>
    </w:p>
    <w:p>
      <w:pPr>
        <w:pStyle w:val="BodyText"/>
        <w:rPr>
          <w:sz w:val="20"/>
        </w:rPr>
      </w:pPr>
    </w:p>
    <w:p>
      <w:pPr>
        <w:pStyle w:val="BodyText"/>
        <w:spacing w:before="9"/>
        <w:rPr>
          <w:sz w:val="19"/>
        </w:rPr>
      </w:pPr>
      <w:r>
        <w:rPr/>
        <w:pict>
          <v:shape style="position:absolute;margin-left:223.998993pt;margin-top:12.574072pt;width:206.25pt;height:.1pt;mso-position-horizontal-relative:page;mso-position-vertical-relative:paragraph;z-index:-15696896;mso-wrap-distance-left:0;mso-wrap-distance-right:0" id="docshape78" coordorigin="4480,251" coordsize="4125,0" path="m4480,251l8605,251e" filled="false" stroked="true" strokeweight=".398pt" strokecolor="#000000">
            <v:path arrowok="t"/>
            <v:stroke dashstyle="solid"/>
            <w10:wrap type="topAndBottom"/>
          </v:shape>
        </w:pict>
      </w:r>
    </w:p>
    <w:p>
      <w:pPr>
        <w:pStyle w:val="BodyText"/>
        <w:tabs>
          <w:tab w:pos="1454" w:val="left" w:leader="none"/>
        </w:tabs>
        <w:spacing w:line="255" w:lineRule="exact" w:after="39"/>
        <w:ind w:left="494"/>
        <w:jc w:val="center"/>
      </w:pPr>
      <w:r>
        <w:rPr>
          <w:spacing w:val="-5"/>
        </w:rPr>
        <w:t>Row</w:t>
      </w:r>
      <w:r>
        <w:rPr/>
        <w:tab/>
        <w:t>Row</w:t>
      </w:r>
      <w:r>
        <w:rPr>
          <w:spacing w:val="-7"/>
        </w:rPr>
        <w:t> </w:t>
      </w:r>
      <w:r>
        <w:rPr/>
        <w:t>match</w:t>
      </w:r>
      <w:r>
        <w:rPr>
          <w:spacing w:val="-7"/>
        </w:rPr>
        <w:t> </w:t>
      </w:r>
      <w:r>
        <w:rPr/>
        <w:t>EPV</w:t>
      </w:r>
      <w:r>
        <w:rPr>
          <w:spacing w:val="-7"/>
        </w:rPr>
        <w:t> </w:t>
      </w:r>
      <w:r>
        <w:rPr/>
        <w:t>per</w:t>
      </w:r>
      <w:r>
        <w:rPr>
          <w:spacing w:val="-7"/>
        </w:rPr>
        <w:t> </w:t>
      </w:r>
      <w:r>
        <w:rPr>
          <w:spacing w:val="-2"/>
        </w:rPr>
        <w:t>fixture</w:t>
      </w:r>
    </w:p>
    <w:p>
      <w:pPr>
        <w:pStyle w:val="BodyText"/>
        <w:spacing w:line="20" w:lineRule="exact"/>
        <w:ind w:left="2799"/>
        <w:rPr>
          <w:sz w:val="2"/>
        </w:rPr>
      </w:pPr>
      <w:r>
        <w:rPr>
          <w:sz w:val="2"/>
        </w:rPr>
        <w:pict>
          <v:group style="width:206.25pt;height:.4pt;mso-position-horizontal-relative:char;mso-position-vertical-relative:line" id="docshapegroup79" coordorigin="0,0" coordsize="4125,8">
            <v:line style="position:absolute" from="0,4" to="4125,4" stroked="true" strokeweight=".398pt" strokecolor="#000000">
              <v:stroke dashstyle="solid"/>
            </v:line>
          </v:group>
        </w:pict>
      </w:r>
      <w:r>
        <w:rPr>
          <w:sz w:val="2"/>
        </w:rPr>
      </w:r>
    </w:p>
    <w:p>
      <w:pPr>
        <w:pStyle w:val="BodyText"/>
        <w:tabs>
          <w:tab w:pos="1484" w:val="left" w:leader="none"/>
        </w:tabs>
        <w:ind w:right="28"/>
        <w:jc w:val="center"/>
      </w:pPr>
      <w:r>
        <w:rPr/>
        <w:t>1</w:t>
      </w:r>
      <w:r>
        <w:rPr>
          <w:spacing w:val="-3"/>
        </w:rPr>
        <w:t> </w:t>
      </w:r>
      <w:r>
        <w:rPr>
          <w:spacing w:val="-2"/>
        </w:rPr>
        <w:t>(1,2)</w:t>
      </w:r>
      <w:r>
        <w:rPr/>
        <w:tab/>
        <w:t>0.32</w:t>
      </w:r>
      <w:r>
        <w:rPr>
          <w:spacing w:val="-5"/>
        </w:rPr>
        <w:t> </w:t>
      </w:r>
      <w:r>
        <w:rPr/>
        <w:t>(-0.02</w:t>
      </w:r>
      <w:r>
        <w:rPr>
          <w:spacing w:val="-5"/>
        </w:rPr>
        <w:t> </w:t>
      </w:r>
      <w:r>
        <w:rPr/>
        <w:t>–</w:t>
      </w:r>
      <w:r>
        <w:rPr>
          <w:spacing w:val="-5"/>
        </w:rPr>
        <w:t> </w:t>
      </w:r>
      <w:r>
        <w:rPr>
          <w:spacing w:val="-2"/>
        </w:rPr>
        <w:t>0.67)</w:t>
      </w:r>
    </w:p>
    <w:p>
      <w:pPr>
        <w:pStyle w:val="BodyText"/>
        <w:tabs>
          <w:tab w:pos="1524" w:val="left" w:leader="none"/>
        </w:tabs>
        <w:ind w:right="68"/>
        <w:jc w:val="center"/>
      </w:pPr>
      <w:r>
        <w:rPr/>
        <w:t>2</w:t>
      </w:r>
      <w:r>
        <w:rPr>
          <w:spacing w:val="-3"/>
        </w:rPr>
        <w:t> </w:t>
      </w:r>
      <w:r>
        <w:rPr>
          <w:spacing w:val="-2"/>
        </w:rPr>
        <w:t>(3,4)</w:t>
      </w:r>
      <w:r>
        <w:rPr/>
        <w:tab/>
        <w:t>1.62</w:t>
      </w:r>
      <w:r>
        <w:rPr>
          <w:spacing w:val="-5"/>
        </w:rPr>
        <w:t> </w:t>
      </w:r>
      <w:r>
        <w:rPr/>
        <w:t>(1.42</w:t>
      </w:r>
      <w:r>
        <w:rPr>
          <w:spacing w:val="-4"/>
        </w:rPr>
        <w:t> </w:t>
      </w:r>
      <w:r>
        <w:rPr/>
        <w:t>–</w:t>
      </w:r>
      <w:r>
        <w:rPr>
          <w:spacing w:val="-5"/>
        </w:rPr>
        <w:t> </w:t>
      </w:r>
      <w:r>
        <w:rPr>
          <w:spacing w:val="-2"/>
        </w:rPr>
        <w:t>1.82)</w:t>
      </w:r>
    </w:p>
    <w:p>
      <w:pPr>
        <w:pStyle w:val="BodyText"/>
        <w:tabs>
          <w:tab w:pos="1524" w:val="left" w:leader="none"/>
        </w:tabs>
        <w:ind w:right="68"/>
        <w:jc w:val="center"/>
      </w:pPr>
      <w:r>
        <w:rPr/>
        <w:t>3</w:t>
      </w:r>
      <w:r>
        <w:rPr>
          <w:spacing w:val="-3"/>
        </w:rPr>
        <w:t> </w:t>
      </w:r>
      <w:r>
        <w:rPr>
          <w:spacing w:val="-2"/>
        </w:rPr>
        <w:t>(5,6)</w:t>
      </w:r>
      <w:r>
        <w:rPr/>
        <w:tab/>
        <w:t>3.26</w:t>
      </w:r>
      <w:r>
        <w:rPr>
          <w:spacing w:val="-5"/>
        </w:rPr>
        <w:t> </w:t>
      </w:r>
      <w:r>
        <w:rPr/>
        <w:t>(3.06</w:t>
      </w:r>
      <w:r>
        <w:rPr>
          <w:spacing w:val="-4"/>
        </w:rPr>
        <w:t> </w:t>
      </w:r>
      <w:r>
        <w:rPr/>
        <w:t>–</w:t>
      </w:r>
      <w:r>
        <w:rPr>
          <w:spacing w:val="-5"/>
        </w:rPr>
        <w:t> </w:t>
      </w:r>
      <w:r>
        <w:rPr>
          <w:spacing w:val="-2"/>
        </w:rPr>
        <w:t>3.46)</w:t>
      </w:r>
    </w:p>
    <w:p>
      <w:pPr>
        <w:pStyle w:val="BodyText"/>
        <w:tabs>
          <w:tab w:pos="1524" w:val="left" w:leader="none"/>
        </w:tabs>
        <w:spacing w:before="1"/>
        <w:ind w:right="68"/>
        <w:jc w:val="center"/>
      </w:pPr>
      <w:r>
        <w:rPr/>
        <w:t>4</w:t>
      </w:r>
      <w:r>
        <w:rPr>
          <w:spacing w:val="-3"/>
        </w:rPr>
        <w:t> </w:t>
      </w:r>
      <w:r>
        <w:rPr>
          <w:spacing w:val="-2"/>
        </w:rPr>
        <w:t>(7,8)</w:t>
      </w:r>
      <w:r>
        <w:rPr/>
        <w:tab/>
        <w:t>3.19</w:t>
      </w:r>
      <w:r>
        <w:rPr>
          <w:spacing w:val="-5"/>
        </w:rPr>
        <w:t> </w:t>
      </w:r>
      <w:r>
        <w:rPr/>
        <w:t>(2.99</w:t>
      </w:r>
      <w:r>
        <w:rPr>
          <w:spacing w:val="-4"/>
        </w:rPr>
        <w:t> </w:t>
      </w:r>
      <w:r>
        <w:rPr/>
        <w:t>–</w:t>
      </w:r>
      <w:r>
        <w:rPr>
          <w:spacing w:val="-5"/>
        </w:rPr>
        <w:t> </w:t>
      </w:r>
      <w:r>
        <w:rPr>
          <w:spacing w:val="-2"/>
        </w:rPr>
        <w:t>3.39)</w:t>
      </w:r>
    </w:p>
    <w:p>
      <w:pPr>
        <w:pStyle w:val="BodyText"/>
        <w:tabs>
          <w:tab w:pos="1583" w:val="left" w:leader="none"/>
        </w:tabs>
        <w:spacing w:before="13"/>
        <w:ind w:right="127"/>
        <w:jc w:val="center"/>
      </w:pPr>
      <w:r>
        <w:rPr/>
        <w:t>5</w:t>
      </w:r>
      <w:r>
        <w:rPr>
          <w:spacing w:val="-3"/>
        </w:rPr>
        <w:t> </w:t>
      </w:r>
      <w:r>
        <w:rPr>
          <w:spacing w:val="-2"/>
        </w:rPr>
        <w:t>(9,10)</w:t>
      </w:r>
      <w:r>
        <w:rPr/>
        <w:tab/>
        <w:t>2.94</w:t>
      </w:r>
      <w:r>
        <w:rPr>
          <w:spacing w:val="-5"/>
        </w:rPr>
        <w:t> </w:t>
      </w:r>
      <w:r>
        <w:rPr/>
        <w:t>(2.74</w:t>
      </w:r>
      <w:r>
        <w:rPr>
          <w:spacing w:val="-4"/>
        </w:rPr>
        <w:t> </w:t>
      </w:r>
      <w:r>
        <w:rPr/>
        <w:t>–</w:t>
      </w:r>
      <w:r>
        <w:rPr>
          <w:spacing w:val="-5"/>
        </w:rPr>
        <w:t> </w:t>
      </w:r>
      <w:r>
        <w:rPr>
          <w:spacing w:val="-2"/>
        </w:rPr>
        <w:t>3.14)</w:t>
      </w:r>
    </w:p>
    <w:p>
      <w:pPr>
        <w:pStyle w:val="BodyText"/>
        <w:tabs>
          <w:tab w:pos="1643" w:val="left" w:leader="none"/>
        </w:tabs>
        <w:spacing w:before="13"/>
        <w:ind w:right="187"/>
        <w:jc w:val="center"/>
      </w:pPr>
      <w:r>
        <w:rPr/>
        <w:t>6</w:t>
      </w:r>
      <w:r>
        <w:rPr>
          <w:spacing w:val="-3"/>
        </w:rPr>
        <w:t> </w:t>
      </w:r>
      <w:r>
        <w:rPr>
          <w:spacing w:val="-2"/>
        </w:rPr>
        <w:t>(11,12)</w:t>
      </w:r>
      <w:r>
        <w:rPr/>
        <w:tab/>
        <w:t>3.20</w:t>
      </w:r>
      <w:r>
        <w:rPr>
          <w:spacing w:val="-5"/>
        </w:rPr>
        <w:t> </w:t>
      </w:r>
      <w:r>
        <w:rPr/>
        <w:t>(3.00</w:t>
      </w:r>
      <w:r>
        <w:rPr>
          <w:spacing w:val="-4"/>
        </w:rPr>
        <w:t> </w:t>
      </w:r>
      <w:r>
        <w:rPr/>
        <w:t>–</w:t>
      </w:r>
      <w:r>
        <w:rPr>
          <w:spacing w:val="-5"/>
        </w:rPr>
        <w:t> </w:t>
      </w:r>
      <w:r>
        <w:rPr>
          <w:spacing w:val="-2"/>
        </w:rPr>
        <w:t>3.41)</w:t>
      </w:r>
    </w:p>
    <w:p>
      <w:pPr>
        <w:pStyle w:val="BodyText"/>
        <w:tabs>
          <w:tab w:pos="1643" w:val="left" w:leader="none"/>
        </w:tabs>
        <w:spacing w:before="12"/>
        <w:ind w:right="187"/>
        <w:jc w:val="center"/>
      </w:pPr>
      <w:r>
        <w:rPr/>
        <w:t>7</w:t>
      </w:r>
      <w:r>
        <w:rPr>
          <w:spacing w:val="-3"/>
        </w:rPr>
        <w:t> </w:t>
      </w:r>
      <w:r>
        <w:rPr>
          <w:spacing w:val="-2"/>
        </w:rPr>
        <w:t>(13,14)</w:t>
      </w:r>
      <w:r>
        <w:rPr/>
        <w:tab/>
        <w:t>3.87</w:t>
      </w:r>
      <w:r>
        <w:rPr>
          <w:spacing w:val="-5"/>
        </w:rPr>
        <w:t> </w:t>
      </w:r>
      <w:r>
        <w:rPr/>
        <w:t>(3.67</w:t>
      </w:r>
      <w:r>
        <w:rPr>
          <w:spacing w:val="-4"/>
        </w:rPr>
        <w:t> </w:t>
      </w:r>
      <w:r>
        <w:rPr/>
        <w:t>–</w:t>
      </w:r>
      <w:r>
        <w:rPr>
          <w:spacing w:val="-5"/>
        </w:rPr>
        <w:t> </w:t>
      </w:r>
      <w:r>
        <w:rPr>
          <w:spacing w:val="-2"/>
        </w:rPr>
        <w:t>4.08)</w:t>
      </w:r>
    </w:p>
    <w:p>
      <w:pPr>
        <w:pStyle w:val="BodyText"/>
        <w:tabs>
          <w:tab w:pos="1643" w:val="left" w:leader="none"/>
        </w:tabs>
        <w:spacing w:before="13"/>
        <w:ind w:right="187"/>
        <w:jc w:val="center"/>
      </w:pPr>
      <w:r>
        <w:rPr/>
        <w:t>8</w:t>
      </w:r>
      <w:r>
        <w:rPr>
          <w:spacing w:val="-3"/>
        </w:rPr>
        <w:t> </w:t>
      </w:r>
      <w:r>
        <w:rPr>
          <w:spacing w:val="-2"/>
        </w:rPr>
        <w:t>(15,16)</w:t>
      </w:r>
      <w:r>
        <w:rPr/>
        <w:tab/>
        <w:t>3.85</w:t>
      </w:r>
      <w:r>
        <w:rPr>
          <w:spacing w:val="-5"/>
        </w:rPr>
        <w:t> </w:t>
      </w:r>
      <w:r>
        <w:rPr/>
        <w:t>(3.65</w:t>
      </w:r>
      <w:r>
        <w:rPr>
          <w:spacing w:val="-4"/>
        </w:rPr>
        <w:t> </w:t>
      </w:r>
      <w:r>
        <w:rPr/>
        <w:t>–</w:t>
      </w:r>
      <w:r>
        <w:rPr>
          <w:spacing w:val="-5"/>
        </w:rPr>
        <w:t> </w:t>
      </w:r>
      <w:r>
        <w:rPr>
          <w:spacing w:val="-2"/>
        </w:rPr>
        <w:t>4.05)</w:t>
      </w:r>
    </w:p>
    <w:p>
      <w:pPr>
        <w:pStyle w:val="BodyText"/>
        <w:tabs>
          <w:tab w:pos="1643" w:val="left" w:leader="none"/>
        </w:tabs>
        <w:spacing w:before="13"/>
        <w:ind w:right="187"/>
        <w:jc w:val="center"/>
      </w:pPr>
      <w:r>
        <w:rPr/>
        <w:t>9</w:t>
      </w:r>
      <w:r>
        <w:rPr>
          <w:spacing w:val="-3"/>
        </w:rPr>
        <w:t> </w:t>
      </w:r>
      <w:r>
        <w:rPr>
          <w:spacing w:val="-2"/>
        </w:rPr>
        <w:t>(17,18)</w:t>
      </w:r>
      <w:r>
        <w:rPr/>
        <w:tab/>
        <w:t>5.10</w:t>
      </w:r>
      <w:r>
        <w:rPr>
          <w:spacing w:val="-5"/>
        </w:rPr>
        <w:t> </w:t>
      </w:r>
      <w:r>
        <w:rPr/>
        <w:t>(4.90</w:t>
      </w:r>
      <w:r>
        <w:rPr>
          <w:spacing w:val="-4"/>
        </w:rPr>
        <w:t> </w:t>
      </w:r>
      <w:r>
        <w:rPr/>
        <w:t>–</w:t>
      </w:r>
      <w:r>
        <w:rPr>
          <w:spacing w:val="-5"/>
        </w:rPr>
        <w:t> </w:t>
      </w:r>
      <w:r>
        <w:rPr>
          <w:spacing w:val="-2"/>
        </w:rPr>
        <w:t>5.30)</w:t>
      </w:r>
    </w:p>
    <w:p>
      <w:pPr>
        <w:pStyle w:val="BodyText"/>
        <w:tabs>
          <w:tab w:pos="1703" w:val="left" w:leader="none"/>
        </w:tabs>
        <w:spacing w:before="13"/>
        <w:ind w:right="247"/>
        <w:jc w:val="center"/>
      </w:pPr>
      <w:r>
        <w:rPr/>
        <w:t>10</w:t>
      </w:r>
      <w:r>
        <w:rPr>
          <w:spacing w:val="-4"/>
        </w:rPr>
        <w:t> </w:t>
      </w:r>
      <w:r>
        <w:rPr>
          <w:spacing w:val="-2"/>
        </w:rPr>
        <w:t>(19,20)</w:t>
      </w:r>
      <w:r>
        <w:rPr/>
        <w:tab/>
        <w:t>7.92</w:t>
      </w:r>
      <w:r>
        <w:rPr>
          <w:spacing w:val="-5"/>
        </w:rPr>
        <w:t> </w:t>
      </w:r>
      <w:r>
        <w:rPr/>
        <w:t>(7.72</w:t>
      </w:r>
      <w:r>
        <w:rPr>
          <w:spacing w:val="-4"/>
        </w:rPr>
        <w:t> </w:t>
      </w:r>
      <w:r>
        <w:rPr/>
        <w:t>–</w:t>
      </w:r>
      <w:r>
        <w:rPr>
          <w:spacing w:val="-5"/>
        </w:rPr>
        <w:t> </w:t>
      </w:r>
      <w:r>
        <w:rPr>
          <w:spacing w:val="-2"/>
        </w:rPr>
        <w:t>8.12)</w:t>
      </w:r>
    </w:p>
    <w:p>
      <w:pPr>
        <w:pStyle w:val="BodyText"/>
        <w:tabs>
          <w:tab w:pos="1703" w:val="left" w:leader="none"/>
        </w:tabs>
        <w:spacing w:before="13"/>
        <w:ind w:right="247"/>
        <w:jc w:val="center"/>
      </w:pPr>
      <w:r>
        <w:rPr/>
        <w:pict>
          <v:shape style="position:absolute;margin-left:223.998993pt;margin-top:16.386127pt;width:206.25pt;height:.1pt;mso-position-horizontal-relative:page;mso-position-vertical-relative:paragraph;z-index:-15695872;mso-wrap-distance-left:0;mso-wrap-distance-right:0" id="docshape80" coordorigin="4480,328" coordsize="4125,0" path="m4480,328l8605,328e" filled="false" stroked="true" strokeweight=".398pt" strokecolor="#000000">
            <v:path arrowok="t"/>
            <v:stroke dashstyle="solid"/>
            <w10:wrap type="topAndBottom"/>
          </v:shape>
        </w:pict>
      </w:r>
      <w:r>
        <w:rPr/>
        <w:t>11</w:t>
      </w:r>
      <w:r>
        <w:rPr>
          <w:spacing w:val="-4"/>
        </w:rPr>
        <w:t> </w:t>
      </w:r>
      <w:r>
        <w:rPr>
          <w:spacing w:val="-2"/>
        </w:rPr>
        <w:t>(21,22)</w:t>
      </w:r>
      <w:r>
        <w:rPr/>
        <w:tab/>
        <w:t>8.97</w:t>
      </w:r>
      <w:r>
        <w:rPr>
          <w:spacing w:val="-5"/>
        </w:rPr>
        <w:t> </w:t>
      </w:r>
      <w:r>
        <w:rPr/>
        <w:t>(8.77</w:t>
      </w:r>
      <w:r>
        <w:rPr>
          <w:spacing w:val="-4"/>
        </w:rPr>
        <w:t> </w:t>
      </w:r>
      <w:r>
        <w:rPr/>
        <w:t>–</w:t>
      </w:r>
      <w:r>
        <w:rPr>
          <w:spacing w:val="-5"/>
        </w:rPr>
        <w:t> </w:t>
      </w:r>
      <w:r>
        <w:rPr>
          <w:spacing w:val="-2"/>
        </w:rPr>
        <w:t>9.18)</w:t>
      </w:r>
    </w:p>
    <w:p>
      <w:pPr>
        <w:pStyle w:val="BodyText"/>
        <w:rPr>
          <w:sz w:val="20"/>
        </w:rPr>
      </w:pPr>
    </w:p>
    <w:p>
      <w:pPr>
        <w:pStyle w:val="BodyText"/>
        <w:rPr>
          <w:sz w:val="20"/>
        </w:rPr>
      </w:pPr>
    </w:p>
    <w:p>
      <w:pPr>
        <w:pStyle w:val="BodyText"/>
        <w:spacing w:line="312" w:lineRule="auto" w:before="212"/>
        <w:ind w:left="610" w:right="389"/>
        <w:jc w:val="both"/>
      </w:pPr>
      <w:r>
        <w:rPr/>
        <w:t>all</w:t>
      </w:r>
      <w:r>
        <w:rPr>
          <w:spacing w:val="-13"/>
        </w:rPr>
        <w:t> </w:t>
      </w:r>
      <w:r>
        <w:rPr/>
        <w:t>six</w:t>
      </w:r>
      <w:r>
        <w:rPr>
          <w:spacing w:val="-13"/>
        </w:rPr>
        <w:t> </w:t>
      </w:r>
      <w:r>
        <w:rPr/>
        <w:t>models</w:t>
      </w:r>
      <w:r>
        <w:rPr>
          <w:spacing w:val="-13"/>
        </w:rPr>
        <w:t> </w:t>
      </w:r>
      <w:r>
        <w:rPr/>
        <w:t>provides</w:t>
      </w:r>
      <w:r>
        <w:rPr>
          <w:spacing w:val="-13"/>
        </w:rPr>
        <w:t> </w:t>
      </w:r>
      <w:r>
        <w:rPr/>
        <w:t>a</w:t>
      </w:r>
      <w:r>
        <w:rPr>
          <w:spacing w:val="-13"/>
        </w:rPr>
        <w:t> </w:t>
      </w:r>
      <w:r>
        <w:rPr/>
        <w:t>new</w:t>
      </w:r>
      <w:r>
        <w:rPr>
          <w:spacing w:val="-13"/>
        </w:rPr>
        <w:t> </w:t>
      </w:r>
      <w:r>
        <w:rPr/>
        <w:t>method</w:t>
      </w:r>
      <w:r>
        <w:rPr>
          <w:spacing w:val="-13"/>
        </w:rPr>
        <w:t> </w:t>
      </w:r>
      <w:r>
        <w:rPr/>
        <w:t>through</w:t>
      </w:r>
      <w:r>
        <w:rPr>
          <w:spacing w:val="-13"/>
        </w:rPr>
        <w:t> </w:t>
      </w:r>
      <w:r>
        <w:rPr/>
        <w:t>which</w:t>
      </w:r>
      <w:r>
        <w:rPr>
          <w:spacing w:val="-13"/>
        </w:rPr>
        <w:t> </w:t>
      </w:r>
      <w:r>
        <w:rPr/>
        <w:t>attacking</w:t>
      </w:r>
      <w:r>
        <w:rPr>
          <w:spacing w:val="-13"/>
        </w:rPr>
        <w:t> </w:t>
      </w:r>
      <w:r>
        <w:rPr/>
        <w:t>possessions</w:t>
      </w:r>
      <w:r>
        <w:rPr>
          <w:spacing w:val="-13"/>
        </w:rPr>
        <w:t> </w:t>
      </w:r>
      <w:r>
        <w:rPr/>
        <w:t>can</w:t>
      </w:r>
      <w:r>
        <w:rPr>
          <w:spacing w:val="-13"/>
        </w:rPr>
        <w:t> </w:t>
      </w:r>
      <w:r>
        <w:rPr/>
        <w:t>be</w:t>
      </w:r>
      <w:r>
        <w:rPr>
          <w:spacing w:val="-13"/>
        </w:rPr>
        <w:t> </w:t>
      </w:r>
      <w:r>
        <w:rPr/>
        <w:t>valued. Furthermore, they provide a valuable methodology through which the zones visited in tactical set plays could be measured to establish which play may be most advantageous against a given team.</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77" w:id="143"/>
      <w:bookmarkEnd w:id="143"/>
      <w:r>
        <w:rPr/>
      </w:r>
      <w:r>
        <w:rPr>
          <w:b/>
        </w:rPr>
        <w:t>Table 3.9:</w:t>
      </w:r>
      <w:r>
        <w:rPr>
          <w:b/>
          <w:spacing w:val="40"/>
        </w:rPr>
        <w:t> </w:t>
      </w:r>
      <w:r>
        <w:rPr/>
        <w:t>Statistical comparison between columns at an SESOI of 0.5 for EPV-37. Where numbers are separated by commas, they have been averaged within the linear mixed</w:t>
      </w:r>
      <w:r>
        <w:rPr>
          <w:spacing w:val="-4"/>
        </w:rPr>
        <w:t> </w:t>
      </w:r>
      <w:r>
        <w:rPr/>
        <w:t>model.</w:t>
      </w:r>
      <w:r>
        <w:rPr>
          <w:spacing w:val="20"/>
        </w:rPr>
        <w:t> </w:t>
      </w:r>
      <w:r>
        <w:rPr/>
        <w:t>Difference</w:t>
      </w:r>
      <w:r>
        <w:rPr>
          <w:spacing w:val="-4"/>
        </w:rPr>
        <w:t> </w:t>
      </w:r>
      <w:r>
        <w:rPr/>
        <w:t>and</w:t>
      </w:r>
      <w:r>
        <w:rPr>
          <w:spacing w:val="-4"/>
        </w:rPr>
        <w:t> </w:t>
      </w:r>
      <w:r>
        <w:rPr/>
        <w:t>significance</w:t>
      </w:r>
      <w:r>
        <w:rPr>
          <w:spacing w:val="-4"/>
        </w:rPr>
        <w:t> </w:t>
      </w:r>
      <w:r>
        <w:rPr/>
        <w:t>provide</w:t>
      </w:r>
      <w:r>
        <w:rPr>
          <w:spacing w:val="-4"/>
        </w:rPr>
        <w:t> </w:t>
      </w:r>
      <w:r>
        <w:rPr/>
        <w:t>the</w:t>
      </w:r>
      <w:r>
        <w:rPr>
          <w:spacing w:val="-4"/>
        </w:rPr>
        <w:t> </w:t>
      </w:r>
      <w:r>
        <w:rPr/>
        <w:t>mean</w:t>
      </w:r>
      <w:r>
        <w:rPr>
          <w:spacing w:val="-4"/>
        </w:rPr>
        <w:t> </w:t>
      </w:r>
      <w:r>
        <w:rPr/>
        <w:t>difference</w:t>
      </w:r>
      <w:r>
        <w:rPr>
          <w:spacing w:val="-4"/>
        </w:rPr>
        <w:t> </w:t>
      </w:r>
      <w:r>
        <w:rPr/>
        <w:t>(95%</w:t>
      </w:r>
      <w:r>
        <w:rPr>
          <w:spacing w:val="-4"/>
        </w:rPr>
        <w:t> </w:t>
      </w:r>
      <w:r>
        <w:rPr/>
        <w:t>confidence </w:t>
      </w:r>
      <w:r>
        <w:rPr>
          <w:spacing w:val="-2"/>
        </w:rPr>
        <w:t>intervals)</w:t>
      </w:r>
      <w:r>
        <w:rPr>
          <w:spacing w:val="-7"/>
        </w:rPr>
        <w:t> </w:t>
      </w:r>
      <w:r>
        <w:rPr>
          <w:spacing w:val="-2"/>
        </w:rPr>
        <w:t>between</w:t>
      </w:r>
      <w:r>
        <w:rPr>
          <w:spacing w:val="-5"/>
        </w:rPr>
        <w:t> </w:t>
      </w:r>
      <w:r>
        <w:rPr>
          <w:spacing w:val="-2"/>
        </w:rPr>
        <w:t>the</w:t>
      </w:r>
      <w:r>
        <w:rPr>
          <w:spacing w:val="-6"/>
        </w:rPr>
        <w:t> </w:t>
      </w:r>
      <w:r>
        <w:rPr>
          <w:spacing w:val="-2"/>
        </w:rPr>
        <w:t>columns</w:t>
      </w:r>
      <w:r>
        <w:rPr>
          <w:spacing w:val="-6"/>
        </w:rPr>
        <w:t> </w:t>
      </w:r>
      <w:r>
        <w:rPr>
          <w:spacing w:val="-2"/>
        </w:rPr>
        <w:t>and</w:t>
      </w:r>
      <w:r>
        <w:rPr>
          <w:spacing w:val="-6"/>
        </w:rPr>
        <w:t> </w:t>
      </w:r>
      <w:r>
        <w:rPr>
          <w:spacing w:val="-2"/>
        </w:rPr>
        <w:t>whether</w:t>
      </w:r>
      <w:r>
        <w:rPr>
          <w:spacing w:val="-5"/>
        </w:rPr>
        <w:t> </w:t>
      </w:r>
      <w:r>
        <w:rPr>
          <w:spacing w:val="-2"/>
        </w:rPr>
        <w:t>this</w:t>
      </w:r>
      <w:r>
        <w:rPr>
          <w:spacing w:val="-7"/>
        </w:rPr>
        <w:t> </w:t>
      </w:r>
      <w:r>
        <w:rPr>
          <w:spacing w:val="-2"/>
        </w:rPr>
        <w:t>was</w:t>
      </w:r>
      <w:r>
        <w:rPr>
          <w:spacing w:val="-6"/>
        </w:rPr>
        <w:t> </w:t>
      </w:r>
      <w:r>
        <w:rPr>
          <w:spacing w:val="-2"/>
        </w:rPr>
        <w:t>significant</w:t>
      </w:r>
      <w:r>
        <w:rPr>
          <w:spacing w:val="-5"/>
        </w:rPr>
        <w:t> </w:t>
      </w:r>
      <w:r>
        <w:rPr>
          <w:spacing w:val="-2"/>
        </w:rPr>
        <w:t>according</w:t>
      </w:r>
      <w:r>
        <w:rPr>
          <w:spacing w:val="-6"/>
        </w:rPr>
        <w:t> </w:t>
      </w:r>
      <w:r>
        <w:rPr>
          <w:spacing w:val="-2"/>
        </w:rPr>
        <w:t>to</w:t>
      </w:r>
      <w:r>
        <w:rPr>
          <w:spacing w:val="-6"/>
        </w:rPr>
        <w:t> </w:t>
      </w:r>
      <w:r>
        <w:rPr>
          <w:spacing w:val="-2"/>
        </w:rPr>
        <w:t>an</w:t>
      </w:r>
      <w:r>
        <w:rPr>
          <w:spacing w:val="-5"/>
        </w:rPr>
        <w:t> </w:t>
      </w:r>
      <w:r>
        <w:rPr>
          <w:spacing w:val="-2"/>
        </w:rPr>
        <w:t>SESOI</w:t>
      </w:r>
      <w:r>
        <w:rPr>
          <w:spacing w:val="-7"/>
        </w:rPr>
        <w:t> </w:t>
      </w:r>
      <w:r>
        <w:rPr>
          <w:spacing w:val="-5"/>
        </w:rPr>
        <w:t>of</w:t>
      </w:r>
    </w:p>
    <w:p>
      <w:pPr>
        <w:pStyle w:val="BodyText"/>
        <w:spacing w:line="252" w:lineRule="auto"/>
        <w:ind w:left="610" w:right="389"/>
        <w:jc w:val="both"/>
      </w:pPr>
      <w:r>
        <w:rPr/>
        <w:t>0.5. Combine? Indicates</w:t>
      </w:r>
      <w:r>
        <w:rPr>
          <w:spacing w:val="-1"/>
        </w:rPr>
        <w:t> </w:t>
      </w:r>
      <w:r>
        <w:rPr/>
        <w:t>whether</w:t>
      </w:r>
      <w:r>
        <w:rPr>
          <w:spacing w:val="-1"/>
        </w:rPr>
        <w:t> </w:t>
      </w:r>
      <w:r>
        <w:rPr/>
        <w:t>the column</w:t>
      </w:r>
      <w:r>
        <w:rPr>
          <w:spacing w:val="-1"/>
        </w:rPr>
        <w:t> </w:t>
      </w:r>
      <w:r>
        <w:rPr/>
        <w:t>values</w:t>
      </w:r>
      <w:r>
        <w:rPr>
          <w:spacing w:val="-1"/>
        </w:rPr>
        <w:t> </w:t>
      </w:r>
      <w:r>
        <w:rPr/>
        <w:t>were</w:t>
      </w:r>
      <w:r>
        <w:rPr>
          <w:spacing w:val="-1"/>
        </w:rPr>
        <w:t> </w:t>
      </w:r>
      <w:r>
        <w:rPr/>
        <w:t>averaged</w:t>
      </w:r>
      <w:r>
        <w:rPr>
          <w:spacing w:val="-1"/>
        </w:rPr>
        <w:t> </w:t>
      </w:r>
      <w:r>
        <w:rPr/>
        <w:t>before</w:t>
      </w:r>
      <w:r>
        <w:rPr>
          <w:spacing w:val="-1"/>
        </w:rPr>
        <w:t> </w:t>
      </w:r>
      <w:r>
        <w:rPr/>
        <w:t>comparing</w:t>
      </w:r>
      <w:r>
        <w:rPr>
          <w:spacing w:val="-1"/>
        </w:rPr>
        <w:t> </w:t>
      </w:r>
      <w:r>
        <w:rPr/>
        <w:t>to the</w:t>
      </w:r>
      <w:r>
        <w:rPr>
          <w:spacing w:val="-1"/>
        </w:rPr>
        <w:t> </w:t>
      </w:r>
      <w:r>
        <w:rPr/>
        <w:t>next</w:t>
      </w:r>
      <w:r>
        <w:rPr>
          <w:spacing w:val="-1"/>
        </w:rPr>
        <w:t> </w:t>
      </w:r>
      <w:r>
        <w:rPr/>
        <w:t>column.</w:t>
      </w:r>
      <w:r>
        <w:rPr>
          <w:spacing w:val="23"/>
        </w:rPr>
        <w:t> </w:t>
      </w:r>
      <w:r>
        <w:rPr/>
        <w:t>Comparisons</w:t>
      </w:r>
      <w:r>
        <w:rPr>
          <w:spacing w:val="-1"/>
        </w:rPr>
        <w:t> </w:t>
      </w:r>
      <w:r>
        <w:rPr/>
        <w:t>began</w:t>
      </w:r>
      <w:r>
        <w:rPr>
          <w:spacing w:val="-1"/>
        </w:rPr>
        <w:t> </w:t>
      </w:r>
      <w:r>
        <w:rPr/>
        <w:t>at</w:t>
      </w:r>
      <w:r>
        <w:rPr>
          <w:spacing w:val="-1"/>
        </w:rPr>
        <w:t> </w:t>
      </w:r>
      <w:r>
        <w:rPr/>
        <w:t>the</w:t>
      </w:r>
      <w:r>
        <w:rPr>
          <w:spacing w:val="-1"/>
        </w:rPr>
        <w:t> </w:t>
      </w:r>
      <w:r>
        <w:rPr/>
        <w:t>outermost</w:t>
      </w:r>
      <w:r>
        <w:rPr>
          <w:spacing w:val="-1"/>
        </w:rPr>
        <w:t> </w:t>
      </w:r>
      <w:r>
        <w:rPr/>
        <w:t>columns</w:t>
      </w:r>
      <w:r>
        <w:rPr>
          <w:spacing w:val="-1"/>
        </w:rPr>
        <w:t> </w:t>
      </w:r>
      <w:r>
        <w:rPr/>
        <w:t>before</w:t>
      </w:r>
      <w:r>
        <w:rPr>
          <w:spacing w:val="-1"/>
        </w:rPr>
        <w:t> </w:t>
      </w:r>
      <w:r>
        <w:rPr/>
        <w:t>progressing</w:t>
      </w:r>
      <w:r>
        <w:rPr>
          <w:spacing w:val="-1"/>
        </w:rPr>
        <w:t> </w:t>
      </w:r>
      <w:r>
        <w:rPr/>
        <w:t>more </w:t>
      </w:r>
      <w:r>
        <w:rPr>
          <w:spacing w:val="-2"/>
        </w:rPr>
        <w:t>centrally.</w:t>
      </w:r>
    </w:p>
    <w:p>
      <w:pPr>
        <w:pStyle w:val="BodyText"/>
        <w:rPr>
          <w:sz w:val="20"/>
        </w:rPr>
      </w:pPr>
    </w:p>
    <w:p>
      <w:pPr>
        <w:pStyle w:val="BodyText"/>
        <w:spacing w:before="7"/>
        <w:rPr>
          <w:sz w:val="21"/>
        </w:rPr>
      </w:pPr>
    </w:p>
    <w:tbl>
      <w:tblPr>
        <w:tblW w:w="0" w:type="auto"/>
        <w:jc w:val="left"/>
        <w:tblInd w:w="15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86"/>
        <w:gridCol w:w="1953"/>
        <w:gridCol w:w="1422"/>
        <w:gridCol w:w="1223"/>
      </w:tblGrid>
      <w:tr>
        <w:trPr>
          <w:trHeight w:val="272" w:hRule="atLeast"/>
        </w:trPr>
        <w:tc>
          <w:tcPr>
            <w:tcW w:w="1986" w:type="dxa"/>
            <w:tcBorders>
              <w:top w:val="single" w:sz="4" w:space="0" w:color="000000"/>
              <w:bottom w:val="single" w:sz="4" w:space="0" w:color="000000"/>
            </w:tcBorders>
          </w:tcPr>
          <w:p>
            <w:pPr>
              <w:pStyle w:val="TableParagraph"/>
              <w:spacing w:line="253" w:lineRule="exact"/>
              <w:ind w:left="109" w:right="109"/>
              <w:rPr>
                <w:sz w:val="24"/>
              </w:rPr>
            </w:pPr>
            <w:r>
              <w:rPr>
                <w:sz w:val="24"/>
              </w:rPr>
              <w:t>Columns</w:t>
            </w:r>
            <w:r>
              <w:rPr>
                <w:spacing w:val="-10"/>
                <w:sz w:val="24"/>
              </w:rPr>
              <w:t> </w:t>
            </w:r>
            <w:r>
              <w:rPr>
                <w:spacing w:val="-2"/>
                <w:sz w:val="24"/>
              </w:rPr>
              <w:t>included</w:t>
            </w:r>
          </w:p>
        </w:tc>
        <w:tc>
          <w:tcPr>
            <w:tcW w:w="1953" w:type="dxa"/>
            <w:tcBorders>
              <w:top w:val="single" w:sz="4" w:space="0" w:color="000000"/>
              <w:bottom w:val="single" w:sz="4" w:space="0" w:color="000000"/>
            </w:tcBorders>
          </w:tcPr>
          <w:p>
            <w:pPr>
              <w:pStyle w:val="TableParagraph"/>
              <w:spacing w:line="253" w:lineRule="exact"/>
              <w:ind w:left="453" w:right="453"/>
              <w:rPr>
                <w:sz w:val="24"/>
              </w:rPr>
            </w:pPr>
            <w:r>
              <w:rPr>
                <w:spacing w:val="-2"/>
                <w:sz w:val="24"/>
              </w:rPr>
              <w:t>Difference</w:t>
            </w:r>
          </w:p>
        </w:tc>
        <w:tc>
          <w:tcPr>
            <w:tcW w:w="1422" w:type="dxa"/>
            <w:tcBorders>
              <w:top w:val="single" w:sz="4" w:space="0" w:color="000000"/>
              <w:bottom w:val="single" w:sz="4" w:space="0" w:color="000000"/>
            </w:tcBorders>
          </w:tcPr>
          <w:p>
            <w:pPr>
              <w:pStyle w:val="TableParagraph"/>
              <w:spacing w:line="253" w:lineRule="exact"/>
              <w:ind w:right="118"/>
              <w:jc w:val="right"/>
              <w:rPr>
                <w:sz w:val="24"/>
              </w:rPr>
            </w:pPr>
            <w:r>
              <w:rPr>
                <w:spacing w:val="-2"/>
                <w:sz w:val="24"/>
              </w:rPr>
              <w:t>Significance</w:t>
            </w:r>
          </w:p>
        </w:tc>
        <w:tc>
          <w:tcPr>
            <w:tcW w:w="1223" w:type="dxa"/>
            <w:tcBorders>
              <w:top w:val="single" w:sz="4" w:space="0" w:color="000000"/>
              <w:bottom w:val="single" w:sz="4" w:space="0" w:color="000000"/>
            </w:tcBorders>
          </w:tcPr>
          <w:p>
            <w:pPr>
              <w:pStyle w:val="TableParagraph"/>
              <w:spacing w:line="253" w:lineRule="exact"/>
              <w:ind w:left="105" w:right="106"/>
              <w:rPr>
                <w:sz w:val="24"/>
              </w:rPr>
            </w:pPr>
            <w:r>
              <w:rPr>
                <w:spacing w:val="-2"/>
                <w:sz w:val="24"/>
              </w:rPr>
              <w:t>Combine?</w:t>
            </w:r>
          </w:p>
        </w:tc>
      </w:tr>
      <w:tr>
        <w:trPr>
          <w:trHeight w:val="283" w:hRule="atLeast"/>
        </w:trPr>
        <w:tc>
          <w:tcPr>
            <w:tcW w:w="1986" w:type="dxa"/>
            <w:tcBorders>
              <w:top w:val="single" w:sz="4" w:space="0" w:color="000000"/>
            </w:tcBorders>
          </w:tcPr>
          <w:p>
            <w:pPr>
              <w:pStyle w:val="TableParagraph"/>
              <w:spacing w:line="249" w:lineRule="exact"/>
              <w:ind w:left="109" w:right="109"/>
              <w:rPr>
                <w:sz w:val="24"/>
              </w:rPr>
            </w:pPr>
            <w:r>
              <w:rPr>
                <w:sz w:val="24"/>
              </w:rPr>
              <w:t>2</w:t>
            </w:r>
            <w:r>
              <w:rPr>
                <w:spacing w:val="-2"/>
                <w:sz w:val="24"/>
              </w:rPr>
              <w:t> </w:t>
            </w:r>
            <w:r>
              <w:rPr>
                <w:sz w:val="24"/>
              </w:rPr>
              <w:t>-</w:t>
            </w:r>
            <w:r>
              <w:rPr>
                <w:spacing w:val="-2"/>
                <w:sz w:val="24"/>
              </w:rPr>
              <w:t> </w:t>
            </w:r>
            <w:r>
              <w:rPr>
                <w:spacing w:val="-10"/>
                <w:sz w:val="24"/>
              </w:rPr>
              <w:t>1</w:t>
            </w:r>
          </w:p>
        </w:tc>
        <w:tc>
          <w:tcPr>
            <w:tcW w:w="1953" w:type="dxa"/>
            <w:tcBorders>
              <w:top w:val="single" w:sz="4" w:space="0" w:color="000000"/>
            </w:tcBorders>
          </w:tcPr>
          <w:p>
            <w:pPr>
              <w:pStyle w:val="TableParagraph"/>
              <w:spacing w:line="249" w:lineRule="exact"/>
              <w:ind w:left="119"/>
              <w:jc w:val="left"/>
              <w:rPr>
                <w:sz w:val="24"/>
              </w:rPr>
            </w:pPr>
            <w:r>
              <w:rPr>
                <w:sz w:val="24"/>
              </w:rPr>
              <w:t>1.36</w:t>
            </w:r>
            <w:r>
              <w:rPr>
                <w:spacing w:val="-5"/>
                <w:sz w:val="24"/>
              </w:rPr>
              <w:t> </w:t>
            </w:r>
            <w:r>
              <w:rPr>
                <w:sz w:val="24"/>
              </w:rPr>
              <w:t>(1.06</w:t>
            </w:r>
            <w:r>
              <w:rPr>
                <w:spacing w:val="-4"/>
                <w:sz w:val="24"/>
              </w:rPr>
              <w:t> </w:t>
            </w:r>
            <w:r>
              <w:rPr>
                <w:sz w:val="24"/>
              </w:rPr>
              <w:t>–</w:t>
            </w:r>
            <w:r>
              <w:rPr>
                <w:spacing w:val="-5"/>
                <w:sz w:val="24"/>
              </w:rPr>
              <w:t> </w:t>
            </w:r>
            <w:r>
              <w:rPr>
                <w:spacing w:val="-2"/>
                <w:sz w:val="24"/>
              </w:rPr>
              <w:t>1.66)</w:t>
            </w:r>
          </w:p>
        </w:tc>
        <w:tc>
          <w:tcPr>
            <w:tcW w:w="1422" w:type="dxa"/>
            <w:tcBorders>
              <w:top w:val="single" w:sz="4" w:space="0" w:color="000000"/>
            </w:tcBorders>
          </w:tcPr>
          <w:p>
            <w:pPr>
              <w:pStyle w:val="TableParagraph"/>
              <w:spacing w:line="249" w:lineRule="exact"/>
              <w:ind w:right="163"/>
              <w:jc w:val="right"/>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Borders>
              <w:top w:val="single" w:sz="4" w:space="0" w:color="000000"/>
            </w:tcBorders>
          </w:tcPr>
          <w:p>
            <w:pPr>
              <w:pStyle w:val="TableParagraph"/>
              <w:spacing w:line="249" w:lineRule="exact"/>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3</w:t>
            </w:r>
            <w:r>
              <w:rPr>
                <w:spacing w:val="-2"/>
                <w:sz w:val="24"/>
              </w:rPr>
              <w:t> </w:t>
            </w:r>
            <w:r>
              <w:rPr>
                <w:sz w:val="24"/>
              </w:rPr>
              <w:t>-</w:t>
            </w:r>
            <w:r>
              <w:rPr>
                <w:spacing w:val="-2"/>
                <w:sz w:val="24"/>
              </w:rPr>
              <w:t> </w:t>
            </w:r>
            <w:r>
              <w:rPr>
                <w:spacing w:val="-10"/>
                <w:sz w:val="24"/>
              </w:rPr>
              <w:t>2</w:t>
            </w:r>
          </w:p>
        </w:tc>
        <w:tc>
          <w:tcPr>
            <w:tcW w:w="1953" w:type="dxa"/>
          </w:tcPr>
          <w:p>
            <w:pPr>
              <w:pStyle w:val="TableParagraph"/>
              <w:ind w:left="119"/>
              <w:jc w:val="left"/>
              <w:rPr>
                <w:sz w:val="24"/>
              </w:rPr>
            </w:pPr>
            <w:r>
              <w:rPr>
                <w:sz w:val="24"/>
              </w:rPr>
              <w:t>2.35</w:t>
            </w:r>
            <w:r>
              <w:rPr>
                <w:spacing w:val="-5"/>
                <w:sz w:val="24"/>
              </w:rPr>
              <w:t> </w:t>
            </w:r>
            <w:r>
              <w:rPr>
                <w:sz w:val="24"/>
              </w:rPr>
              <w:t>(2.06</w:t>
            </w:r>
            <w:r>
              <w:rPr>
                <w:spacing w:val="-4"/>
                <w:sz w:val="24"/>
              </w:rPr>
              <w:t> </w:t>
            </w:r>
            <w:r>
              <w:rPr>
                <w:sz w:val="24"/>
              </w:rPr>
              <w:t>–</w:t>
            </w:r>
            <w:r>
              <w:rPr>
                <w:spacing w:val="-5"/>
                <w:sz w:val="24"/>
              </w:rPr>
              <w:t> </w:t>
            </w:r>
            <w:r>
              <w:rPr>
                <w:spacing w:val="-2"/>
                <w:sz w:val="24"/>
              </w:rPr>
              <w:t>2.63)</w:t>
            </w:r>
          </w:p>
        </w:tc>
        <w:tc>
          <w:tcPr>
            <w:tcW w:w="1422" w:type="dxa"/>
          </w:tcPr>
          <w:p>
            <w:pPr>
              <w:pStyle w:val="TableParagraph"/>
              <w:ind w:left="215"/>
              <w:jc w:val="left"/>
              <w:rPr>
                <w:sz w:val="24"/>
              </w:rPr>
            </w:pPr>
            <w:r>
              <w:rPr>
                <w:sz w:val="24"/>
              </w:rPr>
              <w:t>P</w:t>
            </w:r>
            <w:r>
              <w:rPr>
                <w:spacing w:val="-3"/>
                <w:sz w:val="24"/>
              </w:rPr>
              <w:t> </w:t>
            </w:r>
            <w:r>
              <w:rPr>
                <w:sz w:val="24"/>
              </w:rPr>
              <w:t>¡</w:t>
            </w:r>
            <w:r>
              <w:rPr>
                <w:spacing w:val="-2"/>
                <w:sz w:val="24"/>
              </w:rPr>
              <w:t> 0.0001</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4</w:t>
            </w:r>
            <w:r>
              <w:rPr>
                <w:spacing w:val="-2"/>
                <w:sz w:val="24"/>
              </w:rPr>
              <w:t> </w:t>
            </w:r>
            <w:r>
              <w:rPr>
                <w:sz w:val="24"/>
              </w:rPr>
              <w:t>-</w:t>
            </w:r>
            <w:r>
              <w:rPr>
                <w:spacing w:val="-2"/>
                <w:sz w:val="24"/>
              </w:rPr>
              <w:t> </w:t>
            </w:r>
            <w:r>
              <w:rPr>
                <w:spacing w:val="-10"/>
                <w:sz w:val="24"/>
              </w:rPr>
              <w:t>3</w:t>
            </w:r>
          </w:p>
        </w:tc>
        <w:tc>
          <w:tcPr>
            <w:tcW w:w="1953" w:type="dxa"/>
          </w:tcPr>
          <w:p>
            <w:pPr>
              <w:pStyle w:val="TableParagraph"/>
              <w:ind w:left="119"/>
              <w:jc w:val="left"/>
              <w:rPr>
                <w:sz w:val="24"/>
              </w:rPr>
            </w:pPr>
            <w:r>
              <w:rPr>
                <w:sz w:val="24"/>
              </w:rPr>
              <w:t>0.91</w:t>
            </w:r>
            <w:r>
              <w:rPr>
                <w:spacing w:val="-5"/>
                <w:sz w:val="24"/>
              </w:rPr>
              <w:t> </w:t>
            </w:r>
            <w:r>
              <w:rPr>
                <w:sz w:val="24"/>
              </w:rPr>
              <w:t>(0.62</w:t>
            </w:r>
            <w:r>
              <w:rPr>
                <w:spacing w:val="-4"/>
                <w:sz w:val="24"/>
              </w:rPr>
              <w:t> </w:t>
            </w:r>
            <w:r>
              <w:rPr>
                <w:sz w:val="24"/>
              </w:rPr>
              <w:t>–</w:t>
            </w:r>
            <w:r>
              <w:rPr>
                <w:spacing w:val="-5"/>
                <w:sz w:val="24"/>
              </w:rPr>
              <w:t> </w:t>
            </w:r>
            <w:r>
              <w:rPr>
                <w:spacing w:val="-2"/>
                <w:sz w:val="24"/>
              </w:rPr>
              <w:t>1.18)</w:t>
            </w:r>
          </w:p>
        </w:tc>
        <w:tc>
          <w:tcPr>
            <w:tcW w:w="1422" w:type="dxa"/>
          </w:tcPr>
          <w:p>
            <w:pPr>
              <w:pStyle w:val="TableParagraph"/>
              <w:ind w:left="187"/>
              <w:jc w:val="left"/>
              <w:rPr>
                <w:sz w:val="24"/>
              </w:rPr>
            </w:pPr>
            <w:r>
              <w:rPr>
                <w:sz w:val="24"/>
              </w:rPr>
              <w:t>P</w:t>
            </w:r>
            <w:r>
              <w:rPr>
                <w:spacing w:val="-3"/>
                <w:sz w:val="24"/>
              </w:rPr>
              <w:t> </w:t>
            </w:r>
            <w:r>
              <w:rPr>
                <w:sz w:val="24"/>
              </w:rPr>
              <w:t>=</w:t>
            </w:r>
            <w:r>
              <w:rPr>
                <w:spacing w:val="-2"/>
                <w:sz w:val="24"/>
              </w:rPr>
              <w:t> 0.0025</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5</w:t>
            </w:r>
            <w:r>
              <w:rPr>
                <w:spacing w:val="-2"/>
                <w:sz w:val="24"/>
              </w:rPr>
              <w:t> </w:t>
            </w:r>
            <w:r>
              <w:rPr>
                <w:sz w:val="24"/>
              </w:rPr>
              <w:t>-</w:t>
            </w:r>
            <w:r>
              <w:rPr>
                <w:spacing w:val="-2"/>
                <w:sz w:val="24"/>
              </w:rPr>
              <w:t> </w:t>
            </w:r>
            <w:r>
              <w:rPr>
                <w:spacing w:val="-10"/>
                <w:sz w:val="24"/>
              </w:rPr>
              <w:t>4</w:t>
            </w:r>
          </w:p>
        </w:tc>
        <w:tc>
          <w:tcPr>
            <w:tcW w:w="1953" w:type="dxa"/>
          </w:tcPr>
          <w:p>
            <w:pPr>
              <w:pStyle w:val="TableParagraph"/>
              <w:ind w:left="119"/>
              <w:jc w:val="left"/>
              <w:rPr>
                <w:sz w:val="24"/>
              </w:rPr>
            </w:pPr>
            <w:r>
              <w:rPr>
                <w:sz w:val="24"/>
              </w:rPr>
              <w:t>1.54</w:t>
            </w:r>
            <w:r>
              <w:rPr>
                <w:spacing w:val="-5"/>
                <w:sz w:val="24"/>
              </w:rPr>
              <w:t> </w:t>
            </w:r>
            <w:r>
              <w:rPr>
                <w:sz w:val="24"/>
              </w:rPr>
              <w:t>(1.26</w:t>
            </w:r>
            <w:r>
              <w:rPr>
                <w:spacing w:val="-4"/>
                <w:sz w:val="24"/>
              </w:rPr>
              <w:t> </w:t>
            </w:r>
            <w:r>
              <w:rPr>
                <w:sz w:val="24"/>
              </w:rPr>
              <w:t>–</w:t>
            </w:r>
            <w:r>
              <w:rPr>
                <w:spacing w:val="-5"/>
                <w:sz w:val="24"/>
              </w:rPr>
              <w:t> </w:t>
            </w:r>
            <w:r>
              <w:rPr>
                <w:spacing w:val="-2"/>
                <w:sz w:val="24"/>
              </w:rPr>
              <w:t>1.82)</w:t>
            </w:r>
          </w:p>
        </w:tc>
        <w:tc>
          <w:tcPr>
            <w:tcW w:w="1422" w:type="dxa"/>
          </w:tcPr>
          <w:p>
            <w:pPr>
              <w:pStyle w:val="TableParagraph"/>
              <w:ind w:left="215"/>
              <w:jc w:val="left"/>
              <w:rPr>
                <w:sz w:val="24"/>
              </w:rPr>
            </w:pPr>
            <w:r>
              <w:rPr>
                <w:sz w:val="24"/>
              </w:rPr>
              <w:t>P</w:t>
            </w:r>
            <w:r>
              <w:rPr>
                <w:spacing w:val="-3"/>
                <w:sz w:val="24"/>
              </w:rPr>
              <w:t> </w:t>
            </w:r>
            <w:r>
              <w:rPr>
                <w:sz w:val="24"/>
              </w:rPr>
              <w:t>¡</w:t>
            </w:r>
            <w:r>
              <w:rPr>
                <w:spacing w:val="-2"/>
                <w:sz w:val="24"/>
              </w:rPr>
              <w:t> 0.0001</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6</w:t>
            </w:r>
            <w:r>
              <w:rPr>
                <w:spacing w:val="-2"/>
                <w:sz w:val="24"/>
              </w:rPr>
              <w:t> </w:t>
            </w:r>
            <w:r>
              <w:rPr>
                <w:sz w:val="24"/>
              </w:rPr>
              <w:t>-</w:t>
            </w:r>
            <w:r>
              <w:rPr>
                <w:spacing w:val="-2"/>
                <w:sz w:val="24"/>
              </w:rPr>
              <w:t> </w:t>
            </w:r>
            <w:r>
              <w:rPr>
                <w:spacing w:val="-10"/>
                <w:sz w:val="24"/>
              </w:rPr>
              <w:t>5</w:t>
            </w:r>
          </w:p>
        </w:tc>
        <w:tc>
          <w:tcPr>
            <w:tcW w:w="1953" w:type="dxa"/>
          </w:tcPr>
          <w:p>
            <w:pPr>
              <w:pStyle w:val="TableParagraph"/>
              <w:ind w:left="119"/>
              <w:jc w:val="left"/>
              <w:rPr>
                <w:sz w:val="24"/>
              </w:rPr>
            </w:pPr>
            <w:r>
              <w:rPr>
                <w:sz w:val="24"/>
              </w:rPr>
              <w:t>1.72</w:t>
            </w:r>
            <w:r>
              <w:rPr>
                <w:spacing w:val="-5"/>
                <w:sz w:val="24"/>
              </w:rPr>
              <w:t> </w:t>
            </w:r>
            <w:r>
              <w:rPr>
                <w:sz w:val="24"/>
              </w:rPr>
              <w:t>(1.44</w:t>
            </w:r>
            <w:r>
              <w:rPr>
                <w:spacing w:val="-4"/>
                <w:sz w:val="24"/>
              </w:rPr>
              <w:t> </w:t>
            </w:r>
            <w:r>
              <w:rPr>
                <w:sz w:val="24"/>
              </w:rPr>
              <w:t>–</w:t>
            </w:r>
            <w:r>
              <w:rPr>
                <w:spacing w:val="-5"/>
                <w:sz w:val="24"/>
              </w:rPr>
              <w:t> </w:t>
            </w:r>
            <w:r>
              <w:rPr>
                <w:spacing w:val="-2"/>
                <w:sz w:val="24"/>
              </w:rPr>
              <w:t>2.00)</w:t>
            </w:r>
          </w:p>
        </w:tc>
        <w:tc>
          <w:tcPr>
            <w:tcW w:w="1422" w:type="dxa"/>
          </w:tcPr>
          <w:p>
            <w:pPr>
              <w:pStyle w:val="TableParagraph"/>
              <w:ind w:left="215"/>
              <w:jc w:val="left"/>
              <w:rPr>
                <w:sz w:val="24"/>
              </w:rPr>
            </w:pPr>
            <w:r>
              <w:rPr>
                <w:sz w:val="24"/>
              </w:rPr>
              <w:t>P</w:t>
            </w:r>
            <w:r>
              <w:rPr>
                <w:spacing w:val="-3"/>
                <w:sz w:val="24"/>
              </w:rPr>
              <w:t> </w:t>
            </w:r>
            <w:r>
              <w:rPr>
                <w:sz w:val="24"/>
              </w:rPr>
              <w:t>¡</w:t>
            </w:r>
            <w:r>
              <w:rPr>
                <w:spacing w:val="-2"/>
                <w:sz w:val="24"/>
              </w:rPr>
              <w:t> 0.0001</w:t>
            </w:r>
          </w:p>
        </w:tc>
        <w:tc>
          <w:tcPr>
            <w:tcW w:w="1223" w:type="dxa"/>
          </w:tcPr>
          <w:p>
            <w:pPr>
              <w:pStyle w:val="TableParagraph"/>
              <w:ind w:left="105" w:right="106"/>
              <w:rPr>
                <w:sz w:val="24"/>
              </w:rPr>
            </w:pPr>
            <w:r>
              <w:rPr>
                <w:spacing w:val="-5"/>
                <w:sz w:val="24"/>
              </w:rPr>
              <w:t>No</w:t>
            </w:r>
          </w:p>
        </w:tc>
      </w:tr>
      <w:tr>
        <w:trPr>
          <w:trHeight w:val="306" w:hRule="atLeast"/>
        </w:trPr>
        <w:tc>
          <w:tcPr>
            <w:tcW w:w="1986" w:type="dxa"/>
            <w:tcBorders>
              <w:bottom w:val="single" w:sz="4" w:space="0" w:color="000000"/>
            </w:tcBorders>
          </w:tcPr>
          <w:p>
            <w:pPr>
              <w:pStyle w:val="TableParagraph"/>
              <w:spacing w:line="273" w:lineRule="exact"/>
              <w:ind w:left="109" w:right="109"/>
              <w:rPr>
                <w:sz w:val="24"/>
              </w:rPr>
            </w:pPr>
            <w:r>
              <w:rPr>
                <w:sz w:val="24"/>
              </w:rPr>
              <w:t>7</w:t>
            </w:r>
            <w:r>
              <w:rPr>
                <w:spacing w:val="-2"/>
                <w:sz w:val="24"/>
              </w:rPr>
              <w:t> </w:t>
            </w:r>
            <w:r>
              <w:rPr>
                <w:sz w:val="24"/>
              </w:rPr>
              <w:t>-</w:t>
            </w:r>
            <w:r>
              <w:rPr>
                <w:spacing w:val="-2"/>
                <w:sz w:val="24"/>
              </w:rPr>
              <w:t> </w:t>
            </w:r>
            <w:r>
              <w:rPr>
                <w:spacing w:val="-10"/>
                <w:sz w:val="24"/>
              </w:rPr>
              <w:t>6</w:t>
            </w:r>
          </w:p>
        </w:tc>
        <w:tc>
          <w:tcPr>
            <w:tcW w:w="1953" w:type="dxa"/>
            <w:tcBorders>
              <w:bottom w:val="single" w:sz="4" w:space="0" w:color="000000"/>
            </w:tcBorders>
          </w:tcPr>
          <w:p>
            <w:pPr>
              <w:pStyle w:val="TableParagraph"/>
              <w:spacing w:line="273" w:lineRule="exact"/>
              <w:ind w:left="119"/>
              <w:jc w:val="left"/>
              <w:rPr>
                <w:sz w:val="24"/>
              </w:rPr>
            </w:pPr>
            <w:r>
              <w:rPr>
                <w:sz w:val="24"/>
              </w:rPr>
              <w:t>3.38</w:t>
            </w:r>
            <w:r>
              <w:rPr>
                <w:spacing w:val="-5"/>
                <w:sz w:val="24"/>
              </w:rPr>
              <w:t> </w:t>
            </w:r>
            <w:r>
              <w:rPr>
                <w:sz w:val="24"/>
              </w:rPr>
              <w:t>(3.09</w:t>
            </w:r>
            <w:r>
              <w:rPr>
                <w:spacing w:val="-4"/>
                <w:sz w:val="24"/>
              </w:rPr>
              <w:t> </w:t>
            </w:r>
            <w:r>
              <w:rPr>
                <w:sz w:val="24"/>
              </w:rPr>
              <w:t>–</w:t>
            </w:r>
            <w:r>
              <w:rPr>
                <w:spacing w:val="-5"/>
                <w:sz w:val="24"/>
              </w:rPr>
              <w:t> </w:t>
            </w:r>
            <w:r>
              <w:rPr>
                <w:spacing w:val="-2"/>
                <w:sz w:val="24"/>
              </w:rPr>
              <w:t>3.66)</w:t>
            </w:r>
          </w:p>
        </w:tc>
        <w:tc>
          <w:tcPr>
            <w:tcW w:w="1422" w:type="dxa"/>
            <w:tcBorders>
              <w:bottom w:val="single" w:sz="4" w:space="0" w:color="000000"/>
            </w:tcBorders>
          </w:tcPr>
          <w:p>
            <w:pPr>
              <w:pStyle w:val="TableParagraph"/>
              <w:spacing w:line="273" w:lineRule="exact"/>
              <w:ind w:left="215"/>
              <w:jc w:val="left"/>
              <w:rPr>
                <w:sz w:val="24"/>
              </w:rPr>
            </w:pPr>
            <w:r>
              <w:rPr>
                <w:sz w:val="24"/>
              </w:rPr>
              <w:t>P</w:t>
            </w:r>
            <w:r>
              <w:rPr>
                <w:spacing w:val="-3"/>
                <w:sz w:val="24"/>
              </w:rPr>
              <w:t> </w:t>
            </w:r>
            <w:r>
              <w:rPr>
                <w:sz w:val="24"/>
              </w:rPr>
              <w:t>¡</w:t>
            </w:r>
            <w:r>
              <w:rPr>
                <w:spacing w:val="-2"/>
                <w:sz w:val="24"/>
              </w:rPr>
              <w:t> 0.0001</w:t>
            </w:r>
          </w:p>
        </w:tc>
        <w:tc>
          <w:tcPr>
            <w:tcW w:w="1223" w:type="dxa"/>
            <w:tcBorders>
              <w:bottom w:val="single" w:sz="4" w:space="0" w:color="000000"/>
            </w:tcBorders>
          </w:tcPr>
          <w:p>
            <w:pPr>
              <w:pStyle w:val="TableParagraph"/>
              <w:spacing w:line="273" w:lineRule="exact"/>
              <w:ind w:left="105" w:right="106"/>
              <w:rPr>
                <w:sz w:val="24"/>
              </w:rPr>
            </w:pPr>
            <w:r>
              <w:rPr>
                <w:spacing w:val="-5"/>
                <w:sz w:val="24"/>
              </w:rPr>
              <w:t>No</w:t>
            </w:r>
          </w:p>
        </w:tc>
      </w:tr>
    </w:tbl>
    <w:p>
      <w:pPr>
        <w:pStyle w:val="BodyText"/>
        <w:rPr>
          <w:sz w:val="20"/>
        </w:rPr>
      </w:pPr>
    </w:p>
    <w:p>
      <w:pPr>
        <w:pStyle w:val="BodyText"/>
        <w:spacing w:line="252" w:lineRule="auto" w:before="245"/>
        <w:ind w:left="610" w:right="389"/>
        <w:jc w:val="both"/>
      </w:pPr>
      <w:bookmarkStart w:name="_bookmark78" w:id="144"/>
      <w:bookmarkEnd w:id="144"/>
      <w:r>
        <w:rPr/>
      </w:r>
      <w:r>
        <w:rPr>
          <w:b/>
        </w:rPr>
        <w:t>Table</w:t>
      </w:r>
      <w:r>
        <w:rPr>
          <w:b/>
          <w:spacing w:val="-7"/>
        </w:rPr>
        <w:t> </w:t>
      </w:r>
      <w:r>
        <w:rPr>
          <w:b/>
        </w:rPr>
        <w:t>3.10: </w:t>
      </w:r>
      <w:r>
        <w:rPr/>
        <w:t>Statistical</w:t>
      </w:r>
      <w:r>
        <w:rPr>
          <w:spacing w:val="-7"/>
        </w:rPr>
        <w:t> </w:t>
      </w:r>
      <w:r>
        <w:rPr/>
        <w:t>comparison</w:t>
      </w:r>
      <w:r>
        <w:rPr>
          <w:spacing w:val="-7"/>
        </w:rPr>
        <w:t> </w:t>
      </w:r>
      <w:r>
        <w:rPr/>
        <w:t>between</w:t>
      </w:r>
      <w:r>
        <w:rPr>
          <w:spacing w:val="-7"/>
        </w:rPr>
        <w:t> </w:t>
      </w:r>
      <w:r>
        <w:rPr/>
        <w:t>rows</w:t>
      </w:r>
      <w:r>
        <w:rPr>
          <w:spacing w:val="-7"/>
        </w:rPr>
        <w:t> </w:t>
      </w:r>
      <w:r>
        <w:rPr/>
        <w:t>at</w:t>
      </w:r>
      <w:r>
        <w:rPr>
          <w:spacing w:val="-7"/>
        </w:rPr>
        <w:t> </w:t>
      </w:r>
      <w:r>
        <w:rPr/>
        <w:t>an</w:t>
      </w:r>
      <w:r>
        <w:rPr>
          <w:spacing w:val="-7"/>
        </w:rPr>
        <w:t> </w:t>
      </w:r>
      <w:r>
        <w:rPr/>
        <w:t>SESOI</w:t>
      </w:r>
      <w:r>
        <w:rPr>
          <w:spacing w:val="-7"/>
        </w:rPr>
        <w:t> </w:t>
      </w:r>
      <w:r>
        <w:rPr/>
        <w:t>of</w:t>
      </w:r>
      <w:r>
        <w:rPr>
          <w:spacing w:val="-7"/>
        </w:rPr>
        <w:t> </w:t>
      </w:r>
      <w:r>
        <w:rPr/>
        <w:t>0.5</w:t>
      </w:r>
      <w:r>
        <w:rPr>
          <w:spacing w:val="-7"/>
        </w:rPr>
        <w:t> </w:t>
      </w:r>
      <w:r>
        <w:rPr/>
        <w:t>for</w:t>
      </w:r>
      <w:r>
        <w:rPr>
          <w:spacing w:val="-7"/>
        </w:rPr>
        <w:t> </w:t>
      </w:r>
      <w:r>
        <w:rPr/>
        <w:t>EPV-37. </w:t>
      </w:r>
      <w:r>
        <w:rPr/>
        <w:t>Where numbers are separated by commas, they have been averaged within the linear mixed model.</w:t>
      </w:r>
      <w:r>
        <w:rPr>
          <w:spacing w:val="40"/>
        </w:rPr>
        <w:t> </w:t>
      </w:r>
      <w:r>
        <w:rPr/>
        <w:t>Difference and significance provide the mean difference (95% confidence in- tervals)</w:t>
      </w:r>
      <w:r>
        <w:rPr>
          <w:spacing w:val="-7"/>
        </w:rPr>
        <w:t> </w:t>
      </w:r>
      <w:r>
        <w:rPr/>
        <w:t>between</w:t>
      </w:r>
      <w:r>
        <w:rPr>
          <w:spacing w:val="-7"/>
        </w:rPr>
        <w:t> </w:t>
      </w:r>
      <w:r>
        <w:rPr/>
        <w:t>the</w:t>
      </w:r>
      <w:r>
        <w:rPr>
          <w:spacing w:val="-7"/>
        </w:rPr>
        <w:t> </w:t>
      </w:r>
      <w:r>
        <w:rPr/>
        <w:t>rows</w:t>
      </w:r>
      <w:r>
        <w:rPr>
          <w:spacing w:val="-7"/>
        </w:rPr>
        <w:t> </w:t>
      </w:r>
      <w:r>
        <w:rPr/>
        <w:t>and</w:t>
      </w:r>
      <w:r>
        <w:rPr>
          <w:spacing w:val="-7"/>
        </w:rPr>
        <w:t> </w:t>
      </w:r>
      <w:r>
        <w:rPr/>
        <w:t>whether</w:t>
      </w:r>
      <w:r>
        <w:rPr>
          <w:spacing w:val="-7"/>
        </w:rPr>
        <w:t> </w:t>
      </w:r>
      <w:r>
        <w:rPr/>
        <w:t>this</w:t>
      </w:r>
      <w:r>
        <w:rPr>
          <w:spacing w:val="-7"/>
        </w:rPr>
        <w:t> </w:t>
      </w:r>
      <w:r>
        <w:rPr/>
        <w:t>was</w:t>
      </w:r>
      <w:r>
        <w:rPr>
          <w:spacing w:val="-7"/>
        </w:rPr>
        <w:t> </w:t>
      </w:r>
      <w:r>
        <w:rPr/>
        <w:t>significant</w:t>
      </w:r>
      <w:r>
        <w:rPr>
          <w:spacing w:val="-7"/>
        </w:rPr>
        <w:t> </w:t>
      </w:r>
      <w:r>
        <w:rPr/>
        <w:t>according</w:t>
      </w:r>
      <w:r>
        <w:rPr>
          <w:spacing w:val="-7"/>
        </w:rPr>
        <w:t> </w:t>
      </w:r>
      <w:r>
        <w:rPr/>
        <w:t>to</w:t>
      </w:r>
      <w:r>
        <w:rPr>
          <w:spacing w:val="-7"/>
        </w:rPr>
        <w:t> </w:t>
      </w:r>
      <w:r>
        <w:rPr/>
        <w:t>an</w:t>
      </w:r>
      <w:r>
        <w:rPr>
          <w:spacing w:val="-7"/>
        </w:rPr>
        <w:t> </w:t>
      </w:r>
      <w:r>
        <w:rPr/>
        <w:t>SESOI</w:t>
      </w:r>
      <w:r>
        <w:rPr>
          <w:spacing w:val="-7"/>
        </w:rPr>
        <w:t> </w:t>
      </w:r>
      <w:r>
        <w:rPr/>
        <w:t>of</w:t>
      </w:r>
      <w:r>
        <w:rPr>
          <w:spacing w:val="-7"/>
        </w:rPr>
        <w:t> </w:t>
      </w:r>
      <w:r>
        <w:rPr/>
        <w:t>0.5. Combine? Indicates</w:t>
      </w:r>
      <w:r>
        <w:rPr>
          <w:spacing w:val="-4"/>
        </w:rPr>
        <w:t> </w:t>
      </w:r>
      <w:r>
        <w:rPr/>
        <w:t>whether</w:t>
      </w:r>
      <w:r>
        <w:rPr>
          <w:spacing w:val="-4"/>
        </w:rPr>
        <w:t> </w:t>
      </w:r>
      <w:r>
        <w:rPr/>
        <w:t>the</w:t>
      </w:r>
      <w:r>
        <w:rPr>
          <w:spacing w:val="-4"/>
        </w:rPr>
        <w:t> </w:t>
      </w:r>
      <w:r>
        <w:rPr/>
        <w:t>row</w:t>
      </w:r>
      <w:r>
        <w:rPr>
          <w:spacing w:val="-4"/>
        </w:rPr>
        <w:t> </w:t>
      </w:r>
      <w:r>
        <w:rPr/>
        <w:t>values</w:t>
      </w:r>
      <w:r>
        <w:rPr>
          <w:spacing w:val="-4"/>
        </w:rPr>
        <w:t> </w:t>
      </w:r>
      <w:r>
        <w:rPr/>
        <w:t>were</w:t>
      </w:r>
      <w:r>
        <w:rPr>
          <w:spacing w:val="-4"/>
        </w:rPr>
        <w:t> </w:t>
      </w:r>
      <w:r>
        <w:rPr/>
        <w:t>averaged</w:t>
      </w:r>
      <w:r>
        <w:rPr>
          <w:spacing w:val="-4"/>
        </w:rPr>
        <w:t> </w:t>
      </w:r>
      <w:r>
        <w:rPr/>
        <w:t>before</w:t>
      </w:r>
      <w:r>
        <w:rPr>
          <w:spacing w:val="-4"/>
        </w:rPr>
        <w:t> </w:t>
      </w:r>
      <w:r>
        <w:rPr/>
        <w:t>comparing</w:t>
      </w:r>
      <w:r>
        <w:rPr>
          <w:spacing w:val="-4"/>
        </w:rPr>
        <w:t> </w:t>
      </w:r>
      <w:r>
        <w:rPr/>
        <w:t>to</w:t>
      </w:r>
      <w:r>
        <w:rPr>
          <w:spacing w:val="-4"/>
        </w:rPr>
        <w:t> </w:t>
      </w:r>
      <w:r>
        <w:rPr/>
        <w:t>the</w:t>
      </w:r>
      <w:r>
        <w:rPr>
          <w:spacing w:val="-4"/>
        </w:rPr>
        <w:t> </w:t>
      </w:r>
      <w:r>
        <w:rPr/>
        <w:t>next row.</w:t>
      </w:r>
      <w:r>
        <w:rPr>
          <w:spacing w:val="40"/>
        </w:rPr>
        <w:t> </w:t>
      </w:r>
      <w:r>
        <w:rPr/>
        <w:t>Comparisons began inside the attacking teams try area before progressing up the pitch to the opposition try area.</w:t>
      </w:r>
    </w:p>
    <w:p>
      <w:pPr>
        <w:pStyle w:val="BodyText"/>
        <w:rPr>
          <w:sz w:val="20"/>
        </w:rPr>
      </w:pPr>
    </w:p>
    <w:p>
      <w:pPr>
        <w:pStyle w:val="BodyText"/>
        <w:spacing w:before="7"/>
        <w:rPr>
          <w:sz w:val="21"/>
        </w:rPr>
      </w:pPr>
    </w:p>
    <w:tbl>
      <w:tblPr>
        <w:tblW w:w="0" w:type="auto"/>
        <w:jc w:val="left"/>
        <w:tblInd w:w="16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61"/>
        <w:gridCol w:w="2191"/>
        <w:gridCol w:w="1421"/>
        <w:gridCol w:w="1222"/>
      </w:tblGrid>
      <w:tr>
        <w:trPr>
          <w:trHeight w:val="272" w:hRule="atLeast"/>
        </w:trPr>
        <w:tc>
          <w:tcPr>
            <w:tcW w:w="1661" w:type="dxa"/>
            <w:tcBorders>
              <w:top w:val="single" w:sz="4" w:space="0" w:color="000000"/>
              <w:bottom w:val="single" w:sz="4" w:space="0" w:color="000000"/>
            </w:tcBorders>
          </w:tcPr>
          <w:p>
            <w:pPr>
              <w:pStyle w:val="TableParagraph"/>
              <w:spacing w:line="253" w:lineRule="exact"/>
              <w:ind w:left="108" w:right="108"/>
              <w:rPr>
                <w:sz w:val="24"/>
              </w:rPr>
            </w:pPr>
            <w:r>
              <w:rPr>
                <w:sz w:val="24"/>
              </w:rPr>
              <w:t>Rows</w:t>
            </w:r>
            <w:r>
              <w:rPr>
                <w:spacing w:val="-13"/>
                <w:sz w:val="24"/>
              </w:rPr>
              <w:t> </w:t>
            </w:r>
            <w:r>
              <w:rPr>
                <w:spacing w:val="-2"/>
                <w:sz w:val="24"/>
              </w:rPr>
              <w:t>included</w:t>
            </w:r>
          </w:p>
        </w:tc>
        <w:tc>
          <w:tcPr>
            <w:tcW w:w="2191" w:type="dxa"/>
            <w:tcBorders>
              <w:top w:val="single" w:sz="4" w:space="0" w:color="000000"/>
              <w:bottom w:val="single" w:sz="4" w:space="0" w:color="000000"/>
            </w:tcBorders>
          </w:tcPr>
          <w:p>
            <w:pPr>
              <w:pStyle w:val="TableParagraph"/>
              <w:spacing w:line="253" w:lineRule="exact"/>
              <w:ind w:left="587"/>
              <w:jc w:val="left"/>
              <w:rPr>
                <w:sz w:val="24"/>
              </w:rPr>
            </w:pPr>
            <w:r>
              <w:rPr>
                <w:spacing w:val="-2"/>
                <w:sz w:val="24"/>
              </w:rPr>
              <w:t>Difference</w:t>
            </w:r>
          </w:p>
        </w:tc>
        <w:tc>
          <w:tcPr>
            <w:tcW w:w="1421" w:type="dxa"/>
            <w:tcBorders>
              <w:top w:val="single" w:sz="4" w:space="0" w:color="000000"/>
              <w:bottom w:val="single" w:sz="4" w:space="0" w:color="000000"/>
            </w:tcBorders>
          </w:tcPr>
          <w:p>
            <w:pPr>
              <w:pStyle w:val="TableParagraph"/>
              <w:spacing w:line="253" w:lineRule="exact"/>
              <w:ind w:left="103" w:right="102"/>
              <w:rPr>
                <w:sz w:val="24"/>
              </w:rPr>
            </w:pPr>
            <w:r>
              <w:rPr>
                <w:spacing w:val="-2"/>
                <w:sz w:val="24"/>
              </w:rPr>
              <w:t>Significance</w:t>
            </w:r>
          </w:p>
        </w:tc>
        <w:tc>
          <w:tcPr>
            <w:tcW w:w="1222" w:type="dxa"/>
            <w:tcBorders>
              <w:top w:val="single" w:sz="4" w:space="0" w:color="000000"/>
              <w:bottom w:val="single" w:sz="4" w:space="0" w:color="000000"/>
            </w:tcBorders>
          </w:tcPr>
          <w:p>
            <w:pPr>
              <w:pStyle w:val="TableParagraph"/>
              <w:spacing w:line="253" w:lineRule="exact"/>
              <w:ind w:left="106" w:right="105"/>
              <w:rPr>
                <w:sz w:val="24"/>
              </w:rPr>
            </w:pPr>
            <w:r>
              <w:rPr>
                <w:spacing w:val="-2"/>
                <w:sz w:val="24"/>
              </w:rPr>
              <w:t>Combine?</w:t>
            </w:r>
          </w:p>
        </w:tc>
      </w:tr>
      <w:tr>
        <w:trPr>
          <w:trHeight w:val="283" w:hRule="atLeast"/>
        </w:trPr>
        <w:tc>
          <w:tcPr>
            <w:tcW w:w="1661" w:type="dxa"/>
            <w:tcBorders>
              <w:top w:val="single" w:sz="4" w:space="0" w:color="000000"/>
            </w:tcBorders>
          </w:tcPr>
          <w:p>
            <w:pPr>
              <w:pStyle w:val="TableParagraph"/>
              <w:spacing w:line="249" w:lineRule="exact"/>
              <w:ind w:left="108" w:right="108"/>
              <w:rPr>
                <w:sz w:val="24"/>
              </w:rPr>
            </w:pPr>
            <w:r>
              <w:rPr>
                <w:sz w:val="24"/>
              </w:rPr>
              <w:t>2</w:t>
            </w:r>
            <w:r>
              <w:rPr>
                <w:spacing w:val="-2"/>
                <w:sz w:val="24"/>
              </w:rPr>
              <w:t> </w:t>
            </w:r>
            <w:r>
              <w:rPr>
                <w:sz w:val="24"/>
              </w:rPr>
              <w:t>-</w:t>
            </w:r>
            <w:r>
              <w:rPr>
                <w:spacing w:val="-2"/>
                <w:sz w:val="24"/>
              </w:rPr>
              <w:t> </w:t>
            </w:r>
            <w:r>
              <w:rPr>
                <w:spacing w:val="-10"/>
                <w:sz w:val="24"/>
              </w:rPr>
              <w:t>1</w:t>
            </w:r>
          </w:p>
        </w:tc>
        <w:tc>
          <w:tcPr>
            <w:tcW w:w="2191" w:type="dxa"/>
            <w:tcBorders>
              <w:top w:val="single" w:sz="4" w:space="0" w:color="000000"/>
            </w:tcBorders>
          </w:tcPr>
          <w:p>
            <w:pPr>
              <w:pStyle w:val="TableParagraph"/>
              <w:spacing w:line="249" w:lineRule="exact"/>
              <w:ind w:left="238"/>
              <w:jc w:val="left"/>
              <w:rPr>
                <w:sz w:val="24"/>
              </w:rPr>
            </w:pPr>
            <w:r>
              <w:rPr>
                <w:sz w:val="24"/>
              </w:rPr>
              <w:t>1.30</w:t>
            </w:r>
            <w:r>
              <w:rPr>
                <w:spacing w:val="-5"/>
                <w:sz w:val="24"/>
              </w:rPr>
              <w:t> </w:t>
            </w:r>
            <w:r>
              <w:rPr>
                <w:sz w:val="24"/>
              </w:rPr>
              <w:t>(0.93</w:t>
            </w:r>
            <w:r>
              <w:rPr>
                <w:spacing w:val="-4"/>
                <w:sz w:val="24"/>
              </w:rPr>
              <w:t> </w:t>
            </w:r>
            <w:r>
              <w:rPr>
                <w:sz w:val="24"/>
              </w:rPr>
              <w:t>–</w:t>
            </w:r>
            <w:r>
              <w:rPr>
                <w:spacing w:val="-5"/>
                <w:sz w:val="24"/>
              </w:rPr>
              <w:t> </w:t>
            </w:r>
            <w:r>
              <w:rPr>
                <w:spacing w:val="-2"/>
                <w:sz w:val="24"/>
              </w:rPr>
              <w:t>1.67)</w:t>
            </w:r>
          </w:p>
        </w:tc>
        <w:tc>
          <w:tcPr>
            <w:tcW w:w="1421" w:type="dxa"/>
            <w:tcBorders>
              <w:top w:val="single" w:sz="4" w:space="0" w:color="000000"/>
            </w:tcBorders>
          </w:tcPr>
          <w:p>
            <w:pPr>
              <w:pStyle w:val="TableParagraph"/>
              <w:spacing w:line="249" w:lineRule="exact"/>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Borders>
              <w:top w:val="single" w:sz="4" w:space="0" w:color="000000"/>
            </w:tcBorders>
          </w:tcPr>
          <w:p>
            <w:pPr>
              <w:pStyle w:val="TableParagraph"/>
              <w:spacing w:line="249" w:lineRule="exact"/>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z w:val="24"/>
              </w:rPr>
              <w:t>3</w:t>
            </w:r>
            <w:r>
              <w:rPr>
                <w:spacing w:val="-2"/>
                <w:sz w:val="24"/>
              </w:rPr>
              <w:t> </w:t>
            </w:r>
            <w:r>
              <w:rPr>
                <w:sz w:val="24"/>
              </w:rPr>
              <w:t>-</w:t>
            </w:r>
            <w:r>
              <w:rPr>
                <w:spacing w:val="-2"/>
                <w:sz w:val="24"/>
              </w:rPr>
              <w:t> </w:t>
            </w:r>
            <w:r>
              <w:rPr>
                <w:spacing w:val="-10"/>
                <w:sz w:val="24"/>
              </w:rPr>
              <w:t>2</w:t>
            </w:r>
          </w:p>
        </w:tc>
        <w:tc>
          <w:tcPr>
            <w:tcW w:w="2191" w:type="dxa"/>
          </w:tcPr>
          <w:p>
            <w:pPr>
              <w:pStyle w:val="TableParagraph"/>
              <w:ind w:left="238"/>
              <w:jc w:val="left"/>
              <w:rPr>
                <w:sz w:val="24"/>
              </w:rPr>
            </w:pPr>
            <w:r>
              <w:rPr>
                <w:sz w:val="24"/>
              </w:rPr>
              <w:t>1.64</w:t>
            </w:r>
            <w:r>
              <w:rPr>
                <w:spacing w:val="-5"/>
                <w:sz w:val="24"/>
              </w:rPr>
              <w:t> </w:t>
            </w:r>
            <w:r>
              <w:rPr>
                <w:sz w:val="24"/>
              </w:rPr>
              <w:t>(1.41</w:t>
            </w:r>
            <w:r>
              <w:rPr>
                <w:spacing w:val="-4"/>
                <w:sz w:val="24"/>
              </w:rPr>
              <w:t> </w:t>
            </w:r>
            <w:r>
              <w:rPr>
                <w:sz w:val="24"/>
              </w:rPr>
              <w:t>–</w:t>
            </w:r>
            <w:r>
              <w:rPr>
                <w:spacing w:val="-5"/>
                <w:sz w:val="24"/>
              </w:rPr>
              <w:t> </w:t>
            </w:r>
            <w:r>
              <w:rPr>
                <w:spacing w:val="-2"/>
                <w:sz w:val="24"/>
              </w:rPr>
              <w:t>1.87)</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z w:val="24"/>
              </w:rPr>
              <w:t>4</w:t>
            </w:r>
            <w:r>
              <w:rPr>
                <w:spacing w:val="-2"/>
                <w:sz w:val="24"/>
              </w:rPr>
              <w:t> </w:t>
            </w:r>
            <w:r>
              <w:rPr>
                <w:sz w:val="24"/>
              </w:rPr>
              <w:t>-</w:t>
            </w:r>
            <w:r>
              <w:rPr>
                <w:spacing w:val="-2"/>
                <w:sz w:val="24"/>
              </w:rPr>
              <w:t> </w:t>
            </w:r>
            <w:r>
              <w:rPr>
                <w:spacing w:val="-10"/>
                <w:sz w:val="24"/>
              </w:rPr>
              <w:t>3</w:t>
            </w:r>
          </w:p>
        </w:tc>
        <w:tc>
          <w:tcPr>
            <w:tcW w:w="2191" w:type="dxa"/>
          </w:tcPr>
          <w:p>
            <w:pPr>
              <w:pStyle w:val="TableParagraph"/>
              <w:ind w:right="157"/>
              <w:jc w:val="right"/>
              <w:rPr>
                <w:sz w:val="24"/>
              </w:rPr>
            </w:pPr>
            <w:r>
              <w:rPr>
                <w:sz w:val="24"/>
              </w:rPr>
              <w:t>-0.07</w:t>
            </w:r>
            <w:r>
              <w:rPr>
                <w:spacing w:val="-5"/>
                <w:sz w:val="24"/>
              </w:rPr>
              <w:t> </w:t>
            </w:r>
            <w:r>
              <w:rPr>
                <w:sz w:val="24"/>
              </w:rPr>
              <w:t>(-0.30</w:t>
            </w:r>
            <w:r>
              <w:rPr>
                <w:spacing w:val="-5"/>
                <w:sz w:val="24"/>
              </w:rPr>
              <w:t> </w:t>
            </w:r>
            <w:r>
              <w:rPr>
                <w:sz w:val="24"/>
              </w:rPr>
              <w:t>–</w:t>
            </w:r>
            <w:r>
              <w:rPr>
                <w:spacing w:val="-5"/>
                <w:sz w:val="24"/>
              </w:rPr>
              <w:t> </w:t>
            </w:r>
            <w:r>
              <w:rPr>
                <w:spacing w:val="-2"/>
                <w:sz w:val="24"/>
              </w:rPr>
              <w:t>0.16)</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0.5542</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5</w:t>
            </w:r>
            <w:r>
              <w:rPr>
                <w:spacing w:val="-2"/>
                <w:sz w:val="24"/>
              </w:rPr>
              <w:t> </w:t>
            </w:r>
            <w:r>
              <w:rPr>
                <w:sz w:val="24"/>
              </w:rPr>
              <w:t>-</w:t>
            </w:r>
            <w:r>
              <w:rPr>
                <w:spacing w:val="-2"/>
                <w:sz w:val="24"/>
              </w:rPr>
              <w:t> </w:t>
            </w:r>
            <w:r>
              <w:rPr>
                <w:spacing w:val="-5"/>
                <w:sz w:val="24"/>
              </w:rPr>
              <w:t>3,4</w:t>
            </w:r>
          </w:p>
        </w:tc>
        <w:tc>
          <w:tcPr>
            <w:tcW w:w="2191" w:type="dxa"/>
          </w:tcPr>
          <w:p>
            <w:pPr>
              <w:pStyle w:val="TableParagraph"/>
              <w:ind w:right="117"/>
              <w:jc w:val="right"/>
              <w:rPr>
                <w:sz w:val="24"/>
              </w:rPr>
            </w:pPr>
            <w:r>
              <w:rPr>
                <w:sz w:val="24"/>
              </w:rPr>
              <w:t>-0.28</w:t>
            </w:r>
            <w:r>
              <w:rPr>
                <w:spacing w:val="-6"/>
                <w:sz w:val="24"/>
              </w:rPr>
              <w:t> </w:t>
            </w:r>
            <w:r>
              <w:rPr>
                <w:sz w:val="24"/>
              </w:rPr>
              <w:t>(-0.48</w:t>
            </w:r>
            <w:r>
              <w:rPr>
                <w:spacing w:val="-5"/>
                <w:sz w:val="24"/>
              </w:rPr>
              <w:t> </w:t>
            </w:r>
            <w:r>
              <w:rPr>
                <w:sz w:val="24"/>
              </w:rPr>
              <w:t>–</w:t>
            </w:r>
            <w:r>
              <w:rPr>
                <w:spacing w:val="-5"/>
                <w:sz w:val="24"/>
              </w:rPr>
              <w:t> </w:t>
            </w:r>
            <w:r>
              <w:rPr>
                <w:sz w:val="24"/>
              </w:rPr>
              <w:t>-</w:t>
            </w:r>
            <w:r>
              <w:rPr>
                <w:spacing w:val="-2"/>
                <w:sz w:val="24"/>
              </w:rPr>
              <w:t>0.08)</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6</w:t>
            </w:r>
            <w:r>
              <w:rPr>
                <w:spacing w:val="-2"/>
                <w:sz w:val="24"/>
              </w:rPr>
              <w:t> </w:t>
            </w:r>
            <w:r>
              <w:rPr>
                <w:sz w:val="24"/>
              </w:rPr>
              <w:t>-</w:t>
            </w:r>
            <w:r>
              <w:rPr>
                <w:spacing w:val="-2"/>
                <w:sz w:val="24"/>
              </w:rPr>
              <w:t> </w:t>
            </w:r>
            <w:r>
              <w:rPr>
                <w:spacing w:val="-4"/>
                <w:sz w:val="24"/>
              </w:rPr>
              <w:t>3,4,5</w:t>
            </w:r>
          </w:p>
        </w:tc>
        <w:tc>
          <w:tcPr>
            <w:tcW w:w="2191" w:type="dxa"/>
          </w:tcPr>
          <w:p>
            <w:pPr>
              <w:pStyle w:val="TableParagraph"/>
              <w:ind w:left="199"/>
              <w:jc w:val="left"/>
              <w:rPr>
                <w:sz w:val="24"/>
              </w:rPr>
            </w:pPr>
            <w:r>
              <w:rPr>
                <w:sz w:val="24"/>
              </w:rPr>
              <w:t>0.07</w:t>
            </w:r>
            <w:r>
              <w:rPr>
                <w:spacing w:val="-5"/>
                <w:sz w:val="24"/>
              </w:rPr>
              <w:t> </w:t>
            </w:r>
            <w:r>
              <w:rPr>
                <w:sz w:val="24"/>
              </w:rPr>
              <w:t>(-0.12</w:t>
            </w:r>
            <w:r>
              <w:rPr>
                <w:spacing w:val="-5"/>
                <w:sz w:val="24"/>
              </w:rPr>
              <w:t> </w:t>
            </w:r>
            <w:r>
              <w:rPr>
                <w:sz w:val="24"/>
              </w:rPr>
              <w:t>–</w:t>
            </w:r>
            <w:r>
              <w:rPr>
                <w:spacing w:val="-5"/>
                <w:sz w:val="24"/>
              </w:rPr>
              <w:t> </w:t>
            </w:r>
            <w:r>
              <w:rPr>
                <w:spacing w:val="-2"/>
                <w:sz w:val="24"/>
              </w:rPr>
              <w:t>0.26)</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7</w:t>
            </w:r>
            <w:r>
              <w:rPr>
                <w:spacing w:val="-2"/>
                <w:sz w:val="24"/>
              </w:rPr>
              <w:t> </w:t>
            </w:r>
            <w:r>
              <w:rPr>
                <w:sz w:val="24"/>
              </w:rPr>
              <w:t>-</w:t>
            </w:r>
            <w:r>
              <w:rPr>
                <w:spacing w:val="-2"/>
                <w:sz w:val="24"/>
              </w:rPr>
              <w:t> 3,4,5,6</w:t>
            </w:r>
          </w:p>
        </w:tc>
        <w:tc>
          <w:tcPr>
            <w:tcW w:w="2191" w:type="dxa"/>
          </w:tcPr>
          <w:p>
            <w:pPr>
              <w:pStyle w:val="TableParagraph"/>
              <w:ind w:left="238"/>
              <w:jc w:val="left"/>
              <w:rPr>
                <w:sz w:val="24"/>
              </w:rPr>
            </w:pPr>
            <w:r>
              <w:rPr>
                <w:sz w:val="24"/>
              </w:rPr>
              <w:t>0.73</w:t>
            </w:r>
            <w:r>
              <w:rPr>
                <w:spacing w:val="-5"/>
                <w:sz w:val="24"/>
              </w:rPr>
              <w:t> </w:t>
            </w:r>
            <w:r>
              <w:rPr>
                <w:sz w:val="24"/>
              </w:rPr>
              <w:t>(0.54</w:t>
            </w:r>
            <w:r>
              <w:rPr>
                <w:spacing w:val="-4"/>
                <w:sz w:val="24"/>
              </w:rPr>
              <w:t> </w:t>
            </w:r>
            <w:r>
              <w:rPr>
                <w:sz w:val="24"/>
              </w:rPr>
              <w:t>–</w:t>
            </w:r>
            <w:r>
              <w:rPr>
                <w:spacing w:val="-5"/>
                <w:sz w:val="24"/>
              </w:rPr>
              <w:t> </w:t>
            </w:r>
            <w:r>
              <w:rPr>
                <w:spacing w:val="-2"/>
                <w:sz w:val="24"/>
              </w:rPr>
              <w:t>0.91)</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0.0079</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z w:val="24"/>
              </w:rPr>
              <w:t>8</w:t>
            </w:r>
            <w:r>
              <w:rPr>
                <w:spacing w:val="-2"/>
                <w:sz w:val="24"/>
              </w:rPr>
              <w:t> </w:t>
            </w:r>
            <w:r>
              <w:rPr>
                <w:sz w:val="24"/>
              </w:rPr>
              <w:t>-</w:t>
            </w:r>
            <w:r>
              <w:rPr>
                <w:spacing w:val="-2"/>
                <w:sz w:val="24"/>
              </w:rPr>
              <w:t> </w:t>
            </w:r>
            <w:r>
              <w:rPr>
                <w:spacing w:val="-10"/>
                <w:sz w:val="24"/>
              </w:rPr>
              <w:t>7</w:t>
            </w:r>
          </w:p>
        </w:tc>
        <w:tc>
          <w:tcPr>
            <w:tcW w:w="2191" w:type="dxa"/>
          </w:tcPr>
          <w:p>
            <w:pPr>
              <w:pStyle w:val="TableParagraph"/>
              <w:ind w:right="157"/>
              <w:jc w:val="right"/>
              <w:rPr>
                <w:sz w:val="24"/>
              </w:rPr>
            </w:pPr>
            <w:r>
              <w:rPr>
                <w:sz w:val="24"/>
              </w:rPr>
              <w:t>-0.02</w:t>
            </w:r>
            <w:r>
              <w:rPr>
                <w:spacing w:val="-5"/>
                <w:sz w:val="24"/>
              </w:rPr>
              <w:t> </w:t>
            </w:r>
            <w:r>
              <w:rPr>
                <w:sz w:val="24"/>
              </w:rPr>
              <w:t>(-0.26</w:t>
            </w:r>
            <w:r>
              <w:rPr>
                <w:spacing w:val="-5"/>
                <w:sz w:val="24"/>
              </w:rPr>
              <w:t> </w:t>
            </w:r>
            <w:r>
              <w:rPr>
                <w:sz w:val="24"/>
              </w:rPr>
              <w:t>–</w:t>
            </w:r>
            <w:r>
              <w:rPr>
                <w:spacing w:val="-5"/>
                <w:sz w:val="24"/>
              </w:rPr>
              <w:t> </w:t>
            </w:r>
            <w:r>
              <w:rPr>
                <w:spacing w:val="-2"/>
                <w:sz w:val="24"/>
              </w:rPr>
              <w:t>0.21)</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9</w:t>
            </w:r>
            <w:r>
              <w:rPr>
                <w:spacing w:val="-2"/>
                <w:sz w:val="24"/>
              </w:rPr>
              <w:t> </w:t>
            </w:r>
            <w:r>
              <w:rPr>
                <w:sz w:val="24"/>
              </w:rPr>
              <w:t>-</w:t>
            </w:r>
            <w:r>
              <w:rPr>
                <w:spacing w:val="-2"/>
                <w:sz w:val="24"/>
              </w:rPr>
              <w:t> </w:t>
            </w:r>
            <w:r>
              <w:rPr>
                <w:spacing w:val="-5"/>
                <w:sz w:val="24"/>
              </w:rPr>
              <w:t>7,8</w:t>
            </w:r>
          </w:p>
        </w:tc>
        <w:tc>
          <w:tcPr>
            <w:tcW w:w="2191" w:type="dxa"/>
          </w:tcPr>
          <w:p>
            <w:pPr>
              <w:pStyle w:val="TableParagraph"/>
              <w:ind w:left="238"/>
              <w:jc w:val="left"/>
              <w:rPr>
                <w:sz w:val="24"/>
              </w:rPr>
            </w:pPr>
            <w:r>
              <w:rPr>
                <w:sz w:val="24"/>
              </w:rPr>
              <w:t>1.24</w:t>
            </w:r>
            <w:r>
              <w:rPr>
                <w:spacing w:val="-5"/>
                <w:sz w:val="24"/>
              </w:rPr>
              <w:t> </w:t>
            </w:r>
            <w:r>
              <w:rPr>
                <w:sz w:val="24"/>
              </w:rPr>
              <w:t>(1.04</w:t>
            </w:r>
            <w:r>
              <w:rPr>
                <w:spacing w:val="-4"/>
                <w:sz w:val="24"/>
              </w:rPr>
              <w:t> </w:t>
            </w:r>
            <w:r>
              <w:rPr>
                <w:sz w:val="24"/>
              </w:rPr>
              <w:t>–</w:t>
            </w:r>
            <w:r>
              <w:rPr>
                <w:spacing w:val="-5"/>
                <w:sz w:val="24"/>
              </w:rPr>
              <w:t> </w:t>
            </w:r>
            <w:r>
              <w:rPr>
                <w:spacing w:val="-2"/>
                <w:sz w:val="24"/>
              </w:rPr>
              <w:t>1.44)</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z w:val="24"/>
              </w:rPr>
              <w:t>10</w:t>
            </w:r>
            <w:r>
              <w:rPr>
                <w:spacing w:val="-3"/>
                <w:sz w:val="24"/>
              </w:rPr>
              <w:t> </w:t>
            </w:r>
            <w:r>
              <w:rPr>
                <w:sz w:val="24"/>
              </w:rPr>
              <w:t>-</w:t>
            </w:r>
            <w:r>
              <w:rPr>
                <w:spacing w:val="-3"/>
                <w:sz w:val="24"/>
              </w:rPr>
              <w:t> </w:t>
            </w:r>
            <w:r>
              <w:rPr>
                <w:spacing w:val="-10"/>
                <w:sz w:val="24"/>
              </w:rPr>
              <w:t>9</w:t>
            </w:r>
          </w:p>
        </w:tc>
        <w:tc>
          <w:tcPr>
            <w:tcW w:w="2191" w:type="dxa"/>
          </w:tcPr>
          <w:p>
            <w:pPr>
              <w:pStyle w:val="TableParagraph"/>
              <w:ind w:left="238"/>
              <w:jc w:val="left"/>
              <w:rPr>
                <w:sz w:val="24"/>
              </w:rPr>
            </w:pPr>
            <w:r>
              <w:rPr>
                <w:sz w:val="24"/>
              </w:rPr>
              <w:t>2.82</w:t>
            </w:r>
            <w:r>
              <w:rPr>
                <w:spacing w:val="-5"/>
                <w:sz w:val="24"/>
              </w:rPr>
              <w:t> </w:t>
            </w:r>
            <w:r>
              <w:rPr>
                <w:sz w:val="24"/>
              </w:rPr>
              <w:t>(2.59</w:t>
            </w:r>
            <w:r>
              <w:rPr>
                <w:spacing w:val="-4"/>
                <w:sz w:val="24"/>
              </w:rPr>
              <w:t> </w:t>
            </w:r>
            <w:r>
              <w:rPr>
                <w:sz w:val="24"/>
              </w:rPr>
              <w:t>–</w:t>
            </w:r>
            <w:r>
              <w:rPr>
                <w:spacing w:val="-5"/>
                <w:sz w:val="24"/>
              </w:rPr>
              <w:t> </w:t>
            </w:r>
            <w:r>
              <w:rPr>
                <w:spacing w:val="-2"/>
                <w:sz w:val="24"/>
              </w:rPr>
              <w:t>3.05)</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pacing w:val="-2"/>
                <w:sz w:val="24"/>
              </w:rPr>
              <w:t>11-</w:t>
            </w:r>
            <w:r>
              <w:rPr>
                <w:spacing w:val="-7"/>
                <w:sz w:val="24"/>
              </w:rPr>
              <w:t>10</w:t>
            </w:r>
          </w:p>
        </w:tc>
        <w:tc>
          <w:tcPr>
            <w:tcW w:w="2191" w:type="dxa"/>
          </w:tcPr>
          <w:p>
            <w:pPr>
              <w:pStyle w:val="TableParagraph"/>
              <w:ind w:left="238"/>
              <w:jc w:val="left"/>
              <w:rPr>
                <w:sz w:val="24"/>
              </w:rPr>
            </w:pPr>
            <w:r>
              <w:rPr>
                <w:sz w:val="24"/>
              </w:rPr>
              <w:t>1.06</w:t>
            </w:r>
            <w:r>
              <w:rPr>
                <w:spacing w:val="-5"/>
                <w:sz w:val="24"/>
              </w:rPr>
              <w:t> </w:t>
            </w:r>
            <w:r>
              <w:rPr>
                <w:sz w:val="24"/>
              </w:rPr>
              <w:t>(0.82</w:t>
            </w:r>
            <w:r>
              <w:rPr>
                <w:spacing w:val="-4"/>
                <w:sz w:val="24"/>
              </w:rPr>
              <w:t> </w:t>
            </w:r>
            <w:r>
              <w:rPr>
                <w:sz w:val="24"/>
              </w:rPr>
              <w:t>–</w:t>
            </w:r>
            <w:r>
              <w:rPr>
                <w:spacing w:val="-5"/>
                <w:sz w:val="24"/>
              </w:rPr>
              <w:t> </w:t>
            </w:r>
            <w:r>
              <w:rPr>
                <w:spacing w:val="-2"/>
                <w:sz w:val="24"/>
              </w:rPr>
              <w:t>1.29)</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bl>
    <w:p>
      <w:pPr>
        <w:spacing w:after="0"/>
        <w:rPr>
          <w:sz w:val="24"/>
        </w:rPr>
        <w:sectPr>
          <w:headerReference w:type="default" r:id="rId69"/>
          <w:footerReference w:type="default" r:id="rId70"/>
          <w:pgSz w:w="11910" w:h="16840"/>
          <w:pgMar w:header="1961" w:footer="3033" w:top="2280" w:bottom="32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79" w:id="145"/>
      <w:bookmarkEnd w:id="145"/>
      <w:r>
        <w:rPr/>
      </w:r>
      <w:r>
        <w:rPr>
          <w:b/>
        </w:rPr>
        <w:t>Table 3.11:</w:t>
      </w:r>
      <w:r>
        <w:rPr>
          <w:b/>
          <w:spacing w:val="40"/>
        </w:rPr>
        <w:t> </w:t>
      </w:r>
      <w:r>
        <w:rPr/>
        <w:t>Statistical comparison between columns at an SESOI of 1.0 for </w:t>
      </w:r>
      <w:r>
        <w:rPr/>
        <w:t>EPV-19. Where numbers are separated by commas, they have been averaged within the linear mixed</w:t>
      </w:r>
      <w:r>
        <w:rPr>
          <w:spacing w:val="-4"/>
        </w:rPr>
        <w:t> </w:t>
      </w:r>
      <w:r>
        <w:rPr/>
        <w:t>model.</w:t>
      </w:r>
      <w:r>
        <w:rPr>
          <w:spacing w:val="20"/>
        </w:rPr>
        <w:t> </w:t>
      </w:r>
      <w:r>
        <w:rPr/>
        <w:t>Difference</w:t>
      </w:r>
      <w:r>
        <w:rPr>
          <w:spacing w:val="-4"/>
        </w:rPr>
        <w:t> </w:t>
      </w:r>
      <w:r>
        <w:rPr/>
        <w:t>and</w:t>
      </w:r>
      <w:r>
        <w:rPr>
          <w:spacing w:val="-4"/>
        </w:rPr>
        <w:t> </w:t>
      </w:r>
      <w:r>
        <w:rPr/>
        <w:t>significance</w:t>
      </w:r>
      <w:r>
        <w:rPr>
          <w:spacing w:val="-4"/>
        </w:rPr>
        <w:t> </w:t>
      </w:r>
      <w:r>
        <w:rPr/>
        <w:t>provide</w:t>
      </w:r>
      <w:r>
        <w:rPr>
          <w:spacing w:val="-4"/>
        </w:rPr>
        <w:t> </w:t>
      </w:r>
      <w:r>
        <w:rPr/>
        <w:t>the</w:t>
      </w:r>
      <w:r>
        <w:rPr>
          <w:spacing w:val="-4"/>
        </w:rPr>
        <w:t> </w:t>
      </w:r>
      <w:r>
        <w:rPr/>
        <w:t>mean</w:t>
      </w:r>
      <w:r>
        <w:rPr>
          <w:spacing w:val="-4"/>
        </w:rPr>
        <w:t> </w:t>
      </w:r>
      <w:r>
        <w:rPr/>
        <w:t>difference</w:t>
      </w:r>
      <w:r>
        <w:rPr>
          <w:spacing w:val="-4"/>
        </w:rPr>
        <w:t> </w:t>
      </w:r>
      <w:r>
        <w:rPr/>
        <w:t>(95%</w:t>
      </w:r>
      <w:r>
        <w:rPr>
          <w:spacing w:val="-4"/>
        </w:rPr>
        <w:t> </w:t>
      </w:r>
      <w:r>
        <w:rPr/>
        <w:t>confidence </w:t>
      </w:r>
      <w:r>
        <w:rPr>
          <w:spacing w:val="-2"/>
        </w:rPr>
        <w:t>intervals)</w:t>
      </w:r>
      <w:r>
        <w:rPr>
          <w:spacing w:val="-7"/>
        </w:rPr>
        <w:t> </w:t>
      </w:r>
      <w:r>
        <w:rPr>
          <w:spacing w:val="-2"/>
        </w:rPr>
        <w:t>between</w:t>
      </w:r>
      <w:r>
        <w:rPr>
          <w:spacing w:val="-5"/>
        </w:rPr>
        <w:t> </w:t>
      </w:r>
      <w:r>
        <w:rPr>
          <w:spacing w:val="-2"/>
        </w:rPr>
        <w:t>the</w:t>
      </w:r>
      <w:r>
        <w:rPr>
          <w:spacing w:val="-6"/>
        </w:rPr>
        <w:t> </w:t>
      </w:r>
      <w:r>
        <w:rPr>
          <w:spacing w:val="-2"/>
        </w:rPr>
        <w:t>columns</w:t>
      </w:r>
      <w:r>
        <w:rPr>
          <w:spacing w:val="-6"/>
        </w:rPr>
        <w:t> </w:t>
      </w:r>
      <w:r>
        <w:rPr>
          <w:spacing w:val="-2"/>
        </w:rPr>
        <w:t>and</w:t>
      </w:r>
      <w:r>
        <w:rPr>
          <w:spacing w:val="-6"/>
        </w:rPr>
        <w:t> </w:t>
      </w:r>
      <w:r>
        <w:rPr>
          <w:spacing w:val="-2"/>
        </w:rPr>
        <w:t>whether</w:t>
      </w:r>
      <w:r>
        <w:rPr>
          <w:spacing w:val="-5"/>
        </w:rPr>
        <w:t> </w:t>
      </w:r>
      <w:r>
        <w:rPr>
          <w:spacing w:val="-2"/>
        </w:rPr>
        <w:t>this</w:t>
      </w:r>
      <w:r>
        <w:rPr>
          <w:spacing w:val="-7"/>
        </w:rPr>
        <w:t> </w:t>
      </w:r>
      <w:r>
        <w:rPr>
          <w:spacing w:val="-2"/>
        </w:rPr>
        <w:t>was</w:t>
      </w:r>
      <w:r>
        <w:rPr>
          <w:spacing w:val="-6"/>
        </w:rPr>
        <w:t> </w:t>
      </w:r>
      <w:r>
        <w:rPr>
          <w:spacing w:val="-2"/>
        </w:rPr>
        <w:t>significant</w:t>
      </w:r>
      <w:r>
        <w:rPr>
          <w:spacing w:val="-5"/>
        </w:rPr>
        <w:t> </w:t>
      </w:r>
      <w:r>
        <w:rPr>
          <w:spacing w:val="-2"/>
        </w:rPr>
        <w:t>according</w:t>
      </w:r>
      <w:r>
        <w:rPr>
          <w:spacing w:val="-6"/>
        </w:rPr>
        <w:t> </w:t>
      </w:r>
      <w:r>
        <w:rPr>
          <w:spacing w:val="-2"/>
        </w:rPr>
        <w:t>to</w:t>
      </w:r>
      <w:r>
        <w:rPr>
          <w:spacing w:val="-6"/>
        </w:rPr>
        <w:t> </w:t>
      </w:r>
      <w:r>
        <w:rPr>
          <w:spacing w:val="-2"/>
        </w:rPr>
        <w:t>an</w:t>
      </w:r>
      <w:r>
        <w:rPr>
          <w:spacing w:val="-5"/>
        </w:rPr>
        <w:t> </w:t>
      </w:r>
      <w:r>
        <w:rPr>
          <w:spacing w:val="-2"/>
        </w:rPr>
        <w:t>SESOI</w:t>
      </w:r>
      <w:r>
        <w:rPr>
          <w:spacing w:val="-7"/>
        </w:rPr>
        <w:t> </w:t>
      </w:r>
      <w:r>
        <w:rPr>
          <w:spacing w:val="-5"/>
        </w:rPr>
        <w:t>of</w:t>
      </w:r>
    </w:p>
    <w:p>
      <w:pPr>
        <w:pStyle w:val="BodyText"/>
        <w:spacing w:line="252" w:lineRule="auto"/>
        <w:ind w:left="610" w:right="389"/>
        <w:jc w:val="both"/>
      </w:pPr>
      <w:r>
        <w:rPr/>
        <w:t>1.0. Combine? Indicates</w:t>
      </w:r>
      <w:r>
        <w:rPr>
          <w:spacing w:val="-1"/>
        </w:rPr>
        <w:t> </w:t>
      </w:r>
      <w:r>
        <w:rPr/>
        <w:t>whether</w:t>
      </w:r>
      <w:r>
        <w:rPr>
          <w:spacing w:val="-1"/>
        </w:rPr>
        <w:t> </w:t>
      </w:r>
      <w:r>
        <w:rPr/>
        <w:t>the column</w:t>
      </w:r>
      <w:r>
        <w:rPr>
          <w:spacing w:val="-1"/>
        </w:rPr>
        <w:t> </w:t>
      </w:r>
      <w:r>
        <w:rPr/>
        <w:t>values</w:t>
      </w:r>
      <w:r>
        <w:rPr>
          <w:spacing w:val="-1"/>
        </w:rPr>
        <w:t> </w:t>
      </w:r>
      <w:r>
        <w:rPr/>
        <w:t>were</w:t>
      </w:r>
      <w:r>
        <w:rPr>
          <w:spacing w:val="-1"/>
        </w:rPr>
        <w:t> </w:t>
      </w:r>
      <w:r>
        <w:rPr/>
        <w:t>averaged</w:t>
      </w:r>
      <w:r>
        <w:rPr>
          <w:spacing w:val="-1"/>
        </w:rPr>
        <w:t> </w:t>
      </w:r>
      <w:r>
        <w:rPr/>
        <w:t>before</w:t>
      </w:r>
      <w:r>
        <w:rPr>
          <w:spacing w:val="-1"/>
        </w:rPr>
        <w:t> </w:t>
      </w:r>
      <w:r>
        <w:rPr/>
        <w:t>comparing</w:t>
      </w:r>
      <w:r>
        <w:rPr>
          <w:spacing w:val="-1"/>
        </w:rPr>
        <w:t> </w:t>
      </w:r>
      <w:r>
        <w:rPr/>
        <w:t>to the</w:t>
      </w:r>
      <w:r>
        <w:rPr>
          <w:spacing w:val="-1"/>
        </w:rPr>
        <w:t> </w:t>
      </w:r>
      <w:r>
        <w:rPr/>
        <w:t>next</w:t>
      </w:r>
      <w:r>
        <w:rPr>
          <w:spacing w:val="-1"/>
        </w:rPr>
        <w:t> </w:t>
      </w:r>
      <w:r>
        <w:rPr/>
        <w:t>column.</w:t>
      </w:r>
      <w:r>
        <w:rPr>
          <w:spacing w:val="23"/>
        </w:rPr>
        <w:t> </w:t>
      </w:r>
      <w:r>
        <w:rPr/>
        <w:t>Comparisons</w:t>
      </w:r>
      <w:r>
        <w:rPr>
          <w:spacing w:val="-1"/>
        </w:rPr>
        <w:t> </w:t>
      </w:r>
      <w:r>
        <w:rPr/>
        <w:t>began</w:t>
      </w:r>
      <w:r>
        <w:rPr>
          <w:spacing w:val="-1"/>
        </w:rPr>
        <w:t> </w:t>
      </w:r>
      <w:r>
        <w:rPr/>
        <w:t>at</w:t>
      </w:r>
      <w:r>
        <w:rPr>
          <w:spacing w:val="-1"/>
        </w:rPr>
        <w:t> </w:t>
      </w:r>
      <w:r>
        <w:rPr/>
        <w:t>the</w:t>
      </w:r>
      <w:r>
        <w:rPr>
          <w:spacing w:val="-1"/>
        </w:rPr>
        <w:t> </w:t>
      </w:r>
      <w:r>
        <w:rPr/>
        <w:t>outermost</w:t>
      </w:r>
      <w:r>
        <w:rPr>
          <w:spacing w:val="-1"/>
        </w:rPr>
        <w:t> </w:t>
      </w:r>
      <w:r>
        <w:rPr/>
        <w:t>columns</w:t>
      </w:r>
      <w:r>
        <w:rPr>
          <w:spacing w:val="-1"/>
        </w:rPr>
        <w:t> </w:t>
      </w:r>
      <w:r>
        <w:rPr/>
        <w:t>before</w:t>
      </w:r>
      <w:r>
        <w:rPr>
          <w:spacing w:val="-1"/>
        </w:rPr>
        <w:t> </w:t>
      </w:r>
      <w:r>
        <w:rPr/>
        <w:t>progressing</w:t>
      </w:r>
      <w:r>
        <w:rPr>
          <w:spacing w:val="-1"/>
        </w:rPr>
        <w:t> </w:t>
      </w:r>
      <w:r>
        <w:rPr/>
        <w:t>more </w:t>
      </w:r>
      <w:r>
        <w:rPr>
          <w:spacing w:val="-2"/>
        </w:rPr>
        <w:t>centrally.</w:t>
      </w:r>
    </w:p>
    <w:p>
      <w:pPr>
        <w:pStyle w:val="BodyText"/>
        <w:rPr>
          <w:sz w:val="20"/>
        </w:rPr>
      </w:pPr>
    </w:p>
    <w:p>
      <w:pPr>
        <w:pStyle w:val="BodyText"/>
        <w:spacing w:before="7"/>
        <w:rPr>
          <w:sz w:val="21"/>
        </w:rPr>
      </w:pPr>
    </w:p>
    <w:tbl>
      <w:tblPr>
        <w:tblW w:w="0" w:type="auto"/>
        <w:jc w:val="left"/>
        <w:tblInd w:w="15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86"/>
        <w:gridCol w:w="1953"/>
        <w:gridCol w:w="1422"/>
        <w:gridCol w:w="1223"/>
      </w:tblGrid>
      <w:tr>
        <w:trPr>
          <w:trHeight w:val="272" w:hRule="atLeast"/>
        </w:trPr>
        <w:tc>
          <w:tcPr>
            <w:tcW w:w="1986" w:type="dxa"/>
            <w:tcBorders>
              <w:top w:val="single" w:sz="4" w:space="0" w:color="000000"/>
              <w:bottom w:val="single" w:sz="4" w:space="0" w:color="000000"/>
            </w:tcBorders>
          </w:tcPr>
          <w:p>
            <w:pPr>
              <w:pStyle w:val="TableParagraph"/>
              <w:spacing w:line="253" w:lineRule="exact"/>
              <w:ind w:left="109" w:right="109"/>
              <w:rPr>
                <w:sz w:val="24"/>
              </w:rPr>
            </w:pPr>
            <w:r>
              <w:rPr>
                <w:sz w:val="24"/>
              </w:rPr>
              <w:t>Columns</w:t>
            </w:r>
            <w:r>
              <w:rPr>
                <w:spacing w:val="-10"/>
                <w:sz w:val="24"/>
              </w:rPr>
              <w:t> </w:t>
            </w:r>
            <w:r>
              <w:rPr>
                <w:spacing w:val="-2"/>
                <w:sz w:val="24"/>
              </w:rPr>
              <w:t>included</w:t>
            </w:r>
          </w:p>
        </w:tc>
        <w:tc>
          <w:tcPr>
            <w:tcW w:w="1953" w:type="dxa"/>
            <w:tcBorders>
              <w:top w:val="single" w:sz="4" w:space="0" w:color="000000"/>
              <w:bottom w:val="single" w:sz="4" w:space="0" w:color="000000"/>
            </w:tcBorders>
          </w:tcPr>
          <w:p>
            <w:pPr>
              <w:pStyle w:val="TableParagraph"/>
              <w:spacing w:line="253" w:lineRule="exact"/>
              <w:ind w:left="453" w:right="453"/>
              <w:rPr>
                <w:sz w:val="24"/>
              </w:rPr>
            </w:pPr>
            <w:r>
              <w:rPr>
                <w:spacing w:val="-2"/>
                <w:sz w:val="24"/>
              </w:rPr>
              <w:t>Difference</w:t>
            </w:r>
          </w:p>
        </w:tc>
        <w:tc>
          <w:tcPr>
            <w:tcW w:w="1422" w:type="dxa"/>
            <w:tcBorders>
              <w:top w:val="single" w:sz="4" w:space="0" w:color="000000"/>
              <w:bottom w:val="single" w:sz="4" w:space="0" w:color="000000"/>
            </w:tcBorders>
          </w:tcPr>
          <w:p>
            <w:pPr>
              <w:pStyle w:val="TableParagraph"/>
              <w:spacing w:line="253" w:lineRule="exact"/>
              <w:ind w:left="102" w:right="103"/>
              <w:rPr>
                <w:sz w:val="24"/>
              </w:rPr>
            </w:pPr>
            <w:r>
              <w:rPr>
                <w:spacing w:val="-2"/>
                <w:sz w:val="24"/>
              </w:rPr>
              <w:t>Significance</w:t>
            </w:r>
          </w:p>
        </w:tc>
        <w:tc>
          <w:tcPr>
            <w:tcW w:w="1223" w:type="dxa"/>
            <w:tcBorders>
              <w:top w:val="single" w:sz="4" w:space="0" w:color="000000"/>
              <w:bottom w:val="single" w:sz="4" w:space="0" w:color="000000"/>
            </w:tcBorders>
          </w:tcPr>
          <w:p>
            <w:pPr>
              <w:pStyle w:val="TableParagraph"/>
              <w:spacing w:line="253" w:lineRule="exact"/>
              <w:ind w:left="105" w:right="106"/>
              <w:rPr>
                <w:sz w:val="24"/>
              </w:rPr>
            </w:pPr>
            <w:r>
              <w:rPr>
                <w:spacing w:val="-2"/>
                <w:sz w:val="24"/>
              </w:rPr>
              <w:t>Combine?</w:t>
            </w:r>
          </w:p>
        </w:tc>
      </w:tr>
      <w:tr>
        <w:trPr>
          <w:trHeight w:val="283" w:hRule="atLeast"/>
        </w:trPr>
        <w:tc>
          <w:tcPr>
            <w:tcW w:w="1986" w:type="dxa"/>
            <w:tcBorders>
              <w:top w:val="single" w:sz="4" w:space="0" w:color="000000"/>
            </w:tcBorders>
          </w:tcPr>
          <w:p>
            <w:pPr>
              <w:pStyle w:val="TableParagraph"/>
              <w:spacing w:line="249" w:lineRule="exact"/>
              <w:ind w:left="109" w:right="109"/>
              <w:rPr>
                <w:sz w:val="24"/>
              </w:rPr>
            </w:pPr>
            <w:r>
              <w:rPr>
                <w:sz w:val="24"/>
              </w:rPr>
              <w:t>2</w:t>
            </w:r>
            <w:r>
              <w:rPr>
                <w:spacing w:val="-2"/>
                <w:sz w:val="24"/>
              </w:rPr>
              <w:t> </w:t>
            </w:r>
            <w:r>
              <w:rPr>
                <w:sz w:val="24"/>
              </w:rPr>
              <w:t>-</w:t>
            </w:r>
            <w:r>
              <w:rPr>
                <w:spacing w:val="-2"/>
                <w:sz w:val="24"/>
              </w:rPr>
              <w:t> </w:t>
            </w:r>
            <w:r>
              <w:rPr>
                <w:spacing w:val="-10"/>
                <w:sz w:val="24"/>
              </w:rPr>
              <w:t>1</w:t>
            </w:r>
          </w:p>
        </w:tc>
        <w:tc>
          <w:tcPr>
            <w:tcW w:w="1953" w:type="dxa"/>
            <w:tcBorders>
              <w:top w:val="single" w:sz="4" w:space="0" w:color="000000"/>
            </w:tcBorders>
          </w:tcPr>
          <w:p>
            <w:pPr>
              <w:pStyle w:val="TableParagraph"/>
              <w:spacing w:line="249" w:lineRule="exact"/>
              <w:ind w:left="119"/>
              <w:jc w:val="left"/>
              <w:rPr>
                <w:sz w:val="24"/>
              </w:rPr>
            </w:pPr>
            <w:r>
              <w:rPr>
                <w:sz w:val="24"/>
              </w:rPr>
              <w:t>1.36</w:t>
            </w:r>
            <w:r>
              <w:rPr>
                <w:spacing w:val="-5"/>
                <w:sz w:val="24"/>
              </w:rPr>
              <w:t> </w:t>
            </w:r>
            <w:r>
              <w:rPr>
                <w:sz w:val="24"/>
              </w:rPr>
              <w:t>(1.06</w:t>
            </w:r>
            <w:r>
              <w:rPr>
                <w:spacing w:val="-4"/>
                <w:sz w:val="24"/>
              </w:rPr>
              <w:t> </w:t>
            </w:r>
            <w:r>
              <w:rPr>
                <w:sz w:val="24"/>
              </w:rPr>
              <w:t>–</w:t>
            </w:r>
            <w:r>
              <w:rPr>
                <w:spacing w:val="-5"/>
                <w:sz w:val="24"/>
              </w:rPr>
              <w:t> </w:t>
            </w:r>
            <w:r>
              <w:rPr>
                <w:spacing w:val="-2"/>
                <w:sz w:val="24"/>
              </w:rPr>
              <w:t>1.66)</w:t>
            </w:r>
          </w:p>
        </w:tc>
        <w:tc>
          <w:tcPr>
            <w:tcW w:w="1422" w:type="dxa"/>
            <w:tcBorders>
              <w:top w:val="single" w:sz="4" w:space="0" w:color="000000"/>
            </w:tcBorders>
          </w:tcPr>
          <w:p>
            <w:pPr>
              <w:pStyle w:val="TableParagraph"/>
              <w:spacing w:line="249" w:lineRule="exact"/>
              <w:ind w:left="102" w:right="103"/>
              <w:rPr>
                <w:sz w:val="24"/>
              </w:rPr>
            </w:pPr>
            <w:r>
              <w:rPr>
                <w:sz w:val="24"/>
              </w:rPr>
              <w:t>P</w:t>
            </w:r>
            <w:r>
              <w:rPr>
                <w:spacing w:val="-3"/>
                <w:sz w:val="24"/>
              </w:rPr>
              <w:t> </w:t>
            </w:r>
            <w:r>
              <w:rPr>
                <w:sz w:val="24"/>
              </w:rPr>
              <w:t>=</w:t>
            </w:r>
            <w:r>
              <w:rPr>
                <w:spacing w:val="-2"/>
                <w:sz w:val="24"/>
              </w:rPr>
              <w:t> 0.0096</w:t>
            </w:r>
          </w:p>
        </w:tc>
        <w:tc>
          <w:tcPr>
            <w:tcW w:w="1223" w:type="dxa"/>
            <w:tcBorders>
              <w:top w:val="single" w:sz="4" w:space="0" w:color="000000"/>
            </w:tcBorders>
          </w:tcPr>
          <w:p>
            <w:pPr>
              <w:pStyle w:val="TableParagraph"/>
              <w:spacing w:line="249" w:lineRule="exact"/>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3</w:t>
            </w:r>
            <w:r>
              <w:rPr>
                <w:spacing w:val="-2"/>
                <w:sz w:val="24"/>
              </w:rPr>
              <w:t> </w:t>
            </w:r>
            <w:r>
              <w:rPr>
                <w:sz w:val="24"/>
              </w:rPr>
              <w:t>-</w:t>
            </w:r>
            <w:r>
              <w:rPr>
                <w:spacing w:val="-2"/>
                <w:sz w:val="24"/>
              </w:rPr>
              <w:t> </w:t>
            </w:r>
            <w:r>
              <w:rPr>
                <w:spacing w:val="-10"/>
                <w:sz w:val="24"/>
              </w:rPr>
              <w:t>2</w:t>
            </w:r>
          </w:p>
        </w:tc>
        <w:tc>
          <w:tcPr>
            <w:tcW w:w="1953" w:type="dxa"/>
          </w:tcPr>
          <w:p>
            <w:pPr>
              <w:pStyle w:val="TableParagraph"/>
              <w:ind w:left="119"/>
              <w:jc w:val="left"/>
              <w:rPr>
                <w:sz w:val="24"/>
              </w:rPr>
            </w:pPr>
            <w:r>
              <w:rPr>
                <w:sz w:val="24"/>
              </w:rPr>
              <w:t>2.35</w:t>
            </w:r>
            <w:r>
              <w:rPr>
                <w:spacing w:val="-5"/>
                <w:sz w:val="24"/>
              </w:rPr>
              <w:t> </w:t>
            </w:r>
            <w:r>
              <w:rPr>
                <w:sz w:val="24"/>
              </w:rPr>
              <w:t>(2.06</w:t>
            </w:r>
            <w:r>
              <w:rPr>
                <w:spacing w:val="-4"/>
                <w:sz w:val="24"/>
              </w:rPr>
              <w:t> </w:t>
            </w:r>
            <w:r>
              <w:rPr>
                <w:sz w:val="24"/>
              </w:rPr>
              <w:t>–</w:t>
            </w:r>
            <w:r>
              <w:rPr>
                <w:spacing w:val="-5"/>
                <w:sz w:val="24"/>
              </w:rPr>
              <w:t> </w:t>
            </w:r>
            <w:r>
              <w:rPr>
                <w:spacing w:val="-2"/>
                <w:sz w:val="24"/>
              </w:rPr>
              <w:t>2.63)</w:t>
            </w:r>
          </w:p>
        </w:tc>
        <w:tc>
          <w:tcPr>
            <w:tcW w:w="1422" w:type="dxa"/>
          </w:tcPr>
          <w:p>
            <w:pPr>
              <w:pStyle w:val="TableParagraph"/>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4</w:t>
            </w:r>
            <w:r>
              <w:rPr>
                <w:spacing w:val="-2"/>
                <w:sz w:val="24"/>
              </w:rPr>
              <w:t> </w:t>
            </w:r>
            <w:r>
              <w:rPr>
                <w:sz w:val="24"/>
              </w:rPr>
              <w:t>-</w:t>
            </w:r>
            <w:r>
              <w:rPr>
                <w:spacing w:val="-2"/>
                <w:sz w:val="24"/>
              </w:rPr>
              <w:t> </w:t>
            </w:r>
            <w:r>
              <w:rPr>
                <w:spacing w:val="-10"/>
                <w:sz w:val="24"/>
              </w:rPr>
              <w:t>3</w:t>
            </w:r>
          </w:p>
        </w:tc>
        <w:tc>
          <w:tcPr>
            <w:tcW w:w="1953" w:type="dxa"/>
          </w:tcPr>
          <w:p>
            <w:pPr>
              <w:pStyle w:val="TableParagraph"/>
              <w:ind w:left="119"/>
              <w:jc w:val="left"/>
              <w:rPr>
                <w:sz w:val="24"/>
              </w:rPr>
            </w:pPr>
            <w:r>
              <w:rPr>
                <w:sz w:val="24"/>
              </w:rPr>
              <w:t>0.91</w:t>
            </w:r>
            <w:r>
              <w:rPr>
                <w:spacing w:val="-5"/>
                <w:sz w:val="24"/>
              </w:rPr>
              <w:t> </w:t>
            </w:r>
            <w:r>
              <w:rPr>
                <w:sz w:val="24"/>
              </w:rPr>
              <w:t>(0.62</w:t>
            </w:r>
            <w:r>
              <w:rPr>
                <w:spacing w:val="-4"/>
                <w:sz w:val="24"/>
              </w:rPr>
              <w:t> </w:t>
            </w:r>
            <w:r>
              <w:rPr>
                <w:sz w:val="24"/>
              </w:rPr>
              <w:t>–</w:t>
            </w:r>
            <w:r>
              <w:rPr>
                <w:spacing w:val="-5"/>
                <w:sz w:val="24"/>
              </w:rPr>
              <w:t> </w:t>
            </w:r>
            <w:r>
              <w:rPr>
                <w:spacing w:val="-2"/>
                <w:sz w:val="24"/>
              </w:rPr>
              <w:t>1.18)</w:t>
            </w:r>
          </w:p>
        </w:tc>
        <w:tc>
          <w:tcPr>
            <w:tcW w:w="1422" w:type="dxa"/>
          </w:tcPr>
          <w:p>
            <w:pPr>
              <w:pStyle w:val="TableParagraph"/>
              <w:ind w:left="102" w:right="103"/>
              <w:rPr>
                <w:sz w:val="24"/>
              </w:rPr>
            </w:pPr>
            <w:r>
              <w:rPr>
                <w:sz w:val="24"/>
              </w:rPr>
              <w:t>P</w:t>
            </w:r>
            <w:r>
              <w:rPr>
                <w:spacing w:val="-3"/>
                <w:sz w:val="24"/>
              </w:rPr>
              <w:t> </w:t>
            </w:r>
            <w:r>
              <w:rPr>
                <w:sz w:val="24"/>
              </w:rPr>
              <w:t>=</w:t>
            </w:r>
            <w:r>
              <w:rPr>
                <w:spacing w:val="-2"/>
                <w:sz w:val="24"/>
              </w:rPr>
              <w:t> 0.7441</w:t>
            </w:r>
          </w:p>
        </w:tc>
        <w:tc>
          <w:tcPr>
            <w:tcW w:w="1223" w:type="dxa"/>
          </w:tcPr>
          <w:p>
            <w:pPr>
              <w:pStyle w:val="TableParagraph"/>
              <w:ind w:left="105" w:right="106"/>
              <w:rPr>
                <w:sz w:val="24"/>
              </w:rPr>
            </w:pPr>
            <w:r>
              <w:rPr>
                <w:spacing w:val="-5"/>
                <w:sz w:val="24"/>
              </w:rPr>
              <w:t>Yes</w:t>
            </w:r>
          </w:p>
        </w:tc>
      </w:tr>
      <w:tr>
        <w:trPr>
          <w:trHeight w:val="288" w:hRule="atLeast"/>
        </w:trPr>
        <w:tc>
          <w:tcPr>
            <w:tcW w:w="1986" w:type="dxa"/>
          </w:tcPr>
          <w:p>
            <w:pPr>
              <w:pStyle w:val="TableParagraph"/>
              <w:ind w:left="109" w:right="109"/>
              <w:rPr>
                <w:sz w:val="24"/>
              </w:rPr>
            </w:pPr>
            <w:r>
              <w:rPr>
                <w:sz w:val="24"/>
              </w:rPr>
              <w:t>5</w:t>
            </w:r>
            <w:r>
              <w:rPr>
                <w:spacing w:val="-2"/>
                <w:sz w:val="24"/>
              </w:rPr>
              <w:t> </w:t>
            </w:r>
            <w:r>
              <w:rPr>
                <w:sz w:val="24"/>
              </w:rPr>
              <w:t>-</w:t>
            </w:r>
            <w:r>
              <w:rPr>
                <w:spacing w:val="-2"/>
                <w:sz w:val="24"/>
              </w:rPr>
              <w:t> </w:t>
            </w:r>
            <w:r>
              <w:rPr>
                <w:spacing w:val="-5"/>
                <w:sz w:val="24"/>
              </w:rPr>
              <w:t>3,4</w:t>
            </w:r>
          </w:p>
        </w:tc>
        <w:tc>
          <w:tcPr>
            <w:tcW w:w="1953" w:type="dxa"/>
          </w:tcPr>
          <w:p>
            <w:pPr>
              <w:pStyle w:val="TableParagraph"/>
              <w:ind w:left="119"/>
              <w:jc w:val="left"/>
              <w:rPr>
                <w:sz w:val="24"/>
              </w:rPr>
            </w:pPr>
            <w:r>
              <w:rPr>
                <w:sz w:val="24"/>
              </w:rPr>
              <w:t>2.00</w:t>
            </w:r>
            <w:r>
              <w:rPr>
                <w:spacing w:val="-5"/>
                <w:sz w:val="24"/>
              </w:rPr>
              <w:t> </w:t>
            </w:r>
            <w:r>
              <w:rPr>
                <w:sz w:val="24"/>
              </w:rPr>
              <w:t>(1.75</w:t>
            </w:r>
            <w:r>
              <w:rPr>
                <w:spacing w:val="-4"/>
                <w:sz w:val="24"/>
              </w:rPr>
              <w:t> </w:t>
            </w:r>
            <w:r>
              <w:rPr>
                <w:sz w:val="24"/>
              </w:rPr>
              <w:t>–</w:t>
            </w:r>
            <w:r>
              <w:rPr>
                <w:spacing w:val="-5"/>
                <w:sz w:val="24"/>
              </w:rPr>
              <w:t> </w:t>
            </w:r>
            <w:r>
              <w:rPr>
                <w:spacing w:val="-2"/>
                <w:sz w:val="24"/>
              </w:rPr>
              <w:t>2.24)</w:t>
            </w:r>
          </w:p>
        </w:tc>
        <w:tc>
          <w:tcPr>
            <w:tcW w:w="1422" w:type="dxa"/>
          </w:tcPr>
          <w:p>
            <w:pPr>
              <w:pStyle w:val="TableParagraph"/>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6</w:t>
            </w:r>
            <w:r>
              <w:rPr>
                <w:spacing w:val="-2"/>
                <w:sz w:val="24"/>
              </w:rPr>
              <w:t> </w:t>
            </w:r>
            <w:r>
              <w:rPr>
                <w:sz w:val="24"/>
              </w:rPr>
              <w:t>-</w:t>
            </w:r>
            <w:r>
              <w:rPr>
                <w:spacing w:val="-2"/>
                <w:sz w:val="24"/>
              </w:rPr>
              <w:t> </w:t>
            </w:r>
            <w:r>
              <w:rPr>
                <w:spacing w:val="-10"/>
                <w:sz w:val="24"/>
              </w:rPr>
              <w:t>5</w:t>
            </w:r>
          </w:p>
        </w:tc>
        <w:tc>
          <w:tcPr>
            <w:tcW w:w="1953" w:type="dxa"/>
          </w:tcPr>
          <w:p>
            <w:pPr>
              <w:pStyle w:val="TableParagraph"/>
              <w:ind w:left="119"/>
              <w:jc w:val="left"/>
              <w:rPr>
                <w:sz w:val="24"/>
              </w:rPr>
            </w:pPr>
            <w:r>
              <w:rPr>
                <w:sz w:val="24"/>
              </w:rPr>
              <w:t>1.72</w:t>
            </w:r>
            <w:r>
              <w:rPr>
                <w:spacing w:val="-5"/>
                <w:sz w:val="24"/>
              </w:rPr>
              <w:t> </w:t>
            </w:r>
            <w:r>
              <w:rPr>
                <w:sz w:val="24"/>
              </w:rPr>
              <w:t>(1.44</w:t>
            </w:r>
            <w:r>
              <w:rPr>
                <w:spacing w:val="-4"/>
                <w:sz w:val="24"/>
              </w:rPr>
              <w:t> </w:t>
            </w:r>
            <w:r>
              <w:rPr>
                <w:sz w:val="24"/>
              </w:rPr>
              <w:t>–</w:t>
            </w:r>
            <w:r>
              <w:rPr>
                <w:spacing w:val="-5"/>
                <w:sz w:val="24"/>
              </w:rPr>
              <w:t> </w:t>
            </w:r>
            <w:r>
              <w:rPr>
                <w:spacing w:val="-2"/>
                <w:sz w:val="24"/>
              </w:rPr>
              <w:t>2.00)</w:t>
            </w:r>
          </w:p>
        </w:tc>
        <w:tc>
          <w:tcPr>
            <w:tcW w:w="1422" w:type="dxa"/>
          </w:tcPr>
          <w:p>
            <w:pPr>
              <w:pStyle w:val="TableParagraph"/>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Pr>
          <w:p>
            <w:pPr>
              <w:pStyle w:val="TableParagraph"/>
              <w:ind w:left="105" w:right="106"/>
              <w:rPr>
                <w:sz w:val="24"/>
              </w:rPr>
            </w:pPr>
            <w:r>
              <w:rPr>
                <w:spacing w:val="-5"/>
                <w:sz w:val="24"/>
              </w:rPr>
              <w:t>No</w:t>
            </w:r>
          </w:p>
        </w:tc>
      </w:tr>
      <w:tr>
        <w:trPr>
          <w:trHeight w:val="306" w:hRule="atLeast"/>
        </w:trPr>
        <w:tc>
          <w:tcPr>
            <w:tcW w:w="1986" w:type="dxa"/>
            <w:tcBorders>
              <w:bottom w:val="single" w:sz="4" w:space="0" w:color="000000"/>
            </w:tcBorders>
          </w:tcPr>
          <w:p>
            <w:pPr>
              <w:pStyle w:val="TableParagraph"/>
              <w:spacing w:line="273" w:lineRule="exact"/>
              <w:ind w:left="109" w:right="109"/>
              <w:rPr>
                <w:sz w:val="24"/>
              </w:rPr>
            </w:pPr>
            <w:r>
              <w:rPr>
                <w:sz w:val="24"/>
              </w:rPr>
              <w:t>7</w:t>
            </w:r>
            <w:r>
              <w:rPr>
                <w:spacing w:val="-2"/>
                <w:sz w:val="24"/>
              </w:rPr>
              <w:t> </w:t>
            </w:r>
            <w:r>
              <w:rPr>
                <w:sz w:val="24"/>
              </w:rPr>
              <w:t>-</w:t>
            </w:r>
            <w:r>
              <w:rPr>
                <w:spacing w:val="-2"/>
                <w:sz w:val="24"/>
              </w:rPr>
              <w:t> </w:t>
            </w:r>
            <w:r>
              <w:rPr>
                <w:spacing w:val="-10"/>
                <w:sz w:val="24"/>
              </w:rPr>
              <w:t>6</w:t>
            </w:r>
          </w:p>
        </w:tc>
        <w:tc>
          <w:tcPr>
            <w:tcW w:w="1953" w:type="dxa"/>
            <w:tcBorders>
              <w:bottom w:val="single" w:sz="4" w:space="0" w:color="000000"/>
            </w:tcBorders>
          </w:tcPr>
          <w:p>
            <w:pPr>
              <w:pStyle w:val="TableParagraph"/>
              <w:spacing w:line="273" w:lineRule="exact"/>
              <w:ind w:left="119"/>
              <w:jc w:val="left"/>
              <w:rPr>
                <w:sz w:val="24"/>
              </w:rPr>
            </w:pPr>
            <w:r>
              <w:rPr>
                <w:sz w:val="24"/>
              </w:rPr>
              <w:t>3.38</w:t>
            </w:r>
            <w:r>
              <w:rPr>
                <w:spacing w:val="-5"/>
                <w:sz w:val="24"/>
              </w:rPr>
              <w:t> </w:t>
            </w:r>
            <w:r>
              <w:rPr>
                <w:sz w:val="24"/>
              </w:rPr>
              <w:t>(3.09</w:t>
            </w:r>
            <w:r>
              <w:rPr>
                <w:spacing w:val="-4"/>
                <w:sz w:val="24"/>
              </w:rPr>
              <w:t> </w:t>
            </w:r>
            <w:r>
              <w:rPr>
                <w:sz w:val="24"/>
              </w:rPr>
              <w:t>–</w:t>
            </w:r>
            <w:r>
              <w:rPr>
                <w:spacing w:val="-5"/>
                <w:sz w:val="24"/>
              </w:rPr>
              <w:t> </w:t>
            </w:r>
            <w:r>
              <w:rPr>
                <w:spacing w:val="-2"/>
                <w:sz w:val="24"/>
              </w:rPr>
              <w:t>3.66)</w:t>
            </w:r>
          </w:p>
        </w:tc>
        <w:tc>
          <w:tcPr>
            <w:tcW w:w="1422" w:type="dxa"/>
            <w:tcBorders>
              <w:bottom w:val="single" w:sz="4" w:space="0" w:color="000000"/>
            </w:tcBorders>
          </w:tcPr>
          <w:p>
            <w:pPr>
              <w:pStyle w:val="TableParagraph"/>
              <w:spacing w:line="275" w:lineRule="exact"/>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Borders>
              <w:bottom w:val="single" w:sz="4" w:space="0" w:color="000000"/>
            </w:tcBorders>
          </w:tcPr>
          <w:p>
            <w:pPr>
              <w:pStyle w:val="TableParagraph"/>
              <w:spacing w:line="273" w:lineRule="exact"/>
              <w:ind w:left="105" w:right="106"/>
              <w:rPr>
                <w:sz w:val="24"/>
              </w:rPr>
            </w:pPr>
            <w:r>
              <w:rPr>
                <w:spacing w:val="-5"/>
                <w:sz w:val="24"/>
              </w:rPr>
              <w:t>No</w:t>
            </w:r>
          </w:p>
        </w:tc>
      </w:tr>
    </w:tbl>
    <w:p>
      <w:pPr>
        <w:pStyle w:val="BodyText"/>
        <w:rPr>
          <w:sz w:val="20"/>
        </w:rPr>
      </w:pPr>
    </w:p>
    <w:p>
      <w:pPr>
        <w:pStyle w:val="BodyText"/>
        <w:spacing w:line="252" w:lineRule="auto" w:before="245"/>
        <w:ind w:left="610" w:right="389"/>
        <w:jc w:val="both"/>
      </w:pPr>
      <w:bookmarkStart w:name="_bookmark80" w:id="146"/>
      <w:bookmarkEnd w:id="146"/>
      <w:r>
        <w:rPr/>
      </w:r>
      <w:r>
        <w:rPr>
          <w:b/>
        </w:rPr>
        <w:t>Table</w:t>
      </w:r>
      <w:r>
        <w:rPr>
          <w:b/>
          <w:spacing w:val="-7"/>
        </w:rPr>
        <w:t> </w:t>
      </w:r>
      <w:r>
        <w:rPr>
          <w:b/>
        </w:rPr>
        <w:t>3.12: </w:t>
      </w:r>
      <w:r>
        <w:rPr/>
        <w:t>Statistical</w:t>
      </w:r>
      <w:r>
        <w:rPr>
          <w:spacing w:val="-7"/>
        </w:rPr>
        <w:t> </w:t>
      </w:r>
      <w:r>
        <w:rPr/>
        <w:t>comparison</w:t>
      </w:r>
      <w:r>
        <w:rPr>
          <w:spacing w:val="-7"/>
        </w:rPr>
        <w:t> </w:t>
      </w:r>
      <w:r>
        <w:rPr/>
        <w:t>between</w:t>
      </w:r>
      <w:r>
        <w:rPr>
          <w:spacing w:val="-7"/>
        </w:rPr>
        <w:t> </w:t>
      </w:r>
      <w:r>
        <w:rPr/>
        <w:t>rows</w:t>
      </w:r>
      <w:r>
        <w:rPr>
          <w:spacing w:val="-7"/>
        </w:rPr>
        <w:t> </w:t>
      </w:r>
      <w:r>
        <w:rPr/>
        <w:t>at</w:t>
      </w:r>
      <w:r>
        <w:rPr>
          <w:spacing w:val="-7"/>
        </w:rPr>
        <w:t> </w:t>
      </w:r>
      <w:r>
        <w:rPr/>
        <w:t>an</w:t>
      </w:r>
      <w:r>
        <w:rPr>
          <w:spacing w:val="-7"/>
        </w:rPr>
        <w:t> </w:t>
      </w:r>
      <w:r>
        <w:rPr/>
        <w:t>SESOI</w:t>
      </w:r>
      <w:r>
        <w:rPr>
          <w:spacing w:val="-7"/>
        </w:rPr>
        <w:t> </w:t>
      </w:r>
      <w:r>
        <w:rPr/>
        <w:t>of</w:t>
      </w:r>
      <w:r>
        <w:rPr>
          <w:spacing w:val="-7"/>
        </w:rPr>
        <w:t> </w:t>
      </w:r>
      <w:r>
        <w:rPr/>
        <w:t>1.0</w:t>
      </w:r>
      <w:r>
        <w:rPr>
          <w:spacing w:val="-7"/>
        </w:rPr>
        <w:t> </w:t>
      </w:r>
      <w:r>
        <w:rPr/>
        <w:t>for</w:t>
      </w:r>
      <w:r>
        <w:rPr>
          <w:spacing w:val="-7"/>
        </w:rPr>
        <w:t> </w:t>
      </w:r>
      <w:r>
        <w:rPr/>
        <w:t>EPV-19. </w:t>
      </w:r>
      <w:r>
        <w:rPr/>
        <w:t>Where numbers are separated by commas, they have been averaged within the linear mixed model.</w:t>
      </w:r>
      <w:r>
        <w:rPr>
          <w:spacing w:val="40"/>
        </w:rPr>
        <w:t> </w:t>
      </w:r>
      <w:r>
        <w:rPr/>
        <w:t>Difference and significance provide the mean difference (95% confidence in- tervals)</w:t>
      </w:r>
      <w:r>
        <w:rPr>
          <w:spacing w:val="-7"/>
        </w:rPr>
        <w:t> </w:t>
      </w:r>
      <w:r>
        <w:rPr/>
        <w:t>between</w:t>
      </w:r>
      <w:r>
        <w:rPr>
          <w:spacing w:val="-7"/>
        </w:rPr>
        <w:t> </w:t>
      </w:r>
      <w:r>
        <w:rPr/>
        <w:t>the</w:t>
      </w:r>
      <w:r>
        <w:rPr>
          <w:spacing w:val="-7"/>
        </w:rPr>
        <w:t> </w:t>
      </w:r>
      <w:r>
        <w:rPr/>
        <w:t>rows</w:t>
      </w:r>
      <w:r>
        <w:rPr>
          <w:spacing w:val="-7"/>
        </w:rPr>
        <w:t> </w:t>
      </w:r>
      <w:r>
        <w:rPr/>
        <w:t>and</w:t>
      </w:r>
      <w:r>
        <w:rPr>
          <w:spacing w:val="-7"/>
        </w:rPr>
        <w:t> </w:t>
      </w:r>
      <w:r>
        <w:rPr/>
        <w:t>whether</w:t>
      </w:r>
      <w:r>
        <w:rPr>
          <w:spacing w:val="-7"/>
        </w:rPr>
        <w:t> </w:t>
      </w:r>
      <w:r>
        <w:rPr/>
        <w:t>this</w:t>
      </w:r>
      <w:r>
        <w:rPr>
          <w:spacing w:val="-7"/>
        </w:rPr>
        <w:t> </w:t>
      </w:r>
      <w:r>
        <w:rPr/>
        <w:t>was</w:t>
      </w:r>
      <w:r>
        <w:rPr>
          <w:spacing w:val="-7"/>
        </w:rPr>
        <w:t> </w:t>
      </w:r>
      <w:r>
        <w:rPr/>
        <w:t>significant</w:t>
      </w:r>
      <w:r>
        <w:rPr>
          <w:spacing w:val="-7"/>
        </w:rPr>
        <w:t> </w:t>
      </w:r>
      <w:r>
        <w:rPr/>
        <w:t>according</w:t>
      </w:r>
      <w:r>
        <w:rPr>
          <w:spacing w:val="-7"/>
        </w:rPr>
        <w:t> </w:t>
      </w:r>
      <w:r>
        <w:rPr/>
        <w:t>to</w:t>
      </w:r>
      <w:r>
        <w:rPr>
          <w:spacing w:val="-7"/>
        </w:rPr>
        <w:t> </w:t>
      </w:r>
      <w:r>
        <w:rPr/>
        <w:t>an</w:t>
      </w:r>
      <w:r>
        <w:rPr>
          <w:spacing w:val="-7"/>
        </w:rPr>
        <w:t> </w:t>
      </w:r>
      <w:r>
        <w:rPr/>
        <w:t>SESOI</w:t>
      </w:r>
      <w:r>
        <w:rPr>
          <w:spacing w:val="-7"/>
        </w:rPr>
        <w:t> </w:t>
      </w:r>
      <w:r>
        <w:rPr/>
        <w:t>of</w:t>
      </w:r>
      <w:r>
        <w:rPr>
          <w:spacing w:val="-7"/>
        </w:rPr>
        <w:t> </w:t>
      </w:r>
      <w:r>
        <w:rPr/>
        <w:t>1.0. Combine? Indicates</w:t>
      </w:r>
      <w:r>
        <w:rPr>
          <w:spacing w:val="-4"/>
        </w:rPr>
        <w:t> </w:t>
      </w:r>
      <w:r>
        <w:rPr/>
        <w:t>whether</w:t>
      </w:r>
      <w:r>
        <w:rPr>
          <w:spacing w:val="-4"/>
        </w:rPr>
        <w:t> </w:t>
      </w:r>
      <w:r>
        <w:rPr/>
        <w:t>the</w:t>
      </w:r>
      <w:r>
        <w:rPr>
          <w:spacing w:val="-4"/>
        </w:rPr>
        <w:t> </w:t>
      </w:r>
      <w:r>
        <w:rPr/>
        <w:t>row</w:t>
      </w:r>
      <w:r>
        <w:rPr>
          <w:spacing w:val="-4"/>
        </w:rPr>
        <w:t> </w:t>
      </w:r>
      <w:r>
        <w:rPr/>
        <w:t>values</w:t>
      </w:r>
      <w:r>
        <w:rPr>
          <w:spacing w:val="-4"/>
        </w:rPr>
        <w:t> </w:t>
      </w:r>
      <w:r>
        <w:rPr/>
        <w:t>were</w:t>
      </w:r>
      <w:r>
        <w:rPr>
          <w:spacing w:val="-4"/>
        </w:rPr>
        <w:t> </w:t>
      </w:r>
      <w:r>
        <w:rPr/>
        <w:t>averaged</w:t>
      </w:r>
      <w:r>
        <w:rPr>
          <w:spacing w:val="-4"/>
        </w:rPr>
        <w:t> </w:t>
      </w:r>
      <w:r>
        <w:rPr/>
        <w:t>before</w:t>
      </w:r>
      <w:r>
        <w:rPr>
          <w:spacing w:val="-4"/>
        </w:rPr>
        <w:t> </w:t>
      </w:r>
      <w:r>
        <w:rPr/>
        <w:t>comparing</w:t>
      </w:r>
      <w:r>
        <w:rPr>
          <w:spacing w:val="-4"/>
        </w:rPr>
        <w:t> </w:t>
      </w:r>
      <w:r>
        <w:rPr/>
        <w:t>to</w:t>
      </w:r>
      <w:r>
        <w:rPr>
          <w:spacing w:val="-4"/>
        </w:rPr>
        <w:t> </w:t>
      </w:r>
      <w:r>
        <w:rPr/>
        <w:t>the</w:t>
      </w:r>
      <w:r>
        <w:rPr>
          <w:spacing w:val="-4"/>
        </w:rPr>
        <w:t> </w:t>
      </w:r>
      <w:r>
        <w:rPr/>
        <w:t>next row.</w:t>
      </w:r>
      <w:r>
        <w:rPr>
          <w:spacing w:val="40"/>
        </w:rPr>
        <w:t> </w:t>
      </w:r>
      <w:r>
        <w:rPr/>
        <w:t>Comparisons began inside the attacking teams try area before progressing up the pitch to the opposition try area.</w:t>
      </w:r>
    </w:p>
    <w:p>
      <w:pPr>
        <w:pStyle w:val="BodyText"/>
        <w:rPr>
          <w:sz w:val="20"/>
        </w:rPr>
      </w:pPr>
    </w:p>
    <w:p>
      <w:pPr>
        <w:pStyle w:val="BodyText"/>
        <w:spacing w:before="7"/>
        <w:rPr>
          <w:sz w:val="21"/>
        </w:rPr>
      </w:pPr>
    </w:p>
    <w:tbl>
      <w:tblPr>
        <w:tblW w:w="0" w:type="auto"/>
        <w:jc w:val="left"/>
        <w:tblInd w:w="16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61"/>
        <w:gridCol w:w="2191"/>
        <w:gridCol w:w="1421"/>
        <w:gridCol w:w="1222"/>
      </w:tblGrid>
      <w:tr>
        <w:trPr>
          <w:trHeight w:val="272" w:hRule="atLeast"/>
        </w:trPr>
        <w:tc>
          <w:tcPr>
            <w:tcW w:w="1661" w:type="dxa"/>
            <w:tcBorders>
              <w:top w:val="single" w:sz="4" w:space="0" w:color="000000"/>
              <w:bottom w:val="single" w:sz="4" w:space="0" w:color="000000"/>
            </w:tcBorders>
          </w:tcPr>
          <w:p>
            <w:pPr>
              <w:pStyle w:val="TableParagraph"/>
              <w:spacing w:line="253" w:lineRule="exact"/>
              <w:ind w:left="108" w:right="108"/>
              <w:rPr>
                <w:sz w:val="24"/>
              </w:rPr>
            </w:pPr>
            <w:r>
              <w:rPr>
                <w:sz w:val="24"/>
              </w:rPr>
              <w:t>Rows</w:t>
            </w:r>
            <w:r>
              <w:rPr>
                <w:spacing w:val="-13"/>
                <w:sz w:val="24"/>
              </w:rPr>
              <w:t> </w:t>
            </w:r>
            <w:r>
              <w:rPr>
                <w:spacing w:val="-2"/>
                <w:sz w:val="24"/>
              </w:rPr>
              <w:t>included</w:t>
            </w:r>
          </w:p>
        </w:tc>
        <w:tc>
          <w:tcPr>
            <w:tcW w:w="2191" w:type="dxa"/>
            <w:tcBorders>
              <w:top w:val="single" w:sz="4" w:space="0" w:color="000000"/>
              <w:bottom w:val="single" w:sz="4" w:space="0" w:color="000000"/>
            </w:tcBorders>
          </w:tcPr>
          <w:p>
            <w:pPr>
              <w:pStyle w:val="TableParagraph"/>
              <w:spacing w:line="253" w:lineRule="exact"/>
              <w:ind w:left="587"/>
              <w:jc w:val="left"/>
              <w:rPr>
                <w:sz w:val="24"/>
              </w:rPr>
            </w:pPr>
            <w:r>
              <w:rPr>
                <w:spacing w:val="-2"/>
                <w:sz w:val="24"/>
              </w:rPr>
              <w:t>Difference</w:t>
            </w:r>
          </w:p>
        </w:tc>
        <w:tc>
          <w:tcPr>
            <w:tcW w:w="1421" w:type="dxa"/>
            <w:tcBorders>
              <w:top w:val="single" w:sz="4" w:space="0" w:color="000000"/>
              <w:bottom w:val="single" w:sz="4" w:space="0" w:color="000000"/>
            </w:tcBorders>
          </w:tcPr>
          <w:p>
            <w:pPr>
              <w:pStyle w:val="TableParagraph"/>
              <w:spacing w:line="253" w:lineRule="exact"/>
              <w:ind w:left="103" w:right="102"/>
              <w:rPr>
                <w:sz w:val="24"/>
              </w:rPr>
            </w:pPr>
            <w:r>
              <w:rPr>
                <w:spacing w:val="-2"/>
                <w:sz w:val="24"/>
              </w:rPr>
              <w:t>Significance</w:t>
            </w:r>
          </w:p>
        </w:tc>
        <w:tc>
          <w:tcPr>
            <w:tcW w:w="1222" w:type="dxa"/>
            <w:tcBorders>
              <w:top w:val="single" w:sz="4" w:space="0" w:color="000000"/>
              <w:bottom w:val="single" w:sz="4" w:space="0" w:color="000000"/>
            </w:tcBorders>
          </w:tcPr>
          <w:p>
            <w:pPr>
              <w:pStyle w:val="TableParagraph"/>
              <w:spacing w:line="253" w:lineRule="exact"/>
              <w:ind w:left="106" w:right="105"/>
              <w:rPr>
                <w:sz w:val="24"/>
              </w:rPr>
            </w:pPr>
            <w:r>
              <w:rPr>
                <w:spacing w:val="-2"/>
                <w:sz w:val="24"/>
              </w:rPr>
              <w:t>Combine?</w:t>
            </w:r>
          </w:p>
        </w:tc>
      </w:tr>
      <w:tr>
        <w:trPr>
          <w:trHeight w:val="283" w:hRule="atLeast"/>
        </w:trPr>
        <w:tc>
          <w:tcPr>
            <w:tcW w:w="1661" w:type="dxa"/>
            <w:tcBorders>
              <w:top w:val="single" w:sz="4" w:space="0" w:color="000000"/>
            </w:tcBorders>
          </w:tcPr>
          <w:p>
            <w:pPr>
              <w:pStyle w:val="TableParagraph"/>
              <w:spacing w:line="249" w:lineRule="exact"/>
              <w:ind w:left="108" w:right="108"/>
              <w:rPr>
                <w:sz w:val="24"/>
              </w:rPr>
            </w:pPr>
            <w:r>
              <w:rPr>
                <w:sz w:val="24"/>
              </w:rPr>
              <w:t>2</w:t>
            </w:r>
            <w:r>
              <w:rPr>
                <w:spacing w:val="-2"/>
                <w:sz w:val="24"/>
              </w:rPr>
              <w:t> </w:t>
            </w:r>
            <w:r>
              <w:rPr>
                <w:sz w:val="24"/>
              </w:rPr>
              <w:t>-</w:t>
            </w:r>
            <w:r>
              <w:rPr>
                <w:spacing w:val="-2"/>
                <w:sz w:val="24"/>
              </w:rPr>
              <w:t> </w:t>
            </w:r>
            <w:r>
              <w:rPr>
                <w:spacing w:val="-10"/>
                <w:sz w:val="24"/>
              </w:rPr>
              <w:t>1</w:t>
            </w:r>
          </w:p>
        </w:tc>
        <w:tc>
          <w:tcPr>
            <w:tcW w:w="2191" w:type="dxa"/>
            <w:tcBorders>
              <w:top w:val="single" w:sz="4" w:space="0" w:color="000000"/>
            </w:tcBorders>
          </w:tcPr>
          <w:p>
            <w:pPr>
              <w:pStyle w:val="TableParagraph"/>
              <w:spacing w:line="249" w:lineRule="exact"/>
              <w:ind w:left="238"/>
              <w:jc w:val="left"/>
              <w:rPr>
                <w:sz w:val="24"/>
              </w:rPr>
            </w:pPr>
            <w:r>
              <w:rPr>
                <w:sz w:val="24"/>
              </w:rPr>
              <w:t>1.30</w:t>
            </w:r>
            <w:r>
              <w:rPr>
                <w:spacing w:val="-5"/>
                <w:sz w:val="24"/>
              </w:rPr>
              <w:t> </w:t>
            </w:r>
            <w:r>
              <w:rPr>
                <w:sz w:val="24"/>
              </w:rPr>
              <w:t>(0.93</w:t>
            </w:r>
            <w:r>
              <w:rPr>
                <w:spacing w:val="-4"/>
                <w:sz w:val="24"/>
              </w:rPr>
              <w:t> </w:t>
            </w:r>
            <w:r>
              <w:rPr>
                <w:sz w:val="24"/>
              </w:rPr>
              <w:t>–</w:t>
            </w:r>
            <w:r>
              <w:rPr>
                <w:spacing w:val="-5"/>
                <w:sz w:val="24"/>
              </w:rPr>
              <w:t> </w:t>
            </w:r>
            <w:r>
              <w:rPr>
                <w:spacing w:val="-2"/>
                <w:sz w:val="24"/>
              </w:rPr>
              <w:t>1.67)</w:t>
            </w:r>
          </w:p>
        </w:tc>
        <w:tc>
          <w:tcPr>
            <w:tcW w:w="1421" w:type="dxa"/>
            <w:tcBorders>
              <w:top w:val="single" w:sz="4" w:space="0" w:color="000000"/>
            </w:tcBorders>
          </w:tcPr>
          <w:p>
            <w:pPr>
              <w:pStyle w:val="TableParagraph"/>
              <w:spacing w:line="249" w:lineRule="exact"/>
              <w:ind w:left="103" w:right="102"/>
              <w:rPr>
                <w:sz w:val="24"/>
              </w:rPr>
            </w:pPr>
            <w:r>
              <w:rPr>
                <w:sz w:val="24"/>
              </w:rPr>
              <w:t>P</w:t>
            </w:r>
            <w:r>
              <w:rPr>
                <w:spacing w:val="-3"/>
                <w:sz w:val="24"/>
              </w:rPr>
              <w:t> </w:t>
            </w:r>
            <w:r>
              <w:rPr>
                <w:sz w:val="24"/>
              </w:rPr>
              <w:t>=</w:t>
            </w:r>
            <w:r>
              <w:rPr>
                <w:spacing w:val="-2"/>
                <w:sz w:val="24"/>
              </w:rPr>
              <w:t> 0.0559</w:t>
            </w:r>
          </w:p>
        </w:tc>
        <w:tc>
          <w:tcPr>
            <w:tcW w:w="1222" w:type="dxa"/>
            <w:tcBorders>
              <w:top w:val="single" w:sz="4" w:space="0" w:color="000000"/>
            </w:tcBorders>
          </w:tcPr>
          <w:p>
            <w:pPr>
              <w:pStyle w:val="TableParagraph"/>
              <w:spacing w:line="249" w:lineRule="exact"/>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3</w:t>
            </w:r>
            <w:r>
              <w:rPr>
                <w:spacing w:val="-2"/>
                <w:sz w:val="24"/>
              </w:rPr>
              <w:t> </w:t>
            </w:r>
            <w:r>
              <w:rPr>
                <w:sz w:val="24"/>
              </w:rPr>
              <w:t>-</w:t>
            </w:r>
            <w:r>
              <w:rPr>
                <w:spacing w:val="-2"/>
                <w:sz w:val="24"/>
              </w:rPr>
              <w:t> </w:t>
            </w:r>
            <w:r>
              <w:rPr>
                <w:spacing w:val="-5"/>
                <w:sz w:val="24"/>
              </w:rPr>
              <w:t>1,2</w:t>
            </w:r>
          </w:p>
        </w:tc>
        <w:tc>
          <w:tcPr>
            <w:tcW w:w="2191" w:type="dxa"/>
          </w:tcPr>
          <w:p>
            <w:pPr>
              <w:pStyle w:val="TableParagraph"/>
              <w:ind w:left="238"/>
              <w:jc w:val="left"/>
              <w:rPr>
                <w:sz w:val="24"/>
              </w:rPr>
            </w:pPr>
            <w:r>
              <w:rPr>
                <w:sz w:val="24"/>
              </w:rPr>
              <w:t>2.29</w:t>
            </w:r>
            <w:r>
              <w:rPr>
                <w:spacing w:val="-5"/>
                <w:sz w:val="24"/>
              </w:rPr>
              <w:t> </w:t>
            </w:r>
            <w:r>
              <w:rPr>
                <w:sz w:val="24"/>
              </w:rPr>
              <w:t>(2.04</w:t>
            </w:r>
            <w:r>
              <w:rPr>
                <w:spacing w:val="-4"/>
                <w:sz w:val="24"/>
              </w:rPr>
              <w:t> </w:t>
            </w:r>
            <w:r>
              <w:rPr>
                <w:sz w:val="24"/>
              </w:rPr>
              <w:t>–</w:t>
            </w:r>
            <w:r>
              <w:rPr>
                <w:spacing w:val="-5"/>
                <w:sz w:val="24"/>
              </w:rPr>
              <w:t> </w:t>
            </w:r>
            <w:r>
              <w:rPr>
                <w:spacing w:val="-2"/>
                <w:sz w:val="24"/>
              </w:rPr>
              <w:t>2.53)</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z w:val="24"/>
              </w:rPr>
              <w:t>4</w:t>
            </w:r>
            <w:r>
              <w:rPr>
                <w:spacing w:val="-2"/>
                <w:sz w:val="24"/>
              </w:rPr>
              <w:t> </w:t>
            </w:r>
            <w:r>
              <w:rPr>
                <w:sz w:val="24"/>
              </w:rPr>
              <w:t>-</w:t>
            </w:r>
            <w:r>
              <w:rPr>
                <w:spacing w:val="-2"/>
                <w:sz w:val="24"/>
              </w:rPr>
              <w:t> </w:t>
            </w:r>
            <w:r>
              <w:rPr>
                <w:spacing w:val="-10"/>
                <w:sz w:val="24"/>
              </w:rPr>
              <w:t>3</w:t>
            </w:r>
          </w:p>
        </w:tc>
        <w:tc>
          <w:tcPr>
            <w:tcW w:w="2191" w:type="dxa"/>
          </w:tcPr>
          <w:p>
            <w:pPr>
              <w:pStyle w:val="TableParagraph"/>
              <w:ind w:right="157"/>
              <w:jc w:val="right"/>
              <w:rPr>
                <w:sz w:val="24"/>
              </w:rPr>
            </w:pPr>
            <w:r>
              <w:rPr>
                <w:sz w:val="24"/>
              </w:rPr>
              <w:t>-0.07</w:t>
            </w:r>
            <w:r>
              <w:rPr>
                <w:spacing w:val="-5"/>
                <w:sz w:val="24"/>
              </w:rPr>
              <w:t> </w:t>
            </w:r>
            <w:r>
              <w:rPr>
                <w:sz w:val="24"/>
              </w:rPr>
              <w:t>(-0.30</w:t>
            </w:r>
            <w:r>
              <w:rPr>
                <w:spacing w:val="-5"/>
                <w:sz w:val="24"/>
              </w:rPr>
              <w:t> </w:t>
            </w:r>
            <w:r>
              <w:rPr>
                <w:sz w:val="24"/>
              </w:rPr>
              <w:t>–</w:t>
            </w:r>
            <w:r>
              <w:rPr>
                <w:spacing w:val="-5"/>
                <w:sz w:val="24"/>
              </w:rPr>
              <w:t> </w:t>
            </w:r>
            <w:r>
              <w:rPr>
                <w:spacing w:val="-2"/>
                <w:sz w:val="24"/>
              </w:rPr>
              <w:t>0.16)</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5</w:t>
            </w:r>
            <w:r>
              <w:rPr>
                <w:spacing w:val="-2"/>
                <w:sz w:val="24"/>
              </w:rPr>
              <w:t> </w:t>
            </w:r>
            <w:r>
              <w:rPr>
                <w:sz w:val="24"/>
              </w:rPr>
              <w:t>-</w:t>
            </w:r>
            <w:r>
              <w:rPr>
                <w:spacing w:val="-2"/>
                <w:sz w:val="24"/>
              </w:rPr>
              <w:t> </w:t>
            </w:r>
            <w:r>
              <w:rPr>
                <w:spacing w:val="-5"/>
                <w:sz w:val="24"/>
              </w:rPr>
              <w:t>3,4</w:t>
            </w:r>
          </w:p>
        </w:tc>
        <w:tc>
          <w:tcPr>
            <w:tcW w:w="2191" w:type="dxa"/>
          </w:tcPr>
          <w:p>
            <w:pPr>
              <w:pStyle w:val="TableParagraph"/>
              <w:ind w:right="117"/>
              <w:jc w:val="right"/>
              <w:rPr>
                <w:sz w:val="24"/>
              </w:rPr>
            </w:pPr>
            <w:r>
              <w:rPr>
                <w:sz w:val="24"/>
              </w:rPr>
              <w:t>-0.28</w:t>
            </w:r>
            <w:r>
              <w:rPr>
                <w:spacing w:val="-6"/>
                <w:sz w:val="24"/>
              </w:rPr>
              <w:t> </w:t>
            </w:r>
            <w:r>
              <w:rPr>
                <w:sz w:val="24"/>
              </w:rPr>
              <w:t>(-0.48</w:t>
            </w:r>
            <w:r>
              <w:rPr>
                <w:spacing w:val="-5"/>
                <w:sz w:val="24"/>
              </w:rPr>
              <w:t> </w:t>
            </w:r>
            <w:r>
              <w:rPr>
                <w:sz w:val="24"/>
              </w:rPr>
              <w:t>–</w:t>
            </w:r>
            <w:r>
              <w:rPr>
                <w:spacing w:val="-5"/>
                <w:sz w:val="24"/>
              </w:rPr>
              <w:t> </w:t>
            </w:r>
            <w:r>
              <w:rPr>
                <w:sz w:val="24"/>
              </w:rPr>
              <w:t>-</w:t>
            </w:r>
            <w:r>
              <w:rPr>
                <w:spacing w:val="-2"/>
                <w:sz w:val="24"/>
              </w:rPr>
              <w:t>0.08)</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6</w:t>
            </w:r>
            <w:r>
              <w:rPr>
                <w:spacing w:val="-2"/>
                <w:sz w:val="24"/>
              </w:rPr>
              <w:t> </w:t>
            </w:r>
            <w:r>
              <w:rPr>
                <w:sz w:val="24"/>
              </w:rPr>
              <w:t>-</w:t>
            </w:r>
            <w:r>
              <w:rPr>
                <w:spacing w:val="-2"/>
                <w:sz w:val="24"/>
              </w:rPr>
              <w:t> </w:t>
            </w:r>
            <w:r>
              <w:rPr>
                <w:spacing w:val="-4"/>
                <w:sz w:val="24"/>
              </w:rPr>
              <w:t>3,4,5</w:t>
            </w:r>
          </w:p>
        </w:tc>
        <w:tc>
          <w:tcPr>
            <w:tcW w:w="2191" w:type="dxa"/>
          </w:tcPr>
          <w:p>
            <w:pPr>
              <w:pStyle w:val="TableParagraph"/>
              <w:ind w:left="199"/>
              <w:jc w:val="left"/>
              <w:rPr>
                <w:sz w:val="24"/>
              </w:rPr>
            </w:pPr>
            <w:r>
              <w:rPr>
                <w:sz w:val="24"/>
              </w:rPr>
              <w:t>0.07</w:t>
            </w:r>
            <w:r>
              <w:rPr>
                <w:spacing w:val="-5"/>
                <w:sz w:val="24"/>
              </w:rPr>
              <w:t> </w:t>
            </w:r>
            <w:r>
              <w:rPr>
                <w:sz w:val="24"/>
              </w:rPr>
              <w:t>(-0.12</w:t>
            </w:r>
            <w:r>
              <w:rPr>
                <w:spacing w:val="-5"/>
                <w:sz w:val="24"/>
              </w:rPr>
              <w:t> </w:t>
            </w:r>
            <w:r>
              <w:rPr>
                <w:sz w:val="24"/>
              </w:rPr>
              <w:t>–</w:t>
            </w:r>
            <w:r>
              <w:rPr>
                <w:spacing w:val="-5"/>
                <w:sz w:val="24"/>
              </w:rPr>
              <w:t> </w:t>
            </w:r>
            <w:r>
              <w:rPr>
                <w:spacing w:val="-2"/>
                <w:sz w:val="24"/>
              </w:rPr>
              <w:t>0.26)</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7</w:t>
            </w:r>
            <w:r>
              <w:rPr>
                <w:spacing w:val="-2"/>
                <w:sz w:val="24"/>
              </w:rPr>
              <w:t> </w:t>
            </w:r>
            <w:r>
              <w:rPr>
                <w:sz w:val="24"/>
              </w:rPr>
              <w:t>-</w:t>
            </w:r>
            <w:r>
              <w:rPr>
                <w:spacing w:val="-2"/>
                <w:sz w:val="24"/>
              </w:rPr>
              <w:t> 3,4,5,6</w:t>
            </w:r>
          </w:p>
        </w:tc>
        <w:tc>
          <w:tcPr>
            <w:tcW w:w="2191" w:type="dxa"/>
          </w:tcPr>
          <w:p>
            <w:pPr>
              <w:pStyle w:val="TableParagraph"/>
              <w:ind w:left="238"/>
              <w:jc w:val="left"/>
              <w:rPr>
                <w:sz w:val="24"/>
              </w:rPr>
            </w:pPr>
            <w:r>
              <w:rPr>
                <w:sz w:val="24"/>
              </w:rPr>
              <w:t>0.73</w:t>
            </w:r>
            <w:r>
              <w:rPr>
                <w:spacing w:val="-5"/>
                <w:sz w:val="24"/>
              </w:rPr>
              <w:t> </w:t>
            </w:r>
            <w:r>
              <w:rPr>
                <w:sz w:val="24"/>
              </w:rPr>
              <w:t>(0.54</w:t>
            </w:r>
            <w:r>
              <w:rPr>
                <w:spacing w:val="-4"/>
                <w:sz w:val="24"/>
              </w:rPr>
              <w:t> </w:t>
            </w:r>
            <w:r>
              <w:rPr>
                <w:sz w:val="24"/>
              </w:rPr>
              <w:t>–</w:t>
            </w:r>
            <w:r>
              <w:rPr>
                <w:spacing w:val="-5"/>
                <w:sz w:val="24"/>
              </w:rPr>
              <w:t> </w:t>
            </w:r>
            <w:r>
              <w:rPr>
                <w:spacing w:val="-2"/>
                <w:sz w:val="24"/>
              </w:rPr>
              <w:t>0.91)</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0.9983</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8</w:t>
            </w:r>
            <w:r>
              <w:rPr>
                <w:spacing w:val="-2"/>
                <w:sz w:val="24"/>
              </w:rPr>
              <w:t> </w:t>
            </w:r>
            <w:r>
              <w:rPr>
                <w:sz w:val="24"/>
              </w:rPr>
              <w:t>-</w:t>
            </w:r>
            <w:r>
              <w:rPr>
                <w:spacing w:val="-2"/>
                <w:sz w:val="24"/>
              </w:rPr>
              <w:t> 3,4,5,6,7</w:t>
            </w:r>
          </w:p>
        </w:tc>
        <w:tc>
          <w:tcPr>
            <w:tcW w:w="2191" w:type="dxa"/>
          </w:tcPr>
          <w:p>
            <w:pPr>
              <w:pStyle w:val="TableParagraph"/>
              <w:ind w:left="238"/>
              <w:jc w:val="left"/>
              <w:rPr>
                <w:sz w:val="24"/>
              </w:rPr>
            </w:pPr>
            <w:r>
              <w:rPr>
                <w:sz w:val="24"/>
              </w:rPr>
              <w:t>0.56</w:t>
            </w:r>
            <w:r>
              <w:rPr>
                <w:spacing w:val="-5"/>
                <w:sz w:val="24"/>
              </w:rPr>
              <w:t> </w:t>
            </w:r>
            <w:r>
              <w:rPr>
                <w:sz w:val="24"/>
              </w:rPr>
              <w:t>(0.38</w:t>
            </w:r>
            <w:r>
              <w:rPr>
                <w:spacing w:val="-4"/>
                <w:sz w:val="24"/>
              </w:rPr>
              <w:t> </w:t>
            </w:r>
            <w:r>
              <w:rPr>
                <w:sz w:val="24"/>
              </w:rPr>
              <w:t>–</w:t>
            </w:r>
            <w:r>
              <w:rPr>
                <w:spacing w:val="-5"/>
                <w:sz w:val="24"/>
              </w:rPr>
              <w:t> </w:t>
            </w:r>
            <w:r>
              <w:rPr>
                <w:spacing w:val="-2"/>
                <w:sz w:val="24"/>
              </w:rPr>
              <w:t>0.74)</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9</w:t>
            </w:r>
            <w:r>
              <w:rPr>
                <w:spacing w:val="-2"/>
                <w:sz w:val="24"/>
              </w:rPr>
              <w:t> </w:t>
            </w:r>
            <w:r>
              <w:rPr>
                <w:sz w:val="24"/>
              </w:rPr>
              <w:t>-</w:t>
            </w:r>
            <w:r>
              <w:rPr>
                <w:spacing w:val="-2"/>
                <w:sz w:val="24"/>
              </w:rPr>
              <w:t> 3,4,5,6,7,8</w:t>
            </w:r>
          </w:p>
        </w:tc>
        <w:tc>
          <w:tcPr>
            <w:tcW w:w="2191" w:type="dxa"/>
          </w:tcPr>
          <w:p>
            <w:pPr>
              <w:pStyle w:val="TableParagraph"/>
              <w:ind w:left="238"/>
              <w:jc w:val="left"/>
              <w:rPr>
                <w:sz w:val="24"/>
              </w:rPr>
            </w:pPr>
            <w:r>
              <w:rPr>
                <w:sz w:val="24"/>
              </w:rPr>
              <w:t>1.72</w:t>
            </w:r>
            <w:r>
              <w:rPr>
                <w:spacing w:val="-5"/>
                <w:sz w:val="24"/>
              </w:rPr>
              <w:t> </w:t>
            </w:r>
            <w:r>
              <w:rPr>
                <w:sz w:val="24"/>
              </w:rPr>
              <w:t>(1.54</w:t>
            </w:r>
            <w:r>
              <w:rPr>
                <w:spacing w:val="-4"/>
                <w:sz w:val="24"/>
              </w:rPr>
              <w:t> </w:t>
            </w:r>
            <w:r>
              <w:rPr>
                <w:sz w:val="24"/>
              </w:rPr>
              <w:t>–</w:t>
            </w:r>
            <w:r>
              <w:rPr>
                <w:spacing w:val="-5"/>
                <w:sz w:val="24"/>
              </w:rPr>
              <w:t> </w:t>
            </w:r>
            <w:r>
              <w:rPr>
                <w:spacing w:val="-2"/>
                <w:sz w:val="24"/>
              </w:rPr>
              <w:t>1.89)</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z w:val="24"/>
              </w:rPr>
              <w:t>10</w:t>
            </w:r>
            <w:r>
              <w:rPr>
                <w:spacing w:val="-3"/>
                <w:sz w:val="24"/>
              </w:rPr>
              <w:t> </w:t>
            </w:r>
            <w:r>
              <w:rPr>
                <w:sz w:val="24"/>
              </w:rPr>
              <w:t>-</w:t>
            </w:r>
            <w:r>
              <w:rPr>
                <w:spacing w:val="-3"/>
                <w:sz w:val="24"/>
              </w:rPr>
              <w:t> </w:t>
            </w:r>
            <w:r>
              <w:rPr>
                <w:spacing w:val="-10"/>
                <w:sz w:val="24"/>
              </w:rPr>
              <w:t>9</w:t>
            </w:r>
          </w:p>
        </w:tc>
        <w:tc>
          <w:tcPr>
            <w:tcW w:w="2191" w:type="dxa"/>
          </w:tcPr>
          <w:p>
            <w:pPr>
              <w:pStyle w:val="TableParagraph"/>
              <w:ind w:left="238"/>
              <w:jc w:val="left"/>
              <w:rPr>
                <w:sz w:val="24"/>
              </w:rPr>
            </w:pPr>
            <w:r>
              <w:rPr>
                <w:sz w:val="24"/>
              </w:rPr>
              <w:t>2.82</w:t>
            </w:r>
            <w:r>
              <w:rPr>
                <w:spacing w:val="-5"/>
                <w:sz w:val="24"/>
              </w:rPr>
              <w:t> </w:t>
            </w:r>
            <w:r>
              <w:rPr>
                <w:sz w:val="24"/>
              </w:rPr>
              <w:t>(2.59</w:t>
            </w:r>
            <w:r>
              <w:rPr>
                <w:spacing w:val="-4"/>
                <w:sz w:val="24"/>
              </w:rPr>
              <w:t> </w:t>
            </w:r>
            <w:r>
              <w:rPr>
                <w:sz w:val="24"/>
              </w:rPr>
              <w:t>–</w:t>
            </w:r>
            <w:r>
              <w:rPr>
                <w:spacing w:val="-5"/>
                <w:sz w:val="24"/>
              </w:rPr>
              <w:t> </w:t>
            </w:r>
            <w:r>
              <w:rPr>
                <w:spacing w:val="-2"/>
                <w:sz w:val="24"/>
              </w:rPr>
              <w:t>3.05)</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pacing w:val="-2"/>
                <w:sz w:val="24"/>
              </w:rPr>
              <w:t>11-</w:t>
            </w:r>
            <w:r>
              <w:rPr>
                <w:spacing w:val="-7"/>
                <w:sz w:val="24"/>
              </w:rPr>
              <w:t>10</w:t>
            </w:r>
          </w:p>
        </w:tc>
        <w:tc>
          <w:tcPr>
            <w:tcW w:w="2191" w:type="dxa"/>
          </w:tcPr>
          <w:p>
            <w:pPr>
              <w:pStyle w:val="TableParagraph"/>
              <w:ind w:left="238"/>
              <w:jc w:val="left"/>
              <w:rPr>
                <w:sz w:val="24"/>
              </w:rPr>
            </w:pPr>
            <w:r>
              <w:rPr>
                <w:sz w:val="24"/>
              </w:rPr>
              <w:t>1.06</w:t>
            </w:r>
            <w:r>
              <w:rPr>
                <w:spacing w:val="-5"/>
                <w:sz w:val="24"/>
              </w:rPr>
              <w:t> </w:t>
            </w:r>
            <w:r>
              <w:rPr>
                <w:sz w:val="24"/>
              </w:rPr>
              <w:t>(0.82</w:t>
            </w:r>
            <w:r>
              <w:rPr>
                <w:spacing w:val="-4"/>
                <w:sz w:val="24"/>
              </w:rPr>
              <w:t> </w:t>
            </w:r>
            <w:r>
              <w:rPr>
                <w:sz w:val="24"/>
              </w:rPr>
              <w:t>–</w:t>
            </w:r>
            <w:r>
              <w:rPr>
                <w:spacing w:val="-5"/>
                <w:sz w:val="24"/>
              </w:rPr>
              <w:t> </w:t>
            </w:r>
            <w:r>
              <w:rPr>
                <w:spacing w:val="-2"/>
                <w:sz w:val="24"/>
              </w:rPr>
              <w:t>1.29)</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0.3333</w:t>
            </w:r>
          </w:p>
        </w:tc>
        <w:tc>
          <w:tcPr>
            <w:tcW w:w="1222" w:type="dxa"/>
          </w:tcPr>
          <w:p>
            <w:pPr>
              <w:pStyle w:val="TableParagraph"/>
              <w:ind w:left="106" w:right="105"/>
              <w:rPr>
                <w:sz w:val="24"/>
              </w:rPr>
            </w:pPr>
            <w:r>
              <w:rPr>
                <w:spacing w:val="-5"/>
                <w:sz w:val="24"/>
              </w:rPr>
              <w:t>Yes</w:t>
            </w:r>
          </w:p>
        </w:tc>
      </w:tr>
    </w:tbl>
    <w:p>
      <w:pPr>
        <w:spacing w:after="0"/>
        <w:rPr>
          <w:sz w:val="24"/>
        </w:rPr>
        <w:sectPr>
          <w:pgSz w:w="11910" w:h="16840"/>
          <w:pgMar w:header="1961" w:footer="3033" w:top="2280" w:bottom="32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81" w:id="147"/>
      <w:bookmarkEnd w:id="147"/>
      <w:r>
        <w:rPr/>
      </w:r>
      <w:r>
        <w:rPr>
          <w:b/>
        </w:rPr>
        <w:t>Table 3.13:</w:t>
      </w:r>
      <w:r>
        <w:rPr>
          <w:b/>
          <w:spacing w:val="40"/>
        </w:rPr>
        <w:t> </w:t>
      </w:r>
      <w:r>
        <w:rPr/>
        <w:t>Statistical comparison between columns at an SESOI of 1.5 for </w:t>
      </w:r>
      <w:r>
        <w:rPr/>
        <w:t>EPV-13. Where numbers are separated by commas, they have been averaged within the linear mixed</w:t>
      </w:r>
      <w:r>
        <w:rPr>
          <w:spacing w:val="-4"/>
        </w:rPr>
        <w:t> </w:t>
      </w:r>
      <w:r>
        <w:rPr/>
        <w:t>model.</w:t>
      </w:r>
      <w:r>
        <w:rPr>
          <w:spacing w:val="20"/>
        </w:rPr>
        <w:t> </w:t>
      </w:r>
      <w:r>
        <w:rPr/>
        <w:t>Difference</w:t>
      </w:r>
      <w:r>
        <w:rPr>
          <w:spacing w:val="-4"/>
        </w:rPr>
        <w:t> </w:t>
      </w:r>
      <w:r>
        <w:rPr/>
        <w:t>and</w:t>
      </w:r>
      <w:r>
        <w:rPr>
          <w:spacing w:val="-4"/>
        </w:rPr>
        <w:t> </w:t>
      </w:r>
      <w:r>
        <w:rPr/>
        <w:t>significance</w:t>
      </w:r>
      <w:r>
        <w:rPr>
          <w:spacing w:val="-4"/>
        </w:rPr>
        <w:t> </w:t>
      </w:r>
      <w:r>
        <w:rPr/>
        <w:t>provide</w:t>
      </w:r>
      <w:r>
        <w:rPr>
          <w:spacing w:val="-4"/>
        </w:rPr>
        <w:t> </w:t>
      </w:r>
      <w:r>
        <w:rPr/>
        <w:t>the</w:t>
      </w:r>
      <w:r>
        <w:rPr>
          <w:spacing w:val="-4"/>
        </w:rPr>
        <w:t> </w:t>
      </w:r>
      <w:r>
        <w:rPr/>
        <w:t>mean</w:t>
      </w:r>
      <w:r>
        <w:rPr>
          <w:spacing w:val="-4"/>
        </w:rPr>
        <w:t> </w:t>
      </w:r>
      <w:r>
        <w:rPr/>
        <w:t>difference</w:t>
      </w:r>
      <w:r>
        <w:rPr>
          <w:spacing w:val="-4"/>
        </w:rPr>
        <w:t> </w:t>
      </w:r>
      <w:r>
        <w:rPr/>
        <w:t>(95%</w:t>
      </w:r>
      <w:r>
        <w:rPr>
          <w:spacing w:val="-4"/>
        </w:rPr>
        <w:t> </w:t>
      </w:r>
      <w:r>
        <w:rPr/>
        <w:t>confidence </w:t>
      </w:r>
      <w:r>
        <w:rPr>
          <w:spacing w:val="-2"/>
        </w:rPr>
        <w:t>intervals)</w:t>
      </w:r>
      <w:r>
        <w:rPr>
          <w:spacing w:val="-7"/>
        </w:rPr>
        <w:t> </w:t>
      </w:r>
      <w:r>
        <w:rPr>
          <w:spacing w:val="-2"/>
        </w:rPr>
        <w:t>between</w:t>
      </w:r>
      <w:r>
        <w:rPr>
          <w:spacing w:val="-5"/>
        </w:rPr>
        <w:t> </w:t>
      </w:r>
      <w:r>
        <w:rPr>
          <w:spacing w:val="-2"/>
        </w:rPr>
        <w:t>the</w:t>
      </w:r>
      <w:r>
        <w:rPr>
          <w:spacing w:val="-6"/>
        </w:rPr>
        <w:t> </w:t>
      </w:r>
      <w:r>
        <w:rPr>
          <w:spacing w:val="-2"/>
        </w:rPr>
        <w:t>columns</w:t>
      </w:r>
      <w:r>
        <w:rPr>
          <w:spacing w:val="-6"/>
        </w:rPr>
        <w:t> </w:t>
      </w:r>
      <w:r>
        <w:rPr>
          <w:spacing w:val="-2"/>
        </w:rPr>
        <w:t>and</w:t>
      </w:r>
      <w:r>
        <w:rPr>
          <w:spacing w:val="-6"/>
        </w:rPr>
        <w:t> </w:t>
      </w:r>
      <w:r>
        <w:rPr>
          <w:spacing w:val="-2"/>
        </w:rPr>
        <w:t>whether</w:t>
      </w:r>
      <w:r>
        <w:rPr>
          <w:spacing w:val="-5"/>
        </w:rPr>
        <w:t> </w:t>
      </w:r>
      <w:r>
        <w:rPr>
          <w:spacing w:val="-2"/>
        </w:rPr>
        <w:t>this</w:t>
      </w:r>
      <w:r>
        <w:rPr>
          <w:spacing w:val="-7"/>
        </w:rPr>
        <w:t> </w:t>
      </w:r>
      <w:r>
        <w:rPr>
          <w:spacing w:val="-2"/>
        </w:rPr>
        <w:t>was</w:t>
      </w:r>
      <w:r>
        <w:rPr>
          <w:spacing w:val="-6"/>
        </w:rPr>
        <w:t> </w:t>
      </w:r>
      <w:r>
        <w:rPr>
          <w:spacing w:val="-2"/>
        </w:rPr>
        <w:t>significant</w:t>
      </w:r>
      <w:r>
        <w:rPr>
          <w:spacing w:val="-5"/>
        </w:rPr>
        <w:t> </w:t>
      </w:r>
      <w:r>
        <w:rPr>
          <w:spacing w:val="-2"/>
        </w:rPr>
        <w:t>according</w:t>
      </w:r>
      <w:r>
        <w:rPr>
          <w:spacing w:val="-6"/>
        </w:rPr>
        <w:t> </w:t>
      </w:r>
      <w:r>
        <w:rPr>
          <w:spacing w:val="-2"/>
        </w:rPr>
        <w:t>to</w:t>
      </w:r>
      <w:r>
        <w:rPr>
          <w:spacing w:val="-6"/>
        </w:rPr>
        <w:t> </w:t>
      </w:r>
      <w:r>
        <w:rPr>
          <w:spacing w:val="-2"/>
        </w:rPr>
        <w:t>an</w:t>
      </w:r>
      <w:r>
        <w:rPr>
          <w:spacing w:val="-5"/>
        </w:rPr>
        <w:t> </w:t>
      </w:r>
      <w:r>
        <w:rPr>
          <w:spacing w:val="-2"/>
        </w:rPr>
        <w:t>SESOI</w:t>
      </w:r>
      <w:r>
        <w:rPr>
          <w:spacing w:val="-7"/>
        </w:rPr>
        <w:t> </w:t>
      </w:r>
      <w:r>
        <w:rPr>
          <w:spacing w:val="-5"/>
        </w:rPr>
        <w:t>of</w:t>
      </w:r>
    </w:p>
    <w:p>
      <w:pPr>
        <w:pStyle w:val="BodyText"/>
        <w:spacing w:line="252" w:lineRule="auto"/>
        <w:ind w:left="610" w:right="389"/>
        <w:jc w:val="both"/>
      </w:pPr>
      <w:r>
        <w:rPr/>
        <w:t>1.5. Combine? Indicates</w:t>
      </w:r>
      <w:r>
        <w:rPr>
          <w:spacing w:val="-1"/>
        </w:rPr>
        <w:t> </w:t>
      </w:r>
      <w:r>
        <w:rPr/>
        <w:t>whether</w:t>
      </w:r>
      <w:r>
        <w:rPr>
          <w:spacing w:val="-1"/>
        </w:rPr>
        <w:t> </w:t>
      </w:r>
      <w:r>
        <w:rPr/>
        <w:t>the column</w:t>
      </w:r>
      <w:r>
        <w:rPr>
          <w:spacing w:val="-1"/>
        </w:rPr>
        <w:t> </w:t>
      </w:r>
      <w:r>
        <w:rPr/>
        <w:t>values</w:t>
      </w:r>
      <w:r>
        <w:rPr>
          <w:spacing w:val="-1"/>
        </w:rPr>
        <w:t> </w:t>
      </w:r>
      <w:r>
        <w:rPr/>
        <w:t>were</w:t>
      </w:r>
      <w:r>
        <w:rPr>
          <w:spacing w:val="-1"/>
        </w:rPr>
        <w:t> </w:t>
      </w:r>
      <w:r>
        <w:rPr/>
        <w:t>averaged</w:t>
      </w:r>
      <w:r>
        <w:rPr>
          <w:spacing w:val="-1"/>
        </w:rPr>
        <w:t> </w:t>
      </w:r>
      <w:r>
        <w:rPr/>
        <w:t>before</w:t>
      </w:r>
      <w:r>
        <w:rPr>
          <w:spacing w:val="-1"/>
        </w:rPr>
        <w:t> </w:t>
      </w:r>
      <w:r>
        <w:rPr/>
        <w:t>comparing</w:t>
      </w:r>
      <w:r>
        <w:rPr>
          <w:spacing w:val="-1"/>
        </w:rPr>
        <w:t> </w:t>
      </w:r>
      <w:r>
        <w:rPr/>
        <w:t>to the</w:t>
      </w:r>
      <w:r>
        <w:rPr>
          <w:spacing w:val="-1"/>
        </w:rPr>
        <w:t> </w:t>
      </w:r>
      <w:r>
        <w:rPr/>
        <w:t>next</w:t>
      </w:r>
      <w:r>
        <w:rPr>
          <w:spacing w:val="-1"/>
        </w:rPr>
        <w:t> </w:t>
      </w:r>
      <w:r>
        <w:rPr/>
        <w:t>column.</w:t>
      </w:r>
      <w:r>
        <w:rPr>
          <w:spacing w:val="23"/>
        </w:rPr>
        <w:t> </w:t>
      </w:r>
      <w:r>
        <w:rPr/>
        <w:t>Comparisons</w:t>
      </w:r>
      <w:r>
        <w:rPr>
          <w:spacing w:val="-1"/>
        </w:rPr>
        <w:t> </w:t>
      </w:r>
      <w:r>
        <w:rPr/>
        <w:t>began</w:t>
      </w:r>
      <w:r>
        <w:rPr>
          <w:spacing w:val="-1"/>
        </w:rPr>
        <w:t> </w:t>
      </w:r>
      <w:r>
        <w:rPr/>
        <w:t>at</w:t>
      </w:r>
      <w:r>
        <w:rPr>
          <w:spacing w:val="-1"/>
        </w:rPr>
        <w:t> </w:t>
      </w:r>
      <w:r>
        <w:rPr/>
        <w:t>the</w:t>
      </w:r>
      <w:r>
        <w:rPr>
          <w:spacing w:val="-1"/>
        </w:rPr>
        <w:t> </w:t>
      </w:r>
      <w:r>
        <w:rPr/>
        <w:t>outermost</w:t>
      </w:r>
      <w:r>
        <w:rPr>
          <w:spacing w:val="-1"/>
        </w:rPr>
        <w:t> </w:t>
      </w:r>
      <w:r>
        <w:rPr/>
        <w:t>columns</w:t>
      </w:r>
      <w:r>
        <w:rPr>
          <w:spacing w:val="-1"/>
        </w:rPr>
        <w:t> </w:t>
      </w:r>
      <w:r>
        <w:rPr/>
        <w:t>before</w:t>
      </w:r>
      <w:r>
        <w:rPr>
          <w:spacing w:val="-1"/>
        </w:rPr>
        <w:t> </w:t>
      </w:r>
      <w:r>
        <w:rPr/>
        <w:t>progressing</w:t>
      </w:r>
      <w:r>
        <w:rPr>
          <w:spacing w:val="-1"/>
        </w:rPr>
        <w:t> </w:t>
      </w:r>
      <w:r>
        <w:rPr/>
        <w:t>more </w:t>
      </w:r>
      <w:r>
        <w:rPr>
          <w:spacing w:val="-2"/>
        </w:rPr>
        <w:t>centrally.</w:t>
      </w:r>
    </w:p>
    <w:p>
      <w:pPr>
        <w:pStyle w:val="BodyText"/>
        <w:rPr>
          <w:sz w:val="20"/>
        </w:rPr>
      </w:pPr>
    </w:p>
    <w:p>
      <w:pPr>
        <w:pStyle w:val="BodyText"/>
        <w:spacing w:before="7"/>
        <w:rPr>
          <w:sz w:val="21"/>
        </w:rPr>
      </w:pPr>
    </w:p>
    <w:tbl>
      <w:tblPr>
        <w:tblW w:w="0" w:type="auto"/>
        <w:jc w:val="left"/>
        <w:tblInd w:w="15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86"/>
        <w:gridCol w:w="1953"/>
        <w:gridCol w:w="1422"/>
        <w:gridCol w:w="1223"/>
      </w:tblGrid>
      <w:tr>
        <w:trPr>
          <w:trHeight w:val="272" w:hRule="atLeast"/>
        </w:trPr>
        <w:tc>
          <w:tcPr>
            <w:tcW w:w="1986" w:type="dxa"/>
            <w:tcBorders>
              <w:top w:val="single" w:sz="4" w:space="0" w:color="000000"/>
              <w:bottom w:val="single" w:sz="4" w:space="0" w:color="000000"/>
            </w:tcBorders>
          </w:tcPr>
          <w:p>
            <w:pPr>
              <w:pStyle w:val="TableParagraph"/>
              <w:spacing w:line="253" w:lineRule="exact"/>
              <w:ind w:left="109" w:right="109"/>
              <w:rPr>
                <w:sz w:val="24"/>
              </w:rPr>
            </w:pPr>
            <w:r>
              <w:rPr>
                <w:sz w:val="24"/>
              </w:rPr>
              <w:t>Columns</w:t>
            </w:r>
            <w:r>
              <w:rPr>
                <w:spacing w:val="-10"/>
                <w:sz w:val="24"/>
              </w:rPr>
              <w:t> </w:t>
            </w:r>
            <w:r>
              <w:rPr>
                <w:spacing w:val="-2"/>
                <w:sz w:val="24"/>
              </w:rPr>
              <w:t>included</w:t>
            </w:r>
          </w:p>
        </w:tc>
        <w:tc>
          <w:tcPr>
            <w:tcW w:w="1953" w:type="dxa"/>
            <w:tcBorders>
              <w:top w:val="single" w:sz="4" w:space="0" w:color="000000"/>
              <w:bottom w:val="single" w:sz="4" w:space="0" w:color="000000"/>
            </w:tcBorders>
          </w:tcPr>
          <w:p>
            <w:pPr>
              <w:pStyle w:val="TableParagraph"/>
              <w:spacing w:line="253" w:lineRule="exact"/>
              <w:ind w:left="453" w:right="453"/>
              <w:rPr>
                <w:sz w:val="24"/>
              </w:rPr>
            </w:pPr>
            <w:r>
              <w:rPr>
                <w:spacing w:val="-2"/>
                <w:sz w:val="24"/>
              </w:rPr>
              <w:t>Difference</w:t>
            </w:r>
          </w:p>
        </w:tc>
        <w:tc>
          <w:tcPr>
            <w:tcW w:w="1422" w:type="dxa"/>
            <w:tcBorders>
              <w:top w:val="single" w:sz="4" w:space="0" w:color="000000"/>
              <w:bottom w:val="single" w:sz="4" w:space="0" w:color="000000"/>
            </w:tcBorders>
          </w:tcPr>
          <w:p>
            <w:pPr>
              <w:pStyle w:val="TableParagraph"/>
              <w:spacing w:line="253" w:lineRule="exact"/>
              <w:ind w:left="102" w:right="103"/>
              <w:rPr>
                <w:sz w:val="24"/>
              </w:rPr>
            </w:pPr>
            <w:r>
              <w:rPr>
                <w:spacing w:val="-2"/>
                <w:sz w:val="24"/>
              </w:rPr>
              <w:t>Significance</w:t>
            </w:r>
          </w:p>
        </w:tc>
        <w:tc>
          <w:tcPr>
            <w:tcW w:w="1223" w:type="dxa"/>
            <w:tcBorders>
              <w:top w:val="single" w:sz="4" w:space="0" w:color="000000"/>
              <w:bottom w:val="single" w:sz="4" w:space="0" w:color="000000"/>
            </w:tcBorders>
          </w:tcPr>
          <w:p>
            <w:pPr>
              <w:pStyle w:val="TableParagraph"/>
              <w:spacing w:line="253" w:lineRule="exact"/>
              <w:ind w:left="105" w:right="106"/>
              <w:rPr>
                <w:sz w:val="24"/>
              </w:rPr>
            </w:pPr>
            <w:r>
              <w:rPr>
                <w:spacing w:val="-2"/>
                <w:sz w:val="24"/>
              </w:rPr>
              <w:t>Combine?</w:t>
            </w:r>
          </w:p>
        </w:tc>
      </w:tr>
      <w:tr>
        <w:trPr>
          <w:trHeight w:val="283" w:hRule="atLeast"/>
        </w:trPr>
        <w:tc>
          <w:tcPr>
            <w:tcW w:w="1986" w:type="dxa"/>
            <w:tcBorders>
              <w:top w:val="single" w:sz="4" w:space="0" w:color="000000"/>
            </w:tcBorders>
          </w:tcPr>
          <w:p>
            <w:pPr>
              <w:pStyle w:val="TableParagraph"/>
              <w:spacing w:line="249" w:lineRule="exact"/>
              <w:ind w:left="109" w:right="109"/>
              <w:rPr>
                <w:sz w:val="24"/>
              </w:rPr>
            </w:pPr>
            <w:r>
              <w:rPr>
                <w:sz w:val="24"/>
              </w:rPr>
              <w:t>2</w:t>
            </w:r>
            <w:r>
              <w:rPr>
                <w:spacing w:val="-2"/>
                <w:sz w:val="24"/>
              </w:rPr>
              <w:t> </w:t>
            </w:r>
            <w:r>
              <w:rPr>
                <w:sz w:val="24"/>
              </w:rPr>
              <w:t>-</w:t>
            </w:r>
            <w:r>
              <w:rPr>
                <w:spacing w:val="-2"/>
                <w:sz w:val="24"/>
              </w:rPr>
              <w:t> </w:t>
            </w:r>
            <w:r>
              <w:rPr>
                <w:spacing w:val="-10"/>
                <w:sz w:val="24"/>
              </w:rPr>
              <w:t>1</w:t>
            </w:r>
          </w:p>
        </w:tc>
        <w:tc>
          <w:tcPr>
            <w:tcW w:w="1953" w:type="dxa"/>
            <w:tcBorders>
              <w:top w:val="single" w:sz="4" w:space="0" w:color="000000"/>
            </w:tcBorders>
          </w:tcPr>
          <w:p>
            <w:pPr>
              <w:pStyle w:val="TableParagraph"/>
              <w:spacing w:line="249" w:lineRule="exact"/>
              <w:ind w:left="119"/>
              <w:jc w:val="left"/>
              <w:rPr>
                <w:sz w:val="24"/>
              </w:rPr>
            </w:pPr>
            <w:r>
              <w:rPr>
                <w:sz w:val="24"/>
              </w:rPr>
              <w:t>1.36</w:t>
            </w:r>
            <w:r>
              <w:rPr>
                <w:spacing w:val="-5"/>
                <w:sz w:val="24"/>
              </w:rPr>
              <w:t> </w:t>
            </w:r>
            <w:r>
              <w:rPr>
                <w:sz w:val="24"/>
              </w:rPr>
              <w:t>(1.06</w:t>
            </w:r>
            <w:r>
              <w:rPr>
                <w:spacing w:val="-4"/>
                <w:sz w:val="24"/>
              </w:rPr>
              <w:t> </w:t>
            </w:r>
            <w:r>
              <w:rPr>
                <w:sz w:val="24"/>
              </w:rPr>
              <w:t>–</w:t>
            </w:r>
            <w:r>
              <w:rPr>
                <w:spacing w:val="-5"/>
                <w:sz w:val="24"/>
              </w:rPr>
              <w:t> </w:t>
            </w:r>
            <w:r>
              <w:rPr>
                <w:spacing w:val="-2"/>
                <w:sz w:val="24"/>
              </w:rPr>
              <w:t>1.66)</w:t>
            </w:r>
          </w:p>
        </w:tc>
        <w:tc>
          <w:tcPr>
            <w:tcW w:w="1422" w:type="dxa"/>
            <w:tcBorders>
              <w:top w:val="single" w:sz="4" w:space="0" w:color="000000"/>
            </w:tcBorders>
          </w:tcPr>
          <w:p>
            <w:pPr>
              <w:pStyle w:val="TableParagraph"/>
              <w:spacing w:line="249" w:lineRule="exact"/>
              <w:ind w:left="102" w:right="103"/>
              <w:rPr>
                <w:sz w:val="24"/>
              </w:rPr>
            </w:pPr>
            <w:r>
              <w:rPr>
                <w:sz w:val="24"/>
              </w:rPr>
              <w:t>P</w:t>
            </w:r>
            <w:r>
              <w:rPr>
                <w:spacing w:val="-3"/>
                <w:sz w:val="24"/>
              </w:rPr>
              <w:t> </w:t>
            </w:r>
            <w:r>
              <w:rPr>
                <w:sz w:val="24"/>
              </w:rPr>
              <w:t>=</w:t>
            </w:r>
            <w:r>
              <w:rPr>
                <w:spacing w:val="-2"/>
                <w:sz w:val="24"/>
              </w:rPr>
              <w:t> 0.8165</w:t>
            </w:r>
          </w:p>
        </w:tc>
        <w:tc>
          <w:tcPr>
            <w:tcW w:w="1223" w:type="dxa"/>
            <w:tcBorders>
              <w:top w:val="single" w:sz="4" w:space="0" w:color="000000"/>
            </w:tcBorders>
          </w:tcPr>
          <w:p>
            <w:pPr>
              <w:pStyle w:val="TableParagraph"/>
              <w:spacing w:line="249" w:lineRule="exact"/>
              <w:ind w:left="105" w:right="106"/>
              <w:rPr>
                <w:sz w:val="24"/>
              </w:rPr>
            </w:pPr>
            <w:r>
              <w:rPr>
                <w:spacing w:val="-5"/>
                <w:sz w:val="24"/>
              </w:rPr>
              <w:t>Yes</w:t>
            </w:r>
          </w:p>
        </w:tc>
      </w:tr>
      <w:tr>
        <w:trPr>
          <w:trHeight w:val="288" w:hRule="atLeast"/>
        </w:trPr>
        <w:tc>
          <w:tcPr>
            <w:tcW w:w="1986" w:type="dxa"/>
          </w:tcPr>
          <w:p>
            <w:pPr>
              <w:pStyle w:val="TableParagraph"/>
              <w:ind w:left="109" w:right="109"/>
              <w:rPr>
                <w:sz w:val="24"/>
              </w:rPr>
            </w:pPr>
            <w:r>
              <w:rPr>
                <w:sz w:val="24"/>
              </w:rPr>
              <w:t>3</w:t>
            </w:r>
            <w:r>
              <w:rPr>
                <w:spacing w:val="-2"/>
                <w:sz w:val="24"/>
              </w:rPr>
              <w:t> </w:t>
            </w:r>
            <w:r>
              <w:rPr>
                <w:sz w:val="24"/>
              </w:rPr>
              <w:t>-</w:t>
            </w:r>
            <w:r>
              <w:rPr>
                <w:spacing w:val="-2"/>
                <w:sz w:val="24"/>
              </w:rPr>
              <w:t> </w:t>
            </w:r>
            <w:r>
              <w:rPr>
                <w:spacing w:val="-5"/>
                <w:sz w:val="24"/>
              </w:rPr>
              <w:t>1,2</w:t>
            </w:r>
          </w:p>
        </w:tc>
        <w:tc>
          <w:tcPr>
            <w:tcW w:w="1953" w:type="dxa"/>
          </w:tcPr>
          <w:p>
            <w:pPr>
              <w:pStyle w:val="TableParagraph"/>
              <w:ind w:left="119"/>
              <w:jc w:val="left"/>
              <w:rPr>
                <w:sz w:val="24"/>
              </w:rPr>
            </w:pPr>
            <w:r>
              <w:rPr>
                <w:sz w:val="24"/>
              </w:rPr>
              <w:t>3.03</w:t>
            </w:r>
            <w:r>
              <w:rPr>
                <w:spacing w:val="-5"/>
                <w:sz w:val="24"/>
              </w:rPr>
              <w:t> </w:t>
            </w:r>
            <w:r>
              <w:rPr>
                <w:sz w:val="24"/>
              </w:rPr>
              <w:t>(2.78</w:t>
            </w:r>
            <w:r>
              <w:rPr>
                <w:spacing w:val="-4"/>
                <w:sz w:val="24"/>
              </w:rPr>
              <w:t> </w:t>
            </w:r>
            <w:r>
              <w:rPr>
                <w:sz w:val="24"/>
              </w:rPr>
              <w:t>–</w:t>
            </w:r>
            <w:r>
              <w:rPr>
                <w:spacing w:val="-5"/>
                <w:sz w:val="24"/>
              </w:rPr>
              <w:t> </w:t>
            </w:r>
            <w:r>
              <w:rPr>
                <w:spacing w:val="-2"/>
                <w:sz w:val="24"/>
              </w:rPr>
              <w:t>3.28)</w:t>
            </w:r>
          </w:p>
        </w:tc>
        <w:tc>
          <w:tcPr>
            <w:tcW w:w="1422" w:type="dxa"/>
          </w:tcPr>
          <w:p>
            <w:pPr>
              <w:pStyle w:val="TableParagraph"/>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4</w:t>
            </w:r>
            <w:r>
              <w:rPr>
                <w:spacing w:val="-2"/>
                <w:sz w:val="24"/>
              </w:rPr>
              <w:t> </w:t>
            </w:r>
            <w:r>
              <w:rPr>
                <w:sz w:val="24"/>
              </w:rPr>
              <w:t>-</w:t>
            </w:r>
            <w:r>
              <w:rPr>
                <w:spacing w:val="-2"/>
                <w:sz w:val="24"/>
              </w:rPr>
              <w:t> </w:t>
            </w:r>
            <w:r>
              <w:rPr>
                <w:spacing w:val="-10"/>
                <w:sz w:val="24"/>
              </w:rPr>
              <w:t>3</w:t>
            </w:r>
          </w:p>
        </w:tc>
        <w:tc>
          <w:tcPr>
            <w:tcW w:w="1953" w:type="dxa"/>
          </w:tcPr>
          <w:p>
            <w:pPr>
              <w:pStyle w:val="TableParagraph"/>
              <w:ind w:left="119"/>
              <w:jc w:val="left"/>
              <w:rPr>
                <w:sz w:val="24"/>
              </w:rPr>
            </w:pPr>
            <w:r>
              <w:rPr>
                <w:sz w:val="24"/>
              </w:rPr>
              <w:t>0.91</w:t>
            </w:r>
            <w:r>
              <w:rPr>
                <w:spacing w:val="-5"/>
                <w:sz w:val="24"/>
              </w:rPr>
              <w:t> </w:t>
            </w:r>
            <w:r>
              <w:rPr>
                <w:sz w:val="24"/>
              </w:rPr>
              <w:t>(0.62</w:t>
            </w:r>
            <w:r>
              <w:rPr>
                <w:spacing w:val="-4"/>
                <w:sz w:val="24"/>
              </w:rPr>
              <w:t> </w:t>
            </w:r>
            <w:r>
              <w:rPr>
                <w:sz w:val="24"/>
              </w:rPr>
              <w:t>–</w:t>
            </w:r>
            <w:r>
              <w:rPr>
                <w:spacing w:val="-5"/>
                <w:sz w:val="24"/>
              </w:rPr>
              <w:t> </w:t>
            </w:r>
            <w:r>
              <w:rPr>
                <w:spacing w:val="-2"/>
                <w:sz w:val="24"/>
              </w:rPr>
              <w:t>1.18)</w:t>
            </w:r>
          </w:p>
        </w:tc>
        <w:tc>
          <w:tcPr>
            <w:tcW w:w="1422" w:type="dxa"/>
          </w:tcPr>
          <w:p>
            <w:pPr>
              <w:pStyle w:val="TableParagraph"/>
              <w:ind w:left="102" w:right="103"/>
              <w:rPr>
                <w:sz w:val="24"/>
              </w:rPr>
            </w:pPr>
            <w:r>
              <w:rPr>
                <w:sz w:val="24"/>
              </w:rPr>
              <w:t>P</w:t>
            </w:r>
            <w:r>
              <w:rPr>
                <w:spacing w:val="-3"/>
                <w:sz w:val="24"/>
              </w:rPr>
              <w:t> </w:t>
            </w:r>
            <w:r>
              <w:rPr>
                <w:sz w:val="24"/>
              </w:rPr>
              <w:t>=</w:t>
            </w:r>
            <w:r>
              <w:rPr>
                <w:spacing w:val="-2"/>
                <w:sz w:val="24"/>
              </w:rPr>
              <w:t> 1.000</w:t>
            </w:r>
          </w:p>
        </w:tc>
        <w:tc>
          <w:tcPr>
            <w:tcW w:w="1223" w:type="dxa"/>
          </w:tcPr>
          <w:p>
            <w:pPr>
              <w:pStyle w:val="TableParagraph"/>
              <w:ind w:left="105" w:right="106"/>
              <w:rPr>
                <w:sz w:val="24"/>
              </w:rPr>
            </w:pPr>
            <w:r>
              <w:rPr>
                <w:spacing w:val="-5"/>
                <w:sz w:val="24"/>
              </w:rPr>
              <w:t>Yes</w:t>
            </w:r>
          </w:p>
        </w:tc>
      </w:tr>
      <w:tr>
        <w:trPr>
          <w:trHeight w:val="288" w:hRule="atLeast"/>
        </w:trPr>
        <w:tc>
          <w:tcPr>
            <w:tcW w:w="1986" w:type="dxa"/>
          </w:tcPr>
          <w:p>
            <w:pPr>
              <w:pStyle w:val="TableParagraph"/>
              <w:ind w:left="109" w:right="109"/>
              <w:rPr>
                <w:sz w:val="24"/>
              </w:rPr>
            </w:pPr>
            <w:r>
              <w:rPr>
                <w:sz w:val="24"/>
              </w:rPr>
              <w:t>5</w:t>
            </w:r>
            <w:r>
              <w:rPr>
                <w:spacing w:val="-2"/>
                <w:sz w:val="24"/>
              </w:rPr>
              <w:t> </w:t>
            </w:r>
            <w:r>
              <w:rPr>
                <w:sz w:val="24"/>
              </w:rPr>
              <w:t>-</w:t>
            </w:r>
            <w:r>
              <w:rPr>
                <w:spacing w:val="-2"/>
                <w:sz w:val="24"/>
              </w:rPr>
              <w:t> </w:t>
            </w:r>
            <w:r>
              <w:rPr>
                <w:spacing w:val="-5"/>
                <w:sz w:val="24"/>
              </w:rPr>
              <w:t>3,4</w:t>
            </w:r>
          </w:p>
        </w:tc>
        <w:tc>
          <w:tcPr>
            <w:tcW w:w="1953" w:type="dxa"/>
          </w:tcPr>
          <w:p>
            <w:pPr>
              <w:pStyle w:val="TableParagraph"/>
              <w:ind w:left="119"/>
              <w:jc w:val="left"/>
              <w:rPr>
                <w:sz w:val="24"/>
              </w:rPr>
            </w:pPr>
            <w:r>
              <w:rPr>
                <w:sz w:val="24"/>
              </w:rPr>
              <w:t>2.00</w:t>
            </w:r>
            <w:r>
              <w:rPr>
                <w:spacing w:val="-5"/>
                <w:sz w:val="24"/>
              </w:rPr>
              <w:t> </w:t>
            </w:r>
            <w:r>
              <w:rPr>
                <w:sz w:val="24"/>
              </w:rPr>
              <w:t>(1.75</w:t>
            </w:r>
            <w:r>
              <w:rPr>
                <w:spacing w:val="-4"/>
                <w:sz w:val="24"/>
              </w:rPr>
              <w:t> </w:t>
            </w:r>
            <w:r>
              <w:rPr>
                <w:sz w:val="24"/>
              </w:rPr>
              <w:t>–</w:t>
            </w:r>
            <w:r>
              <w:rPr>
                <w:spacing w:val="-5"/>
                <w:sz w:val="24"/>
              </w:rPr>
              <w:t> </w:t>
            </w:r>
            <w:r>
              <w:rPr>
                <w:spacing w:val="-2"/>
                <w:sz w:val="24"/>
              </w:rPr>
              <w:t>2.24)</w:t>
            </w:r>
          </w:p>
        </w:tc>
        <w:tc>
          <w:tcPr>
            <w:tcW w:w="1422" w:type="dxa"/>
          </w:tcPr>
          <w:p>
            <w:pPr>
              <w:pStyle w:val="TableParagraph"/>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6</w:t>
            </w:r>
            <w:r>
              <w:rPr>
                <w:spacing w:val="-2"/>
                <w:sz w:val="24"/>
              </w:rPr>
              <w:t> </w:t>
            </w:r>
            <w:r>
              <w:rPr>
                <w:sz w:val="24"/>
              </w:rPr>
              <w:t>-</w:t>
            </w:r>
            <w:r>
              <w:rPr>
                <w:spacing w:val="-2"/>
                <w:sz w:val="24"/>
              </w:rPr>
              <w:t> </w:t>
            </w:r>
            <w:r>
              <w:rPr>
                <w:spacing w:val="-10"/>
                <w:sz w:val="24"/>
              </w:rPr>
              <w:t>5</w:t>
            </w:r>
          </w:p>
        </w:tc>
        <w:tc>
          <w:tcPr>
            <w:tcW w:w="1953" w:type="dxa"/>
          </w:tcPr>
          <w:p>
            <w:pPr>
              <w:pStyle w:val="TableParagraph"/>
              <w:ind w:left="119"/>
              <w:jc w:val="left"/>
              <w:rPr>
                <w:sz w:val="24"/>
              </w:rPr>
            </w:pPr>
            <w:r>
              <w:rPr>
                <w:sz w:val="24"/>
              </w:rPr>
              <w:t>1.72</w:t>
            </w:r>
            <w:r>
              <w:rPr>
                <w:spacing w:val="-5"/>
                <w:sz w:val="24"/>
              </w:rPr>
              <w:t> </w:t>
            </w:r>
            <w:r>
              <w:rPr>
                <w:sz w:val="24"/>
              </w:rPr>
              <w:t>(1.44</w:t>
            </w:r>
            <w:r>
              <w:rPr>
                <w:spacing w:val="-4"/>
                <w:sz w:val="24"/>
              </w:rPr>
              <w:t> </w:t>
            </w:r>
            <w:r>
              <w:rPr>
                <w:sz w:val="24"/>
              </w:rPr>
              <w:t>–</w:t>
            </w:r>
            <w:r>
              <w:rPr>
                <w:spacing w:val="-5"/>
                <w:sz w:val="24"/>
              </w:rPr>
              <w:t> </w:t>
            </w:r>
            <w:r>
              <w:rPr>
                <w:spacing w:val="-2"/>
                <w:sz w:val="24"/>
              </w:rPr>
              <w:t>2.00)</w:t>
            </w:r>
          </w:p>
        </w:tc>
        <w:tc>
          <w:tcPr>
            <w:tcW w:w="1422" w:type="dxa"/>
          </w:tcPr>
          <w:p>
            <w:pPr>
              <w:pStyle w:val="TableParagraph"/>
              <w:ind w:left="102" w:right="103"/>
              <w:rPr>
                <w:sz w:val="24"/>
              </w:rPr>
            </w:pPr>
            <w:r>
              <w:rPr>
                <w:sz w:val="24"/>
              </w:rPr>
              <w:t>P</w:t>
            </w:r>
            <w:r>
              <w:rPr>
                <w:spacing w:val="-3"/>
                <w:sz w:val="24"/>
              </w:rPr>
              <w:t> </w:t>
            </w:r>
            <w:r>
              <w:rPr>
                <w:sz w:val="24"/>
              </w:rPr>
              <w:t>=</w:t>
            </w:r>
            <w:r>
              <w:rPr>
                <w:spacing w:val="-2"/>
                <w:sz w:val="24"/>
              </w:rPr>
              <w:t> 0.0614</w:t>
            </w:r>
          </w:p>
        </w:tc>
        <w:tc>
          <w:tcPr>
            <w:tcW w:w="1223" w:type="dxa"/>
          </w:tcPr>
          <w:p>
            <w:pPr>
              <w:pStyle w:val="TableParagraph"/>
              <w:ind w:left="105" w:right="106"/>
              <w:rPr>
                <w:sz w:val="24"/>
              </w:rPr>
            </w:pPr>
            <w:r>
              <w:rPr>
                <w:spacing w:val="-5"/>
                <w:sz w:val="24"/>
              </w:rPr>
              <w:t>Yes</w:t>
            </w:r>
          </w:p>
        </w:tc>
      </w:tr>
      <w:tr>
        <w:trPr>
          <w:trHeight w:val="306" w:hRule="atLeast"/>
        </w:trPr>
        <w:tc>
          <w:tcPr>
            <w:tcW w:w="1986" w:type="dxa"/>
            <w:tcBorders>
              <w:bottom w:val="single" w:sz="4" w:space="0" w:color="000000"/>
            </w:tcBorders>
          </w:tcPr>
          <w:p>
            <w:pPr>
              <w:pStyle w:val="TableParagraph"/>
              <w:spacing w:line="273" w:lineRule="exact"/>
              <w:ind w:left="109" w:right="109"/>
              <w:rPr>
                <w:sz w:val="24"/>
              </w:rPr>
            </w:pPr>
            <w:r>
              <w:rPr>
                <w:sz w:val="24"/>
              </w:rPr>
              <w:t>7</w:t>
            </w:r>
            <w:r>
              <w:rPr>
                <w:spacing w:val="-3"/>
                <w:sz w:val="24"/>
              </w:rPr>
              <w:t> </w:t>
            </w:r>
            <w:r>
              <w:rPr>
                <w:sz w:val="24"/>
              </w:rPr>
              <w:t>–</w:t>
            </w:r>
            <w:r>
              <w:rPr>
                <w:spacing w:val="-2"/>
                <w:sz w:val="24"/>
              </w:rPr>
              <w:t> </w:t>
            </w:r>
            <w:r>
              <w:rPr>
                <w:spacing w:val="-5"/>
                <w:sz w:val="24"/>
              </w:rPr>
              <w:t>5,6</w:t>
            </w:r>
          </w:p>
        </w:tc>
        <w:tc>
          <w:tcPr>
            <w:tcW w:w="1953" w:type="dxa"/>
            <w:tcBorders>
              <w:bottom w:val="single" w:sz="4" w:space="0" w:color="000000"/>
            </w:tcBorders>
          </w:tcPr>
          <w:p>
            <w:pPr>
              <w:pStyle w:val="TableParagraph"/>
              <w:spacing w:line="273" w:lineRule="exact"/>
              <w:ind w:left="119"/>
              <w:jc w:val="left"/>
              <w:rPr>
                <w:sz w:val="24"/>
              </w:rPr>
            </w:pPr>
            <w:r>
              <w:rPr>
                <w:sz w:val="24"/>
              </w:rPr>
              <w:t>4.24</w:t>
            </w:r>
            <w:r>
              <w:rPr>
                <w:spacing w:val="-5"/>
                <w:sz w:val="24"/>
              </w:rPr>
              <w:t> </w:t>
            </w:r>
            <w:r>
              <w:rPr>
                <w:sz w:val="24"/>
              </w:rPr>
              <w:t>(4.00</w:t>
            </w:r>
            <w:r>
              <w:rPr>
                <w:spacing w:val="-4"/>
                <w:sz w:val="24"/>
              </w:rPr>
              <w:t> </w:t>
            </w:r>
            <w:r>
              <w:rPr>
                <w:sz w:val="24"/>
              </w:rPr>
              <w:t>–</w:t>
            </w:r>
            <w:r>
              <w:rPr>
                <w:spacing w:val="-5"/>
                <w:sz w:val="24"/>
              </w:rPr>
              <w:t> </w:t>
            </w:r>
            <w:r>
              <w:rPr>
                <w:spacing w:val="-2"/>
                <w:sz w:val="24"/>
              </w:rPr>
              <w:t>4.48)</w:t>
            </w:r>
          </w:p>
        </w:tc>
        <w:tc>
          <w:tcPr>
            <w:tcW w:w="1422" w:type="dxa"/>
            <w:tcBorders>
              <w:bottom w:val="single" w:sz="4" w:space="0" w:color="000000"/>
            </w:tcBorders>
          </w:tcPr>
          <w:p>
            <w:pPr>
              <w:pStyle w:val="TableParagraph"/>
              <w:spacing w:line="275" w:lineRule="exact"/>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Borders>
              <w:bottom w:val="single" w:sz="4" w:space="0" w:color="000000"/>
            </w:tcBorders>
          </w:tcPr>
          <w:p>
            <w:pPr>
              <w:pStyle w:val="TableParagraph"/>
              <w:spacing w:line="273" w:lineRule="exact"/>
              <w:ind w:left="105" w:right="106"/>
              <w:rPr>
                <w:sz w:val="24"/>
              </w:rPr>
            </w:pPr>
            <w:r>
              <w:rPr>
                <w:spacing w:val="-5"/>
                <w:sz w:val="24"/>
              </w:rPr>
              <w:t>No</w:t>
            </w:r>
          </w:p>
        </w:tc>
      </w:tr>
    </w:tbl>
    <w:p>
      <w:pPr>
        <w:pStyle w:val="BodyText"/>
        <w:rPr>
          <w:sz w:val="20"/>
        </w:rPr>
      </w:pPr>
    </w:p>
    <w:p>
      <w:pPr>
        <w:pStyle w:val="BodyText"/>
        <w:spacing w:line="252" w:lineRule="auto" w:before="245"/>
        <w:ind w:left="610" w:right="389"/>
        <w:jc w:val="both"/>
      </w:pPr>
      <w:bookmarkStart w:name="_bookmark82" w:id="148"/>
      <w:bookmarkEnd w:id="148"/>
      <w:r>
        <w:rPr/>
      </w:r>
      <w:r>
        <w:rPr>
          <w:b/>
        </w:rPr>
        <w:t>Table</w:t>
      </w:r>
      <w:r>
        <w:rPr>
          <w:b/>
          <w:spacing w:val="-7"/>
        </w:rPr>
        <w:t> </w:t>
      </w:r>
      <w:r>
        <w:rPr>
          <w:b/>
        </w:rPr>
        <w:t>3.14: </w:t>
      </w:r>
      <w:r>
        <w:rPr/>
        <w:t>Statistical</w:t>
      </w:r>
      <w:r>
        <w:rPr>
          <w:spacing w:val="-7"/>
        </w:rPr>
        <w:t> </w:t>
      </w:r>
      <w:r>
        <w:rPr/>
        <w:t>comparison</w:t>
      </w:r>
      <w:r>
        <w:rPr>
          <w:spacing w:val="-7"/>
        </w:rPr>
        <w:t> </w:t>
      </w:r>
      <w:r>
        <w:rPr/>
        <w:t>between</w:t>
      </w:r>
      <w:r>
        <w:rPr>
          <w:spacing w:val="-7"/>
        </w:rPr>
        <w:t> </w:t>
      </w:r>
      <w:r>
        <w:rPr/>
        <w:t>rows</w:t>
      </w:r>
      <w:r>
        <w:rPr>
          <w:spacing w:val="-7"/>
        </w:rPr>
        <w:t> </w:t>
      </w:r>
      <w:r>
        <w:rPr/>
        <w:t>at</w:t>
      </w:r>
      <w:r>
        <w:rPr>
          <w:spacing w:val="-7"/>
        </w:rPr>
        <w:t> </w:t>
      </w:r>
      <w:r>
        <w:rPr/>
        <w:t>an</w:t>
      </w:r>
      <w:r>
        <w:rPr>
          <w:spacing w:val="-7"/>
        </w:rPr>
        <w:t> </w:t>
      </w:r>
      <w:r>
        <w:rPr/>
        <w:t>SESOI</w:t>
      </w:r>
      <w:r>
        <w:rPr>
          <w:spacing w:val="-7"/>
        </w:rPr>
        <w:t> </w:t>
      </w:r>
      <w:r>
        <w:rPr/>
        <w:t>of</w:t>
      </w:r>
      <w:r>
        <w:rPr>
          <w:spacing w:val="-7"/>
        </w:rPr>
        <w:t> </w:t>
      </w:r>
      <w:r>
        <w:rPr/>
        <w:t>1.5</w:t>
      </w:r>
      <w:r>
        <w:rPr>
          <w:spacing w:val="-7"/>
        </w:rPr>
        <w:t> </w:t>
      </w:r>
      <w:r>
        <w:rPr/>
        <w:t>for</w:t>
      </w:r>
      <w:r>
        <w:rPr>
          <w:spacing w:val="-7"/>
        </w:rPr>
        <w:t> </w:t>
      </w:r>
      <w:r>
        <w:rPr/>
        <w:t>EPV-13. </w:t>
      </w:r>
      <w:r>
        <w:rPr/>
        <w:t>Where numbers are separated by commas, they have been averaged within the linear mixed model.</w:t>
      </w:r>
      <w:r>
        <w:rPr>
          <w:spacing w:val="40"/>
        </w:rPr>
        <w:t> </w:t>
      </w:r>
      <w:r>
        <w:rPr/>
        <w:t>Difference and significance provide the mean difference (95% confidence in- tervals)</w:t>
      </w:r>
      <w:r>
        <w:rPr>
          <w:spacing w:val="-7"/>
        </w:rPr>
        <w:t> </w:t>
      </w:r>
      <w:r>
        <w:rPr/>
        <w:t>between</w:t>
      </w:r>
      <w:r>
        <w:rPr>
          <w:spacing w:val="-7"/>
        </w:rPr>
        <w:t> </w:t>
      </w:r>
      <w:r>
        <w:rPr/>
        <w:t>the</w:t>
      </w:r>
      <w:r>
        <w:rPr>
          <w:spacing w:val="-7"/>
        </w:rPr>
        <w:t> </w:t>
      </w:r>
      <w:r>
        <w:rPr/>
        <w:t>rows</w:t>
      </w:r>
      <w:r>
        <w:rPr>
          <w:spacing w:val="-7"/>
        </w:rPr>
        <w:t> </w:t>
      </w:r>
      <w:r>
        <w:rPr/>
        <w:t>and</w:t>
      </w:r>
      <w:r>
        <w:rPr>
          <w:spacing w:val="-7"/>
        </w:rPr>
        <w:t> </w:t>
      </w:r>
      <w:r>
        <w:rPr/>
        <w:t>whether</w:t>
      </w:r>
      <w:r>
        <w:rPr>
          <w:spacing w:val="-7"/>
        </w:rPr>
        <w:t> </w:t>
      </w:r>
      <w:r>
        <w:rPr/>
        <w:t>this</w:t>
      </w:r>
      <w:r>
        <w:rPr>
          <w:spacing w:val="-7"/>
        </w:rPr>
        <w:t> </w:t>
      </w:r>
      <w:r>
        <w:rPr/>
        <w:t>was</w:t>
      </w:r>
      <w:r>
        <w:rPr>
          <w:spacing w:val="-7"/>
        </w:rPr>
        <w:t> </w:t>
      </w:r>
      <w:r>
        <w:rPr/>
        <w:t>significant</w:t>
      </w:r>
      <w:r>
        <w:rPr>
          <w:spacing w:val="-7"/>
        </w:rPr>
        <w:t> </w:t>
      </w:r>
      <w:r>
        <w:rPr/>
        <w:t>according</w:t>
      </w:r>
      <w:r>
        <w:rPr>
          <w:spacing w:val="-7"/>
        </w:rPr>
        <w:t> </w:t>
      </w:r>
      <w:r>
        <w:rPr/>
        <w:t>to</w:t>
      </w:r>
      <w:r>
        <w:rPr>
          <w:spacing w:val="-7"/>
        </w:rPr>
        <w:t> </w:t>
      </w:r>
      <w:r>
        <w:rPr/>
        <w:t>an</w:t>
      </w:r>
      <w:r>
        <w:rPr>
          <w:spacing w:val="-7"/>
        </w:rPr>
        <w:t> </w:t>
      </w:r>
      <w:r>
        <w:rPr/>
        <w:t>SESOI</w:t>
      </w:r>
      <w:r>
        <w:rPr>
          <w:spacing w:val="-7"/>
        </w:rPr>
        <w:t> </w:t>
      </w:r>
      <w:r>
        <w:rPr/>
        <w:t>of</w:t>
      </w:r>
      <w:r>
        <w:rPr>
          <w:spacing w:val="-7"/>
        </w:rPr>
        <w:t> </w:t>
      </w:r>
      <w:r>
        <w:rPr/>
        <w:t>1.5. Combine? Indicates</w:t>
      </w:r>
      <w:r>
        <w:rPr>
          <w:spacing w:val="-4"/>
        </w:rPr>
        <w:t> </w:t>
      </w:r>
      <w:r>
        <w:rPr/>
        <w:t>whether</w:t>
      </w:r>
      <w:r>
        <w:rPr>
          <w:spacing w:val="-4"/>
        </w:rPr>
        <w:t> </w:t>
      </w:r>
      <w:r>
        <w:rPr/>
        <w:t>the</w:t>
      </w:r>
      <w:r>
        <w:rPr>
          <w:spacing w:val="-4"/>
        </w:rPr>
        <w:t> </w:t>
      </w:r>
      <w:r>
        <w:rPr/>
        <w:t>row</w:t>
      </w:r>
      <w:r>
        <w:rPr>
          <w:spacing w:val="-4"/>
        </w:rPr>
        <w:t> </w:t>
      </w:r>
      <w:r>
        <w:rPr/>
        <w:t>values</w:t>
      </w:r>
      <w:r>
        <w:rPr>
          <w:spacing w:val="-4"/>
        </w:rPr>
        <w:t> </w:t>
      </w:r>
      <w:r>
        <w:rPr/>
        <w:t>were</w:t>
      </w:r>
      <w:r>
        <w:rPr>
          <w:spacing w:val="-4"/>
        </w:rPr>
        <w:t> </w:t>
      </w:r>
      <w:r>
        <w:rPr/>
        <w:t>averaged</w:t>
      </w:r>
      <w:r>
        <w:rPr>
          <w:spacing w:val="-4"/>
        </w:rPr>
        <w:t> </w:t>
      </w:r>
      <w:r>
        <w:rPr/>
        <w:t>before</w:t>
      </w:r>
      <w:r>
        <w:rPr>
          <w:spacing w:val="-4"/>
        </w:rPr>
        <w:t> </w:t>
      </w:r>
      <w:r>
        <w:rPr/>
        <w:t>comparing</w:t>
      </w:r>
      <w:r>
        <w:rPr>
          <w:spacing w:val="-4"/>
        </w:rPr>
        <w:t> </w:t>
      </w:r>
      <w:r>
        <w:rPr/>
        <w:t>to</w:t>
      </w:r>
      <w:r>
        <w:rPr>
          <w:spacing w:val="-4"/>
        </w:rPr>
        <w:t> </w:t>
      </w:r>
      <w:r>
        <w:rPr/>
        <w:t>the</w:t>
      </w:r>
      <w:r>
        <w:rPr>
          <w:spacing w:val="-4"/>
        </w:rPr>
        <w:t> </w:t>
      </w:r>
      <w:r>
        <w:rPr/>
        <w:t>next row.</w:t>
      </w:r>
      <w:r>
        <w:rPr>
          <w:spacing w:val="40"/>
        </w:rPr>
        <w:t> </w:t>
      </w:r>
      <w:r>
        <w:rPr/>
        <w:t>Comparisons began inside the attacking teams try area before progressing up the pitch to the opposition try area.</w:t>
      </w:r>
    </w:p>
    <w:p>
      <w:pPr>
        <w:pStyle w:val="BodyText"/>
        <w:rPr>
          <w:sz w:val="20"/>
        </w:rPr>
      </w:pPr>
    </w:p>
    <w:p>
      <w:pPr>
        <w:pStyle w:val="BodyText"/>
        <w:spacing w:before="7"/>
        <w:rPr>
          <w:sz w:val="21"/>
        </w:rPr>
      </w:pPr>
    </w:p>
    <w:tbl>
      <w:tblPr>
        <w:tblW w:w="0" w:type="auto"/>
        <w:jc w:val="left"/>
        <w:tblInd w:w="16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61"/>
        <w:gridCol w:w="2191"/>
        <w:gridCol w:w="1421"/>
        <w:gridCol w:w="1222"/>
      </w:tblGrid>
      <w:tr>
        <w:trPr>
          <w:trHeight w:val="272" w:hRule="atLeast"/>
        </w:trPr>
        <w:tc>
          <w:tcPr>
            <w:tcW w:w="1661" w:type="dxa"/>
            <w:tcBorders>
              <w:top w:val="single" w:sz="4" w:space="0" w:color="000000"/>
              <w:bottom w:val="single" w:sz="4" w:space="0" w:color="000000"/>
            </w:tcBorders>
          </w:tcPr>
          <w:p>
            <w:pPr>
              <w:pStyle w:val="TableParagraph"/>
              <w:spacing w:line="253" w:lineRule="exact"/>
              <w:ind w:left="108" w:right="108"/>
              <w:rPr>
                <w:sz w:val="24"/>
              </w:rPr>
            </w:pPr>
            <w:r>
              <w:rPr>
                <w:sz w:val="24"/>
              </w:rPr>
              <w:t>Rows</w:t>
            </w:r>
            <w:r>
              <w:rPr>
                <w:spacing w:val="-13"/>
                <w:sz w:val="24"/>
              </w:rPr>
              <w:t> </w:t>
            </w:r>
            <w:r>
              <w:rPr>
                <w:spacing w:val="-2"/>
                <w:sz w:val="24"/>
              </w:rPr>
              <w:t>included</w:t>
            </w:r>
          </w:p>
        </w:tc>
        <w:tc>
          <w:tcPr>
            <w:tcW w:w="2191" w:type="dxa"/>
            <w:tcBorders>
              <w:top w:val="single" w:sz="4" w:space="0" w:color="000000"/>
              <w:bottom w:val="single" w:sz="4" w:space="0" w:color="000000"/>
            </w:tcBorders>
          </w:tcPr>
          <w:p>
            <w:pPr>
              <w:pStyle w:val="TableParagraph"/>
              <w:spacing w:line="253" w:lineRule="exact"/>
              <w:ind w:left="587"/>
              <w:jc w:val="left"/>
              <w:rPr>
                <w:sz w:val="24"/>
              </w:rPr>
            </w:pPr>
            <w:r>
              <w:rPr>
                <w:spacing w:val="-2"/>
                <w:sz w:val="24"/>
              </w:rPr>
              <w:t>Difference</w:t>
            </w:r>
          </w:p>
        </w:tc>
        <w:tc>
          <w:tcPr>
            <w:tcW w:w="1421" w:type="dxa"/>
            <w:tcBorders>
              <w:top w:val="single" w:sz="4" w:space="0" w:color="000000"/>
              <w:bottom w:val="single" w:sz="4" w:space="0" w:color="000000"/>
            </w:tcBorders>
          </w:tcPr>
          <w:p>
            <w:pPr>
              <w:pStyle w:val="TableParagraph"/>
              <w:spacing w:line="253" w:lineRule="exact"/>
              <w:ind w:left="103" w:right="102"/>
              <w:rPr>
                <w:sz w:val="24"/>
              </w:rPr>
            </w:pPr>
            <w:r>
              <w:rPr>
                <w:spacing w:val="-2"/>
                <w:sz w:val="24"/>
              </w:rPr>
              <w:t>Significance</w:t>
            </w:r>
          </w:p>
        </w:tc>
        <w:tc>
          <w:tcPr>
            <w:tcW w:w="1222" w:type="dxa"/>
            <w:tcBorders>
              <w:top w:val="single" w:sz="4" w:space="0" w:color="000000"/>
              <w:bottom w:val="single" w:sz="4" w:space="0" w:color="000000"/>
            </w:tcBorders>
          </w:tcPr>
          <w:p>
            <w:pPr>
              <w:pStyle w:val="TableParagraph"/>
              <w:spacing w:line="253" w:lineRule="exact"/>
              <w:ind w:left="106" w:right="105"/>
              <w:rPr>
                <w:sz w:val="24"/>
              </w:rPr>
            </w:pPr>
            <w:r>
              <w:rPr>
                <w:spacing w:val="-2"/>
                <w:sz w:val="24"/>
              </w:rPr>
              <w:t>Combine?</w:t>
            </w:r>
          </w:p>
        </w:tc>
      </w:tr>
      <w:tr>
        <w:trPr>
          <w:trHeight w:val="283" w:hRule="atLeast"/>
        </w:trPr>
        <w:tc>
          <w:tcPr>
            <w:tcW w:w="1661" w:type="dxa"/>
            <w:tcBorders>
              <w:top w:val="single" w:sz="4" w:space="0" w:color="000000"/>
            </w:tcBorders>
          </w:tcPr>
          <w:p>
            <w:pPr>
              <w:pStyle w:val="TableParagraph"/>
              <w:spacing w:line="249" w:lineRule="exact"/>
              <w:ind w:left="108" w:right="108"/>
              <w:rPr>
                <w:sz w:val="24"/>
              </w:rPr>
            </w:pPr>
            <w:r>
              <w:rPr>
                <w:sz w:val="24"/>
              </w:rPr>
              <w:t>2</w:t>
            </w:r>
            <w:r>
              <w:rPr>
                <w:spacing w:val="-2"/>
                <w:sz w:val="24"/>
              </w:rPr>
              <w:t> </w:t>
            </w:r>
            <w:r>
              <w:rPr>
                <w:sz w:val="24"/>
              </w:rPr>
              <w:t>-</w:t>
            </w:r>
            <w:r>
              <w:rPr>
                <w:spacing w:val="-2"/>
                <w:sz w:val="24"/>
              </w:rPr>
              <w:t> </w:t>
            </w:r>
            <w:r>
              <w:rPr>
                <w:spacing w:val="-10"/>
                <w:sz w:val="24"/>
              </w:rPr>
              <w:t>1</w:t>
            </w:r>
          </w:p>
        </w:tc>
        <w:tc>
          <w:tcPr>
            <w:tcW w:w="2191" w:type="dxa"/>
            <w:tcBorders>
              <w:top w:val="single" w:sz="4" w:space="0" w:color="000000"/>
            </w:tcBorders>
          </w:tcPr>
          <w:p>
            <w:pPr>
              <w:pStyle w:val="TableParagraph"/>
              <w:spacing w:line="249" w:lineRule="exact"/>
              <w:ind w:left="238"/>
              <w:jc w:val="left"/>
              <w:rPr>
                <w:sz w:val="24"/>
              </w:rPr>
            </w:pPr>
            <w:r>
              <w:rPr>
                <w:sz w:val="24"/>
              </w:rPr>
              <w:t>1.30</w:t>
            </w:r>
            <w:r>
              <w:rPr>
                <w:spacing w:val="-5"/>
                <w:sz w:val="24"/>
              </w:rPr>
              <w:t> </w:t>
            </w:r>
            <w:r>
              <w:rPr>
                <w:sz w:val="24"/>
              </w:rPr>
              <w:t>(0.93</w:t>
            </w:r>
            <w:r>
              <w:rPr>
                <w:spacing w:val="-4"/>
                <w:sz w:val="24"/>
              </w:rPr>
              <w:t> </w:t>
            </w:r>
            <w:r>
              <w:rPr>
                <w:sz w:val="24"/>
              </w:rPr>
              <w:t>–</w:t>
            </w:r>
            <w:r>
              <w:rPr>
                <w:spacing w:val="-5"/>
                <w:sz w:val="24"/>
              </w:rPr>
              <w:t> </w:t>
            </w:r>
            <w:r>
              <w:rPr>
                <w:spacing w:val="-2"/>
                <w:sz w:val="24"/>
              </w:rPr>
              <w:t>1.67)</w:t>
            </w:r>
          </w:p>
        </w:tc>
        <w:tc>
          <w:tcPr>
            <w:tcW w:w="1421" w:type="dxa"/>
            <w:tcBorders>
              <w:top w:val="single" w:sz="4" w:space="0" w:color="000000"/>
            </w:tcBorders>
          </w:tcPr>
          <w:p>
            <w:pPr>
              <w:pStyle w:val="TableParagraph"/>
              <w:spacing w:line="249" w:lineRule="exact"/>
              <w:ind w:left="103" w:right="102"/>
              <w:rPr>
                <w:sz w:val="24"/>
              </w:rPr>
            </w:pPr>
            <w:r>
              <w:rPr>
                <w:sz w:val="24"/>
              </w:rPr>
              <w:t>P</w:t>
            </w:r>
            <w:r>
              <w:rPr>
                <w:spacing w:val="-3"/>
                <w:sz w:val="24"/>
              </w:rPr>
              <w:t> </w:t>
            </w:r>
            <w:r>
              <w:rPr>
                <w:sz w:val="24"/>
              </w:rPr>
              <w:t>=</w:t>
            </w:r>
            <w:r>
              <w:rPr>
                <w:spacing w:val="-2"/>
                <w:sz w:val="24"/>
              </w:rPr>
              <w:t> 0.8581</w:t>
            </w:r>
          </w:p>
        </w:tc>
        <w:tc>
          <w:tcPr>
            <w:tcW w:w="1222" w:type="dxa"/>
            <w:tcBorders>
              <w:top w:val="single" w:sz="4" w:space="0" w:color="000000"/>
            </w:tcBorders>
          </w:tcPr>
          <w:p>
            <w:pPr>
              <w:pStyle w:val="TableParagraph"/>
              <w:spacing w:line="249" w:lineRule="exact"/>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3</w:t>
            </w:r>
            <w:r>
              <w:rPr>
                <w:spacing w:val="-2"/>
                <w:sz w:val="24"/>
              </w:rPr>
              <w:t> </w:t>
            </w:r>
            <w:r>
              <w:rPr>
                <w:sz w:val="24"/>
              </w:rPr>
              <w:t>-</w:t>
            </w:r>
            <w:r>
              <w:rPr>
                <w:spacing w:val="-2"/>
                <w:sz w:val="24"/>
              </w:rPr>
              <w:t> </w:t>
            </w:r>
            <w:r>
              <w:rPr>
                <w:spacing w:val="-5"/>
                <w:sz w:val="24"/>
              </w:rPr>
              <w:t>1,2</w:t>
            </w:r>
          </w:p>
        </w:tc>
        <w:tc>
          <w:tcPr>
            <w:tcW w:w="2191" w:type="dxa"/>
          </w:tcPr>
          <w:p>
            <w:pPr>
              <w:pStyle w:val="TableParagraph"/>
              <w:ind w:left="238"/>
              <w:jc w:val="left"/>
              <w:rPr>
                <w:sz w:val="24"/>
              </w:rPr>
            </w:pPr>
            <w:r>
              <w:rPr>
                <w:sz w:val="24"/>
              </w:rPr>
              <w:t>2.29</w:t>
            </w:r>
            <w:r>
              <w:rPr>
                <w:spacing w:val="-5"/>
                <w:sz w:val="24"/>
              </w:rPr>
              <w:t> </w:t>
            </w:r>
            <w:r>
              <w:rPr>
                <w:sz w:val="24"/>
              </w:rPr>
              <w:t>(2.04</w:t>
            </w:r>
            <w:r>
              <w:rPr>
                <w:spacing w:val="-4"/>
                <w:sz w:val="24"/>
              </w:rPr>
              <w:t> </w:t>
            </w:r>
            <w:r>
              <w:rPr>
                <w:sz w:val="24"/>
              </w:rPr>
              <w:t>–</w:t>
            </w:r>
            <w:r>
              <w:rPr>
                <w:spacing w:val="-5"/>
                <w:sz w:val="24"/>
              </w:rPr>
              <w:t> </w:t>
            </w:r>
            <w:r>
              <w:rPr>
                <w:spacing w:val="-2"/>
                <w:sz w:val="24"/>
              </w:rPr>
              <w:t>2.53)</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z w:val="24"/>
              </w:rPr>
              <w:t>4</w:t>
            </w:r>
            <w:r>
              <w:rPr>
                <w:spacing w:val="-2"/>
                <w:sz w:val="24"/>
              </w:rPr>
              <w:t> </w:t>
            </w:r>
            <w:r>
              <w:rPr>
                <w:sz w:val="24"/>
              </w:rPr>
              <w:t>-</w:t>
            </w:r>
            <w:r>
              <w:rPr>
                <w:spacing w:val="-2"/>
                <w:sz w:val="24"/>
              </w:rPr>
              <w:t> </w:t>
            </w:r>
            <w:r>
              <w:rPr>
                <w:spacing w:val="-10"/>
                <w:sz w:val="24"/>
              </w:rPr>
              <w:t>3</w:t>
            </w:r>
          </w:p>
        </w:tc>
        <w:tc>
          <w:tcPr>
            <w:tcW w:w="2191" w:type="dxa"/>
          </w:tcPr>
          <w:p>
            <w:pPr>
              <w:pStyle w:val="TableParagraph"/>
              <w:ind w:right="157"/>
              <w:jc w:val="right"/>
              <w:rPr>
                <w:sz w:val="24"/>
              </w:rPr>
            </w:pPr>
            <w:r>
              <w:rPr>
                <w:sz w:val="24"/>
              </w:rPr>
              <w:t>-0.07</w:t>
            </w:r>
            <w:r>
              <w:rPr>
                <w:spacing w:val="-5"/>
                <w:sz w:val="24"/>
              </w:rPr>
              <w:t> </w:t>
            </w:r>
            <w:r>
              <w:rPr>
                <w:sz w:val="24"/>
              </w:rPr>
              <w:t>(-0.30</w:t>
            </w:r>
            <w:r>
              <w:rPr>
                <w:spacing w:val="-5"/>
                <w:sz w:val="24"/>
              </w:rPr>
              <w:t> </w:t>
            </w:r>
            <w:r>
              <w:rPr>
                <w:sz w:val="24"/>
              </w:rPr>
              <w:t>–</w:t>
            </w:r>
            <w:r>
              <w:rPr>
                <w:spacing w:val="-5"/>
                <w:sz w:val="24"/>
              </w:rPr>
              <w:t> </w:t>
            </w:r>
            <w:r>
              <w:rPr>
                <w:spacing w:val="-2"/>
                <w:sz w:val="24"/>
              </w:rPr>
              <w:t>0.16)</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5</w:t>
            </w:r>
            <w:r>
              <w:rPr>
                <w:spacing w:val="-2"/>
                <w:sz w:val="24"/>
              </w:rPr>
              <w:t> </w:t>
            </w:r>
            <w:r>
              <w:rPr>
                <w:sz w:val="24"/>
              </w:rPr>
              <w:t>-</w:t>
            </w:r>
            <w:r>
              <w:rPr>
                <w:spacing w:val="-2"/>
                <w:sz w:val="24"/>
              </w:rPr>
              <w:t> </w:t>
            </w:r>
            <w:r>
              <w:rPr>
                <w:spacing w:val="-5"/>
                <w:sz w:val="24"/>
              </w:rPr>
              <w:t>3,4</w:t>
            </w:r>
          </w:p>
        </w:tc>
        <w:tc>
          <w:tcPr>
            <w:tcW w:w="2191" w:type="dxa"/>
          </w:tcPr>
          <w:p>
            <w:pPr>
              <w:pStyle w:val="TableParagraph"/>
              <w:ind w:right="117"/>
              <w:jc w:val="right"/>
              <w:rPr>
                <w:sz w:val="24"/>
              </w:rPr>
            </w:pPr>
            <w:r>
              <w:rPr>
                <w:sz w:val="24"/>
              </w:rPr>
              <w:t>-0.28</w:t>
            </w:r>
            <w:r>
              <w:rPr>
                <w:spacing w:val="-6"/>
                <w:sz w:val="24"/>
              </w:rPr>
              <w:t> </w:t>
            </w:r>
            <w:r>
              <w:rPr>
                <w:sz w:val="24"/>
              </w:rPr>
              <w:t>(-0.48</w:t>
            </w:r>
            <w:r>
              <w:rPr>
                <w:spacing w:val="-5"/>
                <w:sz w:val="24"/>
              </w:rPr>
              <w:t> </w:t>
            </w:r>
            <w:r>
              <w:rPr>
                <w:sz w:val="24"/>
              </w:rPr>
              <w:t>–</w:t>
            </w:r>
            <w:r>
              <w:rPr>
                <w:spacing w:val="-5"/>
                <w:sz w:val="24"/>
              </w:rPr>
              <w:t> </w:t>
            </w:r>
            <w:r>
              <w:rPr>
                <w:sz w:val="24"/>
              </w:rPr>
              <w:t>-</w:t>
            </w:r>
            <w:r>
              <w:rPr>
                <w:spacing w:val="-2"/>
                <w:sz w:val="24"/>
              </w:rPr>
              <w:t>0.08)</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6</w:t>
            </w:r>
            <w:r>
              <w:rPr>
                <w:spacing w:val="-2"/>
                <w:sz w:val="24"/>
              </w:rPr>
              <w:t> </w:t>
            </w:r>
            <w:r>
              <w:rPr>
                <w:sz w:val="24"/>
              </w:rPr>
              <w:t>-</w:t>
            </w:r>
            <w:r>
              <w:rPr>
                <w:spacing w:val="-2"/>
                <w:sz w:val="24"/>
              </w:rPr>
              <w:t> </w:t>
            </w:r>
            <w:r>
              <w:rPr>
                <w:spacing w:val="-4"/>
                <w:sz w:val="24"/>
              </w:rPr>
              <w:t>3,4,5</w:t>
            </w:r>
          </w:p>
        </w:tc>
        <w:tc>
          <w:tcPr>
            <w:tcW w:w="2191" w:type="dxa"/>
          </w:tcPr>
          <w:p>
            <w:pPr>
              <w:pStyle w:val="TableParagraph"/>
              <w:ind w:left="199"/>
              <w:jc w:val="left"/>
              <w:rPr>
                <w:sz w:val="24"/>
              </w:rPr>
            </w:pPr>
            <w:r>
              <w:rPr>
                <w:sz w:val="24"/>
              </w:rPr>
              <w:t>0.07</w:t>
            </w:r>
            <w:r>
              <w:rPr>
                <w:spacing w:val="-5"/>
                <w:sz w:val="24"/>
              </w:rPr>
              <w:t> </w:t>
            </w:r>
            <w:r>
              <w:rPr>
                <w:sz w:val="24"/>
              </w:rPr>
              <w:t>(-0.12</w:t>
            </w:r>
            <w:r>
              <w:rPr>
                <w:spacing w:val="-5"/>
                <w:sz w:val="24"/>
              </w:rPr>
              <w:t> </w:t>
            </w:r>
            <w:r>
              <w:rPr>
                <w:sz w:val="24"/>
              </w:rPr>
              <w:t>–</w:t>
            </w:r>
            <w:r>
              <w:rPr>
                <w:spacing w:val="-5"/>
                <w:sz w:val="24"/>
              </w:rPr>
              <w:t> </w:t>
            </w:r>
            <w:r>
              <w:rPr>
                <w:spacing w:val="-2"/>
                <w:sz w:val="24"/>
              </w:rPr>
              <w:t>0.26)</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7</w:t>
            </w:r>
            <w:r>
              <w:rPr>
                <w:spacing w:val="-2"/>
                <w:sz w:val="24"/>
              </w:rPr>
              <w:t> </w:t>
            </w:r>
            <w:r>
              <w:rPr>
                <w:sz w:val="24"/>
              </w:rPr>
              <w:t>-</w:t>
            </w:r>
            <w:r>
              <w:rPr>
                <w:spacing w:val="-2"/>
                <w:sz w:val="24"/>
              </w:rPr>
              <w:t> 3,4,5,6</w:t>
            </w:r>
          </w:p>
        </w:tc>
        <w:tc>
          <w:tcPr>
            <w:tcW w:w="2191" w:type="dxa"/>
          </w:tcPr>
          <w:p>
            <w:pPr>
              <w:pStyle w:val="TableParagraph"/>
              <w:ind w:left="238"/>
              <w:jc w:val="left"/>
              <w:rPr>
                <w:sz w:val="24"/>
              </w:rPr>
            </w:pPr>
            <w:r>
              <w:rPr>
                <w:sz w:val="24"/>
              </w:rPr>
              <w:t>0.73</w:t>
            </w:r>
            <w:r>
              <w:rPr>
                <w:spacing w:val="-5"/>
                <w:sz w:val="24"/>
              </w:rPr>
              <w:t> </w:t>
            </w:r>
            <w:r>
              <w:rPr>
                <w:sz w:val="24"/>
              </w:rPr>
              <w:t>(0.54</w:t>
            </w:r>
            <w:r>
              <w:rPr>
                <w:spacing w:val="-4"/>
                <w:sz w:val="24"/>
              </w:rPr>
              <w:t> </w:t>
            </w:r>
            <w:r>
              <w:rPr>
                <w:sz w:val="24"/>
              </w:rPr>
              <w:t>–</w:t>
            </w:r>
            <w:r>
              <w:rPr>
                <w:spacing w:val="-5"/>
                <w:sz w:val="24"/>
              </w:rPr>
              <w:t> </w:t>
            </w:r>
            <w:r>
              <w:rPr>
                <w:spacing w:val="-2"/>
                <w:sz w:val="24"/>
              </w:rPr>
              <w:t>0.91)</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8</w:t>
            </w:r>
            <w:r>
              <w:rPr>
                <w:spacing w:val="-2"/>
                <w:sz w:val="24"/>
              </w:rPr>
              <w:t> </w:t>
            </w:r>
            <w:r>
              <w:rPr>
                <w:sz w:val="24"/>
              </w:rPr>
              <w:t>-</w:t>
            </w:r>
            <w:r>
              <w:rPr>
                <w:spacing w:val="-2"/>
                <w:sz w:val="24"/>
              </w:rPr>
              <w:t> 3,4,5,6,7</w:t>
            </w:r>
          </w:p>
        </w:tc>
        <w:tc>
          <w:tcPr>
            <w:tcW w:w="2191" w:type="dxa"/>
          </w:tcPr>
          <w:p>
            <w:pPr>
              <w:pStyle w:val="TableParagraph"/>
              <w:ind w:left="238"/>
              <w:jc w:val="left"/>
              <w:rPr>
                <w:sz w:val="24"/>
              </w:rPr>
            </w:pPr>
            <w:r>
              <w:rPr>
                <w:sz w:val="24"/>
              </w:rPr>
              <w:t>0.56</w:t>
            </w:r>
            <w:r>
              <w:rPr>
                <w:spacing w:val="-5"/>
                <w:sz w:val="24"/>
              </w:rPr>
              <w:t> </w:t>
            </w:r>
            <w:r>
              <w:rPr>
                <w:sz w:val="24"/>
              </w:rPr>
              <w:t>(0.38</w:t>
            </w:r>
            <w:r>
              <w:rPr>
                <w:spacing w:val="-4"/>
                <w:sz w:val="24"/>
              </w:rPr>
              <w:t> </w:t>
            </w:r>
            <w:r>
              <w:rPr>
                <w:sz w:val="24"/>
              </w:rPr>
              <w:t>–</w:t>
            </w:r>
            <w:r>
              <w:rPr>
                <w:spacing w:val="-5"/>
                <w:sz w:val="24"/>
              </w:rPr>
              <w:t> </w:t>
            </w:r>
            <w:r>
              <w:rPr>
                <w:spacing w:val="-2"/>
                <w:sz w:val="24"/>
              </w:rPr>
              <w:t>0.74)</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1.000</w:t>
            </w:r>
          </w:p>
        </w:tc>
        <w:tc>
          <w:tcPr>
            <w:tcW w:w="1222" w:type="dxa"/>
          </w:tcPr>
          <w:p>
            <w:pPr>
              <w:pStyle w:val="TableParagraph"/>
              <w:ind w:left="106" w:right="105"/>
              <w:rPr>
                <w:sz w:val="24"/>
              </w:rPr>
            </w:pPr>
            <w:r>
              <w:rPr>
                <w:spacing w:val="-5"/>
                <w:sz w:val="24"/>
              </w:rPr>
              <w:t>Yes</w:t>
            </w:r>
          </w:p>
        </w:tc>
      </w:tr>
      <w:tr>
        <w:trPr>
          <w:trHeight w:val="288" w:hRule="atLeast"/>
        </w:trPr>
        <w:tc>
          <w:tcPr>
            <w:tcW w:w="1661" w:type="dxa"/>
          </w:tcPr>
          <w:p>
            <w:pPr>
              <w:pStyle w:val="TableParagraph"/>
              <w:ind w:left="108" w:right="108"/>
              <w:rPr>
                <w:sz w:val="24"/>
              </w:rPr>
            </w:pPr>
            <w:r>
              <w:rPr>
                <w:sz w:val="24"/>
              </w:rPr>
              <w:t>9</w:t>
            </w:r>
            <w:r>
              <w:rPr>
                <w:spacing w:val="-2"/>
                <w:sz w:val="24"/>
              </w:rPr>
              <w:t> </w:t>
            </w:r>
            <w:r>
              <w:rPr>
                <w:sz w:val="24"/>
              </w:rPr>
              <w:t>-</w:t>
            </w:r>
            <w:r>
              <w:rPr>
                <w:spacing w:val="-2"/>
                <w:sz w:val="24"/>
              </w:rPr>
              <w:t> 3,4,5,6,7,8</w:t>
            </w:r>
          </w:p>
        </w:tc>
        <w:tc>
          <w:tcPr>
            <w:tcW w:w="2191" w:type="dxa"/>
          </w:tcPr>
          <w:p>
            <w:pPr>
              <w:pStyle w:val="TableParagraph"/>
              <w:ind w:left="238"/>
              <w:jc w:val="left"/>
              <w:rPr>
                <w:sz w:val="24"/>
              </w:rPr>
            </w:pPr>
            <w:r>
              <w:rPr>
                <w:sz w:val="24"/>
              </w:rPr>
              <w:t>1.72</w:t>
            </w:r>
            <w:r>
              <w:rPr>
                <w:spacing w:val="-5"/>
                <w:sz w:val="24"/>
              </w:rPr>
              <w:t> </w:t>
            </w:r>
            <w:r>
              <w:rPr>
                <w:sz w:val="24"/>
              </w:rPr>
              <w:t>(1.54</w:t>
            </w:r>
            <w:r>
              <w:rPr>
                <w:spacing w:val="-4"/>
                <w:sz w:val="24"/>
              </w:rPr>
              <w:t> </w:t>
            </w:r>
            <w:r>
              <w:rPr>
                <w:sz w:val="24"/>
              </w:rPr>
              <w:t>–</w:t>
            </w:r>
            <w:r>
              <w:rPr>
                <w:spacing w:val="-5"/>
                <w:sz w:val="24"/>
              </w:rPr>
              <w:t> </w:t>
            </w:r>
            <w:r>
              <w:rPr>
                <w:spacing w:val="-2"/>
                <w:sz w:val="24"/>
              </w:rPr>
              <w:t>1.89)</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0.0086</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z w:val="24"/>
              </w:rPr>
              <w:t>10</w:t>
            </w:r>
            <w:r>
              <w:rPr>
                <w:spacing w:val="-3"/>
                <w:sz w:val="24"/>
              </w:rPr>
              <w:t> </w:t>
            </w:r>
            <w:r>
              <w:rPr>
                <w:sz w:val="24"/>
              </w:rPr>
              <w:t>-</w:t>
            </w:r>
            <w:r>
              <w:rPr>
                <w:spacing w:val="-3"/>
                <w:sz w:val="24"/>
              </w:rPr>
              <w:t> </w:t>
            </w:r>
            <w:r>
              <w:rPr>
                <w:spacing w:val="-10"/>
                <w:sz w:val="24"/>
              </w:rPr>
              <w:t>9</w:t>
            </w:r>
          </w:p>
        </w:tc>
        <w:tc>
          <w:tcPr>
            <w:tcW w:w="2191" w:type="dxa"/>
          </w:tcPr>
          <w:p>
            <w:pPr>
              <w:pStyle w:val="TableParagraph"/>
              <w:ind w:left="238"/>
              <w:jc w:val="left"/>
              <w:rPr>
                <w:sz w:val="24"/>
              </w:rPr>
            </w:pPr>
            <w:r>
              <w:rPr>
                <w:sz w:val="24"/>
              </w:rPr>
              <w:t>2.82</w:t>
            </w:r>
            <w:r>
              <w:rPr>
                <w:spacing w:val="-5"/>
                <w:sz w:val="24"/>
              </w:rPr>
              <w:t> </w:t>
            </w:r>
            <w:r>
              <w:rPr>
                <w:sz w:val="24"/>
              </w:rPr>
              <w:t>(2.59</w:t>
            </w:r>
            <w:r>
              <w:rPr>
                <w:spacing w:val="-4"/>
                <w:sz w:val="24"/>
              </w:rPr>
              <w:t> </w:t>
            </w:r>
            <w:r>
              <w:rPr>
                <w:sz w:val="24"/>
              </w:rPr>
              <w:t>–</w:t>
            </w:r>
            <w:r>
              <w:rPr>
                <w:spacing w:val="-5"/>
                <w:sz w:val="24"/>
              </w:rPr>
              <w:t> </w:t>
            </w:r>
            <w:r>
              <w:rPr>
                <w:spacing w:val="-2"/>
                <w:sz w:val="24"/>
              </w:rPr>
              <w:t>3.05)</w:t>
            </w:r>
          </w:p>
        </w:tc>
        <w:tc>
          <w:tcPr>
            <w:tcW w:w="1421" w:type="dxa"/>
          </w:tcPr>
          <w:p>
            <w:pPr>
              <w:pStyle w:val="TableParagraph"/>
              <w:ind w:left="103" w:right="102"/>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2" w:type="dxa"/>
          </w:tcPr>
          <w:p>
            <w:pPr>
              <w:pStyle w:val="TableParagraph"/>
              <w:ind w:left="106" w:right="105"/>
              <w:rPr>
                <w:sz w:val="24"/>
              </w:rPr>
            </w:pPr>
            <w:r>
              <w:rPr>
                <w:spacing w:val="-5"/>
                <w:sz w:val="24"/>
              </w:rPr>
              <w:t>No</w:t>
            </w:r>
          </w:p>
        </w:tc>
      </w:tr>
      <w:tr>
        <w:trPr>
          <w:trHeight w:val="288" w:hRule="atLeast"/>
        </w:trPr>
        <w:tc>
          <w:tcPr>
            <w:tcW w:w="1661" w:type="dxa"/>
          </w:tcPr>
          <w:p>
            <w:pPr>
              <w:pStyle w:val="TableParagraph"/>
              <w:ind w:left="108" w:right="108"/>
              <w:rPr>
                <w:sz w:val="24"/>
              </w:rPr>
            </w:pPr>
            <w:r>
              <w:rPr>
                <w:spacing w:val="-2"/>
                <w:sz w:val="24"/>
              </w:rPr>
              <w:t>11-</w:t>
            </w:r>
            <w:r>
              <w:rPr>
                <w:spacing w:val="-7"/>
                <w:sz w:val="24"/>
              </w:rPr>
              <w:t>10</w:t>
            </w:r>
          </w:p>
        </w:tc>
        <w:tc>
          <w:tcPr>
            <w:tcW w:w="2191" w:type="dxa"/>
          </w:tcPr>
          <w:p>
            <w:pPr>
              <w:pStyle w:val="TableParagraph"/>
              <w:ind w:left="238"/>
              <w:jc w:val="left"/>
              <w:rPr>
                <w:sz w:val="24"/>
              </w:rPr>
            </w:pPr>
            <w:r>
              <w:rPr>
                <w:sz w:val="24"/>
              </w:rPr>
              <w:t>1.06</w:t>
            </w:r>
            <w:r>
              <w:rPr>
                <w:spacing w:val="-5"/>
                <w:sz w:val="24"/>
              </w:rPr>
              <w:t> </w:t>
            </w:r>
            <w:r>
              <w:rPr>
                <w:sz w:val="24"/>
              </w:rPr>
              <w:t>(0.82</w:t>
            </w:r>
            <w:r>
              <w:rPr>
                <w:spacing w:val="-4"/>
                <w:sz w:val="24"/>
              </w:rPr>
              <w:t> </w:t>
            </w:r>
            <w:r>
              <w:rPr>
                <w:sz w:val="24"/>
              </w:rPr>
              <w:t>–</w:t>
            </w:r>
            <w:r>
              <w:rPr>
                <w:spacing w:val="-5"/>
                <w:sz w:val="24"/>
              </w:rPr>
              <w:t> </w:t>
            </w:r>
            <w:r>
              <w:rPr>
                <w:spacing w:val="-2"/>
                <w:sz w:val="24"/>
              </w:rPr>
              <w:t>1.29)</w:t>
            </w:r>
          </w:p>
        </w:tc>
        <w:tc>
          <w:tcPr>
            <w:tcW w:w="1421" w:type="dxa"/>
          </w:tcPr>
          <w:p>
            <w:pPr>
              <w:pStyle w:val="TableParagraph"/>
              <w:ind w:left="103" w:right="102"/>
              <w:rPr>
                <w:sz w:val="24"/>
              </w:rPr>
            </w:pPr>
            <w:r>
              <w:rPr>
                <w:sz w:val="24"/>
              </w:rPr>
              <w:t>P</w:t>
            </w:r>
            <w:r>
              <w:rPr>
                <w:spacing w:val="-3"/>
                <w:sz w:val="24"/>
              </w:rPr>
              <w:t> </w:t>
            </w:r>
            <w:r>
              <w:rPr>
                <w:sz w:val="24"/>
              </w:rPr>
              <w:t>=</w:t>
            </w:r>
            <w:r>
              <w:rPr>
                <w:spacing w:val="-2"/>
                <w:sz w:val="24"/>
              </w:rPr>
              <w:t> 0.9999</w:t>
            </w:r>
          </w:p>
        </w:tc>
        <w:tc>
          <w:tcPr>
            <w:tcW w:w="1222" w:type="dxa"/>
          </w:tcPr>
          <w:p>
            <w:pPr>
              <w:pStyle w:val="TableParagraph"/>
              <w:ind w:left="106" w:right="105"/>
              <w:rPr>
                <w:sz w:val="24"/>
              </w:rPr>
            </w:pPr>
            <w:r>
              <w:rPr>
                <w:spacing w:val="-5"/>
                <w:sz w:val="24"/>
              </w:rPr>
              <w:t>Yes</w:t>
            </w:r>
          </w:p>
        </w:tc>
      </w:tr>
    </w:tbl>
    <w:p>
      <w:pPr>
        <w:spacing w:after="0"/>
        <w:rPr>
          <w:sz w:val="24"/>
        </w:rPr>
        <w:sectPr>
          <w:pgSz w:w="11910" w:h="16840"/>
          <w:pgMar w:header="1961" w:footer="3033" w:top="2280" w:bottom="32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83" w:id="149"/>
      <w:bookmarkEnd w:id="149"/>
      <w:r>
        <w:rPr/>
      </w:r>
      <w:r>
        <w:rPr>
          <w:b/>
        </w:rPr>
        <w:t>Table 3.15:</w:t>
      </w:r>
      <w:r>
        <w:rPr>
          <w:b/>
          <w:spacing w:val="40"/>
        </w:rPr>
        <w:t> </w:t>
      </w:r>
      <w:r>
        <w:rPr/>
        <w:t>Statistical comparison between columns at an SESOI of 2.0 for EPV-9. Where numbers are separated by commas, they have been averaged within the linear mixed</w:t>
      </w:r>
      <w:r>
        <w:rPr>
          <w:spacing w:val="-4"/>
        </w:rPr>
        <w:t> </w:t>
      </w:r>
      <w:r>
        <w:rPr/>
        <w:t>model.</w:t>
      </w:r>
      <w:r>
        <w:rPr>
          <w:spacing w:val="20"/>
        </w:rPr>
        <w:t> </w:t>
      </w:r>
      <w:r>
        <w:rPr/>
        <w:t>Difference</w:t>
      </w:r>
      <w:r>
        <w:rPr>
          <w:spacing w:val="-4"/>
        </w:rPr>
        <w:t> </w:t>
      </w:r>
      <w:r>
        <w:rPr/>
        <w:t>and</w:t>
      </w:r>
      <w:r>
        <w:rPr>
          <w:spacing w:val="-4"/>
        </w:rPr>
        <w:t> </w:t>
      </w:r>
      <w:r>
        <w:rPr/>
        <w:t>significance</w:t>
      </w:r>
      <w:r>
        <w:rPr>
          <w:spacing w:val="-4"/>
        </w:rPr>
        <w:t> </w:t>
      </w:r>
      <w:r>
        <w:rPr/>
        <w:t>provide</w:t>
      </w:r>
      <w:r>
        <w:rPr>
          <w:spacing w:val="-4"/>
        </w:rPr>
        <w:t> </w:t>
      </w:r>
      <w:r>
        <w:rPr/>
        <w:t>the</w:t>
      </w:r>
      <w:r>
        <w:rPr>
          <w:spacing w:val="-4"/>
        </w:rPr>
        <w:t> </w:t>
      </w:r>
      <w:r>
        <w:rPr/>
        <w:t>mean</w:t>
      </w:r>
      <w:r>
        <w:rPr>
          <w:spacing w:val="-4"/>
        </w:rPr>
        <w:t> </w:t>
      </w:r>
      <w:r>
        <w:rPr/>
        <w:t>difference</w:t>
      </w:r>
      <w:r>
        <w:rPr>
          <w:spacing w:val="-4"/>
        </w:rPr>
        <w:t> </w:t>
      </w:r>
      <w:r>
        <w:rPr/>
        <w:t>(95%</w:t>
      </w:r>
      <w:r>
        <w:rPr>
          <w:spacing w:val="-4"/>
        </w:rPr>
        <w:t> </w:t>
      </w:r>
      <w:r>
        <w:rPr/>
        <w:t>confidence </w:t>
      </w:r>
      <w:r>
        <w:rPr>
          <w:spacing w:val="-2"/>
        </w:rPr>
        <w:t>intervals)</w:t>
      </w:r>
      <w:r>
        <w:rPr>
          <w:spacing w:val="-7"/>
        </w:rPr>
        <w:t> </w:t>
      </w:r>
      <w:r>
        <w:rPr>
          <w:spacing w:val="-2"/>
        </w:rPr>
        <w:t>between</w:t>
      </w:r>
      <w:r>
        <w:rPr>
          <w:spacing w:val="-5"/>
        </w:rPr>
        <w:t> </w:t>
      </w:r>
      <w:r>
        <w:rPr>
          <w:spacing w:val="-2"/>
        </w:rPr>
        <w:t>the</w:t>
      </w:r>
      <w:r>
        <w:rPr>
          <w:spacing w:val="-6"/>
        </w:rPr>
        <w:t> </w:t>
      </w:r>
      <w:r>
        <w:rPr>
          <w:spacing w:val="-2"/>
        </w:rPr>
        <w:t>columns</w:t>
      </w:r>
      <w:r>
        <w:rPr>
          <w:spacing w:val="-6"/>
        </w:rPr>
        <w:t> </w:t>
      </w:r>
      <w:r>
        <w:rPr>
          <w:spacing w:val="-2"/>
        </w:rPr>
        <w:t>and</w:t>
      </w:r>
      <w:r>
        <w:rPr>
          <w:spacing w:val="-6"/>
        </w:rPr>
        <w:t> </w:t>
      </w:r>
      <w:r>
        <w:rPr>
          <w:spacing w:val="-2"/>
        </w:rPr>
        <w:t>whether</w:t>
      </w:r>
      <w:r>
        <w:rPr>
          <w:spacing w:val="-5"/>
        </w:rPr>
        <w:t> </w:t>
      </w:r>
      <w:r>
        <w:rPr>
          <w:spacing w:val="-2"/>
        </w:rPr>
        <w:t>this</w:t>
      </w:r>
      <w:r>
        <w:rPr>
          <w:spacing w:val="-7"/>
        </w:rPr>
        <w:t> </w:t>
      </w:r>
      <w:r>
        <w:rPr>
          <w:spacing w:val="-2"/>
        </w:rPr>
        <w:t>was</w:t>
      </w:r>
      <w:r>
        <w:rPr>
          <w:spacing w:val="-6"/>
        </w:rPr>
        <w:t> </w:t>
      </w:r>
      <w:r>
        <w:rPr>
          <w:spacing w:val="-2"/>
        </w:rPr>
        <w:t>significant</w:t>
      </w:r>
      <w:r>
        <w:rPr>
          <w:spacing w:val="-5"/>
        </w:rPr>
        <w:t> </w:t>
      </w:r>
      <w:r>
        <w:rPr>
          <w:spacing w:val="-2"/>
        </w:rPr>
        <w:t>according</w:t>
      </w:r>
      <w:r>
        <w:rPr>
          <w:spacing w:val="-6"/>
        </w:rPr>
        <w:t> </w:t>
      </w:r>
      <w:r>
        <w:rPr>
          <w:spacing w:val="-2"/>
        </w:rPr>
        <w:t>to</w:t>
      </w:r>
      <w:r>
        <w:rPr>
          <w:spacing w:val="-6"/>
        </w:rPr>
        <w:t> </w:t>
      </w:r>
      <w:r>
        <w:rPr>
          <w:spacing w:val="-2"/>
        </w:rPr>
        <w:t>an</w:t>
      </w:r>
      <w:r>
        <w:rPr>
          <w:spacing w:val="-5"/>
        </w:rPr>
        <w:t> </w:t>
      </w:r>
      <w:r>
        <w:rPr>
          <w:spacing w:val="-2"/>
        </w:rPr>
        <w:t>SESOI</w:t>
      </w:r>
      <w:r>
        <w:rPr>
          <w:spacing w:val="-7"/>
        </w:rPr>
        <w:t> </w:t>
      </w:r>
      <w:r>
        <w:rPr>
          <w:spacing w:val="-5"/>
        </w:rPr>
        <w:t>of</w:t>
      </w:r>
    </w:p>
    <w:p>
      <w:pPr>
        <w:pStyle w:val="BodyText"/>
        <w:spacing w:line="252" w:lineRule="auto"/>
        <w:ind w:left="610" w:right="389"/>
        <w:jc w:val="both"/>
      </w:pPr>
      <w:r>
        <w:rPr/>
        <w:t>2.0. Combine? Indicates</w:t>
      </w:r>
      <w:r>
        <w:rPr>
          <w:spacing w:val="-1"/>
        </w:rPr>
        <w:t> </w:t>
      </w:r>
      <w:r>
        <w:rPr/>
        <w:t>whether</w:t>
      </w:r>
      <w:r>
        <w:rPr>
          <w:spacing w:val="-1"/>
        </w:rPr>
        <w:t> </w:t>
      </w:r>
      <w:r>
        <w:rPr/>
        <w:t>the column</w:t>
      </w:r>
      <w:r>
        <w:rPr>
          <w:spacing w:val="-1"/>
        </w:rPr>
        <w:t> </w:t>
      </w:r>
      <w:r>
        <w:rPr/>
        <w:t>values</w:t>
      </w:r>
      <w:r>
        <w:rPr>
          <w:spacing w:val="-1"/>
        </w:rPr>
        <w:t> </w:t>
      </w:r>
      <w:r>
        <w:rPr/>
        <w:t>were</w:t>
      </w:r>
      <w:r>
        <w:rPr>
          <w:spacing w:val="-1"/>
        </w:rPr>
        <w:t> </w:t>
      </w:r>
      <w:r>
        <w:rPr/>
        <w:t>averaged</w:t>
      </w:r>
      <w:r>
        <w:rPr>
          <w:spacing w:val="-1"/>
        </w:rPr>
        <w:t> </w:t>
      </w:r>
      <w:r>
        <w:rPr/>
        <w:t>before</w:t>
      </w:r>
      <w:r>
        <w:rPr>
          <w:spacing w:val="-1"/>
        </w:rPr>
        <w:t> </w:t>
      </w:r>
      <w:r>
        <w:rPr/>
        <w:t>comparing</w:t>
      </w:r>
      <w:r>
        <w:rPr>
          <w:spacing w:val="-1"/>
        </w:rPr>
        <w:t> </w:t>
      </w:r>
      <w:r>
        <w:rPr/>
        <w:t>to the</w:t>
      </w:r>
      <w:r>
        <w:rPr>
          <w:spacing w:val="-1"/>
        </w:rPr>
        <w:t> </w:t>
      </w:r>
      <w:r>
        <w:rPr/>
        <w:t>next</w:t>
      </w:r>
      <w:r>
        <w:rPr>
          <w:spacing w:val="-1"/>
        </w:rPr>
        <w:t> </w:t>
      </w:r>
      <w:r>
        <w:rPr/>
        <w:t>column.</w:t>
      </w:r>
      <w:r>
        <w:rPr>
          <w:spacing w:val="23"/>
        </w:rPr>
        <w:t> </w:t>
      </w:r>
      <w:r>
        <w:rPr/>
        <w:t>Comparisons</w:t>
      </w:r>
      <w:r>
        <w:rPr>
          <w:spacing w:val="-1"/>
        </w:rPr>
        <w:t> </w:t>
      </w:r>
      <w:r>
        <w:rPr/>
        <w:t>began</w:t>
      </w:r>
      <w:r>
        <w:rPr>
          <w:spacing w:val="-1"/>
        </w:rPr>
        <w:t> </w:t>
      </w:r>
      <w:r>
        <w:rPr/>
        <w:t>at</w:t>
      </w:r>
      <w:r>
        <w:rPr>
          <w:spacing w:val="-1"/>
        </w:rPr>
        <w:t> </w:t>
      </w:r>
      <w:r>
        <w:rPr/>
        <w:t>the</w:t>
      </w:r>
      <w:r>
        <w:rPr>
          <w:spacing w:val="-1"/>
        </w:rPr>
        <w:t> </w:t>
      </w:r>
      <w:r>
        <w:rPr/>
        <w:t>outermost</w:t>
      </w:r>
      <w:r>
        <w:rPr>
          <w:spacing w:val="-1"/>
        </w:rPr>
        <w:t> </w:t>
      </w:r>
      <w:r>
        <w:rPr/>
        <w:t>columns</w:t>
      </w:r>
      <w:r>
        <w:rPr>
          <w:spacing w:val="-1"/>
        </w:rPr>
        <w:t> </w:t>
      </w:r>
      <w:r>
        <w:rPr/>
        <w:t>before</w:t>
      </w:r>
      <w:r>
        <w:rPr>
          <w:spacing w:val="-1"/>
        </w:rPr>
        <w:t> </w:t>
      </w:r>
      <w:r>
        <w:rPr/>
        <w:t>progressing</w:t>
      </w:r>
      <w:r>
        <w:rPr>
          <w:spacing w:val="-1"/>
        </w:rPr>
        <w:t> </w:t>
      </w:r>
      <w:r>
        <w:rPr/>
        <w:t>more </w:t>
      </w:r>
      <w:r>
        <w:rPr>
          <w:spacing w:val="-2"/>
        </w:rPr>
        <w:t>centrally.</w:t>
      </w:r>
    </w:p>
    <w:p>
      <w:pPr>
        <w:pStyle w:val="BodyText"/>
        <w:rPr>
          <w:sz w:val="20"/>
        </w:rPr>
      </w:pPr>
    </w:p>
    <w:p>
      <w:pPr>
        <w:pStyle w:val="BodyText"/>
        <w:spacing w:before="7"/>
        <w:rPr>
          <w:sz w:val="21"/>
        </w:rPr>
      </w:pPr>
    </w:p>
    <w:tbl>
      <w:tblPr>
        <w:tblW w:w="0" w:type="auto"/>
        <w:jc w:val="left"/>
        <w:tblInd w:w="15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86"/>
        <w:gridCol w:w="1953"/>
        <w:gridCol w:w="1422"/>
        <w:gridCol w:w="1223"/>
      </w:tblGrid>
      <w:tr>
        <w:trPr>
          <w:trHeight w:val="272" w:hRule="atLeast"/>
        </w:trPr>
        <w:tc>
          <w:tcPr>
            <w:tcW w:w="1986" w:type="dxa"/>
            <w:tcBorders>
              <w:top w:val="single" w:sz="4" w:space="0" w:color="000000"/>
              <w:bottom w:val="single" w:sz="4" w:space="0" w:color="000000"/>
            </w:tcBorders>
          </w:tcPr>
          <w:p>
            <w:pPr>
              <w:pStyle w:val="TableParagraph"/>
              <w:spacing w:line="253" w:lineRule="exact"/>
              <w:ind w:left="109" w:right="109"/>
              <w:rPr>
                <w:sz w:val="24"/>
              </w:rPr>
            </w:pPr>
            <w:r>
              <w:rPr>
                <w:sz w:val="24"/>
              </w:rPr>
              <w:t>Columns</w:t>
            </w:r>
            <w:r>
              <w:rPr>
                <w:spacing w:val="-10"/>
                <w:sz w:val="24"/>
              </w:rPr>
              <w:t> </w:t>
            </w:r>
            <w:r>
              <w:rPr>
                <w:spacing w:val="-2"/>
                <w:sz w:val="24"/>
              </w:rPr>
              <w:t>included</w:t>
            </w:r>
          </w:p>
        </w:tc>
        <w:tc>
          <w:tcPr>
            <w:tcW w:w="1953" w:type="dxa"/>
            <w:tcBorders>
              <w:top w:val="single" w:sz="4" w:space="0" w:color="000000"/>
              <w:bottom w:val="single" w:sz="4" w:space="0" w:color="000000"/>
            </w:tcBorders>
          </w:tcPr>
          <w:p>
            <w:pPr>
              <w:pStyle w:val="TableParagraph"/>
              <w:spacing w:line="253" w:lineRule="exact"/>
              <w:ind w:left="453" w:right="453"/>
              <w:rPr>
                <w:sz w:val="24"/>
              </w:rPr>
            </w:pPr>
            <w:r>
              <w:rPr>
                <w:spacing w:val="-2"/>
                <w:sz w:val="24"/>
              </w:rPr>
              <w:t>Difference</w:t>
            </w:r>
          </w:p>
        </w:tc>
        <w:tc>
          <w:tcPr>
            <w:tcW w:w="1422" w:type="dxa"/>
            <w:tcBorders>
              <w:top w:val="single" w:sz="4" w:space="0" w:color="000000"/>
              <w:bottom w:val="single" w:sz="4" w:space="0" w:color="000000"/>
            </w:tcBorders>
          </w:tcPr>
          <w:p>
            <w:pPr>
              <w:pStyle w:val="TableParagraph"/>
              <w:spacing w:line="253" w:lineRule="exact"/>
              <w:ind w:left="102" w:right="103"/>
              <w:rPr>
                <w:sz w:val="24"/>
              </w:rPr>
            </w:pPr>
            <w:r>
              <w:rPr>
                <w:spacing w:val="-2"/>
                <w:sz w:val="24"/>
              </w:rPr>
              <w:t>Significance</w:t>
            </w:r>
          </w:p>
        </w:tc>
        <w:tc>
          <w:tcPr>
            <w:tcW w:w="1223" w:type="dxa"/>
            <w:tcBorders>
              <w:top w:val="single" w:sz="4" w:space="0" w:color="000000"/>
              <w:bottom w:val="single" w:sz="4" w:space="0" w:color="000000"/>
            </w:tcBorders>
          </w:tcPr>
          <w:p>
            <w:pPr>
              <w:pStyle w:val="TableParagraph"/>
              <w:spacing w:line="253" w:lineRule="exact"/>
              <w:ind w:left="105" w:right="106"/>
              <w:rPr>
                <w:sz w:val="24"/>
              </w:rPr>
            </w:pPr>
            <w:r>
              <w:rPr>
                <w:spacing w:val="-2"/>
                <w:sz w:val="24"/>
              </w:rPr>
              <w:t>Combine?</w:t>
            </w:r>
          </w:p>
        </w:tc>
      </w:tr>
      <w:tr>
        <w:trPr>
          <w:trHeight w:val="283" w:hRule="atLeast"/>
        </w:trPr>
        <w:tc>
          <w:tcPr>
            <w:tcW w:w="1986" w:type="dxa"/>
            <w:tcBorders>
              <w:top w:val="single" w:sz="4" w:space="0" w:color="000000"/>
            </w:tcBorders>
          </w:tcPr>
          <w:p>
            <w:pPr>
              <w:pStyle w:val="TableParagraph"/>
              <w:spacing w:line="249" w:lineRule="exact"/>
              <w:ind w:left="109" w:right="109"/>
              <w:rPr>
                <w:sz w:val="24"/>
              </w:rPr>
            </w:pPr>
            <w:r>
              <w:rPr>
                <w:sz w:val="24"/>
              </w:rPr>
              <w:t>2</w:t>
            </w:r>
            <w:r>
              <w:rPr>
                <w:spacing w:val="-2"/>
                <w:sz w:val="24"/>
              </w:rPr>
              <w:t> </w:t>
            </w:r>
            <w:r>
              <w:rPr>
                <w:sz w:val="24"/>
              </w:rPr>
              <w:t>-</w:t>
            </w:r>
            <w:r>
              <w:rPr>
                <w:spacing w:val="-2"/>
                <w:sz w:val="24"/>
              </w:rPr>
              <w:t> </w:t>
            </w:r>
            <w:r>
              <w:rPr>
                <w:spacing w:val="-10"/>
                <w:sz w:val="24"/>
              </w:rPr>
              <w:t>1</w:t>
            </w:r>
          </w:p>
        </w:tc>
        <w:tc>
          <w:tcPr>
            <w:tcW w:w="1953" w:type="dxa"/>
            <w:tcBorders>
              <w:top w:val="single" w:sz="4" w:space="0" w:color="000000"/>
            </w:tcBorders>
          </w:tcPr>
          <w:p>
            <w:pPr>
              <w:pStyle w:val="TableParagraph"/>
              <w:spacing w:line="249" w:lineRule="exact"/>
              <w:ind w:left="119"/>
              <w:jc w:val="left"/>
              <w:rPr>
                <w:sz w:val="24"/>
              </w:rPr>
            </w:pPr>
            <w:r>
              <w:rPr>
                <w:sz w:val="24"/>
              </w:rPr>
              <w:t>1.36</w:t>
            </w:r>
            <w:r>
              <w:rPr>
                <w:spacing w:val="-5"/>
                <w:sz w:val="24"/>
              </w:rPr>
              <w:t> </w:t>
            </w:r>
            <w:r>
              <w:rPr>
                <w:sz w:val="24"/>
              </w:rPr>
              <w:t>(1.06</w:t>
            </w:r>
            <w:r>
              <w:rPr>
                <w:spacing w:val="-4"/>
                <w:sz w:val="24"/>
              </w:rPr>
              <w:t> </w:t>
            </w:r>
            <w:r>
              <w:rPr>
                <w:sz w:val="24"/>
              </w:rPr>
              <w:t>–</w:t>
            </w:r>
            <w:r>
              <w:rPr>
                <w:spacing w:val="-5"/>
                <w:sz w:val="24"/>
              </w:rPr>
              <w:t> </w:t>
            </w:r>
            <w:r>
              <w:rPr>
                <w:spacing w:val="-2"/>
                <w:sz w:val="24"/>
              </w:rPr>
              <w:t>1.66)</w:t>
            </w:r>
          </w:p>
        </w:tc>
        <w:tc>
          <w:tcPr>
            <w:tcW w:w="1422" w:type="dxa"/>
            <w:tcBorders>
              <w:top w:val="single" w:sz="4" w:space="0" w:color="000000"/>
            </w:tcBorders>
          </w:tcPr>
          <w:p>
            <w:pPr>
              <w:pStyle w:val="TableParagraph"/>
              <w:spacing w:line="249" w:lineRule="exact"/>
              <w:ind w:left="102" w:right="103"/>
              <w:rPr>
                <w:sz w:val="24"/>
              </w:rPr>
            </w:pPr>
            <w:r>
              <w:rPr>
                <w:sz w:val="24"/>
              </w:rPr>
              <w:t>P</w:t>
            </w:r>
            <w:r>
              <w:rPr>
                <w:spacing w:val="-3"/>
                <w:sz w:val="24"/>
              </w:rPr>
              <w:t> </w:t>
            </w:r>
            <w:r>
              <w:rPr>
                <w:sz w:val="24"/>
              </w:rPr>
              <w:t>=</w:t>
            </w:r>
            <w:r>
              <w:rPr>
                <w:spacing w:val="-2"/>
                <w:sz w:val="24"/>
              </w:rPr>
              <w:t> 1.000</w:t>
            </w:r>
          </w:p>
        </w:tc>
        <w:tc>
          <w:tcPr>
            <w:tcW w:w="1223" w:type="dxa"/>
            <w:tcBorders>
              <w:top w:val="single" w:sz="4" w:space="0" w:color="000000"/>
            </w:tcBorders>
          </w:tcPr>
          <w:p>
            <w:pPr>
              <w:pStyle w:val="TableParagraph"/>
              <w:spacing w:line="249" w:lineRule="exact"/>
              <w:ind w:left="105" w:right="106"/>
              <w:rPr>
                <w:sz w:val="24"/>
              </w:rPr>
            </w:pPr>
            <w:r>
              <w:rPr>
                <w:spacing w:val="-5"/>
                <w:sz w:val="24"/>
              </w:rPr>
              <w:t>Yes</w:t>
            </w:r>
          </w:p>
        </w:tc>
      </w:tr>
      <w:tr>
        <w:trPr>
          <w:trHeight w:val="288" w:hRule="atLeast"/>
        </w:trPr>
        <w:tc>
          <w:tcPr>
            <w:tcW w:w="1986" w:type="dxa"/>
          </w:tcPr>
          <w:p>
            <w:pPr>
              <w:pStyle w:val="TableParagraph"/>
              <w:ind w:left="109" w:right="109"/>
              <w:rPr>
                <w:sz w:val="24"/>
              </w:rPr>
            </w:pPr>
            <w:r>
              <w:rPr>
                <w:sz w:val="24"/>
              </w:rPr>
              <w:t>3</w:t>
            </w:r>
            <w:r>
              <w:rPr>
                <w:spacing w:val="-2"/>
                <w:sz w:val="24"/>
              </w:rPr>
              <w:t> </w:t>
            </w:r>
            <w:r>
              <w:rPr>
                <w:sz w:val="24"/>
              </w:rPr>
              <w:t>-</w:t>
            </w:r>
            <w:r>
              <w:rPr>
                <w:spacing w:val="-2"/>
                <w:sz w:val="24"/>
              </w:rPr>
              <w:t> </w:t>
            </w:r>
            <w:r>
              <w:rPr>
                <w:spacing w:val="-5"/>
                <w:sz w:val="24"/>
              </w:rPr>
              <w:t>1,2</w:t>
            </w:r>
          </w:p>
        </w:tc>
        <w:tc>
          <w:tcPr>
            <w:tcW w:w="1953" w:type="dxa"/>
          </w:tcPr>
          <w:p>
            <w:pPr>
              <w:pStyle w:val="TableParagraph"/>
              <w:ind w:left="119"/>
              <w:jc w:val="left"/>
              <w:rPr>
                <w:sz w:val="24"/>
              </w:rPr>
            </w:pPr>
            <w:r>
              <w:rPr>
                <w:sz w:val="24"/>
              </w:rPr>
              <w:t>3.03</w:t>
            </w:r>
            <w:r>
              <w:rPr>
                <w:spacing w:val="-5"/>
                <w:sz w:val="24"/>
              </w:rPr>
              <w:t> </w:t>
            </w:r>
            <w:r>
              <w:rPr>
                <w:sz w:val="24"/>
              </w:rPr>
              <w:t>(2.78</w:t>
            </w:r>
            <w:r>
              <w:rPr>
                <w:spacing w:val="-4"/>
                <w:sz w:val="24"/>
              </w:rPr>
              <w:t> </w:t>
            </w:r>
            <w:r>
              <w:rPr>
                <w:sz w:val="24"/>
              </w:rPr>
              <w:t>–</w:t>
            </w:r>
            <w:r>
              <w:rPr>
                <w:spacing w:val="-5"/>
                <w:sz w:val="24"/>
              </w:rPr>
              <w:t> </w:t>
            </w:r>
            <w:r>
              <w:rPr>
                <w:spacing w:val="-2"/>
                <w:sz w:val="24"/>
              </w:rPr>
              <w:t>3.28)</w:t>
            </w:r>
          </w:p>
        </w:tc>
        <w:tc>
          <w:tcPr>
            <w:tcW w:w="1422" w:type="dxa"/>
          </w:tcPr>
          <w:p>
            <w:pPr>
              <w:pStyle w:val="TableParagraph"/>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4</w:t>
            </w:r>
            <w:r>
              <w:rPr>
                <w:spacing w:val="-2"/>
                <w:sz w:val="24"/>
              </w:rPr>
              <w:t> </w:t>
            </w:r>
            <w:r>
              <w:rPr>
                <w:sz w:val="24"/>
              </w:rPr>
              <w:t>-</w:t>
            </w:r>
            <w:r>
              <w:rPr>
                <w:spacing w:val="-2"/>
                <w:sz w:val="24"/>
              </w:rPr>
              <w:t> </w:t>
            </w:r>
            <w:r>
              <w:rPr>
                <w:spacing w:val="-10"/>
                <w:sz w:val="24"/>
              </w:rPr>
              <w:t>3</w:t>
            </w:r>
          </w:p>
        </w:tc>
        <w:tc>
          <w:tcPr>
            <w:tcW w:w="1953" w:type="dxa"/>
          </w:tcPr>
          <w:p>
            <w:pPr>
              <w:pStyle w:val="TableParagraph"/>
              <w:ind w:left="119"/>
              <w:jc w:val="left"/>
              <w:rPr>
                <w:sz w:val="24"/>
              </w:rPr>
            </w:pPr>
            <w:r>
              <w:rPr>
                <w:sz w:val="24"/>
              </w:rPr>
              <w:t>0.91</w:t>
            </w:r>
            <w:r>
              <w:rPr>
                <w:spacing w:val="-5"/>
                <w:sz w:val="24"/>
              </w:rPr>
              <w:t> </w:t>
            </w:r>
            <w:r>
              <w:rPr>
                <w:sz w:val="24"/>
              </w:rPr>
              <w:t>(0.62</w:t>
            </w:r>
            <w:r>
              <w:rPr>
                <w:spacing w:val="-4"/>
                <w:sz w:val="24"/>
              </w:rPr>
              <w:t> </w:t>
            </w:r>
            <w:r>
              <w:rPr>
                <w:sz w:val="24"/>
              </w:rPr>
              <w:t>–</w:t>
            </w:r>
            <w:r>
              <w:rPr>
                <w:spacing w:val="-5"/>
                <w:sz w:val="24"/>
              </w:rPr>
              <w:t> </w:t>
            </w:r>
            <w:r>
              <w:rPr>
                <w:spacing w:val="-2"/>
                <w:sz w:val="24"/>
              </w:rPr>
              <w:t>1.18)</w:t>
            </w:r>
          </w:p>
        </w:tc>
        <w:tc>
          <w:tcPr>
            <w:tcW w:w="1422" w:type="dxa"/>
          </w:tcPr>
          <w:p>
            <w:pPr>
              <w:pStyle w:val="TableParagraph"/>
              <w:ind w:left="102" w:right="103"/>
              <w:rPr>
                <w:sz w:val="24"/>
              </w:rPr>
            </w:pPr>
            <w:r>
              <w:rPr>
                <w:sz w:val="24"/>
              </w:rPr>
              <w:t>P</w:t>
            </w:r>
            <w:r>
              <w:rPr>
                <w:spacing w:val="-3"/>
                <w:sz w:val="24"/>
              </w:rPr>
              <w:t> </w:t>
            </w:r>
            <w:r>
              <w:rPr>
                <w:sz w:val="24"/>
              </w:rPr>
              <w:t>=</w:t>
            </w:r>
            <w:r>
              <w:rPr>
                <w:spacing w:val="-2"/>
                <w:sz w:val="24"/>
              </w:rPr>
              <w:t> 1.000</w:t>
            </w:r>
          </w:p>
        </w:tc>
        <w:tc>
          <w:tcPr>
            <w:tcW w:w="1223" w:type="dxa"/>
          </w:tcPr>
          <w:p>
            <w:pPr>
              <w:pStyle w:val="TableParagraph"/>
              <w:ind w:left="105" w:right="106"/>
              <w:rPr>
                <w:sz w:val="24"/>
              </w:rPr>
            </w:pPr>
            <w:r>
              <w:rPr>
                <w:spacing w:val="-5"/>
                <w:sz w:val="24"/>
              </w:rPr>
              <w:t>No</w:t>
            </w:r>
          </w:p>
        </w:tc>
      </w:tr>
      <w:tr>
        <w:trPr>
          <w:trHeight w:val="288" w:hRule="atLeast"/>
        </w:trPr>
        <w:tc>
          <w:tcPr>
            <w:tcW w:w="1986" w:type="dxa"/>
          </w:tcPr>
          <w:p>
            <w:pPr>
              <w:pStyle w:val="TableParagraph"/>
              <w:ind w:left="109" w:right="109"/>
              <w:rPr>
                <w:sz w:val="24"/>
              </w:rPr>
            </w:pPr>
            <w:r>
              <w:rPr>
                <w:sz w:val="24"/>
              </w:rPr>
              <w:t>5</w:t>
            </w:r>
            <w:r>
              <w:rPr>
                <w:spacing w:val="-2"/>
                <w:sz w:val="24"/>
              </w:rPr>
              <w:t> </w:t>
            </w:r>
            <w:r>
              <w:rPr>
                <w:sz w:val="24"/>
              </w:rPr>
              <w:t>-</w:t>
            </w:r>
            <w:r>
              <w:rPr>
                <w:spacing w:val="-2"/>
                <w:sz w:val="24"/>
              </w:rPr>
              <w:t> </w:t>
            </w:r>
            <w:r>
              <w:rPr>
                <w:spacing w:val="-5"/>
                <w:sz w:val="24"/>
              </w:rPr>
              <w:t>3,4</w:t>
            </w:r>
          </w:p>
        </w:tc>
        <w:tc>
          <w:tcPr>
            <w:tcW w:w="1953" w:type="dxa"/>
          </w:tcPr>
          <w:p>
            <w:pPr>
              <w:pStyle w:val="TableParagraph"/>
              <w:ind w:left="119"/>
              <w:jc w:val="left"/>
              <w:rPr>
                <w:sz w:val="24"/>
              </w:rPr>
            </w:pPr>
            <w:r>
              <w:rPr>
                <w:sz w:val="24"/>
              </w:rPr>
              <w:t>1.99</w:t>
            </w:r>
            <w:r>
              <w:rPr>
                <w:spacing w:val="-5"/>
                <w:sz w:val="24"/>
              </w:rPr>
              <w:t> </w:t>
            </w:r>
            <w:r>
              <w:rPr>
                <w:sz w:val="24"/>
              </w:rPr>
              <w:t>(1.75</w:t>
            </w:r>
            <w:r>
              <w:rPr>
                <w:spacing w:val="-4"/>
                <w:sz w:val="24"/>
              </w:rPr>
              <w:t> </w:t>
            </w:r>
            <w:r>
              <w:rPr>
                <w:sz w:val="24"/>
              </w:rPr>
              <w:t>–</w:t>
            </w:r>
            <w:r>
              <w:rPr>
                <w:spacing w:val="-5"/>
                <w:sz w:val="24"/>
              </w:rPr>
              <w:t> </w:t>
            </w:r>
            <w:r>
              <w:rPr>
                <w:spacing w:val="-2"/>
                <w:sz w:val="24"/>
              </w:rPr>
              <w:t>2.24)</w:t>
            </w:r>
          </w:p>
        </w:tc>
        <w:tc>
          <w:tcPr>
            <w:tcW w:w="1422" w:type="dxa"/>
          </w:tcPr>
          <w:p>
            <w:pPr>
              <w:pStyle w:val="TableParagraph"/>
              <w:ind w:left="102" w:right="103"/>
              <w:rPr>
                <w:sz w:val="24"/>
              </w:rPr>
            </w:pPr>
            <w:r>
              <w:rPr>
                <w:sz w:val="24"/>
              </w:rPr>
              <w:t>P</w:t>
            </w:r>
            <w:r>
              <w:rPr>
                <w:spacing w:val="-3"/>
                <w:sz w:val="24"/>
              </w:rPr>
              <w:t> </w:t>
            </w:r>
            <w:r>
              <w:rPr>
                <w:sz w:val="24"/>
              </w:rPr>
              <w:t>=</w:t>
            </w:r>
            <w:r>
              <w:rPr>
                <w:spacing w:val="-2"/>
                <w:sz w:val="24"/>
              </w:rPr>
              <w:t> 0.518</w:t>
            </w:r>
          </w:p>
        </w:tc>
        <w:tc>
          <w:tcPr>
            <w:tcW w:w="1223" w:type="dxa"/>
          </w:tcPr>
          <w:p>
            <w:pPr>
              <w:pStyle w:val="TableParagraph"/>
              <w:ind w:left="105" w:right="106"/>
              <w:rPr>
                <w:sz w:val="24"/>
              </w:rPr>
            </w:pPr>
            <w:r>
              <w:rPr>
                <w:spacing w:val="-5"/>
                <w:sz w:val="24"/>
              </w:rPr>
              <w:t>Yes</w:t>
            </w:r>
          </w:p>
        </w:tc>
      </w:tr>
      <w:tr>
        <w:trPr>
          <w:trHeight w:val="288" w:hRule="atLeast"/>
        </w:trPr>
        <w:tc>
          <w:tcPr>
            <w:tcW w:w="1986" w:type="dxa"/>
          </w:tcPr>
          <w:p>
            <w:pPr>
              <w:pStyle w:val="TableParagraph"/>
              <w:ind w:left="109" w:right="109"/>
              <w:rPr>
                <w:sz w:val="24"/>
              </w:rPr>
            </w:pPr>
            <w:r>
              <w:rPr>
                <w:sz w:val="24"/>
              </w:rPr>
              <w:t>6</w:t>
            </w:r>
            <w:r>
              <w:rPr>
                <w:spacing w:val="-2"/>
                <w:sz w:val="24"/>
              </w:rPr>
              <w:t> </w:t>
            </w:r>
            <w:r>
              <w:rPr>
                <w:sz w:val="24"/>
              </w:rPr>
              <w:t>-</w:t>
            </w:r>
            <w:r>
              <w:rPr>
                <w:spacing w:val="-2"/>
                <w:sz w:val="24"/>
              </w:rPr>
              <w:t> </w:t>
            </w:r>
            <w:r>
              <w:rPr>
                <w:spacing w:val="-4"/>
                <w:sz w:val="24"/>
              </w:rPr>
              <w:t>3,4,5</w:t>
            </w:r>
          </w:p>
        </w:tc>
        <w:tc>
          <w:tcPr>
            <w:tcW w:w="1953" w:type="dxa"/>
          </w:tcPr>
          <w:p>
            <w:pPr>
              <w:pStyle w:val="TableParagraph"/>
              <w:ind w:left="119"/>
              <w:jc w:val="left"/>
              <w:rPr>
                <w:sz w:val="24"/>
              </w:rPr>
            </w:pPr>
            <w:r>
              <w:rPr>
                <w:sz w:val="24"/>
              </w:rPr>
              <w:t>3.06</w:t>
            </w:r>
            <w:r>
              <w:rPr>
                <w:spacing w:val="-5"/>
                <w:sz w:val="24"/>
              </w:rPr>
              <w:t> </w:t>
            </w:r>
            <w:r>
              <w:rPr>
                <w:sz w:val="24"/>
              </w:rPr>
              <w:t>(2.83</w:t>
            </w:r>
            <w:r>
              <w:rPr>
                <w:spacing w:val="-4"/>
                <w:sz w:val="24"/>
              </w:rPr>
              <w:t> </w:t>
            </w:r>
            <w:r>
              <w:rPr>
                <w:sz w:val="24"/>
              </w:rPr>
              <w:t>–</w:t>
            </w:r>
            <w:r>
              <w:rPr>
                <w:spacing w:val="-5"/>
                <w:sz w:val="24"/>
              </w:rPr>
              <w:t> </w:t>
            </w:r>
            <w:r>
              <w:rPr>
                <w:spacing w:val="-2"/>
                <w:sz w:val="24"/>
              </w:rPr>
              <w:t>3.29)</w:t>
            </w:r>
          </w:p>
        </w:tc>
        <w:tc>
          <w:tcPr>
            <w:tcW w:w="1422" w:type="dxa"/>
          </w:tcPr>
          <w:p>
            <w:pPr>
              <w:pStyle w:val="TableParagraph"/>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Pr>
          <w:p>
            <w:pPr>
              <w:pStyle w:val="TableParagraph"/>
              <w:ind w:left="105" w:right="106"/>
              <w:rPr>
                <w:sz w:val="24"/>
              </w:rPr>
            </w:pPr>
            <w:r>
              <w:rPr>
                <w:spacing w:val="-5"/>
                <w:sz w:val="24"/>
              </w:rPr>
              <w:t>No</w:t>
            </w:r>
          </w:p>
        </w:tc>
      </w:tr>
      <w:tr>
        <w:trPr>
          <w:trHeight w:val="306" w:hRule="atLeast"/>
        </w:trPr>
        <w:tc>
          <w:tcPr>
            <w:tcW w:w="1986" w:type="dxa"/>
            <w:tcBorders>
              <w:bottom w:val="single" w:sz="4" w:space="0" w:color="000000"/>
            </w:tcBorders>
          </w:tcPr>
          <w:p>
            <w:pPr>
              <w:pStyle w:val="TableParagraph"/>
              <w:spacing w:line="273" w:lineRule="exact"/>
              <w:ind w:left="109" w:right="109"/>
              <w:rPr>
                <w:sz w:val="24"/>
              </w:rPr>
            </w:pPr>
            <w:r>
              <w:rPr>
                <w:sz w:val="24"/>
              </w:rPr>
              <w:t>7</w:t>
            </w:r>
            <w:r>
              <w:rPr>
                <w:spacing w:val="-2"/>
                <w:sz w:val="24"/>
              </w:rPr>
              <w:t> </w:t>
            </w:r>
            <w:r>
              <w:rPr>
                <w:sz w:val="24"/>
              </w:rPr>
              <w:t>-</w:t>
            </w:r>
            <w:r>
              <w:rPr>
                <w:spacing w:val="-2"/>
                <w:sz w:val="24"/>
              </w:rPr>
              <w:t> </w:t>
            </w:r>
            <w:r>
              <w:rPr>
                <w:spacing w:val="-10"/>
                <w:sz w:val="24"/>
              </w:rPr>
              <w:t>6</w:t>
            </w:r>
          </w:p>
        </w:tc>
        <w:tc>
          <w:tcPr>
            <w:tcW w:w="1953" w:type="dxa"/>
            <w:tcBorders>
              <w:bottom w:val="single" w:sz="4" w:space="0" w:color="000000"/>
            </w:tcBorders>
          </w:tcPr>
          <w:p>
            <w:pPr>
              <w:pStyle w:val="TableParagraph"/>
              <w:spacing w:line="273" w:lineRule="exact"/>
              <w:ind w:left="119"/>
              <w:jc w:val="left"/>
              <w:rPr>
                <w:sz w:val="24"/>
              </w:rPr>
            </w:pPr>
            <w:r>
              <w:rPr>
                <w:sz w:val="24"/>
              </w:rPr>
              <w:t>3.38</w:t>
            </w:r>
            <w:r>
              <w:rPr>
                <w:spacing w:val="-5"/>
                <w:sz w:val="24"/>
              </w:rPr>
              <w:t> </w:t>
            </w:r>
            <w:r>
              <w:rPr>
                <w:sz w:val="24"/>
              </w:rPr>
              <w:t>(3.09</w:t>
            </w:r>
            <w:r>
              <w:rPr>
                <w:spacing w:val="-4"/>
                <w:sz w:val="24"/>
              </w:rPr>
              <w:t> </w:t>
            </w:r>
            <w:r>
              <w:rPr>
                <w:sz w:val="24"/>
              </w:rPr>
              <w:t>–</w:t>
            </w:r>
            <w:r>
              <w:rPr>
                <w:spacing w:val="-5"/>
                <w:sz w:val="24"/>
              </w:rPr>
              <w:t> </w:t>
            </w:r>
            <w:r>
              <w:rPr>
                <w:spacing w:val="-2"/>
                <w:sz w:val="24"/>
              </w:rPr>
              <w:t>3.66)</w:t>
            </w:r>
          </w:p>
        </w:tc>
        <w:tc>
          <w:tcPr>
            <w:tcW w:w="1422" w:type="dxa"/>
            <w:tcBorders>
              <w:bottom w:val="single" w:sz="4" w:space="0" w:color="000000"/>
            </w:tcBorders>
          </w:tcPr>
          <w:p>
            <w:pPr>
              <w:pStyle w:val="TableParagraph"/>
              <w:spacing w:line="275" w:lineRule="exact"/>
              <w:ind w:left="102" w:right="103"/>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Borders>
              <w:bottom w:val="single" w:sz="4" w:space="0" w:color="000000"/>
            </w:tcBorders>
          </w:tcPr>
          <w:p>
            <w:pPr>
              <w:pStyle w:val="TableParagraph"/>
              <w:spacing w:line="273" w:lineRule="exact"/>
              <w:ind w:left="105" w:right="106"/>
              <w:rPr>
                <w:sz w:val="24"/>
              </w:rPr>
            </w:pPr>
            <w:r>
              <w:rPr>
                <w:spacing w:val="-5"/>
                <w:sz w:val="24"/>
              </w:rPr>
              <w:t>No</w:t>
            </w:r>
          </w:p>
        </w:tc>
      </w:tr>
    </w:tbl>
    <w:p>
      <w:pPr>
        <w:pStyle w:val="BodyText"/>
        <w:rPr>
          <w:sz w:val="20"/>
        </w:rPr>
      </w:pPr>
    </w:p>
    <w:p>
      <w:pPr>
        <w:pStyle w:val="BodyText"/>
        <w:spacing w:line="252" w:lineRule="auto" w:before="245"/>
        <w:ind w:left="610" w:right="389"/>
        <w:jc w:val="both"/>
      </w:pPr>
      <w:bookmarkStart w:name="_bookmark84" w:id="150"/>
      <w:bookmarkEnd w:id="150"/>
      <w:r>
        <w:rPr/>
      </w:r>
      <w:r>
        <w:rPr>
          <w:b/>
        </w:rPr>
        <w:t>Table 3.16: </w:t>
      </w:r>
      <w:r>
        <w:rPr/>
        <w:t>Statistical comparison between rows at an SESOI of 2.0 for EPV-9.</w:t>
      </w:r>
      <w:r>
        <w:rPr>
          <w:spacing w:val="32"/>
        </w:rPr>
        <w:t> </w:t>
      </w:r>
      <w:r>
        <w:rPr/>
        <w:t>Where numbers are separated by commas, they have been averaged within the linear </w:t>
      </w:r>
      <w:r>
        <w:rPr/>
        <w:t>mixed model.</w:t>
      </w:r>
      <w:r>
        <w:rPr>
          <w:spacing w:val="40"/>
        </w:rPr>
        <w:t> </w:t>
      </w:r>
      <w:r>
        <w:rPr/>
        <w:t>Difference and significance provide the mean difference (95% confidence in- tervals)</w:t>
      </w:r>
      <w:r>
        <w:rPr>
          <w:spacing w:val="-7"/>
        </w:rPr>
        <w:t> </w:t>
      </w:r>
      <w:r>
        <w:rPr/>
        <w:t>between</w:t>
      </w:r>
      <w:r>
        <w:rPr>
          <w:spacing w:val="-7"/>
        </w:rPr>
        <w:t> </w:t>
      </w:r>
      <w:r>
        <w:rPr/>
        <w:t>the</w:t>
      </w:r>
      <w:r>
        <w:rPr>
          <w:spacing w:val="-7"/>
        </w:rPr>
        <w:t> </w:t>
      </w:r>
      <w:r>
        <w:rPr/>
        <w:t>rows</w:t>
      </w:r>
      <w:r>
        <w:rPr>
          <w:spacing w:val="-7"/>
        </w:rPr>
        <w:t> </w:t>
      </w:r>
      <w:r>
        <w:rPr/>
        <w:t>and</w:t>
      </w:r>
      <w:r>
        <w:rPr>
          <w:spacing w:val="-7"/>
        </w:rPr>
        <w:t> </w:t>
      </w:r>
      <w:r>
        <w:rPr/>
        <w:t>whether</w:t>
      </w:r>
      <w:r>
        <w:rPr>
          <w:spacing w:val="-7"/>
        </w:rPr>
        <w:t> </w:t>
      </w:r>
      <w:r>
        <w:rPr/>
        <w:t>this</w:t>
      </w:r>
      <w:r>
        <w:rPr>
          <w:spacing w:val="-7"/>
        </w:rPr>
        <w:t> </w:t>
      </w:r>
      <w:r>
        <w:rPr/>
        <w:t>was</w:t>
      </w:r>
      <w:r>
        <w:rPr>
          <w:spacing w:val="-7"/>
        </w:rPr>
        <w:t> </w:t>
      </w:r>
      <w:r>
        <w:rPr/>
        <w:t>significant</w:t>
      </w:r>
      <w:r>
        <w:rPr>
          <w:spacing w:val="-7"/>
        </w:rPr>
        <w:t> </w:t>
      </w:r>
      <w:r>
        <w:rPr/>
        <w:t>according</w:t>
      </w:r>
      <w:r>
        <w:rPr>
          <w:spacing w:val="-7"/>
        </w:rPr>
        <w:t> </w:t>
      </w:r>
      <w:r>
        <w:rPr/>
        <w:t>to</w:t>
      </w:r>
      <w:r>
        <w:rPr>
          <w:spacing w:val="-7"/>
        </w:rPr>
        <w:t> </w:t>
      </w:r>
      <w:r>
        <w:rPr/>
        <w:t>an</w:t>
      </w:r>
      <w:r>
        <w:rPr>
          <w:spacing w:val="-7"/>
        </w:rPr>
        <w:t> </w:t>
      </w:r>
      <w:r>
        <w:rPr/>
        <w:t>SESOI</w:t>
      </w:r>
      <w:r>
        <w:rPr>
          <w:spacing w:val="-7"/>
        </w:rPr>
        <w:t> </w:t>
      </w:r>
      <w:r>
        <w:rPr/>
        <w:t>of</w:t>
      </w:r>
      <w:r>
        <w:rPr>
          <w:spacing w:val="-7"/>
        </w:rPr>
        <w:t> </w:t>
      </w:r>
      <w:r>
        <w:rPr/>
        <w:t>2.0. Combine? Indicates</w:t>
      </w:r>
      <w:r>
        <w:rPr>
          <w:spacing w:val="-4"/>
        </w:rPr>
        <w:t> </w:t>
      </w:r>
      <w:r>
        <w:rPr/>
        <w:t>whether</w:t>
      </w:r>
      <w:r>
        <w:rPr>
          <w:spacing w:val="-4"/>
        </w:rPr>
        <w:t> </w:t>
      </w:r>
      <w:r>
        <w:rPr/>
        <w:t>the</w:t>
      </w:r>
      <w:r>
        <w:rPr>
          <w:spacing w:val="-4"/>
        </w:rPr>
        <w:t> </w:t>
      </w:r>
      <w:r>
        <w:rPr/>
        <w:t>row</w:t>
      </w:r>
      <w:r>
        <w:rPr>
          <w:spacing w:val="-4"/>
        </w:rPr>
        <w:t> </w:t>
      </w:r>
      <w:r>
        <w:rPr/>
        <w:t>values</w:t>
      </w:r>
      <w:r>
        <w:rPr>
          <w:spacing w:val="-4"/>
        </w:rPr>
        <w:t> </w:t>
      </w:r>
      <w:r>
        <w:rPr/>
        <w:t>were</w:t>
      </w:r>
      <w:r>
        <w:rPr>
          <w:spacing w:val="-4"/>
        </w:rPr>
        <w:t> </w:t>
      </w:r>
      <w:r>
        <w:rPr/>
        <w:t>averaged</w:t>
      </w:r>
      <w:r>
        <w:rPr>
          <w:spacing w:val="-4"/>
        </w:rPr>
        <w:t> </w:t>
      </w:r>
      <w:r>
        <w:rPr/>
        <w:t>before</w:t>
      </w:r>
      <w:r>
        <w:rPr>
          <w:spacing w:val="-4"/>
        </w:rPr>
        <w:t> </w:t>
      </w:r>
      <w:r>
        <w:rPr/>
        <w:t>comparing</w:t>
      </w:r>
      <w:r>
        <w:rPr>
          <w:spacing w:val="-4"/>
        </w:rPr>
        <w:t> </w:t>
      </w:r>
      <w:r>
        <w:rPr/>
        <w:t>to</w:t>
      </w:r>
      <w:r>
        <w:rPr>
          <w:spacing w:val="-4"/>
        </w:rPr>
        <w:t> </w:t>
      </w:r>
      <w:r>
        <w:rPr/>
        <w:t>the</w:t>
      </w:r>
      <w:r>
        <w:rPr>
          <w:spacing w:val="-4"/>
        </w:rPr>
        <w:t> </w:t>
      </w:r>
      <w:r>
        <w:rPr/>
        <w:t>next row.</w:t>
      </w:r>
      <w:r>
        <w:rPr>
          <w:spacing w:val="40"/>
        </w:rPr>
        <w:t> </w:t>
      </w:r>
      <w:r>
        <w:rPr/>
        <w:t>Comparisons began inside the attacking teams try area before progressing up the pitch to the opposition try area.</w:t>
      </w:r>
    </w:p>
    <w:p>
      <w:pPr>
        <w:pStyle w:val="BodyText"/>
        <w:rPr>
          <w:sz w:val="20"/>
        </w:rPr>
      </w:pPr>
    </w:p>
    <w:p>
      <w:pPr>
        <w:pStyle w:val="BodyText"/>
        <w:spacing w:before="7"/>
        <w:rPr>
          <w:sz w:val="21"/>
        </w:rPr>
      </w:pPr>
    </w:p>
    <w:tbl>
      <w:tblPr>
        <w:tblW w:w="0" w:type="auto"/>
        <w:jc w:val="left"/>
        <w:tblInd w:w="15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873"/>
        <w:gridCol w:w="2192"/>
        <w:gridCol w:w="1422"/>
        <w:gridCol w:w="1223"/>
      </w:tblGrid>
      <w:tr>
        <w:trPr>
          <w:trHeight w:val="272" w:hRule="atLeast"/>
        </w:trPr>
        <w:tc>
          <w:tcPr>
            <w:tcW w:w="1873" w:type="dxa"/>
            <w:tcBorders>
              <w:top w:val="single" w:sz="4" w:space="0" w:color="000000"/>
              <w:bottom w:val="single" w:sz="4" w:space="0" w:color="000000"/>
            </w:tcBorders>
          </w:tcPr>
          <w:p>
            <w:pPr>
              <w:pStyle w:val="TableParagraph"/>
              <w:spacing w:line="253" w:lineRule="exact"/>
              <w:ind w:left="112" w:right="112"/>
              <w:rPr>
                <w:sz w:val="24"/>
              </w:rPr>
            </w:pPr>
            <w:r>
              <w:rPr>
                <w:sz w:val="24"/>
              </w:rPr>
              <w:t>Rows</w:t>
            </w:r>
            <w:r>
              <w:rPr>
                <w:spacing w:val="-13"/>
                <w:sz w:val="24"/>
              </w:rPr>
              <w:t> </w:t>
            </w:r>
            <w:r>
              <w:rPr>
                <w:spacing w:val="-2"/>
                <w:sz w:val="24"/>
              </w:rPr>
              <w:t>included</w:t>
            </w:r>
          </w:p>
        </w:tc>
        <w:tc>
          <w:tcPr>
            <w:tcW w:w="2192" w:type="dxa"/>
            <w:tcBorders>
              <w:top w:val="single" w:sz="4" w:space="0" w:color="000000"/>
              <w:bottom w:val="single" w:sz="4" w:space="0" w:color="000000"/>
            </w:tcBorders>
          </w:tcPr>
          <w:p>
            <w:pPr>
              <w:pStyle w:val="TableParagraph"/>
              <w:spacing w:line="253" w:lineRule="exact"/>
              <w:ind w:left="108" w:right="109"/>
              <w:rPr>
                <w:sz w:val="24"/>
              </w:rPr>
            </w:pPr>
            <w:r>
              <w:rPr>
                <w:spacing w:val="-2"/>
                <w:sz w:val="24"/>
              </w:rPr>
              <w:t>Difference</w:t>
            </w:r>
          </w:p>
        </w:tc>
        <w:tc>
          <w:tcPr>
            <w:tcW w:w="1422" w:type="dxa"/>
            <w:tcBorders>
              <w:top w:val="single" w:sz="4" w:space="0" w:color="000000"/>
              <w:bottom w:val="single" w:sz="4" w:space="0" w:color="000000"/>
            </w:tcBorders>
          </w:tcPr>
          <w:p>
            <w:pPr>
              <w:pStyle w:val="TableParagraph"/>
              <w:spacing w:line="253" w:lineRule="exact"/>
              <w:ind w:right="119"/>
              <w:jc w:val="right"/>
              <w:rPr>
                <w:sz w:val="24"/>
              </w:rPr>
            </w:pPr>
            <w:r>
              <w:rPr>
                <w:spacing w:val="-2"/>
                <w:sz w:val="24"/>
              </w:rPr>
              <w:t>Significance</w:t>
            </w:r>
          </w:p>
        </w:tc>
        <w:tc>
          <w:tcPr>
            <w:tcW w:w="1223" w:type="dxa"/>
            <w:tcBorders>
              <w:top w:val="single" w:sz="4" w:space="0" w:color="000000"/>
              <w:bottom w:val="single" w:sz="4" w:space="0" w:color="000000"/>
            </w:tcBorders>
          </w:tcPr>
          <w:p>
            <w:pPr>
              <w:pStyle w:val="TableParagraph"/>
              <w:spacing w:line="253" w:lineRule="exact"/>
              <w:ind w:left="105" w:right="106"/>
              <w:rPr>
                <w:sz w:val="24"/>
              </w:rPr>
            </w:pPr>
            <w:r>
              <w:rPr>
                <w:spacing w:val="-2"/>
                <w:sz w:val="24"/>
              </w:rPr>
              <w:t>Combine?</w:t>
            </w:r>
          </w:p>
        </w:tc>
      </w:tr>
      <w:tr>
        <w:trPr>
          <w:trHeight w:val="283" w:hRule="atLeast"/>
        </w:trPr>
        <w:tc>
          <w:tcPr>
            <w:tcW w:w="1873" w:type="dxa"/>
            <w:tcBorders>
              <w:top w:val="single" w:sz="4" w:space="0" w:color="000000"/>
            </w:tcBorders>
          </w:tcPr>
          <w:p>
            <w:pPr>
              <w:pStyle w:val="TableParagraph"/>
              <w:spacing w:line="249" w:lineRule="exact"/>
              <w:ind w:left="112" w:right="112"/>
              <w:rPr>
                <w:sz w:val="24"/>
              </w:rPr>
            </w:pPr>
            <w:r>
              <w:rPr>
                <w:sz w:val="24"/>
              </w:rPr>
              <w:t>2</w:t>
            </w:r>
            <w:r>
              <w:rPr>
                <w:spacing w:val="-2"/>
                <w:sz w:val="24"/>
              </w:rPr>
              <w:t> </w:t>
            </w:r>
            <w:r>
              <w:rPr>
                <w:sz w:val="24"/>
              </w:rPr>
              <w:t>-</w:t>
            </w:r>
            <w:r>
              <w:rPr>
                <w:spacing w:val="-2"/>
                <w:sz w:val="24"/>
              </w:rPr>
              <w:t> </w:t>
            </w:r>
            <w:r>
              <w:rPr>
                <w:spacing w:val="-10"/>
                <w:sz w:val="24"/>
              </w:rPr>
              <w:t>1</w:t>
            </w:r>
          </w:p>
        </w:tc>
        <w:tc>
          <w:tcPr>
            <w:tcW w:w="2192" w:type="dxa"/>
            <w:tcBorders>
              <w:top w:val="single" w:sz="4" w:space="0" w:color="000000"/>
            </w:tcBorders>
          </w:tcPr>
          <w:p>
            <w:pPr>
              <w:pStyle w:val="TableParagraph"/>
              <w:spacing w:line="249" w:lineRule="exact"/>
              <w:ind w:left="238"/>
              <w:jc w:val="left"/>
              <w:rPr>
                <w:sz w:val="24"/>
              </w:rPr>
            </w:pPr>
            <w:r>
              <w:rPr>
                <w:sz w:val="24"/>
              </w:rPr>
              <w:t>1.30</w:t>
            </w:r>
            <w:r>
              <w:rPr>
                <w:spacing w:val="-5"/>
                <w:sz w:val="24"/>
              </w:rPr>
              <w:t> </w:t>
            </w:r>
            <w:r>
              <w:rPr>
                <w:sz w:val="24"/>
              </w:rPr>
              <w:t>(0.93</w:t>
            </w:r>
            <w:r>
              <w:rPr>
                <w:spacing w:val="-4"/>
                <w:sz w:val="24"/>
              </w:rPr>
              <w:t> </w:t>
            </w:r>
            <w:r>
              <w:rPr>
                <w:sz w:val="24"/>
              </w:rPr>
              <w:t>–</w:t>
            </w:r>
            <w:r>
              <w:rPr>
                <w:spacing w:val="-5"/>
                <w:sz w:val="24"/>
              </w:rPr>
              <w:t> </w:t>
            </w:r>
            <w:r>
              <w:rPr>
                <w:spacing w:val="-2"/>
                <w:sz w:val="24"/>
              </w:rPr>
              <w:t>1.67)</w:t>
            </w:r>
          </w:p>
        </w:tc>
        <w:tc>
          <w:tcPr>
            <w:tcW w:w="1422" w:type="dxa"/>
            <w:tcBorders>
              <w:top w:val="single" w:sz="4" w:space="0" w:color="000000"/>
            </w:tcBorders>
          </w:tcPr>
          <w:p>
            <w:pPr>
              <w:pStyle w:val="TableParagraph"/>
              <w:spacing w:line="249" w:lineRule="exact"/>
              <w:ind w:right="187"/>
              <w:jc w:val="right"/>
              <w:rPr>
                <w:sz w:val="24"/>
              </w:rPr>
            </w:pPr>
            <w:r>
              <w:rPr>
                <w:sz w:val="24"/>
              </w:rPr>
              <w:t>P</w:t>
            </w:r>
            <w:r>
              <w:rPr>
                <w:spacing w:val="-3"/>
                <w:sz w:val="24"/>
              </w:rPr>
              <w:t> </w:t>
            </w:r>
            <w:r>
              <w:rPr>
                <w:sz w:val="24"/>
              </w:rPr>
              <w:t>=</w:t>
            </w:r>
            <w:r>
              <w:rPr>
                <w:spacing w:val="-2"/>
                <w:sz w:val="24"/>
              </w:rPr>
              <w:t> 0.9999</w:t>
            </w:r>
          </w:p>
        </w:tc>
        <w:tc>
          <w:tcPr>
            <w:tcW w:w="1223" w:type="dxa"/>
            <w:tcBorders>
              <w:top w:val="single" w:sz="4" w:space="0" w:color="000000"/>
            </w:tcBorders>
          </w:tcPr>
          <w:p>
            <w:pPr>
              <w:pStyle w:val="TableParagraph"/>
              <w:spacing w:line="249" w:lineRule="exact"/>
              <w:ind w:left="105" w:right="106"/>
              <w:rPr>
                <w:sz w:val="24"/>
              </w:rPr>
            </w:pPr>
            <w:r>
              <w:rPr>
                <w:spacing w:val="-5"/>
                <w:sz w:val="24"/>
              </w:rPr>
              <w:t>Yes</w:t>
            </w:r>
          </w:p>
        </w:tc>
      </w:tr>
      <w:tr>
        <w:trPr>
          <w:trHeight w:val="288" w:hRule="atLeast"/>
        </w:trPr>
        <w:tc>
          <w:tcPr>
            <w:tcW w:w="1873" w:type="dxa"/>
          </w:tcPr>
          <w:p>
            <w:pPr>
              <w:pStyle w:val="TableParagraph"/>
              <w:ind w:left="112" w:right="112"/>
              <w:rPr>
                <w:sz w:val="24"/>
              </w:rPr>
            </w:pPr>
            <w:r>
              <w:rPr>
                <w:sz w:val="24"/>
              </w:rPr>
              <w:t>3</w:t>
            </w:r>
            <w:r>
              <w:rPr>
                <w:spacing w:val="-2"/>
                <w:sz w:val="24"/>
              </w:rPr>
              <w:t> </w:t>
            </w:r>
            <w:r>
              <w:rPr>
                <w:sz w:val="24"/>
              </w:rPr>
              <w:t>-</w:t>
            </w:r>
            <w:r>
              <w:rPr>
                <w:spacing w:val="-2"/>
                <w:sz w:val="24"/>
              </w:rPr>
              <w:t> </w:t>
            </w:r>
            <w:r>
              <w:rPr>
                <w:spacing w:val="-5"/>
                <w:sz w:val="24"/>
              </w:rPr>
              <w:t>1,2</w:t>
            </w:r>
          </w:p>
        </w:tc>
        <w:tc>
          <w:tcPr>
            <w:tcW w:w="2192" w:type="dxa"/>
          </w:tcPr>
          <w:p>
            <w:pPr>
              <w:pStyle w:val="TableParagraph"/>
              <w:ind w:left="238"/>
              <w:jc w:val="left"/>
              <w:rPr>
                <w:sz w:val="24"/>
              </w:rPr>
            </w:pPr>
            <w:r>
              <w:rPr>
                <w:sz w:val="24"/>
              </w:rPr>
              <w:t>2.29</w:t>
            </w:r>
            <w:r>
              <w:rPr>
                <w:spacing w:val="-5"/>
                <w:sz w:val="24"/>
              </w:rPr>
              <w:t> </w:t>
            </w:r>
            <w:r>
              <w:rPr>
                <w:sz w:val="24"/>
              </w:rPr>
              <w:t>(2.04</w:t>
            </w:r>
            <w:r>
              <w:rPr>
                <w:spacing w:val="-4"/>
                <w:sz w:val="24"/>
              </w:rPr>
              <w:t> </w:t>
            </w:r>
            <w:r>
              <w:rPr>
                <w:sz w:val="24"/>
              </w:rPr>
              <w:t>–</w:t>
            </w:r>
            <w:r>
              <w:rPr>
                <w:spacing w:val="-5"/>
                <w:sz w:val="24"/>
              </w:rPr>
              <w:t> </w:t>
            </w:r>
            <w:r>
              <w:rPr>
                <w:spacing w:val="-2"/>
                <w:sz w:val="24"/>
              </w:rPr>
              <w:t>2.53)</w:t>
            </w:r>
          </w:p>
        </w:tc>
        <w:tc>
          <w:tcPr>
            <w:tcW w:w="1422" w:type="dxa"/>
          </w:tcPr>
          <w:p>
            <w:pPr>
              <w:pStyle w:val="TableParagraph"/>
              <w:ind w:right="187"/>
              <w:jc w:val="right"/>
              <w:rPr>
                <w:sz w:val="24"/>
              </w:rPr>
            </w:pPr>
            <w:r>
              <w:rPr>
                <w:sz w:val="24"/>
              </w:rPr>
              <w:t>P</w:t>
            </w:r>
            <w:r>
              <w:rPr>
                <w:spacing w:val="-3"/>
                <w:sz w:val="24"/>
              </w:rPr>
              <w:t> </w:t>
            </w:r>
            <w:r>
              <w:rPr>
                <w:sz w:val="24"/>
              </w:rPr>
              <w:t>=</w:t>
            </w:r>
            <w:r>
              <w:rPr>
                <w:spacing w:val="-2"/>
                <w:sz w:val="24"/>
              </w:rPr>
              <w:t> 0.0112</w:t>
            </w:r>
          </w:p>
        </w:tc>
        <w:tc>
          <w:tcPr>
            <w:tcW w:w="1223" w:type="dxa"/>
          </w:tcPr>
          <w:p>
            <w:pPr>
              <w:pStyle w:val="TableParagraph"/>
              <w:ind w:left="104" w:right="106"/>
              <w:rPr>
                <w:sz w:val="24"/>
              </w:rPr>
            </w:pPr>
            <w:r>
              <w:rPr>
                <w:spacing w:val="-5"/>
                <w:sz w:val="24"/>
              </w:rPr>
              <w:t>No</w:t>
            </w:r>
          </w:p>
        </w:tc>
      </w:tr>
      <w:tr>
        <w:trPr>
          <w:trHeight w:val="288" w:hRule="atLeast"/>
        </w:trPr>
        <w:tc>
          <w:tcPr>
            <w:tcW w:w="1873" w:type="dxa"/>
          </w:tcPr>
          <w:p>
            <w:pPr>
              <w:pStyle w:val="TableParagraph"/>
              <w:ind w:left="112" w:right="112"/>
              <w:rPr>
                <w:sz w:val="24"/>
              </w:rPr>
            </w:pPr>
            <w:r>
              <w:rPr>
                <w:sz w:val="24"/>
              </w:rPr>
              <w:t>4</w:t>
            </w:r>
            <w:r>
              <w:rPr>
                <w:spacing w:val="-2"/>
                <w:sz w:val="24"/>
              </w:rPr>
              <w:t> </w:t>
            </w:r>
            <w:r>
              <w:rPr>
                <w:sz w:val="24"/>
              </w:rPr>
              <w:t>-</w:t>
            </w:r>
            <w:r>
              <w:rPr>
                <w:spacing w:val="-2"/>
                <w:sz w:val="24"/>
              </w:rPr>
              <w:t> </w:t>
            </w:r>
            <w:r>
              <w:rPr>
                <w:spacing w:val="-10"/>
                <w:sz w:val="24"/>
              </w:rPr>
              <w:t>3</w:t>
            </w:r>
          </w:p>
        </w:tc>
        <w:tc>
          <w:tcPr>
            <w:tcW w:w="2192" w:type="dxa"/>
          </w:tcPr>
          <w:p>
            <w:pPr>
              <w:pStyle w:val="TableParagraph"/>
              <w:ind w:left="108" w:right="109"/>
              <w:rPr>
                <w:sz w:val="24"/>
              </w:rPr>
            </w:pPr>
            <w:r>
              <w:rPr>
                <w:sz w:val="24"/>
              </w:rPr>
              <w:t>-0.07</w:t>
            </w:r>
            <w:r>
              <w:rPr>
                <w:spacing w:val="-5"/>
                <w:sz w:val="24"/>
              </w:rPr>
              <w:t> </w:t>
            </w:r>
            <w:r>
              <w:rPr>
                <w:sz w:val="24"/>
              </w:rPr>
              <w:t>(-0.30</w:t>
            </w:r>
            <w:r>
              <w:rPr>
                <w:spacing w:val="-5"/>
                <w:sz w:val="24"/>
              </w:rPr>
              <w:t> </w:t>
            </w:r>
            <w:r>
              <w:rPr>
                <w:sz w:val="24"/>
              </w:rPr>
              <w:t>–</w:t>
            </w:r>
            <w:r>
              <w:rPr>
                <w:spacing w:val="-5"/>
                <w:sz w:val="24"/>
              </w:rPr>
              <w:t> </w:t>
            </w:r>
            <w:r>
              <w:rPr>
                <w:spacing w:val="-2"/>
                <w:sz w:val="24"/>
              </w:rPr>
              <w:t>0.16)</w:t>
            </w:r>
          </w:p>
        </w:tc>
        <w:tc>
          <w:tcPr>
            <w:tcW w:w="1422" w:type="dxa"/>
          </w:tcPr>
          <w:p>
            <w:pPr>
              <w:pStyle w:val="TableParagraph"/>
              <w:ind w:left="247"/>
              <w:jc w:val="left"/>
              <w:rPr>
                <w:sz w:val="24"/>
              </w:rPr>
            </w:pPr>
            <w:r>
              <w:rPr>
                <w:sz w:val="24"/>
              </w:rPr>
              <w:t>P</w:t>
            </w:r>
            <w:r>
              <w:rPr>
                <w:spacing w:val="-3"/>
                <w:sz w:val="24"/>
              </w:rPr>
              <w:t> </w:t>
            </w:r>
            <w:r>
              <w:rPr>
                <w:sz w:val="24"/>
              </w:rPr>
              <w:t>=</w:t>
            </w:r>
            <w:r>
              <w:rPr>
                <w:spacing w:val="-2"/>
                <w:sz w:val="24"/>
              </w:rPr>
              <w:t> 1.000</w:t>
            </w:r>
          </w:p>
        </w:tc>
        <w:tc>
          <w:tcPr>
            <w:tcW w:w="1223" w:type="dxa"/>
          </w:tcPr>
          <w:p>
            <w:pPr>
              <w:pStyle w:val="TableParagraph"/>
              <w:ind w:left="105" w:right="106"/>
              <w:rPr>
                <w:sz w:val="24"/>
              </w:rPr>
            </w:pPr>
            <w:r>
              <w:rPr>
                <w:spacing w:val="-5"/>
                <w:sz w:val="24"/>
              </w:rPr>
              <w:t>Yes</w:t>
            </w:r>
          </w:p>
        </w:tc>
      </w:tr>
      <w:tr>
        <w:trPr>
          <w:trHeight w:val="288" w:hRule="atLeast"/>
        </w:trPr>
        <w:tc>
          <w:tcPr>
            <w:tcW w:w="1873" w:type="dxa"/>
          </w:tcPr>
          <w:p>
            <w:pPr>
              <w:pStyle w:val="TableParagraph"/>
              <w:ind w:left="112" w:right="112"/>
              <w:rPr>
                <w:sz w:val="24"/>
              </w:rPr>
            </w:pPr>
            <w:r>
              <w:rPr>
                <w:sz w:val="24"/>
              </w:rPr>
              <w:t>5</w:t>
            </w:r>
            <w:r>
              <w:rPr>
                <w:spacing w:val="-2"/>
                <w:sz w:val="24"/>
              </w:rPr>
              <w:t> </w:t>
            </w:r>
            <w:r>
              <w:rPr>
                <w:sz w:val="24"/>
              </w:rPr>
              <w:t>-</w:t>
            </w:r>
            <w:r>
              <w:rPr>
                <w:spacing w:val="-2"/>
                <w:sz w:val="24"/>
              </w:rPr>
              <w:t> </w:t>
            </w:r>
            <w:r>
              <w:rPr>
                <w:spacing w:val="-5"/>
                <w:sz w:val="24"/>
              </w:rPr>
              <w:t>3,4</w:t>
            </w:r>
          </w:p>
        </w:tc>
        <w:tc>
          <w:tcPr>
            <w:tcW w:w="2192" w:type="dxa"/>
          </w:tcPr>
          <w:p>
            <w:pPr>
              <w:pStyle w:val="TableParagraph"/>
              <w:ind w:left="109" w:right="109"/>
              <w:rPr>
                <w:sz w:val="24"/>
              </w:rPr>
            </w:pPr>
            <w:r>
              <w:rPr>
                <w:sz w:val="24"/>
              </w:rPr>
              <w:t>-0.28</w:t>
            </w:r>
            <w:r>
              <w:rPr>
                <w:spacing w:val="-6"/>
                <w:sz w:val="24"/>
              </w:rPr>
              <w:t> </w:t>
            </w:r>
            <w:r>
              <w:rPr>
                <w:sz w:val="24"/>
              </w:rPr>
              <w:t>(-0.48</w:t>
            </w:r>
            <w:r>
              <w:rPr>
                <w:spacing w:val="-5"/>
                <w:sz w:val="24"/>
              </w:rPr>
              <w:t> </w:t>
            </w:r>
            <w:r>
              <w:rPr>
                <w:sz w:val="24"/>
              </w:rPr>
              <w:t>–</w:t>
            </w:r>
            <w:r>
              <w:rPr>
                <w:spacing w:val="-5"/>
                <w:sz w:val="24"/>
              </w:rPr>
              <w:t> </w:t>
            </w:r>
            <w:r>
              <w:rPr>
                <w:sz w:val="24"/>
              </w:rPr>
              <w:t>-</w:t>
            </w:r>
            <w:r>
              <w:rPr>
                <w:spacing w:val="-2"/>
                <w:sz w:val="24"/>
              </w:rPr>
              <w:t>0.08)</w:t>
            </w:r>
          </w:p>
        </w:tc>
        <w:tc>
          <w:tcPr>
            <w:tcW w:w="1422" w:type="dxa"/>
          </w:tcPr>
          <w:p>
            <w:pPr>
              <w:pStyle w:val="TableParagraph"/>
              <w:ind w:left="247"/>
              <w:jc w:val="left"/>
              <w:rPr>
                <w:sz w:val="24"/>
              </w:rPr>
            </w:pPr>
            <w:r>
              <w:rPr>
                <w:sz w:val="24"/>
              </w:rPr>
              <w:t>P</w:t>
            </w:r>
            <w:r>
              <w:rPr>
                <w:spacing w:val="-3"/>
                <w:sz w:val="24"/>
              </w:rPr>
              <w:t> </w:t>
            </w:r>
            <w:r>
              <w:rPr>
                <w:sz w:val="24"/>
              </w:rPr>
              <w:t>=</w:t>
            </w:r>
            <w:r>
              <w:rPr>
                <w:spacing w:val="-2"/>
                <w:sz w:val="24"/>
              </w:rPr>
              <w:t> 1.000</w:t>
            </w:r>
          </w:p>
        </w:tc>
        <w:tc>
          <w:tcPr>
            <w:tcW w:w="1223" w:type="dxa"/>
          </w:tcPr>
          <w:p>
            <w:pPr>
              <w:pStyle w:val="TableParagraph"/>
              <w:ind w:left="105" w:right="106"/>
              <w:rPr>
                <w:sz w:val="24"/>
              </w:rPr>
            </w:pPr>
            <w:r>
              <w:rPr>
                <w:spacing w:val="-5"/>
                <w:sz w:val="24"/>
              </w:rPr>
              <w:t>Yes</w:t>
            </w:r>
          </w:p>
        </w:tc>
      </w:tr>
      <w:tr>
        <w:trPr>
          <w:trHeight w:val="288" w:hRule="atLeast"/>
        </w:trPr>
        <w:tc>
          <w:tcPr>
            <w:tcW w:w="1873" w:type="dxa"/>
          </w:tcPr>
          <w:p>
            <w:pPr>
              <w:pStyle w:val="TableParagraph"/>
              <w:ind w:left="112" w:right="112"/>
              <w:rPr>
                <w:sz w:val="24"/>
              </w:rPr>
            </w:pPr>
            <w:r>
              <w:rPr>
                <w:sz w:val="24"/>
              </w:rPr>
              <w:t>6</w:t>
            </w:r>
            <w:r>
              <w:rPr>
                <w:spacing w:val="-2"/>
                <w:sz w:val="24"/>
              </w:rPr>
              <w:t> </w:t>
            </w:r>
            <w:r>
              <w:rPr>
                <w:sz w:val="24"/>
              </w:rPr>
              <w:t>-</w:t>
            </w:r>
            <w:r>
              <w:rPr>
                <w:spacing w:val="-2"/>
                <w:sz w:val="24"/>
              </w:rPr>
              <w:t> </w:t>
            </w:r>
            <w:r>
              <w:rPr>
                <w:spacing w:val="-4"/>
                <w:sz w:val="24"/>
              </w:rPr>
              <w:t>3,4,5</w:t>
            </w:r>
          </w:p>
        </w:tc>
        <w:tc>
          <w:tcPr>
            <w:tcW w:w="2192" w:type="dxa"/>
          </w:tcPr>
          <w:p>
            <w:pPr>
              <w:pStyle w:val="TableParagraph"/>
              <w:ind w:left="199"/>
              <w:jc w:val="left"/>
              <w:rPr>
                <w:sz w:val="24"/>
              </w:rPr>
            </w:pPr>
            <w:r>
              <w:rPr>
                <w:sz w:val="24"/>
              </w:rPr>
              <w:t>0.07</w:t>
            </w:r>
            <w:r>
              <w:rPr>
                <w:spacing w:val="-5"/>
                <w:sz w:val="24"/>
              </w:rPr>
              <w:t> </w:t>
            </w:r>
            <w:r>
              <w:rPr>
                <w:sz w:val="24"/>
              </w:rPr>
              <w:t>(-0.12</w:t>
            </w:r>
            <w:r>
              <w:rPr>
                <w:spacing w:val="-5"/>
                <w:sz w:val="24"/>
              </w:rPr>
              <w:t> </w:t>
            </w:r>
            <w:r>
              <w:rPr>
                <w:sz w:val="24"/>
              </w:rPr>
              <w:t>–</w:t>
            </w:r>
            <w:r>
              <w:rPr>
                <w:spacing w:val="-5"/>
                <w:sz w:val="24"/>
              </w:rPr>
              <w:t> </w:t>
            </w:r>
            <w:r>
              <w:rPr>
                <w:spacing w:val="-2"/>
                <w:sz w:val="24"/>
              </w:rPr>
              <w:t>0.26)</w:t>
            </w:r>
          </w:p>
        </w:tc>
        <w:tc>
          <w:tcPr>
            <w:tcW w:w="1422" w:type="dxa"/>
          </w:tcPr>
          <w:p>
            <w:pPr>
              <w:pStyle w:val="TableParagraph"/>
              <w:ind w:left="247"/>
              <w:jc w:val="left"/>
              <w:rPr>
                <w:sz w:val="24"/>
              </w:rPr>
            </w:pPr>
            <w:r>
              <w:rPr>
                <w:sz w:val="24"/>
              </w:rPr>
              <w:t>P</w:t>
            </w:r>
            <w:r>
              <w:rPr>
                <w:spacing w:val="-3"/>
                <w:sz w:val="24"/>
              </w:rPr>
              <w:t> </w:t>
            </w:r>
            <w:r>
              <w:rPr>
                <w:sz w:val="24"/>
              </w:rPr>
              <w:t>=</w:t>
            </w:r>
            <w:r>
              <w:rPr>
                <w:spacing w:val="-2"/>
                <w:sz w:val="24"/>
              </w:rPr>
              <w:t> 1.000</w:t>
            </w:r>
          </w:p>
        </w:tc>
        <w:tc>
          <w:tcPr>
            <w:tcW w:w="1223" w:type="dxa"/>
          </w:tcPr>
          <w:p>
            <w:pPr>
              <w:pStyle w:val="TableParagraph"/>
              <w:ind w:left="105" w:right="106"/>
              <w:rPr>
                <w:sz w:val="24"/>
              </w:rPr>
            </w:pPr>
            <w:r>
              <w:rPr>
                <w:spacing w:val="-5"/>
                <w:sz w:val="24"/>
              </w:rPr>
              <w:t>Yes</w:t>
            </w:r>
          </w:p>
        </w:tc>
      </w:tr>
      <w:tr>
        <w:trPr>
          <w:trHeight w:val="288" w:hRule="atLeast"/>
        </w:trPr>
        <w:tc>
          <w:tcPr>
            <w:tcW w:w="1873" w:type="dxa"/>
          </w:tcPr>
          <w:p>
            <w:pPr>
              <w:pStyle w:val="TableParagraph"/>
              <w:ind w:left="112" w:right="112"/>
              <w:rPr>
                <w:sz w:val="24"/>
              </w:rPr>
            </w:pPr>
            <w:r>
              <w:rPr>
                <w:sz w:val="24"/>
              </w:rPr>
              <w:t>7</w:t>
            </w:r>
            <w:r>
              <w:rPr>
                <w:spacing w:val="-2"/>
                <w:sz w:val="24"/>
              </w:rPr>
              <w:t> </w:t>
            </w:r>
            <w:r>
              <w:rPr>
                <w:sz w:val="24"/>
              </w:rPr>
              <w:t>-</w:t>
            </w:r>
            <w:r>
              <w:rPr>
                <w:spacing w:val="-2"/>
                <w:sz w:val="24"/>
              </w:rPr>
              <w:t> 3,4,5,6</w:t>
            </w:r>
          </w:p>
        </w:tc>
        <w:tc>
          <w:tcPr>
            <w:tcW w:w="2192" w:type="dxa"/>
          </w:tcPr>
          <w:p>
            <w:pPr>
              <w:pStyle w:val="TableParagraph"/>
              <w:ind w:left="238"/>
              <w:jc w:val="left"/>
              <w:rPr>
                <w:sz w:val="24"/>
              </w:rPr>
            </w:pPr>
            <w:r>
              <w:rPr>
                <w:sz w:val="24"/>
              </w:rPr>
              <w:t>0.73</w:t>
            </w:r>
            <w:r>
              <w:rPr>
                <w:spacing w:val="-5"/>
                <w:sz w:val="24"/>
              </w:rPr>
              <w:t> </w:t>
            </w:r>
            <w:r>
              <w:rPr>
                <w:sz w:val="24"/>
              </w:rPr>
              <w:t>(0.54</w:t>
            </w:r>
            <w:r>
              <w:rPr>
                <w:spacing w:val="-4"/>
                <w:sz w:val="24"/>
              </w:rPr>
              <w:t> </w:t>
            </w:r>
            <w:r>
              <w:rPr>
                <w:sz w:val="24"/>
              </w:rPr>
              <w:t>–</w:t>
            </w:r>
            <w:r>
              <w:rPr>
                <w:spacing w:val="-5"/>
                <w:sz w:val="24"/>
              </w:rPr>
              <w:t> </w:t>
            </w:r>
            <w:r>
              <w:rPr>
                <w:spacing w:val="-2"/>
                <w:sz w:val="24"/>
              </w:rPr>
              <w:t>0.91)</w:t>
            </w:r>
          </w:p>
        </w:tc>
        <w:tc>
          <w:tcPr>
            <w:tcW w:w="1422" w:type="dxa"/>
          </w:tcPr>
          <w:p>
            <w:pPr>
              <w:pStyle w:val="TableParagraph"/>
              <w:ind w:left="247"/>
              <w:jc w:val="left"/>
              <w:rPr>
                <w:sz w:val="24"/>
              </w:rPr>
            </w:pPr>
            <w:r>
              <w:rPr>
                <w:sz w:val="24"/>
              </w:rPr>
              <w:t>P</w:t>
            </w:r>
            <w:r>
              <w:rPr>
                <w:spacing w:val="-3"/>
                <w:sz w:val="24"/>
              </w:rPr>
              <w:t> </w:t>
            </w:r>
            <w:r>
              <w:rPr>
                <w:sz w:val="24"/>
              </w:rPr>
              <w:t>=</w:t>
            </w:r>
            <w:r>
              <w:rPr>
                <w:spacing w:val="-2"/>
                <w:sz w:val="24"/>
              </w:rPr>
              <w:t> 1.000</w:t>
            </w:r>
          </w:p>
        </w:tc>
        <w:tc>
          <w:tcPr>
            <w:tcW w:w="1223" w:type="dxa"/>
          </w:tcPr>
          <w:p>
            <w:pPr>
              <w:pStyle w:val="TableParagraph"/>
              <w:ind w:left="105" w:right="106"/>
              <w:rPr>
                <w:sz w:val="24"/>
              </w:rPr>
            </w:pPr>
            <w:r>
              <w:rPr>
                <w:spacing w:val="-5"/>
                <w:sz w:val="24"/>
              </w:rPr>
              <w:t>Yes</w:t>
            </w:r>
          </w:p>
        </w:tc>
      </w:tr>
      <w:tr>
        <w:trPr>
          <w:trHeight w:val="288" w:hRule="atLeast"/>
        </w:trPr>
        <w:tc>
          <w:tcPr>
            <w:tcW w:w="1873" w:type="dxa"/>
          </w:tcPr>
          <w:p>
            <w:pPr>
              <w:pStyle w:val="TableParagraph"/>
              <w:ind w:left="112" w:right="112"/>
              <w:rPr>
                <w:sz w:val="24"/>
              </w:rPr>
            </w:pPr>
            <w:r>
              <w:rPr>
                <w:sz w:val="24"/>
              </w:rPr>
              <w:t>8</w:t>
            </w:r>
            <w:r>
              <w:rPr>
                <w:spacing w:val="-2"/>
                <w:sz w:val="24"/>
              </w:rPr>
              <w:t> </w:t>
            </w:r>
            <w:r>
              <w:rPr>
                <w:sz w:val="24"/>
              </w:rPr>
              <w:t>-</w:t>
            </w:r>
            <w:r>
              <w:rPr>
                <w:spacing w:val="-2"/>
                <w:sz w:val="24"/>
              </w:rPr>
              <w:t> 3,4,5,6,7</w:t>
            </w:r>
          </w:p>
        </w:tc>
        <w:tc>
          <w:tcPr>
            <w:tcW w:w="2192" w:type="dxa"/>
          </w:tcPr>
          <w:p>
            <w:pPr>
              <w:pStyle w:val="TableParagraph"/>
              <w:ind w:left="238"/>
              <w:jc w:val="left"/>
              <w:rPr>
                <w:sz w:val="24"/>
              </w:rPr>
            </w:pPr>
            <w:r>
              <w:rPr>
                <w:sz w:val="24"/>
              </w:rPr>
              <w:t>0.56</w:t>
            </w:r>
            <w:r>
              <w:rPr>
                <w:spacing w:val="-5"/>
                <w:sz w:val="24"/>
              </w:rPr>
              <w:t> </w:t>
            </w:r>
            <w:r>
              <w:rPr>
                <w:sz w:val="24"/>
              </w:rPr>
              <w:t>(0.38</w:t>
            </w:r>
            <w:r>
              <w:rPr>
                <w:spacing w:val="-5"/>
                <w:sz w:val="24"/>
              </w:rPr>
              <w:t> </w:t>
            </w:r>
            <w:r>
              <w:rPr>
                <w:sz w:val="24"/>
              </w:rPr>
              <w:t>–</w:t>
            </w:r>
            <w:r>
              <w:rPr>
                <w:spacing w:val="-5"/>
                <w:sz w:val="24"/>
              </w:rPr>
              <w:t> </w:t>
            </w:r>
            <w:r>
              <w:rPr>
                <w:spacing w:val="-2"/>
                <w:sz w:val="24"/>
              </w:rPr>
              <w:t>0.74)</w:t>
            </w:r>
          </w:p>
        </w:tc>
        <w:tc>
          <w:tcPr>
            <w:tcW w:w="1422" w:type="dxa"/>
          </w:tcPr>
          <w:p>
            <w:pPr>
              <w:pStyle w:val="TableParagraph"/>
              <w:ind w:left="247"/>
              <w:jc w:val="left"/>
              <w:rPr>
                <w:sz w:val="24"/>
              </w:rPr>
            </w:pPr>
            <w:r>
              <w:rPr>
                <w:sz w:val="24"/>
              </w:rPr>
              <w:t>P</w:t>
            </w:r>
            <w:r>
              <w:rPr>
                <w:spacing w:val="-3"/>
                <w:sz w:val="24"/>
              </w:rPr>
              <w:t> </w:t>
            </w:r>
            <w:r>
              <w:rPr>
                <w:sz w:val="24"/>
              </w:rPr>
              <w:t>=</w:t>
            </w:r>
            <w:r>
              <w:rPr>
                <w:spacing w:val="-2"/>
                <w:sz w:val="24"/>
              </w:rPr>
              <w:t> 1.000</w:t>
            </w:r>
          </w:p>
        </w:tc>
        <w:tc>
          <w:tcPr>
            <w:tcW w:w="1223" w:type="dxa"/>
          </w:tcPr>
          <w:p>
            <w:pPr>
              <w:pStyle w:val="TableParagraph"/>
              <w:ind w:left="105" w:right="106"/>
              <w:rPr>
                <w:sz w:val="24"/>
              </w:rPr>
            </w:pPr>
            <w:r>
              <w:rPr>
                <w:spacing w:val="-5"/>
                <w:sz w:val="24"/>
              </w:rPr>
              <w:t>Yes</w:t>
            </w:r>
          </w:p>
        </w:tc>
      </w:tr>
      <w:tr>
        <w:trPr>
          <w:trHeight w:val="288" w:hRule="atLeast"/>
        </w:trPr>
        <w:tc>
          <w:tcPr>
            <w:tcW w:w="1873" w:type="dxa"/>
          </w:tcPr>
          <w:p>
            <w:pPr>
              <w:pStyle w:val="TableParagraph"/>
              <w:ind w:left="112" w:right="112"/>
              <w:rPr>
                <w:sz w:val="24"/>
              </w:rPr>
            </w:pPr>
            <w:r>
              <w:rPr>
                <w:sz w:val="24"/>
              </w:rPr>
              <w:t>9</w:t>
            </w:r>
            <w:r>
              <w:rPr>
                <w:spacing w:val="-2"/>
                <w:sz w:val="24"/>
              </w:rPr>
              <w:t> </w:t>
            </w:r>
            <w:r>
              <w:rPr>
                <w:sz w:val="24"/>
              </w:rPr>
              <w:t>-</w:t>
            </w:r>
            <w:r>
              <w:rPr>
                <w:spacing w:val="-2"/>
                <w:sz w:val="24"/>
              </w:rPr>
              <w:t> 3,4,5,6,7,8</w:t>
            </w:r>
          </w:p>
        </w:tc>
        <w:tc>
          <w:tcPr>
            <w:tcW w:w="2192" w:type="dxa"/>
          </w:tcPr>
          <w:p>
            <w:pPr>
              <w:pStyle w:val="TableParagraph"/>
              <w:ind w:left="238"/>
              <w:jc w:val="left"/>
              <w:rPr>
                <w:sz w:val="24"/>
              </w:rPr>
            </w:pPr>
            <w:r>
              <w:rPr>
                <w:sz w:val="24"/>
              </w:rPr>
              <w:t>1.72</w:t>
            </w:r>
            <w:r>
              <w:rPr>
                <w:spacing w:val="-5"/>
                <w:sz w:val="24"/>
              </w:rPr>
              <w:t> </w:t>
            </w:r>
            <w:r>
              <w:rPr>
                <w:sz w:val="24"/>
              </w:rPr>
              <w:t>(1.54</w:t>
            </w:r>
            <w:r>
              <w:rPr>
                <w:spacing w:val="-4"/>
                <w:sz w:val="24"/>
              </w:rPr>
              <w:t> </w:t>
            </w:r>
            <w:r>
              <w:rPr>
                <w:sz w:val="24"/>
              </w:rPr>
              <w:t>–</w:t>
            </w:r>
            <w:r>
              <w:rPr>
                <w:spacing w:val="-5"/>
                <w:sz w:val="24"/>
              </w:rPr>
              <w:t> </w:t>
            </w:r>
            <w:r>
              <w:rPr>
                <w:spacing w:val="-2"/>
                <w:sz w:val="24"/>
              </w:rPr>
              <w:t>1.89)</w:t>
            </w:r>
          </w:p>
        </w:tc>
        <w:tc>
          <w:tcPr>
            <w:tcW w:w="1422" w:type="dxa"/>
          </w:tcPr>
          <w:p>
            <w:pPr>
              <w:pStyle w:val="TableParagraph"/>
              <w:ind w:right="187"/>
              <w:jc w:val="right"/>
              <w:rPr>
                <w:sz w:val="24"/>
              </w:rPr>
            </w:pPr>
            <w:r>
              <w:rPr>
                <w:sz w:val="24"/>
              </w:rPr>
              <w:t>P</w:t>
            </w:r>
            <w:r>
              <w:rPr>
                <w:spacing w:val="-3"/>
                <w:sz w:val="24"/>
              </w:rPr>
              <w:t> </w:t>
            </w:r>
            <w:r>
              <w:rPr>
                <w:sz w:val="24"/>
              </w:rPr>
              <w:t>=</w:t>
            </w:r>
            <w:r>
              <w:rPr>
                <w:spacing w:val="-2"/>
                <w:sz w:val="24"/>
              </w:rPr>
              <w:t> 0.9991</w:t>
            </w:r>
          </w:p>
        </w:tc>
        <w:tc>
          <w:tcPr>
            <w:tcW w:w="1223" w:type="dxa"/>
          </w:tcPr>
          <w:p>
            <w:pPr>
              <w:pStyle w:val="TableParagraph"/>
              <w:ind w:left="105" w:right="106"/>
              <w:rPr>
                <w:sz w:val="24"/>
              </w:rPr>
            </w:pPr>
            <w:r>
              <w:rPr>
                <w:spacing w:val="-5"/>
                <w:sz w:val="24"/>
              </w:rPr>
              <w:t>Yes</w:t>
            </w:r>
          </w:p>
        </w:tc>
      </w:tr>
      <w:tr>
        <w:trPr>
          <w:trHeight w:val="288" w:hRule="atLeast"/>
        </w:trPr>
        <w:tc>
          <w:tcPr>
            <w:tcW w:w="1873" w:type="dxa"/>
          </w:tcPr>
          <w:p>
            <w:pPr>
              <w:pStyle w:val="TableParagraph"/>
              <w:ind w:left="112" w:right="112"/>
              <w:rPr>
                <w:sz w:val="24"/>
              </w:rPr>
            </w:pPr>
            <w:r>
              <w:rPr>
                <w:sz w:val="24"/>
              </w:rPr>
              <w:t>10</w:t>
            </w:r>
            <w:r>
              <w:rPr>
                <w:spacing w:val="-3"/>
                <w:sz w:val="24"/>
              </w:rPr>
              <w:t> </w:t>
            </w:r>
            <w:r>
              <w:rPr>
                <w:sz w:val="24"/>
              </w:rPr>
              <w:t>-</w:t>
            </w:r>
            <w:r>
              <w:rPr>
                <w:spacing w:val="-3"/>
                <w:sz w:val="24"/>
              </w:rPr>
              <w:t> </w:t>
            </w:r>
            <w:r>
              <w:rPr>
                <w:spacing w:val="-2"/>
                <w:sz w:val="24"/>
              </w:rPr>
              <w:t>3,4,5,6,7,8,9</w:t>
            </w:r>
          </w:p>
        </w:tc>
        <w:tc>
          <w:tcPr>
            <w:tcW w:w="2192" w:type="dxa"/>
          </w:tcPr>
          <w:p>
            <w:pPr>
              <w:pStyle w:val="TableParagraph"/>
              <w:ind w:left="238"/>
              <w:jc w:val="left"/>
              <w:rPr>
                <w:sz w:val="24"/>
              </w:rPr>
            </w:pPr>
            <w:r>
              <w:rPr>
                <w:sz w:val="24"/>
              </w:rPr>
              <w:t>4.31</w:t>
            </w:r>
            <w:r>
              <w:rPr>
                <w:spacing w:val="-5"/>
                <w:sz w:val="24"/>
              </w:rPr>
              <w:t> </w:t>
            </w:r>
            <w:r>
              <w:rPr>
                <w:sz w:val="24"/>
              </w:rPr>
              <w:t>(4.13</w:t>
            </w:r>
            <w:r>
              <w:rPr>
                <w:spacing w:val="-4"/>
                <w:sz w:val="24"/>
              </w:rPr>
              <w:t> </w:t>
            </w:r>
            <w:r>
              <w:rPr>
                <w:sz w:val="24"/>
              </w:rPr>
              <w:t>–</w:t>
            </w:r>
            <w:r>
              <w:rPr>
                <w:spacing w:val="-5"/>
                <w:sz w:val="24"/>
              </w:rPr>
              <w:t> </w:t>
            </w:r>
            <w:r>
              <w:rPr>
                <w:spacing w:val="-2"/>
                <w:sz w:val="24"/>
              </w:rPr>
              <w:t>4.48)</w:t>
            </w:r>
          </w:p>
        </w:tc>
        <w:tc>
          <w:tcPr>
            <w:tcW w:w="1422" w:type="dxa"/>
          </w:tcPr>
          <w:p>
            <w:pPr>
              <w:pStyle w:val="TableParagraph"/>
              <w:ind w:right="164"/>
              <w:jc w:val="right"/>
              <w:rPr>
                <w:sz w:val="24"/>
              </w:rPr>
            </w:pPr>
            <w:r>
              <w:rPr>
                <w:w w:val="110"/>
                <w:sz w:val="24"/>
              </w:rPr>
              <w:t>P</w:t>
            </w:r>
            <w:r>
              <w:rPr>
                <w:spacing w:val="2"/>
                <w:w w:val="110"/>
                <w:sz w:val="24"/>
              </w:rPr>
              <w:t> </w:t>
            </w:r>
            <w:r>
              <w:rPr>
                <w:rFonts w:ascii="Cambria"/>
                <w:w w:val="110"/>
                <w:sz w:val="24"/>
              </w:rPr>
              <w:t>&lt;</w:t>
            </w:r>
            <w:r>
              <w:rPr>
                <w:rFonts w:ascii="Cambria"/>
                <w:spacing w:val="12"/>
                <w:w w:val="110"/>
                <w:sz w:val="24"/>
              </w:rPr>
              <w:t> </w:t>
            </w:r>
            <w:r>
              <w:rPr>
                <w:spacing w:val="-2"/>
                <w:w w:val="110"/>
                <w:sz w:val="24"/>
              </w:rPr>
              <w:t>0.0001</w:t>
            </w:r>
          </w:p>
        </w:tc>
        <w:tc>
          <w:tcPr>
            <w:tcW w:w="1223" w:type="dxa"/>
          </w:tcPr>
          <w:p>
            <w:pPr>
              <w:pStyle w:val="TableParagraph"/>
              <w:ind w:left="105" w:right="106"/>
              <w:rPr>
                <w:sz w:val="24"/>
              </w:rPr>
            </w:pPr>
            <w:r>
              <w:rPr>
                <w:spacing w:val="-5"/>
                <w:sz w:val="24"/>
              </w:rPr>
              <w:t>No</w:t>
            </w:r>
          </w:p>
        </w:tc>
      </w:tr>
      <w:tr>
        <w:trPr>
          <w:trHeight w:val="306" w:hRule="atLeast"/>
        </w:trPr>
        <w:tc>
          <w:tcPr>
            <w:tcW w:w="1873" w:type="dxa"/>
            <w:tcBorders>
              <w:bottom w:val="single" w:sz="4" w:space="0" w:color="000000"/>
            </w:tcBorders>
          </w:tcPr>
          <w:p>
            <w:pPr>
              <w:pStyle w:val="TableParagraph"/>
              <w:spacing w:line="273" w:lineRule="exact"/>
              <w:ind w:left="112" w:right="112"/>
              <w:rPr>
                <w:sz w:val="24"/>
              </w:rPr>
            </w:pPr>
            <w:r>
              <w:rPr>
                <w:spacing w:val="-2"/>
                <w:sz w:val="24"/>
              </w:rPr>
              <w:t>11-</w:t>
            </w:r>
            <w:r>
              <w:rPr>
                <w:spacing w:val="-7"/>
                <w:sz w:val="24"/>
              </w:rPr>
              <w:t>10</w:t>
            </w:r>
          </w:p>
        </w:tc>
        <w:tc>
          <w:tcPr>
            <w:tcW w:w="2192" w:type="dxa"/>
            <w:tcBorders>
              <w:bottom w:val="single" w:sz="4" w:space="0" w:color="000000"/>
            </w:tcBorders>
          </w:tcPr>
          <w:p>
            <w:pPr>
              <w:pStyle w:val="TableParagraph"/>
              <w:spacing w:line="273" w:lineRule="exact"/>
              <w:ind w:left="238"/>
              <w:jc w:val="left"/>
              <w:rPr>
                <w:sz w:val="24"/>
              </w:rPr>
            </w:pPr>
            <w:r>
              <w:rPr>
                <w:sz w:val="24"/>
              </w:rPr>
              <w:t>1.06</w:t>
            </w:r>
            <w:r>
              <w:rPr>
                <w:spacing w:val="-5"/>
                <w:sz w:val="24"/>
              </w:rPr>
              <w:t> </w:t>
            </w:r>
            <w:r>
              <w:rPr>
                <w:sz w:val="24"/>
              </w:rPr>
              <w:t>(0.82</w:t>
            </w:r>
            <w:r>
              <w:rPr>
                <w:spacing w:val="-5"/>
                <w:sz w:val="24"/>
              </w:rPr>
              <w:t> </w:t>
            </w:r>
            <w:r>
              <w:rPr>
                <w:sz w:val="24"/>
              </w:rPr>
              <w:t>–</w:t>
            </w:r>
            <w:r>
              <w:rPr>
                <w:spacing w:val="-5"/>
                <w:sz w:val="24"/>
              </w:rPr>
              <w:t> </w:t>
            </w:r>
            <w:r>
              <w:rPr>
                <w:spacing w:val="-2"/>
                <w:sz w:val="24"/>
              </w:rPr>
              <w:t>1.29)</w:t>
            </w:r>
          </w:p>
        </w:tc>
        <w:tc>
          <w:tcPr>
            <w:tcW w:w="1422" w:type="dxa"/>
            <w:tcBorders>
              <w:bottom w:val="single" w:sz="4" w:space="0" w:color="000000"/>
            </w:tcBorders>
          </w:tcPr>
          <w:p>
            <w:pPr>
              <w:pStyle w:val="TableParagraph"/>
              <w:spacing w:line="273" w:lineRule="exact"/>
              <w:ind w:left="247"/>
              <w:jc w:val="left"/>
              <w:rPr>
                <w:sz w:val="24"/>
              </w:rPr>
            </w:pPr>
            <w:r>
              <w:rPr>
                <w:sz w:val="24"/>
              </w:rPr>
              <w:t>P</w:t>
            </w:r>
            <w:r>
              <w:rPr>
                <w:spacing w:val="-3"/>
                <w:sz w:val="24"/>
              </w:rPr>
              <w:t> </w:t>
            </w:r>
            <w:r>
              <w:rPr>
                <w:sz w:val="24"/>
              </w:rPr>
              <w:t>=</w:t>
            </w:r>
            <w:r>
              <w:rPr>
                <w:spacing w:val="-2"/>
                <w:sz w:val="24"/>
              </w:rPr>
              <w:t> 1.000</w:t>
            </w:r>
          </w:p>
        </w:tc>
        <w:tc>
          <w:tcPr>
            <w:tcW w:w="1223" w:type="dxa"/>
            <w:tcBorders>
              <w:bottom w:val="single" w:sz="4" w:space="0" w:color="000000"/>
            </w:tcBorders>
          </w:tcPr>
          <w:p>
            <w:pPr>
              <w:pStyle w:val="TableParagraph"/>
              <w:spacing w:line="273" w:lineRule="exact"/>
              <w:ind w:left="105" w:right="106"/>
              <w:rPr>
                <w:sz w:val="24"/>
              </w:rPr>
            </w:pPr>
            <w:r>
              <w:rPr>
                <w:spacing w:val="-5"/>
                <w:sz w:val="24"/>
              </w:rPr>
              <w:t>Yes</w:t>
            </w:r>
          </w:p>
        </w:tc>
      </w:tr>
    </w:tbl>
    <w:p>
      <w:pPr>
        <w:spacing w:after="0" w:line="273" w:lineRule="exact"/>
        <w:rPr>
          <w:sz w:val="24"/>
        </w:rPr>
        <w:sectPr>
          <w:headerReference w:type="default" r:id="rId71"/>
          <w:footerReference w:type="default" r:id="rId72"/>
          <w:pgSz w:w="11910" w:h="16840"/>
          <w:pgMar w:header="1961" w:footer="1428" w:top="2280" w:bottom="1620" w:left="1680" w:right="720"/>
        </w:sectPr>
      </w:pPr>
    </w:p>
    <w:p>
      <w:pPr>
        <w:pStyle w:val="BodyText"/>
        <w:rPr>
          <w:sz w:val="20"/>
        </w:rPr>
      </w:pPr>
    </w:p>
    <w:p>
      <w:pPr>
        <w:pStyle w:val="BodyText"/>
        <w:spacing w:before="6"/>
        <w:rPr>
          <w:sz w:val="16"/>
        </w:rPr>
      </w:pPr>
    </w:p>
    <w:p>
      <w:pPr>
        <w:pStyle w:val="Heading3"/>
        <w:numPr>
          <w:ilvl w:val="2"/>
          <w:numId w:val="18"/>
        </w:numPr>
        <w:tabs>
          <w:tab w:pos="1472" w:val="left" w:leader="none"/>
        </w:tabs>
        <w:spacing w:line="240" w:lineRule="auto" w:before="114" w:after="0"/>
        <w:ind w:left="1471" w:right="0" w:hanging="862"/>
        <w:jc w:val="both"/>
      </w:pPr>
      <w:bookmarkStart w:name="_TOC_250035" w:id="151"/>
      <w:bookmarkStart w:name="3.3.2 Reproducibility of Future Attackin" w:id="152"/>
      <w:r>
        <w:rPr>
          <w:b w:val="0"/>
        </w:rPr>
      </w:r>
      <w:bookmarkStart w:name="_bookmark85" w:id="153"/>
      <w:bookmarkEnd w:id="153"/>
      <w:r>
        <w:rPr/>
        <w:t>Rep</w:t>
      </w:r>
      <w:r>
        <w:rPr/>
        <w:t>roducibility</w:t>
      </w:r>
      <w:r>
        <w:rPr>
          <w:spacing w:val="18"/>
        </w:rPr>
        <w:t> </w:t>
      </w:r>
      <w:r>
        <w:rPr/>
        <w:t>of</w:t>
      </w:r>
      <w:r>
        <w:rPr>
          <w:spacing w:val="19"/>
        </w:rPr>
        <w:t> </w:t>
      </w:r>
      <w:r>
        <w:rPr/>
        <w:t>Future</w:t>
      </w:r>
      <w:r>
        <w:rPr>
          <w:spacing w:val="18"/>
        </w:rPr>
        <w:t> </w:t>
      </w:r>
      <w:r>
        <w:rPr/>
        <w:t>Attacking</w:t>
      </w:r>
      <w:r>
        <w:rPr>
          <w:spacing w:val="19"/>
        </w:rPr>
        <w:t> </w:t>
      </w:r>
      <w:bookmarkEnd w:id="151"/>
      <w:r>
        <w:rPr>
          <w:spacing w:val="-2"/>
        </w:rPr>
        <w:t>Performances</w:t>
      </w:r>
    </w:p>
    <w:p>
      <w:pPr>
        <w:pStyle w:val="BodyText"/>
        <w:spacing w:line="307" w:lineRule="auto" w:before="236"/>
        <w:ind w:left="610" w:right="389"/>
      </w:pPr>
      <w:r>
        <w:rPr/>
        <w:t>To</w:t>
      </w:r>
      <w:r>
        <w:rPr>
          <w:spacing w:val="-5"/>
        </w:rPr>
        <w:t> </w:t>
      </w:r>
      <w:r>
        <w:rPr/>
        <w:t>empirically</w:t>
      </w:r>
      <w:r>
        <w:rPr>
          <w:spacing w:val="-5"/>
        </w:rPr>
        <w:t> </w:t>
      </w:r>
      <w:r>
        <w:rPr/>
        <w:t>evaluate</w:t>
      </w:r>
      <w:r>
        <w:rPr>
          <w:spacing w:val="-5"/>
        </w:rPr>
        <w:t> </w:t>
      </w:r>
      <w:r>
        <w:rPr/>
        <w:t>the</w:t>
      </w:r>
      <w:r>
        <w:rPr>
          <w:spacing w:val="-5"/>
        </w:rPr>
        <w:t> </w:t>
      </w:r>
      <w:r>
        <w:rPr/>
        <w:t>suitability</w:t>
      </w:r>
      <w:r>
        <w:rPr>
          <w:spacing w:val="-5"/>
        </w:rPr>
        <w:t> </w:t>
      </w:r>
      <w:r>
        <w:rPr/>
        <w:t>of</w:t>
      </w:r>
      <w:r>
        <w:rPr>
          <w:spacing w:val="-5"/>
        </w:rPr>
        <w:t> </w:t>
      </w:r>
      <w:r>
        <w:rPr/>
        <w:t>different</w:t>
      </w:r>
      <w:r>
        <w:rPr>
          <w:spacing w:val="-5"/>
        </w:rPr>
        <w:t> </w:t>
      </w:r>
      <w:r>
        <w:rPr/>
        <w:t>zone</w:t>
      </w:r>
      <w:r>
        <w:rPr>
          <w:spacing w:val="-5"/>
        </w:rPr>
        <w:t> </w:t>
      </w:r>
      <w:r>
        <w:rPr/>
        <w:t>configurations,</w:t>
      </w:r>
      <w:r>
        <w:rPr>
          <w:spacing w:val="-3"/>
        </w:rPr>
        <w:t> </w:t>
      </w:r>
      <w:r>
        <w:rPr/>
        <w:t>the</w:t>
      </w:r>
      <w:r>
        <w:rPr>
          <w:spacing w:val="-5"/>
        </w:rPr>
        <w:t> </w:t>
      </w:r>
      <w:r>
        <w:rPr/>
        <w:t>EPV</w:t>
      </w:r>
      <w:r>
        <w:rPr>
          <w:spacing w:val="-5"/>
        </w:rPr>
        <w:t> </w:t>
      </w:r>
      <w:r>
        <w:rPr/>
        <w:t>models’ ability</w:t>
      </w:r>
      <w:r>
        <w:rPr>
          <w:spacing w:val="-7"/>
        </w:rPr>
        <w:t> </w:t>
      </w:r>
      <w:r>
        <w:rPr/>
        <w:t>to</w:t>
      </w:r>
      <w:r>
        <w:rPr>
          <w:spacing w:val="-7"/>
        </w:rPr>
        <w:t> </w:t>
      </w:r>
      <w:r>
        <w:rPr/>
        <w:t>reproduce</w:t>
      </w:r>
      <w:r>
        <w:rPr>
          <w:spacing w:val="-7"/>
        </w:rPr>
        <w:t> </w:t>
      </w:r>
      <w:r>
        <w:rPr/>
        <w:t>future</w:t>
      </w:r>
      <w:r>
        <w:rPr>
          <w:spacing w:val="-7"/>
        </w:rPr>
        <w:t> </w:t>
      </w:r>
      <w:r>
        <w:rPr/>
        <w:t>attacking</w:t>
      </w:r>
      <w:r>
        <w:rPr>
          <w:spacing w:val="-7"/>
        </w:rPr>
        <w:t> </w:t>
      </w:r>
      <w:r>
        <w:rPr/>
        <w:t>performances</w:t>
      </w:r>
      <w:r>
        <w:rPr>
          <w:spacing w:val="-7"/>
        </w:rPr>
        <w:t> </w:t>
      </w:r>
      <w:r>
        <w:rPr/>
        <w:t>was</w:t>
      </w:r>
      <w:r>
        <w:rPr>
          <w:spacing w:val="-7"/>
        </w:rPr>
        <w:t> </w:t>
      </w:r>
      <w:r>
        <w:rPr/>
        <w:t>measured</w:t>
      </w:r>
      <w:r>
        <w:rPr>
          <w:spacing w:val="-7"/>
        </w:rPr>
        <w:t> </w:t>
      </w:r>
      <w:r>
        <w:rPr/>
        <w:t>via</w:t>
      </w:r>
      <w:r>
        <w:rPr>
          <w:spacing w:val="-7"/>
        </w:rPr>
        <w:t> </w:t>
      </w:r>
      <w:r>
        <w:rPr/>
        <w:t>the</w:t>
      </w:r>
      <w:r>
        <w:rPr>
          <w:spacing w:val="-7"/>
        </w:rPr>
        <w:t> </w:t>
      </w:r>
      <w:r>
        <w:rPr/>
        <w:t>KL</w:t>
      </w:r>
      <w:r>
        <w:rPr>
          <w:spacing w:val="-7"/>
        </w:rPr>
        <w:t> </w:t>
      </w:r>
      <w:r>
        <w:rPr/>
        <w:t>Divergence. Table</w:t>
      </w:r>
      <w:hyperlink w:history="true" w:anchor="_bookmark86">
        <w:r>
          <w:rPr>
            <w:color w:val="0000FF"/>
          </w:rPr>
          <w:t>3.17</w:t>
        </w:r>
      </w:hyperlink>
      <w:r>
        <w:rPr/>
        <w:t>shows</w:t>
      </w:r>
      <w:r>
        <w:rPr>
          <w:spacing w:val="-5"/>
        </w:rPr>
        <w:t> </w:t>
      </w:r>
      <w:r>
        <w:rPr/>
        <w:t>the</w:t>
      </w:r>
      <w:r>
        <w:rPr>
          <w:spacing w:val="-5"/>
        </w:rPr>
        <w:t> </w:t>
      </w:r>
      <w:r>
        <w:rPr/>
        <w:t>percentage</w:t>
      </w:r>
      <w:r>
        <w:rPr>
          <w:spacing w:val="-5"/>
        </w:rPr>
        <w:t> </w:t>
      </w:r>
      <w:r>
        <w:rPr/>
        <w:t>of</w:t>
      </w:r>
      <w:r>
        <w:rPr>
          <w:spacing w:val="-5"/>
        </w:rPr>
        <w:t> </w:t>
      </w:r>
      <w:r>
        <w:rPr/>
        <w:t>non-infinity</w:t>
      </w:r>
      <w:r>
        <w:rPr>
          <w:spacing w:val="-5"/>
        </w:rPr>
        <w:t> </w:t>
      </w:r>
      <w:r>
        <w:rPr/>
        <w:t>values</w:t>
      </w:r>
      <w:r>
        <w:rPr>
          <w:spacing w:val="-5"/>
        </w:rPr>
        <w:t> </w:t>
      </w:r>
      <w:r>
        <w:rPr/>
        <w:t>for</w:t>
      </w:r>
      <w:r>
        <w:rPr>
          <w:spacing w:val="-5"/>
        </w:rPr>
        <w:t> </w:t>
      </w:r>
      <w:r>
        <w:rPr/>
        <w:t>all</w:t>
      </w:r>
      <w:r>
        <w:rPr>
          <w:spacing w:val="-5"/>
        </w:rPr>
        <w:t> </w:t>
      </w:r>
      <w:r>
        <w:rPr/>
        <w:t>six</w:t>
      </w:r>
      <w:r>
        <w:rPr>
          <w:spacing w:val="-5"/>
        </w:rPr>
        <w:t> </w:t>
      </w:r>
      <w:r>
        <w:rPr/>
        <w:t>models</w:t>
      </w:r>
      <w:r>
        <w:rPr>
          <w:spacing w:val="-5"/>
        </w:rPr>
        <w:t> </w:t>
      </w:r>
      <w:r>
        <w:rPr/>
        <w:t>after</w:t>
      </w:r>
      <w:r>
        <w:rPr>
          <w:spacing w:val="-5"/>
        </w:rPr>
        <w:t> </w:t>
      </w:r>
      <w:r>
        <w:rPr/>
        <w:t>1-10</w:t>
      </w:r>
      <w:r>
        <w:rPr>
          <w:spacing w:val="-5"/>
        </w:rPr>
        <w:t> </w:t>
      </w:r>
      <w:r>
        <w:rPr/>
        <w:t>previ- ous</w:t>
      </w:r>
      <w:r>
        <w:rPr>
          <w:spacing w:val="-7"/>
        </w:rPr>
        <w:t> </w:t>
      </w:r>
      <w:r>
        <w:rPr/>
        <w:t>matches</w:t>
      </w:r>
      <w:r>
        <w:rPr>
          <w:spacing w:val="-7"/>
        </w:rPr>
        <w:t> </w:t>
      </w:r>
      <w:r>
        <w:rPr/>
        <w:t>(i.e. the</w:t>
      </w:r>
      <w:r>
        <w:rPr>
          <w:spacing w:val="-7"/>
        </w:rPr>
        <w:t> </w:t>
      </w:r>
      <w:r>
        <w:rPr/>
        <w:t>percentage</w:t>
      </w:r>
      <w:r>
        <w:rPr>
          <w:spacing w:val="-7"/>
        </w:rPr>
        <w:t> </w:t>
      </w:r>
      <w:r>
        <w:rPr/>
        <w:t>of</w:t>
      </w:r>
      <w:r>
        <w:rPr>
          <w:spacing w:val="-7"/>
        </w:rPr>
        <w:t> </w:t>
      </w:r>
      <w:r>
        <w:rPr/>
        <w:t>fixtures</w:t>
      </w:r>
      <w:r>
        <w:rPr>
          <w:spacing w:val="-7"/>
        </w:rPr>
        <w:t> </w:t>
      </w:r>
      <w:r>
        <w:rPr/>
        <w:t>where</w:t>
      </w:r>
      <w:r>
        <w:rPr>
          <w:spacing w:val="-7"/>
        </w:rPr>
        <w:t> </w:t>
      </w:r>
      <w:r>
        <w:rPr/>
        <w:t>all</w:t>
      </w:r>
      <w:r>
        <w:rPr>
          <w:spacing w:val="-7"/>
        </w:rPr>
        <w:t> </w:t>
      </w:r>
      <w:r>
        <w:rPr/>
        <w:t>subsequent</w:t>
      </w:r>
      <w:r>
        <w:rPr>
          <w:spacing w:val="-7"/>
        </w:rPr>
        <w:t> </w:t>
      </w:r>
      <w:r>
        <w:rPr/>
        <w:t>match’s</w:t>
      </w:r>
      <w:r>
        <w:rPr>
          <w:spacing w:val="-7"/>
        </w:rPr>
        <w:t> </w:t>
      </w:r>
      <w:r>
        <w:rPr/>
        <w:t>zones</w:t>
      </w:r>
      <w:r>
        <w:rPr>
          <w:spacing w:val="-7"/>
        </w:rPr>
        <w:t> </w:t>
      </w:r>
      <w:r>
        <w:rPr/>
        <w:t>had</w:t>
      </w:r>
      <w:r>
        <w:rPr>
          <w:spacing w:val="-7"/>
        </w:rPr>
        <w:t> </w:t>
      </w:r>
      <w:r>
        <w:rPr/>
        <w:t>been visited in the previous matches).</w:t>
      </w:r>
      <w:r>
        <w:rPr>
          <w:spacing w:val="40"/>
        </w:rPr>
        <w:t> </w:t>
      </w:r>
      <w:r>
        <w:rPr/>
        <w:t>For EPV-308, there were only three occasions where this</w:t>
      </w:r>
      <w:r>
        <w:rPr>
          <w:spacing w:val="-5"/>
        </w:rPr>
        <w:t> </w:t>
      </w:r>
      <w:r>
        <w:rPr/>
        <w:t>was</w:t>
      </w:r>
      <w:r>
        <w:rPr>
          <w:spacing w:val="-5"/>
        </w:rPr>
        <w:t> </w:t>
      </w:r>
      <w:r>
        <w:rPr/>
        <w:t>greater</w:t>
      </w:r>
      <w:r>
        <w:rPr>
          <w:spacing w:val="-5"/>
        </w:rPr>
        <w:t> </w:t>
      </w:r>
      <w:r>
        <w:rPr/>
        <w:t>than</w:t>
      </w:r>
      <w:r>
        <w:rPr>
          <w:spacing w:val="-5"/>
        </w:rPr>
        <w:t> </w:t>
      </w:r>
      <w:r>
        <w:rPr/>
        <w:t>0</w:t>
      </w:r>
      <w:r>
        <w:rPr>
          <w:rFonts w:ascii="Garamond" w:hAnsi="Garamond"/>
        </w:rPr>
        <w:t>%</w:t>
      </w:r>
      <w:r>
        <w:rPr>
          <w:rFonts w:ascii="Garamond" w:hAnsi="Garamond"/>
          <w:spacing w:val="-5"/>
        </w:rPr>
        <w:t> </w:t>
      </w:r>
      <w:r>
        <w:rPr/>
        <w:t>(8,</w:t>
      </w:r>
      <w:r>
        <w:rPr>
          <w:spacing w:val="-5"/>
        </w:rPr>
        <w:t> </w:t>
      </w:r>
      <w:r>
        <w:rPr/>
        <w:t>9</w:t>
      </w:r>
      <w:r>
        <w:rPr>
          <w:spacing w:val="-5"/>
        </w:rPr>
        <w:t> </w:t>
      </w:r>
      <w:r>
        <w:rPr/>
        <w:t>and</w:t>
      </w:r>
      <w:r>
        <w:rPr>
          <w:spacing w:val="-5"/>
        </w:rPr>
        <w:t> </w:t>
      </w:r>
      <w:r>
        <w:rPr/>
        <w:t>10</w:t>
      </w:r>
      <w:r>
        <w:rPr>
          <w:spacing w:val="-5"/>
        </w:rPr>
        <w:t> </w:t>
      </w:r>
      <w:r>
        <w:rPr/>
        <w:t>previous</w:t>
      </w:r>
      <w:r>
        <w:rPr>
          <w:spacing w:val="-5"/>
        </w:rPr>
        <w:t> </w:t>
      </w:r>
      <w:r>
        <w:rPr/>
        <w:t>matches). There</w:t>
      </w:r>
      <w:r>
        <w:rPr>
          <w:spacing w:val="-5"/>
        </w:rPr>
        <w:t> </w:t>
      </w:r>
      <w:r>
        <w:rPr/>
        <w:t>was</w:t>
      </w:r>
      <w:r>
        <w:rPr>
          <w:spacing w:val="-5"/>
        </w:rPr>
        <w:t> </w:t>
      </w:r>
      <w:r>
        <w:rPr/>
        <w:t>a</w:t>
      </w:r>
      <w:r>
        <w:rPr>
          <w:spacing w:val="-5"/>
        </w:rPr>
        <w:t> </w:t>
      </w:r>
      <w:r>
        <w:rPr/>
        <w:t>consistent</w:t>
      </w:r>
      <w:r>
        <w:rPr>
          <w:spacing w:val="-5"/>
        </w:rPr>
        <w:t> </w:t>
      </w:r>
      <w:r>
        <w:rPr/>
        <w:t>increase in the percentage of non-infinity values as the number of previous fixtures increased for EPV-77 and EPV-37, peaking at 77 ± 8 </w:t>
      </w:r>
      <w:r>
        <w:rPr>
          <w:rFonts w:ascii="Garamond" w:hAnsi="Garamond"/>
        </w:rPr>
        <w:t>% </w:t>
      </w:r>
      <w:r>
        <w:rPr/>
        <w:t>and 97 ± 4 </w:t>
      </w:r>
      <w:r>
        <w:rPr>
          <w:rFonts w:ascii="Garamond" w:hAnsi="Garamond"/>
        </w:rPr>
        <w:t>% </w:t>
      </w:r>
      <w:r>
        <w:rPr/>
        <w:t>respectively after 10 previous fixtures.</w:t>
      </w:r>
      <w:r>
        <w:rPr>
          <w:spacing w:val="28"/>
        </w:rPr>
        <w:t> </w:t>
      </w:r>
      <w:r>
        <w:rPr/>
        <w:t>For</w:t>
      </w:r>
      <w:r>
        <w:rPr>
          <w:spacing w:val="-1"/>
        </w:rPr>
        <w:t> </w:t>
      </w:r>
      <w:r>
        <w:rPr/>
        <w:t>EPV-19, there</w:t>
      </w:r>
      <w:r>
        <w:rPr>
          <w:spacing w:val="-1"/>
        </w:rPr>
        <w:t> </w:t>
      </w:r>
      <w:r>
        <w:rPr/>
        <w:t>was</w:t>
      </w:r>
      <w:r>
        <w:rPr>
          <w:spacing w:val="-1"/>
        </w:rPr>
        <w:t> </w:t>
      </w:r>
      <w:r>
        <w:rPr/>
        <w:t>a</w:t>
      </w:r>
      <w:r>
        <w:rPr>
          <w:spacing w:val="-1"/>
        </w:rPr>
        <w:t> </w:t>
      </w:r>
      <w:r>
        <w:rPr/>
        <w:t>large</w:t>
      </w:r>
      <w:r>
        <w:rPr>
          <w:spacing w:val="-1"/>
        </w:rPr>
        <w:t> </w:t>
      </w:r>
      <w:r>
        <w:rPr/>
        <w:t>increase</w:t>
      </w:r>
      <w:r>
        <w:rPr>
          <w:spacing w:val="-1"/>
        </w:rPr>
        <w:t> </w:t>
      </w:r>
      <w:r>
        <w:rPr/>
        <w:t>in</w:t>
      </w:r>
      <w:r>
        <w:rPr>
          <w:spacing w:val="-1"/>
        </w:rPr>
        <w:t> </w:t>
      </w:r>
      <w:r>
        <w:rPr/>
        <w:t>the</w:t>
      </w:r>
      <w:r>
        <w:rPr>
          <w:spacing w:val="-1"/>
        </w:rPr>
        <w:t> </w:t>
      </w:r>
      <w:r>
        <w:rPr/>
        <w:t>percentage</w:t>
      </w:r>
      <w:r>
        <w:rPr>
          <w:spacing w:val="-1"/>
        </w:rPr>
        <w:t> </w:t>
      </w:r>
      <w:r>
        <w:rPr/>
        <w:t>of</w:t>
      </w:r>
      <w:r>
        <w:rPr>
          <w:spacing w:val="-1"/>
        </w:rPr>
        <w:t> </w:t>
      </w:r>
      <w:r>
        <w:rPr/>
        <w:t>non-infinity</w:t>
      </w:r>
      <w:r>
        <w:rPr>
          <w:spacing w:val="-1"/>
        </w:rPr>
        <w:t> </w:t>
      </w:r>
      <w:r>
        <w:rPr/>
        <w:t>values before</w:t>
      </w:r>
      <w:r>
        <w:rPr>
          <w:spacing w:val="-11"/>
        </w:rPr>
        <w:t> </w:t>
      </w:r>
      <w:r>
        <w:rPr/>
        <w:t>6</w:t>
      </w:r>
      <w:r>
        <w:rPr>
          <w:spacing w:val="-12"/>
        </w:rPr>
        <w:t> </w:t>
      </w:r>
      <w:r>
        <w:rPr/>
        <w:t>previous</w:t>
      </w:r>
      <w:r>
        <w:rPr>
          <w:spacing w:val="-11"/>
        </w:rPr>
        <w:t> </w:t>
      </w:r>
      <w:r>
        <w:rPr/>
        <w:t>fixtures</w:t>
      </w:r>
      <w:r>
        <w:rPr>
          <w:spacing w:val="-11"/>
        </w:rPr>
        <w:t> </w:t>
      </w:r>
      <w:r>
        <w:rPr/>
        <w:t>were</w:t>
      </w:r>
      <w:r>
        <w:rPr>
          <w:spacing w:val="-11"/>
        </w:rPr>
        <w:t> </w:t>
      </w:r>
      <w:r>
        <w:rPr/>
        <w:t>considered,</w:t>
      </w:r>
      <w:r>
        <w:rPr>
          <w:spacing w:val="-11"/>
        </w:rPr>
        <w:t> </w:t>
      </w:r>
      <w:r>
        <w:rPr/>
        <w:t>after</w:t>
      </w:r>
      <w:r>
        <w:rPr>
          <w:spacing w:val="-11"/>
        </w:rPr>
        <w:t> </w:t>
      </w:r>
      <w:r>
        <w:rPr/>
        <w:t>which</w:t>
      </w:r>
      <w:r>
        <w:rPr>
          <w:spacing w:val="-11"/>
        </w:rPr>
        <w:t> </w:t>
      </w:r>
      <w:r>
        <w:rPr/>
        <w:t>limited</w:t>
      </w:r>
      <w:r>
        <w:rPr>
          <w:spacing w:val="-11"/>
        </w:rPr>
        <w:t> </w:t>
      </w:r>
      <w:r>
        <w:rPr/>
        <w:t>change</w:t>
      </w:r>
      <w:r>
        <w:rPr>
          <w:spacing w:val="-12"/>
        </w:rPr>
        <w:t> </w:t>
      </w:r>
      <w:r>
        <w:rPr/>
        <w:t>was</w:t>
      </w:r>
      <w:r>
        <w:rPr>
          <w:spacing w:val="-11"/>
        </w:rPr>
        <w:t> </w:t>
      </w:r>
      <w:r>
        <w:rPr/>
        <w:t>observed</w:t>
      </w:r>
      <w:r>
        <w:rPr>
          <w:spacing w:val="-11"/>
        </w:rPr>
        <w:t> </w:t>
      </w:r>
      <w:r>
        <w:rPr/>
        <w:t>(95- 98 </w:t>
      </w:r>
      <w:r>
        <w:rPr>
          <w:rFonts w:ascii="Garamond" w:hAnsi="Garamond"/>
        </w:rPr>
        <w:t>% </w:t>
      </w:r>
      <w:r>
        <w:rPr/>
        <w:t>from 6 to 10 fixtures).</w:t>
      </w:r>
      <w:r>
        <w:rPr>
          <w:spacing w:val="40"/>
        </w:rPr>
        <w:t> </w:t>
      </w:r>
      <w:r>
        <w:rPr/>
        <w:t>A similar trend was present for EPV-13 before 3 previous fixtures</w:t>
      </w:r>
      <w:r>
        <w:rPr>
          <w:spacing w:val="-5"/>
        </w:rPr>
        <w:t> </w:t>
      </w:r>
      <w:r>
        <w:rPr/>
        <w:t>were</w:t>
      </w:r>
      <w:r>
        <w:rPr>
          <w:spacing w:val="-5"/>
        </w:rPr>
        <w:t> </w:t>
      </w:r>
      <w:r>
        <w:rPr/>
        <w:t>considered</w:t>
      </w:r>
      <w:r>
        <w:rPr>
          <w:spacing w:val="-5"/>
        </w:rPr>
        <w:t> </w:t>
      </w:r>
      <w:r>
        <w:rPr/>
        <w:t>(96-100</w:t>
      </w:r>
      <w:r>
        <w:rPr>
          <w:spacing w:val="-5"/>
        </w:rPr>
        <w:t> </w:t>
      </w:r>
      <w:r>
        <w:rPr>
          <w:rFonts w:ascii="Garamond" w:hAnsi="Garamond"/>
        </w:rPr>
        <w:t>%</w:t>
      </w:r>
      <w:r>
        <w:rPr>
          <w:rFonts w:ascii="Garamond" w:hAnsi="Garamond"/>
          <w:spacing w:val="-5"/>
        </w:rPr>
        <w:t> </w:t>
      </w:r>
      <w:r>
        <w:rPr/>
        <w:t>from</w:t>
      </w:r>
      <w:r>
        <w:rPr>
          <w:spacing w:val="-5"/>
        </w:rPr>
        <w:t> </w:t>
      </w:r>
      <w:r>
        <w:rPr/>
        <w:t>3</w:t>
      </w:r>
      <w:r>
        <w:rPr>
          <w:spacing w:val="-5"/>
        </w:rPr>
        <w:t> </w:t>
      </w:r>
      <w:r>
        <w:rPr/>
        <w:t>to</w:t>
      </w:r>
      <w:r>
        <w:rPr>
          <w:spacing w:val="-6"/>
        </w:rPr>
        <w:t> </w:t>
      </w:r>
      <w:r>
        <w:rPr/>
        <w:t>10</w:t>
      </w:r>
      <w:r>
        <w:rPr>
          <w:spacing w:val="-5"/>
        </w:rPr>
        <w:t> </w:t>
      </w:r>
      <w:r>
        <w:rPr/>
        <w:t>fixtures). In</w:t>
      </w:r>
      <w:r>
        <w:rPr>
          <w:spacing w:val="-6"/>
        </w:rPr>
        <w:t> </w:t>
      </w:r>
      <w:r>
        <w:rPr/>
        <w:t>EPV-9,</w:t>
      </w:r>
      <w:r>
        <w:rPr>
          <w:spacing w:val="-4"/>
        </w:rPr>
        <w:t> </w:t>
      </w:r>
      <w:r>
        <w:rPr/>
        <w:t>all</w:t>
      </w:r>
      <w:r>
        <w:rPr>
          <w:spacing w:val="-6"/>
        </w:rPr>
        <w:t> </w:t>
      </w:r>
      <w:r>
        <w:rPr/>
        <w:t>values</w:t>
      </w:r>
      <w:r>
        <w:rPr>
          <w:spacing w:val="-5"/>
        </w:rPr>
        <w:t> </w:t>
      </w:r>
      <w:r>
        <w:rPr/>
        <w:t>were</w:t>
      </w:r>
      <w:r>
        <w:rPr>
          <w:spacing w:val="-5"/>
        </w:rPr>
        <w:t> </w:t>
      </w:r>
      <w:r>
        <w:rPr/>
        <w:t>not infinity after only 3 previous fixtures.</w:t>
      </w:r>
    </w:p>
    <w:p>
      <w:pPr>
        <w:pStyle w:val="BodyText"/>
        <w:spacing w:before="24"/>
        <w:ind w:left="961"/>
        <w:jc w:val="both"/>
      </w:pPr>
      <w:r>
        <w:rPr>
          <w:spacing w:val="-4"/>
        </w:rPr>
        <w:t>Figure</w:t>
      </w:r>
      <w:hyperlink w:history="true" w:anchor="_bookmark87">
        <w:r>
          <w:rPr>
            <w:color w:val="0000FF"/>
            <w:spacing w:val="-4"/>
          </w:rPr>
          <w:t>3.7</w:t>
        </w:r>
      </w:hyperlink>
      <w:r>
        <w:rPr>
          <w:spacing w:val="-4"/>
        </w:rPr>
        <w:t>shows</w:t>
      </w:r>
      <w:r>
        <w:rPr>
          <w:spacing w:val="-2"/>
        </w:rPr>
        <w:t> </w:t>
      </w:r>
      <w:r>
        <w:rPr>
          <w:spacing w:val="-4"/>
        </w:rPr>
        <w:t>the</w:t>
      </w:r>
      <w:r>
        <w:rPr>
          <w:spacing w:val="-1"/>
        </w:rPr>
        <w:t> </w:t>
      </w:r>
      <w:r>
        <w:rPr>
          <w:spacing w:val="-4"/>
        </w:rPr>
        <w:t>KL</w:t>
      </w:r>
      <w:r>
        <w:rPr>
          <w:spacing w:val="-1"/>
        </w:rPr>
        <w:t> </w:t>
      </w:r>
      <w:r>
        <w:rPr>
          <w:spacing w:val="-4"/>
        </w:rPr>
        <w:t>Divergence</w:t>
      </w:r>
      <w:r>
        <w:rPr>
          <w:spacing w:val="-1"/>
        </w:rPr>
        <w:t> </w:t>
      </w:r>
      <w:r>
        <w:rPr>
          <w:spacing w:val="-4"/>
        </w:rPr>
        <w:t>for</w:t>
      </w:r>
      <w:r>
        <w:rPr>
          <w:spacing w:val="-1"/>
        </w:rPr>
        <w:t> </w:t>
      </w:r>
      <w:r>
        <w:rPr>
          <w:spacing w:val="-4"/>
        </w:rPr>
        <w:t>EPV-77,</w:t>
      </w:r>
      <w:r>
        <w:rPr/>
        <w:t> </w:t>
      </w:r>
      <w:r>
        <w:rPr>
          <w:spacing w:val="-4"/>
        </w:rPr>
        <w:t>EPV-37,</w:t>
      </w:r>
      <w:r>
        <w:rPr/>
        <w:t> </w:t>
      </w:r>
      <w:r>
        <w:rPr>
          <w:spacing w:val="-4"/>
        </w:rPr>
        <w:t>EPV-19,</w:t>
      </w:r>
      <w:r>
        <w:rPr/>
        <w:t> </w:t>
      </w:r>
      <w:r>
        <w:rPr>
          <w:spacing w:val="-4"/>
        </w:rPr>
        <w:t>EPV-13</w:t>
      </w:r>
      <w:r>
        <w:rPr>
          <w:spacing w:val="-1"/>
        </w:rPr>
        <w:t> </w:t>
      </w:r>
      <w:r>
        <w:rPr>
          <w:spacing w:val="-4"/>
        </w:rPr>
        <w:t>and</w:t>
      </w:r>
      <w:r>
        <w:rPr>
          <w:spacing w:val="-1"/>
        </w:rPr>
        <w:t> </w:t>
      </w:r>
      <w:r>
        <w:rPr>
          <w:spacing w:val="-4"/>
        </w:rPr>
        <w:t>EPV-</w:t>
      </w:r>
    </w:p>
    <w:p>
      <w:pPr>
        <w:pStyle w:val="BodyText"/>
        <w:spacing w:line="312" w:lineRule="auto" w:before="82"/>
        <w:ind w:left="610" w:right="389"/>
        <w:jc w:val="both"/>
      </w:pPr>
      <w:r>
        <w:rPr/>
        <w:t>9.</w:t>
      </w:r>
      <w:r>
        <w:rPr>
          <w:spacing w:val="80"/>
        </w:rPr>
        <w:t> </w:t>
      </w:r>
      <w:r>
        <w:rPr/>
        <w:t>After 8 (KL Divergence = 1.50 ± 0.19),</w:t>
      </w:r>
      <w:r>
        <w:rPr>
          <w:spacing w:val="32"/>
        </w:rPr>
        <w:t> </w:t>
      </w:r>
      <w:r>
        <w:rPr/>
        <w:t>9 (KL Divergence = 1.41 ± 0.15) and 10</w:t>
      </w:r>
      <w:r>
        <w:rPr>
          <w:spacing w:val="40"/>
        </w:rPr>
        <w:t> </w:t>
      </w:r>
      <w:r>
        <w:rPr/>
        <w:t>(KL Divergence = 1.44 ± 0.15) previous matches, the KL Divergence for EPV-308 was still greater than any other model after any number of previous matches, rendering </w:t>
      </w:r>
      <w:r>
        <w:rPr/>
        <w:t>it</w:t>
      </w:r>
      <w:r>
        <w:rPr/>
        <w:t> considerably less useful than all other models.</w:t>
      </w:r>
      <w:r>
        <w:rPr>
          <w:spacing w:val="40"/>
        </w:rPr>
        <w:t> </w:t>
      </w:r>
      <w:r>
        <w:rPr/>
        <w:t>The KL Divergence reduced as more previous</w:t>
      </w:r>
      <w:r>
        <w:rPr>
          <w:spacing w:val="-2"/>
        </w:rPr>
        <w:t> </w:t>
      </w:r>
      <w:r>
        <w:rPr/>
        <w:t>matches</w:t>
      </w:r>
      <w:r>
        <w:rPr>
          <w:spacing w:val="-2"/>
        </w:rPr>
        <w:t> </w:t>
      </w:r>
      <w:r>
        <w:rPr/>
        <w:t>were</w:t>
      </w:r>
      <w:r>
        <w:rPr>
          <w:spacing w:val="-2"/>
        </w:rPr>
        <w:t> </w:t>
      </w:r>
      <w:r>
        <w:rPr/>
        <w:t>considered</w:t>
      </w:r>
      <w:r>
        <w:rPr>
          <w:spacing w:val="-2"/>
        </w:rPr>
        <w:t> </w:t>
      </w:r>
      <w:r>
        <w:rPr/>
        <w:t>in</w:t>
      </w:r>
      <w:r>
        <w:rPr>
          <w:spacing w:val="-2"/>
        </w:rPr>
        <w:t> </w:t>
      </w:r>
      <w:r>
        <w:rPr/>
        <w:t>all</w:t>
      </w:r>
      <w:r>
        <w:rPr>
          <w:spacing w:val="-2"/>
        </w:rPr>
        <w:t> </w:t>
      </w:r>
      <w:r>
        <w:rPr/>
        <w:t>EPV</w:t>
      </w:r>
      <w:r>
        <w:rPr>
          <w:spacing w:val="-2"/>
        </w:rPr>
        <w:t> </w:t>
      </w:r>
      <w:r>
        <w:rPr/>
        <w:t>models</w:t>
      </w:r>
      <w:r>
        <w:rPr>
          <w:spacing w:val="-2"/>
        </w:rPr>
        <w:t> </w:t>
      </w:r>
      <w:r>
        <w:rPr/>
        <w:t>in</w:t>
      </w:r>
      <w:r>
        <w:rPr>
          <w:spacing w:val="-2"/>
        </w:rPr>
        <w:t> </w:t>
      </w:r>
      <w:r>
        <w:rPr/>
        <w:t>Figure</w:t>
      </w:r>
      <w:r>
        <w:rPr>
          <w:spacing w:val="-2"/>
        </w:rPr>
        <w:t> </w:t>
      </w:r>
      <w:r>
        <w:rPr/>
        <w:t>3.</w:t>
      </w:r>
      <w:r>
        <w:rPr>
          <w:spacing w:val="23"/>
        </w:rPr>
        <w:t> </w:t>
      </w:r>
      <w:r>
        <w:rPr/>
        <w:t>For</w:t>
      </w:r>
      <w:r>
        <w:rPr>
          <w:spacing w:val="-2"/>
        </w:rPr>
        <w:t> </w:t>
      </w:r>
      <w:r>
        <w:rPr/>
        <w:t>EPV-37, </w:t>
      </w:r>
      <w:r>
        <w:rPr/>
        <w:t>EPV-19,</w:t>
      </w:r>
      <w:r>
        <w:rPr/>
        <w:t> EPV-13 and EPV-9, the majority of this reduction occurred between 1 and 3 </w:t>
      </w:r>
      <w:r>
        <w:rPr/>
        <w:t>previous</w:t>
      </w:r>
      <w:r>
        <w:rPr/>
        <w:t> matches</w:t>
      </w:r>
      <w:r>
        <w:rPr>
          <w:spacing w:val="-6"/>
        </w:rPr>
        <w:t> </w:t>
      </w:r>
      <w:r>
        <w:rPr/>
        <w:t>before</w:t>
      </w:r>
      <w:r>
        <w:rPr>
          <w:spacing w:val="-6"/>
        </w:rPr>
        <w:t> </w:t>
      </w:r>
      <w:r>
        <w:rPr/>
        <w:t>the</w:t>
      </w:r>
      <w:r>
        <w:rPr>
          <w:spacing w:val="-6"/>
        </w:rPr>
        <w:t> </w:t>
      </w:r>
      <w:r>
        <w:rPr/>
        <w:t>values</w:t>
      </w:r>
      <w:r>
        <w:rPr>
          <w:spacing w:val="-6"/>
        </w:rPr>
        <w:t> </w:t>
      </w:r>
      <w:r>
        <w:rPr/>
        <w:t>stabilised. For</w:t>
      </w:r>
      <w:r>
        <w:rPr>
          <w:spacing w:val="-6"/>
        </w:rPr>
        <w:t> </w:t>
      </w:r>
      <w:r>
        <w:rPr/>
        <w:t>EPV-77,</w:t>
      </w:r>
      <w:r>
        <w:rPr>
          <w:spacing w:val="-6"/>
        </w:rPr>
        <w:t> </w:t>
      </w:r>
      <w:r>
        <w:rPr/>
        <w:t>the</w:t>
      </w:r>
      <w:r>
        <w:rPr>
          <w:spacing w:val="-6"/>
        </w:rPr>
        <w:t> </w:t>
      </w:r>
      <w:r>
        <w:rPr/>
        <w:t>values</w:t>
      </w:r>
      <w:r>
        <w:rPr>
          <w:spacing w:val="-6"/>
        </w:rPr>
        <w:t> </w:t>
      </w:r>
      <w:r>
        <w:rPr/>
        <w:t>stabilised</w:t>
      </w:r>
      <w:r>
        <w:rPr>
          <w:spacing w:val="-6"/>
        </w:rPr>
        <w:t> </w:t>
      </w:r>
      <w:r>
        <w:rPr/>
        <w:t>after</w:t>
      </w:r>
      <w:r>
        <w:rPr>
          <w:spacing w:val="-6"/>
        </w:rPr>
        <w:t> </w:t>
      </w:r>
      <w:r>
        <w:rPr/>
        <w:t>six</w:t>
      </w:r>
      <w:r>
        <w:rPr>
          <w:spacing w:val="-6"/>
        </w:rPr>
        <w:t> </w:t>
      </w:r>
      <w:r>
        <w:rPr/>
        <w:t>previous</w:t>
      </w:r>
      <w:r>
        <w:rPr/>
        <w:t> </w:t>
      </w:r>
      <w:r>
        <w:rPr>
          <w:spacing w:val="-2"/>
        </w:rPr>
        <w:t>matches.</w:t>
      </w:r>
    </w:p>
    <w:p>
      <w:pPr>
        <w:pStyle w:val="BodyText"/>
        <w:spacing w:line="312" w:lineRule="auto"/>
        <w:ind w:left="610" w:right="389" w:firstLine="351"/>
        <w:jc w:val="both"/>
      </w:pPr>
      <w:r>
        <w:rPr/>
        <w:t>Although commonly identified as a key element of any model quantifying team </w:t>
      </w:r>
      <w:r>
        <w:rPr/>
        <w:t>at- tacking</w:t>
      </w:r>
      <w:r>
        <w:rPr>
          <w:spacing w:val="-15"/>
        </w:rPr>
        <w:t> </w:t>
      </w:r>
      <w:r>
        <w:rPr/>
        <w:t>performances,</w:t>
      </w:r>
      <w:r>
        <w:rPr>
          <w:spacing w:val="-15"/>
        </w:rPr>
        <w:t> </w:t>
      </w:r>
      <w:r>
        <w:rPr/>
        <w:t>few</w:t>
      </w:r>
      <w:r>
        <w:rPr>
          <w:spacing w:val="-15"/>
        </w:rPr>
        <w:t> </w:t>
      </w:r>
      <w:r>
        <w:rPr/>
        <w:t>studies</w:t>
      </w:r>
      <w:r>
        <w:rPr>
          <w:spacing w:val="-15"/>
        </w:rPr>
        <w:t> </w:t>
      </w:r>
      <w:r>
        <w:rPr/>
        <w:t>have</w:t>
      </w:r>
      <w:r>
        <w:rPr>
          <w:spacing w:val="-15"/>
        </w:rPr>
        <w:t> </w:t>
      </w:r>
      <w:r>
        <w:rPr/>
        <w:t>attempted</w:t>
      </w:r>
      <w:r>
        <w:rPr>
          <w:spacing w:val="-15"/>
        </w:rPr>
        <w:t> </w:t>
      </w:r>
      <w:r>
        <w:rPr/>
        <w:t>to</w:t>
      </w:r>
      <w:r>
        <w:rPr>
          <w:spacing w:val="-15"/>
        </w:rPr>
        <w:t> </w:t>
      </w:r>
      <w:r>
        <w:rPr/>
        <w:t>evaluate</w:t>
      </w:r>
      <w:r>
        <w:rPr>
          <w:spacing w:val="-15"/>
        </w:rPr>
        <w:t> </w:t>
      </w:r>
      <w:r>
        <w:rPr/>
        <w:t>the</w:t>
      </w:r>
      <w:r>
        <w:rPr>
          <w:spacing w:val="-15"/>
        </w:rPr>
        <w:t> </w:t>
      </w:r>
      <w:r>
        <w:rPr/>
        <w:t>reproducibility</w:t>
      </w:r>
      <w:r>
        <w:rPr>
          <w:spacing w:val="-15"/>
        </w:rPr>
        <w:t> </w:t>
      </w:r>
      <w:r>
        <w:rPr/>
        <w:t>of</w:t>
      </w:r>
      <w:r>
        <w:rPr>
          <w:spacing w:val="-15"/>
        </w:rPr>
        <w:t> </w:t>
      </w:r>
      <w:r>
        <w:rPr/>
        <w:t>future attacking performances in their models (</w:t>
      </w:r>
      <w:hyperlink w:history="true" w:anchor="_bookmark289">
        <w:r>
          <w:rPr>
            <w:color w:val="FF0000"/>
          </w:rPr>
          <w:t>Sarmento et al.</w:t>
        </w:r>
      </w:hyperlink>
      <w:r>
        <w:rPr/>
        <w:t>,</w:t>
      </w:r>
      <w:hyperlink w:history="true" w:anchor="_bookmark289">
        <w:r>
          <w:rPr>
            <w:color w:val="FF0000"/>
          </w:rPr>
          <w:t>2014</w:t>
        </w:r>
      </w:hyperlink>
      <w:r>
        <w:rPr/>
        <w:t>).</w:t>
      </w:r>
      <w:r>
        <w:rPr>
          <w:spacing w:val="40"/>
        </w:rPr>
        <w:t> </w:t>
      </w:r>
      <w:r>
        <w:rPr/>
        <w:t>The results showed that although the EPV-308, EPV-77 and EPV-37 provide significantly more variability than either</w:t>
      </w:r>
      <w:r>
        <w:rPr>
          <w:spacing w:val="-7"/>
        </w:rPr>
        <w:t> </w:t>
      </w:r>
      <w:r>
        <w:rPr/>
        <w:t>the</w:t>
      </w:r>
      <w:r>
        <w:rPr>
          <w:spacing w:val="-7"/>
        </w:rPr>
        <w:t> </w:t>
      </w:r>
      <w:r>
        <w:rPr/>
        <w:t>EPV-19,</w:t>
      </w:r>
      <w:r>
        <w:rPr>
          <w:spacing w:val="-6"/>
        </w:rPr>
        <w:t> </w:t>
      </w:r>
      <w:r>
        <w:rPr/>
        <w:t>EPV-13</w:t>
      </w:r>
      <w:r>
        <w:rPr>
          <w:spacing w:val="-7"/>
        </w:rPr>
        <w:t> </w:t>
      </w:r>
      <w:r>
        <w:rPr/>
        <w:t>and</w:t>
      </w:r>
      <w:r>
        <w:rPr>
          <w:spacing w:val="-7"/>
        </w:rPr>
        <w:t> </w:t>
      </w:r>
      <w:r>
        <w:rPr/>
        <w:t>EPV-9</w:t>
      </w:r>
      <w:r>
        <w:rPr>
          <w:spacing w:val="-7"/>
        </w:rPr>
        <w:t> </w:t>
      </w:r>
      <w:r>
        <w:rPr/>
        <w:t>with</w:t>
      </w:r>
      <w:r>
        <w:rPr>
          <w:spacing w:val="-7"/>
        </w:rPr>
        <w:t> </w:t>
      </w:r>
      <w:r>
        <w:rPr/>
        <w:t>regards</w:t>
      </w:r>
      <w:r>
        <w:rPr>
          <w:spacing w:val="-7"/>
        </w:rPr>
        <w:t> </w:t>
      </w:r>
      <w:r>
        <w:rPr/>
        <w:t>to</w:t>
      </w:r>
      <w:r>
        <w:rPr>
          <w:spacing w:val="-7"/>
        </w:rPr>
        <w:t> </w:t>
      </w:r>
      <w:r>
        <w:rPr/>
        <w:t>the</w:t>
      </w:r>
      <w:r>
        <w:rPr>
          <w:spacing w:val="-7"/>
        </w:rPr>
        <w:t> </w:t>
      </w:r>
      <w:r>
        <w:rPr/>
        <w:t>values</w:t>
      </w:r>
      <w:r>
        <w:rPr>
          <w:spacing w:val="-7"/>
        </w:rPr>
        <w:t> </w:t>
      </w:r>
      <w:r>
        <w:rPr/>
        <w:t>of</w:t>
      </w:r>
      <w:r>
        <w:rPr>
          <w:spacing w:val="-7"/>
        </w:rPr>
        <w:t> </w:t>
      </w:r>
      <w:r>
        <w:rPr/>
        <w:t>different</w:t>
      </w:r>
      <w:r>
        <w:rPr>
          <w:spacing w:val="-7"/>
        </w:rPr>
        <w:t> </w:t>
      </w:r>
      <w:r>
        <w:rPr/>
        <w:t>zones,</w:t>
      </w:r>
      <w:r>
        <w:rPr>
          <w:spacing w:val="-6"/>
        </w:rPr>
        <w:t> </w:t>
      </w:r>
      <w:r>
        <w:rPr/>
        <w:t>they had</w:t>
      </w:r>
      <w:r>
        <w:rPr>
          <w:spacing w:val="-1"/>
        </w:rPr>
        <w:t> </w:t>
      </w:r>
      <w:r>
        <w:rPr/>
        <w:t>poor</w:t>
      </w:r>
      <w:r>
        <w:rPr>
          <w:spacing w:val="-1"/>
        </w:rPr>
        <w:t> </w:t>
      </w:r>
      <w:r>
        <w:rPr/>
        <w:t>reproducibility</w:t>
      </w:r>
      <w:r>
        <w:rPr>
          <w:spacing w:val="-1"/>
        </w:rPr>
        <w:t> </w:t>
      </w:r>
      <w:r>
        <w:rPr/>
        <w:t>between</w:t>
      </w:r>
      <w:r>
        <w:rPr>
          <w:spacing w:val="-1"/>
        </w:rPr>
        <w:t> </w:t>
      </w:r>
      <w:r>
        <w:rPr/>
        <w:t>fixtures.</w:t>
      </w:r>
      <w:r>
        <w:rPr>
          <w:spacing w:val="22"/>
        </w:rPr>
        <w:t> </w:t>
      </w:r>
      <w:r>
        <w:rPr/>
        <w:t>This</w:t>
      </w:r>
      <w:r>
        <w:rPr>
          <w:spacing w:val="-1"/>
        </w:rPr>
        <w:t> </w:t>
      </w:r>
      <w:r>
        <w:rPr/>
        <w:t>was</w:t>
      </w:r>
      <w:r>
        <w:rPr>
          <w:spacing w:val="-1"/>
        </w:rPr>
        <w:t> </w:t>
      </w:r>
      <w:r>
        <w:rPr/>
        <w:t>noticeable</w:t>
      </w:r>
      <w:r>
        <w:rPr>
          <w:spacing w:val="-1"/>
        </w:rPr>
        <w:t> </w:t>
      </w:r>
      <w:r>
        <w:rPr/>
        <w:t>in</w:t>
      </w:r>
      <w:r>
        <w:rPr>
          <w:spacing w:val="-1"/>
        </w:rPr>
        <w:t> </w:t>
      </w:r>
      <w:r>
        <w:rPr/>
        <w:t>both</w:t>
      </w:r>
      <w:r>
        <w:rPr>
          <w:spacing w:val="-1"/>
        </w:rPr>
        <w:t> </w:t>
      </w:r>
      <w:r>
        <w:rPr/>
        <w:t>the</w:t>
      </w:r>
      <w:r>
        <w:rPr>
          <w:spacing w:val="-1"/>
        </w:rPr>
        <w:t> </w:t>
      </w:r>
      <w:r>
        <w:rPr/>
        <w:t>percentage</w:t>
      </w:r>
      <w:r>
        <w:rPr>
          <w:spacing w:val="-1"/>
        </w:rPr>
        <w:t> </w:t>
      </w:r>
      <w:r>
        <w:rPr/>
        <w:t>of subsequent match zones visited and in the similarity in reward distributions between the </w:t>
      </w:r>
      <w:r>
        <w:rPr>
          <w:spacing w:val="-2"/>
        </w:rPr>
        <w:t>previous</w:t>
      </w:r>
      <w:r>
        <w:rPr>
          <w:spacing w:val="-9"/>
        </w:rPr>
        <w:t> </w:t>
      </w:r>
      <w:r>
        <w:rPr>
          <w:spacing w:val="-2"/>
        </w:rPr>
        <w:t>and</w:t>
      </w:r>
      <w:r>
        <w:rPr>
          <w:spacing w:val="-9"/>
        </w:rPr>
        <w:t> </w:t>
      </w:r>
      <w:r>
        <w:rPr>
          <w:spacing w:val="-2"/>
        </w:rPr>
        <w:t>subsequent</w:t>
      </w:r>
      <w:r>
        <w:rPr>
          <w:spacing w:val="-9"/>
        </w:rPr>
        <w:t> </w:t>
      </w:r>
      <w:r>
        <w:rPr>
          <w:spacing w:val="-2"/>
        </w:rPr>
        <w:t>matches.</w:t>
      </w:r>
      <w:r>
        <w:rPr>
          <w:spacing w:val="10"/>
        </w:rPr>
        <w:t> </w:t>
      </w:r>
      <w:r>
        <w:rPr>
          <w:spacing w:val="-2"/>
        </w:rPr>
        <w:t>The</w:t>
      </w:r>
      <w:r>
        <w:rPr>
          <w:spacing w:val="-9"/>
        </w:rPr>
        <w:t> </w:t>
      </w:r>
      <w:r>
        <w:rPr>
          <w:spacing w:val="-2"/>
        </w:rPr>
        <w:t>EPV-308,</w:t>
      </w:r>
      <w:r>
        <w:rPr>
          <w:spacing w:val="-8"/>
        </w:rPr>
        <w:t> </w:t>
      </w:r>
      <w:r>
        <w:rPr>
          <w:spacing w:val="-2"/>
        </w:rPr>
        <w:t>EPV-77</w:t>
      </w:r>
      <w:r>
        <w:rPr>
          <w:spacing w:val="-9"/>
        </w:rPr>
        <w:t> </w:t>
      </w:r>
      <w:r>
        <w:rPr>
          <w:spacing w:val="-2"/>
        </w:rPr>
        <w:t>and</w:t>
      </w:r>
      <w:r>
        <w:rPr>
          <w:spacing w:val="-9"/>
        </w:rPr>
        <w:t> </w:t>
      </w:r>
      <w:r>
        <w:rPr>
          <w:spacing w:val="-2"/>
        </w:rPr>
        <w:t>EPV-37</w:t>
      </w:r>
      <w:r>
        <w:rPr>
          <w:spacing w:val="-9"/>
        </w:rPr>
        <w:t> </w:t>
      </w:r>
      <w:r>
        <w:rPr>
          <w:spacing w:val="-2"/>
        </w:rPr>
        <w:t>therefore</w:t>
      </w:r>
      <w:r>
        <w:rPr>
          <w:spacing w:val="-9"/>
        </w:rPr>
        <w:t> </w:t>
      </w:r>
      <w:r>
        <w:rPr>
          <w:spacing w:val="-2"/>
        </w:rPr>
        <w:t>have</w:t>
      </w:r>
      <w:r>
        <w:rPr>
          <w:spacing w:val="-9"/>
        </w:rPr>
        <w:t> </w:t>
      </w:r>
      <w:r>
        <w:rPr>
          <w:spacing w:val="-2"/>
        </w:rPr>
        <w:t>lim- ited</w:t>
      </w:r>
      <w:r>
        <w:rPr>
          <w:spacing w:val="-8"/>
        </w:rPr>
        <w:t> </w:t>
      </w:r>
      <w:r>
        <w:rPr>
          <w:spacing w:val="-2"/>
        </w:rPr>
        <w:t>application</w:t>
      </w:r>
      <w:r>
        <w:rPr>
          <w:spacing w:val="-8"/>
        </w:rPr>
        <w:t> </w:t>
      </w:r>
      <w:r>
        <w:rPr>
          <w:spacing w:val="-2"/>
        </w:rPr>
        <w:t>in</w:t>
      </w:r>
      <w:r>
        <w:rPr>
          <w:spacing w:val="-7"/>
        </w:rPr>
        <w:t> </w:t>
      </w:r>
      <w:r>
        <w:rPr>
          <w:spacing w:val="-2"/>
        </w:rPr>
        <w:t>practice</w:t>
      </w:r>
      <w:r>
        <w:rPr>
          <w:spacing w:val="-8"/>
        </w:rPr>
        <w:t> </w:t>
      </w:r>
      <w:r>
        <w:rPr>
          <w:spacing w:val="-2"/>
        </w:rPr>
        <w:t>when</w:t>
      </w:r>
      <w:r>
        <w:rPr>
          <w:spacing w:val="-7"/>
        </w:rPr>
        <w:t> </w:t>
      </w:r>
      <w:r>
        <w:rPr>
          <w:spacing w:val="-2"/>
        </w:rPr>
        <w:t>evaluating</w:t>
      </w:r>
      <w:r>
        <w:rPr>
          <w:spacing w:val="-8"/>
        </w:rPr>
        <w:t> </w:t>
      </w:r>
      <w:r>
        <w:rPr>
          <w:spacing w:val="-2"/>
        </w:rPr>
        <w:t>team</w:t>
      </w:r>
      <w:r>
        <w:rPr>
          <w:spacing w:val="-7"/>
        </w:rPr>
        <w:t> </w:t>
      </w:r>
      <w:r>
        <w:rPr>
          <w:spacing w:val="-2"/>
        </w:rPr>
        <w:t>attacking</w:t>
      </w:r>
      <w:r>
        <w:rPr>
          <w:spacing w:val="-8"/>
        </w:rPr>
        <w:t> </w:t>
      </w:r>
      <w:r>
        <w:rPr>
          <w:spacing w:val="-2"/>
        </w:rPr>
        <w:t>performances.</w:t>
      </w:r>
      <w:r>
        <w:rPr>
          <w:spacing w:val="18"/>
        </w:rPr>
        <w:t> </w:t>
      </w:r>
      <w:r>
        <w:rPr>
          <w:spacing w:val="-2"/>
        </w:rPr>
        <w:t>By</w:t>
      </w:r>
      <w:r>
        <w:rPr>
          <w:spacing w:val="-7"/>
        </w:rPr>
        <w:t> </w:t>
      </w:r>
      <w:r>
        <w:rPr>
          <w:spacing w:val="-2"/>
        </w:rPr>
        <w:t>contrast,</w:t>
      </w:r>
      <w:r>
        <w:rPr>
          <w:spacing w:val="-6"/>
        </w:rPr>
        <w:t> </w:t>
      </w:r>
      <w:r>
        <w:rPr>
          <w:spacing w:val="-5"/>
        </w:rPr>
        <w:t>the</w:t>
      </w:r>
    </w:p>
    <w:p>
      <w:pPr>
        <w:spacing w:after="0" w:line="312" w:lineRule="auto"/>
        <w:jc w:val="both"/>
        <w:sectPr>
          <w:pgSz w:w="11910" w:h="16840"/>
          <w:pgMar w:header="1961" w:footer="1428" w:top="2280" w:bottom="1620" w:left="1680" w:right="720"/>
        </w:sectPr>
      </w:pPr>
    </w:p>
    <w:p>
      <w:pPr>
        <w:pStyle w:val="BodyText"/>
        <w:rPr>
          <w:sz w:val="20"/>
        </w:rPr>
      </w:pPr>
      <w:r>
        <w:rPr/>
        <w:pict>
          <v:line style="position:absolute;mso-position-horizontal-relative:page;mso-position-vertical-relative:page;z-index:-21782528" from="727.757019pt,114.519997pt" to="727.757019pt,539.716997pt" stroked="true" strokeweight=".498pt" strokecolor="#000000">
            <v:stroke dashstyle="solid"/>
            <w10:wrap type="none"/>
          </v:line>
        </w:pict>
      </w:r>
      <w:r>
        <w:rPr/>
        <w:pict>
          <v:shape style="position:absolute;margin-left:727.263306pt;margin-top:483.59201pt;width:17.6pt;height:57.15pt;mso-position-horizontal-relative:page;mso-position-vertical-relative:page;z-index:15762944" type="#_x0000_t202" id="docshape85" filled="false" stroked="false">
            <v:textbox inset="0,0,0,0" style="layout-flow:vertical">
              <w:txbxContent>
                <w:p>
                  <w:pPr>
                    <w:numPr>
                      <w:ilvl w:val="1"/>
                      <w:numId w:val="20"/>
                    </w:numPr>
                    <w:tabs>
                      <w:tab w:pos="379" w:val="left" w:leader="none"/>
                    </w:tabs>
                    <w:spacing w:before="25"/>
                    <w:ind w:left="378" w:right="0" w:hanging="359"/>
                    <w:jc w:val="left"/>
                    <w:rPr>
                      <w:b/>
                      <w:sz w:val="24"/>
                    </w:rPr>
                  </w:pPr>
                  <w:r>
                    <w:rPr>
                      <w:b/>
                      <w:spacing w:val="-2"/>
                      <w:sz w:val="24"/>
                    </w:rPr>
                    <w:t>Results</w:t>
                  </w:r>
                </w:p>
              </w:txbxContent>
            </v:textbox>
            <w10:wrap type="none"/>
          </v:shape>
        </w:pict>
      </w:r>
      <w:r>
        <w:rPr/>
        <w:pict>
          <v:shape style="position:absolute;margin-left:66.008591pt;margin-top:320.140991pt;width:16.45pt;height:14pt;mso-position-horizontal-relative:page;mso-position-vertical-relative:page;z-index:15763968" type="#_x0000_t202" id="docshape86" filled="false" stroked="false">
            <v:textbox inset="0,0,0,0" style="layout-flow:vertical">
              <w:txbxContent>
                <w:p>
                  <w:pPr>
                    <w:pStyle w:val="BodyText"/>
                    <w:spacing w:before="17"/>
                    <w:ind w:left="20"/>
                  </w:pPr>
                  <w:r>
                    <w:rPr>
                      <w:spacing w:val="-5"/>
                    </w:rPr>
                    <w:t>80</w:t>
                  </w:r>
                </w:p>
              </w:txbxContent>
            </v:textbox>
            <w10:wrap type="none"/>
          </v:shap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0"/>
        </w:rPr>
      </w:pPr>
    </w:p>
    <w:p>
      <w:pPr>
        <w:pStyle w:val="BodyText"/>
        <w:spacing w:line="20" w:lineRule="exact"/>
        <w:ind w:left="616"/>
        <w:rPr>
          <w:sz w:val="2"/>
        </w:rPr>
      </w:pPr>
      <w:bookmarkStart w:name="_bookmark86" w:id="154"/>
      <w:bookmarkEnd w:id="154"/>
      <w:r>
        <w:rPr/>
      </w:r>
      <w:r>
        <w:rPr>
          <w:sz w:val="2"/>
        </w:rPr>
        <w:pict>
          <v:group style="width:481.6pt;height:.4pt;mso-position-horizontal-relative:char;mso-position-vertical-relative:line" id="docshapegroup87" coordorigin="0,0" coordsize="9632,8">
            <v:line style="position:absolute" from="0,4" to="9632,4" stroked="true" strokeweight=".398pt" strokecolor="#000000">
              <v:stroke dashstyle="solid"/>
            </v:line>
          </v:group>
        </w:pict>
      </w:r>
      <w:r>
        <w:rPr>
          <w:sz w:val="2"/>
        </w:rPr>
      </w:r>
    </w:p>
    <w:p>
      <w:pPr>
        <w:pStyle w:val="BodyText"/>
        <w:spacing w:line="238" w:lineRule="exact"/>
        <w:ind w:left="4598" w:right="4623"/>
        <w:jc w:val="center"/>
      </w:pPr>
      <w:r>
        <w:rPr/>
        <w:pict>
          <v:shape style="position:absolute;margin-left:656.29657pt;margin-top:-156.416pt;width:45.75pt;height:427.2pt;mso-position-horizontal-relative:page;mso-position-vertical-relative:paragraph;z-index:15763456" type="#_x0000_t202" id="docshape88" filled="false" stroked="false">
            <v:textbox inset="0,0,0,0" style="layout-flow:vertical">
              <w:txbxContent>
                <w:p>
                  <w:pPr>
                    <w:pStyle w:val="BodyText"/>
                    <w:spacing w:line="252" w:lineRule="auto" w:before="25"/>
                    <w:ind w:left="20" w:right="18"/>
                    <w:jc w:val="both"/>
                  </w:pPr>
                  <w:r>
                    <w:rPr>
                      <w:b/>
                    </w:rPr>
                    <w:t>Table 3.17:</w:t>
                  </w:r>
                  <w:r>
                    <w:rPr>
                      <w:b/>
                      <w:spacing w:val="38"/>
                    </w:rPr>
                    <w:t> </w:t>
                  </w:r>
                  <w:r>
                    <w:rPr/>
                    <w:t>Percentage of non-infinity zones for each model, providing the percentage of matches where the complete set of the subsequent match’s zones were visited in </w:t>
                  </w:r>
                  <w:r>
                    <w:rPr/>
                    <w:t>the previous n matches. Values are mean (standard deviation) percentage across all clubs.</w:t>
                  </w:r>
                </w:p>
              </w:txbxContent>
            </v:textbox>
            <w10:wrap type="none"/>
          </v:shape>
        </w:pict>
      </w:r>
      <w:r>
        <w:rPr/>
        <w:t>Number</w:t>
      </w:r>
      <w:r>
        <w:rPr>
          <w:spacing w:val="-10"/>
        </w:rPr>
        <w:t> </w:t>
      </w:r>
      <w:r>
        <w:rPr/>
        <w:t>of</w:t>
      </w:r>
      <w:r>
        <w:rPr>
          <w:spacing w:val="-9"/>
        </w:rPr>
        <w:t> </w:t>
      </w:r>
      <w:r>
        <w:rPr/>
        <w:t>previous</w:t>
      </w:r>
      <w:r>
        <w:rPr>
          <w:spacing w:val="-9"/>
        </w:rPr>
        <w:t> </w:t>
      </w:r>
      <w:r>
        <w:rPr>
          <w:spacing w:val="-2"/>
        </w:rPr>
        <w:t>matches</w:t>
      </w:r>
    </w:p>
    <w:tbl>
      <w:tblPr>
        <w:tblW w:w="0" w:type="auto"/>
        <w:jc w:val="left"/>
        <w:tblInd w:w="6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105"/>
        <w:gridCol w:w="757"/>
        <w:gridCol w:w="757"/>
        <w:gridCol w:w="877"/>
        <w:gridCol w:w="877"/>
        <w:gridCol w:w="877"/>
        <w:gridCol w:w="877"/>
        <w:gridCol w:w="877"/>
        <w:gridCol w:w="877"/>
        <w:gridCol w:w="877"/>
        <w:gridCol w:w="877"/>
      </w:tblGrid>
      <w:tr>
        <w:trPr>
          <w:trHeight w:val="341" w:hRule="atLeast"/>
        </w:trPr>
        <w:tc>
          <w:tcPr>
            <w:tcW w:w="1105" w:type="dxa"/>
            <w:tcBorders>
              <w:bottom w:val="single" w:sz="4" w:space="0" w:color="000000"/>
            </w:tcBorders>
          </w:tcPr>
          <w:p>
            <w:pPr>
              <w:pStyle w:val="TableParagraph"/>
              <w:spacing w:line="240" w:lineRule="auto" w:before="13"/>
              <w:ind w:left="240"/>
              <w:jc w:val="left"/>
              <w:rPr>
                <w:sz w:val="24"/>
              </w:rPr>
            </w:pPr>
            <w:r>
              <w:rPr>
                <w:spacing w:val="-2"/>
                <w:sz w:val="24"/>
              </w:rPr>
              <w:t>Model</w:t>
            </w:r>
          </w:p>
        </w:tc>
        <w:tc>
          <w:tcPr>
            <w:tcW w:w="757" w:type="dxa"/>
            <w:tcBorders>
              <w:bottom w:val="single" w:sz="4" w:space="0" w:color="000000"/>
            </w:tcBorders>
          </w:tcPr>
          <w:p>
            <w:pPr>
              <w:pStyle w:val="TableParagraph"/>
              <w:spacing w:line="240" w:lineRule="auto" w:before="13"/>
              <w:rPr>
                <w:sz w:val="24"/>
              </w:rPr>
            </w:pPr>
            <w:r>
              <w:rPr>
                <w:w w:val="99"/>
                <w:sz w:val="24"/>
              </w:rPr>
              <w:t>1</w:t>
            </w:r>
          </w:p>
        </w:tc>
        <w:tc>
          <w:tcPr>
            <w:tcW w:w="757" w:type="dxa"/>
            <w:tcBorders>
              <w:bottom w:val="single" w:sz="4" w:space="0" w:color="000000"/>
            </w:tcBorders>
          </w:tcPr>
          <w:p>
            <w:pPr>
              <w:pStyle w:val="TableParagraph"/>
              <w:spacing w:line="240" w:lineRule="auto" w:before="13"/>
              <w:rPr>
                <w:sz w:val="24"/>
              </w:rPr>
            </w:pPr>
            <w:r>
              <w:rPr>
                <w:w w:val="99"/>
                <w:sz w:val="24"/>
              </w:rPr>
              <w:t>2</w:t>
            </w:r>
          </w:p>
        </w:tc>
        <w:tc>
          <w:tcPr>
            <w:tcW w:w="877" w:type="dxa"/>
            <w:tcBorders>
              <w:bottom w:val="single" w:sz="4" w:space="0" w:color="000000"/>
            </w:tcBorders>
          </w:tcPr>
          <w:p>
            <w:pPr>
              <w:pStyle w:val="TableParagraph"/>
              <w:spacing w:line="240" w:lineRule="auto" w:before="13"/>
              <w:rPr>
                <w:sz w:val="24"/>
              </w:rPr>
            </w:pPr>
            <w:r>
              <w:rPr>
                <w:w w:val="99"/>
                <w:sz w:val="24"/>
              </w:rPr>
              <w:t>3</w:t>
            </w:r>
          </w:p>
        </w:tc>
        <w:tc>
          <w:tcPr>
            <w:tcW w:w="877" w:type="dxa"/>
            <w:tcBorders>
              <w:bottom w:val="single" w:sz="4" w:space="0" w:color="000000"/>
            </w:tcBorders>
          </w:tcPr>
          <w:p>
            <w:pPr>
              <w:pStyle w:val="TableParagraph"/>
              <w:spacing w:line="240" w:lineRule="auto" w:before="13"/>
              <w:ind w:right="1"/>
              <w:rPr>
                <w:sz w:val="24"/>
              </w:rPr>
            </w:pPr>
            <w:r>
              <w:rPr>
                <w:w w:val="99"/>
                <w:sz w:val="24"/>
              </w:rPr>
              <w:t>4</w:t>
            </w:r>
          </w:p>
        </w:tc>
        <w:tc>
          <w:tcPr>
            <w:tcW w:w="877" w:type="dxa"/>
            <w:tcBorders>
              <w:bottom w:val="single" w:sz="4" w:space="0" w:color="000000"/>
            </w:tcBorders>
          </w:tcPr>
          <w:p>
            <w:pPr>
              <w:pStyle w:val="TableParagraph"/>
              <w:spacing w:line="240" w:lineRule="auto" w:before="13"/>
              <w:rPr>
                <w:sz w:val="24"/>
              </w:rPr>
            </w:pPr>
            <w:r>
              <w:rPr>
                <w:w w:val="99"/>
                <w:sz w:val="24"/>
              </w:rPr>
              <w:t>5</w:t>
            </w:r>
          </w:p>
        </w:tc>
        <w:tc>
          <w:tcPr>
            <w:tcW w:w="877" w:type="dxa"/>
            <w:tcBorders>
              <w:bottom w:val="single" w:sz="4" w:space="0" w:color="000000"/>
            </w:tcBorders>
          </w:tcPr>
          <w:p>
            <w:pPr>
              <w:pStyle w:val="TableParagraph"/>
              <w:spacing w:line="240" w:lineRule="auto" w:before="13"/>
              <w:ind w:right="1"/>
              <w:rPr>
                <w:sz w:val="24"/>
              </w:rPr>
            </w:pPr>
            <w:r>
              <w:rPr>
                <w:w w:val="99"/>
                <w:sz w:val="24"/>
              </w:rPr>
              <w:t>6</w:t>
            </w:r>
          </w:p>
        </w:tc>
        <w:tc>
          <w:tcPr>
            <w:tcW w:w="877" w:type="dxa"/>
            <w:tcBorders>
              <w:bottom w:val="single" w:sz="4" w:space="0" w:color="000000"/>
            </w:tcBorders>
          </w:tcPr>
          <w:p>
            <w:pPr>
              <w:pStyle w:val="TableParagraph"/>
              <w:spacing w:line="240" w:lineRule="auto" w:before="13"/>
              <w:ind w:right="1"/>
              <w:rPr>
                <w:sz w:val="24"/>
              </w:rPr>
            </w:pPr>
            <w:r>
              <w:rPr>
                <w:w w:val="99"/>
                <w:sz w:val="24"/>
              </w:rPr>
              <w:t>7</w:t>
            </w:r>
          </w:p>
        </w:tc>
        <w:tc>
          <w:tcPr>
            <w:tcW w:w="877" w:type="dxa"/>
            <w:tcBorders>
              <w:bottom w:val="single" w:sz="4" w:space="0" w:color="000000"/>
            </w:tcBorders>
          </w:tcPr>
          <w:p>
            <w:pPr>
              <w:pStyle w:val="TableParagraph"/>
              <w:spacing w:line="240" w:lineRule="auto" w:before="13"/>
              <w:ind w:right="2"/>
              <w:rPr>
                <w:sz w:val="24"/>
              </w:rPr>
            </w:pPr>
            <w:r>
              <w:rPr>
                <w:w w:val="99"/>
                <w:sz w:val="24"/>
              </w:rPr>
              <w:t>8</w:t>
            </w:r>
          </w:p>
        </w:tc>
        <w:tc>
          <w:tcPr>
            <w:tcW w:w="877" w:type="dxa"/>
            <w:tcBorders>
              <w:bottom w:val="single" w:sz="4" w:space="0" w:color="000000"/>
            </w:tcBorders>
          </w:tcPr>
          <w:p>
            <w:pPr>
              <w:pStyle w:val="TableParagraph"/>
              <w:spacing w:line="240" w:lineRule="auto" w:before="13"/>
              <w:ind w:right="3"/>
              <w:rPr>
                <w:sz w:val="24"/>
              </w:rPr>
            </w:pPr>
            <w:r>
              <w:rPr>
                <w:w w:val="99"/>
                <w:sz w:val="24"/>
              </w:rPr>
              <w:t>9</w:t>
            </w:r>
          </w:p>
        </w:tc>
        <w:tc>
          <w:tcPr>
            <w:tcW w:w="877" w:type="dxa"/>
            <w:tcBorders>
              <w:bottom w:val="single" w:sz="4" w:space="0" w:color="000000"/>
            </w:tcBorders>
          </w:tcPr>
          <w:p>
            <w:pPr>
              <w:pStyle w:val="TableParagraph"/>
              <w:spacing w:line="240" w:lineRule="auto" w:before="13"/>
              <w:ind w:left="101" w:right="105"/>
              <w:rPr>
                <w:sz w:val="24"/>
              </w:rPr>
            </w:pPr>
            <w:r>
              <w:rPr>
                <w:spacing w:val="-5"/>
                <w:sz w:val="24"/>
              </w:rPr>
              <w:t>10</w:t>
            </w:r>
          </w:p>
        </w:tc>
      </w:tr>
      <w:tr>
        <w:trPr>
          <w:trHeight w:val="283" w:hRule="atLeast"/>
        </w:trPr>
        <w:tc>
          <w:tcPr>
            <w:tcW w:w="1105" w:type="dxa"/>
            <w:tcBorders>
              <w:top w:val="single" w:sz="4" w:space="0" w:color="000000"/>
            </w:tcBorders>
          </w:tcPr>
          <w:p>
            <w:pPr>
              <w:pStyle w:val="TableParagraph"/>
              <w:spacing w:line="219" w:lineRule="exact"/>
              <w:ind w:right="117"/>
              <w:jc w:val="right"/>
              <w:rPr>
                <w:sz w:val="24"/>
              </w:rPr>
            </w:pPr>
            <w:r>
              <w:rPr>
                <w:spacing w:val="-9"/>
                <w:sz w:val="24"/>
              </w:rPr>
              <w:t>EPV-</w:t>
            </w:r>
            <w:r>
              <w:rPr>
                <w:spacing w:val="-5"/>
                <w:sz w:val="24"/>
              </w:rPr>
              <w:t>308</w:t>
            </w:r>
          </w:p>
        </w:tc>
        <w:tc>
          <w:tcPr>
            <w:tcW w:w="757" w:type="dxa"/>
            <w:tcBorders>
              <w:top w:val="single" w:sz="4" w:space="0" w:color="000000"/>
            </w:tcBorders>
          </w:tcPr>
          <w:p>
            <w:pPr>
              <w:pStyle w:val="TableParagraph"/>
              <w:spacing w:line="219" w:lineRule="exact"/>
              <w:ind w:left="103" w:right="103"/>
              <w:rPr>
                <w:sz w:val="24"/>
              </w:rPr>
            </w:pPr>
            <w:r>
              <w:rPr>
                <w:spacing w:val="-4"/>
                <w:sz w:val="24"/>
              </w:rPr>
              <w:t>0(0)</w:t>
            </w:r>
          </w:p>
        </w:tc>
        <w:tc>
          <w:tcPr>
            <w:tcW w:w="757" w:type="dxa"/>
            <w:tcBorders>
              <w:top w:val="single" w:sz="4" w:space="0" w:color="000000"/>
            </w:tcBorders>
          </w:tcPr>
          <w:p>
            <w:pPr>
              <w:pStyle w:val="TableParagraph"/>
              <w:spacing w:line="219" w:lineRule="exact"/>
              <w:ind w:left="103" w:right="103"/>
              <w:rPr>
                <w:sz w:val="24"/>
              </w:rPr>
            </w:pPr>
            <w:r>
              <w:rPr>
                <w:spacing w:val="-4"/>
                <w:sz w:val="24"/>
              </w:rPr>
              <w:t>0(0)</w:t>
            </w:r>
          </w:p>
        </w:tc>
        <w:tc>
          <w:tcPr>
            <w:tcW w:w="877" w:type="dxa"/>
            <w:tcBorders>
              <w:top w:val="single" w:sz="4" w:space="0" w:color="000000"/>
            </w:tcBorders>
          </w:tcPr>
          <w:p>
            <w:pPr>
              <w:pStyle w:val="TableParagraph"/>
              <w:spacing w:line="219" w:lineRule="exact"/>
              <w:ind w:left="239"/>
              <w:jc w:val="left"/>
              <w:rPr>
                <w:sz w:val="24"/>
              </w:rPr>
            </w:pPr>
            <w:r>
              <w:rPr>
                <w:spacing w:val="-4"/>
                <w:sz w:val="24"/>
              </w:rPr>
              <w:t>0(0)</w:t>
            </w:r>
          </w:p>
        </w:tc>
        <w:tc>
          <w:tcPr>
            <w:tcW w:w="877" w:type="dxa"/>
            <w:tcBorders>
              <w:top w:val="single" w:sz="4" w:space="0" w:color="000000"/>
            </w:tcBorders>
          </w:tcPr>
          <w:p>
            <w:pPr>
              <w:pStyle w:val="TableParagraph"/>
              <w:spacing w:line="219" w:lineRule="exact"/>
              <w:ind w:left="238"/>
              <w:jc w:val="left"/>
              <w:rPr>
                <w:sz w:val="24"/>
              </w:rPr>
            </w:pPr>
            <w:r>
              <w:rPr>
                <w:spacing w:val="-4"/>
                <w:sz w:val="24"/>
              </w:rPr>
              <w:t>0(0)</w:t>
            </w:r>
          </w:p>
        </w:tc>
        <w:tc>
          <w:tcPr>
            <w:tcW w:w="877" w:type="dxa"/>
            <w:tcBorders>
              <w:top w:val="single" w:sz="4" w:space="0" w:color="000000"/>
            </w:tcBorders>
          </w:tcPr>
          <w:p>
            <w:pPr>
              <w:pStyle w:val="TableParagraph"/>
              <w:spacing w:line="219" w:lineRule="exact"/>
              <w:ind w:left="238"/>
              <w:jc w:val="left"/>
              <w:rPr>
                <w:sz w:val="24"/>
              </w:rPr>
            </w:pPr>
            <w:r>
              <w:rPr>
                <w:spacing w:val="-4"/>
                <w:sz w:val="24"/>
              </w:rPr>
              <w:t>0(0)</w:t>
            </w:r>
          </w:p>
        </w:tc>
        <w:tc>
          <w:tcPr>
            <w:tcW w:w="877" w:type="dxa"/>
            <w:tcBorders>
              <w:top w:val="single" w:sz="4" w:space="0" w:color="000000"/>
            </w:tcBorders>
          </w:tcPr>
          <w:p>
            <w:pPr>
              <w:pStyle w:val="TableParagraph"/>
              <w:spacing w:line="219" w:lineRule="exact"/>
              <w:ind w:left="237"/>
              <w:jc w:val="left"/>
              <w:rPr>
                <w:sz w:val="24"/>
              </w:rPr>
            </w:pPr>
            <w:r>
              <w:rPr>
                <w:spacing w:val="-4"/>
                <w:sz w:val="24"/>
              </w:rPr>
              <w:t>0(0)</w:t>
            </w:r>
          </w:p>
        </w:tc>
        <w:tc>
          <w:tcPr>
            <w:tcW w:w="877" w:type="dxa"/>
            <w:tcBorders>
              <w:top w:val="single" w:sz="4" w:space="0" w:color="000000"/>
            </w:tcBorders>
          </w:tcPr>
          <w:p>
            <w:pPr>
              <w:pStyle w:val="TableParagraph"/>
              <w:spacing w:line="219" w:lineRule="exact"/>
              <w:ind w:left="102" w:right="103"/>
              <w:rPr>
                <w:sz w:val="24"/>
              </w:rPr>
            </w:pPr>
            <w:r>
              <w:rPr>
                <w:spacing w:val="-4"/>
                <w:sz w:val="24"/>
              </w:rPr>
              <w:t>0(0)</w:t>
            </w:r>
          </w:p>
        </w:tc>
        <w:tc>
          <w:tcPr>
            <w:tcW w:w="877" w:type="dxa"/>
            <w:tcBorders>
              <w:top w:val="single" w:sz="4" w:space="0" w:color="000000"/>
            </w:tcBorders>
          </w:tcPr>
          <w:p>
            <w:pPr>
              <w:pStyle w:val="TableParagraph"/>
              <w:spacing w:line="219" w:lineRule="exact"/>
              <w:ind w:left="102" w:right="104"/>
              <w:rPr>
                <w:sz w:val="24"/>
              </w:rPr>
            </w:pPr>
            <w:r>
              <w:rPr>
                <w:spacing w:val="-4"/>
                <w:sz w:val="24"/>
              </w:rPr>
              <w:t>2(2)</w:t>
            </w:r>
          </w:p>
        </w:tc>
        <w:tc>
          <w:tcPr>
            <w:tcW w:w="877" w:type="dxa"/>
            <w:tcBorders>
              <w:top w:val="single" w:sz="4" w:space="0" w:color="000000"/>
            </w:tcBorders>
          </w:tcPr>
          <w:p>
            <w:pPr>
              <w:pStyle w:val="TableParagraph"/>
              <w:spacing w:line="219" w:lineRule="exact"/>
              <w:ind w:left="102" w:right="105"/>
              <w:rPr>
                <w:sz w:val="24"/>
              </w:rPr>
            </w:pPr>
            <w:r>
              <w:rPr>
                <w:spacing w:val="-4"/>
                <w:sz w:val="24"/>
              </w:rPr>
              <w:t>4(4)</w:t>
            </w:r>
          </w:p>
        </w:tc>
        <w:tc>
          <w:tcPr>
            <w:tcW w:w="877" w:type="dxa"/>
            <w:tcBorders>
              <w:top w:val="single" w:sz="4" w:space="0" w:color="000000"/>
            </w:tcBorders>
          </w:tcPr>
          <w:p>
            <w:pPr>
              <w:pStyle w:val="TableParagraph"/>
              <w:spacing w:line="219" w:lineRule="exact"/>
              <w:ind w:left="101" w:right="105"/>
              <w:rPr>
                <w:sz w:val="24"/>
              </w:rPr>
            </w:pPr>
            <w:r>
              <w:rPr>
                <w:spacing w:val="-4"/>
                <w:sz w:val="24"/>
              </w:rPr>
              <w:t>5(5)</w:t>
            </w:r>
          </w:p>
        </w:tc>
      </w:tr>
      <w:tr>
        <w:trPr>
          <w:trHeight w:val="288" w:hRule="atLeast"/>
        </w:trPr>
        <w:tc>
          <w:tcPr>
            <w:tcW w:w="1105" w:type="dxa"/>
          </w:tcPr>
          <w:p>
            <w:pPr>
              <w:pStyle w:val="TableParagraph"/>
              <w:spacing w:line="239" w:lineRule="exact"/>
              <w:ind w:right="177"/>
              <w:jc w:val="right"/>
              <w:rPr>
                <w:sz w:val="24"/>
              </w:rPr>
            </w:pPr>
            <w:r>
              <w:rPr>
                <w:spacing w:val="-9"/>
                <w:sz w:val="24"/>
              </w:rPr>
              <w:t>EPV-</w:t>
            </w:r>
            <w:r>
              <w:rPr>
                <w:spacing w:val="-5"/>
                <w:sz w:val="24"/>
              </w:rPr>
              <w:t>77</w:t>
            </w:r>
          </w:p>
        </w:tc>
        <w:tc>
          <w:tcPr>
            <w:tcW w:w="757" w:type="dxa"/>
          </w:tcPr>
          <w:p>
            <w:pPr>
              <w:pStyle w:val="TableParagraph"/>
              <w:spacing w:line="239" w:lineRule="exact"/>
              <w:ind w:left="103" w:right="103"/>
              <w:rPr>
                <w:sz w:val="24"/>
              </w:rPr>
            </w:pPr>
            <w:r>
              <w:rPr>
                <w:spacing w:val="-4"/>
                <w:sz w:val="24"/>
              </w:rPr>
              <w:t>0(0)</w:t>
            </w:r>
          </w:p>
        </w:tc>
        <w:tc>
          <w:tcPr>
            <w:tcW w:w="757" w:type="dxa"/>
          </w:tcPr>
          <w:p>
            <w:pPr>
              <w:pStyle w:val="TableParagraph"/>
              <w:spacing w:line="239" w:lineRule="exact"/>
              <w:ind w:left="103" w:right="103"/>
              <w:rPr>
                <w:sz w:val="24"/>
              </w:rPr>
            </w:pPr>
            <w:r>
              <w:rPr>
                <w:spacing w:val="-4"/>
                <w:sz w:val="24"/>
              </w:rPr>
              <w:t>2(2)</w:t>
            </w:r>
          </w:p>
        </w:tc>
        <w:tc>
          <w:tcPr>
            <w:tcW w:w="877" w:type="dxa"/>
          </w:tcPr>
          <w:p>
            <w:pPr>
              <w:pStyle w:val="TableParagraph"/>
              <w:spacing w:line="239" w:lineRule="exact"/>
              <w:ind w:left="179"/>
              <w:jc w:val="left"/>
              <w:rPr>
                <w:sz w:val="24"/>
              </w:rPr>
            </w:pPr>
            <w:r>
              <w:rPr>
                <w:spacing w:val="-2"/>
                <w:sz w:val="24"/>
              </w:rPr>
              <w:t>13(6)</w:t>
            </w:r>
          </w:p>
        </w:tc>
        <w:tc>
          <w:tcPr>
            <w:tcW w:w="877" w:type="dxa"/>
          </w:tcPr>
          <w:p>
            <w:pPr>
              <w:pStyle w:val="TableParagraph"/>
              <w:spacing w:line="239" w:lineRule="exact"/>
              <w:ind w:left="179"/>
              <w:jc w:val="left"/>
              <w:rPr>
                <w:sz w:val="24"/>
              </w:rPr>
            </w:pPr>
            <w:r>
              <w:rPr>
                <w:spacing w:val="-2"/>
                <w:sz w:val="24"/>
              </w:rPr>
              <w:t>26(7)</w:t>
            </w:r>
          </w:p>
        </w:tc>
        <w:tc>
          <w:tcPr>
            <w:tcW w:w="877" w:type="dxa"/>
          </w:tcPr>
          <w:p>
            <w:pPr>
              <w:pStyle w:val="TableParagraph"/>
              <w:spacing w:line="239" w:lineRule="exact"/>
              <w:ind w:left="178"/>
              <w:jc w:val="left"/>
              <w:rPr>
                <w:sz w:val="24"/>
              </w:rPr>
            </w:pPr>
            <w:r>
              <w:rPr>
                <w:spacing w:val="-2"/>
                <w:sz w:val="24"/>
              </w:rPr>
              <w:t>40(9)</w:t>
            </w:r>
          </w:p>
        </w:tc>
        <w:tc>
          <w:tcPr>
            <w:tcW w:w="877" w:type="dxa"/>
          </w:tcPr>
          <w:p>
            <w:pPr>
              <w:pStyle w:val="TableParagraph"/>
              <w:spacing w:line="239" w:lineRule="exact"/>
              <w:ind w:left="118"/>
              <w:jc w:val="left"/>
              <w:rPr>
                <w:sz w:val="24"/>
              </w:rPr>
            </w:pPr>
            <w:r>
              <w:rPr>
                <w:spacing w:val="-2"/>
                <w:sz w:val="24"/>
              </w:rPr>
              <w:t>51(12)</w:t>
            </w:r>
          </w:p>
        </w:tc>
        <w:tc>
          <w:tcPr>
            <w:tcW w:w="877" w:type="dxa"/>
          </w:tcPr>
          <w:p>
            <w:pPr>
              <w:pStyle w:val="TableParagraph"/>
              <w:spacing w:line="239" w:lineRule="exact"/>
              <w:ind w:left="102" w:right="103"/>
              <w:rPr>
                <w:sz w:val="24"/>
              </w:rPr>
            </w:pPr>
            <w:r>
              <w:rPr>
                <w:spacing w:val="-2"/>
                <w:sz w:val="24"/>
              </w:rPr>
              <w:t>63(9)</w:t>
            </w:r>
          </w:p>
        </w:tc>
        <w:tc>
          <w:tcPr>
            <w:tcW w:w="877" w:type="dxa"/>
          </w:tcPr>
          <w:p>
            <w:pPr>
              <w:pStyle w:val="TableParagraph"/>
              <w:spacing w:line="239" w:lineRule="exact"/>
              <w:ind w:left="102" w:right="104"/>
              <w:rPr>
                <w:sz w:val="24"/>
              </w:rPr>
            </w:pPr>
            <w:r>
              <w:rPr>
                <w:spacing w:val="-2"/>
                <w:sz w:val="24"/>
              </w:rPr>
              <w:t>69(8)</w:t>
            </w:r>
          </w:p>
        </w:tc>
        <w:tc>
          <w:tcPr>
            <w:tcW w:w="877" w:type="dxa"/>
          </w:tcPr>
          <w:p>
            <w:pPr>
              <w:pStyle w:val="TableParagraph"/>
              <w:spacing w:line="239" w:lineRule="exact"/>
              <w:ind w:left="102" w:right="105"/>
              <w:rPr>
                <w:sz w:val="24"/>
              </w:rPr>
            </w:pPr>
            <w:r>
              <w:rPr>
                <w:spacing w:val="-2"/>
                <w:sz w:val="24"/>
              </w:rPr>
              <w:t>72(8)</w:t>
            </w:r>
          </w:p>
        </w:tc>
        <w:tc>
          <w:tcPr>
            <w:tcW w:w="877" w:type="dxa"/>
          </w:tcPr>
          <w:p>
            <w:pPr>
              <w:pStyle w:val="TableParagraph"/>
              <w:spacing w:line="239" w:lineRule="exact"/>
              <w:ind w:left="101" w:right="105"/>
              <w:rPr>
                <w:sz w:val="24"/>
              </w:rPr>
            </w:pPr>
            <w:r>
              <w:rPr>
                <w:spacing w:val="-2"/>
                <w:sz w:val="24"/>
              </w:rPr>
              <w:t>77(8)</w:t>
            </w:r>
          </w:p>
        </w:tc>
      </w:tr>
      <w:tr>
        <w:trPr>
          <w:trHeight w:val="288" w:hRule="atLeast"/>
        </w:trPr>
        <w:tc>
          <w:tcPr>
            <w:tcW w:w="1105" w:type="dxa"/>
          </w:tcPr>
          <w:p>
            <w:pPr>
              <w:pStyle w:val="TableParagraph"/>
              <w:spacing w:line="239" w:lineRule="exact"/>
              <w:ind w:right="177"/>
              <w:jc w:val="right"/>
              <w:rPr>
                <w:sz w:val="24"/>
              </w:rPr>
            </w:pPr>
            <w:r>
              <w:rPr>
                <w:spacing w:val="-9"/>
                <w:sz w:val="24"/>
              </w:rPr>
              <w:t>EPV-</w:t>
            </w:r>
            <w:r>
              <w:rPr>
                <w:spacing w:val="-5"/>
                <w:sz w:val="24"/>
              </w:rPr>
              <w:t>37</w:t>
            </w:r>
          </w:p>
        </w:tc>
        <w:tc>
          <w:tcPr>
            <w:tcW w:w="757" w:type="dxa"/>
          </w:tcPr>
          <w:p>
            <w:pPr>
              <w:pStyle w:val="TableParagraph"/>
              <w:spacing w:line="239" w:lineRule="exact"/>
              <w:ind w:left="103" w:right="103"/>
              <w:rPr>
                <w:sz w:val="24"/>
              </w:rPr>
            </w:pPr>
            <w:r>
              <w:rPr>
                <w:spacing w:val="-4"/>
                <w:sz w:val="24"/>
              </w:rPr>
              <w:t>1(2)</w:t>
            </w:r>
          </w:p>
        </w:tc>
        <w:tc>
          <w:tcPr>
            <w:tcW w:w="757" w:type="dxa"/>
          </w:tcPr>
          <w:p>
            <w:pPr>
              <w:pStyle w:val="TableParagraph"/>
              <w:spacing w:line="239" w:lineRule="exact"/>
              <w:ind w:left="103" w:right="103"/>
              <w:rPr>
                <w:sz w:val="24"/>
              </w:rPr>
            </w:pPr>
            <w:r>
              <w:rPr>
                <w:spacing w:val="-2"/>
                <w:sz w:val="24"/>
              </w:rPr>
              <w:t>19(7)</w:t>
            </w:r>
          </w:p>
        </w:tc>
        <w:tc>
          <w:tcPr>
            <w:tcW w:w="877" w:type="dxa"/>
          </w:tcPr>
          <w:p>
            <w:pPr>
              <w:pStyle w:val="TableParagraph"/>
              <w:spacing w:line="239" w:lineRule="exact"/>
              <w:ind w:left="179"/>
              <w:jc w:val="left"/>
              <w:rPr>
                <w:sz w:val="24"/>
              </w:rPr>
            </w:pPr>
            <w:r>
              <w:rPr>
                <w:spacing w:val="-2"/>
                <w:sz w:val="24"/>
              </w:rPr>
              <w:t>48(8)</w:t>
            </w:r>
          </w:p>
        </w:tc>
        <w:tc>
          <w:tcPr>
            <w:tcW w:w="877" w:type="dxa"/>
          </w:tcPr>
          <w:p>
            <w:pPr>
              <w:pStyle w:val="TableParagraph"/>
              <w:spacing w:line="239" w:lineRule="exact"/>
              <w:ind w:left="119"/>
              <w:jc w:val="left"/>
              <w:rPr>
                <w:sz w:val="24"/>
              </w:rPr>
            </w:pPr>
            <w:r>
              <w:rPr>
                <w:spacing w:val="-2"/>
                <w:sz w:val="24"/>
              </w:rPr>
              <w:t>67(11)</w:t>
            </w:r>
          </w:p>
        </w:tc>
        <w:tc>
          <w:tcPr>
            <w:tcW w:w="877" w:type="dxa"/>
          </w:tcPr>
          <w:p>
            <w:pPr>
              <w:pStyle w:val="TableParagraph"/>
              <w:spacing w:line="239" w:lineRule="exact"/>
              <w:ind w:left="178"/>
              <w:jc w:val="left"/>
              <w:rPr>
                <w:sz w:val="24"/>
              </w:rPr>
            </w:pPr>
            <w:r>
              <w:rPr>
                <w:spacing w:val="-2"/>
                <w:sz w:val="24"/>
              </w:rPr>
              <w:t>77(8)</w:t>
            </w:r>
          </w:p>
        </w:tc>
        <w:tc>
          <w:tcPr>
            <w:tcW w:w="877" w:type="dxa"/>
          </w:tcPr>
          <w:p>
            <w:pPr>
              <w:pStyle w:val="TableParagraph"/>
              <w:spacing w:line="239" w:lineRule="exact"/>
              <w:ind w:left="178"/>
              <w:jc w:val="left"/>
              <w:rPr>
                <w:sz w:val="24"/>
              </w:rPr>
            </w:pPr>
            <w:r>
              <w:rPr>
                <w:spacing w:val="-2"/>
                <w:sz w:val="24"/>
              </w:rPr>
              <w:t>85(9)</w:t>
            </w:r>
          </w:p>
        </w:tc>
        <w:tc>
          <w:tcPr>
            <w:tcW w:w="877" w:type="dxa"/>
          </w:tcPr>
          <w:p>
            <w:pPr>
              <w:pStyle w:val="TableParagraph"/>
              <w:spacing w:line="239" w:lineRule="exact"/>
              <w:ind w:left="102" w:right="103"/>
              <w:rPr>
                <w:sz w:val="24"/>
              </w:rPr>
            </w:pPr>
            <w:r>
              <w:rPr>
                <w:spacing w:val="-2"/>
                <w:sz w:val="24"/>
              </w:rPr>
              <w:t>89(9)</w:t>
            </w:r>
          </w:p>
        </w:tc>
        <w:tc>
          <w:tcPr>
            <w:tcW w:w="877" w:type="dxa"/>
          </w:tcPr>
          <w:p>
            <w:pPr>
              <w:pStyle w:val="TableParagraph"/>
              <w:spacing w:line="239" w:lineRule="exact"/>
              <w:ind w:left="102" w:right="104"/>
              <w:rPr>
                <w:sz w:val="24"/>
              </w:rPr>
            </w:pPr>
            <w:r>
              <w:rPr>
                <w:spacing w:val="-2"/>
                <w:sz w:val="24"/>
              </w:rPr>
              <w:t>92(6)</w:t>
            </w:r>
          </w:p>
        </w:tc>
        <w:tc>
          <w:tcPr>
            <w:tcW w:w="877" w:type="dxa"/>
          </w:tcPr>
          <w:p>
            <w:pPr>
              <w:pStyle w:val="TableParagraph"/>
              <w:spacing w:line="239" w:lineRule="exact"/>
              <w:ind w:left="102" w:right="105"/>
              <w:rPr>
                <w:sz w:val="24"/>
              </w:rPr>
            </w:pPr>
            <w:r>
              <w:rPr>
                <w:spacing w:val="-2"/>
                <w:sz w:val="24"/>
              </w:rPr>
              <w:t>95(5)</w:t>
            </w:r>
          </w:p>
        </w:tc>
        <w:tc>
          <w:tcPr>
            <w:tcW w:w="877" w:type="dxa"/>
          </w:tcPr>
          <w:p>
            <w:pPr>
              <w:pStyle w:val="TableParagraph"/>
              <w:spacing w:line="239" w:lineRule="exact"/>
              <w:ind w:left="101" w:right="105"/>
              <w:rPr>
                <w:sz w:val="24"/>
              </w:rPr>
            </w:pPr>
            <w:r>
              <w:rPr>
                <w:spacing w:val="-2"/>
                <w:sz w:val="24"/>
              </w:rPr>
              <w:t>97(4)</w:t>
            </w:r>
          </w:p>
        </w:tc>
      </w:tr>
      <w:tr>
        <w:trPr>
          <w:trHeight w:val="288" w:hRule="atLeast"/>
        </w:trPr>
        <w:tc>
          <w:tcPr>
            <w:tcW w:w="1105" w:type="dxa"/>
          </w:tcPr>
          <w:p>
            <w:pPr>
              <w:pStyle w:val="TableParagraph"/>
              <w:spacing w:line="239" w:lineRule="exact"/>
              <w:ind w:right="177"/>
              <w:jc w:val="right"/>
              <w:rPr>
                <w:sz w:val="24"/>
              </w:rPr>
            </w:pPr>
            <w:r>
              <w:rPr>
                <w:spacing w:val="-9"/>
                <w:sz w:val="24"/>
              </w:rPr>
              <w:t>EPV-</w:t>
            </w:r>
            <w:r>
              <w:rPr>
                <w:spacing w:val="-5"/>
                <w:sz w:val="24"/>
              </w:rPr>
              <w:t>19</w:t>
            </w:r>
          </w:p>
        </w:tc>
        <w:tc>
          <w:tcPr>
            <w:tcW w:w="757" w:type="dxa"/>
          </w:tcPr>
          <w:p>
            <w:pPr>
              <w:pStyle w:val="TableParagraph"/>
              <w:spacing w:line="239" w:lineRule="exact"/>
              <w:ind w:left="103" w:right="103"/>
              <w:rPr>
                <w:sz w:val="24"/>
              </w:rPr>
            </w:pPr>
            <w:r>
              <w:rPr>
                <w:spacing w:val="-2"/>
                <w:sz w:val="24"/>
              </w:rPr>
              <w:t>23(8)</w:t>
            </w:r>
          </w:p>
        </w:tc>
        <w:tc>
          <w:tcPr>
            <w:tcW w:w="757" w:type="dxa"/>
          </w:tcPr>
          <w:p>
            <w:pPr>
              <w:pStyle w:val="TableParagraph"/>
              <w:spacing w:line="239" w:lineRule="exact"/>
              <w:ind w:left="103" w:right="103"/>
              <w:rPr>
                <w:sz w:val="24"/>
              </w:rPr>
            </w:pPr>
            <w:r>
              <w:rPr>
                <w:spacing w:val="-2"/>
                <w:sz w:val="24"/>
              </w:rPr>
              <w:t>59(6)</w:t>
            </w:r>
          </w:p>
        </w:tc>
        <w:tc>
          <w:tcPr>
            <w:tcW w:w="877" w:type="dxa"/>
          </w:tcPr>
          <w:p>
            <w:pPr>
              <w:pStyle w:val="TableParagraph"/>
              <w:spacing w:line="239" w:lineRule="exact"/>
              <w:ind w:left="179"/>
              <w:jc w:val="left"/>
              <w:rPr>
                <w:sz w:val="24"/>
              </w:rPr>
            </w:pPr>
            <w:r>
              <w:rPr>
                <w:spacing w:val="-2"/>
                <w:sz w:val="24"/>
              </w:rPr>
              <w:t>76(6)</w:t>
            </w:r>
          </w:p>
        </w:tc>
        <w:tc>
          <w:tcPr>
            <w:tcW w:w="877" w:type="dxa"/>
          </w:tcPr>
          <w:p>
            <w:pPr>
              <w:pStyle w:val="TableParagraph"/>
              <w:spacing w:line="239" w:lineRule="exact"/>
              <w:ind w:left="179"/>
              <w:jc w:val="left"/>
              <w:rPr>
                <w:sz w:val="24"/>
              </w:rPr>
            </w:pPr>
            <w:r>
              <w:rPr>
                <w:spacing w:val="-2"/>
                <w:sz w:val="24"/>
              </w:rPr>
              <w:t>88(8)</w:t>
            </w:r>
          </w:p>
        </w:tc>
        <w:tc>
          <w:tcPr>
            <w:tcW w:w="877" w:type="dxa"/>
          </w:tcPr>
          <w:p>
            <w:pPr>
              <w:pStyle w:val="TableParagraph"/>
              <w:spacing w:line="239" w:lineRule="exact"/>
              <w:ind w:left="178"/>
              <w:jc w:val="left"/>
              <w:rPr>
                <w:sz w:val="24"/>
              </w:rPr>
            </w:pPr>
            <w:r>
              <w:rPr>
                <w:spacing w:val="-2"/>
                <w:sz w:val="24"/>
              </w:rPr>
              <w:t>91(5)</w:t>
            </w:r>
          </w:p>
        </w:tc>
        <w:tc>
          <w:tcPr>
            <w:tcW w:w="877" w:type="dxa"/>
          </w:tcPr>
          <w:p>
            <w:pPr>
              <w:pStyle w:val="TableParagraph"/>
              <w:spacing w:line="239" w:lineRule="exact"/>
              <w:ind w:left="178"/>
              <w:jc w:val="left"/>
              <w:rPr>
                <w:sz w:val="24"/>
              </w:rPr>
            </w:pPr>
            <w:r>
              <w:rPr>
                <w:spacing w:val="-2"/>
                <w:sz w:val="24"/>
              </w:rPr>
              <w:t>95(4)</w:t>
            </w:r>
          </w:p>
        </w:tc>
        <w:tc>
          <w:tcPr>
            <w:tcW w:w="877" w:type="dxa"/>
          </w:tcPr>
          <w:p>
            <w:pPr>
              <w:pStyle w:val="TableParagraph"/>
              <w:spacing w:line="239" w:lineRule="exact"/>
              <w:ind w:left="102" w:right="103"/>
              <w:rPr>
                <w:sz w:val="24"/>
              </w:rPr>
            </w:pPr>
            <w:r>
              <w:rPr>
                <w:spacing w:val="-2"/>
                <w:sz w:val="24"/>
              </w:rPr>
              <w:t>96(3)</w:t>
            </w:r>
          </w:p>
        </w:tc>
        <w:tc>
          <w:tcPr>
            <w:tcW w:w="877" w:type="dxa"/>
          </w:tcPr>
          <w:p>
            <w:pPr>
              <w:pStyle w:val="TableParagraph"/>
              <w:spacing w:line="239" w:lineRule="exact"/>
              <w:ind w:left="102" w:right="104"/>
              <w:rPr>
                <w:sz w:val="24"/>
              </w:rPr>
            </w:pPr>
            <w:r>
              <w:rPr>
                <w:spacing w:val="-2"/>
                <w:sz w:val="24"/>
              </w:rPr>
              <w:t>96(3)</w:t>
            </w:r>
          </w:p>
        </w:tc>
        <w:tc>
          <w:tcPr>
            <w:tcW w:w="877" w:type="dxa"/>
          </w:tcPr>
          <w:p>
            <w:pPr>
              <w:pStyle w:val="TableParagraph"/>
              <w:spacing w:line="239" w:lineRule="exact"/>
              <w:ind w:left="102" w:right="105"/>
              <w:rPr>
                <w:sz w:val="24"/>
              </w:rPr>
            </w:pPr>
            <w:r>
              <w:rPr>
                <w:spacing w:val="-2"/>
                <w:sz w:val="24"/>
              </w:rPr>
              <w:t>98(3)</w:t>
            </w:r>
          </w:p>
        </w:tc>
        <w:tc>
          <w:tcPr>
            <w:tcW w:w="877" w:type="dxa"/>
          </w:tcPr>
          <w:p>
            <w:pPr>
              <w:pStyle w:val="TableParagraph"/>
              <w:spacing w:line="239" w:lineRule="exact"/>
              <w:ind w:left="101" w:right="105"/>
              <w:rPr>
                <w:sz w:val="24"/>
              </w:rPr>
            </w:pPr>
            <w:r>
              <w:rPr>
                <w:spacing w:val="-2"/>
                <w:sz w:val="24"/>
              </w:rPr>
              <w:t>98(3)</w:t>
            </w:r>
          </w:p>
        </w:tc>
      </w:tr>
      <w:tr>
        <w:trPr>
          <w:trHeight w:val="288" w:hRule="atLeast"/>
        </w:trPr>
        <w:tc>
          <w:tcPr>
            <w:tcW w:w="1105" w:type="dxa"/>
          </w:tcPr>
          <w:p>
            <w:pPr>
              <w:pStyle w:val="TableParagraph"/>
              <w:spacing w:line="239" w:lineRule="exact"/>
              <w:ind w:right="177"/>
              <w:jc w:val="right"/>
              <w:rPr>
                <w:sz w:val="24"/>
              </w:rPr>
            </w:pPr>
            <w:r>
              <w:rPr>
                <w:spacing w:val="-9"/>
                <w:sz w:val="24"/>
              </w:rPr>
              <w:t>EPV-</w:t>
            </w:r>
            <w:r>
              <w:rPr>
                <w:spacing w:val="-5"/>
                <w:sz w:val="24"/>
              </w:rPr>
              <w:t>13</w:t>
            </w:r>
          </w:p>
        </w:tc>
        <w:tc>
          <w:tcPr>
            <w:tcW w:w="757" w:type="dxa"/>
          </w:tcPr>
          <w:p>
            <w:pPr>
              <w:pStyle w:val="TableParagraph"/>
              <w:spacing w:line="239" w:lineRule="exact"/>
              <w:ind w:left="103" w:right="103"/>
              <w:rPr>
                <w:sz w:val="24"/>
              </w:rPr>
            </w:pPr>
            <w:r>
              <w:rPr>
                <w:spacing w:val="-2"/>
                <w:sz w:val="24"/>
              </w:rPr>
              <w:t>61(9)</w:t>
            </w:r>
          </w:p>
        </w:tc>
        <w:tc>
          <w:tcPr>
            <w:tcW w:w="757" w:type="dxa"/>
          </w:tcPr>
          <w:p>
            <w:pPr>
              <w:pStyle w:val="TableParagraph"/>
              <w:spacing w:line="239" w:lineRule="exact"/>
              <w:ind w:left="103" w:right="103"/>
              <w:rPr>
                <w:sz w:val="24"/>
              </w:rPr>
            </w:pPr>
            <w:r>
              <w:rPr>
                <w:spacing w:val="-2"/>
                <w:sz w:val="24"/>
              </w:rPr>
              <w:t>89(3)</w:t>
            </w:r>
          </w:p>
        </w:tc>
        <w:tc>
          <w:tcPr>
            <w:tcW w:w="877" w:type="dxa"/>
          </w:tcPr>
          <w:p>
            <w:pPr>
              <w:pStyle w:val="TableParagraph"/>
              <w:spacing w:line="239" w:lineRule="exact"/>
              <w:ind w:left="179"/>
              <w:jc w:val="left"/>
              <w:rPr>
                <w:sz w:val="24"/>
              </w:rPr>
            </w:pPr>
            <w:r>
              <w:rPr>
                <w:spacing w:val="-2"/>
                <w:sz w:val="24"/>
              </w:rPr>
              <w:t>96(4)</w:t>
            </w:r>
          </w:p>
        </w:tc>
        <w:tc>
          <w:tcPr>
            <w:tcW w:w="877" w:type="dxa"/>
          </w:tcPr>
          <w:p>
            <w:pPr>
              <w:pStyle w:val="TableParagraph"/>
              <w:spacing w:line="239" w:lineRule="exact"/>
              <w:ind w:left="179"/>
              <w:jc w:val="left"/>
              <w:rPr>
                <w:sz w:val="24"/>
              </w:rPr>
            </w:pPr>
            <w:r>
              <w:rPr>
                <w:spacing w:val="-2"/>
                <w:sz w:val="24"/>
              </w:rPr>
              <w:t>98(4)</w:t>
            </w:r>
          </w:p>
        </w:tc>
        <w:tc>
          <w:tcPr>
            <w:tcW w:w="877" w:type="dxa"/>
          </w:tcPr>
          <w:p>
            <w:pPr>
              <w:pStyle w:val="TableParagraph"/>
              <w:spacing w:line="239" w:lineRule="exact"/>
              <w:ind w:left="178"/>
              <w:jc w:val="left"/>
              <w:rPr>
                <w:sz w:val="24"/>
              </w:rPr>
            </w:pPr>
            <w:r>
              <w:rPr>
                <w:spacing w:val="-2"/>
                <w:sz w:val="24"/>
              </w:rPr>
              <w:t>99(2)</w:t>
            </w:r>
          </w:p>
        </w:tc>
        <w:tc>
          <w:tcPr>
            <w:tcW w:w="877" w:type="dxa"/>
          </w:tcPr>
          <w:p>
            <w:pPr>
              <w:pStyle w:val="TableParagraph"/>
              <w:spacing w:line="239" w:lineRule="exact"/>
              <w:ind w:left="118"/>
              <w:jc w:val="left"/>
              <w:rPr>
                <w:sz w:val="24"/>
              </w:rPr>
            </w:pPr>
            <w:r>
              <w:rPr>
                <w:spacing w:val="-2"/>
                <w:sz w:val="24"/>
              </w:rPr>
              <w:t>100(0)</w:t>
            </w:r>
          </w:p>
        </w:tc>
        <w:tc>
          <w:tcPr>
            <w:tcW w:w="877" w:type="dxa"/>
          </w:tcPr>
          <w:p>
            <w:pPr>
              <w:pStyle w:val="TableParagraph"/>
              <w:spacing w:line="239" w:lineRule="exact"/>
              <w:ind w:left="102" w:right="103"/>
              <w:rPr>
                <w:sz w:val="24"/>
              </w:rPr>
            </w:pPr>
            <w:r>
              <w:rPr>
                <w:spacing w:val="-2"/>
                <w:sz w:val="24"/>
              </w:rPr>
              <w:t>100(0)</w:t>
            </w:r>
          </w:p>
        </w:tc>
        <w:tc>
          <w:tcPr>
            <w:tcW w:w="877" w:type="dxa"/>
          </w:tcPr>
          <w:p>
            <w:pPr>
              <w:pStyle w:val="TableParagraph"/>
              <w:spacing w:line="239" w:lineRule="exact"/>
              <w:ind w:left="102" w:right="104"/>
              <w:rPr>
                <w:sz w:val="24"/>
              </w:rPr>
            </w:pPr>
            <w:r>
              <w:rPr>
                <w:spacing w:val="-2"/>
                <w:sz w:val="24"/>
              </w:rPr>
              <w:t>100(0)</w:t>
            </w:r>
          </w:p>
        </w:tc>
        <w:tc>
          <w:tcPr>
            <w:tcW w:w="877" w:type="dxa"/>
          </w:tcPr>
          <w:p>
            <w:pPr>
              <w:pStyle w:val="TableParagraph"/>
              <w:spacing w:line="239" w:lineRule="exact"/>
              <w:ind w:left="102" w:right="105"/>
              <w:rPr>
                <w:sz w:val="24"/>
              </w:rPr>
            </w:pPr>
            <w:r>
              <w:rPr>
                <w:spacing w:val="-2"/>
                <w:sz w:val="24"/>
              </w:rPr>
              <w:t>100(0)</w:t>
            </w:r>
          </w:p>
        </w:tc>
        <w:tc>
          <w:tcPr>
            <w:tcW w:w="877" w:type="dxa"/>
          </w:tcPr>
          <w:p>
            <w:pPr>
              <w:pStyle w:val="TableParagraph"/>
              <w:spacing w:line="239" w:lineRule="exact"/>
              <w:ind w:left="101" w:right="105"/>
              <w:rPr>
                <w:sz w:val="24"/>
              </w:rPr>
            </w:pPr>
            <w:r>
              <w:rPr>
                <w:spacing w:val="-2"/>
                <w:sz w:val="24"/>
              </w:rPr>
              <w:t>100(0)</w:t>
            </w:r>
          </w:p>
        </w:tc>
      </w:tr>
      <w:tr>
        <w:trPr>
          <w:trHeight w:val="306" w:hRule="atLeast"/>
        </w:trPr>
        <w:tc>
          <w:tcPr>
            <w:tcW w:w="1105" w:type="dxa"/>
            <w:tcBorders>
              <w:bottom w:val="single" w:sz="4" w:space="0" w:color="000000"/>
            </w:tcBorders>
          </w:tcPr>
          <w:p>
            <w:pPr>
              <w:pStyle w:val="TableParagraph"/>
              <w:spacing w:line="239" w:lineRule="exact"/>
              <w:ind w:left="239"/>
              <w:jc w:val="left"/>
              <w:rPr>
                <w:sz w:val="24"/>
              </w:rPr>
            </w:pPr>
            <w:r>
              <w:rPr>
                <w:spacing w:val="-9"/>
                <w:sz w:val="24"/>
              </w:rPr>
              <w:t>EPV-</w:t>
            </w:r>
            <w:r>
              <w:rPr>
                <w:spacing w:val="-10"/>
                <w:sz w:val="24"/>
              </w:rPr>
              <w:t>9</w:t>
            </w:r>
          </w:p>
        </w:tc>
        <w:tc>
          <w:tcPr>
            <w:tcW w:w="757" w:type="dxa"/>
            <w:tcBorders>
              <w:bottom w:val="single" w:sz="4" w:space="0" w:color="000000"/>
            </w:tcBorders>
          </w:tcPr>
          <w:p>
            <w:pPr>
              <w:pStyle w:val="TableParagraph"/>
              <w:spacing w:line="239" w:lineRule="exact"/>
              <w:ind w:left="103" w:right="103"/>
              <w:rPr>
                <w:sz w:val="24"/>
              </w:rPr>
            </w:pPr>
            <w:r>
              <w:rPr>
                <w:spacing w:val="-2"/>
                <w:sz w:val="24"/>
              </w:rPr>
              <w:t>86(5)</w:t>
            </w:r>
          </w:p>
        </w:tc>
        <w:tc>
          <w:tcPr>
            <w:tcW w:w="757" w:type="dxa"/>
            <w:tcBorders>
              <w:bottom w:val="single" w:sz="4" w:space="0" w:color="000000"/>
            </w:tcBorders>
          </w:tcPr>
          <w:p>
            <w:pPr>
              <w:pStyle w:val="TableParagraph"/>
              <w:spacing w:line="239" w:lineRule="exact"/>
              <w:ind w:left="103" w:right="103"/>
              <w:rPr>
                <w:sz w:val="24"/>
              </w:rPr>
            </w:pPr>
            <w:r>
              <w:rPr>
                <w:spacing w:val="-2"/>
                <w:sz w:val="24"/>
              </w:rPr>
              <w:t>99(2)</w:t>
            </w:r>
          </w:p>
        </w:tc>
        <w:tc>
          <w:tcPr>
            <w:tcW w:w="877" w:type="dxa"/>
            <w:tcBorders>
              <w:bottom w:val="single" w:sz="4" w:space="0" w:color="000000"/>
            </w:tcBorders>
          </w:tcPr>
          <w:p>
            <w:pPr>
              <w:pStyle w:val="TableParagraph"/>
              <w:spacing w:line="239" w:lineRule="exact"/>
              <w:ind w:left="119"/>
              <w:jc w:val="left"/>
              <w:rPr>
                <w:sz w:val="24"/>
              </w:rPr>
            </w:pPr>
            <w:r>
              <w:rPr>
                <w:spacing w:val="-2"/>
                <w:sz w:val="24"/>
              </w:rPr>
              <w:t>100(0)</w:t>
            </w:r>
          </w:p>
        </w:tc>
        <w:tc>
          <w:tcPr>
            <w:tcW w:w="877" w:type="dxa"/>
            <w:tcBorders>
              <w:bottom w:val="single" w:sz="4" w:space="0" w:color="000000"/>
            </w:tcBorders>
          </w:tcPr>
          <w:p>
            <w:pPr>
              <w:pStyle w:val="TableParagraph"/>
              <w:spacing w:line="239" w:lineRule="exact"/>
              <w:ind w:left="119"/>
              <w:jc w:val="left"/>
              <w:rPr>
                <w:sz w:val="24"/>
              </w:rPr>
            </w:pPr>
            <w:r>
              <w:rPr>
                <w:spacing w:val="-2"/>
                <w:sz w:val="24"/>
              </w:rPr>
              <w:t>100(0)</w:t>
            </w:r>
          </w:p>
        </w:tc>
        <w:tc>
          <w:tcPr>
            <w:tcW w:w="877" w:type="dxa"/>
            <w:tcBorders>
              <w:bottom w:val="single" w:sz="4" w:space="0" w:color="000000"/>
            </w:tcBorders>
          </w:tcPr>
          <w:p>
            <w:pPr>
              <w:pStyle w:val="TableParagraph"/>
              <w:spacing w:line="239" w:lineRule="exact"/>
              <w:ind w:left="118"/>
              <w:jc w:val="left"/>
              <w:rPr>
                <w:sz w:val="24"/>
              </w:rPr>
            </w:pPr>
            <w:r>
              <w:rPr>
                <w:spacing w:val="-2"/>
                <w:sz w:val="24"/>
              </w:rPr>
              <w:t>100(0)</w:t>
            </w:r>
          </w:p>
        </w:tc>
        <w:tc>
          <w:tcPr>
            <w:tcW w:w="877" w:type="dxa"/>
            <w:tcBorders>
              <w:bottom w:val="single" w:sz="4" w:space="0" w:color="000000"/>
            </w:tcBorders>
          </w:tcPr>
          <w:p>
            <w:pPr>
              <w:pStyle w:val="TableParagraph"/>
              <w:spacing w:line="239" w:lineRule="exact"/>
              <w:ind w:left="118"/>
              <w:jc w:val="left"/>
              <w:rPr>
                <w:sz w:val="24"/>
              </w:rPr>
            </w:pPr>
            <w:r>
              <w:rPr>
                <w:spacing w:val="-2"/>
                <w:sz w:val="24"/>
              </w:rPr>
              <w:t>100(0)</w:t>
            </w:r>
          </w:p>
        </w:tc>
        <w:tc>
          <w:tcPr>
            <w:tcW w:w="877" w:type="dxa"/>
            <w:tcBorders>
              <w:bottom w:val="single" w:sz="4" w:space="0" w:color="000000"/>
            </w:tcBorders>
          </w:tcPr>
          <w:p>
            <w:pPr>
              <w:pStyle w:val="TableParagraph"/>
              <w:spacing w:line="239" w:lineRule="exact"/>
              <w:ind w:left="102" w:right="103"/>
              <w:rPr>
                <w:sz w:val="24"/>
              </w:rPr>
            </w:pPr>
            <w:r>
              <w:rPr>
                <w:spacing w:val="-2"/>
                <w:sz w:val="24"/>
              </w:rPr>
              <w:t>100(0)</w:t>
            </w:r>
          </w:p>
        </w:tc>
        <w:tc>
          <w:tcPr>
            <w:tcW w:w="877" w:type="dxa"/>
            <w:tcBorders>
              <w:bottom w:val="single" w:sz="4" w:space="0" w:color="000000"/>
            </w:tcBorders>
          </w:tcPr>
          <w:p>
            <w:pPr>
              <w:pStyle w:val="TableParagraph"/>
              <w:spacing w:line="239" w:lineRule="exact"/>
              <w:ind w:left="102" w:right="104"/>
              <w:rPr>
                <w:sz w:val="24"/>
              </w:rPr>
            </w:pPr>
            <w:r>
              <w:rPr>
                <w:spacing w:val="-2"/>
                <w:sz w:val="24"/>
              </w:rPr>
              <w:t>100(0)</w:t>
            </w:r>
          </w:p>
        </w:tc>
        <w:tc>
          <w:tcPr>
            <w:tcW w:w="877" w:type="dxa"/>
            <w:tcBorders>
              <w:bottom w:val="single" w:sz="4" w:space="0" w:color="000000"/>
            </w:tcBorders>
          </w:tcPr>
          <w:p>
            <w:pPr>
              <w:pStyle w:val="TableParagraph"/>
              <w:spacing w:line="239" w:lineRule="exact"/>
              <w:ind w:left="102" w:right="105"/>
              <w:rPr>
                <w:sz w:val="24"/>
              </w:rPr>
            </w:pPr>
            <w:r>
              <w:rPr>
                <w:spacing w:val="-2"/>
                <w:sz w:val="24"/>
              </w:rPr>
              <w:t>100(0)</w:t>
            </w:r>
          </w:p>
        </w:tc>
        <w:tc>
          <w:tcPr>
            <w:tcW w:w="877" w:type="dxa"/>
            <w:tcBorders>
              <w:bottom w:val="single" w:sz="4" w:space="0" w:color="000000"/>
            </w:tcBorders>
          </w:tcPr>
          <w:p>
            <w:pPr>
              <w:pStyle w:val="TableParagraph"/>
              <w:spacing w:line="239" w:lineRule="exact"/>
              <w:ind w:left="101" w:right="105"/>
              <w:rPr>
                <w:sz w:val="24"/>
              </w:rPr>
            </w:pPr>
            <w:r>
              <w:rPr>
                <w:spacing w:val="-2"/>
                <w:sz w:val="24"/>
              </w:rPr>
              <w:t>100(0)</w:t>
            </w:r>
          </w:p>
        </w:tc>
      </w:tr>
    </w:tbl>
    <w:p>
      <w:pPr>
        <w:spacing w:after="0" w:line="239" w:lineRule="exact"/>
        <w:rPr>
          <w:sz w:val="24"/>
        </w:rPr>
        <w:sectPr>
          <w:headerReference w:type="default" r:id="rId73"/>
          <w:footerReference w:type="default" r:id="rId74"/>
          <w:pgSz w:w="16840" w:h="11910" w:orient="landscape"/>
          <w:pgMar w:header="0" w:footer="0" w:top="1340" w:bottom="280" w:left="2420" w:right="2420"/>
        </w:sectPr>
      </w:pPr>
    </w:p>
    <w:p>
      <w:pPr>
        <w:pStyle w:val="BodyText"/>
        <w:rPr>
          <w:sz w:val="20"/>
        </w:rPr>
      </w:pPr>
    </w:p>
    <w:p>
      <w:pPr>
        <w:pStyle w:val="BodyText"/>
        <w:rPr>
          <w:sz w:val="20"/>
        </w:rPr>
      </w:pPr>
    </w:p>
    <w:p>
      <w:pPr>
        <w:pStyle w:val="BodyText"/>
        <w:rPr>
          <w:sz w:val="20"/>
        </w:rPr>
      </w:pPr>
    </w:p>
    <w:p>
      <w:pPr>
        <w:pStyle w:val="BodyText"/>
        <w:spacing w:before="9"/>
        <w:rPr>
          <w:sz w:val="21"/>
        </w:rPr>
      </w:pPr>
    </w:p>
    <w:p>
      <w:pPr>
        <w:pStyle w:val="BodyText"/>
        <w:ind w:left="1342"/>
        <w:rPr>
          <w:sz w:val="20"/>
        </w:rPr>
      </w:pPr>
      <w:r>
        <w:rPr>
          <w:sz w:val="20"/>
        </w:rPr>
        <w:drawing>
          <wp:inline distT="0" distB="0" distL="0" distR="0">
            <wp:extent cx="4437580" cy="2877312"/>
            <wp:effectExtent l="0" t="0" r="0" b="0"/>
            <wp:docPr id="47" name="image24.jpeg"/>
            <wp:cNvGraphicFramePr>
              <a:graphicFrameLocks noChangeAspect="1"/>
            </wp:cNvGraphicFramePr>
            <a:graphic>
              <a:graphicData uri="http://schemas.openxmlformats.org/drawingml/2006/picture">
                <pic:pic>
                  <pic:nvPicPr>
                    <pic:cNvPr id="48" name="image24.jpeg"/>
                    <pic:cNvPicPr/>
                  </pic:nvPicPr>
                  <pic:blipFill>
                    <a:blip r:embed="rId77" cstate="print"/>
                    <a:stretch>
                      <a:fillRect/>
                    </a:stretch>
                  </pic:blipFill>
                  <pic:spPr>
                    <a:xfrm>
                      <a:off x="0" y="0"/>
                      <a:ext cx="4437580" cy="2877312"/>
                    </a:xfrm>
                    <a:prstGeom prst="rect">
                      <a:avLst/>
                    </a:prstGeom>
                  </pic:spPr>
                </pic:pic>
              </a:graphicData>
            </a:graphic>
          </wp:inline>
        </w:drawing>
      </w:r>
      <w:r>
        <w:rPr>
          <w:sz w:val="20"/>
        </w:rPr>
      </w:r>
    </w:p>
    <w:p>
      <w:pPr>
        <w:pStyle w:val="BodyText"/>
        <w:rPr>
          <w:sz w:val="20"/>
        </w:rPr>
      </w:pPr>
    </w:p>
    <w:p>
      <w:pPr>
        <w:pStyle w:val="BodyText"/>
        <w:spacing w:line="252" w:lineRule="auto" w:before="246"/>
        <w:ind w:left="610" w:right="389"/>
        <w:jc w:val="both"/>
      </w:pPr>
      <w:bookmarkStart w:name="_bookmark87" w:id="155"/>
      <w:bookmarkEnd w:id="155"/>
      <w:r>
        <w:rPr/>
      </w:r>
      <w:r>
        <w:rPr>
          <w:b/>
        </w:rPr>
        <w:t>Figure</w:t>
      </w:r>
      <w:r>
        <w:rPr>
          <w:b/>
          <w:spacing w:val="-14"/>
        </w:rPr>
        <w:t> </w:t>
      </w:r>
      <w:r>
        <w:rPr>
          <w:b/>
        </w:rPr>
        <w:t>3.7:</w:t>
      </w:r>
      <w:r>
        <w:rPr>
          <w:b/>
          <w:spacing w:val="-1"/>
        </w:rPr>
        <w:t> </w:t>
      </w:r>
      <w:r>
        <w:rPr/>
        <w:t>KL</w:t>
      </w:r>
      <w:r>
        <w:rPr>
          <w:spacing w:val="-14"/>
        </w:rPr>
        <w:t> </w:t>
      </w:r>
      <w:r>
        <w:rPr/>
        <w:t>Divergence</w:t>
      </w:r>
      <w:r>
        <w:rPr>
          <w:spacing w:val="-14"/>
        </w:rPr>
        <w:t> </w:t>
      </w:r>
      <w:r>
        <w:rPr/>
        <w:t>values</w:t>
      </w:r>
      <w:r>
        <w:rPr>
          <w:spacing w:val="-14"/>
        </w:rPr>
        <w:t> </w:t>
      </w:r>
      <w:r>
        <w:rPr/>
        <w:t>for</w:t>
      </w:r>
      <w:r>
        <w:rPr>
          <w:spacing w:val="-14"/>
        </w:rPr>
        <w:t> </w:t>
      </w:r>
      <w:r>
        <w:rPr/>
        <w:t>EPV-77,</w:t>
      </w:r>
      <w:r>
        <w:rPr>
          <w:spacing w:val="-13"/>
        </w:rPr>
        <w:t> </w:t>
      </w:r>
      <w:r>
        <w:rPr/>
        <w:t>EPV-37,</w:t>
      </w:r>
      <w:r>
        <w:rPr>
          <w:spacing w:val="-13"/>
        </w:rPr>
        <w:t> </w:t>
      </w:r>
      <w:r>
        <w:rPr/>
        <w:t>EPV-19,</w:t>
      </w:r>
      <w:r>
        <w:rPr>
          <w:spacing w:val="-13"/>
        </w:rPr>
        <w:t> </w:t>
      </w:r>
      <w:r>
        <w:rPr/>
        <w:t>EPV-13</w:t>
      </w:r>
      <w:r>
        <w:rPr>
          <w:spacing w:val="-14"/>
        </w:rPr>
        <w:t> </w:t>
      </w:r>
      <w:r>
        <w:rPr/>
        <w:t>and</w:t>
      </w:r>
      <w:r>
        <w:rPr>
          <w:spacing w:val="-14"/>
        </w:rPr>
        <w:t> </w:t>
      </w:r>
      <w:r>
        <w:rPr/>
        <w:t>EPV-9. A lower</w:t>
      </w:r>
      <w:r>
        <w:rPr>
          <w:spacing w:val="-10"/>
        </w:rPr>
        <w:t> </w:t>
      </w:r>
      <w:r>
        <w:rPr/>
        <w:t>value</w:t>
      </w:r>
      <w:r>
        <w:rPr>
          <w:spacing w:val="-10"/>
        </w:rPr>
        <w:t> </w:t>
      </w:r>
      <w:r>
        <w:rPr/>
        <w:t>indicates</w:t>
      </w:r>
      <w:r>
        <w:rPr>
          <w:spacing w:val="-10"/>
        </w:rPr>
        <w:t> </w:t>
      </w:r>
      <w:r>
        <w:rPr/>
        <w:t>greater</w:t>
      </w:r>
      <w:r>
        <w:rPr>
          <w:spacing w:val="-10"/>
        </w:rPr>
        <w:t> </w:t>
      </w:r>
      <w:r>
        <w:rPr/>
        <w:t>similarity</w:t>
      </w:r>
      <w:r>
        <w:rPr>
          <w:spacing w:val="-10"/>
        </w:rPr>
        <w:t> </w:t>
      </w:r>
      <w:r>
        <w:rPr/>
        <w:t>in</w:t>
      </w:r>
      <w:r>
        <w:rPr>
          <w:spacing w:val="-10"/>
        </w:rPr>
        <w:t> </w:t>
      </w:r>
      <w:r>
        <w:rPr/>
        <w:t>reward</w:t>
      </w:r>
      <w:r>
        <w:rPr>
          <w:spacing w:val="-10"/>
        </w:rPr>
        <w:t> </w:t>
      </w:r>
      <w:r>
        <w:rPr/>
        <w:t>distributions</w:t>
      </w:r>
      <w:r>
        <w:rPr>
          <w:spacing w:val="-10"/>
        </w:rPr>
        <w:t> </w:t>
      </w:r>
      <w:r>
        <w:rPr/>
        <w:t>between</w:t>
      </w:r>
      <w:r>
        <w:rPr>
          <w:spacing w:val="-10"/>
        </w:rPr>
        <w:t> </w:t>
      </w:r>
      <w:r>
        <w:rPr/>
        <w:t>previous</w:t>
      </w:r>
      <w:r>
        <w:rPr>
          <w:spacing w:val="-10"/>
        </w:rPr>
        <w:t> </w:t>
      </w:r>
      <w:r>
        <w:rPr/>
        <w:t>matches and the subsequent match.</w:t>
      </w:r>
      <w:r>
        <w:rPr>
          <w:spacing w:val="40"/>
        </w:rPr>
        <w:t> </w:t>
      </w:r>
      <w:r>
        <w:rPr/>
        <w:t>EPV-308 not included as values could not be calculated for the first seven matches due to no non-infinity values being present.</w:t>
      </w:r>
      <w:r>
        <w:rPr>
          <w:spacing w:val="35"/>
        </w:rPr>
        <w:t> </w:t>
      </w:r>
      <w:r>
        <w:rPr/>
        <w:t>Line provides mean value, shaded area indicates standard deviation.</w:t>
      </w:r>
    </w:p>
    <w:p>
      <w:pPr>
        <w:pStyle w:val="BodyText"/>
        <w:rPr>
          <w:sz w:val="28"/>
        </w:rPr>
      </w:pPr>
    </w:p>
    <w:p>
      <w:pPr>
        <w:pStyle w:val="BodyText"/>
        <w:rPr>
          <w:sz w:val="32"/>
        </w:rPr>
      </w:pPr>
    </w:p>
    <w:p>
      <w:pPr>
        <w:pStyle w:val="BodyText"/>
        <w:spacing w:line="312" w:lineRule="auto"/>
        <w:ind w:left="610" w:right="389"/>
        <w:jc w:val="both"/>
      </w:pPr>
      <w:r>
        <w:rPr/>
        <w:t>EPV-19,</w:t>
      </w:r>
      <w:r>
        <w:rPr>
          <w:spacing w:val="-15"/>
        </w:rPr>
        <w:t> </w:t>
      </w:r>
      <w:r>
        <w:rPr/>
        <w:t>EPV-13</w:t>
      </w:r>
      <w:r>
        <w:rPr>
          <w:spacing w:val="-15"/>
        </w:rPr>
        <w:t> </w:t>
      </w:r>
      <w:r>
        <w:rPr/>
        <w:t>and</w:t>
      </w:r>
      <w:r>
        <w:rPr>
          <w:spacing w:val="-15"/>
        </w:rPr>
        <w:t> </w:t>
      </w:r>
      <w:r>
        <w:rPr/>
        <w:t>EPV-9</w:t>
      </w:r>
      <w:r>
        <w:rPr>
          <w:spacing w:val="-15"/>
        </w:rPr>
        <w:t> </w:t>
      </w:r>
      <w:r>
        <w:rPr/>
        <w:t>all</w:t>
      </w:r>
      <w:r>
        <w:rPr>
          <w:spacing w:val="-15"/>
        </w:rPr>
        <w:t> </w:t>
      </w:r>
      <w:r>
        <w:rPr/>
        <w:t>showed</w:t>
      </w:r>
      <w:r>
        <w:rPr>
          <w:spacing w:val="-15"/>
        </w:rPr>
        <w:t> </w:t>
      </w:r>
      <w:r>
        <w:rPr/>
        <w:t>excellent</w:t>
      </w:r>
      <w:r>
        <w:rPr>
          <w:spacing w:val="-15"/>
        </w:rPr>
        <w:t> </w:t>
      </w:r>
      <w:r>
        <w:rPr/>
        <w:t>reproducibility</w:t>
      </w:r>
      <w:r>
        <w:rPr>
          <w:spacing w:val="-15"/>
        </w:rPr>
        <w:t> </w:t>
      </w:r>
      <w:r>
        <w:rPr/>
        <w:t>between</w:t>
      </w:r>
      <w:r>
        <w:rPr>
          <w:spacing w:val="-15"/>
        </w:rPr>
        <w:t> </w:t>
      </w:r>
      <w:r>
        <w:rPr/>
        <w:t>fixtures.</w:t>
      </w:r>
      <w:r>
        <w:rPr>
          <w:spacing w:val="-15"/>
        </w:rPr>
        <w:t> </w:t>
      </w:r>
      <w:r>
        <w:rPr/>
        <w:t>When six previous matches were considered, these three models were able to visit all zones in the</w:t>
      </w:r>
      <w:r>
        <w:rPr>
          <w:spacing w:val="-3"/>
        </w:rPr>
        <w:t> </w:t>
      </w:r>
      <w:r>
        <w:rPr/>
        <w:t>subsequent</w:t>
      </w:r>
      <w:r>
        <w:rPr>
          <w:spacing w:val="-3"/>
        </w:rPr>
        <w:t> </w:t>
      </w:r>
      <w:r>
        <w:rPr/>
        <w:t>match</w:t>
      </w:r>
      <w:r>
        <w:rPr>
          <w:spacing w:val="-3"/>
        </w:rPr>
        <w:t> </w:t>
      </w:r>
      <w:r>
        <w:rPr/>
        <w:t>on</w:t>
      </w:r>
      <w:r>
        <w:rPr>
          <w:spacing w:val="-3"/>
        </w:rPr>
        <w:t> </w:t>
      </w:r>
      <w:r>
        <w:rPr/>
        <w:t>95-100%</w:t>
      </w:r>
      <w:r>
        <w:rPr>
          <w:spacing w:val="-3"/>
        </w:rPr>
        <w:t> </w:t>
      </w:r>
      <w:r>
        <w:rPr/>
        <w:t>of</w:t>
      </w:r>
      <w:r>
        <w:rPr>
          <w:spacing w:val="-3"/>
        </w:rPr>
        <w:t> </w:t>
      </w:r>
      <w:r>
        <w:rPr/>
        <w:t>occasions. Furthermore,</w:t>
      </w:r>
      <w:r>
        <w:rPr>
          <w:spacing w:val="-2"/>
        </w:rPr>
        <w:t> </w:t>
      </w:r>
      <w:r>
        <w:rPr/>
        <w:t>the</w:t>
      </w:r>
      <w:r>
        <w:rPr>
          <w:spacing w:val="-3"/>
        </w:rPr>
        <w:t> </w:t>
      </w:r>
      <w:r>
        <w:rPr/>
        <w:t>EPV</w:t>
      </w:r>
      <w:r>
        <w:rPr>
          <w:spacing w:val="-3"/>
        </w:rPr>
        <w:t> </w:t>
      </w:r>
      <w:r>
        <w:rPr/>
        <w:t>distributions</w:t>
      </w:r>
      <w:r>
        <w:rPr>
          <w:spacing w:val="-3"/>
        </w:rPr>
        <w:t> </w:t>
      </w:r>
      <w:r>
        <w:rPr/>
        <w:t>had low KL Divergence values indicating that proportion of points obtained from each zone was also very similar to the subsequent match.</w:t>
      </w:r>
    </w:p>
    <w:p>
      <w:pPr>
        <w:pStyle w:val="BodyText"/>
        <w:spacing w:line="312" w:lineRule="auto"/>
        <w:ind w:left="610" w:right="389" w:firstLine="351"/>
        <w:jc w:val="both"/>
      </w:pPr>
      <w:r>
        <w:rPr/>
        <w:t>Six</w:t>
      </w:r>
      <w:r>
        <w:rPr>
          <w:spacing w:val="-15"/>
        </w:rPr>
        <w:t> </w:t>
      </w:r>
      <w:r>
        <w:rPr/>
        <w:t>matches</w:t>
      </w:r>
      <w:r>
        <w:rPr>
          <w:spacing w:val="-15"/>
        </w:rPr>
        <w:t> </w:t>
      </w:r>
      <w:r>
        <w:rPr/>
        <w:t>is</w:t>
      </w:r>
      <w:r>
        <w:rPr>
          <w:spacing w:val="-15"/>
        </w:rPr>
        <w:t> </w:t>
      </w:r>
      <w:r>
        <w:rPr/>
        <w:t>a</w:t>
      </w:r>
      <w:r>
        <w:rPr>
          <w:spacing w:val="-15"/>
        </w:rPr>
        <w:t> </w:t>
      </w:r>
      <w:r>
        <w:rPr/>
        <w:t>relatively</w:t>
      </w:r>
      <w:r>
        <w:rPr>
          <w:spacing w:val="-15"/>
        </w:rPr>
        <w:t> </w:t>
      </w:r>
      <w:r>
        <w:rPr/>
        <w:t>small</w:t>
      </w:r>
      <w:r>
        <w:rPr>
          <w:spacing w:val="-15"/>
        </w:rPr>
        <w:t> </w:t>
      </w:r>
      <w:r>
        <w:rPr/>
        <w:t>number</w:t>
      </w:r>
      <w:r>
        <w:rPr>
          <w:spacing w:val="-15"/>
        </w:rPr>
        <w:t> </w:t>
      </w:r>
      <w:r>
        <w:rPr/>
        <w:t>of</w:t>
      </w:r>
      <w:r>
        <w:rPr>
          <w:spacing w:val="-15"/>
        </w:rPr>
        <w:t> </w:t>
      </w:r>
      <w:r>
        <w:rPr/>
        <w:t>matches</w:t>
      </w:r>
      <w:r>
        <w:rPr>
          <w:spacing w:val="-15"/>
        </w:rPr>
        <w:t> </w:t>
      </w:r>
      <w:r>
        <w:rPr/>
        <w:t>to</w:t>
      </w:r>
      <w:r>
        <w:rPr>
          <w:spacing w:val="-15"/>
        </w:rPr>
        <w:t> </w:t>
      </w:r>
      <w:r>
        <w:rPr/>
        <w:t>consider</w:t>
      </w:r>
      <w:r>
        <w:rPr>
          <w:spacing w:val="-15"/>
        </w:rPr>
        <w:t> </w:t>
      </w:r>
      <w:r>
        <w:rPr/>
        <w:t>given</w:t>
      </w:r>
      <w:r>
        <w:rPr>
          <w:spacing w:val="-15"/>
        </w:rPr>
        <w:t> </w:t>
      </w:r>
      <w:r>
        <w:rPr/>
        <w:t>the</w:t>
      </w:r>
      <w:r>
        <w:rPr>
          <w:spacing w:val="-15"/>
        </w:rPr>
        <w:t> </w:t>
      </w:r>
      <w:r>
        <w:rPr/>
        <w:t>excellent</w:t>
      </w:r>
      <w:r>
        <w:rPr>
          <w:spacing w:val="-15"/>
        </w:rPr>
        <w:t> </w:t>
      </w:r>
      <w:r>
        <w:rPr/>
        <w:t>re- producibility</w:t>
      </w:r>
      <w:r>
        <w:rPr>
          <w:spacing w:val="-8"/>
        </w:rPr>
        <w:t> </w:t>
      </w:r>
      <w:r>
        <w:rPr/>
        <w:t>shown,</w:t>
      </w:r>
      <w:r>
        <w:rPr>
          <w:spacing w:val="-7"/>
        </w:rPr>
        <w:t> </w:t>
      </w:r>
      <w:r>
        <w:rPr/>
        <w:t>suggesting</w:t>
      </w:r>
      <w:r>
        <w:rPr>
          <w:spacing w:val="-8"/>
        </w:rPr>
        <w:t> </w:t>
      </w:r>
      <w:r>
        <w:rPr/>
        <w:t>that</w:t>
      </w:r>
      <w:r>
        <w:rPr>
          <w:spacing w:val="-8"/>
        </w:rPr>
        <w:t> </w:t>
      </w:r>
      <w:r>
        <w:rPr/>
        <w:t>any</w:t>
      </w:r>
      <w:r>
        <w:rPr>
          <w:spacing w:val="-8"/>
        </w:rPr>
        <w:t> </w:t>
      </w:r>
      <w:r>
        <w:rPr/>
        <w:t>of</w:t>
      </w:r>
      <w:r>
        <w:rPr>
          <w:spacing w:val="-8"/>
        </w:rPr>
        <w:t> </w:t>
      </w:r>
      <w:r>
        <w:rPr/>
        <w:t>the</w:t>
      </w:r>
      <w:r>
        <w:rPr>
          <w:spacing w:val="-8"/>
        </w:rPr>
        <w:t> </w:t>
      </w:r>
      <w:r>
        <w:rPr/>
        <w:t>EPV-19,</w:t>
      </w:r>
      <w:r>
        <w:rPr>
          <w:spacing w:val="-7"/>
        </w:rPr>
        <w:t> </w:t>
      </w:r>
      <w:r>
        <w:rPr/>
        <w:t>EPV-13</w:t>
      </w:r>
      <w:r>
        <w:rPr>
          <w:spacing w:val="-8"/>
        </w:rPr>
        <w:t> </w:t>
      </w:r>
      <w:r>
        <w:rPr/>
        <w:t>or</w:t>
      </w:r>
      <w:r>
        <w:rPr>
          <w:spacing w:val="-8"/>
        </w:rPr>
        <w:t> </w:t>
      </w:r>
      <w:r>
        <w:rPr/>
        <w:t>EPV-9</w:t>
      </w:r>
      <w:r>
        <w:rPr>
          <w:spacing w:val="-8"/>
        </w:rPr>
        <w:t> </w:t>
      </w:r>
      <w:r>
        <w:rPr/>
        <w:t>models</w:t>
      </w:r>
      <w:r>
        <w:rPr>
          <w:spacing w:val="-8"/>
        </w:rPr>
        <w:t> </w:t>
      </w:r>
      <w:r>
        <w:rPr/>
        <w:t>could be used to evaluate team attacking performance in rugby league.</w:t>
      </w:r>
      <w:r>
        <w:rPr>
          <w:spacing w:val="32"/>
        </w:rPr>
        <w:t> </w:t>
      </w:r>
      <w:r>
        <w:rPr/>
        <w:t>However, it is the use- fulness of the zones generated that should define which model is used in practice.</w:t>
      </w:r>
      <w:r>
        <w:rPr>
          <w:spacing w:val="40"/>
        </w:rPr>
        <w:t> </w:t>
      </w:r>
      <w:r>
        <w:rPr/>
        <w:t>The EPV-19 and EPV-13 both contain four rows (-10 to 10m, 10-70m, 70-80m, 80-100m), whereas the EPV-9 only contains three rows (-10m to 10m, 10-80m, 80-100m).</w:t>
      </w:r>
      <w:r>
        <w:rPr>
          <w:spacing w:val="35"/>
        </w:rPr>
        <w:t> </w:t>
      </w:r>
      <w:r>
        <w:rPr/>
        <w:t>As five of</w:t>
      </w:r>
      <w:r>
        <w:rPr>
          <w:spacing w:val="20"/>
        </w:rPr>
        <w:t> </w:t>
      </w:r>
      <w:r>
        <w:rPr/>
        <w:t>the</w:t>
      </w:r>
      <w:r>
        <w:rPr>
          <w:spacing w:val="21"/>
        </w:rPr>
        <w:t> </w:t>
      </w:r>
      <w:r>
        <w:rPr/>
        <w:t>six</w:t>
      </w:r>
      <w:r>
        <w:rPr>
          <w:spacing w:val="21"/>
        </w:rPr>
        <w:t> </w:t>
      </w:r>
      <w:r>
        <w:rPr/>
        <w:t>models</w:t>
      </w:r>
      <w:r>
        <w:rPr>
          <w:spacing w:val="21"/>
        </w:rPr>
        <w:t> </w:t>
      </w:r>
      <w:r>
        <w:rPr/>
        <w:t>produced</w:t>
      </w:r>
      <w:r>
        <w:rPr>
          <w:spacing w:val="21"/>
        </w:rPr>
        <w:t> </w:t>
      </w:r>
      <w:r>
        <w:rPr/>
        <w:t>suggest</w:t>
      </w:r>
      <w:r>
        <w:rPr>
          <w:spacing w:val="21"/>
        </w:rPr>
        <w:t> </w:t>
      </w:r>
      <w:r>
        <w:rPr/>
        <w:t>that</w:t>
      </w:r>
      <w:r>
        <w:rPr>
          <w:spacing w:val="21"/>
        </w:rPr>
        <w:t> </w:t>
      </w:r>
      <w:r>
        <w:rPr/>
        <w:t>the</w:t>
      </w:r>
      <w:r>
        <w:rPr>
          <w:spacing w:val="21"/>
        </w:rPr>
        <w:t> </w:t>
      </w:r>
      <w:r>
        <w:rPr/>
        <w:t>value</w:t>
      </w:r>
      <w:r>
        <w:rPr>
          <w:spacing w:val="21"/>
        </w:rPr>
        <w:t> </w:t>
      </w:r>
      <w:r>
        <w:rPr/>
        <w:t>of</w:t>
      </w:r>
      <w:r>
        <w:rPr>
          <w:spacing w:val="21"/>
        </w:rPr>
        <w:t> </w:t>
      </w:r>
      <w:r>
        <w:rPr/>
        <w:t>zones</w:t>
      </w:r>
      <w:r>
        <w:rPr>
          <w:spacing w:val="21"/>
        </w:rPr>
        <w:t> </w:t>
      </w:r>
      <w:r>
        <w:rPr/>
        <w:t>in</w:t>
      </w:r>
      <w:r>
        <w:rPr>
          <w:spacing w:val="21"/>
        </w:rPr>
        <w:t> </w:t>
      </w:r>
      <w:r>
        <w:rPr/>
        <w:t>the</w:t>
      </w:r>
      <w:r>
        <w:rPr>
          <w:spacing w:val="20"/>
        </w:rPr>
        <w:t> </w:t>
      </w:r>
      <w:r>
        <w:rPr/>
        <w:t>70-80m</w:t>
      </w:r>
      <w:r>
        <w:rPr>
          <w:spacing w:val="21"/>
        </w:rPr>
        <w:t> </w:t>
      </w:r>
      <w:r>
        <w:rPr/>
        <w:t>row</w:t>
      </w:r>
      <w:r>
        <w:rPr>
          <w:spacing w:val="21"/>
        </w:rPr>
        <w:t> </w:t>
      </w:r>
      <w:r>
        <w:rPr/>
        <w:t>can</w:t>
      </w:r>
      <w:r>
        <w:rPr>
          <w:spacing w:val="21"/>
        </w:rPr>
        <w:t> </w:t>
      </w:r>
      <w:r>
        <w:rPr>
          <w:spacing w:val="-5"/>
        </w:rPr>
        <w:t>be</w:t>
      </w:r>
    </w:p>
    <w:p>
      <w:pPr>
        <w:spacing w:after="0" w:line="312" w:lineRule="auto"/>
        <w:jc w:val="both"/>
        <w:sectPr>
          <w:headerReference w:type="default" r:id="rId75"/>
          <w:footerReference w:type="default" r:id="rId76"/>
          <w:pgSz w:w="11910" w:h="16840"/>
          <w:pgMar w:header="1961" w:footer="1428" w:top="2280" w:bottom="1620" w:left="1680" w:right="720"/>
          <w:pgNumType w:start="81"/>
        </w:sectPr>
      </w:pPr>
    </w:p>
    <w:p>
      <w:pPr>
        <w:pStyle w:val="BodyText"/>
        <w:rPr>
          <w:sz w:val="20"/>
        </w:rPr>
      </w:pPr>
    </w:p>
    <w:p>
      <w:pPr>
        <w:pStyle w:val="BodyText"/>
        <w:spacing w:before="3"/>
        <w:rPr>
          <w:sz w:val="21"/>
        </w:rPr>
      </w:pPr>
    </w:p>
    <w:p>
      <w:pPr>
        <w:pStyle w:val="BodyText"/>
        <w:spacing w:line="312" w:lineRule="auto" w:before="97"/>
        <w:ind w:left="610" w:right="389"/>
        <w:jc w:val="both"/>
      </w:pPr>
      <w:r>
        <w:rPr/>
        <w:t>differentiated from those around it, it is possible that the EPV-9 has oversmoothed the data, reducing its usefulness in practice.</w:t>
      </w:r>
      <w:r>
        <w:rPr>
          <w:spacing w:val="31"/>
        </w:rPr>
        <w:t> </w:t>
      </w:r>
      <w:r>
        <w:rPr/>
        <w:t>The EPV-19 and EPV-13 models only differ </w:t>
      </w:r>
      <w:r>
        <w:rPr/>
        <w:t>in the manner through which they split group the columns along the x-axis.</w:t>
      </w:r>
      <w:r>
        <w:rPr>
          <w:spacing w:val="40"/>
        </w:rPr>
        <w:t> </w:t>
      </w:r>
      <w:r>
        <w:rPr/>
        <w:t>The EPV-19 has</w:t>
      </w:r>
      <w:r>
        <w:rPr>
          <w:spacing w:val="7"/>
        </w:rPr>
        <w:t> </w:t>
      </w:r>
      <w:r>
        <w:rPr/>
        <w:t>more</w:t>
      </w:r>
      <w:r>
        <w:rPr>
          <w:spacing w:val="7"/>
        </w:rPr>
        <w:t> </w:t>
      </w:r>
      <w:r>
        <w:rPr/>
        <w:t>columns</w:t>
      </w:r>
      <w:r>
        <w:rPr>
          <w:spacing w:val="7"/>
        </w:rPr>
        <w:t> </w:t>
      </w:r>
      <w:r>
        <w:rPr/>
        <w:t>(6),</w:t>
      </w:r>
      <w:r>
        <w:rPr>
          <w:spacing w:val="9"/>
        </w:rPr>
        <w:t> </w:t>
      </w:r>
      <w:r>
        <w:rPr/>
        <w:t>separating</w:t>
      </w:r>
      <w:r>
        <w:rPr>
          <w:spacing w:val="7"/>
        </w:rPr>
        <w:t> </w:t>
      </w:r>
      <w:r>
        <w:rPr/>
        <w:t>out</w:t>
      </w:r>
      <w:r>
        <w:rPr>
          <w:spacing w:val="7"/>
        </w:rPr>
        <w:t> </w:t>
      </w:r>
      <w:r>
        <w:rPr/>
        <w:t>the</w:t>
      </w:r>
      <w:r>
        <w:rPr>
          <w:spacing w:val="7"/>
        </w:rPr>
        <w:t> </w:t>
      </w:r>
      <w:r>
        <w:rPr/>
        <w:t>widest</w:t>
      </w:r>
      <w:r>
        <w:rPr>
          <w:spacing w:val="7"/>
        </w:rPr>
        <w:t> </w:t>
      </w:r>
      <w:r>
        <w:rPr/>
        <w:t>and</w:t>
      </w:r>
      <w:r>
        <w:rPr>
          <w:spacing w:val="7"/>
        </w:rPr>
        <w:t> </w:t>
      </w:r>
      <w:r>
        <w:rPr/>
        <w:t>second</w:t>
      </w:r>
      <w:r>
        <w:rPr>
          <w:spacing w:val="7"/>
        </w:rPr>
        <w:t> </w:t>
      </w:r>
      <w:r>
        <w:rPr/>
        <w:t>most</w:t>
      </w:r>
      <w:r>
        <w:rPr>
          <w:spacing w:val="7"/>
        </w:rPr>
        <w:t> </w:t>
      </w:r>
      <w:r>
        <w:rPr/>
        <w:t>central</w:t>
      </w:r>
      <w:r>
        <w:rPr>
          <w:spacing w:val="7"/>
        </w:rPr>
        <w:t> </w:t>
      </w:r>
      <w:r>
        <w:rPr/>
        <w:t>areas</w:t>
      </w:r>
      <w:r>
        <w:rPr>
          <w:spacing w:val="7"/>
        </w:rPr>
        <w:t> </w:t>
      </w:r>
      <w:r>
        <w:rPr/>
        <w:t>of</w:t>
      </w:r>
      <w:r>
        <w:rPr>
          <w:spacing w:val="7"/>
        </w:rPr>
        <w:t> </w:t>
      </w:r>
      <w:r>
        <w:rPr>
          <w:spacing w:val="-4"/>
        </w:rPr>
        <w:t>EPV-</w:t>
      </w:r>
    </w:p>
    <w:p>
      <w:pPr>
        <w:pStyle w:val="BodyText"/>
        <w:spacing w:line="312" w:lineRule="auto"/>
        <w:ind w:left="610" w:right="389"/>
        <w:jc w:val="both"/>
      </w:pPr>
      <w:r>
        <w:rPr/>
        <w:t>13. This</w:t>
      </w:r>
      <w:r>
        <w:rPr>
          <w:spacing w:val="-15"/>
        </w:rPr>
        <w:t> </w:t>
      </w:r>
      <w:r>
        <w:rPr/>
        <w:t>results</w:t>
      </w:r>
      <w:r>
        <w:rPr>
          <w:spacing w:val="-15"/>
        </w:rPr>
        <w:t> </w:t>
      </w:r>
      <w:r>
        <w:rPr/>
        <w:t>in</w:t>
      </w:r>
      <w:r>
        <w:rPr>
          <w:spacing w:val="-15"/>
        </w:rPr>
        <w:t> </w:t>
      </w:r>
      <w:r>
        <w:rPr/>
        <w:t>the</w:t>
      </w:r>
      <w:r>
        <w:rPr>
          <w:spacing w:val="-15"/>
        </w:rPr>
        <w:t> </w:t>
      </w:r>
      <w:r>
        <w:rPr/>
        <w:t>EPV-13</w:t>
      </w:r>
      <w:r>
        <w:rPr>
          <w:spacing w:val="-15"/>
        </w:rPr>
        <w:t> </w:t>
      </w:r>
      <w:r>
        <w:rPr/>
        <w:t>having</w:t>
      </w:r>
      <w:r>
        <w:rPr>
          <w:spacing w:val="-15"/>
        </w:rPr>
        <w:t> </w:t>
      </w:r>
      <w:r>
        <w:rPr/>
        <w:t>a</w:t>
      </w:r>
      <w:r>
        <w:rPr>
          <w:spacing w:val="-15"/>
        </w:rPr>
        <w:t> </w:t>
      </w:r>
      <w:r>
        <w:rPr/>
        <w:t>smoother</w:t>
      </w:r>
      <w:r>
        <w:rPr>
          <w:spacing w:val="-15"/>
        </w:rPr>
        <w:t> </w:t>
      </w:r>
      <w:r>
        <w:rPr/>
        <w:t>progression</w:t>
      </w:r>
      <w:r>
        <w:rPr>
          <w:spacing w:val="-15"/>
        </w:rPr>
        <w:t> </w:t>
      </w:r>
      <w:r>
        <w:rPr/>
        <w:t>of</w:t>
      </w:r>
      <w:r>
        <w:rPr>
          <w:spacing w:val="-15"/>
        </w:rPr>
        <w:t> </w:t>
      </w:r>
      <w:r>
        <w:rPr/>
        <w:t>zone</w:t>
      </w:r>
      <w:r>
        <w:rPr>
          <w:spacing w:val="-15"/>
        </w:rPr>
        <w:t> </w:t>
      </w:r>
      <w:r>
        <w:rPr/>
        <w:t>values</w:t>
      </w:r>
      <w:r>
        <w:rPr>
          <w:spacing w:val="-15"/>
        </w:rPr>
        <w:t> </w:t>
      </w:r>
      <w:r>
        <w:rPr/>
        <w:t>from</w:t>
      </w:r>
      <w:r>
        <w:rPr>
          <w:spacing w:val="-15"/>
        </w:rPr>
        <w:t> </w:t>
      </w:r>
      <w:r>
        <w:rPr/>
        <w:t>wide</w:t>
      </w:r>
      <w:r>
        <w:rPr>
          <w:spacing w:val="-15"/>
        </w:rPr>
        <w:t> </w:t>
      </w:r>
      <w:r>
        <w:rPr/>
        <w:t>to central.</w:t>
      </w:r>
      <w:r>
        <w:rPr>
          <w:spacing w:val="2"/>
        </w:rPr>
        <w:t> </w:t>
      </w:r>
      <w:r>
        <w:rPr/>
        <w:t>However,</w:t>
      </w:r>
      <w:r>
        <w:rPr>
          <w:spacing w:val="-14"/>
        </w:rPr>
        <w:t> </w:t>
      </w:r>
      <w:r>
        <w:rPr/>
        <w:t>it</w:t>
      </w:r>
      <w:r>
        <w:rPr>
          <w:spacing w:val="-15"/>
        </w:rPr>
        <w:t> </w:t>
      </w:r>
      <w:r>
        <w:rPr/>
        <w:t>also</w:t>
      </w:r>
      <w:r>
        <w:rPr>
          <w:spacing w:val="-15"/>
        </w:rPr>
        <w:t> </w:t>
      </w:r>
      <w:r>
        <w:rPr/>
        <w:t>results</w:t>
      </w:r>
      <w:r>
        <w:rPr>
          <w:spacing w:val="-15"/>
        </w:rPr>
        <w:t> </w:t>
      </w:r>
      <w:r>
        <w:rPr/>
        <w:t>in</w:t>
      </w:r>
      <w:r>
        <w:rPr>
          <w:spacing w:val="-15"/>
        </w:rPr>
        <w:t> </w:t>
      </w:r>
      <w:r>
        <w:rPr/>
        <w:t>the</w:t>
      </w:r>
      <w:r>
        <w:rPr>
          <w:spacing w:val="-15"/>
        </w:rPr>
        <w:t> </w:t>
      </w:r>
      <w:r>
        <w:rPr/>
        <w:t>value</w:t>
      </w:r>
      <w:r>
        <w:rPr>
          <w:spacing w:val="-15"/>
        </w:rPr>
        <w:t> </w:t>
      </w:r>
      <w:r>
        <w:rPr/>
        <w:t>of</w:t>
      </w:r>
      <w:r>
        <w:rPr>
          <w:spacing w:val="-15"/>
        </w:rPr>
        <w:t> </w:t>
      </w:r>
      <w:r>
        <w:rPr/>
        <w:t>the</w:t>
      </w:r>
      <w:r>
        <w:rPr>
          <w:spacing w:val="-15"/>
        </w:rPr>
        <w:t> </w:t>
      </w:r>
      <w:r>
        <w:rPr/>
        <w:t>zones</w:t>
      </w:r>
      <w:r>
        <w:rPr>
          <w:spacing w:val="-15"/>
        </w:rPr>
        <w:t> </w:t>
      </w:r>
      <w:r>
        <w:rPr/>
        <w:t>just</w:t>
      </w:r>
      <w:r>
        <w:rPr>
          <w:spacing w:val="-15"/>
        </w:rPr>
        <w:t> </w:t>
      </w:r>
      <w:r>
        <w:rPr/>
        <w:t>outside</w:t>
      </w:r>
      <w:r>
        <w:rPr>
          <w:spacing w:val="-15"/>
        </w:rPr>
        <w:t> </w:t>
      </w:r>
      <w:r>
        <w:rPr/>
        <w:t>the</w:t>
      </w:r>
      <w:r>
        <w:rPr>
          <w:spacing w:val="-15"/>
        </w:rPr>
        <w:t> </w:t>
      </w:r>
      <w:r>
        <w:rPr/>
        <w:t>posts</w:t>
      </w:r>
      <w:r>
        <w:rPr>
          <w:spacing w:val="-15"/>
        </w:rPr>
        <w:t> </w:t>
      </w:r>
      <w:r>
        <w:rPr/>
        <w:t>being</w:t>
      </w:r>
      <w:r>
        <w:rPr>
          <w:spacing w:val="-15"/>
        </w:rPr>
        <w:t> </w:t>
      </w:r>
      <w:r>
        <w:rPr/>
        <w:t>much smaller</w:t>
      </w:r>
      <w:r>
        <w:rPr>
          <w:spacing w:val="-12"/>
        </w:rPr>
        <w:t> </w:t>
      </w:r>
      <w:r>
        <w:rPr/>
        <w:t>relative</w:t>
      </w:r>
      <w:r>
        <w:rPr>
          <w:spacing w:val="-12"/>
        </w:rPr>
        <w:t> </w:t>
      </w:r>
      <w:r>
        <w:rPr/>
        <w:t>to</w:t>
      </w:r>
      <w:r>
        <w:rPr>
          <w:spacing w:val="-12"/>
        </w:rPr>
        <w:t> </w:t>
      </w:r>
      <w:r>
        <w:rPr/>
        <w:t>EPV-19</w:t>
      </w:r>
      <w:r>
        <w:rPr>
          <w:spacing w:val="-12"/>
        </w:rPr>
        <w:t> </w:t>
      </w:r>
      <w:r>
        <w:rPr/>
        <w:t>and</w:t>
      </w:r>
      <w:r>
        <w:rPr>
          <w:spacing w:val="-12"/>
        </w:rPr>
        <w:t> </w:t>
      </w:r>
      <w:r>
        <w:rPr/>
        <w:t>EPV-37. Given</w:t>
      </w:r>
      <w:r>
        <w:rPr>
          <w:spacing w:val="-12"/>
        </w:rPr>
        <w:t> </w:t>
      </w:r>
      <w:r>
        <w:rPr/>
        <w:t>the</w:t>
      </w:r>
      <w:r>
        <w:rPr>
          <w:spacing w:val="-12"/>
        </w:rPr>
        <w:t> </w:t>
      </w:r>
      <w:r>
        <w:rPr/>
        <w:t>value</w:t>
      </w:r>
      <w:r>
        <w:rPr>
          <w:spacing w:val="-12"/>
        </w:rPr>
        <w:t> </w:t>
      </w:r>
      <w:r>
        <w:rPr/>
        <w:t>of</w:t>
      </w:r>
      <w:r>
        <w:rPr>
          <w:spacing w:val="-12"/>
        </w:rPr>
        <w:t> </w:t>
      </w:r>
      <w:r>
        <w:rPr/>
        <w:t>the</w:t>
      </w:r>
      <w:r>
        <w:rPr>
          <w:spacing w:val="-12"/>
        </w:rPr>
        <w:t> </w:t>
      </w:r>
      <w:r>
        <w:rPr/>
        <w:t>central</w:t>
      </w:r>
      <w:r>
        <w:rPr>
          <w:spacing w:val="-12"/>
        </w:rPr>
        <w:t> </w:t>
      </w:r>
      <w:r>
        <w:rPr/>
        <w:t>zones</w:t>
      </w:r>
      <w:r>
        <w:rPr>
          <w:spacing w:val="-12"/>
        </w:rPr>
        <w:t> </w:t>
      </w:r>
      <w:r>
        <w:rPr/>
        <w:t>is</w:t>
      </w:r>
      <w:r>
        <w:rPr>
          <w:spacing w:val="-12"/>
        </w:rPr>
        <w:t> </w:t>
      </w:r>
      <w:r>
        <w:rPr/>
        <w:t>of</w:t>
      </w:r>
      <w:r>
        <w:rPr>
          <w:spacing w:val="-12"/>
        </w:rPr>
        <w:t> </w:t>
      </w:r>
      <w:r>
        <w:rPr/>
        <w:t>upmost importance</w:t>
      </w:r>
      <w:r>
        <w:rPr>
          <w:spacing w:val="-10"/>
        </w:rPr>
        <w:t> </w:t>
      </w:r>
      <w:r>
        <w:rPr/>
        <w:t>for</w:t>
      </w:r>
      <w:r>
        <w:rPr>
          <w:spacing w:val="-10"/>
        </w:rPr>
        <w:t> </w:t>
      </w:r>
      <w:r>
        <w:rPr/>
        <w:t>conversions</w:t>
      </w:r>
      <w:r>
        <w:rPr>
          <w:spacing w:val="-10"/>
        </w:rPr>
        <w:t> </w:t>
      </w:r>
      <w:r>
        <w:rPr/>
        <w:t>of</w:t>
      </w:r>
      <w:r>
        <w:rPr>
          <w:spacing w:val="-10"/>
        </w:rPr>
        <w:t> </w:t>
      </w:r>
      <w:r>
        <w:rPr/>
        <w:t>tries,</w:t>
      </w:r>
      <w:r>
        <w:rPr>
          <w:spacing w:val="-9"/>
        </w:rPr>
        <w:t> </w:t>
      </w:r>
      <w:r>
        <w:rPr/>
        <w:t>the</w:t>
      </w:r>
      <w:r>
        <w:rPr>
          <w:spacing w:val="-10"/>
        </w:rPr>
        <w:t> </w:t>
      </w:r>
      <w:r>
        <w:rPr/>
        <w:t>EPV-19</w:t>
      </w:r>
      <w:r>
        <w:rPr>
          <w:spacing w:val="-10"/>
        </w:rPr>
        <w:t> </w:t>
      </w:r>
      <w:r>
        <w:rPr/>
        <w:t>may</w:t>
      </w:r>
      <w:r>
        <w:rPr>
          <w:spacing w:val="-10"/>
        </w:rPr>
        <w:t> </w:t>
      </w:r>
      <w:r>
        <w:rPr/>
        <w:t>be</w:t>
      </w:r>
      <w:r>
        <w:rPr>
          <w:spacing w:val="-10"/>
        </w:rPr>
        <w:t> </w:t>
      </w:r>
      <w:r>
        <w:rPr/>
        <w:t>considered</w:t>
      </w:r>
      <w:r>
        <w:rPr>
          <w:spacing w:val="-10"/>
        </w:rPr>
        <w:t> </w:t>
      </w:r>
      <w:r>
        <w:rPr/>
        <w:t>the</w:t>
      </w:r>
      <w:r>
        <w:rPr>
          <w:spacing w:val="-10"/>
        </w:rPr>
        <w:t> </w:t>
      </w:r>
      <w:r>
        <w:rPr/>
        <w:t>more</w:t>
      </w:r>
      <w:r>
        <w:rPr>
          <w:spacing w:val="-10"/>
        </w:rPr>
        <w:t> </w:t>
      </w:r>
      <w:r>
        <w:rPr/>
        <w:t>useful</w:t>
      </w:r>
      <w:r>
        <w:rPr>
          <w:spacing w:val="-10"/>
        </w:rPr>
        <w:t> </w:t>
      </w:r>
      <w:r>
        <w:rPr/>
        <w:t>set</w:t>
      </w:r>
      <w:r>
        <w:rPr>
          <w:spacing w:val="-10"/>
        </w:rPr>
        <w:t> </w:t>
      </w:r>
      <w:r>
        <w:rPr/>
        <w:t>of zones, but either model could be used in practice.</w:t>
      </w:r>
    </w:p>
    <w:p>
      <w:pPr>
        <w:pStyle w:val="BodyText"/>
        <w:spacing w:before="6"/>
        <w:rPr>
          <w:sz w:val="34"/>
        </w:rPr>
      </w:pPr>
    </w:p>
    <w:p>
      <w:pPr>
        <w:pStyle w:val="Heading3"/>
        <w:numPr>
          <w:ilvl w:val="2"/>
          <w:numId w:val="18"/>
        </w:numPr>
        <w:tabs>
          <w:tab w:pos="1472" w:val="left" w:leader="none"/>
        </w:tabs>
        <w:spacing w:line="240" w:lineRule="auto" w:before="0" w:after="0"/>
        <w:ind w:left="1471" w:right="0" w:hanging="862"/>
        <w:jc w:val="both"/>
      </w:pPr>
      <w:bookmarkStart w:name="_TOC_250034" w:id="156"/>
      <w:bookmarkStart w:name="3.3.3 Quantification of Teams’ Attacking" w:id="157"/>
      <w:r>
        <w:rPr>
          <w:b w:val="0"/>
        </w:rPr>
      </w:r>
      <w:bookmarkStart w:name="_bookmark88" w:id="158"/>
      <w:bookmarkEnd w:id="158"/>
      <w:r>
        <w:rPr/>
        <w:t>Quantification</w:t>
      </w:r>
      <w:r>
        <w:rPr>
          <w:spacing w:val="10"/>
        </w:rPr>
        <w:t> </w:t>
      </w:r>
      <w:r>
        <w:rPr/>
        <w:t>of</w:t>
      </w:r>
      <w:r>
        <w:rPr>
          <w:spacing w:val="10"/>
        </w:rPr>
        <w:t> </w:t>
      </w:r>
      <w:r>
        <w:rPr/>
        <w:t>Teams’</w:t>
      </w:r>
      <w:r>
        <w:rPr>
          <w:spacing w:val="10"/>
        </w:rPr>
        <w:t> </w:t>
      </w:r>
      <w:r>
        <w:rPr/>
        <w:t>Attacking</w:t>
      </w:r>
      <w:r>
        <w:rPr>
          <w:spacing w:val="10"/>
        </w:rPr>
        <w:t> </w:t>
      </w:r>
      <w:bookmarkEnd w:id="156"/>
      <w:r>
        <w:rPr>
          <w:spacing w:val="-2"/>
        </w:rPr>
        <w:t>Performances</w:t>
      </w:r>
    </w:p>
    <w:p>
      <w:pPr>
        <w:pStyle w:val="BodyText"/>
        <w:spacing w:line="312" w:lineRule="auto" w:before="235"/>
        <w:ind w:left="610" w:right="389"/>
      </w:pPr>
      <w:r>
        <w:rPr/>
        <w:t>To quantify team attacking performances across the 2019 Super League season, </w:t>
      </w:r>
      <w:r>
        <w:rPr/>
        <w:t>z-score analysis of the EPV-19 model values was used.</w:t>
      </w:r>
      <w:r>
        <w:rPr>
          <w:spacing w:val="40"/>
        </w:rPr>
        <w:t> </w:t>
      </w:r>
      <w:r>
        <w:rPr/>
        <w:t>Figure</w:t>
      </w:r>
      <w:hyperlink w:history="true" w:anchor="_bookmark89">
        <w:r>
          <w:rPr>
            <w:color w:val="0000FF"/>
          </w:rPr>
          <w:t>3.8</w:t>
        </w:r>
      </w:hyperlink>
      <w:r>
        <w:rPr/>
        <w:t>provides a numbered zone</w:t>
      </w:r>
      <w:r>
        <w:rPr>
          <w:spacing w:val="40"/>
        </w:rPr>
        <w:t> </w:t>
      </w:r>
      <w:r>
        <w:rPr/>
        <w:t>breakdown for the EPV-19. Figure</w:t>
      </w:r>
      <w:hyperlink w:history="true" w:anchor="_bookmark90">
        <w:r>
          <w:rPr>
            <w:color w:val="0000FF"/>
          </w:rPr>
          <w:t>3.9</w:t>
        </w:r>
      </w:hyperlink>
      <w:r>
        <w:rPr/>
        <w:t>depicts the z-score analysis of each team’s attack- ing performances across the 2019 Super League season using the EPV-19 model.</w:t>
      </w:r>
      <w:r>
        <w:rPr>
          <w:spacing w:val="29"/>
        </w:rPr>
        <w:t> </w:t>
      </w:r>
      <w:r>
        <w:rPr/>
        <w:t>Using z-score analysis of the match EPV, it is clear that Hull generates a greater proportion of match</w:t>
      </w:r>
      <w:r>
        <w:rPr>
          <w:spacing w:val="-10"/>
        </w:rPr>
        <w:t> </w:t>
      </w:r>
      <w:r>
        <w:rPr/>
        <w:t>EPV</w:t>
      </w:r>
      <w:r>
        <w:rPr>
          <w:spacing w:val="-10"/>
        </w:rPr>
        <w:t> </w:t>
      </w:r>
      <w:r>
        <w:rPr/>
        <w:t>from</w:t>
      </w:r>
      <w:r>
        <w:rPr>
          <w:spacing w:val="-10"/>
        </w:rPr>
        <w:t> </w:t>
      </w:r>
      <w:r>
        <w:rPr/>
        <w:t>different</w:t>
      </w:r>
      <w:r>
        <w:rPr>
          <w:spacing w:val="-10"/>
        </w:rPr>
        <w:t> </w:t>
      </w:r>
      <w:r>
        <w:rPr/>
        <w:t>zones</w:t>
      </w:r>
      <w:r>
        <w:rPr>
          <w:spacing w:val="-10"/>
        </w:rPr>
        <w:t> </w:t>
      </w:r>
      <w:r>
        <w:rPr/>
        <w:t>to</w:t>
      </w:r>
      <w:r>
        <w:rPr>
          <w:spacing w:val="-10"/>
        </w:rPr>
        <w:t> </w:t>
      </w:r>
      <w:r>
        <w:rPr/>
        <w:t>Leeds</w:t>
      </w:r>
      <w:r>
        <w:rPr>
          <w:spacing w:val="-10"/>
        </w:rPr>
        <w:t> </w:t>
      </w:r>
      <w:r>
        <w:rPr/>
        <w:t>when</w:t>
      </w:r>
      <w:r>
        <w:rPr>
          <w:spacing w:val="-10"/>
        </w:rPr>
        <w:t> </w:t>
      </w:r>
      <w:r>
        <w:rPr/>
        <w:t>10m-70m</w:t>
      </w:r>
      <w:r>
        <w:rPr>
          <w:spacing w:val="-10"/>
        </w:rPr>
        <w:t> </w:t>
      </w:r>
      <w:r>
        <w:rPr/>
        <w:t>from</w:t>
      </w:r>
      <w:r>
        <w:rPr>
          <w:spacing w:val="-10"/>
        </w:rPr>
        <w:t> </w:t>
      </w:r>
      <w:r>
        <w:rPr/>
        <w:t>its</w:t>
      </w:r>
      <w:r>
        <w:rPr>
          <w:spacing w:val="-10"/>
        </w:rPr>
        <w:t> </w:t>
      </w:r>
      <w:r>
        <w:rPr/>
        <w:t>own</w:t>
      </w:r>
      <w:r>
        <w:rPr>
          <w:spacing w:val="-10"/>
        </w:rPr>
        <w:t> </w:t>
      </w:r>
      <w:r>
        <w:rPr/>
        <w:t>try</w:t>
      </w:r>
      <w:r>
        <w:rPr>
          <w:spacing w:val="-10"/>
        </w:rPr>
        <w:t> </w:t>
      </w:r>
      <w:r>
        <w:rPr/>
        <w:t>line. Hull</w:t>
      </w:r>
      <w:r>
        <w:rPr>
          <w:spacing w:val="-10"/>
        </w:rPr>
        <w:t> </w:t>
      </w:r>
      <w:r>
        <w:rPr/>
        <w:t>also gains greater match EPV from wide areas (zones 3 and 4),</w:t>
      </w:r>
      <w:r>
        <w:rPr>
          <w:spacing w:val="25"/>
        </w:rPr>
        <w:t> </w:t>
      </w:r>
      <w:r>
        <w:rPr/>
        <w:t>whereas Leeds gains more</w:t>
      </w:r>
      <w:r>
        <w:rPr>
          <w:spacing w:val="80"/>
        </w:rPr>
        <w:t> </w:t>
      </w:r>
      <w:r>
        <w:rPr/>
        <w:t>match</w:t>
      </w:r>
      <w:r>
        <w:rPr>
          <w:spacing w:val="-10"/>
        </w:rPr>
        <w:t> </w:t>
      </w:r>
      <w:r>
        <w:rPr/>
        <w:t>EPV</w:t>
      </w:r>
      <w:r>
        <w:rPr>
          <w:spacing w:val="-10"/>
        </w:rPr>
        <w:t> </w:t>
      </w:r>
      <w:r>
        <w:rPr/>
        <w:t>centrally</w:t>
      </w:r>
      <w:r>
        <w:rPr>
          <w:spacing w:val="-10"/>
        </w:rPr>
        <w:t> </w:t>
      </w:r>
      <w:r>
        <w:rPr/>
        <w:t>(zones</w:t>
      </w:r>
      <w:r>
        <w:rPr>
          <w:spacing w:val="-10"/>
        </w:rPr>
        <w:t> </w:t>
      </w:r>
      <w:r>
        <w:rPr/>
        <w:t>5-7)</w:t>
      </w:r>
      <w:r>
        <w:rPr>
          <w:spacing w:val="-10"/>
        </w:rPr>
        <w:t> </w:t>
      </w:r>
      <w:r>
        <w:rPr/>
        <w:t>relative</w:t>
      </w:r>
      <w:r>
        <w:rPr>
          <w:spacing w:val="-10"/>
        </w:rPr>
        <w:t> </w:t>
      </w:r>
      <w:r>
        <w:rPr/>
        <w:t>to</w:t>
      </w:r>
      <w:r>
        <w:rPr>
          <w:spacing w:val="-10"/>
        </w:rPr>
        <w:t> </w:t>
      </w:r>
      <w:r>
        <w:rPr/>
        <w:t>other</w:t>
      </w:r>
      <w:r>
        <w:rPr>
          <w:spacing w:val="-10"/>
        </w:rPr>
        <w:t> </w:t>
      </w:r>
      <w:r>
        <w:rPr/>
        <w:t>zones. The</w:t>
      </w:r>
      <w:r>
        <w:rPr>
          <w:spacing w:val="-10"/>
        </w:rPr>
        <w:t> </w:t>
      </w:r>
      <w:r>
        <w:rPr/>
        <w:t>identification</w:t>
      </w:r>
      <w:r>
        <w:rPr>
          <w:spacing w:val="-10"/>
        </w:rPr>
        <w:t> </w:t>
      </w:r>
      <w:r>
        <w:rPr/>
        <w:t>of</w:t>
      </w:r>
      <w:r>
        <w:rPr>
          <w:spacing w:val="-10"/>
        </w:rPr>
        <w:t> </w:t>
      </w:r>
      <w:r>
        <w:rPr/>
        <w:t>these</w:t>
      </w:r>
      <w:r>
        <w:rPr>
          <w:spacing w:val="-10"/>
        </w:rPr>
        <w:t> </w:t>
      </w:r>
      <w:r>
        <w:rPr/>
        <w:t>zones pre-match</w:t>
      </w:r>
      <w:r>
        <w:rPr>
          <w:spacing w:val="-4"/>
        </w:rPr>
        <w:t> </w:t>
      </w:r>
      <w:r>
        <w:rPr/>
        <w:t>could</w:t>
      </w:r>
      <w:r>
        <w:rPr>
          <w:spacing w:val="-4"/>
        </w:rPr>
        <w:t> </w:t>
      </w:r>
      <w:r>
        <w:rPr/>
        <w:t>assist</w:t>
      </w:r>
      <w:r>
        <w:rPr>
          <w:spacing w:val="-4"/>
        </w:rPr>
        <w:t> </w:t>
      </w:r>
      <w:r>
        <w:rPr/>
        <w:t>teams</w:t>
      </w:r>
      <w:r>
        <w:rPr>
          <w:spacing w:val="-4"/>
        </w:rPr>
        <w:t> </w:t>
      </w:r>
      <w:r>
        <w:rPr/>
        <w:t>in</w:t>
      </w:r>
      <w:r>
        <w:rPr>
          <w:spacing w:val="-4"/>
        </w:rPr>
        <w:t> </w:t>
      </w:r>
      <w:r>
        <w:rPr/>
        <w:t>their</w:t>
      </w:r>
      <w:r>
        <w:rPr>
          <w:spacing w:val="-4"/>
        </w:rPr>
        <w:t> </w:t>
      </w:r>
      <w:r>
        <w:rPr/>
        <w:t>tactical</w:t>
      </w:r>
      <w:r>
        <w:rPr>
          <w:spacing w:val="-4"/>
        </w:rPr>
        <w:t> </w:t>
      </w:r>
      <w:r>
        <w:rPr/>
        <w:t>preparations. Furthermore,</w:t>
      </w:r>
      <w:r>
        <w:rPr>
          <w:spacing w:val="-2"/>
        </w:rPr>
        <w:t> </w:t>
      </w:r>
      <w:r>
        <w:rPr/>
        <w:t>Figure</w:t>
      </w:r>
      <w:hyperlink w:history="true" w:anchor="_bookmark90">
        <w:r>
          <w:rPr>
            <w:color w:val="0000FF"/>
          </w:rPr>
          <w:t>3.9</w:t>
        </w:r>
      </w:hyperlink>
      <w:r>
        <w:rPr/>
        <w:t>shows those</w:t>
      </w:r>
      <w:r>
        <w:rPr>
          <w:spacing w:val="-8"/>
        </w:rPr>
        <w:t> </w:t>
      </w:r>
      <w:r>
        <w:rPr/>
        <w:t>teams</w:t>
      </w:r>
      <w:r>
        <w:rPr>
          <w:spacing w:val="-8"/>
        </w:rPr>
        <w:t> </w:t>
      </w:r>
      <w:r>
        <w:rPr/>
        <w:t>who</w:t>
      </w:r>
      <w:r>
        <w:rPr>
          <w:spacing w:val="-8"/>
        </w:rPr>
        <w:t> </w:t>
      </w:r>
      <w:r>
        <w:rPr/>
        <w:t>spread</w:t>
      </w:r>
      <w:r>
        <w:rPr>
          <w:spacing w:val="-8"/>
        </w:rPr>
        <w:t> </w:t>
      </w:r>
      <w:r>
        <w:rPr/>
        <w:t>their</w:t>
      </w:r>
      <w:r>
        <w:rPr>
          <w:spacing w:val="-8"/>
        </w:rPr>
        <w:t> </w:t>
      </w:r>
      <w:r>
        <w:rPr/>
        <w:t>attack</w:t>
      </w:r>
      <w:r>
        <w:rPr>
          <w:spacing w:val="-8"/>
        </w:rPr>
        <w:t> </w:t>
      </w:r>
      <w:r>
        <w:rPr/>
        <w:t>more</w:t>
      </w:r>
      <w:r>
        <w:rPr>
          <w:spacing w:val="-8"/>
        </w:rPr>
        <w:t> </w:t>
      </w:r>
      <w:r>
        <w:rPr/>
        <w:t>evenly. For</w:t>
      </w:r>
      <w:r>
        <w:rPr>
          <w:spacing w:val="-8"/>
        </w:rPr>
        <w:t> </w:t>
      </w:r>
      <w:r>
        <w:rPr/>
        <w:t>example,</w:t>
      </w:r>
      <w:r>
        <w:rPr>
          <w:spacing w:val="-8"/>
        </w:rPr>
        <w:t> </w:t>
      </w:r>
      <w:r>
        <w:rPr/>
        <w:t>from</w:t>
      </w:r>
      <w:r>
        <w:rPr>
          <w:spacing w:val="-8"/>
        </w:rPr>
        <w:t> </w:t>
      </w:r>
      <w:r>
        <w:rPr/>
        <w:t>80-100m,</w:t>
      </w:r>
      <w:r>
        <w:rPr>
          <w:spacing w:val="-8"/>
        </w:rPr>
        <w:t> </w:t>
      </w:r>
      <w:r>
        <w:rPr/>
        <w:t>St</w:t>
      </w:r>
      <w:r>
        <w:rPr>
          <w:spacing w:val="-8"/>
        </w:rPr>
        <w:t> </w:t>
      </w:r>
      <w:r>
        <w:rPr/>
        <w:t>Helens obtained</w:t>
      </w:r>
      <w:r>
        <w:rPr>
          <w:spacing w:val="23"/>
        </w:rPr>
        <w:t> </w:t>
      </w:r>
      <w:r>
        <w:rPr/>
        <w:t>a</w:t>
      </w:r>
      <w:r>
        <w:rPr>
          <w:spacing w:val="23"/>
        </w:rPr>
        <w:t> </w:t>
      </w:r>
      <w:r>
        <w:rPr/>
        <w:t>small</w:t>
      </w:r>
      <w:r>
        <w:rPr>
          <w:spacing w:val="23"/>
        </w:rPr>
        <w:t> </w:t>
      </w:r>
      <w:r>
        <w:rPr/>
        <w:t>proportion</w:t>
      </w:r>
      <w:r>
        <w:rPr>
          <w:spacing w:val="23"/>
        </w:rPr>
        <w:t> </w:t>
      </w:r>
      <w:r>
        <w:rPr/>
        <w:t>of</w:t>
      </w:r>
      <w:r>
        <w:rPr>
          <w:spacing w:val="23"/>
        </w:rPr>
        <w:t> </w:t>
      </w:r>
      <w:r>
        <w:rPr/>
        <w:t>its</w:t>
      </w:r>
      <w:r>
        <w:rPr>
          <w:spacing w:val="23"/>
        </w:rPr>
        <w:t> </w:t>
      </w:r>
      <w:r>
        <w:rPr/>
        <w:t>match</w:t>
      </w:r>
      <w:r>
        <w:rPr>
          <w:spacing w:val="23"/>
        </w:rPr>
        <w:t> </w:t>
      </w:r>
      <w:r>
        <w:rPr/>
        <w:t>EPV</w:t>
      </w:r>
      <w:r>
        <w:rPr>
          <w:spacing w:val="23"/>
        </w:rPr>
        <w:t> </w:t>
      </w:r>
      <w:r>
        <w:rPr/>
        <w:t>from</w:t>
      </w:r>
      <w:r>
        <w:rPr>
          <w:spacing w:val="23"/>
        </w:rPr>
        <w:t> </w:t>
      </w:r>
      <w:r>
        <w:rPr/>
        <w:t>the</w:t>
      </w:r>
      <w:r>
        <w:rPr>
          <w:spacing w:val="23"/>
        </w:rPr>
        <w:t> </w:t>
      </w:r>
      <w:r>
        <w:rPr/>
        <w:t>widest</w:t>
      </w:r>
      <w:r>
        <w:rPr>
          <w:spacing w:val="23"/>
        </w:rPr>
        <w:t> </w:t>
      </w:r>
      <w:r>
        <w:rPr/>
        <w:t>zone</w:t>
      </w:r>
      <w:r>
        <w:rPr>
          <w:spacing w:val="23"/>
        </w:rPr>
        <w:t> </w:t>
      </w:r>
      <w:r>
        <w:rPr/>
        <w:t>(14)</w:t>
      </w:r>
      <w:r>
        <w:rPr>
          <w:spacing w:val="23"/>
        </w:rPr>
        <w:t> </w:t>
      </w:r>
      <w:r>
        <w:rPr/>
        <w:t>compared</w:t>
      </w:r>
      <w:r>
        <w:rPr>
          <w:spacing w:val="23"/>
        </w:rPr>
        <w:t> </w:t>
      </w:r>
      <w:r>
        <w:rPr/>
        <w:t>to other Super League teams, but they generated similar proportions of match EPV across the rest of the zones.</w:t>
      </w:r>
      <w:r>
        <w:rPr>
          <w:spacing w:val="27"/>
        </w:rPr>
        <w:t> </w:t>
      </w:r>
      <w:r>
        <w:rPr/>
        <w:t>It is possible that this ability to generate value close to the average team</w:t>
      </w:r>
      <w:r>
        <w:rPr>
          <w:spacing w:val="-2"/>
        </w:rPr>
        <w:t> </w:t>
      </w:r>
      <w:r>
        <w:rPr/>
        <w:t>across</w:t>
      </w:r>
      <w:r>
        <w:rPr>
          <w:spacing w:val="-2"/>
        </w:rPr>
        <w:t> </w:t>
      </w:r>
      <w:r>
        <w:rPr/>
        <w:t>the</w:t>
      </w:r>
      <w:r>
        <w:rPr>
          <w:spacing w:val="-2"/>
        </w:rPr>
        <w:t> </w:t>
      </w:r>
      <w:r>
        <w:rPr/>
        <w:t>majority</w:t>
      </w:r>
      <w:r>
        <w:rPr>
          <w:spacing w:val="-2"/>
        </w:rPr>
        <w:t> </w:t>
      </w:r>
      <w:r>
        <w:rPr/>
        <w:t>of</w:t>
      </w:r>
      <w:r>
        <w:rPr>
          <w:spacing w:val="-2"/>
        </w:rPr>
        <w:t> </w:t>
      </w:r>
      <w:r>
        <w:rPr/>
        <w:t>the</w:t>
      </w:r>
      <w:r>
        <w:rPr>
          <w:spacing w:val="-2"/>
        </w:rPr>
        <w:t> </w:t>
      </w:r>
      <w:r>
        <w:rPr/>
        <w:t>pitch</w:t>
      </w:r>
      <w:r>
        <w:rPr>
          <w:spacing w:val="-2"/>
        </w:rPr>
        <w:t> </w:t>
      </w:r>
      <w:r>
        <w:rPr/>
        <w:t>made</w:t>
      </w:r>
      <w:r>
        <w:rPr>
          <w:spacing w:val="-2"/>
        </w:rPr>
        <w:t> </w:t>
      </w:r>
      <w:r>
        <w:rPr/>
        <w:t>the</w:t>
      </w:r>
      <w:r>
        <w:rPr>
          <w:spacing w:val="-2"/>
        </w:rPr>
        <w:t> </w:t>
      </w:r>
      <w:r>
        <w:rPr/>
        <w:t>team</w:t>
      </w:r>
      <w:r>
        <w:rPr>
          <w:spacing w:val="-2"/>
        </w:rPr>
        <w:t> </w:t>
      </w:r>
      <w:r>
        <w:rPr/>
        <w:t>difficult</w:t>
      </w:r>
      <w:r>
        <w:rPr>
          <w:spacing w:val="-2"/>
        </w:rPr>
        <w:t> </w:t>
      </w:r>
      <w:r>
        <w:rPr/>
        <w:t>to</w:t>
      </w:r>
      <w:r>
        <w:rPr>
          <w:spacing w:val="-2"/>
        </w:rPr>
        <w:t> </w:t>
      </w:r>
      <w:r>
        <w:rPr/>
        <w:t>defend</w:t>
      </w:r>
      <w:r>
        <w:rPr>
          <w:spacing w:val="-2"/>
        </w:rPr>
        <w:t> </w:t>
      </w:r>
      <w:r>
        <w:rPr/>
        <w:t>against</w:t>
      </w:r>
      <w:r>
        <w:rPr>
          <w:spacing w:val="-2"/>
        </w:rPr>
        <w:t> </w:t>
      </w:r>
      <w:r>
        <w:rPr/>
        <w:t>and</w:t>
      </w:r>
      <w:r>
        <w:rPr>
          <w:spacing w:val="-2"/>
        </w:rPr>
        <w:t> </w:t>
      </w:r>
      <w:r>
        <w:rPr/>
        <w:t>could explain</w:t>
      </w:r>
      <w:r>
        <w:rPr>
          <w:spacing w:val="-6"/>
        </w:rPr>
        <w:t> </w:t>
      </w:r>
      <w:r>
        <w:rPr/>
        <w:t>why</w:t>
      </w:r>
      <w:r>
        <w:rPr>
          <w:spacing w:val="-6"/>
        </w:rPr>
        <w:t> </w:t>
      </w:r>
      <w:r>
        <w:rPr/>
        <w:t>they</w:t>
      </w:r>
      <w:r>
        <w:rPr>
          <w:spacing w:val="-6"/>
        </w:rPr>
        <w:t> </w:t>
      </w:r>
      <w:r>
        <w:rPr/>
        <w:t>were</w:t>
      </w:r>
      <w:r>
        <w:rPr>
          <w:spacing w:val="-6"/>
        </w:rPr>
        <w:t> </w:t>
      </w:r>
      <w:r>
        <w:rPr/>
        <w:t>one</w:t>
      </w:r>
      <w:r>
        <w:rPr>
          <w:spacing w:val="-6"/>
        </w:rPr>
        <w:t> </w:t>
      </w:r>
      <w:r>
        <w:rPr/>
        <w:t>of</w:t>
      </w:r>
      <w:r>
        <w:rPr>
          <w:spacing w:val="-6"/>
        </w:rPr>
        <w:t> </w:t>
      </w:r>
      <w:r>
        <w:rPr/>
        <w:t>the</w:t>
      </w:r>
      <w:r>
        <w:rPr>
          <w:spacing w:val="-6"/>
        </w:rPr>
        <w:t> </w:t>
      </w:r>
      <w:r>
        <w:rPr/>
        <w:t>top</w:t>
      </w:r>
      <w:r>
        <w:rPr>
          <w:spacing w:val="-6"/>
        </w:rPr>
        <w:t> </w:t>
      </w:r>
      <w:r>
        <w:rPr/>
        <w:t>points</w:t>
      </w:r>
      <w:r>
        <w:rPr>
          <w:spacing w:val="-6"/>
        </w:rPr>
        <w:t> </w:t>
      </w:r>
      <w:r>
        <w:rPr/>
        <w:t>scorers</w:t>
      </w:r>
      <w:r>
        <w:rPr>
          <w:spacing w:val="-6"/>
        </w:rPr>
        <w:t> </w:t>
      </w:r>
      <w:r>
        <w:rPr/>
        <w:t>across</w:t>
      </w:r>
      <w:r>
        <w:rPr>
          <w:spacing w:val="-6"/>
        </w:rPr>
        <w:t> </w:t>
      </w:r>
      <w:r>
        <w:rPr/>
        <w:t>the</w:t>
      </w:r>
      <w:r>
        <w:rPr>
          <w:spacing w:val="-6"/>
        </w:rPr>
        <w:t> </w:t>
      </w:r>
      <w:r>
        <w:rPr/>
        <w:t>season. The</w:t>
      </w:r>
      <w:r>
        <w:rPr>
          <w:spacing w:val="-6"/>
        </w:rPr>
        <w:t> </w:t>
      </w:r>
      <w:r>
        <w:rPr/>
        <w:t>use</w:t>
      </w:r>
      <w:r>
        <w:rPr>
          <w:spacing w:val="-6"/>
        </w:rPr>
        <w:t> </w:t>
      </w:r>
      <w:r>
        <w:rPr/>
        <w:t>of</w:t>
      </w:r>
      <w:r>
        <w:rPr>
          <w:spacing w:val="-6"/>
        </w:rPr>
        <w:t> </w:t>
      </w:r>
      <w:r>
        <w:rPr/>
        <w:t>z-score analysis</w:t>
      </w:r>
      <w:r>
        <w:rPr>
          <w:spacing w:val="-8"/>
        </w:rPr>
        <w:t> </w:t>
      </w:r>
      <w:r>
        <w:rPr/>
        <w:t>has</w:t>
      </w:r>
      <w:r>
        <w:rPr>
          <w:spacing w:val="-8"/>
        </w:rPr>
        <w:t> </w:t>
      </w:r>
      <w:r>
        <w:rPr/>
        <w:t>strong</w:t>
      </w:r>
      <w:r>
        <w:rPr>
          <w:spacing w:val="-8"/>
        </w:rPr>
        <w:t> </w:t>
      </w:r>
      <w:r>
        <w:rPr/>
        <w:t>potential</w:t>
      </w:r>
      <w:r>
        <w:rPr>
          <w:spacing w:val="-8"/>
        </w:rPr>
        <w:t> </w:t>
      </w:r>
      <w:r>
        <w:rPr/>
        <w:t>as</w:t>
      </w:r>
      <w:r>
        <w:rPr>
          <w:spacing w:val="-8"/>
        </w:rPr>
        <w:t> </w:t>
      </w:r>
      <w:r>
        <w:rPr/>
        <w:t>a</w:t>
      </w:r>
      <w:r>
        <w:rPr>
          <w:spacing w:val="-8"/>
        </w:rPr>
        <w:t> </w:t>
      </w:r>
      <w:r>
        <w:rPr/>
        <w:t>method</w:t>
      </w:r>
      <w:r>
        <w:rPr>
          <w:spacing w:val="-8"/>
        </w:rPr>
        <w:t> </w:t>
      </w:r>
      <w:r>
        <w:rPr/>
        <w:t>through</w:t>
      </w:r>
      <w:r>
        <w:rPr>
          <w:spacing w:val="-8"/>
        </w:rPr>
        <w:t> </w:t>
      </w:r>
      <w:r>
        <w:rPr/>
        <w:t>which</w:t>
      </w:r>
      <w:r>
        <w:rPr>
          <w:spacing w:val="-8"/>
        </w:rPr>
        <w:t> </w:t>
      </w:r>
      <w:r>
        <w:rPr/>
        <w:t>the</w:t>
      </w:r>
      <w:r>
        <w:rPr>
          <w:spacing w:val="-8"/>
        </w:rPr>
        <w:t> </w:t>
      </w:r>
      <w:r>
        <w:rPr/>
        <w:t>areas</w:t>
      </w:r>
      <w:r>
        <w:rPr>
          <w:spacing w:val="-8"/>
        </w:rPr>
        <w:t> </w:t>
      </w:r>
      <w:r>
        <w:rPr/>
        <w:t>on</w:t>
      </w:r>
      <w:r>
        <w:rPr>
          <w:spacing w:val="-8"/>
        </w:rPr>
        <w:t> </w:t>
      </w:r>
      <w:r>
        <w:rPr/>
        <w:t>a</w:t>
      </w:r>
      <w:r>
        <w:rPr>
          <w:spacing w:val="-8"/>
        </w:rPr>
        <w:t> </w:t>
      </w:r>
      <w:r>
        <w:rPr/>
        <w:t>pitch</w:t>
      </w:r>
      <w:r>
        <w:rPr>
          <w:spacing w:val="-8"/>
        </w:rPr>
        <w:t> </w:t>
      </w:r>
      <w:r>
        <w:rPr/>
        <w:t>where</w:t>
      </w:r>
      <w:r>
        <w:rPr>
          <w:spacing w:val="-8"/>
        </w:rPr>
        <w:t> </w:t>
      </w:r>
      <w:r>
        <w:rPr/>
        <w:t>an</w:t>
      </w:r>
      <w:r>
        <w:rPr>
          <w:spacing w:val="-8"/>
        </w:rPr>
        <w:t> </w:t>
      </w:r>
      <w:r>
        <w:rPr/>
        <w:t>op- position</w:t>
      </w:r>
      <w:r>
        <w:rPr>
          <w:spacing w:val="-15"/>
        </w:rPr>
        <w:t> </w:t>
      </w:r>
      <w:r>
        <w:rPr/>
        <w:t>team</w:t>
      </w:r>
      <w:r>
        <w:rPr>
          <w:spacing w:val="-15"/>
        </w:rPr>
        <w:t> </w:t>
      </w:r>
      <w:r>
        <w:rPr/>
        <w:t>may</w:t>
      </w:r>
      <w:r>
        <w:rPr>
          <w:spacing w:val="-15"/>
        </w:rPr>
        <w:t> </w:t>
      </w:r>
      <w:r>
        <w:rPr/>
        <w:t>attack</w:t>
      </w:r>
      <w:r>
        <w:rPr>
          <w:spacing w:val="-15"/>
        </w:rPr>
        <w:t> </w:t>
      </w:r>
      <w:r>
        <w:rPr/>
        <w:t>can</w:t>
      </w:r>
      <w:r>
        <w:rPr>
          <w:spacing w:val="-15"/>
        </w:rPr>
        <w:t> </w:t>
      </w:r>
      <w:r>
        <w:rPr/>
        <w:t>be</w:t>
      </w:r>
      <w:r>
        <w:rPr>
          <w:spacing w:val="-15"/>
        </w:rPr>
        <w:t> </w:t>
      </w:r>
      <w:r>
        <w:rPr/>
        <w:t>highlighted</w:t>
      </w:r>
      <w:r>
        <w:rPr>
          <w:spacing w:val="-15"/>
        </w:rPr>
        <w:t> </w:t>
      </w:r>
      <w:r>
        <w:rPr/>
        <w:t>quickly</w:t>
      </w:r>
      <w:r>
        <w:rPr>
          <w:spacing w:val="-15"/>
        </w:rPr>
        <w:t> </w:t>
      </w:r>
      <w:r>
        <w:rPr/>
        <w:t>and</w:t>
      </w:r>
      <w:r>
        <w:rPr>
          <w:spacing w:val="-15"/>
        </w:rPr>
        <w:t> </w:t>
      </w:r>
      <w:r>
        <w:rPr/>
        <w:t>efficiently,</w:t>
      </w:r>
      <w:r>
        <w:rPr>
          <w:spacing w:val="-15"/>
        </w:rPr>
        <w:t> </w:t>
      </w:r>
      <w:r>
        <w:rPr/>
        <w:t>regardless</w:t>
      </w:r>
      <w:r>
        <w:rPr>
          <w:spacing w:val="-15"/>
        </w:rPr>
        <w:t> </w:t>
      </w:r>
      <w:r>
        <w:rPr/>
        <w:t>of</w:t>
      </w:r>
      <w:r>
        <w:rPr>
          <w:spacing w:val="-15"/>
        </w:rPr>
        <w:t> </w:t>
      </w:r>
      <w:r>
        <w:rPr/>
        <w:t>the</w:t>
      </w:r>
      <w:r>
        <w:rPr>
          <w:spacing w:val="-15"/>
        </w:rPr>
        <w:t> </w:t>
      </w:r>
      <w:r>
        <w:rPr/>
        <w:t>EPV zone configuration used, enabling tactical preparations for future matches to be tailored to the opposition.</w:t>
      </w:r>
    </w:p>
    <w:p>
      <w:pPr>
        <w:pStyle w:val="BodyText"/>
        <w:spacing w:line="312" w:lineRule="auto"/>
        <w:ind w:left="610" w:right="389" w:firstLine="351"/>
      </w:pPr>
      <w:r>
        <w:rPr/>
        <w:t>The results of this study were presented to the England Performance Unit, where the work</w:t>
      </w:r>
      <w:r>
        <w:rPr>
          <w:spacing w:val="10"/>
        </w:rPr>
        <w:t> </w:t>
      </w:r>
      <w:r>
        <w:rPr/>
        <w:t>was</w:t>
      </w:r>
      <w:r>
        <w:rPr>
          <w:spacing w:val="10"/>
        </w:rPr>
        <w:t> </w:t>
      </w:r>
      <w:r>
        <w:rPr/>
        <w:t>widely</w:t>
      </w:r>
      <w:r>
        <w:rPr>
          <w:spacing w:val="10"/>
        </w:rPr>
        <w:t> </w:t>
      </w:r>
      <w:r>
        <w:rPr/>
        <w:t>praised</w:t>
      </w:r>
      <w:r>
        <w:rPr>
          <w:spacing w:val="11"/>
        </w:rPr>
        <w:t> </w:t>
      </w:r>
      <w:r>
        <w:rPr/>
        <w:t>as</w:t>
      </w:r>
      <w:r>
        <w:rPr>
          <w:spacing w:val="10"/>
        </w:rPr>
        <w:t> </w:t>
      </w:r>
      <w:r>
        <w:rPr/>
        <w:t>significantly</w:t>
      </w:r>
      <w:r>
        <w:rPr>
          <w:spacing w:val="10"/>
        </w:rPr>
        <w:t> </w:t>
      </w:r>
      <w:r>
        <w:rPr/>
        <w:t>more</w:t>
      </w:r>
      <w:r>
        <w:rPr>
          <w:spacing w:val="11"/>
        </w:rPr>
        <w:t> </w:t>
      </w:r>
      <w:r>
        <w:rPr/>
        <w:t>advanced</w:t>
      </w:r>
      <w:r>
        <w:rPr>
          <w:spacing w:val="10"/>
        </w:rPr>
        <w:t> </w:t>
      </w:r>
      <w:r>
        <w:rPr/>
        <w:t>than</w:t>
      </w:r>
      <w:r>
        <w:rPr>
          <w:spacing w:val="10"/>
        </w:rPr>
        <w:t> </w:t>
      </w:r>
      <w:r>
        <w:rPr/>
        <w:t>anything</w:t>
      </w:r>
      <w:r>
        <w:rPr>
          <w:spacing w:val="10"/>
        </w:rPr>
        <w:t> </w:t>
      </w:r>
      <w:r>
        <w:rPr/>
        <w:t>previously</w:t>
      </w:r>
      <w:r>
        <w:rPr>
          <w:spacing w:val="11"/>
        </w:rPr>
        <w:t> </w:t>
      </w:r>
      <w:r>
        <w:rPr>
          <w:spacing w:val="-4"/>
        </w:rPr>
        <w:t>pro-</w:t>
      </w:r>
    </w:p>
    <w:p>
      <w:pPr>
        <w:spacing w:after="0" w:line="312" w:lineRule="auto"/>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9"/>
        <w:rPr>
          <w:sz w:val="21"/>
        </w:rPr>
      </w:pPr>
    </w:p>
    <w:p>
      <w:pPr>
        <w:pStyle w:val="BodyText"/>
        <w:ind w:left="2889"/>
        <w:rPr>
          <w:sz w:val="20"/>
        </w:rPr>
      </w:pPr>
      <w:r>
        <w:rPr>
          <w:sz w:val="20"/>
        </w:rPr>
        <w:drawing>
          <wp:inline distT="0" distB="0" distL="0" distR="0">
            <wp:extent cx="2535149" cy="3706367"/>
            <wp:effectExtent l="0" t="0" r="0" b="0"/>
            <wp:docPr id="49" name="image25.jpeg"/>
            <wp:cNvGraphicFramePr>
              <a:graphicFrameLocks noChangeAspect="1"/>
            </wp:cNvGraphicFramePr>
            <a:graphic>
              <a:graphicData uri="http://schemas.openxmlformats.org/drawingml/2006/picture">
                <pic:pic>
                  <pic:nvPicPr>
                    <pic:cNvPr id="50" name="image25.jpeg"/>
                    <pic:cNvPicPr/>
                  </pic:nvPicPr>
                  <pic:blipFill>
                    <a:blip r:embed="rId78" cstate="print"/>
                    <a:stretch>
                      <a:fillRect/>
                    </a:stretch>
                  </pic:blipFill>
                  <pic:spPr>
                    <a:xfrm>
                      <a:off x="0" y="0"/>
                      <a:ext cx="2535149" cy="3706367"/>
                    </a:xfrm>
                    <a:prstGeom prst="rect">
                      <a:avLst/>
                    </a:prstGeom>
                  </pic:spPr>
                </pic:pic>
              </a:graphicData>
            </a:graphic>
          </wp:inline>
        </w:drawing>
      </w:r>
      <w:r>
        <w:rPr>
          <w:sz w:val="20"/>
        </w:rPr>
      </w:r>
    </w:p>
    <w:p>
      <w:pPr>
        <w:pStyle w:val="BodyText"/>
        <w:spacing w:before="5"/>
        <w:rPr>
          <w:sz w:val="20"/>
        </w:rPr>
      </w:pPr>
    </w:p>
    <w:p>
      <w:pPr>
        <w:pStyle w:val="BodyText"/>
        <w:spacing w:line="225" w:lineRule="auto" w:before="119"/>
        <w:ind w:left="610" w:right="389"/>
        <w:jc w:val="both"/>
      </w:pPr>
      <w:bookmarkStart w:name="_bookmark89" w:id="159"/>
      <w:bookmarkEnd w:id="159"/>
      <w:r>
        <w:rPr/>
      </w:r>
      <w:r>
        <w:rPr>
          <w:b/>
        </w:rPr>
        <w:t>Figure</w:t>
      </w:r>
      <w:r>
        <w:rPr>
          <w:b/>
          <w:spacing w:val="-15"/>
        </w:rPr>
        <w:t> </w:t>
      </w:r>
      <w:r>
        <w:rPr>
          <w:b/>
        </w:rPr>
        <w:t>3.8:</w:t>
      </w:r>
      <w:r>
        <w:rPr>
          <w:b/>
          <w:spacing w:val="-15"/>
        </w:rPr>
        <w:t> </w:t>
      </w:r>
      <w:r>
        <w:rPr/>
        <w:t>EPV-19</w:t>
      </w:r>
      <w:r>
        <w:rPr>
          <w:spacing w:val="-15"/>
        </w:rPr>
        <w:t> </w:t>
      </w:r>
      <w:r>
        <w:rPr/>
        <w:t>zones</w:t>
      </w:r>
      <w:r>
        <w:rPr>
          <w:spacing w:val="-15"/>
        </w:rPr>
        <w:t> </w:t>
      </w:r>
      <w:r>
        <w:rPr/>
        <w:t>numbered</w:t>
      </w:r>
      <w:r>
        <w:rPr>
          <w:spacing w:val="-15"/>
        </w:rPr>
        <w:t> </w:t>
      </w:r>
      <w:r>
        <w:rPr/>
        <w:t>so</w:t>
      </w:r>
      <w:r>
        <w:rPr>
          <w:spacing w:val="-15"/>
        </w:rPr>
        <w:t> </w:t>
      </w:r>
      <w:r>
        <w:rPr/>
        <w:t>they</w:t>
      </w:r>
      <w:r>
        <w:rPr>
          <w:spacing w:val="-15"/>
        </w:rPr>
        <w:t> </w:t>
      </w:r>
      <w:r>
        <w:rPr/>
        <w:t>can</w:t>
      </w:r>
      <w:r>
        <w:rPr>
          <w:spacing w:val="-15"/>
        </w:rPr>
        <w:t> </w:t>
      </w:r>
      <w:r>
        <w:rPr/>
        <w:t>be</w:t>
      </w:r>
      <w:r>
        <w:rPr>
          <w:spacing w:val="-15"/>
        </w:rPr>
        <w:t> </w:t>
      </w:r>
      <w:r>
        <w:rPr/>
        <w:t>distinguished</w:t>
      </w:r>
      <w:r>
        <w:rPr>
          <w:spacing w:val="-15"/>
        </w:rPr>
        <w:t> </w:t>
      </w:r>
      <w:r>
        <w:rPr/>
        <w:t>from</w:t>
      </w:r>
      <w:r>
        <w:rPr>
          <w:spacing w:val="-15"/>
        </w:rPr>
        <w:t> </w:t>
      </w:r>
      <w:r>
        <w:rPr/>
        <w:t>each</w:t>
      </w:r>
      <w:r>
        <w:rPr>
          <w:spacing w:val="-15"/>
        </w:rPr>
        <w:t> </w:t>
      </w:r>
      <w:r>
        <w:rPr/>
        <w:t>other.</w:t>
      </w:r>
      <w:r>
        <w:rPr>
          <w:spacing w:val="-15"/>
        </w:rPr>
        <w:t> </w:t>
      </w:r>
      <w:r>
        <w:rPr/>
        <w:t>Where numbers are repeated, both sides of the pitch make up the same zone (e.g.</w:t>
      </w:r>
      <w:r>
        <w:rPr>
          <w:spacing w:val="40"/>
        </w:rPr>
        <w:t> </w:t>
      </w:r>
      <w:r>
        <w:rPr/>
        <w:t>zone 2 is comprised of the widest </w:t>
      </w:r>
      <w:r>
        <w:rPr>
          <w:rFonts w:ascii="Lucida Sans Unicode" w:hAnsi="Lucida Sans Unicode"/>
        </w:rPr>
        <w:t>∼</w:t>
      </w:r>
      <w:r>
        <w:rPr>
          <w:rFonts w:ascii="Lucida Sans Unicode" w:hAnsi="Lucida Sans Unicode"/>
          <w:spacing w:val="-1"/>
        </w:rPr>
        <w:t> </w:t>
      </w:r>
      <w:r>
        <w:rPr/>
        <w:t>5m on both sides of pitch, between 10m and 70m from </w:t>
      </w:r>
      <w:r>
        <w:rPr/>
        <w:t>the team’s own try line.</w:t>
      </w:r>
    </w:p>
    <w:p>
      <w:pPr>
        <w:pStyle w:val="BodyText"/>
        <w:rPr>
          <w:sz w:val="28"/>
        </w:rPr>
      </w:pPr>
    </w:p>
    <w:p>
      <w:pPr>
        <w:pStyle w:val="BodyText"/>
        <w:spacing w:before="11"/>
        <w:rPr>
          <w:sz w:val="33"/>
        </w:rPr>
      </w:pPr>
    </w:p>
    <w:p>
      <w:pPr>
        <w:pStyle w:val="BodyText"/>
        <w:spacing w:line="312" w:lineRule="auto"/>
        <w:ind w:left="610" w:right="389"/>
        <w:jc w:val="both"/>
      </w:pPr>
      <w:r>
        <w:rPr/>
        <w:t>posed within the sport.</w:t>
      </w:r>
      <w:r>
        <w:rPr>
          <w:spacing w:val="40"/>
        </w:rPr>
        <w:t> </w:t>
      </w:r>
      <w:r>
        <w:rPr/>
        <w:t>However, reservations were made with respect to its </w:t>
      </w:r>
      <w:r>
        <w:rPr/>
        <w:t>immediate usability within the sport as the location of play-the-balls is heavily dependent on both the actions taken by the team in possession and the strategies of the defensive team.</w:t>
      </w:r>
      <w:r>
        <w:rPr>
          <w:spacing w:val="40"/>
        </w:rPr>
        <w:t> </w:t>
      </w:r>
      <w:r>
        <w:rPr/>
        <w:t>It was</w:t>
      </w:r>
      <w:r>
        <w:rPr>
          <w:spacing w:val="-3"/>
        </w:rPr>
        <w:t> </w:t>
      </w:r>
      <w:r>
        <w:rPr/>
        <w:t>suggested</w:t>
      </w:r>
      <w:r>
        <w:rPr>
          <w:spacing w:val="-3"/>
        </w:rPr>
        <w:t> </w:t>
      </w:r>
      <w:r>
        <w:rPr/>
        <w:t>that</w:t>
      </w:r>
      <w:r>
        <w:rPr>
          <w:spacing w:val="-3"/>
        </w:rPr>
        <w:t> </w:t>
      </w:r>
      <w:r>
        <w:rPr/>
        <w:t>it</w:t>
      </w:r>
      <w:r>
        <w:rPr>
          <w:spacing w:val="-3"/>
        </w:rPr>
        <w:t> </w:t>
      </w:r>
      <w:r>
        <w:rPr/>
        <w:t>could</w:t>
      </w:r>
      <w:r>
        <w:rPr>
          <w:spacing w:val="-3"/>
        </w:rPr>
        <w:t> </w:t>
      </w:r>
      <w:r>
        <w:rPr/>
        <w:t>definitely</w:t>
      </w:r>
      <w:r>
        <w:rPr>
          <w:spacing w:val="-3"/>
        </w:rPr>
        <w:t> </w:t>
      </w:r>
      <w:r>
        <w:rPr/>
        <w:t>be</w:t>
      </w:r>
      <w:r>
        <w:rPr>
          <w:spacing w:val="-3"/>
        </w:rPr>
        <w:t> </w:t>
      </w:r>
      <w:r>
        <w:rPr/>
        <w:t>used</w:t>
      </w:r>
      <w:r>
        <w:rPr>
          <w:spacing w:val="-3"/>
        </w:rPr>
        <w:t> </w:t>
      </w:r>
      <w:r>
        <w:rPr/>
        <w:t>as</w:t>
      </w:r>
      <w:r>
        <w:rPr>
          <w:spacing w:val="-3"/>
        </w:rPr>
        <w:t> </w:t>
      </w:r>
      <w:r>
        <w:rPr/>
        <w:t>a</w:t>
      </w:r>
      <w:r>
        <w:rPr>
          <w:spacing w:val="-3"/>
        </w:rPr>
        <w:t> </w:t>
      </w:r>
      <w:r>
        <w:rPr/>
        <w:t>starting</w:t>
      </w:r>
      <w:r>
        <w:rPr>
          <w:spacing w:val="-3"/>
        </w:rPr>
        <w:t> </w:t>
      </w:r>
      <w:r>
        <w:rPr/>
        <w:t>point</w:t>
      </w:r>
      <w:r>
        <w:rPr>
          <w:spacing w:val="-3"/>
        </w:rPr>
        <w:t> </w:t>
      </w:r>
      <w:r>
        <w:rPr/>
        <w:t>for</w:t>
      </w:r>
      <w:r>
        <w:rPr>
          <w:spacing w:val="-3"/>
        </w:rPr>
        <w:t> </w:t>
      </w:r>
      <w:r>
        <w:rPr/>
        <w:t>further</w:t>
      </w:r>
      <w:r>
        <w:rPr>
          <w:spacing w:val="-3"/>
        </w:rPr>
        <w:t> </w:t>
      </w:r>
      <w:r>
        <w:rPr/>
        <w:t>analysis</w:t>
      </w:r>
      <w:r>
        <w:rPr>
          <w:spacing w:val="-3"/>
        </w:rPr>
        <w:t> </w:t>
      </w:r>
      <w:r>
        <w:rPr/>
        <w:t>or</w:t>
      </w:r>
      <w:r>
        <w:rPr>
          <w:spacing w:val="-3"/>
        </w:rPr>
        <w:t> </w:t>
      </w:r>
      <w:r>
        <w:rPr/>
        <w:t>to confirm</w:t>
      </w:r>
      <w:r>
        <w:rPr>
          <w:spacing w:val="-15"/>
        </w:rPr>
        <w:t> </w:t>
      </w:r>
      <w:r>
        <w:rPr/>
        <w:t>the</w:t>
      </w:r>
      <w:r>
        <w:rPr>
          <w:spacing w:val="-15"/>
        </w:rPr>
        <w:t> </w:t>
      </w:r>
      <w:r>
        <w:rPr/>
        <w:t>anecdotal</w:t>
      </w:r>
      <w:r>
        <w:rPr>
          <w:spacing w:val="-15"/>
        </w:rPr>
        <w:t> </w:t>
      </w:r>
      <w:r>
        <w:rPr/>
        <w:t>observations</w:t>
      </w:r>
      <w:r>
        <w:rPr>
          <w:spacing w:val="-15"/>
        </w:rPr>
        <w:t> </w:t>
      </w:r>
      <w:r>
        <w:rPr/>
        <w:t>of</w:t>
      </w:r>
      <w:r>
        <w:rPr>
          <w:spacing w:val="-15"/>
        </w:rPr>
        <w:t> </w:t>
      </w:r>
      <w:r>
        <w:rPr/>
        <w:t>performance</w:t>
      </w:r>
      <w:r>
        <w:rPr>
          <w:spacing w:val="-15"/>
        </w:rPr>
        <w:t> </w:t>
      </w:r>
      <w:r>
        <w:rPr/>
        <w:t>analysts/coaches.</w:t>
      </w:r>
      <w:r>
        <w:rPr>
          <w:spacing w:val="-10"/>
        </w:rPr>
        <w:t> </w:t>
      </w:r>
      <w:r>
        <w:rPr/>
        <w:t>To</w:t>
      </w:r>
      <w:r>
        <w:rPr>
          <w:spacing w:val="-15"/>
        </w:rPr>
        <w:t> </w:t>
      </w:r>
      <w:r>
        <w:rPr/>
        <w:t>this</w:t>
      </w:r>
      <w:r>
        <w:rPr>
          <w:spacing w:val="-15"/>
        </w:rPr>
        <w:t> </w:t>
      </w:r>
      <w:r>
        <w:rPr/>
        <w:t>end,</w:t>
      </w:r>
      <w:r>
        <w:rPr>
          <w:spacing w:val="-15"/>
        </w:rPr>
        <w:t> </w:t>
      </w:r>
      <w:r>
        <w:rPr/>
        <w:t>the</w:t>
      </w:r>
      <w:r>
        <w:rPr>
          <w:spacing w:val="-15"/>
        </w:rPr>
        <w:t> </w:t>
      </w:r>
      <w:r>
        <w:rPr/>
        <w:t>Per- formance</w:t>
      </w:r>
      <w:r>
        <w:rPr>
          <w:spacing w:val="-2"/>
        </w:rPr>
        <w:t> </w:t>
      </w:r>
      <w:r>
        <w:rPr/>
        <w:t>Unit</w:t>
      </w:r>
      <w:r>
        <w:rPr>
          <w:spacing w:val="-2"/>
        </w:rPr>
        <w:t> </w:t>
      </w:r>
      <w:r>
        <w:rPr/>
        <w:t>validated</w:t>
      </w:r>
      <w:r>
        <w:rPr>
          <w:spacing w:val="-2"/>
        </w:rPr>
        <w:t> </w:t>
      </w:r>
      <w:r>
        <w:rPr/>
        <w:t>the</w:t>
      </w:r>
      <w:r>
        <w:rPr>
          <w:spacing w:val="-2"/>
        </w:rPr>
        <w:t> </w:t>
      </w:r>
      <w:r>
        <w:rPr/>
        <w:t>reliability</w:t>
      </w:r>
      <w:r>
        <w:rPr>
          <w:spacing w:val="-2"/>
        </w:rPr>
        <w:t> </w:t>
      </w:r>
      <w:r>
        <w:rPr/>
        <w:t>of</w:t>
      </w:r>
      <w:r>
        <w:rPr>
          <w:spacing w:val="-3"/>
        </w:rPr>
        <w:t> </w:t>
      </w:r>
      <w:r>
        <w:rPr/>
        <w:t>the</w:t>
      </w:r>
      <w:r>
        <w:rPr>
          <w:spacing w:val="-2"/>
        </w:rPr>
        <w:t> </w:t>
      </w:r>
      <w:r>
        <w:rPr/>
        <w:t>model</w:t>
      </w:r>
      <w:r>
        <w:rPr>
          <w:spacing w:val="-2"/>
        </w:rPr>
        <w:t> </w:t>
      </w:r>
      <w:r>
        <w:rPr/>
        <w:t>by</w:t>
      </w:r>
      <w:r>
        <w:rPr>
          <w:spacing w:val="-2"/>
        </w:rPr>
        <w:t> </w:t>
      </w:r>
      <w:r>
        <w:rPr/>
        <w:t>agreeing</w:t>
      </w:r>
      <w:r>
        <w:rPr>
          <w:spacing w:val="-2"/>
        </w:rPr>
        <w:t> </w:t>
      </w:r>
      <w:r>
        <w:rPr/>
        <w:t>that</w:t>
      </w:r>
      <w:r>
        <w:rPr>
          <w:spacing w:val="-2"/>
        </w:rPr>
        <w:t> </w:t>
      </w:r>
      <w:r>
        <w:rPr/>
        <w:t>the</w:t>
      </w:r>
      <w:r>
        <w:rPr>
          <w:spacing w:val="-2"/>
        </w:rPr>
        <w:t> </w:t>
      </w:r>
      <w:r>
        <w:rPr/>
        <w:t>z-score</w:t>
      </w:r>
      <w:r>
        <w:rPr>
          <w:spacing w:val="-2"/>
        </w:rPr>
        <w:t> </w:t>
      </w:r>
      <w:r>
        <w:rPr/>
        <w:t>analysis supported their anecdotal opinions of teams’ attacking performances in the 2019 Super League season.</w:t>
      </w:r>
    </w:p>
    <w:p>
      <w:pPr>
        <w:pStyle w:val="BodyText"/>
        <w:spacing w:line="312" w:lineRule="auto"/>
        <w:ind w:left="610" w:right="389" w:firstLine="351"/>
        <w:jc w:val="both"/>
      </w:pPr>
      <w:r>
        <w:rPr/>
        <w:t>All</w:t>
      </w:r>
      <w:r>
        <w:rPr>
          <w:spacing w:val="-1"/>
        </w:rPr>
        <w:t> </w:t>
      </w:r>
      <w:r>
        <w:rPr/>
        <w:t>analyses</w:t>
      </w:r>
      <w:r>
        <w:rPr>
          <w:spacing w:val="-1"/>
        </w:rPr>
        <w:t> </w:t>
      </w:r>
      <w:r>
        <w:rPr/>
        <w:t>were</w:t>
      </w:r>
      <w:r>
        <w:rPr>
          <w:spacing w:val="-1"/>
        </w:rPr>
        <w:t> </w:t>
      </w:r>
      <w:r>
        <w:rPr/>
        <w:t>conducted</w:t>
      </w:r>
      <w:r>
        <w:rPr>
          <w:spacing w:val="-1"/>
        </w:rPr>
        <w:t> </w:t>
      </w:r>
      <w:r>
        <w:rPr/>
        <w:t>using</w:t>
      </w:r>
      <w:r>
        <w:rPr>
          <w:spacing w:val="-1"/>
        </w:rPr>
        <w:t> </w:t>
      </w:r>
      <w:r>
        <w:rPr/>
        <w:t>bespoke</w:t>
      </w:r>
      <w:r>
        <w:rPr>
          <w:spacing w:val="-1"/>
        </w:rPr>
        <w:t> </w:t>
      </w:r>
      <w:r>
        <w:rPr/>
        <w:t>Python</w:t>
      </w:r>
      <w:r>
        <w:rPr>
          <w:spacing w:val="-1"/>
        </w:rPr>
        <w:t> </w:t>
      </w:r>
      <w:r>
        <w:rPr/>
        <w:t>scripts</w:t>
      </w:r>
      <w:r>
        <w:rPr>
          <w:spacing w:val="-1"/>
        </w:rPr>
        <w:t> </w:t>
      </w:r>
      <w:r>
        <w:rPr/>
        <w:t>(Python</w:t>
      </w:r>
      <w:r>
        <w:rPr>
          <w:spacing w:val="-1"/>
        </w:rPr>
        <w:t> </w:t>
      </w:r>
      <w:r>
        <w:rPr/>
        <w:t>3.7, Python</w:t>
      </w:r>
      <w:r>
        <w:rPr>
          <w:spacing w:val="-1"/>
        </w:rPr>
        <w:t> </w:t>
      </w:r>
      <w:r>
        <w:rPr/>
        <w:t>Soft- ware</w:t>
      </w:r>
      <w:r>
        <w:rPr>
          <w:spacing w:val="-2"/>
        </w:rPr>
        <w:t> </w:t>
      </w:r>
      <w:r>
        <w:rPr/>
        <w:t>Foundation,</w:t>
      </w:r>
      <w:r>
        <w:rPr>
          <w:spacing w:val="1"/>
        </w:rPr>
        <w:t> </w:t>
      </w:r>
      <w:r>
        <w:rPr/>
        <w:t>Delawere, USA)</w:t>
      </w:r>
      <w:r>
        <w:rPr>
          <w:spacing w:val="-1"/>
        </w:rPr>
        <w:t> </w:t>
      </w:r>
      <w:r>
        <w:rPr/>
        <w:t>or</w:t>
      </w:r>
      <w:r>
        <w:rPr>
          <w:spacing w:val="-2"/>
        </w:rPr>
        <w:t> </w:t>
      </w:r>
      <w:r>
        <w:rPr/>
        <w:t>via</w:t>
      </w:r>
      <w:r>
        <w:rPr>
          <w:spacing w:val="-1"/>
        </w:rPr>
        <w:t> </w:t>
      </w:r>
      <w:r>
        <w:rPr/>
        <w:t>Proc</w:t>
      </w:r>
      <w:r>
        <w:rPr>
          <w:spacing w:val="-1"/>
        </w:rPr>
        <w:t> </w:t>
      </w:r>
      <w:r>
        <w:rPr/>
        <w:t>Mixed</w:t>
      </w:r>
      <w:r>
        <w:rPr>
          <w:spacing w:val="-2"/>
        </w:rPr>
        <w:t> </w:t>
      </w:r>
      <w:r>
        <w:rPr/>
        <w:t>(SAS</w:t>
      </w:r>
      <w:r>
        <w:rPr>
          <w:spacing w:val="-1"/>
        </w:rPr>
        <w:t> </w:t>
      </w:r>
      <w:r>
        <w:rPr/>
        <w:t>University</w:t>
      </w:r>
      <w:r>
        <w:rPr>
          <w:spacing w:val="-1"/>
        </w:rPr>
        <w:t> </w:t>
      </w:r>
      <w:r>
        <w:rPr/>
        <w:t>Edition, SAS</w:t>
      </w:r>
      <w:r>
        <w:rPr>
          <w:spacing w:val="-1"/>
        </w:rPr>
        <w:t> </w:t>
      </w:r>
      <w:r>
        <w:rPr>
          <w:spacing w:val="-5"/>
        </w:rPr>
        <w:t>In-</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
        <w:rPr>
          <w:sz w:val="20"/>
        </w:rPr>
      </w:pPr>
    </w:p>
    <w:p>
      <w:pPr>
        <w:pStyle w:val="BodyText"/>
        <w:ind w:left="890"/>
        <w:rPr>
          <w:sz w:val="20"/>
        </w:rPr>
      </w:pPr>
      <w:r>
        <w:rPr>
          <w:sz w:val="20"/>
        </w:rPr>
        <w:drawing>
          <wp:inline distT="0" distB="0" distL="0" distR="0">
            <wp:extent cx="5035295" cy="5163312"/>
            <wp:effectExtent l="0" t="0" r="0" b="0"/>
            <wp:docPr id="51" name="image26.jpeg"/>
            <wp:cNvGraphicFramePr>
              <a:graphicFrameLocks noChangeAspect="1"/>
            </wp:cNvGraphicFramePr>
            <a:graphic>
              <a:graphicData uri="http://schemas.openxmlformats.org/drawingml/2006/picture">
                <pic:pic>
                  <pic:nvPicPr>
                    <pic:cNvPr id="52" name="image26.jpeg"/>
                    <pic:cNvPicPr/>
                  </pic:nvPicPr>
                  <pic:blipFill>
                    <a:blip r:embed="rId79" cstate="print"/>
                    <a:stretch>
                      <a:fillRect/>
                    </a:stretch>
                  </pic:blipFill>
                  <pic:spPr>
                    <a:xfrm>
                      <a:off x="0" y="0"/>
                      <a:ext cx="5035295" cy="5163312"/>
                    </a:xfrm>
                    <a:prstGeom prst="rect">
                      <a:avLst/>
                    </a:prstGeom>
                  </pic:spPr>
                </pic:pic>
              </a:graphicData>
            </a:graphic>
          </wp:inline>
        </w:drawing>
      </w:r>
      <w:r>
        <w:rPr>
          <w:sz w:val="20"/>
        </w:rPr>
      </w:r>
    </w:p>
    <w:p>
      <w:pPr>
        <w:pStyle w:val="BodyText"/>
        <w:spacing w:before="6"/>
        <w:rPr>
          <w:sz w:val="15"/>
        </w:rPr>
      </w:pPr>
    </w:p>
    <w:p>
      <w:pPr>
        <w:pStyle w:val="BodyText"/>
        <w:spacing w:line="252" w:lineRule="auto" w:before="106"/>
        <w:ind w:left="610" w:right="389"/>
      </w:pPr>
      <w:bookmarkStart w:name="_bookmark90" w:id="160"/>
      <w:bookmarkEnd w:id="160"/>
      <w:r>
        <w:rPr/>
      </w:r>
      <w:r>
        <w:rPr>
          <w:b/>
        </w:rPr>
        <w:t>Figure</w:t>
      </w:r>
      <w:r>
        <w:rPr>
          <w:b/>
          <w:spacing w:val="-5"/>
        </w:rPr>
        <w:t> </w:t>
      </w:r>
      <w:r>
        <w:rPr>
          <w:b/>
        </w:rPr>
        <w:t>3.9: </w:t>
      </w:r>
      <w:r>
        <w:rPr/>
        <w:t>Z-score</w:t>
      </w:r>
      <w:r>
        <w:rPr>
          <w:spacing w:val="-5"/>
        </w:rPr>
        <w:t> </w:t>
      </w:r>
      <w:r>
        <w:rPr/>
        <w:t>analysis</w:t>
      </w:r>
      <w:r>
        <w:rPr>
          <w:spacing w:val="-5"/>
        </w:rPr>
        <w:t> </w:t>
      </w:r>
      <w:r>
        <w:rPr/>
        <w:t>of</w:t>
      </w:r>
      <w:r>
        <w:rPr>
          <w:spacing w:val="-5"/>
        </w:rPr>
        <w:t> </w:t>
      </w:r>
      <w:r>
        <w:rPr/>
        <w:t>teams’</w:t>
      </w:r>
      <w:r>
        <w:rPr>
          <w:spacing w:val="-5"/>
        </w:rPr>
        <w:t> </w:t>
      </w:r>
      <w:r>
        <w:rPr/>
        <w:t>attacking</w:t>
      </w:r>
      <w:r>
        <w:rPr>
          <w:spacing w:val="-5"/>
        </w:rPr>
        <w:t> </w:t>
      </w:r>
      <w:r>
        <w:rPr/>
        <w:t>performances</w:t>
      </w:r>
      <w:r>
        <w:rPr>
          <w:spacing w:val="-5"/>
        </w:rPr>
        <w:t> </w:t>
      </w:r>
      <w:r>
        <w:rPr/>
        <w:t>for</w:t>
      </w:r>
      <w:r>
        <w:rPr>
          <w:spacing w:val="-5"/>
        </w:rPr>
        <w:t> </w:t>
      </w:r>
      <w:r>
        <w:rPr/>
        <w:t>the</w:t>
      </w:r>
      <w:r>
        <w:rPr>
          <w:spacing w:val="-5"/>
        </w:rPr>
        <w:t> </w:t>
      </w:r>
      <w:r>
        <w:rPr/>
        <w:t>whole</w:t>
      </w:r>
      <w:r>
        <w:rPr>
          <w:spacing w:val="-5"/>
        </w:rPr>
        <w:t> </w:t>
      </w:r>
      <w:r>
        <w:rPr/>
        <w:t>2019</w:t>
      </w:r>
      <w:r>
        <w:rPr>
          <w:spacing w:val="-5"/>
        </w:rPr>
        <w:t> </w:t>
      </w:r>
      <w:r>
        <w:rPr/>
        <w:t>Super League season.</w:t>
      </w:r>
      <w:r>
        <w:rPr>
          <w:spacing w:val="40"/>
        </w:rPr>
        <w:t> </w:t>
      </w:r>
      <w:r>
        <w:rPr/>
        <w:t>Numbers 1-19 reflect the zone numbers in Figure</w:t>
      </w:r>
      <w:hyperlink w:history="true" w:anchor="_bookmark89">
        <w:r>
          <w:rPr>
            <w:color w:val="0000FF"/>
          </w:rPr>
          <w:t>3.8</w:t>
        </w:r>
        <w:r>
          <w:rPr/>
          <w:t>.</w:t>
        </w:r>
      </w:hyperlink>
      <w:r>
        <w:rPr>
          <w:spacing w:val="40"/>
        </w:rPr>
        <w:t> </w:t>
      </w:r>
      <w:r>
        <w:rPr/>
        <w:t>A greater value indicates</w:t>
      </w:r>
      <w:r>
        <w:rPr>
          <w:spacing w:val="-6"/>
        </w:rPr>
        <w:t> </w:t>
      </w:r>
      <w:r>
        <w:rPr/>
        <w:t>a</w:t>
      </w:r>
      <w:r>
        <w:rPr>
          <w:spacing w:val="-7"/>
        </w:rPr>
        <w:t> </w:t>
      </w:r>
      <w:r>
        <w:rPr/>
        <w:t>greater</w:t>
      </w:r>
      <w:r>
        <w:rPr>
          <w:spacing w:val="-6"/>
        </w:rPr>
        <w:t> </w:t>
      </w:r>
      <w:r>
        <w:rPr/>
        <w:t>proportion</w:t>
      </w:r>
      <w:r>
        <w:rPr>
          <w:spacing w:val="-7"/>
        </w:rPr>
        <w:t> </w:t>
      </w:r>
      <w:r>
        <w:rPr/>
        <w:t>of</w:t>
      </w:r>
      <w:r>
        <w:rPr>
          <w:spacing w:val="-6"/>
        </w:rPr>
        <w:t> </w:t>
      </w:r>
      <w:r>
        <w:rPr/>
        <w:t>EPV</w:t>
      </w:r>
      <w:r>
        <w:rPr>
          <w:spacing w:val="-6"/>
        </w:rPr>
        <w:t> </w:t>
      </w:r>
      <w:r>
        <w:rPr/>
        <w:t>was</w:t>
      </w:r>
      <w:r>
        <w:rPr>
          <w:spacing w:val="-7"/>
        </w:rPr>
        <w:t> </w:t>
      </w:r>
      <w:r>
        <w:rPr/>
        <w:t>obtained</w:t>
      </w:r>
      <w:r>
        <w:rPr>
          <w:spacing w:val="-6"/>
        </w:rPr>
        <w:t> </w:t>
      </w:r>
      <w:r>
        <w:rPr/>
        <w:t>from</w:t>
      </w:r>
      <w:r>
        <w:rPr>
          <w:spacing w:val="-6"/>
        </w:rPr>
        <w:t> </w:t>
      </w:r>
      <w:r>
        <w:rPr/>
        <w:t>the</w:t>
      </w:r>
      <w:r>
        <w:rPr>
          <w:spacing w:val="-7"/>
        </w:rPr>
        <w:t> </w:t>
      </w:r>
      <w:r>
        <w:rPr/>
        <w:t>zone</w:t>
      </w:r>
      <w:r>
        <w:rPr>
          <w:spacing w:val="-6"/>
        </w:rPr>
        <w:t> </w:t>
      </w:r>
      <w:r>
        <w:rPr/>
        <w:t>than</w:t>
      </w:r>
      <w:r>
        <w:rPr>
          <w:spacing w:val="-6"/>
        </w:rPr>
        <w:t> </w:t>
      </w:r>
      <w:r>
        <w:rPr/>
        <w:t>the</w:t>
      </w:r>
      <w:r>
        <w:rPr>
          <w:spacing w:val="-7"/>
        </w:rPr>
        <w:t> </w:t>
      </w:r>
      <w:r>
        <w:rPr/>
        <w:t>average</w:t>
      </w:r>
      <w:r>
        <w:rPr>
          <w:spacing w:val="-6"/>
        </w:rPr>
        <w:t> </w:t>
      </w:r>
      <w:r>
        <w:rPr/>
        <w:t>Super League 2019 team. Distances are measured from the teams own try line.</w:t>
      </w:r>
    </w:p>
    <w:p>
      <w:pPr>
        <w:pStyle w:val="BodyText"/>
        <w:rPr>
          <w:sz w:val="28"/>
        </w:rPr>
      </w:pPr>
    </w:p>
    <w:p>
      <w:pPr>
        <w:pStyle w:val="BodyText"/>
        <w:spacing w:before="1"/>
        <w:rPr>
          <w:sz w:val="32"/>
        </w:rPr>
      </w:pPr>
    </w:p>
    <w:p>
      <w:pPr>
        <w:pStyle w:val="BodyText"/>
        <w:spacing w:line="312" w:lineRule="auto"/>
        <w:ind w:left="610" w:right="389"/>
        <w:jc w:val="both"/>
      </w:pPr>
      <w:r>
        <w:rPr/>
        <w:t>stitute, Cary, NC). The analyses were completed using a HP-Pavilion Laptop with </w:t>
      </w:r>
      <w:r>
        <w:rPr/>
        <w:t>an Intel Core i5-8250U 1.60 GHz processor and 8GB RAM. The Monte Carlo every visit algorithm used for the calculation of EPV-308 state values was timed at 17.24s.</w:t>
      </w:r>
    </w:p>
    <w:p>
      <w:pPr>
        <w:spacing w:after="0" w:line="312" w:lineRule="auto"/>
        <w:jc w:val="both"/>
        <w:sectPr>
          <w:pgSz w:w="11910" w:h="16840"/>
          <w:pgMar w:header="1961" w:footer="1428" w:top="2280" w:bottom="1620" w:left="1680" w:right="720"/>
        </w:sectPr>
      </w:pPr>
    </w:p>
    <w:p>
      <w:pPr>
        <w:pStyle w:val="BodyText"/>
        <w:rPr>
          <w:sz w:val="20"/>
        </w:rPr>
      </w:pPr>
    </w:p>
    <w:p>
      <w:pPr>
        <w:pStyle w:val="Heading2"/>
        <w:numPr>
          <w:ilvl w:val="1"/>
          <w:numId w:val="18"/>
        </w:numPr>
        <w:tabs>
          <w:tab w:pos="1385" w:val="left" w:leader="none"/>
          <w:tab w:pos="1386" w:val="left" w:leader="none"/>
        </w:tabs>
        <w:spacing w:line="240" w:lineRule="auto" w:before="248" w:after="0"/>
        <w:ind w:left="1385" w:right="0" w:hanging="776"/>
        <w:jc w:val="left"/>
      </w:pPr>
      <w:bookmarkStart w:name="_TOC_250033" w:id="161"/>
      <w:bookmarkStart w:name="3.4 Summary" w:id="162"/>
      <w:r>
        <w:rPr>
          <w:b w:val="0"/>
        </w:rPr>
      </w:r>
      <w:bookmarkStart w:name="_bookmark91" w:id="163"/>
      <w:bookmarkEnd w:id="161"/>
      <w:r>
        <w:rPr>
          <w:spacing w:val="-2"/>
        </w:rPr>
        <w:t>Summary</w:t>
      </w:r>
    </w:p>
    <w:p>
      <w:pPr>
        <w:pStyle w:val="BodyText"/>
        <w:spacing w:line="312" w:lineRule="auto" w:before="309"/>
        <w:ind w:left="610" w:right="389"/>
      </w:pPr>
      <w:r>
        <w:rPr/>
        <w:t>This study applied, adapted and extended the work of</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in rugby</w:t>
      </w:r>
      <w:r>
        <w:rPr>
          <w:spacing w:val="80"/>
        </w:rPr>
        <w:t> </w:t>
      </w:r>
      <w:r>
        <w:rPr/>
        <w:t>league and</w:t>
      </w:r>
      <w:hyperlink w:history="true" w:anchor="_bookmark294">
        <w:r>
          <w:rPr>
            <w:color w:val="FF0000"/>
          </w:rPr>
          <w:t>Singh</w:t>
        </w:r>
        <w:r>
          <w:rPr/>
          <w:t>(</w:t>
        </w:r>
      </w:hyperlink>
      <w:r>
        <w:rPr>
          <w:color w:val="FF0000"/>
        </w:rPr>
        <w:t>n.d.</w:t>
      </w:r>
      <w:hyperlink w:history="true" w:anchor="_bookmark294">
        <w:r>
          <w:rPr/>
          <w:t>)</w:t>
        </w:r>
      </w:hyperlink>
      <w:r>
        <w:rPr>
          <w:spacing w:val="40"/>
        </w:rPr>
        <w:t> </w:t>
      </w:r>
      <w:r>
        <w:rPr/>
        <w:t>in football.</w:t>
      </w:r>
      <w:r>
        <w:rPr>
          <w:spacing w:val="40"/>
        </w:rPr>
        <w:t> </w:t>
      </w:r>
      <w:r>
        <w:rPr/>
        <w:t>Two EPV models with fixed zone sizes (EPV-308 and EPV-77) were produced using an MRP similar to a previous study (</w:t>
      </w:r>
      <w:hyperlink w:history="true" w:anchor="_bookmark263">
        <w:r>
          <w:rPr>
            <w:color w:val="FF0000"/>
          </w:rPr>
          <w:t>Kempton et al.</w:t>
        </w:r>
      </w:hyperlink>
      <w:r>
        <w:rPr/>
        <w:t>, </w:t>
      </w:r>
      <w:hyperlink w:history="true" w:anchor="_bookmark263">
        <w:r>
          <w:rPr>
            <w:color w:val="FF0000"/>
          </w:rPr>
          <w:t>2016</w:t>
        </w:r>
      </w:hyperlink>
      <w:r>
        <w:rPr/>
        <w:t>). In</w:t>
      </w:r>
      <w:r>
        <w:rPr>
          <w:spacing w:val="-10"/>
        </w:rPr>
        <w:t> </w:t>
      </w:r>
      <w:r>
        <w:rPr/>
        <w:t>contrast</w:t>
      </w:r>
      <w:r>
        <w:rPr>
          <w:spacing w:val="-10"/>
        </w:rPr>
        <w:t> </w:t>
      </w:r>
      <w:r>
        <w:rPr/>
        <w:t>to</w:t>
      </w:r>
      <w:r>
        <w:rPr>
          <w:spacing w:val="-10"/>
        </w:rPr>
        <w:t> </w:t>
      </w:r>
      <w:r>
        <w:rPr/>
        <w:t>previous</w:t>
      </w:r>
      <w:r>
        <w:rPr>
          <w:spacing w:val="-10"/>
        </w:rPr>
        <w:t> </w:t>
      </w:r>
      <w:r>
        <w:rPr/>
        <w:t>studies</w:t>
      </w:r>
      <w:r>
        <w:rPr>
          <w:spacing w:val="-10"/>
        </w:rPr>
        <w:t> </w:t>
      </w:r>
      <w:r>
        <w:rPr/>
        <w:t>using</w:t>
      </w:r>
      <w:r>
        <w:rPr>
          <w:spacing w:val="-10"/>
        </w:rPr>
        <w:t> </w:t>
      </w:r>
      <w:r>
        <w:rPr/>
        <w:t>Markovian</w:t>
      </w:r>
      <w:r>
        <w:rPr>
          <w:spacing w:val="-10"/>
        </w:rPr>
        <w:t> </w:t>
      </w:r>
      <w:r>
        <w:rPr/>
        <w:t>approaches</w:t>
      </w:r>
      <w:r>
        <w:rPr>
          <w:spacing w:val="-10"/>
        </w:rPr>
        <w:t> </w:t>
      </w:r>
      <w:r>
        <w:rPr/>
        <w:t>(</w:t>
      </w:r>
      <w:hyperlink w:history="true" w:anchor="_bookmark263">
        <w:r>
          <w:rPr>
            <w:color w:val="FF0000"/>
          </w:rPr>
          <w:t>Kempton</w:t>
        </w:r>
        <w:r>
          <w:rPr>
            <w:color w:val="FF0000"/>
            <w:spacing w:val="-10"/>
          </w:rPr>
          <w:t> </w:t>
        </w:r>
        <w:r>
          <w:rPr>
            <w:color w:val="FF0000"/>
          </w:rPr>
          <w:t>et</w:t>
        </w:r>
        <w:r>
          <w:rPr>
            <w:color w:val="FF0000"/>
            <w:spacing w:val="-10"/>
          </w:rPr>
          <w:t> </w:t>
        </w:r>
        <w:r>
          <w:rPr>
            <w:color w:val="FF0000"/>
          </w:rPr>
          <w:t>al.</w:t>
        </w:r>
      </w:hyperlink>
      <w:r>
        <w:rPr/>
        <w:t>,</w:t>
      </w:r>
      <w:hyperlink w:history="true" w:anchor="_bookmark263">
        <w:r>
          <w:rPr>
            <w:color w:val="FF0000"/>
          </w:rPr>
          <w:t>2016</w:t>
        </w:r>
        <w:r>
          <w:rPr/>
          <w:t>;</w:t>
        </w:r>
      </w:hyperlink>
      <w:r>
        <w:rPr/>
        <w:t> </w:t>
      </w:r>
      <w:hyperlink w:history="true" w:anchor="_bookmark294">
        <w:r>
          <w:rPr>
            <w:color w:val="FF0000"/>
          </w:rPr>
          <w:t>Singh</w:t>
        </w:r>
      </w:hyperlink>
      <w:r>
        <w:rPr/>
        <w:t>,</w:t>
      </w:r>
      <w:hyperlink w:history="true" w:anchor="_bookmark294">
        <w:r>
          <w:rPr>
            <w:color w:val="FF0000"/>
          </w:rPr>
          <w:t>n.d.</w:t>
        </w:r>
      </w:hyperlink>
      <w:r>
        <w:rPr/>
        <w:t>), four further variations of the EPV model (EPV-37, EPV-19, EPV-13, EPV- 9) were produced using statistical analysis of the match EPV produced by columns and rows</w:t>
      </w:r>
      <w:r>
        <w:rPr>
          <w:spacing w:val="-11"/>
        </w:rPr>
        <w:t> </w:t>
      </w:r>
      <w:r>
        <w:rPr/>
        <w:t>of</w:t>
      </w:r>
      <w:r>
        <w:rPr>
          <w:spacing w:val="-11"/>
        </w:rPr>
        <w:t> </w:t>
      </w:r>
      <w:r>
        <w:rPr/>
        <w:t>zones</w:t>
      </w:r>
      <w:r>
        <w:rPr>
          <w:spacing w:val="-11"/>
        </w:rPr>
        <w:t> </w:t>
      </w:r>
      <w:r>
        <w:rPr/>
        <w:t>from</w:t>
      </w:r>
      <w:r>
        <w:rPr>
          <w:spacing w:val="-11"/>
        </w:rPr>
        <w:t> </w:t>
      </w:r>
      <w:r>
        <w:rPr/>
        <w:t>the</w:t>
      </w:r>
      <w:r>
        <w:rPr>
          <w:spacing w:val="-11"/>
        </w:rPr>
        <w:t> </w:t>
      </w:r>
      <w:r>
        <w:rPr/>
        <w:t>EPV-308. Empirical</w:t>
      </w:r>
      <w:r>
        <w:rPr>
          <w:spacing w:val="-11"/>
        </w:rPr>
        <w:t> </w:t>
      </w:r>
      <w:r>
        <w:rPr/>
        <w:t>evaluation</w:t>
      </w:r>
      <w:r>
        <w:rPr>
          <w:spacing w:val="-11"/>
        </w:rPr>
        <w:t> </w:t>
      </w:r>
      <w:r>
        <w:rPr/>
        <w:t>of</w:t>
      </w:r>
      <w:r>
        <w:rPr>
          <w:spacing w:val="-11"/>
        </w:rPr>
        <w:t> </w:t>
      </w:r>
      <w:r>
        <w:rPr/>
        <w:t>all</w:t>
      </w:r>
      <w:r>
        <w:rPr>
          <w:spacing w:val="-11"/>
        </w:rPr>
        <w:t> </w:t>
      </w:r>
      <w:r>
        <w:rPr/>
        <w:t>six</w:t>
      </w:r>
      <w:r>
        <w:rPr>
          <w:spacing w:val="-11"/>
        </w:rPr>
        <w:t> </w:t>
      </w:r>
      <w:r>
        <w:rPr/>
        <w:t>models,</w:t>
      </w:r>
      <w:r>
        <w:rPr>
          <w:spacing w:val="-11"/>
        </w:rPr>
        <w:t> </w:t>
      </w:r>
      <w:r>
        <w:rPr/>
        <w:t>comparing</w:t>
      </w:r>
      <w:r>
        <w:rPr>
          <w:spacing w:val="-11"/>
        </w:rPr>
        <w:t> </w:t>
      </w:r>
      <w:r>
        <w:rPr/>
        <w:t>their </w:t>
      </w:r>
      <w:r>
        <w:rPr>
          <w:spacing w:val="-2"/>
        </w:rPr>
        <w:t>ability</w:t>
      </w:r>
      <w:r>
        <w:rPr>
          <w:spacing w:val="-8"/>
        </w:rPr>
        <w:t> </w:t>
      </w:r>
      <w:r>
        <w:rPr>
          <w:spacing w:val="-2"/>
        </w:rPr>
        <w:t>to</w:t>
      </w:r>
      <w:r>
        <w:rPr>
          <w:spacing w:val="-8"/>
        </w:rPr>
        <w:t> </w:t>
      </w:r>
      <w:r>
        <w:rPr>
          <w:spacing w:val="-2"/>
        </w:rPr>
        <w:t>reproduce</w:t>
      </w:r>
      <w:r>
        <w:rPr>
          <w:spacing w:val="-8"/>
        </w:rPr>
        <w:t> </w:t>
      </w:r>
      <w:r>
        <w:rPr>
          <w:spacing w:val="-2"/>
        </w:rPr>
        <w:t>future</w:t>
      </w:r>
      <w:r>
        <w:rPr>
          <w:spacing w:val="-8"/>
        </w:rPr>
        <w:t> </w:t>
      </w:r>
      <w:r>
        <w:rPr>
          <w:spacing w:val="-2"/>
        </w:rPr>
        <w:t>team</w:t>
      </w:r>
      <w:r>
        <w:rPr>
          <w:spacing w:val="-8"/>
        </w:rPr>
        <w:t> </w:t>
      </w:r>
      <w:r>
        <w:rPr>
          <w:spacing w:val="-2"/>
        </w:rPr>
        <w:t>attacking</w:t>
      </w:r>
      <w:r>
        <w:rPr>
          <w:spacing w:val="-8"/>
        </w:rPr>
        <w:t> </w:t>
      </w:r>
      <w:r>
        <w:rPr>
          <w:spacing w:val="-2"/>
        </w:rPr>
        <w:t>performances,</w:t>
      </w:r>
      <w:r>
        <w:rPr>
          <w:spacing w:val="-5"/>
        </w:rPr>
        <w:t> </w:t>
      </w:r>
      <w:r>
        <w:rPr>
          <w:spacing w:val="-2"/>
        </w:rPr>
        <w:t>identified</w:t>
      </w:r>
      <w:r>
        <w:rPr>
          <w:spacing w:val="-8"/>
        </w:rPr>
        <w:t> </w:t>
      </w:r>
      <w:r>
        <w:rPr>
          <w:spacing w:val="-2"/>
        </w:rPr>
        <w:t>the</w:t>
      </w:r>
      <w:r>
        <w:rPr>
          <w:spacing w:val="-8"/>
        </w:rPr>
        <w:t> </w:t>
      </w:r>
      <w:r>
        <w:rPr>
          <w:spacing w:val="-2"/>
        </w:rPr>
        <w:t>EPV-19</w:t>
      </w:r>
      <w:r>
        <w:rPr>
          <w:spacing w:val="-8"/>
        </w:rPr>
        <w:t> </w:t>
      </w:r>
      <w:r>
        <w:rPr>
          <w:spacing w:val="-2"/>
        </w:rPr>
        <w:t>as</w:t>
      </w:r>
      <w:r>
        <w:rPr>
          <w:spacing w:val="-8"/>
        </w:rPr>
        <w:t> </w:t>
      </w:r>
      <w:r>
        <w:rPr>
          <w:spacing w:val="-2"/>
        </w:rPr>
        <w:t>the</w:t>
      </w:r>
      <w:r>
        <w:rPr>
          <w:spacing w:val="-8"/>
        </w:rPr>
        <w:t> </w:t>
      </w:r>
      <w:r>
        <w:rPr>
          <w:spacing w:val="-2"/>
        </w:rPr>
        <w:t>most </w:t>
      </w:r>
      <w:r>
        <w:rPr/>
        <w:t>suitable</w:t>
      </w:r>
      <w:r>
        <w:rPr>
          <w:spacing w:val="-15"/>
        </w:rPr>
        <w:t> </w:t>
      </w:r>
      <w:r>
        <w:rPr/>
        <w:t>model</w:t>
      </w:r>
      <w:r>
        <w:rPr>
          <w:spacing w:val="-15"/>
        </w:rPr>
        <w:t> </w:t>
      </w:r>
      <w:r>
        <w:rPr/>
        <w:t>for</w:t>
      </w:r>
      <w:r>
        <w:rPr>
          <w:spacing w:val="-15"/>
        </w:rPr>
        <w:t> </w:t>
      </w:r>
      <w:r>
        <w:rPr/>
        <w:t>use</w:t>
      </w:r>
      <w:r>
        <w:rPr>
          <w:spacing w:val="-15"/>
        </w:rPr>
        <w:t> </w:t>
      </w:r>
      <w:r>
        <w:rPr/>
        <w:t>within</w:t>
      </w:r>
      <w:r>
        <w:rPr>
          <w:spacing w:val="-15"/>
        </w:rPr>
        <w:t> </w:t>
      </w:r>
      <w:r>
        <w:rPr/>
        <w:t>rugby</w:t>
      </w:r>
      <w:r>
        <w:rPr>
          <w:spacing w:val="-15"/>
        </w:rPr>
        <w:t> </w:t>
      </w:r>
      <w:r>
        <w:rPr/>
        <w:t>league.</w:t>
      </w:r>
      <w:r>
        <w:rPr>
          <w:spacing w:val="-14"/>
        </w:rPr>
        <w:t> </w:t>
      </w:r>
      <w:r>
        <w:rPr/>
        <w:t>A</w:t>
      </w:r>
      <w:r>
        <w:rPr>
          <w:spacing w:val="-15"/>
        </w:rPr>
        <w:t> </w:t>
      </w:r>
      <w:r>
        <w:rPr/>
        <w:t>novel</w:t>
      </w:r>
      <w:r>
        <w:rPr>
          <w:spacing w:val="-15"/>
        </w:rPr>
        <w:t> </w:t>
      </w:r>
      <w:r>
        <w:rPr/>
        <w:t>method</w:t>
      </w:r>
      <w:r>
        <w:rPr>
          <w:spacing w:val="-15"/>
        </w:rPr>
        <w:t> </w:t>
      </w:r>
      <w:r>
        <w:rPr/>
        <w:t>of</w:t>
      </w:r>
      <w:r>
        <w:rPr>
          <w:spacing w:val="-15"/>
        </w:rPr>
        <w:t> </w:t>
      </w:r>
      <w:r>
        <w:rPr/>
        <w:t>quantifying</w:t>
      </w:r>
      <w:r>
        <w:rPr>
          <w:spacing w:val="-15"/>
        </w:rPr>
        <w:t> </w:t>
      </w:r>
      <w:r>
        <w:rPr/>
        <w:t>team</w:t>
      </w:r>
      <w:r>
        <w:rPr>
          <w:spacing w:val="-15"/>
        </w:rPr>
        <w:t> </w:t>
      </w:r>
      <w:r>
        <w:rPr/>
        <w:t>attacking performances</w:t>
      </w:r>
      <w:r>
        <w:rPr>
          <w:spacing w:val="-2"/>
        </w:rPr>
        <w:t> </w:t>
      </w:r>
      <w:r>
        <w:rPr/>
        <w:t>was</w:t>
      </w:r>
      <w:r>
        <w:rPr>
          <w:spacing w:val="-2"/>
        </w:rPr>
        <w:t> </w:t>
      </w:r>
      <w:r>
        <w:rPr/>
        <w:t>proposed.</w:t>
      </w:r>
      <w:r>
        <w:rPr>
          <w:spacing w:val="20"/>
        </w:rPr>
        <w:t> </w:t>
      </w:r>
      <w:r>
        <w:rPr/>
        <w:t>It</w:t>
      </w:r>
      <w:r>
        <w:rPr>
          <w:spacing w:val="-2"/>
        </w:rPr>
        <w:t> </w:t>
      </w:r>
      <w:r>
        <w:rPr/>
        <w:t>was</w:t>
      </w:r>
      <w:r>
        <w:rPr>
          <w:spacing w:val="-2"/>
        </w:rPr>
        <w:t> </w:t>
      </w:r>
      <w:r>
        <w:rPr/>
        <w:t>applied</w:t>
      </w:r>
      <w:r>
        <w:rPr>
          <w:spacing w:val="-2"/>
        </w:rPr>
        <w:t> </w:t>
      </w:r>
      <w:r>
        <w:rPr/>
        <w:t>to</w:t>
      </w:r>
      <w:r>
        <w:rPr>
          <w:spacing w:val="-2"/>
        </w:rPr>
        <w:t> </w:t>
      </w:r>
      <w:r>
        <w:rPr/>
        <w:t>the</w:t>
      </w:r>
      <w:r>
        <w:rPr>
          <w:spacing w:val="-2"/>
        </w:rPr>
        <w:t> </w:t>
      </w:r>
      <w:r>
        <w:rPr/>
        <w:t>empirically</w:t>
      </w:r>
      <w:r>
        <w:rPr>
          <w:spacing w:val="-2"/>
        </w:rPr>
        <w:t> </w:t>
      </w:r>
      <w:r>
        <w:rPr/>
        <w:t>selected</w:t>
      </w:r>
      <w:r>
        <w:rPr>
          <w:spacing w:val="-2"/>
        </w:rPr>
        <w:t> </w:t>
      </w:r>
      <w:r>
        <w:rPr/>
        <w:t>EPV-19</w:t>
      </w:r>
      <w:r>
        <w:rPr>
          <w:spacing w:val="-2"/>
        </w:rPr>
        <w:t> </w:t>
      </w:r>
      <w:r>
        <w:rPr/>
        <w:t>model</w:t>
      </w:r>
      <w:r>
        <w:rPr>
          <w:spacing w:val="-2"/>
        </w:rPr>
        <w:t> </w:t>
      </w:r>
      <w:r>
        <w:rPr/>
        <w:t>to understand its validity, but could have been applied to any of the EPV models shown in this</w:t>
      </w:r>
      <w:r>
        <w:rPr>
          <w:spacing w:val="-5"/>
        </w:rPr>
        <w:t> </w:t>
      </w:r>
      <w:r>
        <w:rPr/>
        <w:t>chapter. Practitioners</w:t>
      </w:r>
      <w:r>
        <w:rPr>
          <w:spacing w:val="-5"/>
        </w:rPr>
        <w:t> </w:t>
      </w:r>
      <w:r>
        <w:rPr/>
        <w:t>can</w:t>
      </w:r>
      <w:r>
        <w:rPr>
          <w:spacing w:val="-5"/>
        </w:rPr>
        <w:t> </w:t>
      </w:r>
      <w:r>
        <w:rPr/>
        <w:t>use</w:t>
      </w:r>
      <w:r>
        <w:rPr>
          <w:spacing w:val="-5"/>
        </w:rPr>
        <w:t> </w:t>
      </w:r>
      <w:r>
        <w:rPr/>
        <w:t>the</w:t>
      </w:r>
      <w:r>
        <w:rPr>
          <w:spacing w:val="-5"/>
        </w:rPr>
        <w:t> </w:t>
      </w:r>
      <w:r>
        <w:rPr/>
        <w:t>model</w:t>
      </w:r>
      <w:r>
        <w:rPr>
          <w:spacing w:val="-5"/>
        </w:rPr>
        <w:t> </w:t>
      </w:r>
      <w:r>
        <w:rPr/>
        <w:t>to</w:t>
      </w:r>
      <w:r>
        <w:rPr>
          <w:spacing w:val="-5"/>
        </w:rPr>
        <w:t> </w:t>
      </w:r>
      <w:r>
        <w:rPr/>
        <w:t>produce</w:t>
      </w:r>
      <w:r>
        <w:rPr>
          <w:spacing w:val="-5"/>
        </w:rPr>
        <w:t> </w:t>
      </w:r>
      <w:r>
        <w:rPr/>
        <w:t>a</w:t>
      </w:r>
      <w:r>
        <w:rPr>
          <w:spacing w:val="-5"/>
        </w:rPr>
        <w:t> </w:t>
      </w:r>
      <w:r>
        <w:rPr/>
        <w:t>high</w:t>
      </w:r>
      <w:r>
        <w:rPr>
          <w:spacing w:val="-5"/>
        </w:rPr>
        <w:t> </w:t>
      </w:r>
      <w:r>
        <w:rPr/>
        <w:t>level</w:t>
      </w:r>
      <w:r>
        <w:rPr>
          <w:spacing w:val="-5"/>
        </w:rPr>
        <w:t> </w:t>
      </w:r>
      <w:r>
        <w:rPr/>
        <w:t>understanding</w:t>
      </w:r>
      <w:r>
        <w:rPr>
          <w:spacing w:val="-5"/>
        </w:rPr>
        <w:t> </w:t>
      </w:r>
      <w:r>
        <w:rPr/>
        <w:t>of</w:t>
      </w:r>
      <w:r>
        <w:rPr>
          <w:spacing w:val="-5"/>
        </w:rPr>
        <w:t> </w:t>
      </w:r>
      <w:r>
        <w:rPr/>
        <w:t>the areas on the pitch that different teams generate value.</w:t>
      </w:r>
      <w:r>
        <w:rPr>
          <w:spacing w:val="40"/>
        </w:rPr>
        <w:t> </w:t>
      </w:r>
      <w:r>
        <w:rPr/>
        <w:t>The results indicate that only six previous matches need to be considered to provide this understanding.</w:t>
      </w:r>
    </w:p>
    <w:p>
      <w:pPr>
        <w:pStyle w:val="BodyText"/>
        <w:spacing w:line="312" w:lineRule="auto"/>
        <w:ind w:left="610" w:right="389" w:firstLine="351"/>
        <w:jc w:val="both"/>
      </w:pPr>
      <w:r>
        <w:rPr/>
        <w:t>To validate the work, the results were published in PLOS One and presented to the England Rugby League Performance Unit.</w:t>
      </w:r>
      <w:r>
        <w:rPr>
          <w:spacing w:val="24"/>
        </w:rPr>
        <w:t> </w:t>
      </w:r>
      <w:r>
        <w:rPr/>
        <w:t>The England Performance Unit coaches </w:t>
      </w:r>
      <w:r>
        <w:rPr/>
        <w:t>pro- vided partial validation for the reliability of the model by agreeing that it provided an accurate representation of the attacking performances of different teams across the 2019 Super</w:t>
      </w:r>
      <w:r>
        <w:rPr>
          <w:spacing w:val="-11"/>
        </w:rPr>
        <w:t> </w:t>
      </w:r>
      <w:r>
        <w:rPr/>
        <w:t>League</w:t>
      </w:r>
      <w:r>
        <w:rPr>
          <w:spacing w:val="-11"/>
        </w:rPr>
        <w:t> </w:t>
      </w:r>
      <w:r>
        <w:rPr/>
        <w:t>season. However,</w:t>
      </w:r>
      <w:r>
        <w:rPr>
          <w:spacing w:val="-10"/>
        </w:rPr>
        <w:t> </w:t>
      </w:r>
      <w:r>
        <w:rPr/>
        <w:t>they</w:t>
      </w:r>
      <w:r>
        <w:rPr>
          <w:spacing w:val="-11"/>
        </w:rPr>
        <w:t> </w:t>
      </w:r>
      <w:r>
        <w:rPr/>
        <w:t>questioned</w:t>
      </w:r>
      <w:r>
        <w:rPr>
          <w:spacing w:val="-11"/>
        </w:rPr>
        <w:t> </w:t>
      </w:r>
      <w:r>
        <w:rPr/>
        <w:t>the</w:t>
      </w:r>
      <w:r>
        <w:rPr>
          <w:spacing w:val="-11"/>
        </w:rPr>
        <w:t> </w:t>
      </w:r>
      <w:r>
        <w:rPr/>
        <w:t>long-term</w:t>
      </w:r>
      <w:r>
        <w:rPr>
          <w:spacing w:val="-11"/>
        </w:rPr>
        <w:t> </w:t>
      </w:r>
      <w:r>
        <w:rPr/>
        <w:t>usability</w:t>
      </w:r>
      <w:r>
        <w:rPr>
          <w:spacing w:val="-11"/>
        </w:rPr>
        <w:t> </w:t>
      </w:r>
      <w:r>
        <w:rPr/>
        <w:t>of</w:t>
      </w:r>
      <w:r>
        <w:rPr>
          <w:spacing w:val="-11"/>
        </w:rPr>
        <w:t> </w:t>
      </w:r>
      <w:r>
        <w:rPr/>
        <w:t>the</w:t>
      </w:r>
      <w:r>
        <w:rPr>
          <w:spacing w:val="-11"/>
        </w:rPr>
        <w:t> </w:t>
      </w:r>
      <w:r>
        <w:rPr/>
        <w:t>model</w:t>
      </w:r>
      <w:r>
        <w:rPr>
          <w:spacing w:val="-11"/>
        </w:rPr>
        <w:t> </w:t>
      </w:r>
      <w:r>
        <w:rPr/>
        <w:t>due to</w:t>
      </w:r>
      <w:r>
        <w:rPr>
          <w:spacing w:val="-8"/>
        </w:rPr>
        <w:t> </w:t>
      </w:r>
      <w:r>
        <w:rPr/>
        <w:t>its</w:t>
      </w:r>
      <w:r>
        <w:rPr>
          <w:spacing w:val="-8"/>
        </w:rPr>
        <w:t> </w:t>
      </w:r>
      <w:r>
        <w:rPr/>
        <w:t>use</w:t>
      </w:r>
      <w:r>
        <w:rPr>
          <w:spacing w:val="-8"/>
        </w:rPr>
        <w:t> </w:t>
      </w:r>
      <w:r>
        <w:rPr/>
        <w:t>of</w:t>
      </w:r>
      <w:r>
        <w:rPr>
          <w:spacing w:val="-8"/>
        </w:rPr>
        <w:t> </w:t>
      </w:r>
      <w:r>
        <w:rPr/>
        <w:t>play</w:t>
      </w:r>
      <w:r>
        <w:rPr>
          <w:spacing w:val="-8"/>
        </w:rPr>
        <w:t> </w:t>
      </w:r>
      <w:r>
        <w:rPr/>
        <w:t>by</w:t>
      </w:r>
      <w:r>
        <w:rPr>
          <w:spacing w:val="-8"/>
        </w:rPr>
        <w:t> </w:t>
      </w:r>
      <w:r>
        <w:rPr/>
        <w:t>play,</w:t>
      </w:r>
      <w:r>
        <w:rPr>
          <w:spacing w:val="-8"/>
        </w:rPr>
        <w:t> </w:t>
      </w:r>
      <w:r>
        <w:rPr/>
        <w:t>rather</w:t>
      </w:r>
      <w:r>
        <w:rPr>
          <w:spacing w:val="-8"/>
        </w:rPr>
        <w:t> </w:t>
      </w:r>
      <w:r>
        <w:rPr/>
        <w:t>than</w:t>
      </w:r>
      <w:r>
        <w:rPr>
          <w:spacing w:val="-8"/>
        </w:rPr>
        <w:t> </w:t>
      </w:r>
      <w:r>
        <w:rPr/>
        <w:t>action</w:t>
      </w:r>
      <w:r>
        <w:rPr>
          <w:spacing w:val="-8"/>
        </w:rPr>
        <w:t> </w:t>
      </w:r>
      <w:r>
        <w:rPr/>
        <w:t>by</w:t>
      </w:r>
      <w:r>
        <w:rPr>
          <w:spacing w:val="-8"/>
        </w:rPr>
        <w:t> </w:t>
      </w:r>
      <w:r>
        <w:rPr/>
        <w:t>action</w:t>
      </w:r>
      <w:r>
        <w:rPr>
          <w:spacing w:val="-8"/>
        </w:rPr>
        <w:t> </w:t>
      </w:r>
      <w:r>
        <w:rPr/>
        <w:t>data,</w:t>
      </w:r>
      <w:r>
        <w:rPr>
          <w:spacing w:val="-8"/>
        </w:rPr>
        <w:t> </w:t>
      </w:r>
      <w:r>
        <w:rPr/>
        <w:t>which</w:t>
      </w:r>
      <w:r>
        <w:rPr>
          <w:spacing w:val="-8"/>
        </w:rPr>
        <w:t> </w:t>
      </w:r>
      <w:r>
        <w:rPr/>
        <w:t>limited</w:t>
      </w:r>
      <w:r>
        <w:rPr>
          <w:spacing w:val="-8"/>
        </w:rPr>
        <w:t> </w:t>
      </w:r>
      <w:r>
        <w:rPr/>
        <w:t>the</w:t>
      </w:r>
      <w:r>
        <w:rPr>
          <w:spacing w:val="-8"/>
        </w:rPr>
        <w:t> </w:t>
      </w:r>
      <w:r>
        <w:rPr/>
        <w:t>insights</w:t>
      </w:r>
      <w:r>
        <w:rPr>
          <w:spacing w:val="-8"/>
        </w:rPr>
        <w:t> </w:t>
      </w:r>
      <w:r>
        <w:rPr/>
        <w:t>that could be generated.</w:t>
      </w:r>
    </w:p>
    <w:p>
      <w:pPr>
        <w:pStyle w:val="BodyText"/>
        <w:spacing w:line="312" w:lineRule="auto"/>
        <w:ind w:left="610" w:right="389" w:firstLine="351"/>
        <w:jc w:val="both"/>
      </w:pPr>
      <w:r>
        <w:rPr/>
        <w:t>Although</w:t>
      </w:r>
      <w:r>
        <w:rPr>
          <w:spacing w:val="-4"/>
        </w:rPr>
        <w:t> </w:t>
      </w:r>
      <w:r>
        <w:rPr/>
        <w:t>the</w:t>
      </w:r>
      <w:r>
        <w:rPr>
          <w:spacing w:val="-4"/>
        </w:rPr>
        <w:t> </w:t>
      </w:r>
      <w:r>
        <w:rPr/>
        <w:t>work</w:t>
      </w:r>
      <w:r>
        <w:rPr>
          <w:spacing w:val="-4"/>
        </w:rPr>
        <w:t> </w:t>
      </w:r>
      <w:r>
        <w:rPr/>
        <w:t>provides</w:t>
      </w:r>
      <w:r>
        <w:rPr>
          <w:spacing w:val="-4"/>
        </w:rPr>
        <w:t> </w:t>
      </w:r>
      <w:r>
        <w:rPr/>
        <w:t>an</w:t>
      </w:r>
      <w:r>
        <w:rPr>
          <w:spacing w:val="-4"/>
        </w:rPr>
        <w:t> </w:t>
      </w:r>
      <w:r>
        <w:rPr/>
        <w:t>excellent</w:t>
      </w:r>
      <w:r>
        <w:rPr>
          <w:spacing w:val="-4"/>
        </w:rPr>
        <w:t> </w:t>
      </w:r>
      <w:r>
        <w:rPr/>
        <w:t>high</w:t>
      </w:r>
      <w:r>
        <w:rPr>
          <w:spacing w:val="-4"/>
        </w:rPr>
        <w:t> </w:t>
      </w:r>
      <w:r>
        <w:rPr/>
        <w:t>level</w:t>
      </w:r>
      <w:r>
        <w:rPr>
          <w:spacing w:val="-4"/>
        </w:rPr>
        <w:t> </w:t>
      </w:r>
      <w:r>
        <w:rPr/>
        <w:t>understanding</w:t>
      </w:r>
      <w:r>
        <w:rPr>
          <w:spacing w:val="-4"/>
        </w:rPr>
        <w:t> </w:t>
      </w:r>
      <w:r>
        <w:rPr/>
        <w:t>of</w:t>
      </w:r>
      <w:r>
        <w:rPr>
          <w:spacing w:val="-4"/>
        </w:rPr>
        <w:t> </w:t>
      </w:r>
      <w:r>
        <w:rPr/>
        <w:t>the</w:t>
      </w:r>
      <w:r>
        <w:rPr>
          <w:spacing w:val="-4"/>
        </w:rPr>
        <w:t> </w:t>
      </w:r>
      <w:r>
        <w:rPr/>
        <w:t>areas</w:t>
      </w:r>
      <w:r>
        <w:rPr>
          <w:spacing w:val="-4"/>
        </w:rPr>
        <w:t> </w:t>
      </w:r>
      <w:r>
        <w:rPr/>
        <w:t>on</w:t>
      </w:r>
      <w:r>
        <w:rPr>
          <w:spacing w:val="-4"/>
        </w:rPr>
        <w:t> </w:t>
      </w:r>
      <w:r>
        <w:rPr/>
        <w:t>the pitch</w:t>
      </w:r>
      <w:r>
        <w:rPr>
          <w:spacing w:val="-11"/>
        </w:rPr>
        <w:t> </w:t>
      </w:r>
      <w:r>
        <w:rPr/>
        <w:t>that</w:t>
      </w:r>
      <w:r>
        <w:rPr>
          <w:spacing w:val="-11"/>
        </w:rPr>
        <w:t> </w:t>
      </w:r>
      <w:r>
        <w:rPr/>
        <w:t>different</w:t>
      </w:r>
      <w:r>
        <w:rPr>
          <w:spacing w:val="-11"/>
        </w:rPr>
        <w:t> </w:t>
      </w:r>
      <w:r>
        <w:rPr/>
        <w:t>teams</w:t>
      </w:r>
      <w:r>
        <w:rPr>
          <w:spacing w:val="-11"/>
        </w:rPr>
        <w:t> </w:t>
      </w:r>
      <w:r>
        <w:rPr/>
        <w:t>generate</w:t>
      </w:r>
      <w:r>
        <w:rPr>
          <w:spacing w:val="-11"/>
        </w:rPr>
        <w:t> </w:t>
      </w:r>
      <w:r>
        <w:rPr/>
        <w:t>value,</w:t>
      </w:r>
      <w:r>
        <w:rPr>
          <w:spacing w:val="-10"/>
        </w:rPr>
        <w:t> </w:t>
      </w:r>
      <w:r>
        <w:rPr/>
        <w:t>it</w:t>
      </w:r>
      <w:r>
        <w:rPr>
          <w:spacing w:val="-11"/>
        </w:rPr>
        <w:t> </w:t>
      </w:r>
      <w:r>
        <w:rPr/>
        <w:t>is</w:t>
      </w:r>
      <w:r>
        <w:rPr>
          <w:spacing w:val="-11"/>
        </w:rPr>
        <w:t> </w:t>
      </w:r>
      <w:r>
        <w:rPr/>
        <w:t>only</w:t>
      </w:r>
      <w:r>
        <w:rPr>
          <w:spacing w:val="-11"/>
        </w:rPr>
        <w:t> </w:t>
      </w:r>
      <w:r>
        <w:rPr/>
        <w:t>a</w:t>
      </w:r>
      <w:r>
        <w:rPr>
          <w:spacing w:val="-11"/>
        </w:rPr>
        <w:t> </w:t>
      </w:r>
      <w:r>
        <w:rPr/>
        <w:t>starting</w:t>
      </w:r>
      <w:r>
        <w:rPr>
          <w:spacing w:val="-11"/>
        </w:rPr>
        <w:t> </w:t>
      </w:r>
      <w:r>
        <w:rPr/>
        <w:t>point</w:t>
      </w:r>
      <w:r>
        <w:rPr>
          <w:spacing w:val="-11"/>
        </w:rPr>
        <w:t> </w:t>
      </w:r>
      <w:r>
        <w:rPr/>
        <w:t>for</w:t>
      </w:r>
      <w:r>
        <w:rPr>
          <w:spacing w:val="-11"/>
        </w:rPr>
        <w:t> </w:t>
      </w:r>
      <w:r>
        <w:rPr/>
        <w:t>this</w:t>
      </w:r>
      <w:r>
        <w:rPr>
          <w:spacing w:val="-11"/>
        </w:rPr>
        <w:t> </w:t>
      </w:r>
      <w:r>
        <w:rPr/>
        <w:t>type</w:t>
      </w:r>
      <w:r>
        <w:rPr>
          <w:spacing w:val="-11"/>
        </w:rPr>
        <w:t> </w:t>
      </w:r>
      <w:r>
        <w:rPr/>
        <w:t>of</w:t>
      </w:r>
      <w:r>
        <w:rPr>
          <w:spacing w:val="-11"/>
        </w:rPr>
        <w:t> </w:t>
      </w:r>
      <w:r>
        <w:rPr/>
        <w:t>analysis and</w:t>
      </w:r>
      <w:r>
        <w:rPr>
          <w:spacing w:val="-1"/>
        </w:rPr>
        <w:t> </w:t>
      </w:r>
      <w:r>
        <w:rPr/>
        <w:t>is</w:t>
      </w:r>
      <w:r>
        <w:rPr>
          <w:spacing w:val="-1"/>
        </w:rPr>
        <w:t> </w:t>
      </w:r>
      <w:r>
        <w:rPr/>
        <w:t>subject</w:t>
      </w:r>
      <w:r>
        <w:rPr>
          <w:spacing w:val="-1"/>
        </w:rPr>
        <w:t> </w:t>
      </w:r>
      <w:r>
        <w:rPr/>
        <w:t>to</w:t>
      </w:r>
      <w:r>
        <w:rPr>
          <w:spacing w:val="-1"/>
        </w:rPr>
        <w:t> </w:t>
      </w:r>
      <w:r>
        <w:rPr/>
        <w:t>limitations.</w:t>
      </w:r>
      <w:r>
        <w:rPr>
          <w:spacing w:val="22"/>
        </w:rPr>
        <w:t> </w:t>
      </w:r>
      <w:r>
        <w:rPr/>
        <w:t>The</w:t>
      </w:r>
      <w:r>
        <w:rPr>
          <w:spacing w:val="-1"/>
        </w:rPr>
        <w:t> </w:t>
      </w:r>
      <w:r>
        <w:rPr/>
        <w:t>first</w:t>
      </w:r>
      <w:r>
        <w:rPr>
          <w:spacing w:val="-1"/>
        </w:rPr>
        <w:t> </w:t>
      </w:r>
      <w:r>
        <w:rPr/>
        <w:t>of</w:t>
      </w:r>
      <w:r>
        <w:rPr>
          <w:spacing w:val="-1"/>
        </w:rPr>
        <w:t> </w:t>
      </w:r>
      <w:r>
        <w:rPr/>
        <w:t>these, as indicated by</w:t>
      </w:r>
      <w:r>
        <w:rPr>
          <w:spacing w:val="-1"/>
        </w:rPr>
        <w:t> </w:t>
      </w:r>
      <w:r>
        <w:rPr/>
        <w:t>the</w:t>
      </w:r>
      <w:r>
        <w:rPr>
          <w:spacing w:val="-1"/>
        </w:rPr>
        <w:t> </w:t>
      </w:r>
      <w:r>
        <w:rPr/>
        <w:t>England</w:t>
      </w:r>
      <w:r>
        <w:rPr>
          <w:spacing w:val="-1"/>
        </w:rPr>
        <w:t> </w:t>
      </w:r>
      <w:r>
        <w:rPr/>
        <w:t>Performance Unit,</w:t>
      </w:r>
      <w:r>
        <w:rPr>
          <w:spacing w:val="-4"/>
        </w:rPr>
        <w:t> </w:t>
      </w:r>
      <w:r>
        <w:rPr/>
        <w:t>is</w:t>
      </w:r>
      <w:r>
        <w:rPr>
          <w:spacing w:val="-4"/>
        </w:rPr>
        <w:t> </w:t>
      </w:r>
      <w:r>
        <w:rPr/>
        <w:t>that</w:t>
      </w:r>
      <w:r>
        <w:rPr>
          <w:spacing w:val="-4"/>
        </w:rPr>
        <w:t> </w:t>
      </w:r>
      <w:r>
        <w:rPr/>
        <w:t>it</w:t>
      </w:r>
      <w:r>
        <w:rPr>
          <w:spacing w:val="-4"/>
        </w:rPr>
        <w:t> </w:t>
      </w:r>
      <w:r>
        <w:rPr/>
        <w:t>only</w:t>
      </w:r>
      <w:r>
        <w:rPr>
          <w:spacing w:val="-4"/>
        </w:rPr>
        <w:t> </w:t>
      </w:r>
      <w:r>
        <w:rPr/>
        <w:t>uses</w:t>
      </w:r>
      <w:r>
        <w:rPr>
          <w:spacing w:val="-4"/>
        </w:rPr>
        <w:t> </w:t>
      </w:r>
      <w:r>
        <w:rPr/>
        <w:t>the</w:t>
      </w:r>
      <w:r>
        <w:rPr>
          <w:spacing w:val="-4"/>
        </w:rPr>
        <w:t> </w:t>
      </w:r>
      <w:r>
        <w:rPr/>
        <w:t>first</w:t>
      </w:r>
      <w:r>
        <w:rPr>
          <w:spacing w:val="-4"/>
        </w:rPr>
        <w:t> </w:t>
      </w:r>
      <w:r>
        <w:rPr/>
        <w:t>action</w:t>
      </w:r>
      <w:r>
        <w:rPr>
          <w:spacing w:val="-4"/>
        </w:rPr>
        <w:t> </w:t>
      </w:r>
      <w:r>
        <w:rPr/>
        <w:t>of</w:t>
      </w:r>
      <w:r>
        <w:rPr>
          <w:spacing w:val="-4"/>
        </w:rPr>
        <w:t> </w:t>
      </w:r>
      <w:r>
        <w:rPr/>
        <w:t>each</w:t>
      </w:r>
      <w:r>
        <w:rPr>
          <w:spacing w:val="-4"/>
        </w:rPr>
        <w:t> </w:t>
      </w:r>
      <w:r>
        <w:rPr/>
        <w:t>play. This</w:t>
      </w:r>
      <w:r>
        <w:rPr>
          <w:spacing w:val="-4"/>
        </w:rPr>
        <w:t> </w:t>
      </w:r>
      <w:r>
        <w:rPr/>
        <w:t>means</w:t>
      </w:r>
      <w:r>
        <w:rPr>
          <w:spacing w:val="-4"/>
        </w:rPr>
        <w:t> </w:t>
      </w:r>
      <w:r>
        <w:rPr/>
        <w:t>it</w:t>
      </w:r>
      <w:r>
        <w:rPr>
          <w:spacing w:val="-4"/>
        </w:rPr>
        <w:t> </w:t>
      </w:r>
      <w:r>
        <w:rPr/>
        <w:t>does</w:t>
      </w:r>
      <w:r>
        <w:rPr>
          <w:spacing w:val="-4"/>
        </w:rPr>
        <w:t> </w:t>
      </w:r>
      <w:r>
        <w:rPr/>
        <w:t>not</w:t>
      </w:r>
      <w:r>
        <w:rPr>
          <w:spacing w:val="-4"/>
        </w:rPr>
        <w:t> </w:t>
      </w:r>
      <w:r>
        <w:rPr/>
        <w:t>consider</w:t>
      </w:r>
      <w:r>
        <w:rPr>
          <w:spacing w:val="-4"/>
        </w:rPr>
        <w:t> </w:t>
      </w:r>
      <w:r>
        <w:rPr/>
        <w:t>any action</w:t>
      </w:r>
      <w:r>
        <w:rPr>
          <w:spacing w:val="-8"/>
        </w:rPr>
        <w:t> </w:t>
      </w:r>
      <w:r>
        <w:rPr/>
        <w:t>(e.g. pass,</w:t>
      </w:r>
      <w:r>
        <w:rPr>
          <w:spacing w:val="-7"/>
        </w:rPr>
        <w:t> </w:t>
      </w:r>
      <w:r>
        <w:rPr/>
        <w:t>kick</w:t>
      </w:r>
      <w:r>
        <w:rPr>
          <w:spacing w:val="-8"/>
        </w:rPr>
        <w:t> </w:t>
      </w:r>
      <w:r>
        <w:rPr/>
        <w:t>or</w:t>
      </w:r>
      <w:r>
        <w:rPr>
          <w:spacing w:val="-8"/>
        </w:rPr>
        <w:t> </w:t>
      </w:r>
      <w:r>
        <w:rPr/>
        <w:t>run)</w:t>
      </w:r>
      <w:r>
        <w:rPr>
          <w:spacing w:val="-8"/>
        </w:rPr>
        <w:t> </w:t>
      </w:r>
      <w:r>
        <w:rPr/>
        <w:t>individually</w:t>
      </w:r>
      <w:r>
        <w:rPr>
          <w:spacing w:val="-8"/>
        </w:rPr>
        <w:t> </w:t>
      </w:r>
      <w:r>
        <w:rPr/>
        <w:t>so</w:t>
      </w:r>
      <w:r>
        <w:rPr>
          <w:spacing w:val="-8"/>
        </w:rPr>
        <w:t> </w:t>
      </w:r>
      <w:r>
        <w:rPr/>
        <w:t>there</w:t>
      </w:r>
      <w:r>
        <w:rPr>
          <w:spacing w:val="-8"/>
        </w:rPr>
        <w:t> </w:t>
      </w:r>
      <w:r>
        <w:rPr/>
        <w:t>is</w:t>
      </w:r>
      <w:r>
        <w:rPr>
          <w:spacing w:val="-8"/>
        </w:rPr>
        <w:t> </w:t>
      </w:r>
      <w:r>
        <w:rPr/>
        <w:t>no</w:t>
      </w:r>
      <w:r>
        <w:rPr>
          <w:spacing w:val="-8"/>
        </w:rPr>
        <w:t> </w:t>
      </w:r>
      <w:r>
        <w:rPr/>
        <w:t>possibility</w:t>
      </w:r>
      <w:r>
        <w:rPr>
          <w:spacing w:val="-8"/>
        </w:rPr>
        <w:t> </w:t>
      </w:r>
      <w:r>
        <w:rPr/>
        <w:t>of</w:t>
      </w:r>
      <w:r>
        <w:rPr>
          <w:spacing w:val="-8"/>
        </w:rPr>
        <w:t> </w:t>
      </w:r>
      <w:r>
        <w:rPr/>
        <w:t>adapting</w:t>
      </w:r>
      <w:r>
        <w:rPr>
          <w:spacing w:val="-8"/>
        </w:rPr>
        <w:t> </w:t>
      </w:r>
      <w:r>
        <w:rPr/>
        <w:t>the</w:t>
      </w:r>
      <w:r>
        <w:rPr>
          <w:spacing w:val="-8"/>
        </w:rPr>
        <w:t> </w:t>
      </w:r>
      <w:r>
        <w:rPr/>
        <w:t>model to</w:t>
      </w:r>
      <w:r>
        <w:rPr>
          <w:spacing w:val="-11"/>
        </w:rPr>
        <w:t> </w:t>
      </w:r>
      <w:r>
        <w:rPr/>
        <w:t>evaluate</w:t>
      </w:r>
      <w:r>
        <w:rPr>
          <w:spacing w:val="-11"/>
        </w:rPr>
        <w:t> </w:t>
      </w:r>
      <w:r>
        <w:rPr/>
        <w:t>player</w:t>
      </w:r>
      <w:r>
        <w:rPr>
          <w:spacing w:val="-11"/>
        </w:rPr>
        <w:t> </w:t>
      </w:r>
      <w:r>
        <w:rPr/>
        <w:t>performances</w:t>
      </w:r>
      <w:r>
        <w:rPr>
          <w:spacing w:val="-11"/>
        </w:rPr>
        <w:t> </w:t>
      </w:r>
      <w:r>
        <w:rPr/>
        <w:t>or</w:t>
      </w:r>
      <w:r>
        <w:rPr>
          <w:spacing w:val="-11"/>
        </w:rPr>
        <w:t> </w:t>
      </w:r>
      <w:r>
        <w:rPr/>
        <w:t>understand</w:t>
      </w:r>
      <w:r>
        <w:rPr>
          <w:spacing w:val="-11"/>
        </w:rPr>
        <w:t> </w:t>
      </w:r>
      <w:r>
        <w:rPr/>
        <w:t>team</w:t>
      </w:r>
      <w:r>
        <w:rPr>
          <w:spacing w:val="-11"/>
        </w:rPr>
        <w:t> </w:t>
      </w:r>
      <w:r>
        <w:rPr/>
        <w:t>sequences</w:t>
      </w:r>
      <w:r>
        <w:rPr>
          <w:spacing w:val="-11"/>
        </w:rPr>
        <w:t> </w:t>
      </w:r>
      <w:r>
        <w:rPr/>
        <w:t>of</w:t>
      </w:r>
      <w:r>
        <w:rPr>
          <w:spacing w:val="-11"/>
        </w:rPr>
        <w:t> </w:t>
      </w:r>
      <w:r>
        <w:rPr/>
        <w:t>play. The</w:t>
      </w:r>
      <w:r>
        <w:rPr>
          <w:spacing w:val="-11"/>
        </w:rPr>
        <w:t> </w:t>
      </w:r>
      <w:r>
        <w:rPr/>
        <w:t>second</w:t>
      </w:r>
      <w:r>
        <w:rPr>
          <w:spacing w:val="-11"/>
        </w:rPr>
        <w:t> </w:t>
      </w:r>
      <w:r>
        <w:rPr/>
        <w:t>is</w:t>
      </w:r>
      <w:r>
        <w:rPr>
          <w:spacing w:val="-11"/>
        </w:rPr>
        <w:t> </w:t>
      </w:r>
      <w:r>
        <w:rPr/>
        <w:t>that it does not directly predict future team attacking performances, nor does it provide any information</w:t>
      </w:r>
      <w:r>
        <w:rPr>
          <w:spacing w:val="-3"/>
        </w:rPr>
        <w:t> </w:t>
      </w:r>
      <w:r>
        <w:rPr/>
        <w:t>as</w:t>
      </w:r>
      <w:r>
        <w:rPr>
          <w:spacing w:val="-3"/>
        </w:rPr>
        <w:t> </w:t>
      </w:r>
      <w:r>
        <w:rPr/>
        <w:t>to</w:t>
      </w:r>
      <w:r>
        <w:rPr>
          <w:spacing w:val="-3"/>
        </w:rPr>
        <w:t> </w:t>
      </w:r>
      <w:r>
        <w:rPr/>
        <w:t>whether</w:t>
      </w:r>
      <w:r>
        <w:rPr>
          <w:spacing w:val="-3"/>
        </w:rPr>
        <w:t> </w:t>
      </w:r>
      <w:r>
        <w:rPr/>
        <w:t>being</w:t>
      </w:r>
      <w:r>
        <w:rPr>
          <w:spacing w:val="-3"/>
        </w:rPr>
        <w:t> </w:t>
      </w:r>
      <w:r>
        <w:rPr/>
        <w:t>aware</w:t>
      </w:r>
      <w:r>
        <w:rPr>
          <w:spacing w:val="-3"/>
        </w:rPr>
        <w:t> </w:t>
      </w:r>
      <w:r>
        <w:rPr/>
        <w:t>of</w:t>
      </w:r>
      <w:r>
        <w:rPr>
          <w:spacing w:val="-3"/>
        </w:rPr>
        <w:t> </w:t>
      </w:r>
      <w:r>
        <w:rPr/>
        <w:t>future</w:t>
      </w:r>
      <w:r>
        <w:rPr>
          <w:spacing w:val="-3"/>
        </w:rPr>
        <w:t> </w:t>
      </w:r>
      <w:r>
        <w:rPr/>
        <w:t>opposition</w:t>
      </w:r>
      <w:r>
        <w:rPr>
          <w:spacing w:val="-3"/>
        </w:rPr>
        <w:t> </w:t>
      </w:r>
      <w:r>
        <w:rPr/>
        <w:t>team</w:t>
      </w:r>
      <w:r>
        <w:rPr>
          <w:spacing w:val="-3"/>
        </w:rPr>
        <w:t> </w:t>
      </w:r>
      <w:r>
        <w:rPr/>
        <w:t>attacking</w:t>
      </w:r>
      <w:r>
        <w:rPr>
          <w:spacing w:val="-3"/>
        </w:rPr>
        <w:t> </w:t>
      </w:r>
      <w:r>
        <w:rPr/>
        <w:t>performances can help a team to win fixtures.</w:t>
      </w:r>
    </w:p>
    <w:p>
      <w:pPr>
        <w:pStyle w:val="BodyText"/>
        <w:spacing w:line="274" w:lineRule="exact"/>
        <w:ind w:left="961"/>
        <w:jc w:val="both"/>
      </w:pPr>
      <w:r>
        <w:rPr/>
        <w:t>In</w:t>
      </w:r>
      <w:r>
        <w:rPr>
          <w:spacing w:val="-14"/>
        </w:rPr>
        <w:t> </w:t>
      </w:r>
      <w:r>
        <w:rPr/>
        <w:t>this</w:t>
      </w:r>
      <w:r>
        <w:rPr>
          <w:spacing w:val="-13"/>
        </w:rPr>
        <w:t> </w:t>
      </w:r>
      <w:r>
        <w:rPr/>
        <w:t>study,</w:t>
      </w:r>
      <w:r>
        <w:rPr>
          <w:spacing w:val="-12"/>
        </w:rPr>
        <w:t> </w:t>
      </w:r>
      <w:r>
        <w:rPr/>
        <w:t>it</w:t>
      </w:r>
      <w:r>
        <w:rPr>
          <w:spacing w:val="-14"/>
        </w:rPr>
        <w:t> </w:t>
      </w:r>
      <w:r>
        <w:rPr/>
        <w:t>was</w:t>
      </w:r>
      <w:r>
        <w:rPr>
          <w:spacing w:val="-13"/>
        </w:rPr>
        <w:t> </w:t>
      </w:r>
      <w:r>
        <w:rPr/>
        <w:t>not</w:t>
      </w:r>
      <w:r>
        <w:rPr>
          <w:spacing w:val="-14"/>
        </w:rPr>
        <w:t> </w:t>
      </w:r>
      <w:r>
        <w:rPr/>
        <w:t>possible</w:t>
      </w:r>
      <w:r>
        <w:rPr>
          <w:spacing w:val="-13"/>
        </w:rPr>
        <w:t> </w:t>
      </w:r>
      <w:r>
        <w:rPr/>
        <w:t>to</w:t>
      </w:r>
      <w:r>
        <w:rPr>
          <w:spacing w:val="-14"/>
        </w:rPr>
        <w:t> </w:t>
      </w:r>
      <w:r>
        <w:rPr/>
        <w:t>conduct</w:t>
      </w:r>
      <w:r>
        <w:rPr>
          <w:spacing w:val="-13"/>
        </w:rPr>
        <w:t> </w:t>
      </w:r>
      <w:r>
        <w:rPr/>
        <w:t>action</w:t>
      </w:r>
      <w:r>
        <w:rPr>
          <w:spacing w:val="-13"/>
        </w:rPr>
        <w:t> </w:t>
      </w:r>
      <w:r>
        <w:rPr/>
        <w:t>by</w:t>
      </w:r>
      <w:r>
        <w:rPr>
          <w:spacing w:val="-14"/>
        </w:rPr>
        <w:t> </w:t>
      </w:r>
      <w:r>
        <w:rPr/>
        <w:t>action</w:t>
      </w:r>
      <w:r>
        <w:rPr>
          <w:spacing w:val="-13"/>
        </w:rPr>
        <w:t> </w:t>
      </w:r>
      <w:r>
        <w:rPr/>
        <w:t>analysis</w:t>
      </w:r>
      <w:r>
        <w:rPr>
          <w:spacing w:val="-14"/>
        </w:rPr>
        <w:t> </w:t>
      </w:r>
      <w:r>
        <w:rPr/>
        <w:t>due</w:t>
      </w:r>
      <w:r>
        <w:rPr>
          <w:spacing w:val="-13"/>
        </w:rPr>
        <w:t> </w:t>
      </w:r>
      <w:r>
        <w:rPr/>
        <w:t>to</w:t>
      </w:r>
      <w:r>
        <w:rPr>
          <w:spacing w:val="-14"/>
        </w:rPr>
        <w:t> </w:t>
      </w:r>
      <w:r>
        <w:rPr/>
        <w:t>the</w:t>
      </w:r>
      <w:r>
        <w:rPr>
          <w:spacing w:val="-13"/>
        </w:rPr>
        <w:t> </w:t>
      </w:r>
      <w:r>
        <w:rPr>
          <w:spacing w:val="-2"/>
        </w:rPr>
        <w:t>quality</w:t>
      </w:r>
    </w:p>
    <w:p>
      <w:pPr>
        <w:spacing w:after="0" w:line="274" w:lineRule="exact"/>
        <w:jc w:val="both"/>
        <w:sectPr>
          <w:headerReference w:type="default" r:id="rId80"/>
          <w:footerReference w:type="default" r:id="rId81"/>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of</w:t>
      </w:r>
      <w:r>
        <w:rPr>
          <w:spacing w:val="-15"/>
        </w:rPr>
        <w:t> </w:t>
      </w:r>
      <w:r>
        <w:rPr/>
        <w:t>data</w:t>
      </w:r>
      <w:r>
        <w:rPr>
          <w:spacing w:val="-15"/>
        </w:rPr>
        <w:t> </w:t>
      </w:r>
      <w:r>
        <w:rPr/>
        <w:t>required</w:t>
      </w:r>
      <w:r>
        <w:rPr>
          <w:spacing w:val="-15"/>
        </w:rPr>
        <w:t> </w:t>
      </w:r>
      <w:r>
        <w:rPr/>
        <w:t>for</w:t>
      </w:r>
      <w:r>
        <w:rPr>
          <w:spacing w:val="-15"/>
        </w:rPr>
        <w:t> </w:t>
      </w:r>
      <w:r>
        <w:rPr/>
        <w:t>such</w:t>
      </w:r>
      <w:r>
        <w:rPr>
          <w:spacing w:val="-15"/>
        </w:rPr>
        <w:t> </w:t>
      </w:r>
      <w:r>
        <w:rPr/>
        <w:t>analyses</w:t>
      </w:r>
      <w:r>
        <w:rPr>
          <w:spacing w:val="-15"/>
        </w:rPr>
        <w:t> </w:t>
      </w:r>
      <w:r>
        <w:rPr/>
        <w:t>being</w:t>
      </w:r>
      <w:r>
        <w:rPr>
          <w:spacing w:val="-15"/>
        </w:rPr>
        <w:t> </w:t>
      </w:r>
      <w:r>
        <w:rPr/>
        <w:t>unavailable</w:t>
      </w:r>
      <w:r>
        <w:rPr>
          <w:spacing w:val="-15"/>
        </w:rPr>
        <w:t> </w:t>
      </w:r>
      <w:r>
        <w:rPr/>
        <w:t>in</w:t>
      </w:r>
      <w:r>
        <w:rPr>
          <w:spacing w:val="-15"/>
        </w:rPr>
        <w:t> </w:t>
      </w:r>
      <w:r>
        <w:rPr/>
        <w:t>the</w:t>
      </w:r>
      <w:r>
        <w:rPr>
          <w:spacing w:val="-15"/>
        </w:rPr>
        <w:t> </w:t>
      </w:r>
      <w:r>
        <w:rPr/>
        <w:t>2019</w:t>
      </w:r>
      <w:r>
        <w:rPr>
          <w:spacing w:val="-15"/>
        </w:rPr>
        <w:t> </w:t>
      </w:r>
      <w:r>
        <w:rPr/>
        <w:t>season.</w:t>
      </w:r>
      <w:r>
        <w:rPr>
          <w:spacing w:val="-13"/>
        </w:rPr>
        <w:t> </w:t>
      </w:r>
      <w:r>
        <w:rPr/>
        <w:t>However,</w:t>
      </w:r>
      <w:r>
        <w:rPr>
          <w:spacing w:val="-14"/>
        </w:rPr>
        <w:t> </w:t>
      </w:r>
      <w:r>
        <w:rPr/>
        <w:t>in</w:t>
      </w:r>
      <w:r>
        <w:rPr>
          <w:spacing w:val="-15"/>
        </w:rPr>
        <w:t> </w:t>
      </w:r>
      <w:r>
        <w:rPr/>
        <w:t>2020 this</w:t>
      </w:r>
      <w:r>
        <w:rPr>
          <w:spacing w:val="-8"/>
        </w:rPr>
        <w:t> </w:t>
      </w:r>
      <w:r>
        <w:rPr/>
        <w:t>data</w:t>
      </w:r>
      <w:r>
        <w:rPr>
          <w:spacing w:val="-8"/>
        </w:rPr>
        <w:t> </w:t>
      </w:r>
      <w:r>
        <w:rPr/>
        <w:t>became</w:t>
      </w:r>
      <w:r>
        <w:rPr>
          <w:spacing w:val="-8"/>
        </w:rPr>
        <w:t> </w:t>
      </w:r>
      <w:r>
        <w:rPr/>
        <w:t>available. Therefore,</w:t>
      </w:r>
      <w:r>
        <w:rPr>
          <w:spacing w:val="-8"/>
        </w:rPr>
        <w:t> </w:t>
      </w:r>
      <w:r>
        <w:rPr/>
        <w:t>the</w:t>
      </w:r>
      <w:r>
        <w:rPr>
          <w:spacing w:val="-8"/>
        </w:rPr>
        <w:t> </w:t>
      </w:r>
      <w:r>
        <w:rPr/>
        <w:t>next</w:t>
      </w:r>
      <w:r>
        <w:rPr>
          <w:spacing w:val="-8"/>
        </w:rPr>
        <w:t> </w:t>
      </w:r>
      <w:r>
        <w:rPr/>
        <w:t>study</w:t>
      </w:r>
      <w:r>
        <w:rPr>
          <w:spacing w:val="-8"/>
        </w:rPr>
        <w:t> </w:t>
      </w:r>
      <w:r>
        <w:rPr/>
        <w:t>will</w:t>
      </w:r>
      <w:r>
        <w:rPr>
          <w:spacing w:val="-8"/>
        </w:rPr>
        <w:t> </w:t>
      </w:r>
      <w:r>
        <w:rPr/>
        <w:t>build</w:t>
      </w:r>
      <w:r>
        <w:rPr>
          <w:spacing w:val="-8"/>
        </w:rPr>
        <w:t> </w:t>
      </w:r>
      <w:r>
        <w:rPr/>
        <w:t>upon</w:t>
      </w:r>
      <w:r>
        <w:rPr>
          <w:spacing w:val="-8"/>
        </w:rPr>
        <w:t> </w:t>
      </w:r>
      <w:r>
        <w:rPr/>
        <w:t>the</w:t>
      </w:r>
      <w:r>
        <w:rPr>
          <w:spacing w:val="-8"/>
        </w:rPr>
        <w:t> </w:t>
      </w:r>
      <w:r>
        <w:rPr/>
        <w:t>work</w:t>
      </w:r>
      <w:r>
        <w:rPr>
          <w:spacing w:val="-8"/>
        </w:rPr>
        <w:t> </w:t>
      </w:r>
      <w:r>
        <w:rPr/>
        <w:t>completed in this chapter and consider individual actions within the EPV framework to evaluate player and team performances.</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1"/>
        <w:tabs>
          <w:tab w:pos="9388" w:val="left" w:leader="none"/>
        </w:tabs>
        <w:spacing w:line="314" w:lineRule="auto"/>
        <w:ind w:right="115"/>
      </w:pPr>
      <w:r>
        <w:rPr/>
        <w:pict>
          <v:group style="position:absolute;margin-left:114.519997pt;margin-top:28.578819pt;width:55.5pt;height:28.5pt;mso-position-horizontal-relative:page;mso-position-vertical-relative:paragraph;z-index:-21780480" id="docshapegroup94" coordorigin="2290,572" coordsize="1110,570">
            <v:line style="position:absolute" from="2300,1141" to="2300,591" stroked="true" strokeweight=".996pt" strokecolor="#000000">
              <v:stroke dashstyle="solid"/>
            </v:line>
            <v:line style="position:absolute" from="2290,582" to="3400,582" stroked="true" strokeweight=".996pt" strokecolor="#000000">
              <v:stroke dashstyle="solid"/>
            </v:line>
            <w10:wrap type="none"/>
          </v:group>
        </w:pict>
      </w:r>
      <w:r>
        <w:rPr/>
        <w:pict>
          <v:group style="position:absolute;margin-left:202.770004pt;margin-top:28.578819pt;width:336.95pt;height:39.8pt;mso-position-horizontal-relative:page;mso-position-vertical-relative:paragraph;z-index:-21779968" id="docshapegroup95" coordorigin="4055,572" coordsize="6739,796">
            <v:line style="position:absolute" from="10784,1367" to="10784,591" stroked="true" strokeweight=".996pt" strokecolor="#000000">
              <v:stroke dashstyle="solid"/>
            </v:line>
            <v:line style="position:absolute" from="4055,582" to="10794,582" stroked="true" strokeweight=".996pt" strokecolor="#000000">
              <v:stroke dashstyle="solid"/>
            </v:line>
            <w10:wrap type="none"/>
          </v:group>
        </w:pict>
      </w:r>
      <w:bookmarkStart w:name="4 Markov Decision Processes for the Eval" w:id="164"/>
      <w:bookmarkEnd w:id="164"/>
      <w:r>
        <w:rPr/>
      </w:r>
      <w:bookmarkStart w:name="_bookmark92" w:id="165"/>
      <w:bookmarkEnd w:id="165"/>
      <w:r>
        <w:rPr/>
      </w:r>
      <w:r>
        <w:rPr>
          <w:rFonts w:ascii="Arial"/>
          <w:sz w:val="28"/>
        </w:rPr>
        <w:t>Chapter</w:t>
      </w:r>
      <w:r>
        <w:rPr>
          <w:rFonts w:ascii="Arial"/>
          <w:spacing w:val="40"/>
          <w:sz w:val="28"/>
        </w:rPr>
        <w:t> </w:t>
      </w:r>
      <w:r>
        <w:rPr>
          <w:spacing w:val="19"/>
          <w:sz w:val="119"/>
        </w:rPr>
        <w:t>4</w:t>
      </w:r>
      <w:r>
        <w:rPr>
          <w:sz w:val="119"/>
          <w:u w:val="single"/>
        </w:rPr>
        <w:tab/>
      </w:r>
      <w:r>
        <w:rPr>
          <w:sz w:val="119"/>
        </w:rPr>
        <w:t> </w:t>
      </w:r>
      <w:r>
        <w:rPr/>
        <w:t>Markov Decision Processes for the Evaluation of Player and Team </w:t>
      </w:r>
      <w:r>
        <w:rPr>
          <w:spacing w:val="-2"/>
        </w:rPr>
        <w:t>Performances</w:t>
      </w:r>
    </w:p>
    <w:p>
      <w:pPr>
        <w:pStyle w:val="BodyText"/>
        <w:spacing w:before="4"/>
        <w:rPr>
          <w:sz w:val="65"/>
        </w:rPr>
      </w:pPr>
    </w:p>
    <w:p>
      <w:pPr>
        <w:pStyle w:val="Heading2"/>
        <w:numPr>
          <w:ilvl w:val="1"/>
          <w:numId w:val="21"/>
        </w:numPr>
        <w:tabs>
          <w:tab w:pos="1385" w:val="left" w:leader="none"/>
          <w:tab w:pos="1386" w:val="left" w:leader="none"/>
        </w:tabs>
        <w:spacing w:line="240" w:lineRule="auto" w:before="0" w:after="0"/>
        <w:ind w:left="1385" w:right="0" w:hanging="776"/>
        <w:jc w:val="left"/>
      </w:pPr>
      <w:bookmarkStart w:name="_TOC_250032" w:id="166"/>
      <w:bookmarkStart w:name="4.1 Introduction" w:id="167"/>
      <w:r>
        <w:rPr>
          <w:b w:val="0"/>
        </w:rPr>
      </w:r>
      <w:bookmarkStart w:name="_bookmark93" w:id="168"/>
      <w:bookmarkEnd w:id="168"/>
      <w:r>
        <w:rPr>
          <w:spacing w:val="-2"/>
        </w:rPr>
        <w:t>Int</w:t>
      </w:r>
      <w:bookmarkEnd w:id="166"/>
      <w:r>
        <w:rPr>
          <w:spacing w:val="-2"/>
        </w:rPr>
        <w:t>roduction</w:t>
      </w:r>
    </w:p>
    <w:p>
      <w:pPr>
        <w:pStyle w:val="BodyText"/>
        <w:spacing w:line="312" w:lineRule="auto" w:before="309"/>
        <w:ind w:left="610" w:right="389"/>
      </w:pPr>
      <w:r>
        <w:rPr/>
        <w:t>A key limitation of the analysis conducted in Chapter</w:t>
      </w:r>
      <w:r>
        <w:rPr>
          <w:color w:val="0000FF"/>
        </w:rPr>
        <w:t>3</w:t>
      </w:r>
      <w:r>
        <w:rPr/>
        <w:t>was that it could only consider play by play data (i.e.</w:t>
      </w:r>
      <w:r>
        <w:rPr>
          <w:spacing w:val="74"/>
        </w:rPr>
        <w:t> </w:t>
      </w:r>
      <w:r>
        <w:rPr/>
        <w:t>the first action of every play).</w:t>
      </w:r>
      <w:r>
        <w:rPr>
          <w:spacing w:val="74"/>
        </w:rPr>
        <w:t> </w:t>
      </w:r>
      <w:r>
        <w:rPr/>
        <w:t>Analysing action by action data</w:t>
      </w:r>
      <w:r>
        <w:rPr>
          <w:spacing w:val="40"/>
        </w:rPr>
        <w:t> </w:t>
      </w:r>
      <w:r>
        <w:rPr/>
        <w:t>(i.e.</w:t>
      </w:r>
      <w:r>
        <w:rPr>
          <w:spacing w:val="40"/>
        </w:rPr>
        <w:t> </w:t>
      </w:r>
      <w:r>
        <w:rPr/>
        <w:t>the location of each individual action) would allow the performances of teams and players</w:t>
      </w:r>
      <w:r>
        <w:rPr>
          <w:spacing w:val="-5"/>
        </w:rPr>
        <w:t> </w:t>
      </w:r>
      <w:r>
        <w:rPr/>
        <w:t>to</w:t>
      </w:r>
      <w:r>
        <w:rPr>
          <w:spacing w:val="-5"/>
        </w:rPr>
        <w:t> </w:t>
      </w:r>
      <w:r>
        <w:rPr/>
        <w:t>be</w:t>
      </w:r>
      <w:r>
        <w:rPr>
          <w:spacing w:val="-6"/>
        </w:rPr>
        <w:t> </w:t>
      </w:r>
      <w:r>
        <w:rPr/>
        <w:t>evaluated</w:t>
      </w:r>
      <w:r>
        <w:rPr>
          <w:spacing w:val="-5"/>
        </w:rPr>
        <w:t> </w:t>
      </w:r>
      <w:r>
        <w:rPr/>
        <w:t>in</w:t>
      </w:r>
      <w:r>
        <w:rPr>
          <w:spacing w:val="-5"/>
        </w:rPr>
        <w:t> </w:t>
      </w:r>
      <w:r>
        <w:rPr/>
        <w:t>more</w:t>
      </w:r>
      <w:r>
        <w:rPr>
          <w:spacing w:val="-5"/>
        </w:rPr>
        <w:t> </w:t>
      </w:r>
      <w:r>
        <w:rPr/>
        <w:t>detail. However,</w:t>
      </w:r>
      <w:r>
        <w:rPr>
          <w:spacing w:val="-5"/>
        </w:rPr>
        <w:t> </w:t>
      </w:r>
      <w:r>
        <w:rPr/>
        <w:t>in</w:t>
      </w:r>
      <w:r>
        <w:rPr>
          <w:spacing w:val="-5"/>
        </w:rPr>
        <w:t> </w:t>
      </w:r>
      <w:r>
        <w:rPr/>
        <w:t>2019,</w:t>
      </w:r>
      <w:r>
        <w:rPr>
          <w:spacing w:val="-5"/>
        </w:rPr>
        <w:t> </w:t>
      </w:r>
      <w:r>
        <w:rPr/>
        <w:t>such</w:t>
      </w:r>
      <w:r>
        <w:rPr>
          <w:spacing w:val="-5"/>
        </w:rPr>
        <w:t> </w:t>
      </w:r>
      <w:r>
        <w:rPr/>
        <w:t>data</w:t>
      </w:r>
      <w:r>
        <w:rPr>
          <w:spacing w:val="-5"/>
        </w:rPr>
        <w:t> </w:t>
      </w:r>
      <w:r>
        <w:rPr/>
        <w:t>was</w:t>
      </w:r>
      <w:r>
        <w:rPr>
          <w:spacing w:val="-5"/>
        </w:rPr>
        <w:t> </w:t>
      </w:r>
      <w:r>
        <w:rPr/>
        <w:t>not</w:t>
      </w:r>
      <w:r>
        <w:rPr>
          <w:spacing w:val="-5"/>
        </w:rPr>
        <w:t> </w:t>
      </w:r>
      <w:r>
        <w:rPr/>
        <w:t>available. </w:t>
      </w:r>
      <w:r>
        <w:rPr/>
        <w:t>In 2020, Opta improved their data collection processes and location data became available for</w:t>
      </w:r>
      <w:r>
        <w:rPr>
          <w:spacing w:val="-3"/>
        </w:rPr>
        <w:t> </w:t>
      </w:r>
      <w:r>
        <w:rPr/>
        <w:t>every</w:t>
      </w:r>
      <w:r>
        <w:rPr>
          <w:spacing w:val="-3"/>
        </w:rPr>
        <w:t> </w:t>
      </w:r>
      <w:r>
        <w:rPr/>
        <w:t>action</w:t>
      </w:r>
      <w:r>
        <w:rPr>
          <w:spacing w:val="-3"/>
        </w:rPr>
        <w:t> </w:t>
      </w:r>
      <w:r>
        <w:rPr/>
        <w:t>in</w:t>
      </w:r>
      <w:r>
        <w:rPr>
          <w:spacing w:val="-3"/>
        </w:rPr>
        <w:t> </w:t>
      </w:r>
      <w:r>
        <w:rPr/>
        <w:t>the</w:t>
      </w:r>
      <w:r>
        <w:rPr>
          <w:spacing w:val="-3"/>
        </w:rPr>
        <w:t> </w:t>
      </w:r>
      <w:r>
        <w:rPr/>
        <w:t>Super</w:t>
      </w:r>
      <w:r>
        <w:rPr>
          <w:spacing w:val="-3"/>
        </w:rPr>
        <w:t> </w:t>
      </w:r>
      <w:r>
        <w:rPr/>
        <w:t>League,</w:t>
      </w:r>
      <w:r>
        <w:rPr>
          <w:spacing w:val="-2"/>
        </w:rPr>
        <w:t> </w:t>
      </w:r>
      <w:r>
        <w:rPr/>
        <w:t>allowing</w:t>
      </w:r>
      <w:r>
        <w:rPr>
          <w:spacing w:val="-3"/>
        </w:rPr>
        <w:t> </w:t>
      </w:r>
      <w:r>
        <w:rPr/>
        <w:t>action</w:t>
      </w:r>
      <w:r>
        <w:rPr>
          <w:spacing w:val="-3"/>
        </w:rPr>
        <w:t> </w:t>
      </w:r>
      <w:r>
        <w:rPr/>
        <w:t>by</w:t>
      </w:r>
      <w:r>
        <w:rPr>
          <w:spacing w:val="-3"/>
        </w:rPr>
        <w:t> </w:t>
      </w:r>
      <w:r>
        <w:rPr/>
        <w:t>action</w:t>
      </w:r>
      <w:r>
        <w:rPr>
          <w:spacing w:val="-3"/>
        </w:rPr>
        <w:t> </w:t>
      </w:r>
      <w:r>
        <w:rPr/>
        <w:t>analyses</w:t>
      </w:r>
      <w:r>
        <w:rPr>
          <w:spacing w:val="-3"/>
        </w:rPr>
        <w:t> </w:t>
      </w:r>
      <w:r>
        <w:rPr/>
        <w:t>to</w:t>
      </w:r>
      <w:r>
        <w:rPr>
          <w:spacing w:val="-3"/>
        </w:rPr>
        <w:t> </w:t>
      </w:r>
      <w:r>
        <w:rPr/>
        <w:t>be</w:t>
      </w:r>
      <w:r>
        <w:rPr>
          <w:spacing w:val="-3"/>
        </w:rPr>
        <w:t> </w:t>
      </w:r>
      <w:r>
        <w:rPr/>
        <w:t>conducted for the first time.</w:t>
      </w:r>
      <w:r>
        <w:rPr>
          <w:spacing w:val="40"/>
        </w:rPr>
        <w:t> </w:t>
      </w:r>
      <w:r>
        <w:rPr/>
        <w:t>Consequently, this study builds on the work described in Chapter</w:t>
      </w:r>
      <w:r>
        <w:rPr>
          <w:color w:val="0000FF"/>
        </w:rPr>
        <w:t>3</w:t>
      </w:r>
      <w:r>
        <w:rPr/>
        <w:t>by proposing</w:t>
      </w:r>
      <w:r>
        <w:rPr>
          <w:spacing w:val="-1"/>
        </w:rPr>
        <w:t> </w:t>
      </w:r>
      <w:r>
        <w:rPr/>
        <w:t>a</w:t>
      </w:r>
      <w:r>
        <w:rPr>
          <w:spacing w:val="-1"/>
        </w:rPr>
        <w:t> </w:t>
      </w:r>
      <w:r>
        <w:rPr/>
        <w:t>model</w:t>
      </w:r>
      <w:r>
        <w:rPr>
          <w:spacing w:val="-1"/>
        </w:rPr>
        <w:t> </w:t>
      </w:r>
      <w:r>
        <w:rPr/>
        <w:t>which</w:t>
      </w:r>
      <w:r>
        <w:rPr>
          <w:spacing w:val="-1"/>
        </w:rPr>
        <w:t> </w:t>
      </w:r>
      <w:r>
        <w:rPr/>
        <w:t>evaluates</w:t>
      </w:r>
      <w:r>
        <w:rPr>
          <w:spacing w:val="-1"/>
        </w:rPr>
        <w:t> </w:t>
      </w:r>
      <w:r>
        <w:rPr/>
        <w:t>player</w:t>
      </w:r>
      <w:r>
        <w:rPr>
          <w:spacing w:val="-1"/>
        </w:rPr>
        <w:t> </w:t>
      </w:r>
      <w:r>
        <w:rPr/>
        <w:t>and</w:t>
      </w:r>
      <w:r>
        <w:rPr>
          <w:spacing w:val="-1"/>
        </w:rPr>
        <w:t> </w:t>
      </w:r>
      <w:r>
        <w:rPr/>
        <w:t>team</w:t>
      </w:r>
      <w:r>
        <w:rPr>
          <w:spacing w:val="-1"/>
        </w:rPr>
        <w:t> </w:t>
      </w:r>
      <w:r>
        <w:rPr/>
        <w:t>performances</w:t>
      </w:r>
      <w:r>
        <w:rPr>
          <w:spacing w:val="-1"/>
        </w:rPr>
        <w:t> </w:t>
      </w:r>
      <w:r>
        <w:rPr/>
        <w:t>in</w:t>
      </w:r>
      <w:r>
        <w:rPr>
          <w:spacing w:val="-1"/>
        </w:rPr>
        <w:t> </w:t>
      </w:r>
      <w:r>
        <w:rPr/>
        <w:t>rugby</w:t>
      </w:r>
      <w:r>
        <w:rPr>
          <w:spacing w:val="-1"/>
        </w:rPr>
        <w:t> </w:t>
      </w:r>
      <w:r>
        <w:rPr/>
        <w:t>league</w:t>
      </w:r>
      <w:r>
        <w:rPr>
          <w:spacing w:val="-1"/>
        </w:rPr>
        <w:t> </w:t>
      </w:r>
      <w:r>
        <w:rPr/>
        <w:t>using a Markov Decision Process (MDP) framework, applying and adapting ideas previously used in ice hockey (</w:t>
      </w:r>
      <w:hyperlink w:history="true" w:anchor="_bookmark287">
        <w:r>
          <w:rPr>
            <w:color w:val="FF0000"/>
          </w:rPr>
          <w:t>Routley and Schulte</w:t>
        </w:r>
      </w:hyperlink>
      <w:r>
        <w:rPr/>
        <w:t>,</w:t>
      </w:r>
      <w:hyperlink w:history="true" w:anchor="_bookmark287">
        <w:r>
          <w:rPr>
            <w:color w:val="FF0000"/>
          </w:rPr>
          <w:t>2015</w:t>
        </w:r>
        <w:r>
          <w:rPr/>
          <w:t>)</w:t>
        </w:r>
      </w:hyperlink>
      <w:r>
        <w:rPr/>
        <w:t> and football (</w:t>
      </w:r>
      <w:hyperlink w:history="true" w:anchor="_bookmark294">
        <w:r>
          <w:rPr>
            <w:color w:val="FF0000"/>
          </w:rPr>
          <w:t>Singh</w:t>
        </w:r>
        <w:r>
          <w:rPr/>
          <w:t>,</w:t>
        </w:r>
      </w:hyperlink>
      <w:r>
        <w:rPr>
          <w:color w:val="FF0000"/>
        </w:rPr>
        <w:t>n.d.</w:t>
      </w:r>
      <w:hyperlink w:history="true" w:anchor="_bookmark294">
        <w:r>
          <w:rPr/>
          <w:t>).</w:t>
        </w:r>
      </w:hyperlink>
      <w:r>
        <w:rPr/>
        <w:t> Action impact ratings are adapted from ice hockey (</w:t>
      </w:r>
      <w:hyperlink w:history="true" w:anchor="_bookmark287">
        <w:r>
          <w:rPr>
            <w:color w:val="FF0000"/>
          </w:rPr>
          <w:t>Routley and Schulte</w:t>
        </w:r>
      </w:hyperlink>
      <w:r>
        <w:rPr/>
        <w:t>,</w:t>
      </w:r>
      <w:hyperlink w:history="true" w:anchor="_bookmark287">
        <w:r>
          <w:rPr>
            <w:color w:val="FF0000"/>
          </w:rPr>
          <w:t>2015</w:t>
        </w:r>
        <w:r>
          <w:rPr/>
          <w:t>)</w:t>
        </w:r>
      </w:hyperlink>
      <w:r>
        <w:rPr/>
        <w:t> to analyse player and team performances using action values from the MDP for the first time in rugby league. Furthermore,</w:t>
      </w:r>
      <w:r>
        <w:rPr>
          <w:spacing w:val="-6"/>
        </w:rPr>
        <w:t> </w:t>
      </w:r>
      <w:r>
        <w:rPr/>
        <w:t>context</w:t>
      </w:r>
      <w:r>
        <w:rPr>
          <w:spacing w:val="-7"/>
        </w:rPr>
        <w:t> </w:t>
      </w:r>
      <w:r>
        <w:rPr/>
        <w:t>nodes</w:t>
      </w:r>
      <w:r>
        <w:rPr>
          <w:spacing w:val="-7"/>
        </w:rPr>
        <w:t> </w:t>
      </w:r>
      <w:r>
        <w:rPr/>
        <w:t>are</w:t>
      </w:r>
      <w:r>
        <w:rPr>
          <w:spacing w:val="-7"/>
        </w:rPr>
        <w:t> </w:t>
      </w:r>
      <w:r>
        <w:rPr/>
        <w:t>adapted</w:t>
      </w:r>
      <w:r>
        <w:rPr>
          <w:spacing w:val="-7"/>
        </w:rPr>
        <w:t> </w:t>
      </w:r>
      <w:r>
        <w:rPr/>
        <w:t>from</w:t>
      </w:r>
      <w:r>
        <w:rPr>
          <w:spacing w:val="-7"/>
        </w:rPr>
        <w:t> </w:t>
      </w:r>
      <w:r>
        <w:rPr/>
        <w:t>ice</w:t>
      </w:r>
      <w:r>
        <w:rPr>
          <w:spacing w:val="-7"/>
        </w:rPr>
        <w:t> </w:t>
      </w:r>
      <w:r>
        <w:rPr/>
        <w:t>hockey</w:t>
      </w:r>
      <w:r>
        <w:rPr>
          <w:spacing w:val="-7"/>
        </w:rPr>
        <w:t> </w:t>
      </w:r>
      <w:r>
        <w:rPr/>
        <w:t>(</w:t>
      </w:r>
      <w:hyperlink w:history="true" w:anchor="_bookmark287">
        <w:r>
          <w:rPr>
            <w:color w:val="FF0000"/>
          </w:rPr>
          <w:t>Routley</w:t>
        </w:r>
        <w:r>
          <w:rPr>
            <w:color w:val="FF0000"/>
            <w:spacing w:val="-7"/>
          </w:rPr>
          <w:t> </w:t>
        </w:r>
        <w:r>
          <w:rPr>
            <w:color w:val="FF0000"/>
          </w:rPr>
          <w:t>and</w:t>
        </w:r>
        <w:r>
          <w:rPr>
            <w:color w:val="FF0000"/>
            <w:spacing w:val="-7"/>
          </w:rPr>
          <w:t> </w:t>
        </w:r>
        <w:r>
          <w:rPr>
            <w:color w:val="FF0000"/>
          </w:rPr>
          <w:t>Schulte</w:t>
        </w:r>
      </w:hyperlink>
      <w:r>
        <w:rPr/>
        <w:t>,</w:t>
      </w:r>
      <w:hyperlink w:history="true" w:anchor="_bookmark287">
        <w:r>
          <w:rPr>
            <w:color w:val="FF0000"/>
          </w:rPr>
          <w:t>2015</w:t>
        </w:r>
        <w:r>
          <w:rPr/>
          <w:t>)</w:t>
        </w:r>
      </w:hyperlink>
      <w:r>
        <w:rPr>
          <w:spacing w:val="-7"/>
        </w:rPr>
        <w:t> </w:t>
      </w:r>
      <w:r>
        <w:rPr/>
        <w:t>and football</w:t>
      </w:r>
      <w:r>
        <w:rPr>
          <w:spacing w:val="-2"/>
        </w:rPr>
        <w:t> </w:t>
      </w:r>
      <w:r>
        <w:rPr/>
        <w:t>(</w:t>
      </w:r>
      <w:hyperlink w:history="true" w:anchor="_bookmark239">
        <w:r>
          <w:rPr>
            <w:color w:val="FF0000"/>
          </w:rPr>
          <w:t>Decroos</w:t>
        </w:r>
        <w:r>
          <w:rPr>
            <w:color w:val="FF0000"/>
            <w:spacing w:val="-2"/>
          </w:rPr>
          <w:t> </w:t>
        </w:r>
        <w:r>
          <w:rPr>
            <w:color w:val="FF0000"/>
          </w:rPr>
          <w:t>et</w:t>
        </w:r>
        <w:r>
          <w:rPr>
            <w:color w:val="FF0000"/>
            <w:spacing w:val="-3"/>
          </w:rPr>
          <w:t> </w:t>
        </w:r>
        <w:r>
          <w:rPr>
            <w:color w:val="FF0000"/>
          </w:rPr>
          <w:t>al.</w:t>
        </w:r>
      </w:hyperlink>
      <w:r>
        <w:rPr/>
        <w:t>,</w:t>
      </w:r>
      <w:hyperlink w:history="true" w:anchor="_bookmark239">
        <w:r>
          <w:rPr>
            <w:color w:val="FF0000"/>
          </w:rPr>
          <w:t>2019</w:t>
        </w:r>
        <w:r>
          <w:rPr/>
          <w:t>)</w:t>
        </w:r>
      </w:hyperlink>
      <w:r>
        <w:rPr>
          <w:spacing w:val="-2"/>
        </w:rPr>
        <w:t> </w:t>
      </w:r>
      <w:r>
        <w:rPr/>
        <w:t>to</w:t>
      </w:r>
      <w:r>
        <w:rPr>
          <w:spacing w:val="-2"/>
        </w:rPr>
        <w:t> </w:t>
      </w:r>
      <w:r>
        <w:rPr/>
        <w:t>allow</w:t>
      </w:r>
      <w:r>
        <w:rPr>
          <w:spacing w:val="-2"/>
        </w:rPr>
        <w:t> </w:t>
      </w:r>
      <w:r>
        <w:rPr/>
        <w:t>further</w:t>
      </w:r>
      <w:r>
        <w:rPr>
          <w:spacing w:val="-2"/>
        </w:rPr>
        <w:t> </w:t>
      </w:r>
      <w:r>
        <w:rPr/>
        <w:t>insight</w:t>
      </w:r>
      <w:r>
        <w:rPr>
          <w:spacing w:val="-2"/>
        </w:rPr>
        <w:t> </w:t>
      </w:r>
      <w:r>
        <w:rPr/>
        <w:t>into</w:t>
      </w:r>
      <w:r>
        <w:rPr>
          <w:spacing w:val="-3"/>
        </w:rPr>
        <w:t> </w:t>
      </w:r>
      <w:r>
        <w:rPr/>
        <w:t>player</w:t>
      </w:r>
      <w:r>
        <w:rPr>
          <w:spacing w:val="-2"/>
        </w:rPr>
        <w:t> </w:t>
      </w:r>
      <w:r>
        <w:rPr/>
        <w:t>and</w:t>
      </w:r>
      <w:r>
        <w:rPr>
          <w:spacing w:val="-2"/>
        </w:rPr>
        <w:t> </w:t>
      </w:r>
      <w:r>
        <w:rPr/>
        <w:t>team</w:t>
      </w:r>
      <w:r>
        <w:rPr>
          <w:spacing w:val="-2"/>
        </w:rPr>
        <w:t> </w:t>
      </w:r>
      <w:r>
        <w:rPr/>
        <w:t>performances to</w:t>
      </w:r>
      <w:r>
        <w:rPr>
          <w:spacing w:val="-8"/>
        </w:rPr>
        <w:t> </w:t>
      </w:r>
      <w:r>
        <w:rPr/>
        <w:t>be</w:t>
      </w:r>
      <w:r>
        <w:rPr>
          <w:spacing w:val="-8"/>
        </w:rPr>
        <w:t> </w:t>
      </w:r>
      <w:r>
        <w:rPr/>
        <w:t>gleaned. The</w:t>
      </w:r>
      <w:r>
        <w:rPr>
          <w:spacing w:val="-8"/>
        </w:rPr>
        <w:t> </w:t>
      </w:r>
      <w:r>
        <w:rPr/>
        <w:t>study</w:t>
      </w:r>
      <w:r>
        <w:rPr>
          <w:spacing w:val="-8"/>
        </w:rPr>
        <w:t> </w:t>
      </w:r>
      <w:r>
        <w:rPr/>
        <w:t>was</w:t>
      </w:r>
      <w:r>
        <w:rPr>
          <w:spacing w:val="-8"/>
        </w:rPr>
        <w:t> </w:t>
      </w:r>
      <w:r>
        <w:rPr/>
        <w:t>presented</w:t>
      </w:r>
      <w:r>
        <w:rPr>
          <w:spacing w:val="-8"/>
        </w:rPr>
        <w:t> </w:t>
      </w:r>
      <w:r>
        <w:rPr/>
        <w:t>at</w:t>
      </w:r>
      <w:r>
        <w:rPr>
          <w:spacing w:val="-8"/>
        </w:rPr>
        <w:t> </w:t>
      </w:r>
      <w:r>
        <w:rPr/>
        <w:t>the</w:t>
      </w:r>
      <w:r>
        <w:rPr>
          <w:spacing w:val="-8"/>
        </w:rPr>
        <w:t> </w:t>
      </w:r>
      <w:r>
        <w:rPr/>
        <w:t>UKCI</w:t>
      </w:r>
      <w:r>
        <w:rPr>
          <w:spacing w:val="-8"/>
        </w:rPr>
        <w:t> </w:t>
      </w:r>
      <w:r>
        <w:rPr/>
        <w:t>2021</w:t>
      </w:r>
      <w:r>
        <w:rPr>
          <w:spacing w:val="-8"/>
        </w:rPr>
        <w:t> </w:t>
      </w:r>
      <w:r>
        <w:rPr/>
        <w:t>conference</w:t>
      </w:r>
      <w:r>
        <w:rPr>
          <w:spacing w:val="-8"/>
        </w:rPr>
        <w:t> </w:t>
      </w:r>
      <w:r>
        <w:rPr/>
        <w:t>(Thomas</w:t>
      </w:r>
      <w:r>
        <w:rPr>
          <w:spacing w:val="-8"/>
        </w:rPr>
        <w:t> </w:t>
      </w:r>
      <w:r>
        <w:rPr/>
        <w:t>Sawczuk,</w:t>
      </w:r>
    </w:p>
    <w:p>
      <w:pPr>
        <w:spacing w:after="0" w:line="312" w:lineRule="auto"/>
        <w:sectPr>
          <w:headerReference w:type="default" r:id="rId82"/>
          <w:footerReference w:type="default" r:id="rId83"/>
          <w:pgSz w:w="11910" w:h="16840"/>
          <w:pgMar w:header="0" w:footer="1428" w:top="192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Anna Palczewska, Ben Jones.</w:t>
      </w:r>
      <w:r>
        <w:rPr>
          <w:spacing w:val="40"/>
        </w:rPr>
        <w:t> </w:t>
      </w:r>
      <w:r>
        <w:rPr/>
        <w:t>”Markov Decision Processes with contextual nodes as a method</w:t>
      </w:r>
      <w:r>
        <w:rPr>
          <w:spacing w:val="-13"/>
        </w:rPr>
        <w:t> </w:t>
      </w:r>
      <w:r>
        <w:rPr/>
        <w:t>of</w:t>
      </w:r>
      <w:r>
        <w:rPr>
          <w:spacing w:val="-13"/>
        </w:rPr>
        <w:t> </w:t>
      </w:r>
      <w:r>
        <w:rPr/>
        <w:t>assessing</w:t>
      </w:r>
      <w:r>
        <w:rPr>
          <w:spacing w:val="-13"/>
        </w:rPr>
        <w:t> </w:t>
      </w:r>
      <w:r>
        <w:rPr/>
        <w:t>attacking</w:t>
      </w:r>
      <w:r>
        <w:rPr>
          <w:spacing w:val="-13"/>
        </w:rPr>
        <w:t> </w:t>
      </w:r>
      <w:r>
        <w:rPr/>
        <w:t>player</w:t>
      </w:r>
      <w:r>
        <w:rPr>
          <w:spacing w:val="-13"/>
        </w:rPr>
        <w:t> </w:t>
      </w:r>
      <w:r>
        <w:rPr/>
        <w:t>performance</w:t>
      </w:r>
      <w:r>
        <w:rPr>
          <w:spacing w:val="-13"/>
        </w:rPr>
        <w:t> </w:t>
      </w:r>
      <w:r>
        <w:rPr/>
        <w:t>in</w:t>
      </w:r>
      <w:r>
        <w:rPr>
          <w:spacing w:val="-13"/>
        </w:rPr>
        <w:t> </w:t>
      </w:r>
      <w:r>
        <w:rPr/>
        <w:t>rugby</w:t>
      </w:r>
      <w:r>
        <w:rPr>
          <w:spacing w:val="-13"/>
        </w:rPr>
        <w:t> </w:t>
      </w:r>
      <w:r>
        <w:rPr/>
        <w:t>league”</w:t>
      </w:r>
      <w:r>
        <w:rPr>
          <w:spacing w:val="-13"/>
        </w:rPr>
        <w:t> </w:t>
      </w:r>
      <w:r>
        <w:rPr/>
        <w:t>in</w:t>
      </w:r>
      <w:r>
        <w:rPr>
          <w:spacing w:val="-13"/>
        </w:rPr>
        <w:t> </w:t>
      </w:r>
      <w:r>
        <w:rPr>
          <w:i/>
        </w:rPr>
        <w:t>20th</w:t>
      </w:r>
      <w:r>
        <w:rPr>
          <w:i/>
          <w:spacing w:val="-13"/>
        </w:rPr>
        <w:t> </w:t>
      </w:r>
      <w:r>
        <w:rPr>
          <w:i/>
        </w:rPr>
        <w:t>UK</w:t>
      </w:r>
      <w:r>
        <w:rPr>
          <w:i/>
          <w:spacing w:val="-13"/>
        </w:rPr>
        <w:t> </w:t>
      </w:r>
      <w:r>
        <w:rPr>
          <w:i/>
        </w:rPr>
        <w:t>Workshop</w:t>
      </w:r>
      <w:r>
        <w:rPr>
          <w:i/>
        </w:rPr>
        <w:t> on Computational Intelligence</w:t>
      </w:r>
      <w:r>
        <w:rPr/>
        <w:t>, Aberystwyth, 2021), published in Advances in Compu- tational Intelligence Systems (Thomas Sawczuk, Anna Palczewska, Ben Jones.</w:t>
      </w:r>
      <w:r>
        <w:rPr>
          <w:spacing w:val="34"/>
        </w:rPr>
        <w:t> </w:t>
      </w:r>
      <w:r>
        <w:rPr/>
        <w:t>Markov Decision</w:t>
      </w:r>
      <w:r>
        <w:rPr>
          <w:spacing w:val="-1"/>
        </w:rPr>
        <w:t> </w:t>
      </w:r>
      <w:r>
        <w:rPr/>
        <w:t>Processes</w:t>
      </w:r>
      <w:r>
        <w:rPr>
          <w:spacing w:val="-1"/>
        </w:rPr>
        <w:t> </w:t>
      </w:r>
      <w:r>
        <w:rPr/>
        <w:t>with</w:t>
      </w:r>
      <w:r>
        <w:rPr>
          <w:spacing w:val="-1"/>
        </w:rPr>
        <w:t> </w:t>
      </w:r>
      <w:r>
        <w:rPr/>
        <w:t>contextual</w:t>
      </w:r>
      <w:r>
        <w:rPr>
          <w:spacing w:val="-1"/>
        </w:rPr>
        <w:t> </w:t>
      </w:r>
      <w:r>
        <w:rPr/>
        <w:t>nodes</w:t>
      </w:r>
      <w:r>
        <w:rPr>
          <w:spacing w:val="-1"/>
        </w:rPr>
        <w:t> </w:t>
      </w:r>
      <w:r>
        <w:rPr/>
        <w:t>as</w:t>
      </w:r>
      <w:r>
        <w:rPr>
          <w:spacing w:val="-1"/>
        </w:rPr>
        <w:t> </w:t>
      </w:r>
      <w:r>
        <w:rPr/>
        <w:t>a</w:t>
      </w:r>
      <w:r>
        <w:rPr>
          <w:spacing w:val="-1"/>
        </w:rPr>
        <w:t> </w:t>
      </w:r>
      <w:r>
        <w:rPr/>
        <w:t>method</w:t>
      </w:r>
      <w:r>
        <w:rPr>
          <w:spacing w:val="-1"/>
        </w:rPr>
        <w:t> </w:t>
      </w:r>
      <w:r>
        <w:rPr/>
        <w:t>of</w:t>
      </w:r>
      <w:r>
        <w:rPr>
          <w:spacing w:val="-1"/>
        </w:rPr>
        <w:t> </w:t>
      </w:r>
      <w:r>
        <w:rPr/>
        <w:t>assessing</w:t>
      </w:r>
      <w:r>
        <w:rPr>
          <w:spacing w:val="-1"/>
        </w:rPr>
        <w:t> </w:t>
      </w:r>
      <w:r>
        <w:rPr/>
        <w:t>attacking</w:t>
      </w:r>
      <w:r>
        <w:rPr>
          <w:spacing w:val="-1"/>
        </w:rPr>
        <w:t> </w:t>
      </w:r>
      <w:r>
        <w:rPr/>
        <w:t>player</w:t>
      </w:r>
      <w:r>
        <w:rPr>
          <w:spacing w:val="-1"/>
        </w:rPr>
        <w:t> </w:t>
      </w:r>
      <w:r>
        <w:rPr/>
        <w:t>per- formance</w:t>
      </w:r>
      <w:r>
        <w:rPr>
          <w:spacing w:val="-2"/>
        </w:rPr>
        <w:t> </w:t>
      </w:r>
      <w:r>
        <w:rPr/>
        <w:t>in</w:t>
      </w:r>
      <w:r>
        <w:rPr>
          <w:spacing w:val="-2"/>
        </w:rPr>
        <w:t> </w:t>
      </w:r>
      <w:r>
        <w:rPr/>
        <w:t>rugby</w:t>
      </w:r>
      <w:r>
        <w:rPr>
          <w:spacing w:val="-2"/>
        </w:rPr>
        <w:t> </w:t>
      </w:r>
      <w:r>
        <w:rPr/>
        <w:t>league. In: Jansen,</w:t>
      </w:r>
      <w:r>
        <w:rPr>
          <w:spacing w:val="-2"/>
        </w:rPr>
        <w:t> </w:t>
      </w:r>
      <w:r>
        <w:rPr/>
        <w:t>T.,</w:t>
      </w:r>
      <w:r>
        <w:rPr>
          <w:spacing w:val="-1"/>
        </w:rPr>
        <w:t> </w:t>
      </w:r>
      <w:r>
        <w:rPr/>
        <w:t>Jensen,</w:t>
      </w:r>
      <w:r>
        <w:rPr>
          <w:spacing w:val="-2"/>
        </w:rPr>
        <w:t> </w:t>
      </w:r>
      <w:r>
        <w:rPr/>
        <w:t>R.,</w:t>
      </w:r>
      <w:r>
        <w:rPr>
          <w:spacing w:val="-2"/>
        </w:rPr>
        <w:t> </w:t>
      </w:r>
      <w:r>
        <w:rPr/>
        <w:t>Mac</w:t>
      </w:r>
      <w:r>
        <w:rPr>
          <w:spacing w:val="-2"/>
        </w:rPr>
        <w:t> </w:t>
      </w:r>
      <w:r>
        <w:rPr/>
        <w:t>Parthalain,</w:t>
      </w:r>
      <w:r>
        <w:rPr>
          <w:spacing w:val="-2"/>
        </w:rPr>
        <w:t> </w:t>
      </w:r>
      <w:r>
        <w:rPr/>
        <w:t>N.,</w:t>
      </w:r>
      <w:r>
        <w:rPr>
          <w:spacing w:val="-1"/>
        </w:rPr>
        <w:t> </w:t>
      </w:r>
      <w:r>
        <w:rPr/>
        <w:t>Lin,</w:t>
      </w:r>
      <w:r>
        <w:rPr>
          <w:spacing w:val="-2"/>
        </w:rPr>
        <w:t> </w:t>
      </w:r>
      <w:r>
        <w:rPr/>
        <w:t>CM.</w:t>
      </w:r>
      <w:r>
        <w:rPr>
          <w:spacing w:val="-2"/>
        </w:rPr>
        <w:t> </w:t>
      </w:r>
      <w:r>
        <w:rPr/>
        <w:t>(eds) Advances in Computational Intelligence Systems.</w:t>
      </w:r>
      <w:r>
        <w:rPr>
          <w:spacing w:val="40"/>
        </w:rPr>
        <w:t> </w:t>
      </w:r>
      <w:r>
        <w:rPr>
          <w:i/>
        </w:rPr>
        <w:t>UKCI 2021</w:t>
      </w:r>
      <w:r>
        <w:rPr/>
        <w:t>.</w:t>
      </w:r>
      <w:r>
        <w:rPr>
          <w:spacing w:val="40"/>
        </w:rPr>
        <w:t> </w:t>
      </w:r>
      <w:r>
        <w:rPr/>
        <w:t>Advances in Intelligent Systems and Computing, vol 1409.</w:t>
      </w:r>
      <w:r>
        <w:rPr>
          <w:spacing w:val="40"/>
        </w:rPr>
        <w:t> </w:t>
      </w:r>
      <w:r>
        <w:rPr/>
        <w:t>Springer, Cham.)</w:t>
      </w:r>
      <w:r>
        <w:rPr>
          <w:spacing w:val="40"/>
        </w:rPr>
        <w:t> </w:t>
      </w:r>
      <w:r>
        <w:rPr/>
        <w:t>and presented internally to the Sports</w:t>
      </w:r>
      <w:r>
        <w:rPr>
          <w:spacing w:val="-13"/>
        </w:rPr>
        <w:t> </w:t>
      </w:r>
      <w:r>
        <w:rPr/>
        <w:t>Science</w:t>
      </w:r>
      <w:r>
        <w:rPr>
          <w:spacing w:val="-13"/>
        </w:rPr>
        <w:t> </w:t>
      </w:r>
      <w:r>
        <w:rPr/>
        <w:t>department</w:t>
      </w:r>
      <w:r>
        <w:rPr>
          <w:spacing w:val="-13"/>
        </w:rPr>
        <w:t> </w:t>
      </w:r>
      <w:r>
        <w:rPr/>
        <w:t>at</w:t>
      </w:r>
      <w:r>
        <w:rPr>
          <w:spacing w:val="-12"/>
        </w:rPr>
        <w:t> </w:t>
      </w:r>
      <w:r>
        <w:rPr/>
        <w:t>Leeds</w:t>
      </w:r>
      <w:r>
        <w:rPr>
          <w:spacing w:val="-12"/>
        </w:rPr>
        <w:t> </w:t>
      </w:r>
      <w:r>
        <w:rPr/>
        <w:t>Beckett</w:t>
      </w:r>
      <w:r>
        <w:rPr>
          <w:spacing w:val="-13"/>
        </w:rPr>
        <w:t> </w:t>
      </w:r>
      <w:r>
        <w:rPr/>
        <w:t>University,</w:t>
      </w:r>
      <w:r>
        <w:rPr>
          <w:spacing w:val="-12"/>
        </w:rPr>
        <w:t> </w:t>
      </w:r>
      <w:r>
        <w:rPr/>
        <w:t>whose</w:t>
      </w:r>
      <w:r>
        <w:rPr>
          <w:spacing w:val="-12"/>
        </w:rPr>
        <w:t> </w:t>
      </w:r>
      <w:r>
        <w:rPr/>
        <w:t>feedback</w:t>
      </w:r>
      <w:r>
        <w:rPr>
          <w:spacing w:val="-13"/>
        </w:rPr>
        <w:t> </w:t>
      </w:r>
      <w:r>
        <w:rPr/>
        <w:t>provided</w:t>
      </w:r>
      <w:r>
        <w:rPr>
          <w:spacing w:val="-13"/>
        </w:rPr>
        <w:t> </w:t>
      </w:r>
      <w:r>
        <w:rPr/>
        <w:t>valida- tion for the model.</w:t>
      </w:r>
    </w:p>
    <w:p>
      <w:pPr>
        <w:pStyle w:val="BodyText"/>
        <w:spacing w:before="7"/>
        <w:rPr>
          <w:sz w:val="40"/>
        </w:rPr>
      </w:pPr>
    </w:p>
    <w:p>
      <w:pPr>
        <w:pStyle w:val="Heading2"/>
        <w:numPr>
          <w:ilvl w:val="1"/>
          <w:numId w:val="21"/>
        </w:numPr>
        <w:tabs>
          <w:tab w:pos="1385" w:val="left" w:leader="none"/>
          <w:tab w:pos="1386" w:val="left" w:leader="none"/>
        </w:tabs>
        <w:spacing w:line="240" w:lineRule="auto" w:before="0" w:after="0"/>
        <w:ind w:left="1385" w:right="0" w:hanging="776"/>
        <w:jc w:val="left"/>
      </w:pPr>
      <w:bookmarkStart w:name="_TOC_250031" w:id="169"/>
      <w:bookmarkStart w:name="4.2 Methodology" w:id="170"/>
      <w:r>
        <w:rPr>
          <w:b w:val="0"/>
        </w:rPr>
      </w:r>
      <w:bookmarkStart w:name="_bookmark94" w:id="171"/>
      <w:bookmarkEnd w:id="169"/>
      <w:r>
        <w:rPr>
          <w:spacing w:val="-2"/>
        </w:rPr>
        <w:t>Methodology</w:t>
      </w:r>
    </w:p>
    <w:p>
      <w:pPr>
        <w:pStyle w:val="BodyText"/>
        <w:spacing w:line="312" w:lineRule="auto" w:before="308"/>
        <w:ind w:left="610" w:right="389"/>
        <w:jc w:val="both"/>
      </w:pPr>
      <w:r>
        <w:rPr/>
        <w:t>In</w:t>
      </w:r>
      <w:r>
        <w:rPr>
          <w:spacing w:val="-7"/>
        </w:rPr>
        <w:t> </w:t>
      </w:r>
      <w:r>
        <w:rPr/>
        <w:t>this</w:t>
      </w:r>
      <w:r>
        <w:rPr>
          <w:spacing w:val="-7"/>
        </w:rPr>
        <w:t> </w:t>
      </w:r>
      <w:r>
        <w:rPr/>
        <w:t>section,</w:t>
      </w:r>
      <w:r>
        <w:rPr>
          <w:spacing w:val="-7"/>
        </w:rPr>
        <w:t> </w:t>
      </w:r>
      <w:r>
        <w:rPr/>
        <w:t>the</w:t>
      </w:r>
      <w:r>
        <w:rPr>
          <w:spacing w:val="-7"/>
        </w:rPr>
        <w:t> </w:t>
      </w:r>
      <w:r>
        <w:rPr/>
        <w:t>methodology</w:t>
      </w:r>
      <w:r>
        <w:rPr>
          <w:spacing w:val="-7"/>
        </w:rPr>
        <w:t> </w:t>
      </w:r>
      <w:r>
        <w:rPr/>
        <w:t>for</w:t>
      </w:r>
      <w:r>
        <w:rPr>
          <w:spacing w:val="-7"/>
        </w:rPr>
        <w:t> </w:t>
      </w:r>
      <w:r>
        <w:rPr/>
        <w:t>this</w:t>
      </w:r>
      <w:r>
        <w:rPr>
          <w:spacing w:val="-7"/>
        </w:rPr>
        <w:t> </w:t>
      </w:r>
      <w:r>
        <w:rPr/>
        <w:t>study</w:t>
      </w:r>
      <w:r>
        <w:rPr>
          <w:spacing w:val="-7"/>
        </w:rPr>
        <w:t> </w:t>
      </w:r>
      <w:r>
        <w:rPr/>
        <w:t>is</w:t>
      </w:r>
      <w:r>
        <w:rPr>
          <w:spacing w:val="-7"/>
        </w:rPr>
        <w:t> </w:t>
      </w:r>
      <w:r>
        <w:rPr/>
        <w:t>presented. It</w:t>
      </w:r>
      <w:r>
        <w:rPr>
          <w:spacing w:val="-7"/>
        </w:rPr>
        <w:t> </w:t>
      </w:r>
      <w:r>
        <w:rPr/>
        <w:t>describes</w:t>
      </w:r>
      <w:r>
        <w:rPr>
          <w:spacing w:val="-7"/>
        </w:rPr>
        <w:t> </w:t>
      </w:r>
      <w:r>
        <w:rPr/>
        <w:t>the</w:t>
      </w:r>
      <w:r>
        <w:rPr>
          <w:spacing w:val="-7"/>
        </w:rPr>
        <w:t> </w:t>
      </w:r>
      <w:r>
        <w:rPr/>
        <w:t>data</w:t>
      </w:r>
      <w:r>
        <w:rPr>
          <w:spacing w:val="-7"/>
        </w:rPr>
        <w:t> </w:t>
      </w:r>
      <w:r>
        <w:rPr/>
        <w:t>used</w:t>
      </w:r>
      <w:r>
        <w:rPr>
          <w:spacing w:val="-7"/>
        </w:rPr>
        <w:t> </w:t>
      </w:r>
      <w:r>
        <w:rPr/>
        <w:t>and the preprocessing steps required to prepare the data for analysis.</w:t>
      </w:r>
      <w:r>
        <w:rPr>
          <w:spacing w:val="40"/>
        </w:rPr>
        <w:t> </w:t>
      </w:r>
      <w:r>
        <w:rPr/>
        <w:t>The Markov </w:t>
      </w:r>
      <w:r>
        <w:rPr/>
        <w:t>Reward Process</w:t>
      </w:r>
      <w:r>
        <w:rPr>
          <w:spacing w:val="-12"/>
        </w:rPr>
        <w:t> </w:t>
      </w:r>
      <w:r>
        <w:rPr/>
        <w:t>framework</w:t>
      </w:r>
      <w:r>
        <w:rPr>
          <w:spacing w:val="-12"/>
        </w:rPr>
        <w:t> </w:t>
      </w:r>
      <w:r>
        <w:rPr/>
        <w:t>is</w:t>
      </w:r>
      <w:r>
        <w:rPr>
          <w:spacing w:val="-12"/>
        </w:rPr>
        <w:t> </w:t>
      </w:r>
      <w:r>
        <w:rPr/>
        <w:t>recalled</w:t>
      </w:r>
      <w:r>
        <w:rPr>
          <w:spacing w:val="-12"/>
        </w:rPr>
        <w:t> </w:t>
      </w:r>
      <w:r>
        <w:rPr/>
        <w:t>and</w:t>
      </w:r>
      <w:r>
        <w:rPr>
          <w:spacing w:val="-12"/>
        </w:rPr>
        <w:t> </w:t>
      </w:r>
      <w:r>
        <w:rPr/>
        <w:t>extended</w:t>
      </w:r>
      <w:r>
        <w:rPr>
          <w:spacing w:val="-12"/>
        </w:rPr>
        <w:t> </w:t>
      </w:r>
      <w:r>
        <w:rPr/>
        <w:t>to</w:t>
      </w:r>
      <w:r>
        <w:rPr>
          <w:spacing w:val="-12"/>
        </w:rPr>
        <w:t> </w:t>
      </w:r>
      <w:r>
        <w:rPr/>
        <w:t>describe</w:t>
      </w:r>
      <w:r>
        <w:rPr>
          <w:spacing w:val="-12"/>
        </w:rPr>
        <w:t> </w:t>
      </w:r>
      <w:r>
        <w:rPr/>
        <w:t>the</w:t>
      </w:r>
      <w:r>
        <w:rPr>
          <w:spacing w:val="-12"/>
        </w:rPr>
        <w:t> </w:t>
      </w:r>
      <w:r>
        <w:rPr/>
        <w:t>Markov</w:t>
      </w:r>
      <w:r>
        <w:rPr>
          <w:spacing w:val="-12"/>
        </w:rPr>
        <w:t> </w:t>
      </w:r>
      <w:r>
        <w:rPr/>
        <w:t>Decision</w:t>
      </w:r>
      <w:r>
        <w:rPr>
          <w:spacing w:val="-12"/>
        </w:rPr>
        <w:t> </w:t>
      </w:r>
      <w:r>
        <w:rPr/>
        <w:t>Process</w:t>
      </w:r>
      <w:r>
        <w:rPr>
          <w:spacing w:val="-12"/>
        </w:rPr>
        <w:t> </w:t>
      </w:r>
      <w:r>
        <w:rPr/>
        <w:t>and state,</w:t>
      </w:r>
      <w:r>
        <w:rPr>
          <w:spacing w:val="-15"/>
        </w:rPr>
        <w:t> </w:t>
      </w:r>
      <w:r>
        <w:rPr/>
        <w:t>action</w:t>
      </w:r>
      <w:r>
        <w:rPr>
          <w:spacing w:val="-15"/>
        </w:rPr>
        <w:t> </w:t>
      </w:r>
      <w:r>
        <w:rPr/>
        <w:t>values</w:t>
      </w:r>
      <w:r>
        <w:rPr>
          <w:spacing w:val="-15"/>
        </w:rPr>
        <w:t> </w:t>
      </w:r>
      <w:r>
        <w:rPr/>
        <w:t>used</w:t>
      </w:r>
      <w:r>
        <w:rPr>
          <w:spacing w:val="-15"/>
        </w:rPr>
        <w:t> </w:t>
      </w:r>
      <w:r>
        <w:rPr/>
        <w:t>in</w:t>
      </w:r>
      <w:r>
        <w:rPr>
          <w:spacing w:val="-15"/>
        </w:rPr>
        <w:t> </w:t>
      </w:r>
      <w:r>
        <w:rPr/>
        <w:t>this</w:t>
      </w:r>
      <w:r>
        <w:rPr>
          <w:spacing w:val="-15"/>
        </w:rPr>
        <w:t> </w:t>
      </w:r>
      <w:r>
        <w:rPr/>
        <w:t>study.</w:t>
      </w:r>
      <w:r>
        <w:rPr>
          <w:spacing w:val="-15"/>
        </w:rPr>
        <w:t> </w:t>
      </w:r>
      <w:r>
        <w:rPr/>
        <w:t>Context</w:t>
      </w:r>
      <w:r>
        <w:rPr>
          <w:spacing w:val="-15"/>
        </w:rPr>
        <w:t> </w:t>
      </w:r>
      <w:r>
        <w:rPr/>
        <w:t>nodes</w:t>
      </w:r>
      <w:r>
        <w:rPr>
          <w:spacing w:val="-15"/>
        </w:rPr>
        <w:t> </w:t>
      </w:r>
      <w:r>
        <w:rPr/>
        <w:t>and</w:t>
      </w:r>
      <w:r>
        <w:rPr>
          <w:spacing w:val="-15"/>
        </w:rPr>
        <w:t> </w:t>
      </w:r>
      <w:r>
        <w:rPr/>
        <w:t>action</w:t>
      </w:r>
      <w:r>
        <w:rPr>
          <w:spacing w:val="-15"/>
        </w:rPr>
        <w:t> </w:t>
      </w:r>
      <w:r>
        <w:rPr/>
        <w:t>impact</w:t>
      </w:r>
      <w:r>
        <w:rPr>
          <w:spacing w:val="-15"/>
        </w:rPr>
        <w:t> </w:t>
      </w:r>
      <w:r>
        <w:rPr/>
        <w:t>ratings</w:t>
      </w:r>
      <w:r>
        <w:rPr>
          <w:spacing w:val="-15"/>
        </w:rPr>
        <w:t> </w:t>
      </w:r>
      <w:r>
        <w:rPr/>
        <w:t>are</w:t>
      </w:r>
      <w:r>
        <w:rPr>
          <w:spacing w:val="-15"/>
        </w:rPr>
        <w:t> </w:t>
      </w:r>
      <w:r>
        <w:rPr/>
        <w:t>adapted for</w:t>
      </w:r>
      <w:r>
        <w:rPr>
          <w:spacing w:val="-14"/>
        </w:rPr>
        <w:t> </w:t>
      </w:r>
      <w:r>
        <w:rPr/>
        <w:t>rugby</w:t>
      </w:r>
      <w:r>
        <w:rPr>
          <w:spacing w:val="-15"/>
        </w:rPr>
        <w:t> </w:t>
      </w:r>
      <w:r>
        <w:rPr/>
        <w:t>league</w:t>
      </w:r>
      <w:r>
        <w:rPr>
          <w:spacing w:val="-14"/>
        </w:rPr>
        <w:t> </w:t>
      </w:r>
      <w:r>
        <w:rPr/>
        <w:t>from</w:t>
      </w:r>
      <w:r>
        <w:rPr>
          <w:spacing w:val="-15"/>
        </w:rPr>
        <w:t> </w:t>
      </w:r>
      <w:r>
        <w:rPr/>
        <w:t>ice</w:t>
      </w:r>
      <w:r>
        <w:rPr>
          <w:spacing w:val="-14"/>
        </w:rPr>
        <w:t> </w:t>
      </w:r>
      <w:r>
        <w:rPr/>
        <w:t>hockey</w:t>
      </w:r>
      <w:r>
        <w:rPr>
          <w:spacing w:val="-15"/>
        </w:rPr>
        <w:t> </w:t>
      </w:r>
      <w:r>
        <w:rPr/>
        <w:t>(</w:t>
      </w:r>
      <w:hyperlink w:history="true" w:anchor="_bookmark287">
        <w:r>
          <w:rPr>
            <w:color w:val="FF0000"/>
          </w:rPr>
          <w:t>Routley</w:t>
        </w:r>
        <w:r>
          <w:rPr>
            <w:color w:val="FF0000"/>
            <w:spacing w:val="-14"/>
          </w:rPr>
          <w:t> </w:t>
        </w:r>
        <w:r>
          <w:rPr>
            <w:color w:val="FF0000"/>
          </w:rPr>
          <w:t>and</w:t>
        </w:r>
        <w:r>
          <w:rPr>
            <w:color w:val="FF0000"/>
            <w:spacing w:val="-14"/>
          </w:rPr>
          <w:t> </w:t>
        </w:r>
        <w:r>
          <w:rPr>
            <w:color w:val="FF0000"/>
          </w:rPr>
          <w:t>Schulte</w:t>
        </w:r>
      </w:hyperlink>
      <w:r>
        <w:rPr/>
        <w:t>,</w:t>
      </w:r>
      <w:hyperlink w:history="true" w:anchor="_bookmark287">
        <w:r>
          <w:rPr>
            <w:color w:val="FF0000"/>
          </w:rPr>
          <w:t>2015</w:t>
        </w:r>
        <w:r>
          <w:rPr/>
          <w:t>)</w:t>
        </w:r>
      </w:hyperlink>
      <w:r>
        <w:rPr>
          <w:spacing w:val="-14"/>
        </w:rPr>
        <w:t> </w:t>
      </w:r>
      <w:r>
        <w:rPr/>
        <w:t>and</w:t>
      </w:r>
      <w:r>
        <w:rPr>
          <w:spacing w:val="-15"/>
        </w:rPr>
        <w:t> </w:t>
      </w:r>
      <w:r>
        <w:rPr/>
        <w:t>football</w:t>
      </w:r>
      <w:r>
        <w:rPr>
          <w:spacing w:val="-14"/>
        </w:rPr>
        <w:t> </w:t>
      </w:r>
      <w:r>
        <w:rPr/>
        <w:t>(</w:t>
      </w:r>
      <w:hyperlink w:history="true" w:anchor="_bookmark239">
        <w:r>
          <w:rPr>
            <w:color w:val="FF0000"/>
          </w:rPr>
          <w:t>Decroos</w:t>
        </w:r>
        <w:r>
          <w:rPr>
            <w:color w:val="FF0000"/>
            <w:spacing w:val="-15"/>
          </w:rPr>
          <w:t> </w:t>
        </w:r>
        <w:r>
          <w:rPr>
            <w:color w:val="FF0000"/>
          </w:rPr>
          <w:t>et</w:t>
        </w:r>
        <w:r>
          <w:rPr>
            <w:color w:val="FF0000"/>
            <w:spacing w:val="-14"/>
          </w:rPr>
          <w:t> </w:t>
        </w:r>
        <w:r>
          <w:rPr>
            <w:color w:val="FF0000"/>
          </w:rPr>
          <w:t>al.</w:t>
        </w:r>
        <w:r>
          <w:rPr/>
          <w:t>,</w:t>
        </w:r>
      </w:hyperlink>
      <w:r>
        <w:rPr/>
        <w:t> </w:t>
      </w:r>
      <w:hyperlink w:history="true" w:anchor="_bookmark239">
        <w:r>
          <w:rPr>
            <w:color w:val="FF0000"/>
          </w:rPr>
          <w:t>2019</w:t>
        </w:r>
      </w:hyperlink>
      <w:r>
        <w:rPr/>
        <w:t>) to provide insights into player and team performances.</w:t>
      </w:r>
    </w:p>
    <w:p>
      <w:pPr>
        <w:pStyle w:val="BodyText"/>
        <w:spacing w:before="7"/>
        <w:rPr>
          <w:sz w:val="34"/>
        </w:rPr>
      </w:pPr>
    </w:p>
    <w:p>
      <w:pPr>
        <w:pStyle w:val="Heading3"/>
        <w:numPr>
          <w:ilvl w:val="2"/>
          <w:numId w:val="21"/>
        </w:numPr>
        <w:tabs>
          <w:tab w:pos="1471" w:val="left" w:leader="none"/>
          <w:tab w:pos="1472" w:val="left" w:leader="none"/>
        </w:tabs>
        <w:spacing w:line="240" w:lineRule="auto" w:before="0" w:after="0"/>
        <w:ind w:left="1471" w:right="0" w:hanging="862"/>
        <w:jc w:val="left"/>
      </w:pPr>
      <w:bookmarkStart w:name="4.2.1 Data" w:id="172"/>
      <w:bookmarkEnd w:id="172"/>
      <w:r>
        <w:rPr>
          <w:b w:val="0"/>
        </w:rPr>
      </w:r>
      <w:bookmarkStart w:name="_bookmark95" w:id="173"/>
      <w:bookmarkEnd w:id="173"/>
      <w:r>
        <w:rPr>
          <w:spacing w:val="-4"/>
        </w:rPr>
        <w:t>Data</w:t>
      </w:r>
    </w:p>
    <w:p>
      <w:pPr>
        <w:pStyle w:val="BodyText"/>
        <w:spacing w:line="312" w:lineRule="auto" w:before="235"/>
        <w:ind w:left="610" w:right="389"/>
        <w:jc w:val="both"/>
      </w:pPr>
      <w:r>
        <w:rPr/>
        <w:t>In this study, event level match-play data were obtained from Opta (Stats Perform, </w:t>
      </w:r>
      <w:r>
        <w:rPr/>
        <w:t>Lon- don,</w:t>
      </w:r>
      <w:r>
        <w:rPr>
          <w:spacing w:val="-15"/>
        </w:rPr>
        <w:t> </w:t>
      </w:r>
      <w:r>
        <w:rPr/>
        <w:t>UK)</w:t>
      </w:r>
      <w:r>
        <w:rPr>
          <w:spacing w:val="-15"/>
        </w:rPr>
        <w:t> </w:t>
      </w:r>
      <w:r>
        <w:rPr/>
        <w:t>for</w:t>
      </w:r>
      <w:r>
        <w:rPr>
          <w:spacing w:val="-15"/>
        </w:rPr>
        <w:t> </w:t>
      </w:r>
      <w:r>
        <w:rPr/>
        <w:t>the</w:t>
      </w:r>
      <w:r>
        <w:rPr>
          <w:spacing w:val="-15"/>
        </w:rPr>
        <w:t> </w:t>
      </w:r>
      <w:r>
        <w:rPr/>
        <w:t>2020</w:t>
      </w:r>
      <w:r>
        <w:rPr>
          <w:spacing w:val="-15"/>
        </w:rPr>
        <w:t> </w:t>
      </w:r>
      <w:r>
        <w:rPr/>
        <w:t>Super</w:t>
      </w:r>
      <w:r>
        <w:rPr>
          <w:spacing w:val="-15"/>
        </w:rPr>
        <w:t> </w:t>
      </w:r>
      <w:r>
        <w:rPr/>
        <w:t>League</w:t>
      </w:r>
      <w:r>
        <w:rPr>
          <w:spacing w:val="-15"/>
        </w:rPr>
        <w:t> </w:t>
      </w:r>
      <w:r>
        <w:rPr/>
        <w:t>season.</w:t>
      </w:r>
      <w:r>
        <w:rPr>
          <w:spacing w:val="-15"/>
        </w:rPr>
        <w:t> </w:t>
      </w:r>
      <w:r>
        <w:rPr/>
        <w:t>The</w:t>
      </w:r>
      <w:r>
        <w:rPr>
          <w:spacing w:val="-15"/>
        </w:rPr>
        <w:t> </w:t>
      </w:r>
      <w:r>
        <w:rPr/>
        <w:t>data</w:t>
      </w:r>
      <w:r>
        <w:rPr>
          <w:spacing w:val="-15"/>
        </w:rPr>
        <w:t> </w:t>
      </w:r>
      <w:r>
        <w:rPr/>
        <w:t>was</w:t>
      </w:r>
      <w:r>
        <w:rPr>
          <w:spacing w:val="-15"/>
        </w:rPr>
        <w:t> </w:t>
      </w:r>
      <w:r>
        <w:rPr/>
        <w:t>produced</w:t>
      </w:r>
      <w:r>
        <w:rPr>
          <w:spacing w:val="-15"/>
        </w:rPr>
        <w:t> </w:t>
      </w:r>
      <w:r>
        <w:rPr/>
        <w:t>via</w:t>
      </w:r>
      <w:r>
        <w:rPr>
          <w:spacing w:val="-15"/>
        </w:rPr>
        <w:t> </w:t>
      </w:r>
      <w:r>
        <w:rPr/>
        <w:t>human</w:t>
      </w:r>
      <w:r>
        <w:rPr>
          <w:spacing w:val="-15"/>
        </w:rPr>
        <w:t> </w:t>
      </w:r>
      <w:r>
        <w:rPr/>
        <w:t>annotation of the actions taking place and was downloaded from </w:t>
      </w:r>
      <w:hyperlink r:id="rId86">
        <w:r>
          <w:rPr/>
          <w:t>www.optaprorugby.com.</w:t>
        </w:r>
      </w:hyperlink>
      <w:r>
        <w:rPr>
          <w:spacing w:val="37"/>
        </w:rPr>
        <w:t> </w:t>
      </w:r>
      <w:r>
        <w:rPr/>
        <w:t>In addi- tion to the 200 actions coded by Opta in the 2019 season, 33 additional unique actions were coded in 2020.</w:t>
      </w:r>
      <w:r>
        <w:rPr>
          <w:spacing w:val="30"/>
        </w:rPr>
        <w:t> </w:t>
      </w:r>
      <w:r>
        <w:rPr/>
        <w:t>These actions and their definitions are provided in Appendix</w:t>
      </w:r>
      <w:r>
        <w:rPr>
          <w:color w:val="0000FF"/>
        </w:rPr>
        <w:t>B</w:t>
      </w:r>
      <w:r>
        <w:rPr/>
        <w:t>. As with the 2019 season, data for each of the 63 matches in the 2020 Super League season was provided in separate xml files, which each contained four nodes (Table</w:t>
      </w:r>
      <w:hyperlink w:history="true" w:anchor="_bookmark50">
        <w:r>
          <w:rPr>
            <w:color w:val="0000FF"/>
          </w:rPr>
          <w:t>3.1</w:t>
        </w:r>
      </w:hyperlink>
      <w:r>
        <w:rPr/>
        <w:t>).</w:t>
      </w:r>
    </w:p>
    <w:p>
      <w:pPr>
        <w:pStyle w:val="BodyText"/>
        <w:spacing w:line="312" w:lineRule="auto"/>
        <w:ind w:left="610" w:right="389" w:firstLine="351"/>
        <w:jc w:val="both"/>
      </w:pPr>
      <w:r>
        <w:rPr/>
        <w:t>The data received from Opta was formatted as described in Section</w:t>
      </w:r>
      <w:hyperlink w:history="true" w:anchor="_bookmark52">
        <w:r>
          <w:rPr>
            <w:color w:val="0000FF"/>
          </w:rPr>
          <w:t>3.2.1</w:t>
        </w:r>
        <w:r>
          <w:rPr/>
          <w:t>.</w:t>
        </w:r>
      </w:hyperlink>
      <w:r>
        <w:rPr>
          <w:spacing w:val="40"/>
        </w:rPr>
        <w:t> </w:t>
      </w:r>
      <w:r>
        <w:rPr/>
        <w:t>As with Chapter</w:t>
      </w:r>
      <w:r>
        <w:rPr>
          <w:color w:val="0000FF"/>
        </w:rPr>
        <w:t>3</w:t>
      </w:r>
      <w:hyperlink w:history="true" w:anchor="_bookmark48">
        <w:r>
          <w:rPr/>
          <w:t>,</w:t>
        </w:r>
      </w:hyperlink>
      <w:r>
        <w:rPr/>
        <w:t> missing data issues ensured that the same 13 variables from the match data node (Table</w:t>
      </w:r>
      <w:hyperlink w:history="true" w:anchor="_bookmark53">
        <w:r>
          <w:rPr>
            <w:color w:val="0000FF"/>
          </w:rPr>
          <w:t>3.2</w:t>
        </w:r>
        <w:r>
          <w:rPr/>
          <w:t>)</w:t>
        </w:r>
      </w:hyperlink>
      <w:r>
        <w:rPr/>
        <w:t> were deemed to be useful for this study.</w:t>
      </w:r>
      <w:r>
        <w:rPr>
          <w:spacing w:val="27"/>
        </w:rPr>
        <w:t> </w:t>
      </w:r>
      <w:r>
        <w:rPr/>
        <w:t>However, whereas in the 2019 data,</w:t>
      </w:r>
      <w:r>
        <w:rPr>
          <w:spacing w:val="35"/>
        </w:rPr>
        <w:t> </w:t>
      </w:r>
      <w:r>
        <w:rPr/>
        <w:t>location</w:t>
      </w:r>
      <w:r>
        <w:rPr>
          <w:spacing w:val="29"/>
        </w:rPr>
        <w:t> </w:t>
      </w:r>
      <w:r>
        <w:rPr/>
        <w:t>data</w:t>
      </w:r>
      <w:r>
        <w:rPr>
          <w:spacing w:val="28"/>
        </w:rPr>
        <w:t> </w:t>
      </w:r>
      <w:r>
        <w:rPr/>
        <w:t>was</w:t>
      </w:r>
      <w:r>
        <w:rPr>
          <w:spacing w:val="28"/>
        </w:rPr>
        <w:t> </w:t>
      </w:r>
      <w:r>
        <w:rPr/>
        <w:t>only</w:t>
      </w:r>
      <w:r>
        <w:rPr>
          <w:spacing w:val="29"/>
        </w:rPr>
        <w:t> </w:t>
      </w:r>
      <w:r>
        <w:rPr/>
        <w:t>fully</w:t>
      </w:r>
      <w:r>
        <w:rPr>
          <w:spacing w:val="28"/>
        </w:rPr>
        <w:t> </w:t>
      </w:r>
      <w:r>
        <w:rPr/>
        <w:t>available</w:t>
      </w:r>
      <w:r>
        <w:rPr>
          <w:spacing w:val="28"/>
        </w:rPr>
        <w:t> </w:t>
      </w:r>
      <w:r>
        <w:rPr/>
        <w:t>on</w:t>
      </w:r>
      <w:r>
        <w:rPr>
          <w:spacing w:val="28"/>
        </w:rPr>
        <w:t> </w:t>
      </w:r>
      <w:r>
        <w:rPr/>
        <w:t>a</w:t>
      </w:r>
      <w:r>
        <w:rPr>
          <w:spacing w:val="29"/>
        </w:rPr>
        <w:t> </w:t>
      </w:r>
      <w:r>
        <w:rPr/>
        <w:t>play</w:t>
      </w:r>
      <w:r>
        <w:rPr>
          <w:spacing w:val="28"/>
        </w:rPr>
        <w:t> </w:t>
      </w:r>
      <w:r>
        <w:rPr/>
        <w:t>by</w:t>
      </w:r>
      <w:r>
        <w:rPr>
          <w:spacing w:val="28"/>
        </w:rPr>
        <w:t> </w:t>
      </w:r>
      <w:r>
        <w:rPr/>
        <w:t>play</w:t>
      </w:r>
      <w:r>
        <w:rPr>
          <w:spacing w:val="29"/>
        </w:rPr>
        <w:t> </w:t>
      </w:r>
      <w:r>
        <w:rPr/>
        <w:t>basis</w:t>
      </w:r>
      <w:r>
        <w:rPr>
          <w:spacing w:val="28"/>
        </w:rPr>
        <w:t> </w:t>
      </w:r>
      <w:r>
        <w:rPr/>
        <w:t>(i.e.</w:t>
      </w:r>
      <w:r>
        <w:rPr>
          <w:spacing w:val="74"/>
          <w:w w:val="150"/>
        </w:rPr>
        <w:t> </w:t>
      </w:r>
      <w:r>
        <w:rPr/>
        <w:t>for</w:t>
      </w:r>
      <w:r>
        <w:rPr>
          <w:spacing w:val="28"/>
        </w:rPr>
        <w:t> </w:t>
      </w:r>
      <w:r>
        <w:rPr/>
        <w:t>the</w:t>
      </w:r>
      <w:r>
        <w:rPr>
          <w:spacing w:val="29"/>
        </w:rPr>
        <w:t> </w:t>
      </w:r>
      <w:r>
        <w:rPr>
          <w:spacing w:val="-2"/>
        </w:rPr>
        <w:t>first</w:t>
      </w:r>
    </w:p>
    <w:p>
      <w:pPr>
        <w:spacing w:after="0" w:line="312" w:lineRule="auto"/>
        <w:jc w:val="both"/>
        <w:sectPr>
          <w:headerReference w:type="default" r:id="rId84"/>
          <w:footerReference w:type="default" r:id="rId85"/>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action</w:t>
      </w:r>
      <w:r>
        <w:rPr>
          <w:spacing w:val="-1"/>
        </w:rPr>
        <w:t> </w:t>
      </w:r>
      <w:r>
        <w:rPr/>
        <w:t>of each</w:t>
      </w:r>
      <w:r>
        <w:rPr>
          <w:spacing w:val="-1"/>
        </w:rPr>
        <w:t> </w:t>
      </w:r>
      <w:r>
        <w:rPr/>
        <w:t>play), in 2020</w:t>
      </w:r>
      <w:r>
        <w:rPr>
          <w:spacing w:val="-1"/>
        </w:rPr>
        <w:t> </w:t>
      </w:r>
      <w:r>
        <w:rPr/>
        <w:t>it became available</w:t>
      </w:r>
      <w:r>
        <w:rPr>
          <w:spacing w:val="-1"/>
        </w:rPr>
        <w:t> </w:t>
      </w:r>
      <w:r>
        <w:rPr/>
        <w:t>on an</w:t>
      </w:r>
      <w:r>
        <w:rPr>
          <w:spacing w:val="-1"/>
        </w:rPr>
        <w:t> </w:t>
      </w:r>
      <w:r>
        <w:rPr/>
        <w:t>action by</w:t>
      </w:r>
      <w:r>
        <w:rPr>
          <w:spacing w:val="-1"/>
        </w:rPr>
        <w:t> </w:t>
      </w:r>
      <w:r>
        <w:rPr/>
        <w:t>action basis</w:t>
      </w:r>
      <w:r>
        <w:rPr>
          <w:spacing w:val="-1"/>
        </w:rPr>
        <w:t> </w:t>
      </w:r>
      <w:r>
        <w:rPr/>
        <w:t>(i.e.</w:t>
      </w:r>
      <w:r>
        <w:rPr>
          <w:spacing w:val="21"/>
        </w:rPr>
        <w:t> </w:t>
      </w:r>
      <w:r>
        <w:rPr/>
        <w:t>for all actions).</w:t>
      </w:r>
      <w:r>
        <w:rPr>
          <w:spacing w:val="40"/>
        </w:rPr>
        <w:t> </w:t>
      </w:r>
      <w:r>
        <w:rPr/>
        <w:t>This increased data availability considerably improved the quality of analysis that could be completed, allowing the MRP approach of Chapter</w:t>
      </w:r>
      <w:r>
        <w:rPr>
          <w:color w:val="0000FF"/>
        </w:rPr>
        <w:t>3</w:t>
      </w:r>
      <w:r>
        <w:rPr/>
        <w:t>to be extended to an MDP</w:t>
      </w:r>
      <w:r>
        <w:rPr>
          <w:spacing w:val="-10"/>
        </w:rPr>
        <w:t> </w:t>
      </w:r>
      <w:r>
        <w:rPr/>
        <w:t>approach. However,</w:t>
      </w:r>
      <w:r>
        <w:rPr>
          <w:spacing w:val="-10"/>
        </w:rPr>
        <w:t> </w:t>
      </w:r>
      <w:r>
        <w:rPr/>
        <w:t>only</w:t>
      </w:r>
      <w:r>
        <w:rPr>
          <w:spacing w:val="-10"/>
        </w:rPr>
        <w:t> </w:t>
      </w:r>
      <w:r>
        <w:rPr/>
        <w:t>a</w:t>
      </w:r>
      <w:r>
        <w:rPr>
          <w:spacing w:val="-10"/>
        </w:rPr>
        <w:t> </w:t>
      </w:r>
      <w:r>
        <w:rPr/>
        <w:t>limited</w:t>
      </w:r>
      <w:r>
        <w:rPr>
          <w:spacing w:val="-10"/>
        </w:rPr>
        <w:t> </w:t>
      </w:r>
      <w:r>
        <w:rPr/>
        <w:t>amount</w:t>
      </w:r>
      <w:r>
        <w:rPr>
          <w:spacing w:val="-10"/>
        </w:rPr>
        <w:t> </w:t>
      </w:r>
      <w:r>
        <w:rPr/>
        <w:t>of</w:t>
      </w:r>
      <w:r>
        <w:rPr>
          <w:spacing w:val="-10"/>
        </w:rPr>
        <w:t> </w:t>
      </w:r>
      <w:r>
        <w:rPr/>
        <w:t>this</w:t>
      </w:r>
      <w:r>
        <w:rPr>
          <w:spacing w:val="-10"/>
        </w:rPr>
        <w:t> </w:t>
      </w:r>
      <w:r>
        <w:rPr/>
        <w:t>higher</w:t>
      </w:r>
      <w:r>
        <w:rPr>
          <w:spacing w:val="-10"/>
        </w:rPr>
        <w:t> </w:t>
      </w:r>
      <w:r>
        <w:rPr/>
        <w:t>quality</w:t>
      </w:r>
      <w:r>
        <w:rPr>
          <w:spacing w:val="-10"/>
        </w:rPr>
        <w:t> </w:t>
      </w:r>
      <w:r>
        <w:rPr/>
        <w:t>data</w:t>
      </w:r>
      <w:r>
        <w:rPr>
          <w:spacing w:val="-10"/>
        </w:rPr>
        <w:t> </w:t>
      </w:r>
      <w:r>
        <w:rPr/>
        <w:t>was</w:t>
      </w:r>
      <w:r>
        <w:rPr>
          <w:spacing w:val="-10"/>
        </w:rPr>
        <w:t> </w:t>
      </w:r>
      <w:r>
        <w:rPr/>
        <w:t>available as the 2020 season was curtailed by the COVID-19 pandemic.</w:t>
      </w:r>
    </w:p>
    <w:p>
      <w:pPr>
        <w:pStyle w:val="BodyText"/>
        <w:spacing w:line="312" w:lineRule="auto"/>
        <w:ind w:left="610" w:right="389" w:firstLine="351"/>
        <w:jc w:val="both"/>
      </w:pPr>
      <w:r>
        <w:rPr/>
        <w:t>In the 2020 Super League season, 63 matches were contested by 11 teams and 352 players.</w:t>
      </w:r>
      <w:r>
        <w:rPr>
          <w:spacing w:val="23"/>
        </w:rPr>
        <w:t> </w:t>
      </w:r>
      <w:r>
        <w:rPr/>
        <w:t>A</w:t>
      </w:r>
      <w:r>
        <w:rPr>
          <w:spacing w:val="-1"/>
        </w:rPr>
        <w:t> </w:t>
      </w:r>
      <w:r>
        <w:rPr/>
        <w:t>total</w:t>
      </w:r>
      <w:r>
        <w:rPr>
          <w:spacing w:val="-1"/>
        </w:rPr>
        <w:t> </w:t>
      </w:r>
      <w:r>
        <w:rPr/>
        <w:t>of</w:t>
      </w:r>
      <w:r>
        <w:rPr>
          <w:spacing w:val="-1"/>
        </w:rPr>
        <w:t> </w:t>
      </w:r>
      <w:r>
        <w:rPr/>
        <w:t>146,493</w:t>
      </w:r>
      <w:r>
        <w:rPr>
          <w:spacing w:val="-1"/>
        </w:rPr>
        <w:t> </w:t>
      </w:r>
      <w:r>
        <w:rPr/>
        <w:t>match</w:t>
      </w:r>
      <w:r>
        <w:rPr>
          <w:spacing w:val="-1"/>
        </w:rPr>
        <w:t> </w:t>
      </w:r>
      <w:r>
        <w:rPr/>
        <w:t>events</w:t>
      </w:r>
      <w:r>
        <w:rPr>
          <w:spacing w:val="-1"/>
        </w:rPr>
        <w:t> </w:t>
      </w:r>
      <w:r>
        <w:rPr/>
        <w:t>were</w:t>
      </w:r>
      <w:r>
        <w:rPr>
          <w:spacing w:val="-1"/>
        </w:rPr>
        <w:t> </w:t>
      </w:r>
      <w:r>
        <w:rPr/>
        <w:t>recorded</w:t>
      </w:r>
      <w:r>
        <w:rPr>
          <w:spacing w:val="-1"/>
        </w:rPr>
        <w:t> </w:t>
      </w:r>
      <w:r>
        <w:rPr/>
        <w:t>(median</w:t>
      </w:r>
      <w:r>
        <w:rPr>
          <w:spacing w:val="-1"/>
        </w:rPr>
        <w:t> </w:t>
      </w:r>
      <w:r>
        <w:rPr/>
        <w:t>2331</w:t>
      </w:r>
      <w:r>
        <w:rPr>
          <w:spacing w:val="-1"/>
        </w:rPr>
        <w:t> </w:t>
      </w:r>
      <w:r>
        <w:rPr/>
        <w:t>events</w:t>
      </w:r>
      <w:r>
        <w:rPr>
          <w:spacing w:val="-1"/>
        </w:rPr>
        <w:t> </w:t>
      </w:r>
      <w:r>
        <w:rPr/>
        <w:t>per</w:t>
      </w:r>
      <w:r>
        <w:rPr>
          <w:spacing w:val="-1"/>
        </w:rPr>
        <w:t> </w:t>
      </w:r>
      <w:r>
        <w:rPr/>
        <w:t>match, interquartile</w:t>
      </w:r>
      <w:r>
        <w:rPr>
          <w:spacing w:val="-4"/>
        </w:rPr>
        <w:t> </w:t>
      </w:r>
      <w:r>
        <w:rPr/>
        <w:t>range</w:t>
      </w:r>
      <w:r>
        <w:rPr>
          <w:spacing w:val="-4"/>
        </w:rPr>
        <w:t> </w:t>
      </w:r>
      <w:r>
        <w:rPr/>
        <w:t>2239-2405). Across</w:t>
      </w:r>
      <w:r>
        <w:rPr>
          <w:spacing w:val="-4"/>
        </w:rPr>
        <w:t> </w:t>
      </w:r>
      <w:r>
        <w:rPr/>
        <w:t>the</w:t>
      </w:r>
      <w:r>
        <w:rPr>
          <w:spacing w:val="-4"/>
        </w:rPr>
        <w:t> </w:t>
      </w:r>
      <w:r>
        <w:rPr/>
        <w:t>season,</w:t>
      </w:r>
      <w:r>
        <w:rPr>
          <w:spacing w:val="-4"/>
        </w:rPr>
        <w:t> </w:t>
      </w:r>
      <w:r>
        <w:rPr/>
        <w:t>481</w:t>
      </w:r>
      <w:r>
        <w:rPr>
          <w:spacing w:val="-4"/>
        </w:rPr>
        <w:t> </w:t>
      </w:r>
      <w:r>
        <w:rPr/>
        <w:t>tries</w:t>
      </w:r>
      <w:r>
        <w:rPr>
          <w:spacing w:val="-4"/>
        </w:rPr>
        <w:t> </w:t>
      </w:r>
      <w:r>
        <w:rPr/>
        <w:t>were</w:t>
      </w:r>
      <w:r>
        <w:rPr>
          <w:spacing w:val="-4"/>
        </w:rPr>
        <w:t> </w:t>
      </w:r>
      <w:r>
        <w:rPr/>
        <w:t>scored</w:t>
      </w:r>
      <w:r>
        <w:rPr>
          <w:spacing w:val="-4"/>
        </w:rPr>
        <w:t> </w:t>
      </w:r>
      <w:r>
        <w:rPr/>
        <w:t>(381</w:t>
      </w:r>
      <w:r>
        <w:rPr>
          <w:spacing w:val="-4"/>
        </w:rPr>
        <w:t> </w:t>
      </w:r>
      <w:r>
        <w:rPr/>
        <w:t>successful conversion kicks, 100 unsuccessful conversion kicks), 50 penalty goals were attempted (46 successful, 4 unsuccessful) and 33 drop goals were attempted (16 successful, 17 un- </w:t>
      </w:r>
      <w:r>
        <w:rPr>
          <w:spacing w:val="-2"/>
        </w:rPr>
        <w:t>successful).</w:t>
      </w:r>
    </w:p>
    <w:p>
      <w:pPr>
        <w:pStyle w:val="BodyText"/>
        <w:spacing w:before="6"/>
        <w:rPr>
          <w:sz w:val="34"/>
        </w:rPr>
      </w:pPr>
    </w:p>
    <w:p>
      <w:pPr>
        <w:pStyle w:val="Heading3"/>
        <w:numPr>
          <w:ilvl w:val="2"/>
          <w:numId w:val="21"/>
        </w:numPr>
        <w:tabs>
          <w:tab w:pos="1471" w:val="left" w:leader="none"/>
          <w:tab w:pos="1472" w:val="left" w:leader="none"/>
        </w:tabs>
        <w:spacing w:line="240" w:lineRule="auto" w:before="0" w:after="0"/>
        <w:ind w:left="1471" w:right="0" w:hanging="862"/>
        <w:jc w:val="left"/>
      </w:pPr>
      <w:bookmarkStart w:name="4.2.2 Data Preprocessing" w:id="174"/>
      <w:bookmarkEnd w:id="174"/>
      <w:r>
        <w:rPr>
          <w:b w:val="0"/>
        </w:rPr>
      </w:r>
      <w:bookmarkStart w:name="_bookmark96" w:id="175"/>
      <w:bookmarkEnd w:id="175"/>
      <w:r>
        <w:rPr/>
        <w:t>Data</w:t>
      </w:r>
      <w:r>
        <w:rPr>
          <w:spacing w:val="12"/>
        </w:rPr>
        <w:t> </w:t>
      </w:r>
      <w:r>
        <w:rPr>
          <w:spacing w:val="-2"/>
        </w:rPr>
        <w:t>Preprocessing</w:t>
      </w:r>
    </w:p>
    <w:p>
      <w:pPr>
        <w:pStyle w:val="BodyText"/>
        <w:spacing w:line="312" w:lineRule="auto" w:before="235"/>
        <w:ind w:left="610" w:right="389"/>
      </w:pPr>
      <w:r>
        <w:rPr/>
        <w:t>Figure</w:t>
      </w:r>
      <w:hyperlink w:history="true" w:anchor="_bookmark97">
        <w:r>
          <w:rPr>
            <w:color w:val="0000FF"/>
          </w:rPr>
          <w:t>4.1</w:t>
        </w:r>
      </w:hyperlink>
      <w:r>
        <w:rPr/>
        <w:t>provides an overview of the data preprocessing completed within this study. The</w:t>
      </w:r>
      <w:r>
        <w:rPr>
          <w:spacing w:val="-8"/>
        </w:rPr>
        <w:t> </w:t>
      </w:r>
      <w:r>
        <w:rPr/>
        <w:t>preprocessing</w:t>
      </w:r>
      <w:r>
        <w:rPr>
          <w:spacing w:val="-8"/>
        </w:rPr>
        <w:t> </w:t>
      </w:r>
      <w:r>
        <w:rPr/>
        <w:t>steps</w:t>
      </w:r>
      <w:r>
        <w:rPr>
          <w:spacing w:val="-8"/>
        </w:rPr>
        <w:t> </w:t>
      </w:r>
      <w:r>
        <w:rPr/>
        <w:t>converted</w:t>
      </w:r>
      <w:r>
        <w:rPr>
          <w:spacing w:val="-8"/>
        </w:rPr>
        <w:t> </w:t>
      </w:r>
      <w:r>
        <w:rPr/>
        <w:t>the</w:t>
      </w:r>
      <w:r>
        <w:rPr>
          <w:spacing w:val="-8"/>
        </w:rPr>
        <w:t> </w:t>
      </w:r>
      <w:r>
        <w:rPr/>
        <w:t>63</w:t>
      </w:r>
      <w:r>
        <w:rPr>
          <w:spacing w:val="-8"/>
        </w:rPr>
        <w:t> </w:t>
      </w:r>
      <w:r>
        <w:rPr/>
        <w:t>raw</w:t>
      </w:r>
      <w:r>
        <w:rPr>
          <w:spacing w:val="-8"/>
        </w:rPr>
        <w:t> </w:t>
      </w:r>
      <w:r>
        <w:rPr/>
        <w:t>xml</w:t>
      </w:r>
      <w:r>
        <w:rPr>
          <w:spacing w:val="-8"/>
        </w:rPr>
        <w:t> </w:t>
      </w:r>
      <w:r>
        <w:rPr/>
        <w:t>files</w:t>
      </w:r>
      <w:r>
        <w:rPr>
          <w:spacing w:val="-8"/>
        </w:rPr>
        <w:t> </w:t>
      </w:r>
      <w:r>
        <w:rPr/>
        <w:t>described</w:t>
      </w:r>
      <w:r>
        <w:rPr>
          <w:spacing w:val="-8"/>
        </w:rPr>
        <w:t> </w:t>
      </w:r>
      <w:r>
        <w:rPr/>
        <w:t>above</w:t>
      </w:r>
      <w:r>
        <w:rPr>
          <w:spacing w:val="-8"/>
        </w:rPr>
        <w:t> </w:t>
      </w:r>
      <w:r>
        <w:rPr/>
        <w:t>to</w:t>
      </w:r>
      <w:r>
        <w:rPr>
          <w:spacing w:val="-8"/>
        </w:rPr>
        <w:t> </w:t>
      </w:r>
      <w:r>
        <w:rPr/>
        <w:t>a</w:t>
      </w:r>
      <w:r>
        <w:rPr>
          <w:spacing w:val="-8"/>
        </w:rPr>
        <w:t> </w:t>
      </w:r>
      <w:r>
        <w:rPr/>
        <w:t>single</w:t>
      </w:r>
      <w:r>
        <w:rPr>
          <w:spacing w:val="-8"/>
        </w:rPr>
        <w:t> </w:t>
      </w:r>
      <w:r>
        <w:rPr/>
        <w:t>file</w:t>
      </w:r>
      <w:r>
        <w:rPr>
          <w:spacing w:val="-8"/>
        </w:rPr>
        <w:t> </w:t>
      </w:r>
      <w:r>
        <w:rPr/>
        <w:t>of 77,045 rows and 9 columns. Full details of each preprocessing step are provided below.</w:t>
      </w:r>
    </w:p>
    <w:p>
      <w:pPr>
        <w:pStyle w:val="BodyText"/>
        <w:spacing w:line="312" w:lineRule="auto"/>
        <w:ind w:left="610" w:right="389" w:firstLine="351"/>
        <w:jc w:val="both"/>
      </w:pPr>
      <w:r>
        <w:rPr/>
        <w:t>The match action data, provided in 63 xml files, were collected and integrated into </w:t>
      </w:r>
      <w:r>
        <w:rPr/>
        <w:t>a single</w:t>
      </w:r>
      <w:r>
        <w:rPr>
          <w:spacing w:val="-8"/>
        </w:rPr>
        <w:t> </w:t>
      </w:r>
      <w:r>
        <w:rPr/>
        <w:t>dataset</w:t>
      </w:r>
      <w:r>
        <w:rPr>
          <w:spacing w:val="-8"/>
        </w:rPr>
        <w:t> </w:t>
      </w:r>
      <w:r>
        <w:rPr/>
        <w:t>of</w:t>
      </w:r>
      <w:r>
        <w:rPr>
          <w:spacing w:val="-8"/>
        </w:rPr>
        <w:t> </w:t>
      </w:r>
      <w:r>
        <w:rPr/>
        <w:t>146,493</w:t>
      </w:r>
      <w:r>
        <w:rPr>
          <w:spacing w:val="-8"/>
        </w:rPr>
        <w:t> </w:t>
      </w:r>
      <w:r>
        <w:rPr/>
        <w:t>rows</w:t>
      </w:r>
      <w:r>
        <w:rPr>
          <w:spacing w:val="-8"/>
        </w:rPr>
        <w:t> </w:t>
      </w:r>
      <w:r>
        <w:rPr/>
        <w:t>and</w:t>
      </w:r>
      <w:r>
        <w:rPr>
          <w:spacing w:val="-8"/>
        </w:rPr>
        <w:t> </w:t>
      </w:r>
      <w:r>
        <w:rPr/>
        <w:t>28</w:t>
      </w:r>
      <w:r>
        <w:rPr>
          <w:spacing w:val="-8"/>
        </w:rPr>
        <w:t> </w:t>
      </w:r>
      <w:r>
        <w:rPr/>
        <w:t>columns. To</w:t>
      </w:r>
      <w:r>
        <w:rPr>
          <w:spacing w:val="-8"/>
        </w:rPr>
        <w:t> </w:t>
      </w:r>
      <w:r>
        <w:rPr/>
        <w:t>do</w:t>
      </w:r>
      <w:r>
        <w:rPr>
          <w:spacing w:val="-8"/>
        </w:rPr>
        <w:t> </w:t>
      </w:r>
      <w:r>
        <w:rPr/>
        <w:t>this,</w:t>
      </w:r>
      <w:r>
        <w:rPr>
          <w:spacing w:val="-8"/>
        </w:rPr>
        <w:t> </w:t>
      </w:r>
      <w:r>
        <w:rPr/>
        <w:t>the</w:t>
      </w:r>
      <w:r>
        <w:rPr>
          <w:spacing w:val="-8"/>
        </w:rPr>
        <w:t> </w:t>
      </w:r>
      <w:r>
        <w:rPr/>
        <w:t>match</w:t>
      </w:r>
      <w:r>
        <w:rPr>
          <w:spacing w:val="-8"/>
        </w:rPr>
        <w:t> </w:t>
      </w:r>
      <w:r>
        <w:rPr/>
        <w:t>data</w:t>
      </w:r>
      <w:r>
        <w:rPr>
          <w:spacing w:val="-8"/>
        </w:rPr>
        <w:t> </w:t>
      </w:r>
      <w:r>
        <w:rPr/>
        <w:t>node</w:t>
      </w:r>
      <w:r>
        <w:rPr>
          <w:spacing w:val="-8"/>
        </w:rPr>
        <w:t> </w:t>
      </w:r>
      <w:r>
        <w:rPr/>
        <w:t>variables were extracted from each xml file into separate tables and then concatenated together. The</w:t>
      </w:r>
      <w:r>
        <w:rPr>
          <w:spacing w:val="-1"/>
        </w:rPr>
        <w:t> </w:t>
      </w:r>
      <w:r>
        <w:rPr/>
        <w:t>team data</w:t>
      </w:r>
      <w:r>
        <w:rPr>
          <w:spacing w:val="-1"/>
        </w:rPr>
        <w:t> </w:t>
      </w:r>
      <w:r>
        <w:rPr/>
        <w:t>nodes were</w:t>
      </w:r>
      <w:r>
        <w:rPr>
          <w:spacing w:val="-1"/>
        </w:rPr>
        <w:t> </w:t>
      </w:r>
      <w:r>
        <w:rPr/>
        <w:t>also</w:t>
      </w:r>
      <w:r>
        <w:rPr>
          <w:spacing w:val="-1"/>
        </w:rPr>
        <w:t> </w:t>
      </w:r>
      <w:r>
        <w:rPr/>
        <w:t>extracted into</w:t>
      </w:r>
      <w:r>
        <w:rPr>
          <w:spacing w:val="-1"/>
        </w:rPr>
        <w:t> </w:t>
      </w:r>
      <w:r>
        <w:rPr/>
        <w:t>tables for</w:t>
      </w:r>
      <w:r>
        <w:rPr>
          <w:spacing w:val="-1"/>
        </w:rPr>
        <w:t> </w:t>
      </w:r>
      <w:r>
        <w:rPr/>
        <w:t>each</w:t>
      </w:r>
      <w:r>
        <w:rPr>
          <w:spacing w:val="-1"/>
        </w:rPr>
        <w:t> </w:t>
      </w:r>
      <w:r>
        <w:rPr/>
        <w:t>fixture.</w:t>
      </w:r>
      <w:r>
        <w:rPr>
          <w:spacing w:val="22"/>
        </w:rPr>
        <w:t> </w:t>
      </w:r>
      <w:r>
        <w:rPr/>
        <w:t>These</w:t>
      </w:r>
      <w:r>
        <w:rPr>
          <w:spacing w:val="-1"/>
        </w:rPr>
        <w:t> </w:t>
      </w:r>
      <w:r>
        <w:rPr/>
        <w:t>were</w:t>
      </w:r>
      <w:r>
        <w:rPr>
          <w:spacing w:val="-1"/>
        </w:rPr>
        <w:t> </w:t>
      </w:r>
      <w:r>
        <w:rPr/>
        <w:t>used to map team unique identifiers to the real team name.</w:t>
      </w:r>
      <w:r>
        <w:rPr>
          <w:spacing w:val="40"/>
        </w:rPr>
        <w:t> </w:t>
      </w:r>
      <w:r>
        <w:rPr/>
        <w:t>Similarly, Opta’s action definitions and unique identifiers (Appendix</w:t>
      </w:r>
      <w:r>
        <w:rPr>
          <w:color w:val="0000FF"/>
        </w:rPr>
        <w:t>B</w:t>
      </w:r>
      <w:r>
        <w:rPr/>
        <w:t>) were mapped to the real name of the coded actions.</w:t>
      </w:r>
    </w:p>
    <w:p>
      <w:pPr>
        <w:pStyle w:val="BodyText"/>
        <w:spacing w:line="312" w:lineRule="auto"/>
        <w:ind w:left="610" w:right="388" w:firstLine="351"/>
      </w:pPr>
      <w:r>
        <w:rPr/>
        <w:t>As</w:t>
      </w:r>
      <w:r>
        <w:rPr>
          <w:spacing w:val="-15"/>
        </w:rPr>
        <w:t> </w:t>
      </w:r>
      <w:r>
        <w:rPr/>
        <w:t>previously</w:t>
      </w:r>
      <w:r>
        <w:rPr>
          <w:spacing w:val="-15"/>
        </w:rPr>
        <w:t> </w:t>
      </w:r>
      <w:r>
        <w:rPr/>
        <w:t>stated,</w:t>
      </w:r>
      <w:r>
        <w:rPr>
          <w:spacing w:val="-15"/>
        </w:rPr>
        <w:t> </w:t>
      </w:r>
      <w:r>
        <w:rPr/>
        <w:t>in</w:t>
      </w:r>
      <w:r>
        <w:rPr>
          <w:spacing w:val="-15"/>
        </w:rPr>
        <w:t> </w:t>
      </w:r>
      <w:r>
        <w:rPr/>
        <w:t>2020,</w:t>
      </w:r>
      <w:r>
        <w:rPr>
          <w:spacing w:val="-15"/>
        </w:rPr>
        <w:t> </w:t>
      </w:r>
      <w:r>
        <w:rPr/>
        <w:t>location</w:t>
      </w:r>
      <w:r>
        <w:rPr>
          <w:spacing w:val="-15"/>
        </w:rPr>
        <w:t> </w:t>
      </w:r>
      <w:r>
        <w:rPr/>
        <w:t>data</w:t>
      </w:r>
      <w:r>
        <w:rPr>
          <w:spacing w:val="-15"/>
        </w:rPr>
        <w:t> </w:t>
      </w:r>
      <w:r>
        <w:rPr/>
        <w:t>was</w:t>
      </w:r>
      <w:r>
        <w:rPr>
          <w:spacing w:val="-15"/>
        </w:rPr>
        <w:t> </w:t>
      </w:r>
      <w:r>
        <w:rPr/>
        <w:t>available</w:t>
      </w:r>
      <w:r>
        <w:rPr>
          <w:spacing w:val="-15"/>
        </w:rPr>
        <w:t> </w:t>
      </w:r>
      <w:r>
        <w:rPr/>
        <w:t>for</w:t>
      </w:r>
      <w:r>
        <w:rPr>
          <w:spacing w:val="-15"/>
        </w:rPr>
        <w:t> </w:t>
      </w:r>
      <w:r>
        <w:rPr/>
        <w:t>every</w:t>
      </w:r>
      <w:r>
        <w:rPr>
          <w:spacing w:val="-15"/>
        </w:rPr>
        <w:t> </w:t>
      </w:r>
      <w:r>
        <w:rPr/>
        <w:t>action</w:t>
      </w:r>
      <w:r>
        <w:rPr>
          <w:spacing w:val="-15"/>
        </w:rPr>
        <w:t> </w:t>
      </w:r>
      <w:r>
        <w:rPr/>
        <w:t>on</w:t>
      </w:r>
      <w:r>
        <w:rPr>
          <w:spacing w:val="-15"/>
        </w:rPr>
        <w:t> </w:t>
      </w:r>
      <w:r>
        <w:rPr/>
        <w:t>the</w:t>
      </w:r>
      <w:r>
        <w:rPr>
          <w:spacing w:val="-15"/>
        </w:rPr>
        <w:t> </w:t>
      </w:r>
      <w:r>
        <w:rPr/>
        <w:t>pitch. However, with only 146,493 actions across the season, it was not possible to consider a model which included both attacking and defensive actions due to the size of transition matrix this would require.</w:t>
      </w:r>
      <w:r>
        <w:rPr>
          <w:spacing w:val="80"/>
        </w:rPr>
        <w:t> </w:t>
      </w:r>
      <w:r>
        <w:rPr/>
        <w:t>Instead,</w:t>
      </w:r>
      <w:r>
        <w:rPr>
          <w:spacing w:val="31"/>
        </w:rPr>
        <w:t> </w:t>
      </w:r>
      <w:r>
        <w:rPr/>
        <w:t>all defensive and auxiliary actions were </w:t>
      </w:r>
      <w:r>
        <w:rPr/>
        <w:t>removed,</w:t>
      </w:r>
      <w:r>
        <w:rPr>
          <w:spacing w:val="40"/>
        </w:rPr>
        <w:t> </w:t>
      </w:r>
      <w:r>
        <w:rPr/>
        <w:t>providing</w:t>
      </w:r>
      <w:r>
        <w:rPr>
          <w:spacing w:val="-8"/>
        </w:rPr>
        <w:t> </w:t>
      </w:r>
      <w:r>
        <w:rPr/>
        <w:t>a</w:t>
      </w:r>
      <w:r>
        <w:rPr>
          <w:spacing w:val="-8"/>
        </w:rPr>
        <w:t> </w:t>
      </w:r>
      <w:r>
        <w:rPr/>
        <w:t>total</w:t>
      </w:r>
      <w:r>
        <w:rPr>
          <w:spacing w:val="-8"/>
        </w:rPr>
        <w:t> </w:t>
      </w:r>
      <w:r>
        <w:rPr/>
        <w:t>of</w:t>
      </w:r>
      <w:r>
        <w:rPr>
          <w:spacing w:val="-8"/>
        </w:rPr>
        <w:t> </w:t>
      </w:r>
      <w:r>
        <w:rPr/>
        <w:t>77,045</w:t>
      </w:r>
      <w:r>
        <w:rPr>
          <w:spacing w:val="-8"/>
        </w:rPr>
        <w:t> </w:t>
      </w:r>
      <w:r>
        <w:rPr/>
        <w:t>attacking</w:t>
      </w:r>
      <w:r>
        <w:rPr>
          <w:spacing w:val="-8"/>
        </w:rPr>
        <w:t> </w:t>
      </w:r>
      <w:r>
        <w:rPr/>
        <w:t>actions. For</w:t>
      </w:r>
      <w:r>
        <w:rPr>
          <w:spacing w:val="-8"/>
        </w:rPr>
        <w:t> </w:t>
      </w:r>
      <w:r>
        <w:rPr/>
        <w:t>the</w:t>
      </w:r>
      <w:r>
        <w:rPr>
          <w:spacing w:val="-8"/>
        </w:rPr>
        <w:t> </w:t>
      </w:r>
      <w:r>
        <w:rPr/>
        <w:t>puproses</w:t>
      </w:r>
      <w:r>
        <w:rPr>
          <w:spacing w:val="-8"/>
        </w:rPr>
        <w:t> </w:t>
      </w:r>
      <w:r>
        <w:rPr/>
        <w:t>of</w:t>
      </w:r>
      <w:r>
        <w:rPr>
          <w:spacing w:val="-8"/>
        </w:rPr>
        <w:t> </w:t>
      </w:r>
      <w:r>
        <w:rPr/>
        <w:t>this</w:t>
      </w:r>
      <w:r>
        <w:rPr>
          <w:spacing w:val="-8"/>
        </w:rPr>
        <w:t> </w:t>
      </w:r>
      <w:r>
        <w:rPr/>
        <w:t>study,</w:t>
      </w:r>
      <w:r>
        <w:rPr>
          <w:spacing w:val="-8"/>
        </w:rPr>
        <w:t> </w:t>
      </w:r>
      <w:r>
        <w:rPr/>
        <w:t>the</w:t>
      </w:r>
      <w:r>
        <w:rPr>
          <w:spacing w:val="-8"/>
        </w:rPr>
        <w:t> </w:t>
      </w:r>
      <w:r>
        <w:rPr/>
        <w:t>attacking actions</w:t>
      </w:r>
      <w:r>
        <w:rPr>
          <w:spacing w:val="34"/>
        </w:rPr>
        <w:t> </w:t>
      </w:r>
      <w:r>
        <w:rPr/>
        <w:t>were</w:t>
      </w:r>
      <w:r>
        <w:rPr>
          <w:spacing w:val="34"/>
        </w:rPr>
        <w:t> </w:t>
      </w:r>
      <w:r>
        <w:rPr/>
        <w:t>organised</w:t>
      </w:r>
      <w:r>
        <w:rPr>
          <w:spacing w:val="34"/>
        </w:rPr>
        <w:t> </w:t>
      </w:r>
      <w:r>
        <w:rPr/>
        <w:t>into</w:t>
      </w:r>
      <w:r>
        <w:rPr>
          <w:spacing w:val="34"/>
        </w:rPr>
        <w:t> </w:t>
      </w:r>
      <w:r>
        <w:rPr/>
        <w:t>the</w:t>
      </w:r>
      <w:r>
        <w:rPr>
          <w:spacing w:val="34"/>
        </w:rPr>
        <w:t> </w:t>
      </w:r>
      <w:r>
        <w:rPr/>
        <w:t>seven</w:t>
      </w:r>
      <w:r>
        <w:rPr>
          <w:spacing w:val="34"/>
        </w:rPr>
        <w:t> </w:t>
      </w:r>
      <w:r>
        <w:rPr/>
        <w:t>grouped</w:t>
      </w:r>
      <w:r>
        <w:rPr>
          <w:spacing w:val="34"/>
        </w:rPr>
        <w:t> </w:t>
      </w:r>
      <w:r>
        <w:rPr/>
        <w:t>actions</w:t>
      </w:r>
      <w:r>
        <w:rPr>
          <w:spacing w:val="34"/>
        </w:rPr>
        <w:t> </w:t>
      </w:r>
      <w:r>
        <w:rPr/>
        <w:t>identified</w:t>
      </w:r>
      <w:r>
        <w:rPr>
          <w:spacing w:val="34"/>
        </w:rPr>
        <w:t> </w:t>
      </w:r>
      <w:r>
        <w:rPr/>
        <w:t>in</w:t>
      </w:r>
      <w:r>
        <w:rPr>
          <w:spacing w:val="34"/>
        </w:rPr>
        <w:t> </w:t>
      </w:r>
      <w:r>
        <w:rPr/>
        <w:t>Table</w:t>
      </w:r>
      <w:r>
        <w:rPr>
          <w:color w:val="0000FF"/>
        </w:rPr>
        <w:t>4.1</w:t>
      </w:r>
      <w:hyperlink w:history="true" w:anchor="_bookmark98">
        <w:r>
          <w:rPr/>
          <w:t>.</w:t>
        </w:r>
      </w:hyperlink>
      <w:r>
        <w:rPr>
          <w:spacing w:val="80"/>
        </w:rPr>
        <w:t> </w:t>
      </w:r>
      <w:r>
        <w:rPr/>
        <w:t>These grouped actions represented the most common attacking actions, which when grouped together in sequences described every attacking possession within the dataset.</w:t>
      </w:r>
    </w:p>
    <w:p>
      <w:pPr>
        <w:pStyle w:val="BodyText"/>
        <w:spacing w:line="312" w:lineRule="auto"/>
        <w:ind w:left="610" w:right="389" w:firstLine="351"/>
      </w:pPr>
      <w:r>
        <w:rPr/>
        <w:t>Although</w:t>
      </w:r>
      <w:r>
        <w:rPr>
          <w:spacing w:val="-11"/>
        </w:rPr>
        <w:t> </w:t>
      </w:r>
      <w:r>
        <w:rPr/>
        <w:t>location</w:t>
      </w:r>
      <w:r>
        <w:rPr>
          <w:spacing w:val="-11"/>
        </w:rPr>
        <w:t> </w:t>
      </w:r>
      <w:r>
        <w:rPr/>
        <w:t>data</w:t>
      </w:r>
      <w:r>
        <w:rPr>
          <w:spacing w:val="-11"/>
        </w:rPr>
        <w:t> </w:t>
      </w:r>
      <w:r>
        <w:rPr/>
        <w:t>was</w:t>
      </w:r>
      <w:r>
        <w:rPr>
          <w:spacing w:val="-11"/>
        </w:rPr>
        <w:t> </w:t>
      </w:r>
      <w:r>
        <w:rPr/>
        <w:t>available</w:t>
      </w:r>
      <w:r>
        <w:rPr>
          <w:spacing w:val="-11"/>
        </w:rPr>
        <w:t> </w:t>
      </w:r>
      <w:r>
        <w:rPr/>
        <w:t>for</w:t>
      </w:r>
      <w:r>
        <w:rPr>
          <w:spacing w:val="-11"/>
        </w:rPr>
        <w:t> </w:t>
      </w:r>
      <w:r>
        <w:rPr/>
        <w:t>all</w:t>
      </w:r>
      <w:r>
        <w:rPr>
          <w:spacing w:val="-11"/>
        </w:rPr>
        <w:t> </w:t>
      </w:r>
      <w:r>
        <w:rPr/>
        <w:t>actions,</w:t>
      </w:r>
      <w:r>
        <w:rPr>
          <w:spacing w:val="-10"/>
        </w:rPr>
        <w:t> </w:t>
      </w:r>
      <w:r>
        <w:rPr/>
        <w:t>the</w:t>
      </w:r>
      <w:r>
        <w:rPr>
          <w:spacing w:val="-11"/>
        </w:rPr>
        <w:t> </w:t>
      </w:r>
      <w:r>
        <w:rPr/>
        <w:t>coding</w:t>
      </w:r>
      <w:r>
        <w:rPr>
          <w:spacing w:val="-11"/>
        </w:rPr>
        <w:t> </w:t>
      </w:r>
      <w:r>
        <w:rPr/>
        <w:t>protocol</w:t>
      </w:r>
      <w:r>
        <w:rPr>
          <w:spacing w:val="-11"/>
        </w:rPr>
        <w:t> </w:t>
      </w:r>
      <w:r>
        <w:rPr/>
        <w:t>used</w:t>
      </w:r>
      <w:r>
        <w:rPr>
          <w:spacing w:val="-11"/>
        </w:rPr>
        <w:t> </w:t>
      </w:r>
      <w:r>
        <w:rPr/>
        <w:t>by</w:t>
      </w:r>
      <w:r>
        <w:rPr>
          <w:spacing w:val="-11"/>
        </w:rPr>
        <w:t> </w:t>
      </w:r>
      <w:r>
        <w:rPr/>
        <w:t>Opta was</w:t>
      </w:r>
      <w:r>
        <w:rPr>
          <w:spacing w:val="-2"/>
        </w:rPr>
        <w:t> </w:t>
      </w:r>
      <w:r>
        <w:rPr/>
        <w:t>still</w:t>
      </w:r>
      <w:r>
        <w:rPr>
          <w:spacing w:val="-1"/>
        </w:rPr>
        <w:t> </w:t>
      </w:r>
      <w:r>
        <w:rPr/>
        <w:t>geared</w:t>
      </w:r>
      <w:r>
        <w:rPr>
          <w:spacing w:val="-2"/>
        </w:rPr>
        <w:t> </w:t>
      </w:r>
      <w:r>
        <w:rPr/>
        <w:t>towards</w:t>
      </w:r>
      <w:r>
        <w:rPr>
          <w:spacing w:val="-1"/>
        </w:rPr>
        <w:t> </w:t>
      </w:r>
      <w:r>
        <w:rPr/>
        <w:t>considering</w:t>
      </w:r>
      <w:r>
        <w:rPr>
          <w:spacing w:val="-2"/>
        </w:rPr>
        <w:t> </w:t>
      </w:r>
      <w:r>
        <w:rPr/>
        <w:t>accumulated</w:t>
      </w:r>
      <w:r>
        <w:rPr>
          <w:spacing w:val="-2"/>
        </w:rPr>
        <w:t> </w:t>
      </w:r>
      <w:r>
        <w:rPr/>
        <w:t>action</w:t>
      </w:r>
      <w:r>
        <w:rPr>
          <w:spacing w:val="-1"/>
        </w:rPr>
        <w:t> </w:t>
      </w:r>
      <w:r>
        <w:rPr/>
        <w:t>count</w:t>
      </w:r>
      <w:r>
        <w:rPr>
          <w:spacing w:val="-2"/>
        </w:rPr>
        <w:t> </w:t>
      </w:r>
      <w:r>
        <w:rPr/>
        <w:t>measures, rather</w:t>
      </w:r>
      <w:r>
        <w:rPr>
          <w:spacing w:val="-2"/>
        </w:rPr>
        <w:t> </w:t>
      </w:r>
      <w:r>
        <w:rPr/>
        <w:t>than</w:t>
      </w:r>
      <w:r>
        <w:rPr>
          <w:spacing w:val="-1"/>
        </w:rPr>
        <w:t> </w:t>
      </w:r>
      <w:r>
        <w:rPr>
          <w:spacing w:val="-5"/>
        </w:rPr>
        <w:t>ac-</w:t>
      </w:r>
    </w:p>
    <w:p>
      <w:pPr>
        <w:spacing w:after="0" w:line="312" w:lineRule="auto"/>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rPr>
          <w:sz w:val="10"/>
        </w:rPr>
      </w:pPr>
    </w:p>
    <w:p>
      <w:pPr>
        <w:pStyle w:val="BodyText"/>
        <w:ind w:left="2722"/>
        <w:rPr>
          <w:sz w:val="20"/>
        </w:rPr>
      </w:pPr>
      <w:r>
        <w:rPr>
          <w:sz w:val="20"/>
        </w:rPr>
        <w:drawing>
          <wp:inline distT="0" distB="0" distL="0" distR="0">
            <wp:extent cx="2708433" cy="3948493"/>
            <wp:effectExtent l="0" t="0" r="0" b="0"/>
            <wp:docPr id="53" name="image27.png"/>
            <wp:cNvGraphicFramePr>
              <a:graphicFrameLocks noChangeAspect="1"/>
            </wp:cNvGraphicFramePr>
            <a:graphic>
              <a:graphicData uri="http://schemas.openxmlformats.org/drawingml/2006/picture">
                <pic:pic>
                  <pic:nvPicPr>
                    <pic:cNvPr id="54" name="image27.png"/>
                    <pic:cNvPicPr/>
                  </pic:nvPicPr>
                  <pic:blipFill>
                    <a:blip r:embed="rId87" cstate="print"/>
                    <a:stretch>
                      <a:fillRect/>
                    </a:stretch>
                  </pic:blipFill>
                  <pic:spPr>
                    <a:xfrm>
                      <a:off x="0" y="0"/>
                      <a:ext cx="2708433" cy="3948493"/>
                    </a:xfrm>
                    <a:prstGeom prst="rect">
                      <a:avLst/>
                    </a:prstGeom>
                  </pic:spPr>
                </pic:pic>
              </a:graphicData>
            </a:graphic>
          </wp:inline>
        </w:drawing>
      </w:r>
      <w:r>
        <w:rPr>
          <w:sz w:val="20"/>
        </w:rPr>
      </w:r>
    </w:p>
    <w:p>
      <w:pPr>
        <w:pStyle w:val="BodyText"/>
        <w:rPr>
          <w:sz w:val="20"/>
        </w:rPr>
      </w:pPr>
    </w:p>
    <w:p>
      <w:pPr>
        <w:spacing w:before="241"/>
        <w:ind w:left="757" w:right="538" w:firstLine="0"/>
        <w:jc w:val="center"/>
        <w:rPr>
          <w:sz w:val="24"/>
        </w:rPr>
      </w:pPr>
      <w:bookmarkStart w:name="_bookmark97" w:id="176"/>
      <w:bookmarkEnd w:id="176"/>
      <w:r>
        <w:rPr/>
      </w:r>
      <w:r>
        <w:rPr>
          <w:b/>
          <w:sz w:val="24"/>
        </w:rPr>
        <w:t>Figure</w:t>
      </w:r>
      <w:r>
        <w:rPr>
          <w:b/>
          <w:spacing w:val="-9"/>
          <w:sz w:val="24"/>
        </w:rPr>
        <w:t> </w:t>
      </w:r>
      <w:r>
        <w:rPr>
          <w:b/>
          <w:sz w:val="24"/>
        </w:rPr>
        <w:t>4.1:</w:t>
      </w:r>
      <w:r>
        <w:rPr>
          <w:b/>
          <w:spacing w:val="4"/>
          <w:sz w:val="24"/>
        </w:rPr>
        <w:t> </w:t>
      </w:r>
      <w:r>
        <w:rPr>
          <w:sz w:val="24"/>
        </w:rPr>
        <w:t>Data</w:t>
      </w:r>
      <w:r>
        <w:rPr>
          <w:spacing w:val="-9"/>
          <w:sz w:val="24"/>
        </w:rPr>
        <w:t> </w:t>
      </w:r>
      <w:r>
        <w:rPr>
          <w:sz w:val="24"/>
        </w:rPr>
        <w:t>preprocessing</w:t>
      </w:r>
      <w:r>
        <w:rPr>
          <w:spacing w:val="-9"/>
          <w:sz w:val="24"/>
        </w:rPr>
        <w:t> </w:t>
      </w:r>
      <w:r>
        <w:rPr>
          <w:spacing w:val="-2"/>
          <w:sz w:val="24"/>
        </w:rPr>
        <w:t>workflow</w:t>
      </w:r>
    </w:p>
    <w:p>
      <w:pPr>
        <w:pStyle w:val="BodyText"/>
        <w:rPr>
          <w:sz w:val="30"/>
        </w:rPr>
      </w:pPr>
    </w:p>
    <w:p>
      <w:pPr>
        <w:pStyle w:val="BodyText"/>
        <w:spacing w:before="6"/>
        <w:rPr>
          <w:sz w:val="31"/>
        </w:rPr>
      </w:pPr>
    </w:p>
    <w:p>
      <w:pPr>
        <w:pStyle w:val="BodyText"/>
        <w:spacing w:line="312" w:lineRule="auto"/>
        <w:ind w:left="610" w:right="389"/>
        <w:jc w:val="both"/>
      </w:pPr>
      <w:r>
        <w:rPr/>
        <w:t>tion</w:t>
      </w:r>
      <w:r>
        <w:rPr>
          <w:spacing w:val="-10"/>
        </w:rPr>
        <w:t> </w:t>
      </w:r>
      <w:r>
        <w:rPr/>
        <w:t>by</w:t>
      </w:r>
      <w:r>
        <w:rPr>
          <w:spacing w:val="-10"/>
        </w:rPr>
        <w:t> </w:t>
      </w:r>
      <w:r>
        <w:rPr/>
        <w:t>action</w:t>
      </w:r>
      <w:r>
        <w:rPr>
          <w:spacing w:val="-10"/>
        </w:rPr>
        <w:t> </w:t>
      </w:r>
      <w:r>
        <w:rPr/>
        <w:t>analysis. Consequently,</w:t>
      </w:r>
      <w:r>
        <w:rPr>
          <w:spacing w:val="-9"/>
        </w:rPr>
        <w:t> </w:t>
      </w:r>
      <w:r>
        <w:rPr/>
        <w:t>there</w:t>
      </w:r>
      <w:r>
        <w:rPr>
          <w:spacing w:val="-10"/>
        </w:rPr>
        <w:t> </w:t>
      </w:r>
      <w:r>
        <w:rPr/>
        <w:t>were</w:t>
      </w:r>
      <w:r>
        <w:rPr>
          <w:spacing w:val="-10"/>
        </w:rPr>
        <w:t> </w:t>
      </w:r>
      <w:r>
        <w:rPr/>
        <w:t>three</w:t>
      </w:r>
      <w:r>
        <w:rPr>
          <w:spacing w:val="-10"/>
        </w:rPr>
        <w:t> </w:t>
      </w:r>
      <w:r>
        <w:rPr/>
        <w:t>action</w:t>
      </w:r>
      <w:r>
        <w:rPr>
          <w:spacing w:val="-10"/>
        </w:rPr>
        <w:t> </w:t>
      </w:r>
      <w:r>
        <w:rPr/>
        <w:t>ordering</w:t>
      </w:r>
      <w:r>
        <w:rPr>
          <w:spacing w:val="-10"/>
        </w:rPr>
        <w:t> </w:t>
      </w:r>
      <w:r>
        <w:rPr/>
        <w:t>issues</w:t>
      </w:r>
      <w:r>
        <w:rPr>
          <w:spacing w:val="-10"/>
        </w:rPr>
        <w:t> </w:t>
      </w:r>
      <w:r>
        <w:rPr/>
        <w:t>that</w:t>
      </w:r>
      <w:r>
        <w:rPr>
          <w:spacing w:val="-10"/>
        </w:rPr>
        <w:t> </w:t>
      </w:r>
      <w:r>
        <w:rPr/>
        <w:t>needed to be resolved to ensure that the sequence of actions considered by the MDP accurately represented true sequences of match play.</w:t>
      </w:r>
      <w:r>
        <w:rPr>
          <w:spacing w:val="40"/>
        </w:rPr>
        <w:t> </w:t>
      </w:r>
      <w:r>
        <w:rPr/>
        <w:t>These were: runs being coded in the action before a player had caught the ball; penalties being won before either a run or catch (or both)</w:t>
      </w:r>
      <w:r>
        <w:rPr>
          <w:spacing w:val="-1"/>
        </w:rPr>
        <w:t> </w:t>
      </w:r>
      <w:r>
        <w:rPr/>
        <w:t>had</w:t>
      </w:r>
      <w:r>
        <w:rPr>
          <w:spacing w:val="-1"/>
        </w:rPr>
        <w:t> </w:t>
      </w:r>
      <w:r>
        <w:rPr/>
        <w:t>occurred</w:t>
      </w:r>
      <w:r>
        <w:rPr>
          <w:spacing w:val="-1"/>
        </w:rPr>
        <w:t> </w:t>
      </w:r>
      <w:r>
        <w:rPr/>
        <w:t>for</w:t>
      </w:r>
      <w:r>
        <w:rPr>
          <w:spacing w:val="-1"/>
        </w:rPr>
        <w:t> </w:t>
      </w:r>
      <w:r>
        <w:rPr/>
        <w:t>the</w:t>
      </w:r>
      <w:r>
        <w:rPr>
          <w:spacing w:val="-1"/>
        </w:rPr>
        <w:t> </w:t>
      </w:r>
      <w:r>
        <w:rPr/>
        <w:t>same</w:t>
      </w:r>
      <w:r>
        <w:rPr>
          <w:spacing w:val="-1"/>
        </w:rPr>
        <w:t> </w:t>
      </w:r>
      <w:r>
        <w:rPr/>
        <w:t>player; and</w:t>
      </w:r>
      <w:r>
        <w:rPr>
          <w:spacing w:val="-1"/>
        </w:rPr>
        <w:t> </w:t>
      </w:r>
      <w:r>
        <w:rPr/>
        <w:t>positional</w:t>
      </w:r>
      <w:r>
        <w:rPr>
          <w:spacing w:val="-1"/>
        </w:rPr>
        <w:t> </w:t>
      </w:r>
      <w:r>
        <w:rPr/>
        <w:t>kicks</w:t>
      </w:r>
      <w:r>
        <w:rPr>
          <w:spacing w:val="-1"/>
        </w:rPr>
        <w:t> </w:t>
      </w:r>
      <w:r>
        <w:rPr/>
        <w:t>occurring</w:t>
      </w:r>
      <w:r>
        <w:rPr>
          <w:spacing w:val="-1"/>
        </w:rPr>
        <w:t> </w:t>
      </w:r>
      <w:r>
        <w:rPr/>
        <w:t>after</w:t>
      </w:r>
      <w:r>
        <w:rPr>
          <w:spacing w:val="-1"/>
        </w:rPr>
        <w:t> </w:t>
      </w:r>
      <w:r>
        <w:rPr/>
        <w:t>a</w:t>
      </w:r>
      <w:r>
        <w:rPr>
          <w:spacing w:val="-1"/>
        </w:rPr>
        <w:t> </w:t>
      </w:r>
      <w:r>
        <w:rPr/>
        <w:t>player</w:t>
      </w:r>
      <w:r>
        <w:rPr>
          <w:spacing w:val="-1"/>
        </w:rPr>
        <w:t> </w:t>
      </w:r>
      <w:r>
        <w:rPr/>
        <w:t>had won a penalty, when the positional kick happened beforehand.</w:t>
      </w:r>
      <w:r>
        <w:rPr>
          <w:spacing w:val="31"/>
        </w:rPr>
        <w:t> </w:t>
      </w:r>
      <w:r>
        <w:rPr/>
        <w:t>All three ordering issues were resolved at this point.</w:t>
      </w:r>
    </w:p>
    <w:p>
      <w:pPr>
        <w:pStyle w:val="BodyText"/>
        <w:spacing w:line="312" w:lineRule="auto"/>
        <w:ind w:left="610" w:right="389" w:firstLine="351"/>
        <w:jc w:val="both"/>
      </w:pPr>
      <w:r>
        <w:rPr/>
        <w:t>As with the 2019 data, each action in the 2020 dataset was marked with an </w:t>
      </w:r>
      <w:r>
        <w:rPr>
          <w:rFonts w:ascii="Cambria"/>
        </w:rPr>
        <w:t>x,</w:t>
      </w:r>
      <w:r>
        <w:rPr>
          <w:rFonts w:ascii="Cambria"/>
          <w:spacing w:val="-14"/>
        </w:rPr>
        <w:t> </w:t>
      </w:r>
      <w:r>
        <w:rPr>
          <w:rFonts w:ascii="Cambria"/>
        </w:rPr>
        <w:t>y </w:t>
      </w:r>
      <w:r>
        <w:rPr/>
        <w:t>loca- tion, denoting the position of the pitch relative to a standard 100m x 68m rugby league pitch.</w:t>
      </w:r>
      <w:r>
        <w:rPr>
          <w:spacing w:val="24"/>
        </w:rPr>
        <w:t> </w:t>
      </w:r>
      <w:r>
        <w:rPr/>
        <w:t>For</w:t>
      </w:r>
      <w:r>
        <w:rPr>
          <w:spacing w:val="-1"/>
        </w:rPr>
        <w:t> </w:t>
      </w:r>
      <w:r>
        <w:rPr/>
        <w:t>the</w:t>
      </w:r>
      <w:r>
        <w:rPr>
          <w:spacing w:val="-1"/>
        </w:rPr>
        <w:t> </w:t>
      </w:r>
      <w:r>
        <w:rPr/>
        <w:t>purposes</w:t>
      </w:r>
      <w:r>
        <w:rPr>
          <w:spacing w:val="-1"/>
        </w:rPr>
        <w:t> </w:t>
      </w:r>
      <w:r>
        <w:rPr/>
        <w:t>of</w:t>
      </w:r>
      <w:r>
        <w:rPr>
          <w:spacing w:val="-1"/>
        </w:rPr>
        <w:t> </w:t>
      </w:r>
      <w:r>
        <w:rPr/>
        <w:t>this</w:t>
      </w:r>
      <w:r>
        <w:rPr>
          <w:spacing w:val="-1"/>
        </w:rPr>
        <w:t> </w:t>
      </w:r>
      <w:r>
        <w:rPr/>
        <w:t>study, these</w:t>
      </w:r>
      <w:r>
        <w:rPr>
          <w:spacing w:val="-1"/>
        </w:rPr>
        <w:t> </w:t>
      </w:r>
      <w:r>
        <w:rPr/>
        <w:t>locations</w:t>
      </w:r>
      <w:r>
        <w:rPr>
          <w:spacing w:val="-1"/>
        </w:rPr>
        <w:t> </w:t>
      </w:r>
      <w:r>
        <w:rPr/>
        <w:t>were</w:t>
      </w:r>
      <w:r>
        <w:rPr>
          <w:spacing w:val="-1"/>
        </w:rPr>
        <w:t> </w:t>
      </w:r>
      <w:r>
        <w:rPr/>
        <w:t>binned</w:t>
      </w:r>
      <w:r>
        <w:rPr>
          <w:spacing w:val="-1"/>
        </w:rPr>
        <w:t> </w:t>
      </w:r>
      <w:r>
        <w:rPr/>
        <w:t>into</w:t>
      </w:r>
      <w:r>
        <w:rPr>
          <w:spacing w:val="-1"/>
        </w:rPr>
        <w:t> </w:t>
      </w:r>
      <w:r>
        <w:rPr/>
        <w:t>the</w:t>
      </w:r>
      <w:r>
        <w:rPr>
          <w:spacing w:val="-1"/>
        </w:rPr>
        <w:t> </w:t>
      </w:r>
      <w:r>
        <w:rPr/>
        <w:t>EPV-19</w:t>
      </w:r>
      <w:r>
        <w:rPr>
          <w:spacing w:val="-1"/>
        </w:rPr>
        <w:t> </w:t>
      </w:r>
      <w:r>
        <w:rPr/>
        <w:t>zones produced in Chapter</w:t>
      </w:r>
      <w:r>
        <w:rPr>
          <w:color w:val="0000FF"/>
        </w:rPr>
        <w:t>3</w:t>
      </w:r>
      <w:hyperlink w:history="true" w:anchor="_bookmark48">
        <w:r>
          <w:rPr/>
          <w:t>.</w:t>
        </w:r>
      </w:hyperlink>
      <w:r>
        <w:rPr>
          <w:spacing w:val="40"/>
        </w:rPr>
        <w:t> </w:t>
      </w:r>
      <w:r>
        <w:rPr/>
        <w:t>The EPV-19 zones were chosen as these were empirically eval-</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before="105"/>
        <w:ind w:left="757" w:right="538"/>
        <w:jc w:val="center"/>
      </w:pPr>
      <w:bookmarkStart w:name="_bookmark98" w:id="177"/>
      <w:bookmarkEnd w:id="177"/>
      <w:r>
        <w:rPr/>
      </w:r>
      <w:r>
        <w:rPr>
          <w:b/>
        </w:rPr>
        <w:t>Table</w:t>
      </w:r>
      <w:r>
        <w:rPr>
          <w:b/>
          <w:spacing w:val="-10"/>
        </w:rPr>
        <w:t> </w:t>
      </w:r>
      <w:r>
        <w:rPr>
          <w:b/>
        </w:rPr>
        <w:t>4.1:</w:t>
      </w:r>
      <w:r>
        <w:rPr>
          <w:b/>
          <w:spacing w:val="3"/>
        </w:rPr>
        <w:t> </w:t>
      </w:r>
      <w:r>
        <w:rPr/>
        <w:t>Definitions</w:t>
      </w:r>
      <w:r>
        <w:rPr>
          <w:spacing w:val="-10"/>
        </w:rPr>
        <w:t> </w:t>
      </w:r>
      <w:r>
        <w:rPr/>
        <w:t>of</w:t>
      </w:r>
      <w:r>
        <w:rPr>
          <w:spacing w:val="-9"/>
        </w:rPr>
        <w:t> </w:t>
      </w:r>
      <w:r>
        <w:rPr/>
        <w:t>grouped</w:t>
      </w:r>
      <w:r>
        <w:rPr>
          <w:spacing w:val="-10"/>
        </w:rPr>
        <w:t> </w:t>
      </w:r>
      <w:r>
        <w:rPr/>
        <w:t>actions</w:t>
      </w:r>
      <w:r>
        <w:rPr>
          <w:spacing w:val="-9"/>
        </w:rPr>
        <w:t> </w:t>
      </w:r>
      <w:r>
        <w:rPr/>
        <w:t>used</w:t>
      </w:r>
      <w:r>
        <w:rPr>
          <w:spacing w:val="-10"/>
        </w:rPr>
        <w:t> </w:t>
      </w:r>
      <w:r>
        <w:rPr/>
        <w:t>in</w:t>
      </w:r>
      <w:r>
        <w:rPr>
          <w:spacing w:val="-10"/>
        </w:rPr>
        <w:t> </w:t>
      </w:r>
      <w:r>
        <w:rPr/>
        <w:t>this</w:t>
      </w:r>
      <w:r>
        <w:rPr>
          <w:spacing w:val="-9"/>
        </w:rPr>
        <w:t> </w:t>
      </w:r>
      <w:r>
        <w:rPr>
          <w:spacing w:val="-2"/>
        </w:rPr>
        <w:t>study.</w:t>
      </w:r>
    </w:p>
    <w:p>
      <w:pPr>
        <w:pStyle w:val="BodyText"/>
        <w:rPr>
          <w:sz w:val="20"/>
        </w:rPr>
      </w:pPr>
    </w:p>
    <w:p>
      <w:pPr>
        <w:pStyle w:val="BodyText"/>
        <w:spacing w:before="2"/>
        <w:rPr>
          <w:sz w:val="21"/>
        </w:rPr>
      </w:pPr>
      <w:r>
        <w:rPr/>
        <w:pict>
          <v:shape style="position:absolute;margin-left:124.162003pt;margin-top:13.373975pt;width:405.95pt;height:.1pt;mso-position-horizontal-relative:page;mso-position-vertical-relative:paragraph;z-index:-15691776;mso-wrap-distance-left:0;mso-wrap-distance-right:0" id="docshape98" coordorigin="2483,267" coordsize="8119,0" path="m2483,267l10601,267e" filled="false" stroked="true" strokeweight=".398pt" strokecolor="#000000">
            <v:path arrowok="t"/>
            <v:stroke dashstyle="solid"/>
            <w10:wrap type="topAndBottom"/>
          </v:shape>
        </w:pict>
      </w:r>
    </w:p>
    <w:p>
      <w:pPr>
        <w:pStyle w:val="BodyText"/>
        <w:tabs>
          <w:tab w:pos="2862" w:val="left" w:leader="none"/>
          <w:tab w:pos="8217" w:val="left" w:leader="none"/>
        </w:tabs>
        <w:spacing w:line="254" w:lineRule="exact"/>
        <w:ind w:left="922"/>
      </w:pPr>
      <w:r>
        <w:rPr>
          <w:spacing w:val="-2"/>
        </w:rPr>
        <w:t>Action</w:t>
      </w:r>
      <w:r>
        <w:rPr/>
        <w:tab/>
      </w:r>
      <w:r>
        <w:rPr>
          <w:spacing w:val="-2"/>
        </w:rPr>
        <w:t>Definition</w:t>
      </w:r>
      <w:r>
        <w:rPr/>
        <w:tab/>
      </w:r>
      <w:r>
        <w:rPr>
          <w:spacing w:val="-2"/>
        </w:rPr>
        <w:t>Count</w:t>
      </w:r>
    </w:p>
    <w:p>
      <w:pPr>
        <w:spacing w:after="0" w:line="254" w:lineRule="exact"/>
        <w:sectPr>
          <w:pgSz w:w="11910" w:h="16840"/>
          <w:pgMar w:header="1961" w:footer="1428" w:top="2280" w:bottom="1620" w:left="1680" w:right="720"/>
        </w:sectPr>
      </w:pPr>
    </w:p>
    <w:p>
      <w:pPr>
        <w:pStyle w:val="BodyText"/>
        <w:tabs>
          <w:tab w:pos="2862" w:val="left" w:leader="none"/>
        </w:tabs>
        <w:spacing w:line="252" w:lineRule="auto" w:before="21"/>
        <w:ind w:left="2862" w:hanging="1940"/>
      </w:pPr>
      <w:r>
        <w:rPr/>
        <w:pict>
          <v:line style="position:absolute;mso-position-horizontal-relative:page;mso-position-vertical-relative:paragraph;z-index:15766528" from="124.162003pt,1.942132pt" to="530.074003pt,1.942132pt" stroked="true" strokeweight=".398pt" strokecolor="#000000">
            <v:stroke dashstyle="solid"/>
            <w10:wrap type="none"/>
          </v:line>
        </w:pict>
      </w:r>
      <w:r>
        <w:rPr>
          <w:spacing w:val="-2"/>
        </w:rPr>
        <w:t>Catch</w:t>
      </w:r>
      <w:r>
        <w:rPr/>
        <w:tab/>
        <w:t>A successful</w:t>
      </w:r>
      <w:r>
        <w:rPr>
          <w:spacing w:val="-1"/>
        </w:rPr>
        <w:t> </w:t>
      </w:r>
      <w:r>
        <w:rPr/>
        <w:t>receipt of</w:t>
      </w:r>
      <w:r>
        <w:rPr>
          <w:spacing w:val="-1"/>
        </w:rPr>
        <w:t> </w:t>
      </w:r>
      <w:r>
        <w:rPr/>
        <w:t>the ball, either</w:t>
      </w:r>
      <w:r>
        <w:rPr>
          <w:spacing w:val="-1"/>
        </w:rPr>
        <w:t> </w:t>
      </w:r>
      <w:r>
        <w:rPr/>
        <w:t>from a</w:t>
      </w:r>
      <w:r>
        <w:rPr>
          <w:spacing w:val="-1"/>
        </w:rPr>
        <w:t> </w:t>
      </w:r>
      <w:r>
        <w:rPr/>
        <w:t>kick </w:t>
      </w:r>
      <w:r>
        <w:rPr/>
        <w:t>or a loose ball</w:t>
      </w:r>
    </w:p>
    <w:p>
      <w:pPr>
        <w:pStyle w:val="BodyText"/>
        <w:spacing w:before="21"/>
        <w:ind w:left="318"/>
      </w:pPr>
      <w:r>
        <w:rPr/>
        <w:br w:type="column"/>
      </w:r>
      <w:r>
        <w:rPr>
          <w:spacing w:val="-4"/>
        </w:rPr>
        <w:t>3198</w:t>
      </w:r>
    </w:p>
    <w:p>
      <w:pPr>
        <w:spacing w:after="0"/>
        <w:sectPr>
          <w:type w:val="continuous"/>
          <w:pgSz w:w="11910" w:h="16840"/>
          <w:pgMar w:header="1961" w:footer="1428" w:top="1920" w:bottom="280" w:left="1680" w:right="720"/>
          <w:cols w:num="2" w:equalWidth="0">
            <w:col w:w="7966" w:space="40"/>
            <w:col w:w="1504"/>
          </w:cols>
        </w:sectPr>
      </w:pPr>
    </w:p>
    <w:p>
      <w:pPr>
        <w:pStyle w:val="BodyText"/>
        <w:tabs>
          <w:tab w:pos="2862" w:val="left" w:leader="none"/>
          <w:tab w:pos="8204" w:val="left" w:leader="none"/>
        </w:tabs>
        <w:spacing w:line="274" w:lineRule="exact"/>
        <w:ind w:left="922"/>
      </w:pPr>
      <w:r>
        <w:rPr>
          <w:spacing w:val="-4"/>
        </w:rPr>
        <w:t>Pass</w:t>
      </w:r>
      <w:r>
        <w:rPr/>
        <w:tab/>
        <w:t>A</w:t>
      </w:r>
      <w:r>
        <w:rPr>
          <w:spacing w:val="-6"/>
        </w:rPr>
        <w:t> </w:t>
      </w:r>
      <w:r>
        <w:rPr/>
        <w:t>thrown</w:t>
      </w:r>
      <w:r>
        <w:rPr>
          <w:spacing w:val="-5"/>
        </w:rPr>
        <w:t> </w:t>
      </w:r>
      <w:r>
        <w:rPr/>
        <w:t>pass</w:t>
      </w:r>
      <w:r>
        <w:rPr>
          <w:spacing w:val="-6"/>
        </w:rPr>
        <w:t> </w:t>
      </w:r>
      <w:r>
        <w:rPr/>
        <w:t>aimed</w:t>
      </w:r>
      <w:r>
        <w:rPr>
          <w:spacing w:val="-5"/>
        </w:rPr>
        <w:t> </w:t>
      </w:r>
      <w:r>
        <w:rPr/>
        <w:t>at</w:t>
      </w:r>
      <w:r>
        <w:rPr>
          <w:spacing w:val="-5"/>
        </w:rPr>
        <w:t> </w:t>
      </w:r>
      <w:r>
        <w:rPr/>
        <w:t>a</w:t>
      </w:r>
      <w:r>
        <w:rPr>
          <w:spacing w:val="-6"/>
        </w:rPr>
        <w:t> </w:t>
      </w:r>
      <w:r>
        <w:rPr/>
        <w:t>player</w:t>
      </w:r>
      <w:r>
        <w:rPr>
          <w:spacing w:val="-5"/>
        </w:rPr>
        <w:t> </w:t>
      </w:r>
      <w:r>
        <w:rPr/>
        <w:t>on</w:t>
      </w:r>
      <w:r>
        <w:rPr>
          <w:spacing w:val="-5"/>
        </w:rPr>
        <w:t> </w:t>
      </w:r>
      <w:r>
        <w:rPr/>
        <w:t>the</w:t>
      </w:r>
      <w:r>
        <w:rPr>
          <w:spacing w:val="-6"/>
        </w:rPr>
        <w:t> </w:t>
      </w:r>
      <w:r>
        <w:rPr/>
        <w:t>same</w:t>
      </w:r>
      <w:r>
        <w:rPr>
          <w:spacing w:val="-5"/>
        </w:rPr>
        <w:t> </w:t>
      </w:r>
      <w:r>
        <w:rPr>
          <w:spacing w:val="-4"/>
        </w:rPr>
        <w:t>team</w:t>
      </w:r>
      <w:r>
        <w:rPr/>
        <w:tab/>
      </w:r>
      <w:r>
        <w:rPr>
          <w:spacing w:val="-2"/>
        </w:rPr>
        <w:t>29192</w:t>
      </w:r>
    </w:p>
    <w:p>
      <w:pPr>
        <w:spacing w:after="0" w:line="274" w:lineRule="exact"/>
        <w:sectPr>
          <w:type w:val="continuous"/>
          <w:pgSz w:w="11910" w:h="16840"/>
          <w:pgMar w:header="1961" w:footer="1428" w:top="1920" w:bottom="280" w:left="1680" w:right="720"/>
        </w:sectPr>
      </w:pPr>
    </w:p>
    <w:p>
      <w:pPr>
        <w:pStyle w:val="BodyText"/>
        <w:spacing w:line="252" w:lineRule="auto" w:before="13"/>
        <w:ind w:left="2862" w:hanging="1940"/>
        <w:jc w:val="both"/>
      </w:pPr>
      <w:r>
        <w:rPr/>
        <w:t>Positional</w:t>
      </w:r>
      <w:r>
        <w:rPr>
          <w:spacing w:val="-4"/>
        </w:rPr>
        <w:t> </w:t>
      </w:r>
      <w:r>
        <w:rPr/>
        <w:t>Kick</w:t>
      </w:r>
      <w:r>
        <w:rPr>
          <w:spacing w:val="80"/>
          <w:w w:val="150"/>
        </w:rPr>
        <w:t>  </w:t>
      </w:r>
      <w:r>
        <w:rPr/>
        <w:t>A kick aimed to advance the position of the team </w:t>
      </w:r>
      <w:r>
        <w:rPr/>
        <w:t>or for a teammate to attempt to catch, but not aimed specifically at goal</w:t>
      </w:r>
    </w:p>
    <w:p>
      <w:pPr>
        <w:pStyle w:val="BodyText"/>
        <w:tabs>
          <w:tab w:pos="2862" w:val="left" w:leader="none"/>
        </w:tabs>
        <w:spacing w:line="252" w:lineRule="auto"/>
        <w:ind w:left="2862" w:hanging="1940"/>
        <w:jc w:val="both"/>
      </w:pPr>
      <w:r>
        <w:rPr>
          <w:spacing w:val="-4"/>
        </w:rPr>
        <w:t>Run</w:t>
      </w:r>
      <w:r>
        <w:rPr/>
        <w:tab/>
        <w:t>A run made by a player, whilst in possession of </w:t>
      </w:r>
      <w:r>
        <w:rPr/>
        <w:t>the </w:t>
      </w:r>
      <w:r>
        <w:rPr>
          <w:spacing w:val="-4"/>
        </w:rPr>
        <w:t>ball</w:t>
      </w:r>
    </w:p>
    <w:p>
      <w:pPr>
        <w:pStyle w:val="BodyText"/>
        <w:tabs>
          <w:tab w:pos="2862" w:val="left" w:leader="none"/>
        </w:tabs>
        <w:spacing w:line="252" w:lineRule="auto"/>
        <w:ind w:left="2862" w:hanging="1940"/>
        <w:jc w:val="both"/>
      </w:pPr>
      <w:r>
        <w:rPr>
          <w:spacing w:val="-4"/>
        </w:rPr>
        <w:t>PTB</w:t>
      </w:r>
      <w:r>
        <w:rPr/>
        <w:tab/>
        <w:t>The restart action performed by a player after he </w:t>
      </w:r>
      <w:r>
        <w:rPr/>
        <w:t>has been</w:t>
      </w:r>
      <w:r>
        <w:rPr>
          <w:spacing w:val="-8"/>
        </w:rPr>
        <w:t> </w:t>
      </w:r>
      <w:r>
        <w:rPr/>
        <w:t>tackled,</w:t>
      </w:r>
      <w:r>
        <w:rPr>
          <w:spacing w:val="-7"/>
        </w:rPr>
        <w:t> </w:t>
      </w:r>
      <w:r>
        <w:rPr/>
        <w:t>indicates</w:t>
      </w:r>
      <w:r>
        <w:rPr>
          <w:spacing w:val="-7"/>
        </w:rPr>
        <w:t> </w:t>
      </w:r>
      <w:r>
        <w:rPr/>
        <w:t>the</w:t>
      </w:r>
      <w:r>
        <w:rPr>
          <w:spacing w:val="-8"/>
        </w:rPr>
        <w:t> </w:t>
      </w:r>
      <w:r>
        <w:rPr/>
        <w:t>beginning</w:t>
      </w:r>
      <w:r>
        <w:rPr>
          <w:spacing w:val="-7"/>
        </w:rPr>
        <w:t> </w:t>
      </w:r>
      <w:r>
        <w:rPr/>
        <w:t>of</w:t>
      </w:r>
      <w:r>
        <w:rPr>
          <w:spacing w:val="-7"/>
        </w:rPr>
        <w:t> </w:t>
      </w:r>
      <w:r>
        <w:rPr/>
        <w:t>the</w:t>
      </w:r>
      <w:r>
        <w:rPr>
          <w:spacing w:val="-7"/>
        </w:rPr>
        <w:t> </w:t>
      </w:r>
      <w:r>
        <w:rPr/>
        <w:t>next</w:t>
      </w:r>
      <w:r>
        <w:rPr>
          <w:spacing w:val="-8"/>
        </w:rPr>
        <w:t> </w:t>
      </w:r>
      <w:r>
        <w:rPr>
          <w:spacing w:val="-4"/>
        </w:rPr>
        <w:t>play</w:t>
      </w:r>
    </w:p>
    <w:p>
      <w:pPr>
        <w:pStyle w:val="BodyText"/>
        <w:spacing w:before="13"/>
        <w:ind w:left="318"/>
      </w:pPr>
      <w:r>
        <w:rPr/>
        <w:br w:type="column"/>
      </w:r>
      <w:r>
        <w:rPr>
          <w:spacing w:val="-4"/>
        </w:rPr>
        <w:t>2955</w:t>
      </w:r>
    </w:p>
    <w:p>
      <w:pPr>
        <w:pStyle w:val="BodyText"/>
        <w:rPr>
          <w:sz w:val="28"/>
        </w:rPr>
      </w:pPr>
    </w:p>
    <w:p>
      <w:pPr>
        <w:pStyle w:val="BodyText"/>
        <w:spacing w:before="4"/>
        <w:rPr>
          <w:sz w:val="23"/>
        </w:rPr>
      </w:pPr>
    </w:p>
    <w:p>
      <w:pPr>
        <w:pStyle w:val="BodyText"/>
        <w:ind w:left="199"/>
      </w:pPr>
      <w:r>
        <w:rPr>
          <w:spacing w:val="-2"/>
        </w:rPr>
        <w:t>23543</w:t>
      </w:r>
    </w:p>
    <w:p>
      <w:pPr>
        <w:pStyle w:val="BodyText"/>
        <w:spacing w:before="3"/>
        <w:rPr>
          <w:sz w:val="26"/>
        </w:rPr>
      </w:pPr>
    </w:p>
    <w:p>
      <w:pPr>
        <w:pStyle w:val="BodyText"/>
        <w:ind w:left="199"/>
      </w:pPr>
      <w:r>
        <w:rPr>
          <w:spacing w:val="-2"/>
        </w:rPr>
        <w:t>17689</w:t>
      </w:r>
    </w:p>
    <w:p>
      <w:pPr>
        <w:spacing w:after="0"/>
        <w:sectPr>
          <w:type w:val="continuous"/>
          <w:pgSz w:w="11910" w:h="16840"/>
          <w:pgMar w:header="1961" w:footer="1428" w:top="1920" w:bottom="280" w:left="1680" w:right="720"/>
          <w:cols w:num="2" w:equalWidth="0">
            <w:col w:w="7966" w:space="40"/>
            <w:col w:w="1504"/>
          </w:cols>
        </w:sectPr>
      </w:pPr>
    </w:p>
    <w:p>
      <w:pPr>
        <w:pStyle w:val="BodyText"/>
        <w:tabs>
          <w:tab w:pos="2862" w:val="left" w:leader="none"/>
          <w:tab w:pos="8801" w:val="right" w:leader="none"/>
        </w:tabs>
        <w:spacing w:line="270" w:lineRule="exact"/>
        <w:ind w:left="922"/>
      </w:pPr>
      <w:r>
        <w:rPr/>
        <w:t>Penalty</w:t>
      </w:r>
      <w:r>
        <w:rPr>
          <w:spacing w:val="-9"/>
        </w:rPr>
        <w:t> </w:t>
      </w:r>
      <w:r>
        <w:rPr>
          <w:spacing w:val="-5"/>
        </w:rPr>
        <w:t>Won</w:t>
      </w:r>
      <w:r>
        <w:rPr/>
        <w:tab/>
        <w:t>The</w:t>
      </w:r>
      <w:r>
        <w:rPr>
          <w:spacing w:val="-5"/>
        </w:rPr>
        <w:t> </w:t>
      </w:r>
      <w:r>
        <w:rPr/>
        <w:t>act</w:t>
      </w:r>
      <w:r>
        <w:rPr>
          <w:spacing w:val="-4"/>
        </w:rPr>
        <w:t> </w:t>
      </w:r>
      <w:r>
        <w:rPr/>
        <w:t>of</w:t>
      </w:r>
      <w:r>
        <w:rPr>
          <w:spacing w:val="-5"/>
        </w:rPr>
        <w:t> </w:t>
      </w:r>
      <w:r>
        <w:rPr/>
        <w:t>winning</w:t>
      </w:r>
      <w:r>
        <w:rPr>
          <w:spacing w:val="-4"/>
        </w:rPr>
        <w:t> </w:t>
      </w:r>
      <w:r>
        <w:rPr/>
        <w:t>a</w:t>
      </w:r>
      <w:r>
        <w:rPr>
          <w:spacing w:val="-5"/>
        </w:rPr>
        <w:t> </w:t>
      </w:r>
      <w:r>
        <w:rPr>
          <w:spacing w:val="-2"/>
        </w:rPr>
        <w:t>penalty</w:t>
      </w:r>
      <w:r>
        <w:rPr/>
        <w:tab/>
      </w:r>
      <w:r>
        <w:rPr>
          <w:spacing w:val="-5"/>
        </w:rPr>
        <w:t>385</w:t>
      </w:r>
    </w:p>
    <w:p>
      <w:pPr>
        <w:pStyle w:val="BodyText"/>
        <w:tabs>
          <w:tab w:pos="2862" w:val="left" w:leader="none"/>
          <w:tab w:pos="8801" w:val="right" w:leader="none"/>
        </w:tabs>
        <w:spacing w:before="13"/>
        <w:ind w:left="922"/>
      </w:pPr>
      <w:r>
        <w:rPr/>
        <w:pict>
          <v:shape style="position:absolute;margin-left:124.162003pt;margin-top:16.386110pt;width:405.95pt;height:.1pt;mso-position-horizontal-relative:page;mso-position-vertical-relative:paragraph;z-index:-15691264;mso-wrap-distance-left:0;mso-wrap-distance-right:0" id="docshape99" coordorigin="2483,328" coordsize="8119,0" path="m2483,328l10601,328e" filled="false" stroked="true" strokeweight=".398pt" strokecolor="#000000">
            <v:path arrowok="t"/>
            <v:stroke dashstyle="solid"/>
            <w10:wrap type="topAndBottom"/>
          </v:shape>
        </w:pict>
      </w:r>
      <w:r>
        <w:rPr/>
        <w:t>Goal</w:t>
      </w:r>
      <w:r>
        <w:rPr>
          <w:spacing w:val="-6"/>
        </w:rPr>
        <w:t> </w:t>
      </w:r>
      <w:r>
        <w:rPr>
          <w:spacing w:val="-4"/>
        </w:rPr>
        <w:t>Kick</w:t>
      </w:r>
      <w:r>
        <w:rPr/>
        <w:tab/>
        <w:t>A</w:t>
      </w:r>
      <w:r>
        <w:rPr>
          <w:spacing w:val="-5"/>
        </w:rPr>
        <w:t> </w:t>
      </w:r>
      <w:r>
        <w:rPr/>
        <w:t>kick</w:t>
      </w:r>
      <w:r>
        <w:rPr>
          <w:spacing w:val="-4"/>
        </w:rPr>
        <w:t> </w:t>
      </w:r>
      <w:r>
        <w:rPr/>
        <w:t>at</w:t>
      </w:r>
      <w:r>
        <w:rPr>
          <w:spacing w:val="-5"/>
        </w:rPr>
        <w:t> </w:t>
      </w:r>
      <w:r>
        <w:rPr/>
        <w:t>goal,</w:t>
      </w:r>
      <w:r>
        <w:rPr>
          <w:spacing w:val="-4"/>
        </w:rPr>
        <w:t> </w:t>
      </w:r>
      <w:r>
        <w:rPr/>
        <w:t>either</w:t>
      </w:r>
      <w:r>
        <w:rPr>
          <w:spacing w:val="-5"/>
        </w:rPr>
        <w:t> </w:t>
      </w:r>
      <w:r>
        <w:rPr/>
        <w:t>from</w:t>
      </w:r>
      <w:r>
        <w:rPr>
          <w:spacing w:val="-4"/>
        </w:rPr>
        <w:t> </w:t>
      </w:r>
      <w:r>
        <w:rPr/>
        <w:t>a</w:t>
      </w:r>
      <w:r>
        <w:rPr>
          <w:spacing w:val="-5"/>
        </w:rPr>
        <w:t> </w:t>
      </w:r>
      <w:r>
        <w:rPr/>
        <w:t>penalty</w:t>
      </w:r>
      <w:r>
        <w:rPr>
          <w:spacing w:val="-4"/>
        </w:rPr>
        <w:t> </w:t>
      </w:r>
      <w:r>
        <w:rPr/>
        <w:t>or</w:t>
      </w:r>
      <w:r>
        <w:rPr>
          <w:spacing w:val="-5"/>
        </w:rPr>
        <w:t> </w:t>
      </w:r>
      <w:r>
        <w:rPr/>
        <w:t>a</w:t>
      </w:r>
      <w:r>
        <w:rPr>
          <w:spacing w:val="-4"/>
        </w:rPr>
        <w:t> </w:t>
      </w:r>
      <w:r>
        <w:rPr/>
        <w:t>drop</w:t>
      </w:r>
      <w:r>
        <w:rPr>
          <w:spacing w:val="-5"/>
        </w:rPr>
        <w:t> </w:t>
      </w:r>
      <w:r>
        <w:rPr>
          <w:spacing w:val="-4"/>
        </w:rPr>
        <w:t>goal</w:t>
      </w:r>
      <w:r>
        <w:rPr/>
        <w:tab/>
      </w:r>
      <w:r>
        <w:rPr>
          <w:spacing w:val="-5"/>
        </w:rPr>
        <w:t>83</w:t>
      </w:r>
    </w:p>
    <w:p>
      <w:pPr>
        <w:pStyle w:val="BodyText"/>
        <w:rPr>
          <w:sz w:val="28"/>
        </w:rPr>
      </w:pPr>
    </w:p>
    <w:p>
      <w:pPr>
        <w:pStyle w:val="BodyText"/>
        <w:spacing w:before="5"/>
        <w:rPr>
          <w:sz w:val="30"/>
        </w:rPr>
      </w:pPr>
    </w:p>
    <w:p>
      <w:pPr>
        <w:pStyle w:val="BodyText"/>
        <w:spacing w:line="312" w:lineRule="auto"/>
        <w:ind w:left="610" w:right="389"/>
      </w:pPr>
      <w:r>
        <w:rPr/>
        <w:t>uated as the most suitable set of zones for use in rugby league in Chapter</w:t>
      </w:r>
      <w:r>
        <w:rPr>
          <w:color w:val="0000FF"/>
        </w:rPr>
        <w:t>3</w:t>
      </w:r>
      <w:hyperlink w:history="true" w:anchor="_bookmark48">
        <w:r>
          <w:rPr/>
          <w:t>.</w:t>
        </w:r>
      </w:hyperlink>
      <w:r>
        <w:rPr>
          <w:spacing w:val="40"/>
        </w:rPr>
        <w:t> </w:t>
      </w:r>
      <w:r>
        <w:rPr/>
        <w:t>Figure</w:t>
      </w:r>
      <w:r>
        <w:rPr>
          <w:color w:val="0000FF"/>
        </w:rPr>
        <w:t>4.2 </w:t>
      </w:r>
      <w:r>
        <w:rPr/>
        <w:t>plots the EPV-19 zones against a standard rugby league pitch.</w:t>
      </w:r>
      <w:r>
        <w:rPr>
          <w:spacing w:val="40"/>
        </w:rPr>
        <w:t> </w:t>
      </w:r>
      <w:r>
        <w:rPr/>
        <w:t>Actions taking place </w:t>
      </w:r>
      <w:r>
        <w:rPr/>
        <w:t>in</w:t>
      </w:r>
      <w:r>
        <w:rPr>
          <w:spacing w:val="40"/>
        </w:rPr>
        <w:t> </w:t>
      </w:r>
      <w:r>
        <w:rPr/>
        <w:t>the opposition try area were included in the dataset to allow the rewards achieved to be backpropagated</w:t>
      </w:r>
      <w:r>
        <w:rPr>
          <w:spacing w:val="-15"/>
        </w:rPr>
        <w:t> </w:t>
      </w:r>
      <w:r>
        <w:rPr/>
        <w:t>through</w:t>
      </w:r>
      <w:r>
        <w:rPr>
          <w:spacing w:val="-15"/>
        </w:rPr>
        <w:t> </w:t>
      </w:r>
      <w:r>
        <w:rPr/>
        <w:t>the</w:t>
      </w:r>
      <w:r>
        <w:rPr>
          <w:spacing w:val="-14"/>
        </w:rPr>
        <w:t> </w:t>
      </w:r>
      <w:r>
        <w:rPr/>
        <w:t>sequence</w:t>
      </w:r>
      <w:r>
        <w:rPr>
          <w:spacing w:val="-15"/>
        </w:rPr>
        <w:t> </w:t>
      </w:r>
      <w:r>
        <w:rPr/>
        <w:t>of</w:t>
      </w:r>
      <w:r>
        <w:rPr>
          <w:spacing w:val="-15"/>
        </w:rPr>
        <w:t> </w:t>
      </w:r>
      <w:r>
        <w:rPr/>
        <w:t>actions,</w:t>
      </w:r>
      <w:r>
        <w:rPr>
          <w:spacing w:val="-14"/>
        </w:rPr>
        <w:t> </w:t>
      </w:r>
      <w:r>
        <w:rPr/>
        <w:t>but</w:t>
      </w:r>
      <w:r>
        <w:rPr>
          <w:spacing w:val="-14"/>
        </w:rPr>
        <w:t> </w:t>
      </w:r>
      <w:r>
        <w:rPr/>
        <w:t>were</w:t>
      </w:r>
      <w:r>
        <w:rPr>
          <w:spacing w:val="-15"/>
        </w:rPr>
        <w:t> </w:t>
      </w:r>
      <w:r>
        <w:rPr/>
        <w:t>not</w:t>
      </w:r>
      <w:r>
        <w:rPr>
          <w:spacing w:val="-15"/>
        </w:rPr>
        <w:t> </w:t>
      </w:r>
      <w:r>
        <w:rPr/>
        <w:t>included</w:t>
      </w:r>
      <w:r>
        <w:rPr>
          <w:spacing w:val="-14"/>
        </w:rPr>
        <w:t> </w:t>
      </w:r>
      <w:r>
        <w:rPr/>
        <w:t>or</w:t>
      </w:r>
      <w:r>
        <w:rPr>
          <w:spacing w:val="-15"/>
        </w:rPr>
        <w:t> </w:t>
      </w:r>
      <w:r>
        <w:rPr/>
        <w:t>discussed</w:t>
      </w:r>
      <w:r>
        <w:rPr>
          <w:spacing w:val="-15"/>
        </w:rPr>
        <w:t> </w:t>
      </w:r>
      <w:r>
        <w:rPr/>
        <w:t>when rating</w:t>
      </w:r>
      <w:r>
        <w:rPr>
          <w:spacing w:val="-8"/>
        </w:rPr>
        <w:t> </w:t>
      </w:r>
      <w:r>
        <w:rPr/>
        <w:t>players</w:t>
      </w:r>
      <w:r>
        <w:rPr>
          <w:spacing w:val="-8"/>
        </w:rPr>
        <w:t> </w:t>
      </w:r>
      <w:r>
        <w:rPr/>
        <w:t>because</w:t>
      </w:r>
      <w:r>
        <w:rPr>
          <w:spacing w:val="-8"/>
        </w:rPr>
        <w:t> </w:t>
      </w:r>
      <w:r>
        <w:rPr/>
        <w:t>all</w:t>
      </w:r>
      <w:r>
        <w:rPr>
          <w:spacing w:val="-8"/>
        </w:rPr>
        <w:t> </w:t>
      </w:r>
      <w:r>
        <w:rPr/>
        <w:t>attacking</w:t>
      </w:r>
      <w:r>
        <w:rPr>
          <w:spacing w:val="-8"/>
        </w:rPr>
        <w:t> </w:t>
      </w:r>
      <w:r>
        <w:rPr/>
        <w:t>players</w:t>
      </w:r>
      <w:r>
        <w:rPr>
          <w:spacing w:val="-8"/>
        </w:rPr>
        <w:t> </w:t>
      </w:r>
      <w:r>
        <w:rPr/>
        <w:t>will</w:t>
      </w:r>
      <w:r>
        <w:rPr>
          <w:spacing w:val="-8"/>
        </w:rPr>
        <w:t> </w:t>
      </w:r>
      <w:r>
        <w:rPr/>
        <w:t>attempt</w:t>
      </w:r>
      <w:r>
        <w:rPr>
          <w:spacing w:val="-8"/>
        </w:rPr>
        <w:t> </w:t>
      </w:r>
      <w:r>
        <w:rPr/>
        <w:t>to</w:t>
      </w:r>
      <w:r>
        <w:rPr>
          <w:spacing w:val="-8"/>
        </w:rPr>
        <w:t> </w:t>
      </w:r>
      <w:r>
        <w:rPr/>
        <w:t>ground</w:t>
      </w:r>
      <w:r>
        <w:rPr>
          <w:spacing w:val="-8"/>
        </w:rPr>
        <w:t> </w:t>
      </w:r>
      <w:r>
        <w:rPr/>
        <w:t>the</w:t>
      </w:r>
      <w:r>
        <w:rPr>
          <w:spacing w:val="-8"/>
        </w:rPr>
        <w:t> </w:t>
      </w:r>
      <w:r>
        <w:rPr/>
        <w:t>ball</w:t>
      </w:r>
      <w:r>
        <w:rPr>
          <w:spacing w:val="-8"/>
        </w:rPr>
        <w:t> </w:t>
      </w:r>
      <w:r>
        <w:rPr/>
        <w:t>for</w:t>
      </w:r>
      <w:r>
        <w:rPr>
          <w:spacing w:val="-8"/>
        </w:rPr>
        <w:t> </w:t>
      </w:r>
      <w:r>
        <w:rPr/>
        <w:t>a</w:t>
      </w:r>
      <w:r>
        <w:rPr>
          <w:spacing w:val="-8"/>
        </w:rPr>
        <w:t> </w:t>
      </w:r>
      <w:r>
        <w:rPr/>
        <w:t>try</w:t>
      </w:r>
      <w:r>
        <w:rPr>
          <w:spacing w:val="-8"/>
        </w:rPr>
        <w:t> </w:t>
      </w:r>
      <w:r>
        <w:rPr/>
        <w:t>in</w:t>
      </w:r>
      <w:r>
        <w:rPr>
          <w:spacing w:val="-8"/>
        </w:rPr>
        <w:t> </w:t>
      </w:r>
      <w:r>
        <w:rPr/>
        <w:t>this situation regardless of the previous action taken.</w:t>
      </w:r>
    </w:p>
    <w:p>
      <w:pPr>
        <w:pStyle w:val="BodyText"/>
        <w:spacing w:line="312" w:lineRule="auto"/>
        <w:ind w:left="610" w:right="389" w:firstLine="351"/>
        <w:jc w:val="both"/>
      </w:pPr>
      <w:r>
        <w:rPr/>
        <w:t>Three variables were prepared for use as context nodes:</w:t>
      </w:r>
      <w:r>
        <w:rPr>
          <w:spacing w:val="40"/>
        </w:rPr>
        <w:t> </w:t>
      </w:r>
      <w:r>
        <w:rPr/>
        <w:t>period; match score; and team.</w:t>
      </w:r>
      <w:r>
        <w:rPr>
          <w:spacing w:val="40"/>
        </w:rPr>
        <w:t> </w:t>
      </w:r>
      <w:r>
        <w:rPr/>
        <w:t>The period refers to which of the two 40 minute halves was being played at </w:t>
      </w:r>
      <w:r>
        <w:rPr/>
        <w:t>the time</w:t>
      </w:r>
      <w:r>
        <w:rPr>
          <w:spacing w:val="-9"/>
        </w:rPr>
        <w:t> </w:t>
      </w:r>
      <w:r>
        <w:rPr/>
        <w:t>of</w:t>
      </w:r>
      <w:r>
        <w:rPr>
          <w:spacing w:val="-9"/>
        </w:rPr>
        <w:t> </w:t>
      </w:r>
      <w:r>
        <w:rPr/>
        <w:t>the</w:t>
      </w:r>
      <w:r>
        <w:rPr>
          <w:spacing w:val="-9"/>
        </w:rPr>
        <w:t> </w:t>
      </w:r>
      <w:r>
        <w:rPr/>
        <w:t>action</w:t>
      </w:r>
      <w:r>
        <w:rPr>
          <w:spacing w:val="-9"/>
        </w:rPr>
        <w:t> </w:t>
      </w:r>
      <w:r>
        <w:rPr/>
        <w:t>(1</w:t>
      </w:r>
      <w:r>
        <w:rPr>
          <w:vertAlign w:val="superscript"/>
        </w:rPr>
        <w:t>st</w:t>
      </w:r>
      <w:r>
        <w:rPr>
          <w:vertAlign w:val="baseline"/>
        </w:rPr>
        <w:t> or</w:t>
      </w:r>
      <w:r>
        <w:rPr>
          <w:spacing w:val="-9"/>
          <w:vertAlign w:val="baseline"/>
        </w:rPr>
        <w:t> </w:t>
      </w:r>
      <w:r>
        <w:rPr>
          <w:vertAlign w:val="baseline"/>
        </w:rPr>
        <w:t>2</w:t>
      </w:r>
      <w:r>
        <w:rPr>
          <w:vertAlign w:val="superscript"/>
        </w:rPr>
        <w:t>nd</w:t>
      </w:r>
      <w:r>
        <w:rPr>
          <w:vertAlign w:val="baseline"/>
        </w:rPr>
        <w:t>)</w:t>
      </w:r>
      <w:r>
        <w:rPr>
          <w:spacing w:val="-9"/>
          <w:vertAlign w:val="baseline"/>
        </w:rPr>
        <w:t> </w:t>
      </w:r>
      <w:r>
        <w:rPr>
          <w:vertAlign w:val="baseline"/>
        </w:rPr>
        <w:t>and</w:t>
      </w:r>
      <w:r>
        <w:rPr>
          <w:spacing w:val="-9"/>
          <w:vertAlign w:val="baseline"/>
        </w:rPr>
        <w:t> </w:t>
      </w:r>
      <w:r>
        <w:rPr>
          <w:vertAlign w:val="baseline"/>
        </w:rPr>
        <w:t>the</w:t>
      </w:r>
      <w:r>
        <w:rPr>
          <w:spacing w:val="-9"/>
          <w:vertAlign w:val="baseline"/>
        </w:rPr>
        <w:t> </w:t>
      </w:r>
      <w:r>
        <w:rPr>
          <w:vertAlign w:val="baseline"/>
        </w:rPr>
        <w:t>match</w:t>
      </w:r>
      <w:r>
        <w:rPr>
          <w:spacing w:val="-9"/>
          <w:vertAlign w:val="baseline"/>
        </w:rPr>
        <w:t> </w:t>
      </w:r>
      <w:r>
        <w:rPr>
          <w:vertAlign w:val="baseline"/>
        </w:rPr>
        <w:t>score</w:t>
      </w:r>
      <w:r>
        <w:rPr>
          <w:spacing w:val="-9"/>
          <w:vertAlign w:val="baseline"/>
        </w:rPr>
        <w:t> </w:t>
      </w:r>
      <w:r>
        <w:rPr>
          <w:vertAlign w:val="baseline"/>
        </w:rPr>
        <w:t>refers</w:t>
      </w:r>
      <w:r>
        <w:rPr>
          <w:spacing w:val="-9"/>
          <w:vertAlign w:val="baseline"/>
        </w:rPr>
        <w:t> </w:t>
      </w:r>
      <w:r>
        <w:rPr>
          <w:vertAlign w:val="baseline"/>
        </w:rPr>
        <w:t>to</w:t>
      </w:r>
      <w:r>
        <w:rPr>
          <w:spacing w:val="-9"/>
          <w:vertAlign w:val="baseline"/>
        </w:rPr>
        <w:t> </w:t>
      </w:r>
      <w:r>
        <w:rPr>
          <w:vertAlign w:val="baseline"/>
        </w:rPr>
        <w:t>whether</w:t>
      </w:r>
      <w:r>
        <w:rPr>
          <w:spacing w:val="-9"/>
          <w:vertAlign w:val="baseline"/>
        </w:rPr>
        <w:t> </w:t>
      </w:r>
      <w:r>
        <w:rPr>
          <w:vertAlign w:val="baseline"/>
        </w:rPr>
        <w:t>the</w:t>
      </w:r>
      <w:r>
        <w:rPr>
          <w:spacing w:val="-9"/>
          <w:vertAlign w:val="baseline"/>
        </w:rPr>
        <w:t> </w:t>
      </w:r>
      <w:r>
        <w:rPr>
          <w:vertAlign w:val="baseline"/>
        </w:rPr>
        <w:t>team</w:t>
      </w:r>
      <w:r>
        <w:rPr>
          <w:spacing w:val="-9"/>
          <w:vertAlign w:val="baseline"/>
        </w:rPr>
        <w:t> </w:t>
      </w:r>
      <w:r>
        <w:rPr>
          <w:vertAlign w:val="baseline"/>
        </w:rPr>
        <w:t>in</w:t>
      </w:r>
      <w:r>
        <w:rPr>
          <w:spacing w:val="-9"/>
          <w:vertAlign w:val="baseline"/>
        </w:rPr>
        <w:t> </w:t>
      </w:r>
      <w:r>
        <w:rPr>
          <w:vertAlign w:val="baseline"/>
        </w:rPr>
        <w:t>possession is</w:t>
      </w:r>
      <w:r>
        <w:rPr>
          <w:spacing w:val="-11"/>
          <w:vertAlign w:val="baseline"/>
        </w:rPr>
        <w:t> </w:t>
      </w:r>
      <w:r>
        <w:rPr>
          <w:vertAlign w:val="baseline"/>
        </w:rPr>
        <w:t>winning,</w:t>
      </w:r>
      <w:r>
        <w:rPr>
          <w:spacing w:val="-11"/>
          <w:vertAlign w:val="baseline"/>
        </w:rPr>
        <w:t> </w:t>
      </w:r>
      <w:r>
        <w:rPr>
          <w:vertAlign w:val="baseline"/>
        </w:rPr>
        <w:t>drawing</w:t>
      </w:r>
      <w:r>
        <w:rPr>
          <w:spacing w:val="-11"/>
          <w:vertAlign w:val="baseline"/>
        </w:rPr>
        <w:t> </w:t>
      </w:r>
      <w:r>
        <w:rPr>
          <w:vertAlign w:val="baseline"/>
        </w:rPr>
        <w:t>or</w:t>
      </w:r>
      <w:r>
        <w:rPr>
          <w:spacing w:val="-11"/>
          <w:vertAlign w:val="baseline"/>
        </w:rPr>
        <w:t> </w:t>
      </w:r>
      <w:r>
        <w:rPr>
          <w:vertAlign w:val="baseline"/>
        </w:rPr>
        <w:t>losing</w:t>
      </w:r>
      <w:r>
        <w:rPr>
          <w:spacing w:val="-11"/>
          <w:vertAlign w:val="baseline"/>
        </w:rPr>
        <w:t> </w:t>
      </w:r>
      <w:r>
        <w:rPr>
          <w:vertAlign w:val="baseline"/>
        </w:rPr>
        <w:t>at</w:t>
      </w:r>
      <w:r>
        <w:rPr>
          <w:spacing w:val="-11"/>
          <w:vertAlign w:val="baseline"/>
        </w:rPr>
        <w:t> </w:t>
      </w:r>
      <w:r>
        <w:rPr>
          <w:vertAlign w:val="baseline"/>
        </w:rPr>
        <w:t>the</w:t>
      </w:r>
      <w:r>
        <w:rPr>
          <w:spacing w:val="-11"/>
          <w:vertAlign w:val="baseline"/>
        </w:rPr>
        <w:t> </w:t>
      </w:r>
      <w:r>
        <w:rPr>
          <w:vertAlign w:val="baseline"/>
        </w:rPr>
        <w:t>beginning</w:t>
      </w:r>
      <w:r>
        <w:rPr>
          <w:spacing w:val="-11"/>
          <w:vertAlign w:val="baseline"/>
        </w:rPr>
        <w:t> </w:t>
      </w:r>
      <w:r>
        <w:rPr>
          <w:vertAlign w:val="baseline"/>
        </w:rPr>
        <w:t>of</w:t>
      </w:r>
      <w:r>
        <w:rPr>
          <w:spacing w:val="-11"/>
          <w:vertAlign w:val="baseline"/>
        </w:rPr>
        <w:t> </w:t>
      </w:r>
      <w:r>
        <w:rPr>
          <w:vertAlign w:val="baseline"/>
        </w:rPr>
        <w:t>the</w:t>
      </w:r>
      <w:r>
        <w:rPr>
          <w:spacing w:val="-11"/>
          <w:vertAlign w:val="baseline"/>
        </w:rPr>
        <w:t> </w:t>
      </w:r>
      <w:r>
        <w:rPr>
          <w:vertAlign w:val="baseline"/>
        </w:rPr>
        <w:t>possession. These</w:t>
      </w:r>
      <w:r>
        <w:rPr>
          <w:spacing w:val="-11"/>
          <w:vertAlign w:val="baseline"/>
        </w:rPr>
        <w:t> </w:t>
      </w:r>
      <w:r>
        <w:rPr>
          <w:vertAlign w:val="baseline"/>
        </w:rPr>
        <w:t>contextual</w:t>
      </w:r>
      <w:r>
        <w:rPr>
          <w:spacing w:val="-11"/>
          <w:vertAlign w:val="baseline"/>
        </w:rPr>
        <w:t> </w:t>
      </w:r>
      <w:r>
        <w:rPr>
          <w:vertAlign w:val="baseline"/>
        </w:rPr>
        <w:t>factors were</w:t>
      </w:r>
      <w:r>
        <w:rPr>
          <w:spacing w:val="-10"/>
          <w:vertAlign w:val="baseline"/>
        </w:rPr>
        <w:t> </w:t>
      </w:r>
      <w:r>
        <w:rPr>
          <w:vertAlign w:val="baseline"/>
        </w:rPr>
        <w:t>used</w:t>
      </w:r>
      <w:r>
        <w:rPr>
          <w:spacing w:val="-10"/>
          <w:vertAlign w:val="baseline"/>
        </w:rPr>
        <w:t> </w:t>
      </w:r>
      <w:r>
        <w:rPr>
          <w:vertAlign w:val="baseline"/>
        </w:rPr>
        <w:t>to</w:t>
      </w:r>
      <w:r>
        <w:rPr>
          <w:spacing w:val="-10"/>
          <w:vertAlign w:val="baseline"/>
        </w:rPr>
        <w:t> </w:t>
      </w:r>
      <w:r>
        <w:rPr>
          <w:vertAlign w:val="baseline"/>
        </w:rPr>
        <w:t>identify</w:t>
      </w:r>
      <w:r>
        <w:rPr>
          <w:spacing w:val="-10"/>
          <w:vertAlign w:val="baseline"/>
        </w:rPr>
        <w:t> </w:t>
      </w:r>
      <w:r>
        <w:rPr>
          <w:vertAlign w:val="baseline"/>
        </w:rPr>
        <w:t>differences</w:t>
      </w:r>
      <w:r>
        <w:rPr>
          <w:spacing w:val="-10"/>
          <w:vertAlign w:val="baseline"/>
        </w:rPr>
        <w:t> </w:t>
      </w:r>
      <w:r>
        <w:rPr>
          <w:vertAlign w:val="baseline"/>
        </w:rPr>
        <w:t>in</w:t>
      </w:r>
      <w:r>
        <w:rPr>
          <w:spacing w:val="-10"/>
          <w:vertAlign w:val="baseline"/>
        </w:rPr>
        <w:t> </w:t>
      </w:r>
      <w:r>
        <w:rPr>
          <w:vertAlign w:val="baseline"/>
        </w:rPr>
        <w:t>players’</w:t>
      </w:r>
      <w:r>
        <w:rPr>
          <w:spacing w:val="-10"/>
          <w:vertAlign w:val="baseline"/>
        </w:rPr>
        <w:t> </w:t>
      </w:r>
      <w:r>
        <w:rPr>
          <w:vertAlign w:val="baseline"/>
        </w:rPr>
        <w:t>performances</w:t>
      </w:r>
      <w:r>
        <w:rPr>
          <w:spacing w:val="-10"/>
          <w:vertAlign w:val="baseline"/>
        </w:rPr>
        <w:t> </w:t>
      </w:r>
      <w:r>
        <w:rPr>
          <w:vertAlign w:val="baseline"/>
        </w:rPr>
        <w:t>as</w:t>
      </w:r>
      <w:r>
        <w:rPr>
          <w:spacing w:val="-10"/>
          <w:vertAlign w:val="baseline"/>
        </w:rPr>
        <w:t> </w:t>
      </w:r>
      <w:r>
        <w:rPr>
          <w:vertAlign w:val="baseline"/>
        </w:rPr>
        <w:t>both</w:t>
      </w:r>
      <w:r>
        <w:rPr>
          <w:spacing w:val="-10"/>
          <w:vertAlign w:val="baseline"/>
        </w:rPr>
        <w:t> </w:t>
      </w:r>
      <w:r>
        <w:rPr>
          <w:vertAlign w:val="baseline"/>
        </w:rPr>
        <w:t>could</w:t>
      </w:r>
      <w:r>
        <w:rPr>
          <w:spacing w:val="-10"/>
          <w:vertAlign w:val="baseline"/>
        </w:rPr>
        <w:t> </w:t>
      </w:r>
      <w:r>
        <w:rPr>
          <w:vertAlign w:val="baseline"/>
        </w:rPr>
        <w:t>affect</w:t>
      </w:r>
      <w:r>
        <w:rPr>
          <w:spacing w:val="-10"/>
          <w:vertAlign w:val="baseline"/>
        </w:rPr>
        <w:t> </w:t>
      </w:r>
      <w:r>
        <w:rPr>
          <w:vertAlign w:val="baseline"/>
        </w:rPr>
        <w:t>the</w:t>
      </w:r>
      <w:r>
        <w:rPr>
          <w:spacing w:val="-10"/>
          <w:vertAlign w:val="baseline"/>
        </w:rPr>
        <w:t> </w:t>
      </w:r>
      <w:r>
        <w:rPr>
          <w:vertAlign w:val="baseline"/>
        </w:rPr>
        <w:t>team’s strategy and therefore individual players’ decision making, either due to fatigue (second half</w:t>
      </w:r>
      <w:r>
        <w:rPr>
          <w:spacing w:val="-15"/>
          <w:vertAlign w:val="baseline"/>
        </w:rPr>
        <w:t> </w:t>
      </w:r>
      <w:r>
        <w:rPr>
          <w:vertAlign w:val="baseline"/>
        </w:rPr>
        <w:t>actions</w:t>
      </w:r>
      <w:r>
        <w:rPr>
          <w:spacing w:val="-15"/>
          <w:vertAlign w:val="baseline"/>
        </w:rPr>
        <w:t> </w:t>
      </w:r>
      <w:r>
        <w:rPr>
          <w:vertAlign w:val="baseline"/>
        </w:rPr>
        <w:t>are</w:t>
      </w:r>
      <w:r>
        <w:rPr>
          <w:spacing w:val="-15"/>
          <w:vertAlign w:val="baseline"/>
        </w:rPr>
        <w:t> </w:t>
      </w:r>
      <w:r>
        <w:rPr>
          <w:vertAlign w:val="baseline"/>
        </w:rPr>
        <w:t>performed</w:t>
      </w:r>
      <w:r>
        <w:rPr>
          <w:spacing w:val="-15"/>
          <w:vertAlign w:val="baseline"/>
        </w:rPr>
        <w:t> </w:t>
      </w:r>
      <w:r>
        <w:rPr>
          <w:vertAlign w:val="baseline"/>
        </w:rPr>
        <w:t>under</w:t>
      </w:r>
      <w:r>
        <w:rPr>
          <w:spacing w:val="-15"/>
          <w:vertAlign w:val="baseline"/>
        </w:rPr>
        <w:t> </w:t>
      </w:r>
      <w:r>
        <w:rPr>
          <w:vertAlign w:val="baseline"/>
        </w:rPr>
        <w:t>greater</w:t>
      </w:r>
      <w:r>
        <w:rPr>
          <w:spacing w:val="-15"/>
          <w:vertAlign w:val="baseline"/>
        </w:rPr>
        <w:t> </w:t>
      </w:r>
      <w:r>
        <w:rPr>
          <w:vertAlign w:val="baseline"/>
        </w:rPr>
        <w:t>fatigue</w:t>
      </w:r>
      <w:r>
        <w:rPr>
          <w:spacing w:val="-15"/>
          <w:vertAlign w:val="baseline"/>
        </w:rPr>
        <w:t> </w:t>
      </w:r>
      <w:r>
        <w:rPr>
          <w:vertAlign w:val="baseline"/>
        </w:rPr>
        <w:t>than</w:t>
      </w:r>
      <w:r>
        <w:rPr>
          <w:spacing w:val="-15"/>
          <w:vertAlign w:val="baseline"/>
        </w:rPr>
        <w:t> </w:t>
      </w:r>
      <w:r>
        <w:rPr>
          <w:vertAlign w:val="baseline"/>
        </w:rPr>
        <w:t>first</w:t>
      </w:r>
      <w:r>
        <w:rPr>
          <w:spacing w:val="-15"/>
          <w:vertAlign w:val="baseline"/>
        </w:rPr>
        <w:t> </w:t>
      </w:r>
      <w:r>
        <w:rPr>
          <w:vertAlign w:val="baseline"/>
        </w:rPr>
        <w:t>half</w:t>
      </w:r>
      <w:r>
        <w:rPr>
          <w:spacing w:val="-15"/>
          <w:vertAlign w:val="baseline"/>
        </w:rPr>
        <w:t> </w:t>
      </w:r>
      <w:r>
        <w:rPr>
          <w:vertAlign w:val="baseline"/>
        </w:rPr>
        <w:t>actions)</w:t>
      </w:r>
      <w:r>
        <w:rPr>
          <w:spacing w:val="-15"/>
          <w:vertAlign w:val="baseline"/>
        </w:rPr>
        <w:t> </w:t>
      </w:r>
      <w:r>
        <w:rPr>
          <w:vertAlign w:val="baseline"/>
        </w:rPr>
        <w:t>or</w:t>
      </w:r>
      <w:r>
        <w:rPr>
          <w:spacing w:val="-15"/>
          <w:vertAlign w:val="baseline"/>
        </w:rPr>
        <w:t> </w:t>
      </w:r>
      <w:r>
        <w:rPr>
          <w:vertAlign w:val="baseline"/>
        </w:rPr>
        <w:t>the</w:t>
      </w:r>
      <w:r>
        <w:rPr>
          <w:spacing w:val="-15"/>
          <w:vertAlign w:val="baseline"/>
        </w:rPr>
        <w:t> </w:t>
      </w:r>
      <w:r>
        <w:rPr>
          <w:vertAlign w:val="baseline"/>
        </w:rPr>
        <w:t>urgency</w:t>
      </w:r>
      <w:r>
        <w:rPr>
          <w:spacing w:val="-15"/>
          <w:vertAlign w:val="baseline"/>
        </w:rPr>
        <w:t> </w:t>
      </w:r>
      <w:r>
        <w:rPr>
          <w:vertAlign w:val="baseline"/>
        </w:rPr>
        <w:t>with which points need to be scored (losing is likely to be more urgent than winning).</w:t>
      </w:r>
      <w:r>
        <w:rPr>
          <w:spacing w:val="40"/>
          <w:vertAlign w:val="baseline"/>
        </w:rPr>
        <w:t> </w:t>
      </w:r>
      <w:r>
        <w:rPr>
          <w:vertAlign w:val="baseline"/>
        </w:rPr>
        <w:t>Team was</w:t>
      </w:r>
      <w:r>
        <w:rPr>
          <w:spacing w:val="-8"/>
          <w:vertAlign w:val="baseline"/>
        </w:rPr>
        <w:t> </w:t>
      </w:r>
      <w:r>
        <w:rPr>
          <w:vertAlign w:val="baseline"/>
        </w:rPr>
        <w:t>chosen</w:t>
      </w:r>
      <w:r>
        <w:rPr>
          <w:spacing w:val="-8"/>
          <w:vertAlign w:val="baseline"/>
        </w:rPr>
        <w:t> </w:t>
      </w:r>
      <w:r>
        <w:rPr>
          <w:vertAlign w:val="baseline"/>
        </w:rPr>
        <w:t>as</w:t>
      </w:r>
      <w:r>
        <w:rPr>
          <w:spacing w:val="-9"/>
          <w:vertAlign w:val="baseline"/>
        </w:rPr>
        <w:t> </w:t>
      </w:r>
      <w:r>
        <w:rPr>
          <w:vertAlign w:val="baseline"/>
        </w:rPr>
        <w:t>a</w:t>
      </w:r>
      <w:r>
        <w:rPr>
          <w:spacing w:val="-8"/>
          <w:vertAlign w:val="baseline"/>
        </w:rPr>
        <w:t> </w:t>
      </w:r>
      <w:r>
        <w:rPr>
          <w:vertAlign w:val="baseline"/>
        </w:rPr>
        <w:t>context</w:t>
      </w:r>
      <w:r>
        <w:rPr>
          <w:spacing w:val="-8"/>
          <w:vertAlign w:val="baseline"/>
        </w:rPr>
        <w:t> </w:t>
      </w:r>
      <w:r>
        <w:rPr>
          <w:vertAlign w:val="baseline"/>
        </w:rPr>
        <w:t>node</w:t>
      </w:r>
      <w:r>
        <w:rPr>
          <w:spacing w:val="-8"/>
          <w:vertAlign w:val="baseline"/>
        </w:rPr>
        <w:t> </w:t>
      </w:r>
      <w:r>
        <w:rPr>
          <w:vertAlign w:val="baseline"/>
        </w:rPr>
        <w:t>to</w:t>
      </w:r>
      <w:r>
        <w:rPr>
          <w:spacing w:val="-9"/>
          <w:vertAlign w:val="baseline"/>
        </w:rPr>
        <w:t> </w:t>
      </w:r>
      <w:r>
        <w:rPr>
          <w:vertAlign w:val="baseline"/>
        </w:rPr>
        <w:t>allow</w:t>
      </w:r>
      <w:r>
        <w:rPr>
          <w:spacing w:val="-8"/>
          <w:vertAlign w:val="baseline"/>
        </w:rPr>
        <w:t> </w:t>
      </w:r>
      <w:r>
        <w:rPr>
          <w:vertAlign w:val="baseline"/>
        </w:rPr>
        <w:t>the</w:t>
      </w:r>
      <w:r>
        <w:rPr>
          <w:spacing w:val="-8"/>
          <w:vertAlign w:val="baseline"/>
        </w:rPr>
        <w:t> </w:t>
      </w:r>
      <w:r>
        <w:rPr>
          <w:vertAlign w:val="baseline"/>
        </w:rPr>
        <w:t>estimation</w:t>
      </w:r>
      <w:r>
        <w:rPr>
          <w:spacing w:val="-8"/>
          <w:vertAlign w:val="baseline"/>
        </w:rPr>
        <w:t> </w:t>
      </w:r>
      <w:r>
        <w:rPr>
          <w:vertAlign w:val="baseline"/>
        </w:rPr>
        <w:t>of</w:t>
      </w:r>
      <w:r>
        <w:rPr>
          <w:spacing w:val="-9"/>
          <w:vertAlign w:val="baseline"/>
        </w:rPr>
        <w:t> </w:t>
      </w:r>
      <w:r>
        <w:rPr>
          <w:vertAlign w:val="baseline"/>
        </w:rPr>
        <w:t>individual</w:t>
      </w:r>
      <w:r>
        <w:rPr>
          <w:spacing w:val="-8"/>
          <w:vertAlign w:val="baseline"/>
        </w:rPr>
        <w:t> </w:t>
      </w:r>
      <w:r>
        <w:rPr>
          <w:vertAlign w:val="baseline"/>
        </w:rPr>
        <w:t>state,</w:t>
      </w:r>
      <w:r>
        <w:rPr>
          <w:spacing w:val="-8"/>
          <w:vertAlign w:val="baseline"/>
        </w:rPr>
        <w:t> </w:t>
      </w:r>
      <w:r>
        <w:rPr>
          <w:vertAlign w:val="baseline"/>
        </w:rPr>
        <w:t>action</w:t>
      </w:r>
      <w:r>
        <w:rPr>
          <w:spacing w:val="-8"/>
          <w:vertAlign w:val="baseline"/>
        </w:rPr>
        <w:t> </w:t>
      </w:r>
      <w:r>
        <w:rPr>
          <w:vertAlign w:val="baseline"/>
        </w:rPr>
        <w:t>values</w:t>
      </w:r>
      <w:r>
        <w:rPr>
          <w:spacing w:val="-8"/>
          <w:vertAlign w:val="baseline"/>
        </w:rPr>
        <w:t> </w:t>
      </w:r>
      <w:r>
        <w:rPr>
          <w:vertAlign w:val="baseline"/>
        </w:rPr>
        <w:t>for different teams.</w:t>
      </w:r>
    </w:p>
    <w:p>
      <w:pPr>
        <w:pStyle w:val="BodyText"/>
        <w:spacing w:line="312" w:lineRule="auto"/>
        <w:ind w:left="610" w:right="389" w:firstLine="351"/>
        <w:jc w:val="both"/>
      </w:pPr>
      <w:r>
        <w:rPr/>
        <w:t>As</w:t>
      </w:r>
      <w:r>
        <w:rPr>
          <w:spacing w:val="-8"/>
        </w:rPr>
        <w:t> </w:t>
      </w:r>
      <w:r>
        <w:rPr/>
        <w:t>with</w:t>
      </w:r>
      <w:r>
        <w:rPr>
          <w:spacing w:val="-7"/>
        </w:rPr>
        <w:t> </w:t>
      </w:r>
      <w:r>
        <w:rPr/>
        <w:t>Chapter</w:t>
      </w:r>
      <w:r>
        <w:rPr>
          <w:color w:val="0000FF"/>
        </w:rPr>
        <w:t>3</w:t>
      </w:r>
      <w:hyperlink w:history="true" w:anchor="_bookmark48">
        <w:r>
          <w:rPr/>
          <w:t>,</w:t>
        </w:r>
      </w:hyperlink>
      <w:r>
        <w:rPr>
          <w:spacing w:val="-6"/>
        </w:rPr>
        <w:t> </w:t>
      </w:r>
      <w:r>
        <w:rPr/>
        <w:t>each</w:t>
      </w:r>
      <w:r>
        <w:rPr>
          <w:spacing w:val="-8"/>
        </w:rPr>
        <w:t> </w:t>
      </w:r>
      <w:r>
        <w:rPr/>
        <w:t>time-step</w:t>
      </w:r>
      <w:r>
        <w:rPr>
          <w:spacing w:val="-7"/>
        </w:rPr>
        <w:t> </w:t>
      </w:r>
      <w:r>
        <w:rPr/>
        <w:t>in</w:t>
      </w:r>
      <w:r>
        <w:rPr>
          <w:spacing w:val="-8"/>
        </w:rPr>
        <w:t> </w:t>
      </w:r>
      <w:r>
        <w:rPr/>
        <w:t>the</w:t>
      </w:r>
      <w:r>
        <w:rPr>
          <w:spacing w:val="-7"/>
        </w:rPr>
        <w:t> </w:t>
      </w:r>
      <w:r>
        <w:rPr/>
        <w:t>possession</w:t>
      </w:r>
      <w:r>
        <w:rPr>
          <w:spacing w:val="-8"/>
        </w:rPr>
        <w:t> </w:t>
      </w:r>
      <w:r>
        <w:rPr/>
        <w:t>was</w:t>
      </w:r>
      <w:r>
        <w:rPr>
          <w:spacing w:val="-7"/>
        </w:rPr>
        <w:t> </w:t>
      </w:r>
      <w:r>
        <w:rPr/>
        <w:t>assigned</w:t>
      </w:r>
      <w:r>
        <w:rPr>
          <w:spacing w:val="-8"/>
        </w:rPr>
        <w:t> </w:t>
      </w:r>
      <w:r>
        <w:rPr/>
        <w:t>a</w:t>
      </w:r>
      <w:r>
        <w:rPr>
          <w:spacing w:val="-7"/>
        </w:rPr>
        <w:t> </w:t>
      </w:r>
      <w:r>
        <w:rPr/>
        <w:t>value</w:t>
      </w:r>
      <w:r>
        <w:rPr>
          <w:spacing w:val="-8"/>
        </w:rPr>
        <w:t> </w:t>
      </w:r>
      <w:r>
        <w:rPr/>
        <w:t>based</w:t>
      </w:r>
      <w:r>
        <w:rPr>
          <w:spacing w:val="-7"/>
        </w:rPr>
        <w:t> </w:t>
      </w:r>
      <w:r>
        <w:rPr/>
        <w:t>on</w:t>
      </w:r>
      <w:r>
        <w:rPr>
          <w:spacing w:val="-8"/>
        </w:rPr>
        <w:t> </w:t>
      </w:r>
      <w:r>
        <w:rPr/>
        <w:t>the true</w:t>
      </w:r>
      <w:r>
        <w:rPr>
          <w:spacing w:val="-15"/>
        </w:rPr>
        <w:t> </w:t>
      </w:r>
      <w:r>
        <w:rPr/>
        <w:t>points</w:t>
      </w:r>
      <w:r>
        <w:rPr>
          <w:spacing w:val="-15"/>
        </w:rPr>
        <w:t> </w:t>
      </w:r>
      <w:r>
        <w:rPr/>
        <w:t>scored</w:t>
      </w:r>
      <w:r>
        <w:rPr>
          <w:spacing w:val="-15"/>
        </w:rPr>
        <w:t> </w:t>
      </w:r>
      <w:r>
        <w:rPr/>
        <w:t>due</w:t>
      </w:r>
      <w:r>
        <w:rPr>
          <w:spacing w:val="-14"/>
        </w:rPr>
        <w:t> </w:t>
      </w:r>
      <w:r>
        <w:rPr/>
        <w:t>to</w:t>
      </w:r>
      <w:r>
        <w:rPr>
          <w:spacing w:val="-15"/>
        </w:rPr>
        <w:t> </w:t>
      </w:r>
      <w:r>
        <w:rPr/>
        <w:t>the</w:t>
      </w:r>
      <w:r>
        <w:rPr>
          <w:spacing w:val="-15"/>
        </w:rPr>
        <w:t> </w:t>
      </w:r>
      <w:r>
        <w:rPr/>
        <w:t>action</w:t>
      </w:r>
      <w:r>
        <w:rPr>
          <w:spacing w:val="-14"/>
        </w:rPr>
        <w:t> </w:t>
      </w:r>
      <w:r>
        <w:rPr/>
        <w:t>taken.</w:t>
      </w:r>
      <w:r>
        <w:rPr>
          <w:spacing w:val="1"/>
        </w:rPr>
        <w:t> </w:t>
      </w:r>
      <w:r>
        <w:rPr/>
        <w:t>Therefore,</w:t>
      </w:r>
      <w:r>
        <w:rPr>
          <w:spacing w:val="-13"/>
        </w:rPr>
        <w:t> </w:t>
      </w:r>
      <w:r>
        <w:rPr/>
        <w:t>+6</w:t>
      </w:r>
      <w:r>
        <w:rPr>
          <w:spacing w:val="-14"/>
        </w:rPr>
        <w:t> </w:t>
      </w:r>
      <w:r>
        <w:rPr/>
        <w:t>was</w:t>
      </w:r>
      <w:r>
        <w:rPr>
          <w:spacing w:val="-15"/>
        </w:rPr>
        <w:t> </w:t>
      </w:r>
      <w:r>
        <w:rPr/>
        <w:t>rewarded</w:t>
      </w:r>
      <w:r>
        <w:rPr>
          <w:spacing w:val="-15"/>
        </w:rPr>
        <w:t> </w:t>
      </w:r>
      <w:r>
        <w:rPr/>
        <w:t>for</w:t>
      </w:r>
      <w:r>
        <w:rPr>
          <w:spacing w:val="-14"/>
        </w:rPr>
        <w:t> </w:t>
      </w:r>
      <w:r>
        <w:rPr/>
        <w:t>a</w:t>
      </w:r>
      <w:r>
        <w:rPr>
          <w:spacing w:val="-15"/>
        </w:rPr>
        <w:t> </w:t>
      </w:r>
      <w:r>
        <w:rPr/>
        <w:t>converted</w:t>
      </w:r>
      <w:r>
        <w:rPr>
          <w:spacing w:val="-15"/>
        </w:rPr>
        <w:t> </w:t>
      </w:r>
      <w:r>
        <w:rPr>
          <w:spacing w:val="-4"/>
        </w:rPr>
        <w:t>try,</w:t>
      </w:r>
    </w:p>
    <w:p>
      <w:pPr>
        <w:spacing w:after="0" w:line="312" w:lineRule="auto"/>
        <w:jc w:val="both"/>
        <w:sectPr>
          <w:type w:val="continuous"/>
          <w:pgSz w:w="11910" w:h="16840"/>
          <w:pgMar w:header="1961" w:footer="1428" w:top="1920" w:bottom="280" w:left="1680" w:right="720"/>
        </w:sectPr>
      </w:pPr>
    </w:p>
    <w:p>
      <w:pPr>
        <w:pStyle w:val="BodyText"/>
        <w:rPr>
          <w:sz w:val="20"/>
        </w:rPr>
      </w:pPr>
    </w:p>
    <w:p>
      <w:pPr>
        <w:pStyle w:val="BodyText"/>
        <w:spacing w:before="5"/>
        <w:rPr>
          <w:sz w:val="28"/>
        </w:rPr>
      </w:pPr>
    </w:p>
    <w:p>
      <w:pPr>
        <w:tabs>
          <w:tab w:pos="5101" w:val="left" w:leader="none"/>
        </w:tabs>
        <w:spacing w:line="240" w:lineRule="auto"/>
        <w:ind w:left="1279" w:right="0" w:firstLine="0"/>
        <w:rPr>
          <w:sz w:val="20"/>
        </w:rPr>
      </w:pPr>
      <w:r>
        <w:rPr>
          <w:position w:val="6"/>
          <w:sz w:val="20"/>
        </w:rPr>
        <w:drawing>
          <wp:inline distT="0" distB="0" distL="0" distR="0">
            <wp:extent cx="2085063" cy="3480816"/>
            <wp:effectExtent l="0" t="0" r="0" b="0"/>
            <wp:docPr id="55" name="image28.png"/>
            <wp:cNvGraphicFramePr>
              <a:graphicFrameLocks noChangeAspect="1"/>
            </wp:cNvGraphicFramePr>
            <a:graphic>
              <a:graphicData uri="http://schemas.openxmlformats.org/drawingml/2006/picture">
                <pic:pic>
                  <pic:nvPicPr>
                    <pic:cNvPr id="56" name="image28.png"/>
                    <pic:cNvPicPr/>
                  </pic:nvPicPr>
                  <pic:blipFill>
                    <a:blip r:embed="rId88" cstate="print"/>
                    <a:stretch>
                      <a:fillRect/>
                    </a:stretch>
                  </pic:blipFill>
                  <pic:spPr>
                    <a:xfrm>
                      <a:off x="0" y="0"/>
                      <a:ext cx="2085063" cy="3480816"/>
                    </a:xfrm>
                    <a:prstGeom prst="rect">
                      <a:avLst/>
                    </a:prstGeom>
                  </pic:spPr>
                </pic:pic>
              </a:graphicData>
            </a:graphic>
          </wp:inline>
        </w:drawing>
      </w:r>
      <w:r>
        <w:rPr>
          <w:position w:val="6"/>
          <w:sz w:val="20"/>
        </w:rPr>
      </w:r>
      <w:r>
        <w:rPr>
          <w:position w:val="6"/>
          <w:sz w:val="20"/>
        </w:rPr>
        <w:tab/>
      </w:r>
      <w:r>
        <w:rPr>
          <w:sz w:val="20"/>
        </w:rPr>
        <w:drawing>
          <wp:inline distT="0" distB="0" distL="0" distR="0">
            <wp:extent cx="2146029" cy="3553967"/>
            <wp:effectExtent l="0" t="0" r="0" b="0"/>
            <wp:docPr id="57" name="image29.jpeg"/>
            <wp:cNvGraphicFramePr>
              <a:graphicFrameLocks noChangeAspect="1"/>
            </wp:cNvGraphicFramePr>
            <a:graphic>
              <a:graphicData uri="http://schemas.openxmlformats.org/drawingml/2006/picture">
                <pic:pic>
                  <pic:nvPicPr>
                    <pic:cNvPr id="58" name="image29.jpeg"/>
                    <pic:cNvPicPr/>
                  </pic:nvPicPr>
                  <pic:blipFill>
                    <a:blip r:embed="rId89" cstate="print"/>
                    <a:stretch>
                      <a:fillRect/>
                    </a:stretch>
                  </pic:blipFill>
                  <pic:spPr>
                    <a:xfrm>
                      <a:off x="0" y="0"/>
                      <a:ext cx="2146029" cy="3553967"/>
                    </a:xfrm>
                    <a:prstGeom prst="rect">
                      <a:avLst/>
                    </a:prstGeom>
                  </pic:spPr>
                </pic:pic>
              </a:graphicData>
            </a:graphic>
          </wp:inline>
        </w:drawing>
      </w:r>
      <w:r>
        <w:rPr>
          <w:sz w:val="20"/>
        </w:rPr>
      </w:r>
    </w:p>
    <w:p>
      <w:pPr>
        <w:pStyle w:val="BodyText"/>
        <w:spacing w:before="7"/>
        <w:rPr>
          <w:sz w:val="6"/>
        </w:rPr>
      </w:pPr>
    </w:p>
    <w:p>
      <w:pPr>
        <w:pStyle w:val="BodyText"/>
        <w:spacing w:line="252" w:lineRule="auto" w:before="105"/>
        <w:ind w:left="610" w:right="389"/>
        <w:jc w:val="both"/>
      </w:pPr>
      <w:bookmarkStart w:name="_bookmark99" w:id="178"/>
      <w:bookmarkEnd w:id="178"/>
      <w:r>
        <w:rPr/>
      </w:r>
      <w:r>
        <w:rPr>
          <w:b/>
        </w:rPr>
        <w:t>Figure 4.2: </w:t>
      </w:r>
      <w:r>
        <w:rPr/>
        <w:t>Standard rugby league pitch (A). Lines represent try line, 20m from the </w:t>
      </w:r>
      <w:r>
        <w:rPr/>
        <w:t>try line</w:t>
      </w:r>
      <w:r>
        <w:rPr>
          <w:spacing w:val="-12"/>
        </w:rPr>
        <w:t> </w:t>
      </w:r>
      <w:r>
        <w:rPr/>
        <w:t>and</w:t>
      </w:r>
      <w:r>
        <w:rPr>
          <w:spacing w:val="-12"/>
        </w:rPr>
        <w:t> </w:t>
      </w:r>
      <w:r>
        <w:rPr/>
        <w:t>half</w:t>
      </w:r>
      <w:r>
        <w:rPr>
          <w:spacing w:val="-12"/>
        </w:rPr>
        <w:t> </w:t>
      </w:r>
      <w:r>
        <w:rPr/>
        <w:t>way</w:t>
      </w:r>
      <w:r>
        <w:rPr>
          <w:spacing w:val="-12"/>
        </w:rPr>
        <w:t> </w:t>
      </w:r>
      <w:r>
        <w:rPr/>
        <w:t>line.</w:t>
      </w:r>
      <w:r>
        <w:rPr>
          <w:spacing w:val="6"/>
        </w:rPr>
        <w:t> </w:t>
      </w:r>
      <w:r>
        <w:rPr/>
        <w:t>Rugby</w:t>
      </w:r>
      <w:r>
        <w:rPr>
          <w:spacing w:val="-12"/>
        </w:rPr>
        <w:t> </w:t>
      </w:r>
      <w:r>
        <w:rPr/>
        <w:t>league</w:t>
      </w:r>
      <w:r>
        <w:rPr>
          <w:spacing w:val="-12"/>
        </w:rPr>
        <w:t> </w:t>
      </w:r>
      <w:r>
        <w:rPr/>
        <w:t>pitch</w:t>
      </w:r>
      <w:r>
        <w:rPr>
          <w:spacing w:val="-12"/>
        </w:rPr>
        <w:t> </w:t>
      </w:r>
      <w:r>
        <w:rPr/>
        <w:t>split</w:t>
      </w:r>
      <w:r>
        <w:rPr>
          <w:spacing w:val="-12"/>
        </w:rPr>
        <w:t> </w:t>
      </w:r>
      <w:r>
        <w:rPr/>
        <w:t>into</w:t>
      </w:r>
      <w:r>
        <w:rPr>
          <w:spacing w:val="-12"/>
        </w:rPr>
        <w:t> </w:t>
      </w:r>
      <w:r>
        <w:rPr/>
        <w:t>the</w:t>
      </w:r>
      <w:r>
        <w:rPr>
          <w:spacing w:val="-12"/>
        </w:rPr>
        <w:t> </w:t>
      </w:r>
      <w:r>
        <w:rPr/>
        <w:t>19</w:t>
      </w:r>
      <w:r>
        <w:rPr>
          <w:spacing w:val="-12"/>
        </w:rPr>
        <w:t> </w:t>
      </w:r>
      <w:r>
        <w:rPr/>
        <w:t>states</w:t>
      </w:r>
      <w:r>
        <w:rPr>
          <w:spacing w:val="-12"/>
        </w:rPr>
        <w:t> </w:t>
      </w:r>
      <w:r>
        <w:rPr/>
        <w:t>used</w:t>
      </w:r>
      <w:r>
        <w:rPr>
          <w:spacing w:val="-12"/>
        </w:rPr>
        <w:t> </w:t>
      </w:r>
      <w:r>
        <w:rPr/>
        <w:t>within</w:t>
      </w:r>
      <w:r>
        <w:rPr>
          <w:spacing w:val="-12"/>
        </w:rPr>
        <w:t> </w:t>
      </w:r>
      <w:r>
        <w:rPr/>
        <w:t>this</w:t>
      </w:r>
      <w:r>
        <w:rPr>
          <w:spacing w:val="-12"/>
        </w:rPr>
        <w:t> </w:t>
      </w:r>
      <w:r>
        <w:rPr/>
        <w:t>analysis </w:t>
      </w:r>
      <w:r>
        <w:rPr>
          <w:spacing w:val="-4"/>
        </w:rPr>
        <w:t>(B).</w:t>
      </w:r>
    </w:p>
    <w:p>
      <w:pPr>
        <w:pStyle w:val="BodyText"/>
        <w:spacing w:before="8"/>
        <w:rPr>
          <w:sz w:val="37"/>
        </w:rPr>
      </w:pPr>
    </w:p>
    <w:p>
      <w:pPr>
        <w:pStyle w:val="BodyText"/>
        <w:spacing w:line="312" w:lineRule="auto"/>
        <w:ind w:left="610" w:right="389"/>
      </w:pPr>
      <w:r>
        <w:rPr/>
        <w:t>+4 for an unconverted try, +2 for a successful penalty goal and +1 for a successful </w:t>
      </w:r>
      <w:r>
        <w:rPr/>
        <w:t>drop goal. Errors were not penalised, so all other actions received a value of 0.</w:t>
      </w:r>
    </w:p>
    <w:p>
      <w:pPr>
        <w:pStyle w:val="BodyText"/>
        <w:spacing w:line="312" w:lineRule="auto"/>
        <w:ind w:left="610" w:right="395" w:firstLine="351"/>
      </w:pPr>
      <w:r>
        <w:rPr/>
        <w:t>The data was prepared for use within an MDP by separating it into unique </w:t>
      </w:r>
      <w:r>
        <w:rPr/>
        <w:t>attacking possessions.</w:t>
      </w:r>
      <w:r>
        <w:rPr>
          <w:spacing w:val="34"/>
        </w:rPr>
        <w:t> </w:t>
      </w:r>
      <w:r>
        <w:rPr/>
        <w:t>An attacking possession could start with any of the actions listed (except a goal kick), and ended due to handover, loss of possession due to error/foul play, points being scored, or a goal kick attempt.</w:t>
      </w:r>
      <w:r>
        <w:rPr>
          <w:spacing w:val="40"/>
        </w:rPr>
        <w:t> </w:t>
      </w:r>
      <w:r>
        <w:rPr/>
        <w:t>The possessions were only deemed to have ended if the opposing team successfully caught or passed the ball.</w:t>
      </w:r>
      <w:r>
        <w:rPr>
          <w:spacing w:val="80"/>
        </w:rPr>
        <w:t> </w:t>
      </w:r>
      <w:r>
        <w:rPr/>
        <w:t>Therefore,</w:t>
      </w:r>
      <w:r>
        <w:rPr>
          <w:spacing w:val="27"/>
        </w:rPr>
        <w:t> </w:t>
      </w:r>
      <w:r>
        <w:rPr/>
        <w:t>if a positional</w:t>
      </w:r>
      <w:r>
        <w:rPr>
          <w:spacing w:val="40"/>
        </w:rPr>
        <w:t> </w:t>
      </w:r>
      <w:r>
        <w:rPr/>
        <w:t>kick was attempted by the team in possession, and was dropped by the opposition, the</w:t>
      </w:r>
      <w:r>
        <w:rPr>
          <w:spacing w:val="40"/>
        </w:rPr>
        <w:t> </w:t>
      </w:r>
      <w:r>
        <w:rPr/>
        <w:t>resulting</w:t>
      </w:r>
      <w:r>
        <w:rPr>
          <w:spacing w:val="-10"/>
        </w:rPr>
        <w:t> </w:t>
      </w:r>
      <w:r>
        <w:rPr/>
        <w:t>set</w:t>
      </w:r>
      <w:r>
        <w:rPr>
          <w:spacing w:val="-10"/>
        </w:rPr>
        <w:t> </w:t>
      </w:r>
      <w:r>
        <w:rPr/>
        <w:t>of</w:t>
      </w:r>
      <w:r>
        <w:rPr>
          <w:spacing w:val="-10"/>
        </w:rPr>
        <w:t> </w:t>
      </w:r>
      <w:r>
        <w:rPr/>
        <w:t>6</w:t>
      </w:r>
      <w:r>
        <w:rPr>
          <w:spacing w:val="-10"/>
        </w:rPr>
        <w:t> </w:t>
      </w:r>
      <w:r>
        <w:rPr/>
        <w:t>tackles</w:t>
      </w:r>
      <w:r>
        <w:rPr>
          <w:spacing w:val="-10"/>
        </w:rPr>
        <w:t> </w:t>
      </w:r>
      <w:r>
        <w:rPr/>
        <w:t>for</w:t>
      </w:r>
      <w:r>
        <w:rPr>
          <w:spacing w:val="-10"/>
        </w:rPr>
        <w:t> </w:t>
      </w:r>
      <w:r>
        <w:rPr/>
        <w:t>the</w:t>
      </w:r>
      <w:r>
        <w:rPr>
          <w:spacing w:val="-10"/>
        </w:rPr>
        <w:t> </w:t>
      </w:r>
      <w:r>
        <w:rPr/>
        <w:t>team</w:t>
      </w:r>
      <w:r>
        <w:rPr>
          <w:spacing w:val="-10"/>
        </w:rPr>
        <w:t> </w:t>
      </w:r>
      <w:r>
        <w:rPr/>
        <w:t>who</w:t>
      </w:r>
      <w:r>
        <w:rPr>
          <w:spacing w:val="-10"/>
        </w:rPr>
        <w:t> </w:t>
      </w:r>
      <w:r>
        <w:rPr/>
        <w:t>kicked</w:t>
      </w:r>
      <w:r>
        <w:rPr>
          <w:spacing w:val="-10"/>
        </w:rPr>
        <w:t> </w:t>
      </w:r>
      <w:r>
        <w:rPr/>
        <w:t>the</w:t>
      </w:r>
      <w:r>
        <w:rPr>
          <w:spacing w:val="-10"/>
        </w:rPr>
        <w:t> </w:t>
      </w:r>
      <w:r>
        <w:rPr/>
        <w:t>ball</w:t>
      </w:r>
      <w:r>
        <w:rPr>
          <w:spacing w:val="-10"/>
        </w:rPr>
        <w:t> </w:t>
      </w:r>
      <w:r>
        <w:rPr/>
        <w:t>was</w:t>
      </w:r>
      <w:r>
        <w:rPr>
          <w:spacing w:val="-10"/>
        </w:rPr>
        <w:t> </w:t>
      </w:r>
      <w:r>
        <w:rPr/>
        <w:t>considered</w:t>
      </w:r>
      <w:r>
        <w:rPr>
          <w:spacing w:val="-10"/>
        </w:rPr>
        <w:t> </w:t>
      </w:r>
      <w:r>
        <w:rPr/>
        <w:t>part</w:t>
      </w:r>
      <w:r>
        <w:rPr>
          <w:spacing w:val="-10"/>
        </w:rPr>
        <w:t> </w:t>
      </w:r>
      <w:r>
        <w:rPr/>
        <w:t>of</w:t>
      </w:r>
      <w:r>
        <w:rPr>
          <w:spacing w:val="-10"/>
        </w:rPr>
        <w:t> </w:t>
      </w:r>
      <w:r>
        <w:rPr/>
        <w:t>the</w:t>
      </w:r>
      <w:r>
        <w:rPr>
          <w:spacing w:val="-10"/>
        </w:rPr>
        <w:t> </w:t>
      </w:r>
      <w:r>
        <w:rPr/>
        <w:t>same attacking possession as previously.</w:t>
      </w:r>
      <w:r>
        <w:rPr>
          <w:spacing w:val="29"/>
        </w:rPr>
        <w:t> </w:t>
      </w:r>
      <w:r>
        <w:rPr/>
        <w:t>If the positional kick was successfully caught by the opposition, it began the process of a new unique attacking possession by the opposition team.</w:t>
      </w:r>
      <w:r>
        <w:rPr>
          <w:spacing w:val="40"/>
        </w:rPr>
        <w:t> </w:t>
      </w:r>
      <w:r>
        <w:rPr/>
        <w:t>Table</w:t>
      </w:r>
      <w:hyperlink w:history="true" w:anchor="_bookmark100">
        <w:r>
          <w:rPr>
            <w:color w:val="0000FF"/>
          </w:rPr>
          <w:t>4.2</w:t>
        </w:r>
      </w:hyperlink>
      <w:r>
        <w:rPr/>
        <w:t>outlines a typical sequence for an episode used within this study.</w:t>
      </w:r>
      <w:r>
        <w:rPr>
          <w:spacing w:val="40"/>
        </w:rPr>
        <w:t> </w:t>
      </w:r>
      <w:r>
        <w:rPr/>
        <w:t>In the table,</w:t>
      </w:r>
      <w:r>
        <w:rPr>
          <w:spacing w:val="-10"/>
        </w:rPr>
        <w:t> </w:t>
      </w:r>
      <w:r>
        <w:rPr/>
        <w:t>St</w:t>
      </w:r>
      <w:r>
        <w:rPr>
          <w:spacing w:val="-11"/>
        </w:rPr>
        <w:t> </w:t>
      </w:r>
      <w:r>
        <w:rPr/>
        <w:t>Helens</w:t>
      </w:r>
      <w:r>
        <w:rPr>
          <w:spacing w:val="-11"/>
        </w:rPr>
        <w:t> </w:t>
      </w:r>
      <w:r>
        <w:rPr/>
        <w:t>are</w:t>
      </w:r>
      <w:r>
        <w:rPr>
          <w:spacing w:val="-11"/>
        </w:rPr>
        <w:t> </w:t>
      </w:r>
      <w:r>
        <w:rPr/>
        <w:t>shown</w:t>
      </w:r>
      <w:r>
        <w:rPr>
          <w:spacing w:val="-11"/>
        </w:rPr>
        <w:t> </w:t>
      </w:r>
      <w:r>
        <w:rPr/>
        <w:t>to</w:t>
      </w:r>
      <w:r>
        <w:rPr>
          <w:spacing w:val="-11"/>
        </w:rPr>
        <w:t> </w:t>
      </w:r>
      <w:r>
        <w:rPr/>
        <w:t>progress</w:t>
      </w:r>
      <w:r>
        <w:rPr>
          <w:spacing w:val="-11"/>
        </w:rPr>
        <w:t> </w:t>
      </w:r>
      <w:r>
        <w:rPr/>
        <w:t>towards</w:t>
      </w:r>
      <w:r>
        <w:rPr>
          <w:spacing w:val="-11"/>
        </w:rPr>
        <w:t> </w:t>
      </w:r>
      <w:r>
        <w:rPr/>
        <w:t>the</w:t>
      </w:r>
      <w:r>
        <w:rPr>
          <w:spacing w:val="-11"/>
        </w:rPr>
        <w:t> </w:t>
      </w:r>
      <w:r>
        <w:rPr/>
        <w:t>opposition</w:t>
      </w:r>
      <w:r>
        <w:rPr>
          <w:spacing w:val="-11"/>
        </w:rPr>
        <w:t> </w:t>
      </w:r>
      <w:r>
        <w:rPr/>
        <w:t>try</w:t>
      </w:r>
      <w:r>
        <w:rPr>
          <w:spacing w:val="-11"/>
        </w:rPr>
        <w:t> </w:t>
      </w:r>
      <w:r>
        <w:rPr/>
        <w:t>line</w:t>
      </w:r>
      <w:r>
        <w:rPr>
          <w:spacing w:val="-11"/>
        </w:rPr>
        <w:t> </w:t>
      </w:r>
      <w:r>
        <w:rPr/>
        <w:t>over</w:t>
      </w:r>
      <w:r>
        <w:rPr>
          <w:spacing w:val="-11"/>
        </w:rPr>
        <w:t> </w:t>
      </w:r>
      <w:r>
        <w:rPr/>
        <w:t>the</w:t>
      </w:r>
      <w:r>
        <w:rPr>
          <w:spacing w:val="-11"/>
        </w:rPr>
        <w:t> </w:t>
      </w:r>
      <w:r>
        <w:rPr/>
        <w:t>duration</w:t>
      </w:r>
      <w:r>
        <w:rPr>
          <w:spacing w:val="-11"/>
        </w:rPr>
        <w:t> </w:t>
      </w:r>
      <w:r>
        <w:rPr/>
        <w:t>of</w:t>
      </w:r>
    </w:p>
    <w:p>
      <w:pPr>
        <w:spacing w:after="0" w:line="312" w:lineRule="auto"/>
        <w:sectPr>
          <w:pgSz w:w="11910" w:h="16840"/>
          <w:pgMar w:header="1961" w:footer="1428" w:top="2280" w:bottom="1620" w:left="1680" w:right="720"/>
        </w:sectPr>
      </w:pPr>
    </w:p>
    <w:p>
      <w:pPr>
        <w:pStyle w:val="BodyText"/>
        <w:rPr>
          <w:sz w:val="20"/>
        </w:rPr>
      </w:pPr>
      <w:r>
        <w:rPr/>
        <w:pict>
          <v:shape style="position:absolute;margin-left:238.309402pt;margin-top:411.095642pt;width:175.75pt;height:26.85pt;mso-position-horizontal-relative:page;mso-position-vertical-relative:page;z-index:15769088" type="#_x0000_t202" id="docshape100" filled="false" stroked="false">
            <v:textbox inset="0,0,0,0" style="layout-flow:vertical;mso-layout-flow-alt:bottom-to-top">
              <w:txbxContent>
                <w:p>
                  <w:pPr>
                    <w:pStyle w:val="BodyText"/>
                    <w:spacing w:line="259" w:lineRule="auto" w:before="17"/>
                    <w:ind w:left="20" w:right="18"/>
                    <w:jc w:val="center"/>
                  </w:pPr>
                  <w:r>
                    <w:rPr>
                      <w:spacing w:val="-6"/>
                    </w:rPr>
                    <w:t>Time </w:t>
                  </w:r>
                  <w:r>
                    <w:rPr>
                      <w:spacing w:val="-10"/>
                    </w:rPr>
                    <w:t>7</w:t>
                  </w:r>
                </w:p>
                <w:p>
                  <w:pPr>
                    <w:pStyle w:val="BodyText"/>
                    <w:spacing w:line="266" w:lineRule="exact"/>
                    <w:jc w:val="center"/>
                  </w:pPr>
                  <w:r>
                    <w:rPr>
                      <w:w w:val="99"/>
                    </w:rPr>
                    <w:t>8</w:t>
                  </w:r>
                </w:p>
                <w:p>
                  <w:pPr>
                    <w:pStyle w:val="BodyText"/>
                    <w:spacing w:before="13"/>
                    <w:jc w:val="center"/>
                  </w:pPr>
                  <w:r>
                    <w:rPr>
                      <w:w w:val="99"/>
                    </w:rPr>
                    <w:t>9</w:t>
                  </w:r>
                </w:p>
                <w:p>
                  <w:pPr>
                    <w:pStyle w:val="BodyText"/>
                    <w:spacing w:before="12"/>
                    <w:ind w:left="18" w:right="18"/>
                    <w:jc w:val="center"/>
                  </w:pPr>
                  <w:r>
                    <w:rPr>
                      <w:spacing w:val="-5"/>
                    </w:rPr>
                    <w:t>10</w:t>
                  </w:r>
                </w:p>
                <w:p>
                  <w:pPr>
                    <w:pStyle w:val="BodyText"/>
                    <w:spacing w:before="13"/>
                    <w:ind w:left="18" w:right="18"/>
                    <w:jc w:val="center"/>
                  </w:pPr>
                  <w:r>
                    <w:rPr>
                      <w:spacing w:val="-5"/>
                    </w:rPr>
                    <w:t>11</w:t>
                  </w:r>
                </w:p>
                <w:p>
                  <w:pPr>
                    <w:pStyle w:val="BodyText"/>
                    <w:spacing w:before="13"/>
                    <w:ind w:left="18" w:right="18"/>
                    <w:jc w:val="center"/>
                  </w:pPr>
                  <w:r>
                    <w:rPr>
                      <w:spacing w:val="-5"/>
                    </w:rPr>
                    <w:t>12</w:t>
                  </w:r>
                </w:p>
                <w:p>
                  <w:pPr>
                    <w:pStyle w:val="BodyText"/>
                    <w:spacing w:before="13"/>
                    <w:ind w:left="18" w:right="18"/>
                    <w:jc w:val="center"/>
                  </w:pPr>
                  <w:r>
                    <w:rPr>
                      <w:spacing w:val="-5"/>
                    </w:rPr>
                    <w:t>13</w:t>
                  </w:r>
                </w:p>
                <w:p>
                  <w:pPr>
                    <w:pStyle w:val="BodyText"/>
                    <w:spacing w:before="13"/>
                    <w:ind w:left="18" w:right="18"/>
                    <w:jc w:val="center"/>
                  </w:pPr>
                  <w:r>
                    <w:rPr>
                      <w:spacing w:val="-5"/>
                    </w:rPr>
                    <w:t>14</w:t>
                  </w:r>
                </w:p>
                <w:p>
                  <w:pPr>
                    <w:pStyle w:val="BodyText"/>
                    <w:spacing w:before="13"/>
                    <w:ind w:left="18" w:right="18"/>
                    <w:jc w:val="center"/>
                  </w:pPr>
                  <w:r>
                    <w:rPr>
                      <w:spacing w:val="-5"/>
                    </w:rPr>
                    <w:t>15</w:t>
                  </w:r>
                </w:p>
                <w:p>
                  <w:pPr>
                    <w:pStyle w:val="BodyText"/>
                    <w:spacing w:before="13"/>
                    <w:ind w:left="18" w:right="18"/>
                    <w:jc w:val="center"/>
                  </w:pPr>
                  <w:r>
                    <w:rPr>
                      <w:spacing w:val="-5"/>
                    </w:rPr>
                    <w:t>16</w:t>
                  </w:r>
                </w:p>
                <w:p>
                  <w:pPr>
                    <w:pStyle w:val="BodyText"/>
                    <w:spacing w:before="13"/>
                    <w:jc w:val="center"/>
                  </w:pPr>
                  <w:r>
                    <w:rPr>
                      <w:w w:val="99"/>
                    </w:rPr>
                    <w:t>1</w:t>
                  </w:r>
                </w:p>
              </w:txbxContent>
            </v:textbox>
            <w10:wrap type="none"/>
          </v:shape>
        </w:pict>
      </w:r>
      <w:r>
        <w:rPr/>
        <w:pict>
          <v:shape style="position:absolute;margin-left:238.309402pt;margin-top:367.925415pt;width:175.75pt;height:33.25pt;mso-position-horizontal-relative:page;mso-position-vertical-relative:page;z-index:15769600" type="#_x0000_t202" id="docshape101" filled="false" stroked="false">
            <v:textbox inset="0,0,0,0" style="layout-flow:vertical;mso-layout-flow-alt:bottom-to-top">
              <w:txbxContent>
                <w:p>
                  <w:pPr>
                    <w:pStyle w:val="BodyText"/>
                    <w:spacing w:line="259" w:lineRule="auto" w:before="17"/>
                    <w:ind w:left="19" w:right="18"/>
                    <w:jc w:val="center"/>
                  </w:pPr>
                  <w:r>
                    <w:rPr>
                      <w:spacing w:val="-2"/>
                    </w:rPr>
                    <w:t>Period </w:t>
                  </w:r>
                  <w:r>
                    <w:rPr>
                      <w:spacing w:val="-10"/>
                    </w:rPr>
                    <w:t>2</w:t>
                  </w:r>
                </w:p>
                <w:p>
                  <w:pPr>
                    <w:pStyle w:val="BodyText"/>
                    <w:spacing w:line="266" w:lineRule="exact"/>
                    <w:jc w:val="center"/>
                  </w:pPr>
                  <w:r>
                    <w:rPr>
                      <w:w w:val="99"/>
                    </w:rPr>
                    <w:t>2</w:t>
                  </w:r>
                </w:p>
                <w:p>
                  <w:pPr>
                    <w:pStyle w:val="BodyText"/>
                    <w:spacing w:before="13"/>
                    <w:jc w:val="center"/>
                  </w:pPr>
                  <w:r>
                    <w:rPr>
                      <w:w w:val="99"/>
                    </w:rPr>
                    <w:t>2</w:t>
                  </w:r>
                </w:p>
                <w:p>
                  <w:pPr>
                    <w:pStyle w:val="BodyText"/>
                    <w:spacing w:before="12"/>
                    <w:jc w:val="center"/>
                  </w:pPr>
                  <w:r>
                    <w:rPr>
                      <w:w w:val="99"/>
                    </w:rPr>
                    <w:t>2</w:t>
                  </w:r>
                </w:p>
                <w:p>
                  <w:pPr>
                    <w:pStyle w:val="BodyText"/>
                    <w:spacing w:before="13"/>
                    <w:jc w:val="center"/>
                  </w:pPr>
                  <w:r>
                    <w:rPr>
                      <w:w w:val="99"/>
                    </w:rPr>
                    <w:t>2</w:t>
                  </w:r>
                </w:p>
                <w:p>
                  <w:pPr>
                    <w:pStyle w:val="BodyText"/>
                    <w:spacing w:before="13"/>
                    <w:jc w:val="center"/>
                  </w:pPr>
                  <w:r>
                    <w:rPr>
                      <w:w w:val="99"/>
                    </w:rPr>
                    <w:t>2</w:t>
                  </w:r>
                </w:p>
                <w:p>
                  <w:pPr>
                    <w:pStyle w:val="BodyText"/>
                    <w:spacing w:before="13"/>
                    <w:jc w:val="center"/>
                  </w:pPr>
                  <w:r>
                    <w:rPr>
                      <w:w w:val="99"/>
                    </w:rPr>
                    <w:t>2</w:t>
                  </w:r>
                </w:p>
                <w:p>
                  <w:pPr>
                    <w:pStyle w:val="BodyText"/>
                    <w:spacing w:before="13"/>
                    <w:jc w:val="center"/>
                  </w:pPr>
                  <w:r>
                    <w:rPr>
                      <w:w w:val="99"/>
                    </w:rPr>
                    <w:t>2</w:t>
                  </w:r>
                </w:p>
                <w:p>
                  <w:pPr>
                    <w:pStyle w:val="BodyText"/>
                    <w:spacing w:before="13"/>
                    <w:jc w:val="center"/>
                  </w:pPr>
                  <w:r>
                    <w:rPr>
                      <w:w w:val="99"/>
                    </w:rPr>
                    <w:t>2</w:t>
                  </w:r>
                </w:p>
                <w:p>
                  <w:pPr>
                    <w:pStyle w:val="BodyText"/>
                    <w:spacing w:before="13"/>
                    <w:jc w:val="center"/>
                  </w:pPr>
                  <w:r>
                    <w:rPr>
                      <w:w w:val="99"/>
                    </w:rPr>
                    <w:t>2</w:t>
                  </w:r>
                </w:p>
                <w:p>
                  <w:pPr>
                    <w:pStyle w:val="BodyText"/>
                    <w:spacing w:before="13"/>
                    <w:jc w:val="center"/>
                  </w:pPr>
                  <w:r>
                    <w:rPr>
                      <w:w w:val="99"/>
                    </w:rPr>
                    <w:t>2</w:t>
                  </w:r>
                </w:p>
              </w:txbxContent>
            </v:textbox>
            <w10:wrap type="none"/>
          </v:shape>
        </w:pict>
      </w:r>
      <w:r>
        <w:rPr/>
        <w:pict>
          <v:shape style="position:absolute;margin-left:238.309402pt;margin-top:328.748230pt;width:175.75pt;height:29.25pt;mso-position-horizontal-relative:page;mso-position-vertical-relative:page;z-index:15770112" type="#_x0000_t202" id="docshape102" filled="false" stroked="false">
            <v:textbox inset="0,0,0,0" style="layout-flow:vertical;mso-layout-flow-alt:bottom-to-top">
              <w:txbxContent>
                <w:p>
                  <w:pPr>
                    <w:pStyle w:val="BodyText"/>
                    <w:spacing w:line="252" w:lineRule="auto" w:before="17"/>
                    <w:ind w:left="179" w:right="9" w:hanging="160"/>
                  </w:pPr>
                  <w:r>
                    <w:rPr>
                      <w:spacing w:val="-2"/>
                    </w:rPr>
                    <w:t>Score </w:t>
                  </w:r>
                  <w:r>
                    <w:rPr>
                      <w:spacing w:val="-10"/>
                    </w:rPr>
                    <w:t>W W W W W W W W W W W</w:t>
                  </w:r>
                </w:p>
              </w:txbxContent>
            </v:textbox>
            <w10:wrap type="none"/>
          </v:shape>
        </w:pict>
      </w:r>
      <w:r>
        <w:rPr/>
        <w:pict>
          <v:shape style="position:absolute;margin-left:238.309402pt;margin-top:292.225098pt;width:175.75pt;height:26.6pt;mso-position-horizontal-relative:page;mso-position-vertical-relative:page;z-index:15770624" type="#_x0000_t202" id="docshape103" filled="false" stroked="false">
            <v:textbox inset="0,0,0,0" style="layout-flow:vertical;mso-layout-flow-alt:bottom-to-top">
              <w:txbxContent>
                <w:p>
                  <w:pPr>
                    <w:pStyle w:val="BodyText"/>
                    <w:spacing w:line="259" w:lineRule="auto" w:before="17"/>
                    <w:ind w:left="20" w:right="18"/>
                    <w:jc w:val="center"/>
                  </w:pPr>
                  <w:r>
                    <w:rPr>
                      <w:spacing w:val="-4"/>
                    </w:rPr>
                    <w:t>Zone </w:t>
                  </w:r>
                  <w:r>
                    <w:rPr>
                      <w:spacing w:val="-10"/>
                    </w:rPr>
                    <w:t>7</w:t>
                  </w:r>
                </w:p>
                <w:p>
                  <w:pPr>
                    <w:pStyle w:val="BodyText"/>
                    <w:spacing w:line="266" w:lineRule="exact"/>
                    <w:jc w:val="center"/>
                  </w:pPr>
                  <w:r>
                    <w:rPr>
                      <w:w w:val="99"/>
                    </w:rPr>
                    <w:t>7</w:t>
                  </w:r>
                </w:p>
                <w:p>
                  <w:pPr>
                    <w:pStyle w:val="BodyText"/>
                    <w:spacing w:before="13"/>
                    <w:jc w:val="center"/>
                  </w:pPr>
                  <w:r>
                    <w:rPr>
                      <w:w w:val="99"/>
                    </w:rPr>
                    <w:t>5</w:t>
                  </w:r>
                </w:p>
                <w:p>
                  <w:pPr>
                    <w:pStyle w:val="BodyText"/>
                    <w:spacing w:before="12"/>
                    <w:jc w:val="center"/>
                  </w:pPr>
                  <w:r>
                    <w:rPr>
                      <w:w w:val="99"/>
                    </w:rPr>
                    <w:t>5</w:t>
                  </w:r>
                </w:p>
                <w:p>
                  <w:pPr>
                    <w:pStyle w:val="BodyText"/>
                    <w:spacing w:before="13"/>
                    <w:jc w:val="center"/>
                  </w:pPr>
                  <w:r>
                    <w:rPr>
                      <w:w w:val="99"/>
                    </w:rPr>
                    <w:t>5</w:t>
                  </w:r>
                </w:p>
                <w:p>
                  <w:pPr>
                    <w:pStyle w:val="BodyText"/>
                    <w:spacing w:before="13"/>
                    <w:jc w:val="center"/>
                  </w:pPr>
                  <w:r>
                    <w:rPr>
                      <w:w w:val="99"/>
                    </w:rPr>
                    <w:t>7</w:t>
                  </w:r>
                </w:p>
                <w:p>
                  <w:pPr>
                    <w:pStyle w:val="BodyText"/>
                    <w:spacing w:before="13"/>
                    <w:jc w:val="center"/>
                  </w:pPr>
                  <w:r>
                    <w:rPr>
                      <w:w w:val="99"/>
                    </w:rPr>
                    <w:t>7</w:t>
                  </w:r>
                </w:p>
                <w:p>
                  <w:pPr>
                    <w:pStyle w:val="BodyText"/>
                    <w:spacing w:before="13"/>
                    <w:jc w:val="center"/>
                  </w:pPr>
                  <w:r>
                    <w:rPr>
                      <w:w w:val="99"/>
                    </w:rPr>
                    <w:t>7</w:t>
                  </w:r>
                </w:p>
                <w:p>
                  <w:pPr>
                    <w:pStyle w:val="BodyText"/>
                    <w:spacing w:before="13"/>
                    <w:ind w:left="18" w:right="18"/>
                    <w:jc w:val="center"/>
                  </w:pPr>
                  <w:r>
                    <w:rPr>
                      <w:spacing w:val="-5"/>
                    </w:rPr>
                    <w:t>19</w:t>
                  </w:r>
                </w:p>
                <w:p>
                  <w:pPr>
                    <w:pStyle w:val="BodyText"/>
                    <w:spacing w:before="13"/>
                    <w:ind w:left="18" w:right="18"/>
                    <w:jc w:val="center"/>
                  </w:pPr>
                  <w:r>
                    <w:rPr>
                      <w:spacing w:val="-5"/>
                    </w:rPr>
                    <w:t>19</w:t>
                  </w:r>
                </w:p>
                <w:p>
                  <w:pPr>
                    <w:pStyle w:val="BodyText"/>
                    <w:spacing w:before="13"/>
                    <w:jc w:val="center"/>
                  </w:pPr>
                  <w:r>
                    <w:rPr>
                      <w:w w:val="99"/>
                    </w:rPr>
                    <w:t>4</w:t>
                  </w:r>
                </w:p>
              </w:txbxContent>
            </v:textbox>
            <w10:wrap type="none"/>
          </v:shape>
        </w:pict>
      </w:r>
      <w:r>
        <w:rPr/>
        <w:pict>
          <v:shape style="position:absolute;margin-left:253.153397pt;margin-top:505.655426pt;width:160.9pt;height:14pt;mso-position-horizontal-relative:page;mso-position-vertical-relative:page;z-index:15773184" type="#_x0000_t202" id="docshape104" filled="false" stroked="false">
            <v:textbox inset="0,0,0,0" style="layout-flow:vertical;mso-layout-flow-alt:bottom-to-top">
              <w:txbxContent>
                <w:p>
                  <w:pPr>
                    <w:pStyle w:val="BodyText"/>
                    <w:spacing w:before="17"/>
                    <w:ind w:left="20"/>
                  </w:pPr>
                  <w:r>
                    <w:rPr>
                      <w:spacing w:val="-5"/>
                    </w:rPr>
                    <w:t>51</w:t>
                  </w:r>
                </w:p>
                <w:p>
                  <w:pPr>
                    <w:pStyle w:val="BodyText"/>
                    <w:spacing w:before="13"/>
                    <w:ind w:left="20"/>
                  </w:pPr>
                  <w:r>
                    <w:rPr>
                      <w:spacing w:val="-5"/>
                    </w:rPr>
                    <w:t>73</w:t>
                  </w:r>
                </w:p>
                <w:p>
                  <w:pPr>
                    <w:pStyle w:val="BodyText"/>
                    <w:spacing w:before="12"/>
                    <w:ind w:left="20"/>
                  </w:pPr>
                  <w:r>
                    <w:rPr>
                      <w:spacing w:val="-5"/>
                    </w:rPr>
                    <w:t>73</w:t>
                  </w:r>
                </w:p>
                <w:p>
                  <w:pPr>
                    <w:pStyle w:val="BodyText"/>
                    <w:spacing w:before="13"/>
                    <w:ind w:left="20"/>
                  </w:pPr>
                  <w:r>
                    <w:rPr>
                      <w:spacing w:val="-5"/>
                    </w:rPr>
                    <w:t>51</w:t>
                  </w:r>
                </w:p>
                <w:p>
                  <w:pPr>
                    <w:pStyle w:val="BodyText"/>
                    <w:spacing w:before="13"/>
                    <w:ind w:left="20"/>
                  </w:pPr>
                  <w:r>
                    <w:rPr>
                      <w:spacing w:val="-5"/>
                    </w:rPr>
                    <w:t>74</w:t>
                  </w:r>
                </w:p>
                <w:p>
                  <w:pPr>
                    <w:pStyle w:val="BodyText"/>
                    <w:spacing w:before="13"/>
                    <w:ind w:left="20"/>
                  </w:pPr>
                  <w:r>
                    <w:rPr>
                      <w:spacing w:val="-5"/>
                    </w:rPr>
                    <w:t>74</w:t>
                  </w:r>
                </w:p>
                <w:p>
                  <w:pPr>
                    <w:pStyle w:val="BodyText"/>
                    <w:spacing w:before="13"/>
                    <w:ind w:left="20"/>
                  </w:pPr>
                  <w:r>
                    <w:rPr>
                      <w:spacing w:val="-5"/>
                    </w:rPr>
                    <w:t>51</w:t>
                  </w:r>
                </w:p>
                <w:p>
                  <w:pPr>
                    <w:pStyle w:val="BodyText"/>
                    <w:spacing w:before="13"/>
                    <w:ind w:left="20"/>
                  </w:pPr>
                  <w:r>
                    <w:rPr>
                      <w:spacing w:val="-5"/>
                    </w:rPr>
                    <w:t>28</w:t>
                  </w:r>
                </w:p>
                <w:p>
                  <w:pPr>
                    <w:pStyle w:val="BodyText"/>
                    <w:spacing w:before="13"/>
                    <w:ind w:left="20"/>
                  </w:pPr>
                  <w:r>
                    <w:rPr>
                      <w:spacing w:val="-5"/>
                    </w:rPr>
                    <w:t>28</w:t>
                  </w:r>
                </w:p>
                <w:p>
                  <w:pPr>
                    <w:pStyle w:val="BodyText"/>
                    <w:spacing w:before="13"/>
                    <w:ind w:left="20"/>
                  </w:pPr>
                  <w:r>
                    <w:rPr>
                      <w:spacing w:val="-5"/>
                    </w:rPr>
                    <w:t>84</w:t>
                  </w:r>
                </w:p>
                <w:p>
                  <w:pPr>
                    <w:pStyle w:val="BodyText"/>
                    <w:spacing w:before="13"/>
                    <w:ind w:left="20"/>
                  </w:pPr>
                  <w:r>
                    <w:rPr>
                      <w:spacing w:val="-5"/>
                    </w:rPr>
                    <w:t>19</w:t>
                  </w:r>
                </w:p>
              </w:txbxContent>
            </v:textbox>
            <w10:wrap type="none"/>
          </v:shape>
        </w:pict>
      </w:r>
      <w:r>
        <w:rPr/>
        <w:pict>
          <v:shape style="position:absolute;margin-left:253.153397pt;margin-top:458.169373pt;width:160.9pt;height:19.95pt;mso-position-horizontal-relative:page;mso-position-vertical-relative:page;z-index:15773696" type="#_x0000_t202" id="docshape105" filled="false" stroked="false">
            <v:textbox inset="0,0,0,0" style="layout-flow:vertical;mso-layout-flow-alt:bottom-to-top">
              <w:txbxContent>
                <w:p>
                  <w:pPr>
                    <w:pStyle w:val="BodyText"/>
                    <w:spacing w:before="17"/>
                    <w:ind w:left="20"/>
                  </w:pPr>
                  <w:r>
                    <w:rPr>
                      <w:spacing w:val="-5"/>
                    </w:rPr>
                    <w:t>294</w:t>
                  </w:r>
                </w:p>
                <w:p>
                  <w:pPr>
                    <w:pStyle w:val="BodyText"/>
                    <w:spacing w:before="13"/>
                    <w:ind w:left="20"/>
                  </w:pPr>
                  <w:r>
                    <w:rPr>
                      <w:spacing w:val="-5"/>
                    </w:rPr>
                    <w:t>294</w:t>
                  </w:r>
                </w:p>
                <w:p>
                  <w:pPr>
                    <w:pStyle w:val="BodyText"/>
                    <w:spacing w:before="12"/>
                    <w:ind w:left="20"/>
                  </w:pPr>
                  <w:r>
                    <w:rPr>
                      <w:spacing w:val="-5"/>
                    </w:rPr>
                    <w:t>294</w:t>
                  </w:r>
                </w:p>
                <w:p>
                  <w:pPr>
                    <w:pStyle w:val="BodyText"/>
                    <w:spacing w:before="13"/>
                    <w:ind w:left="20"/>
                  </w:pPr>
                  <w:r>
                    <w:rPr>
                      <w:spacing w:val="-5"/>
                    </w:rPr>
                    <w:t>294</w:t>
                  </w:r>
                </w:p>
                <w:p>
                  <w:pPr>
                    <w:pStyle w:val="BodyText"/>
                    <w:spacing w:before="13"/>
                    <w:ind w:left="20"/>
                  </w:pPr>
                  <w:r>
                    <w:rPr>
                      <w:spacing w:val="-5"/>
                    </w:rPr>
                    <w:t>294</w:t>
                  </w:r>
                </w:p>
                <w:p>
                  <w:pPr>
                    <w:pStyle w:val="BodyText"/>
                    <w:spacing w:before="13"/>
                    <w:ind w:left="20"/>
                  </w:pPr>
                  <w:r>
                    <w:rPr>
                      <w:spacing w:val="-5"/>
                    </w:rPr>
                    <w:t>294</w:t>
                  </w:r>
                </w:p>
                <w:p>
                  <w:pPr>
                    <w:pStyle w:val="BodyText"/>
                    <w:spacing w:before="13"/>
                    <w:ind w:left="20"/>
                  </w:pPr>
                  <w:r>
                    <w:rPr>
                      <w:spacing w:val="-5"/>
                    </w:rPr>
                    <w:t>294</w:t>
                  </w:r>
                </w:p>
                <w:p>
                  <w:pPr>
                    <w:pStyle w:val="BodyText"/>
                    <w:spacing w:before="13"/>
                    <w:ind w:left="20"/>
                  </w:pPr>
                  <w:r>
                    <w:rPr>
                      <w:spacing w:val="-5"/>
                    </w:rPr>
                    <w:t>294</w:t>
                  </w:r>
                </w:p>
                <w:p>
                  <w:pPr>
                    <w:pStyle w:val="BodyText"/>
                    <w:spacing w:before="13"/>
                    <w:ind w:left="20"/>
                  </w:pPr>
                  <w:r>
                    <w:rPr>
                      <w:spacing w:val="-5"/>
                    </w:rPr>
                    <w:t>294</w:t>
                  </w:r>
                </w:p>
                <w:p>
                  <w:pPr>
                    <w:pStyle w:val="BodyText"/>
                    <w:spacing w:before="13"/>
                    <w:ind w:left="20"/>
                  </w:pPr>
                  <w:r>
                    <w:rPr>
                      <w:spacing w:val="-5"/>
                    </w:rPr>
                    <w:t>294</w:t>
                  </w:r>
                </w:p>
                <w:p>
                  <w:pPr>
                    <w:pStyle w:val="BodyText"/>
                    <w:spacing w:before="13"/>
                    <w:ind w:left="20"/>
                  </w:pPr>
                  <w:r>
                    <w:rPr>
                      <w:spacing w:val="-5"/>
                    </w:rPr>
                    <w:t>295</w:t>
                  </w:r>
                </w:p>
              </w:txbxContent>
            </v:textbox>
            <w10:wrap type="none"/>
          </v:shape>
        </w:pict>
      </w:r>
    </w:p>
    <w:p>
      <w:pPr>
        <w:pStyle w:val="BodyText"/>
        <w:spacing w:before="4"/>
        <w:rPr>
          <w:sz w:val="17"/>
        </w:rPr>
      </w:pPr>
    </w:p>
    <w:p>
      <w:pPr>
        <w:pStyle w:val="BodyText"/>
        <w:spacing w:line="252" w:lineRule="auto" w:before="105"/>
        <w:ind w:left="610" w:right="389"/>
      </w:pPr>
      <w:r>
        <w:rPr/>
        <w:pict>
          <v:line style="position:absolute;mso-position-horizontal-relative:page;mso-position-vertical-relative:paragraph;z-index:-21777920" from="240.044998pt,491.303122pt" to="240.044998pt,58.146122pt" stroked="true" strokeweight=".398pt" strokecolor="#000000">
            <v:stroke dashstyle="solid"/>
            <w10:wrap type="none"/>
          </v:line>
        </w:pict>
      </w:r>
      <w:r>
        <w:rPr/>
        <w:pict>
          <v:line style="position:absolute;mso-position-horizontal-relative:page;mso-position-vertical-relative:paragraph;z-index:-21777408" from="254.889008pt,491.303122pt" to="254.889008pt,58.146122pt" stroked="true" strokeweight=".398pt" strokecolor="#000000">
            <v:stroke dashstyle="solid"/>
            <w10:wrap type="none"/>
          </v:line>
        </w:pict>
      </w:r>
      <w:r>
        <w:rPr/>
        <w:pict>
          <v:line style="position:absolute;mso-position-horizontal-relative:page;mso-position-vertical-relative:paragraph;z-index:15768064" from="414.19101pt,491.303122pt" to="414.19101pt,58.146122pt" stroked="true" strokeweight=".398pt" strokecolor="#000000">
            <v:stroke dashstyle="solid"/>
            <w10:wrap type="none"/>
          </v:line>
        </w:pict>
      </w:r>
      <w:r>
        <w:rPr/>
        <w:pict>
          <v:shape style="position:absolute;margin-left:238.309402pt;margin-top:111.837944pt;width:175.75pt;height:34.550pt;mso-position-horizontal-relative:page;mso-position-vertical-relative:paragraph;z-index:15771136" type="#_x0000_t202" id="docshape106" filled="false" stroked="false">
            <v:textbox inset="0,0,0,0" style="layout-flow:vertical;mso-layout-flow-alt:bottom-to-top">
              <w:txbxContent>
                <w:p>
                  <w:pPr>
                    <w:pStyle w:val="BodyText"/>
                    <w:spacing w:line="254" w:lineRule="auto" w:before="17"/>
                    <w:ind w:left="19" w:right="18"/>
                    <w:jc w:val="center"/>
                  </w:pPr>
                  <w:r>
                    <w:rPr>
                      <w:spacing w:val="-2"/>
                    </w:rPr>
                    <w:t>Action </w:t>
                  </w:r>
                  <w:r>
                    <w:rPr>
                      <w:spacing w:val="-4"/>
                    </w:rPr>
                    <w:t>Pass Run PTB</w:t>
                  </w:r>
                </w:p>
                <w:p>
                  <w:pPr>
                    <w:pStyle w:val="BodyText"/>
                    <w:spacing w:line="252" w:lineRule="auto"/>
                    <w:ind w:left="126" w:right="124" w:firstLine="8"/>
                    <w:jc w:val="both"/>
                  </w:pPr>
                  <w:r>
                    <w:rPr>
                      <w:spacing w:val="-4"/>
                    </w:rPr>
                    <w:t>Pass Run </w:t>
                  </w:r>
                  <w:r>
                    <w:rPr>
                      <w:spacing w:val="-5"/>
                    </w:rPr>
                    <w:t>PTB</w:t>
                  </w:r>
                </w:p>
                <w:p>
                  <w:pPr>
                    <w:pStyle w:val="BodyText"/>
                    <w:spacing w:line="252" w:lineRule="auto"/>
                    <w:ind w:left="66" w:right="64" w:firstLine="68"/>
                    <w:jc w:val="both"/>
                  </w:pPr>
                  <w:r>
                    <w:rPr>
                      <w:spacing w:val="-4"/>
                    </w:rPr>
                    <w:t>Pass Run Pass Run </w:t>
                  </w:r>
                  <w:r>
                    <w:rPr>
                      <w:spacing w:val="-2"/>
                    </w:rPr>
                    <w:t>Catch</w:t>
                  </w:r>
                </w:p>
              </w:txbxContent>
            </v:textbox>
            <w10:wrap type="none"/>
          </v:shape>
        </w:pict>
      </w:r>
      <w:r>
        <w:rPr/>
        <w:pict>
          <v:shape style="position:absolute;margin-left:238.309402pt;margin-top:63.120502pt;width:175.75pt;height:38.8pt;mso-position-horizontal-relative:page;mso-position-vertical-relative:paragraph;z-index:15771648" type="#_x0000_t202" id="docshape107" filled="false" stroked="false">
            <v:textbox inset="0,0,0,0" style="layout-flow:vertical;mso-layout-flow-alt:bottom-to-top">
              <w:txbxContent>
                <w:p>
                  <w:pPr>
                    <w:pStyle w:val="BodyText"/>
                    <w:spacing w:line="259" w:lineRule="auto" w:before="17"/>
                    <w:ind w:left="19" w:right="18"/>
                    <w:jc w:val="center"/>
                  </w:pPr>
                  <w:r>
                    <w:rPr>
                      <w:spacing w:val="-4"/>
                    </w:rPr>
                    <w:t>Reward </w:t>
                  </w:r>
                  <w:r>
                    <w:rPr>
                      <w:spacing w:val="-10"/>
                    </w:rPr>
                    <w:t>0</w:t>
                  </w:r>
                </w:p>
                <w:p>
                  <w:pPr>
                    <w:pStyle w:val="BodyText"/>
                    <w:spacing w:line="266" w:lineRule="exact"/>
                    <w:jc w:val="center"/>
                  </w:pPr>
                  <w:r>
                    <w:rPr>
                      <w:w w:val="99"/>
                    </w:rPr>
                    <w:t>0</w:t>
                  </w:r>
                </w:p>
                <w:p>
                  <w:pPr>
                    <w:pStyle w:val="BodyText"/>
                    <w:spacing w:before="13"/>
                    <w:jc w:val="center"/>
                  </w:pPr>
                  <w:r>
                    <w:rPr>
                      <w:w w:val="99"/>
                    </w:rPr>
                    <w:t>0</w:t>
                  </w:r>
                </w:p>
                <w:p>
                  <w:pPr>
                    <w:pStyle w:val="BodyText"/>
                    <w:spacing w:before="12"/>
                    <w:jc w:val="center"/>
                  </w:pPr>
                  <w:r>
                    <w:rPr>
                      <w:w w:val="99"/>
                    </w:rPr>
                    <w:t>0</w:t>
                  </w:r>
                </w:p>
                <w:p>
                  <w:pPr>
                    <w:pStyle w:val="BodyText"/>
                    <w:spacing w:before="13"/>
                    <w:jc w:val="center"/>
                  </w:pPr>
                  <w:r>
                    <w:rPr>
                      <w:w w:val="99"/>
                    </w:rPr>
                    <w:t>0</w:t>
                  </w:r>
                </w:p>
                <w:p>
                  <w:pPr>
                    <w:pStyle w:val="BodyText"/>
                    <w:spacing w:before="13"/>
                    <w:jc w:val="center"/>
                  </w:pPr>
                  <w:r>
                    <w:rPr>
                      <w:w w:val="99"/>
                    </w:rPr>
                    <w:t>0</w:t>
                  </w:r>
                </w:p>
                <w:p>
                  <w:pPr>
                    <w:pStyle w:val="BodyText"/>
                    <w:spacing w:before="13"/>
                    <w:jc w:val="center"/>
                  </w:pPr>
                  <w:r>
                    <w:rPr>
                      <w:w w:val="99"/>
                    </w:rPr>
                    <w:t>0</w:t>
                  </w:r>
                </w:p>
                <w:p>
                  <w:pPr>
                    <w:pStyle w:val="BodyText"/>
                    <w:spacing w:before="13"/>
                    <w:jc w:val="center"/>
                  </w:pPr>
                  <w:r>
                    <w:rPr>
                      <w:w w:val="99"/>
                    </w:rPr>
                    <w:t>0</w:t>
                  </w:r>
                </w:p>
                <w:p>
                  <w:pPr>
                    <w:pStyle w:val="BodyText"/>
                    <w:spacing w:before="13"/>
                    <w:jc w:val="center"/>
                  </w:pPr>
                  <w:r>
                    <w:rPr>
                      <w:w w:val="99"/>
                    </w:rPr>
                    <w:t>0</w:t>
                  </w:r>
                </w:p>
                <w:p>
                  <w:pPr>
                    <w:pStyle w:val="BodyText"/>
                    <w:spacing w:before="13"/>
                    <w:jc w:val="center"/>
                  </w:pPr>
                  <w:r>
                    <w:rPr>
                      <w:w w:val="99"/>
                    </w:rPr>
                    <w:t>6</w:t>
                  </w:r>
                </w:p>
                <w:p>
                  <w:pPr>
                    <w:pStyle w:val="BodyText"/>
                    <w:spacing w:before="13"/>
                    <w:jc w:val="center"/>
                  </w:pPr>
                  <w:r>
                    <w:rPr>
                      <w:w w:val="99"/>
                    </w:rPr>
                    <w:t>0</w:t>
                  </w:r>
                </w:p>
              </w:txbxContent>
            </v:textbox>
            <w10:wrap type="none"/>
          </v:shape>
        </w:pict>
      </w:r>
      <w:bookmarkStart w:name="_bookmark100" w:id="179"/>
      <w:bookmarkEnd w:id="179"/>
      <w:r>
        <w:rPr/>
      </w:r>
      <w:r>
        <w:rPr>
          <w:b/>
        </w:rPr>
        <w:t>Table</w:t>
      </w:r>
      <w:r>
        <w:rPr>
          <w:b/>
          <w:spacing w:val="-15"/>
        </w:rPr>
        <w:t> </w:t>
      </w:r>
      <w:r>
        <w:rPr>
          <w:b/>
        </w:rPr>
        <w:t>4.2:</w:t>
      </w:r>
      <w:r>
        <w:rPr>
          <w:b/>
          <w:spacing w:val="-15"/>
        </w:rPr>
        <w:t> </w:t>
      </w:r>
      <w:r>
        <w:rPr/>
        <w:t>Example</w:t>
      </w:r>
      <w:r>
        <w:rPr>
          <w:spacing w:val="-15"/>
        </w:rPr>
        <w:t> </w:t>
      </w:r>
      <w:r>
        <w:rPr/>
        <w:t>episode</w:t>
      </w:r>
      <w:r>
        <w:rPr>
          <w:spacing w:val="-15"/>
        </w:rPr>
        <w:t> </w:t>
      </w:r>
      <w:r>
        <w:rPr/>
        <w:t>sequence.</w:t>
      </w:r>
      <w:r>
        <w:rPr>
          <w:spacing w:val="-14"/>
        </w:rPr>
        <w:t> </w:t>
      </w:r>
      <w:r>
        <w:rPr/>
        <w:t>FxID</w:t>
      </w:r>
      <w:r>
        <w:rPr>
          <w:spacing w:val="-15"/>
        </w:rPr>
        <w:t> </w:t>
      </w:r>
      <w:r>
        <w:rPr/>
        <w:t>refers</w:t>
      </w:r>
      <w:r>
        <w:rPr>
          <w:spacing w:val="-15"/>
        </w:rPr>
        <w:t> </w:t>
      </w:r>
      <w:r>
        <w:rPr/>
        <w:t>to</w:t>
      </w:r>
      <w:r>
        <w:rPr>
          <w:spacing w:val="-15"/>
        </w:rPr>
        <w:t> </w:t>
      </w:r>
      <w:r>
        <w:rPr/>
        <w:t>fixture</w:t>
      </w:r>
      <w:r>
        <w:rPr>
          <w:spacing w:val="-15"/>
        </w:rPr>
        <w:t> </w:t>
      </w:r>
      <w:r>
        <w:rPr/>
        <w:t>identification</w:t>
      </w:r>
      <w:r>
        <w:rPr>
          <w:spacing w:val="-15"/>
        </w:rPr>
        <w:t> </w:t>
      </w:r>
      <w:r>
        <w:rPr/>
        <w:t>number,</w:t>
      </w:r>
      <w:r>
        <w:rPr>
          <w:spacing w:val="-15"/>
        </w:rPr>
        <w:t> </w:t>
      </w:r>
      <w:r>
        <w:rPr/>
        <w:t>PLID refers to player identification number.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line="312" w:lineRule="auto" w:before="215"/>
        <w:ind w:left="610" w:right="389"/>
        <w:jc w:val="both"/>
      </w:pPr>
      <w:r>
        <w:rPr/>
        <w:pict>
          <v:shape style="position:absolute;margin-left:238.309402pt;margin-top:-205.19104pt;width:16.45pt;height:174.35pt;mso-position-horizontal-relative:page;mso-position-vertical-relative:paragraph;z-index:15768576" type="#_x0000_t202" id="docshape108" filled="false" stroked="false">
            <v:textbox inset="0,0,0,0" style="layout-flow:vertical;mso-layout-flow-alt:bottom-to-top">
              <w:txbxContent>
                <w:p>
                  <w:pPr>
                    <w:pStyle w:val="BodyText"/>
                    <w:tabs>
                      <w:tab w:pos="961" w:val="left" w:leader="none"/>
                      <w:tab w:pos="1926" w:val="left" w:leader="none"/>
                      <w:tab w:pos="2696" w:val="left" w:leader="none"/>
                    </w:tabs>
                    <w:spacing w:before="17"/>
                    <w:ind w:left="20"/>
                  </w:pPr>
                  <w:r>
                    <w:rPr>
                      <w:spacing w:val="-4"/>
                    </w:rPr>
                    <w:t>FxID</w:t>
                  </w:r>
                  <w:r>
                    <w:rPr/>
                    <w:tab/>
                  </w:r>
                  <w:r>
                    <w:rPr>
                      <w:spacing w:val="-4"/>
                    </w:rPr>
                    <w:t>Team</w:t>
                  </w:r>
                  <w:r>
                    <w:rPr/>
                    <w:tab/>
                  </w:r>
                  <w:r>
                    <w:rPr>
                      <w:spacing w:val="-4"/>
                    </w:rPr>
                    <w:t>PLID</w:t>
                  </w:r>
                  <w:r>
                    <w:rPr/>
                    <w:tab/>
                  </w:r>
                  <w:r>
                    <w:rPr>
                      <w:spacing w:val="-2"/>
                    </w:rPr>
                    <w:t>Episode</w:t>
                  </w:r>
                </w:p>
              </w:txbxContent>
            </v:textbox>
            <w10:wrap type="none"/>
          </v:shape>
        </w:pict>
      </w:r>
      <w:r>
        <w:rPr/>
        <w:pict>
          <v:shape style="position:absolute;margin-left:253.153397pt;margin-top:-51.441067pt;width:160.9pt;height:14pt;mso-position-horizontal-relative:page;mso-position-vertical-relative:paragraph;z-index:15772160" type="#_x0000_t202" id="docshape109" filled="false" stroked="false">
            <v:textbox inset="0,0,0,0" style="layout-flow:vertical;mso-layout-flow-alt:bottom-to-top">
              <w:txbxContent>
                <w:p>
                  <w:pPr>
                    <w:pStyle w:val="BodyText"/>
                    <w:spacing w:before="17"/>
                    <w:ind w:left="20"/>
                  </w:pPr>
                  <w:r>
                    <w:rPr>
                      <w:spacing w:val="-5"/>
                    </w:rPr>
                    <w:t>31</w:t>
                  </w:r>
                </w:p>
                <w:p>
                  <w:pPr>
                    <w:pStyle w:val="BodyText"/>
                    <w:spacing w:before="13"/>
                    <w:ind w:left="20"/>
                  </w:pPr>
                  <w:r>
                    <w:rPr>
                      <w:spacing w:val="-5"/>
                    </w:rPr>
                    <w:t>31</w:t>
                  </w:r>
                </w:p>
                <w:p>
                  <w:pPr>
                    <w:pStyle w:val="BodyText"/>
                    <w:spacing w:before="12"/>
                    <w:ind w:left="20"/>
                  </w:pPr>
                  <w:r>
                    <w:rPr>
                      <w:spacing w:val="-5"/>
                    </w:rPr>
                    <w:t>31</w:t>
                  </w:r>
                </w:p>
                <w:p>
                  <w:pPr>
                    <w:pStyle w:val="BodyText"/>
                    <w:spacing w:before="13"/>
                    <w:ind w:left="20"/>
                  </w:pPr>
                  <w:r>
                    <w:rPr>
                      <w:spacing w:val="-5"/>
                    </w:rPr>
                    <w:t>31</w:t>
                  </w:r>
                </w:p>
                <w:p>
                  <w:pPr>
                    <w:pStyle w:val="BodyText"/>
                    <w:spacing w:before="13"/>
                    <w:ind w:left="20"/>
                  </w:pPr>
                  <w:r>
                    <w:rPr>
                      <w:spacing w:val="-5"/>
                    </w:rPr>
                    <w:t>31</w:t>
                  </w:r>
                </w:p>
                <w:p>
                  <w:pPr>
                    <w:pStyle w:val="BodyText"/>
                    <w:spacing w:before="13"/>
                    <w:ind w:left="20"/>
                  </w:pPr>
                  <w:r>
                    <w:rPr>
                      <w:spacing w:val="-5"/>
                    </w:rPr>
                    <w:t>31</w:t>
                  </w:r>
                </w:p>
                <w:p>
                  <w:pPr>
                    <w:pStyle w:val="BodyText"/>
                    <w:spacing w:before="13"/>
                    <w:ind w:left="20"/>
                  </w:pPr>
                  <w:r>
                    <w:rPr>
                      <w:spacing w:val="-5"/>
                    </w:rPr>
                    <w:t>31</w:t>
                  </w:r>
                </w:p>
                <w:p>
                  <w:pPr>
                    <w:pStyle w:val="BodyText"/>
                    <w:spacing w:before="13"/>
                    <w:ind w:left="20"/>
                  </w:pPr>
                  <w:r>
                    <w:rPr>
                      <w:spacing w:val="-5"/>
                    </w:rPr>
                    <w:t>31</w:t>
                  </w:r>
                </w:p>
                <w:p>
                  <w:pPr>
                    <w:pStyle w:val="BodyText"/>
                    <w:spacing w:before="13"/>
                    <w:ind w:left="20"/>
                  </w:pPr>
                  <w:r>
                    <w:rPr>
                      <w:spacing w:val="-5"/>
                    </w:rPr>
                    <w:t>31</w:t>
                  </w:r>
                </w:p>
                <w:p>
                  <w:pPr>
                    <w:pStyle w:val="BodyText"/>
                    <w:spacing w:before="13"/>
                    <w:ind w:left="20"/>
                  </w:pPr>
                  <w:r>
                    <w:rPr>
                      <w:spacing w:val="-5"/>
                    </w:rPr>
                    <w:t>31</w:t>
                  </w:r>
                </w:p>
                <w:p>
                  <w:pPr>
                    <w:pStyle w:val="BodyText"/>
                    <w:spacing w:before="13"/>
                    <w:ind w:left="20"/>
                  </w:pPr>
                  <w:r>
                    <w:rPr>
                      <w:spacing w:val="-5"/>
                    </w:rPr>
                    <w:t>31</w:t>
                  </w:r>
                </w:p>
              </w:txbxContent>
            </v:textbox>
            <w10:wrap type="none"/>
          </v:shape>
        </w:pict>
      </w:r>
      <w:r>
        <w:rPr/>
        <w:pict>
          <v:shape style="position:absolute;margin-left:253.153397pt;margin-top:-116.190437pt;width:160.9pt;height:48.15pt;mso-position-horizontal-relative:page;mso-position-vertical-relative:paragraph;z-index:15772672" type="#_x0000_t202" id="docshape110" filled="false" stroked="false">
            <v:textbox inset="0,0,0,0" style="layout-flow:vertical;mso-layout-flow-alt:bottom-to-top">
              <w:txbxContent>
                <w:p>
                  <w:pPr>
                    <w:pStyle w:val="BodyText"/>
                    <w:spacing w:line="252" w:lineRule="auto" w:before="17"/>
                    <w:ind w:left="20" w:right="18"/>
                    <w:jc w:val="both"/>
                  </w:pPr>
                  <w:r>
                    <w:rPr/>
                    <w:t>St</w:t>
                  </w:r>
                  <w:r>
                    <w:rPr>
                      <w:spacing w:val="-15"/>
                    </w:rPr>
                    <w:t> </w:t>
                  </w:r>
                  <w:r>
                    <w:rPr/>
                    <w:t>Helens St</w:t>
                  </w:r>
                  <w:r>
                    <w:rPr>
                      <w:spacing w:val="-15"/>
                    </w:rPr>
                    <w:t> </w:t>
                  </w:r>
                  <w:r>
                    <w:rPr/>
                    <w:t>Helens St</w:t>
                  </w:r>
                  <w:r>
                    <w:rPr>
                      <w:spacing w:val="-15"/>
                    </w:rPr>
                    <w:t> </w:t>
                  </w:r>
                  <w:r>
                    <w:rPr/>
                    <w:t>Helens St</w:t>
                  </w:r>
                  <w:r>
                    <w:rPr>
                      <w:spacing w:val="-15"/>
                    </w:rPr>
                    <w:t> </w:t>
                  </w:r>
                  <w:r>
                    <w:rPr/>
                    <w:t>Helens St</w:t>
                  </w:r>
                  <w:r>
                    <w:rPr>
                      <w:spacing w:val="-15"/>
                    </w:rPr>
                    <w:t> </w:t>
                  </w:r>
                  <w:r>
                    <w:rPr/>
                    <w:t>Helens St</w:t>
                  </w:r>
                  <w:r>
                    <w:rPr>
                      <w:spacing w:val="-15"/>
                    </w:rPr>
                    <w:t> </w:t>
                  </w:r>
                  <w:r>
                    <w:rPr/>
                    <w:t>Helens St</w:t>
                  </w:r>
                  <w:r>
                    <w:rPr>
                      <w:spacing w:val="-15"/>
                    </w:rPr>
                    <w:t> </w:t>
                  </w:r>
                  <w:r>
                    <w:rPr/>
                    <w:t>Helens St</w:t>
                  </w:r>
                  <w:r>
                    <w:rPr>
                      <w:spacing w:val="-15"/>
                    </w:rPr>
                    <w:t> </w:t>
                  </w:r>
                  <w:r>
                    <w:rPr/>
                    <w:t>Helens St</w:t>
                  </w:r>
                  <w:r>
                    <w:rPr>
                      <w:spacing w:val="-15"/>
                    </w:rPr>
                    <w:t> </w:t>
                  </w:r>
                  <w:r>
                    <w:rPr/>
                    <w:t>Helens St</w:t>
                  </w:r>
                  <w:r>
                    <w:rPr>
                      <w:spacing w:val="-15"/>
                    </w:rPr>
                    <w:t> </w:t>
                  </w:r>
                  <w:r>
                    <w:rPr/>
                    <w:t>Helens St</w:t>
                  </w:r>
                  <w:r>
                    <w:rPr>
                      <w:spacing w:val="-5"/>
                    </w:rPr>
                    <w:t> </w:t>
                  </w:r>
                  <w:r>
                    <w:rPr>
                      <w:spacing w:val="-2"/>
                    </w:rPr>
                    <w:t>Helens</w:t>
                  </w:r>
                </w:p>
              </w:txbxContent>
            </v:textbox>
            <w10:wrap type="none"/>
          </v:shape>
        </w:pict>
      </w:r>
      <w:r>
        <w:rPr/>
        <w:t>3 plays (each play starts after a play-the-ball (PTB) but forms part of the same </w:t>
      </w:r>
      <w:r>
        <w:rPr/>
        <w:t>attacking</w:t>
      </w:r>
      <w:r>
        <w:rPr/>
        <w:t> possession), before a try is scored in the 16th action of their possession.</w:t>
      </w:r>
      <w:r>
        <w:rPr>
          <w:spacing w:val="26"/>
        </w:rPr>
        <w:t> </w:t>
      </w:r>
      <w:r>
        <w:rPr/>
        <w:t>Player 19 starts the</w:t>
      </w:r>
      <w:r>
        <w:rPr>
          <w:spacing w:val="-7"/>
        </w:rPr>
        <w:t> </w:t>
      </w:r>
      <w:r>
        <w:rPr/>
        <w:t>next</w:t>
      </w:r>
      <w:r>
        <w:rPr>
          <w:spacing w:val="-7"/>
        </w:rPr>
        <w:t> </w:t>
      </w:r>
      <w:r>
        <w:rPr/>
        <w:t>attacking</w:t>
      </w:r>
      <w:r>
        <w:rPr>
          <w:spacing w:val="-7"/>
        </w:rPr>
        <w:t> </w:t>
      </w:r>
      <w:r>
        <w:rPr/>
        <w:t>possession</w:t>
      </w:r>
      <w:r>
        <w:rPr>
          <w:spacing w:val="-7"/>
        </w:rPr>
        <w:t> </w:t>
      </w:r>
      <w:r>
        <w:rPr/>
        <w:t>for</w:t>
      </w:r>
      <w:r>
        <w:rPr>
          <w:spacing w:val="-7"/>
        </w:rPr>
        <w:t> </w:t>
      </w:r>
      <w:r>
        <w:rPr/>
        <w:t>St</w:t>
      </w:r>
      <w:r>
        <w:rPr>
          <w:spacing w:val="-7"/>
        </w:rPr>
        <w:t> </w:t>
      </w:r>
      <w:r>
        <w:rPr/>
        <w:t>Helens</w:t>
      </w:r>
      <w:r>
        <w:rPr>
          <w:spacing w:val="-7"/>
        </w:rPr>
        <w:t> </w:t>
      </w:r>
      <w:r>
        <w:rPr/>
        <w:t>by</w:t>
      </w:r>
      <w:r>
        <w:rPr>
          <w:spacing w:val="-7"/>
        </w:rPr>
        <w:t> </w:t>
      </w:r>
      <w:r>
        <w:rPr/>
        <w:t>catching</w:t>
      </w:r>
      <w:r>
        <w:rPr>
          <w:spacing w:val="-7"/>
        </w:rPr>
        <w:t> </w:t>
      </w:r>
      <w:r>
        <w:rPr/>
        <w:t>the</w:t>
      </w:r>
      <w:r>
        <w:rPr>
          <w:spacing w:val="-7"/>
        </w:rPr>
        <w:t> </w:t>
      </w:r>
      <w:r>
        <w:rPr/>
        <w:t>opposition</w:t>
      </w:r>
      <w:r>
        <w:rPr>
          <w:spacing w:val="-7"/>
        </w:rPr>
        <w:t> </w:t>
      </w:r>
      <w:r>
        <w:rPr/>
        <w:t>restart</w:t>
      </w:r>
      <w:r>
        <w:rPr>
          <w:spacing w:val="-7"/>
        </w:rPr>
        <w:t> </w:t>
      </w:r>
      <w:r>
        <w:rPr/>
        <w:t>kick,</w:t>
      </w:r>
      <w:r>
        <w:rPr>
          <w:spacing w:val="-7"/>
        </w:rPr>
        <w:t> </w:t>
      </w:r>
      <w:r>
        <w:rPr/>
        <w:t>which</w:t>
      </w:r>
      <w:r>
        <w:rPr/>
        <w:t> is not included in the episode sequences.</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6"/>
        <w:rPr>
          <w:sz w:val="16"/>
        </w:rPr>
      </w:pPr>
    </w:p>
    <w:p>
      <w:pPr>
        <w:pStyle w:val="Heading3"/>
        <w:numPr>
          <w:ilvl w:val="2"/>
          <w:numId w:val="21"/>
        </w:numPr>
        <w:tabs>
          <w:tab w:pos="1471" w:val="left" w:leader="none"/>
          <w:tab w:pos="1472" w:val="left" w:leader="none"/>
        </w:tabs>
        <w:spacing w:line="240" w:lineRule="auto" w:before="114" w:after="0"/>
        <w:ind w:left="1471" w:right="0" w:hanging="862"/>
        <w:jc w:val="left"/>
      </w:pPr>
      <w:bookmarkStart w:name="4.2.3 Markov Decision Processes" w:id="180"/>
      <w:bookmarkEnd w:id="180"/>
      <w:r>
        <w:rPr>
          <w:b w:val="0"/>
        </w:rPr>
      </w:r>
      <w:bookmarkStart w:name="_bookmark101" w:id="181"/>
      <w:bookmarkEnd w:id="181"/>
      <w:r>
        <w:rPr/>
        <w:t>Mar</w:t>
      </w:r>
      <w:r>
        <w:rPr/>
        <w:t>kov</w:t>
      </w:r>
      <w:r>
        <w:rPr>
          <w:spacing w:val="16"/>
        </w:rPr>
        <w:t> </w:t>
      </w:r>
      <w:r>
        <w:rPr/>
        <w:t>Decision</w:t>
      </w:r>
      <w:r>
        <w:rPr>
          <w:spacing w:val="17"/>
        </w:rPr>
        <w:t> </w:t>
      </w:r>
      <w:r>
        <w:rPr>
          <w:spacing w:val="-2"/>
        </w:rPr>
        <w:t>Processes</w:t>
      </w:r>
    </w:p>
    <w:p>
      <w:pPr>
        <w:pStyle w:val="BodyText"/>
        <w:spacing w:line="312" w:lineRule="auto" w:before="236"/>
        <w:ind w:left="610" w:right="389"/>
      </w:pPr>
      <w:r>
        <w:rPr/>
        <w:t>The aim of this study was to extend the method presented in Chapter</w:t>
      </w:r>
      <w:r>
        <w:rPr>
          <w:color w:val="0000FF"/>
        </w:rPr>
        <w:t>3</w:t>
      </w:r>
      <w:r>
        <w:rPr/>
        <w:t>by applying and adapting ideas from ice hockey (</w:t>
      </w:r>
      <w:hyperlink w:history="true" w:anchor="_bookmark287">
        <w:r>
          <w:rPr>
            <w:color w:val="FF0000"/>
          </w:rPr>
          <w:t>Routley and Schulte</w:t>
        </w:r>
      </w:hyperlink>
      <w:r>
        <w:rPr/>
        <w:t>,</w:t>
      </w:r>
      <w:hyperlink w:history="true" w:anchor="_bookmark287">
        <w:r>
          <w:rPr>
            <w:color w:val="FF0000"/>
          </w:rPr>
          <w:t>2015</w:t>
        </w:r>
        <w:r>
          <w:rPr/>
          <w:t>)</w:t>
        </w:r>
      </w:hyperlink>
      <w:r>
        <w:rPr/>
        <w:t> and football (</w:t>
      </w:r>
      <w:hyperlink w:history="true" w:anchor="_bookmark239">
        <w:r>
          <w:rPr>
            <w:color w:val="FF0000"/>
          </w:rPr>
          <w:t>Decroos et al.</w:t>
        </w:r>
        <w:r>
          <w:rPr/>
          <w:t>,</w:t>
        </w:r>
      </w:hyperlink>
      <w:r>
        <w:rPr/>
        <w:t> </w:t>
      </w:r>
      <w:hyperlink w:history="true" w:anchor="_bookmark239">
        <w:r>
          <w:rPr>
            <w:color w:val="FF0000"/>
          </w:rPr>
          <w:t>2019</w:t>
        </w:r>
      </w:hyperlink>
      <w:r>
        <w:rPr/>
        <w:t>;</w:t>
      </w:r>
      <w:hyperlink w:history="true" w:anchor="_bookmark294">
        <w:r>
          <w:rPr>
            <w:color w:val="FF0000"/>
          </w:rPr>
          <w:t>Singh</w:t>
        </w:r>
        <w:r>
          <w:rPr/>
          <w:t>,</w:t>
        </w:r>
      </w:hyperlink>
      <w:r>
        <w:rPr>
          <w:color w:val="FF0000"/>
        </w:rPr>
        <w:t>n.d.</w:t>
      </w:r>
      <w:hyperlink w:history="true" w:anchor="_bookmark294">
        <w:r>
          <w:rPr/>
          <w:t>).</w:t>
        </w:r>
      </w:hyperlink>
      <w:r>
        <w:rPr/>
        <w:t> Drawing upon these ideas, methods of analysing player and team per- formances in rugby league using the action values from an MDP were proposed.</w:t>
      </w:r>
      <w:r>
        <w:rPr>
          <w:spacing w:val="32"/>
        </w:rPr>
        <w:t> </w:t>
      </w:r>
      <w:r>
        <w:rPr/>
        <w:t>Recall from</w:t>
      </w:r>
      <w:r>
        <w:rPr>
          <w:spacing w:val="-1"/>
        </w:rPr>
        <w:t> </w:t>
      </w:r>
      <w:r>
        <w:rPr/>
        <w:t>Section</w:t>
      </w:r>
      <w:hyperlink w:history="true" w:anchor="_bookmark60">
        <w:r>
          <w:rPr>
            <w:color w:val="0000FF"/>
          </w:rPr>
          <w:t>3.2.3</w:t>
        </w:r>
      </w:hyperlink>
      <w:r>
        <w:rPr/>
        <w:t>the</w:t>
      </w:r>
      <w:r>
        <w:rPr>
          <w:spacing w:val="-1"/>
        </w:rPr>
        <w:t> </w:t>
      </w:r>
      <w:r>
        <w:rPr/>
        <w:t>definition</w:t>
      </w:r>
      <w:r>
        <w:rPr>
          <w:spacing w:val="-1"/>
        </w:rPr>
        <w:t> </w:t>
      </w:r>
      <w:r>
        <w:rPr/>
        <w:t>of</w:t>
      </w:r>
      <w:r>
        <w:rPr>
          <w:spacing w:val="-1"/>
        </w:rPr>
        <w:t> </w:t>
      </w:r>
      <w:r>
        <w:rPr/>
        <w:t>a</w:t>
      </w:r>
      <w:r>
        <w:rPr>
          <w:spacing w:val="-1"/>
        </w:rPr>
        <w:t> </w:t>
      </w:r>
      <w:r>
        <w:rPr/>
        <w:t>Markov</w:t>
      </w:r>
      <w:r>
        <w:rPr>
          <w:spacing w:val="-1"/>
        </w:rPr>
        <w:t> </w:t>
      </w:r>
      <w:r>
        <w:rPr/>
        <w:t>Reward</w:t>
      </w:r>
      <w:r>
        <w:rPr>
          <w:spacing w:val="-1"/>
        </w:rPr>
        <w:t> </w:t>
      </w:r>
      <w:r>
        <w:rPr/>
        <w:t>Process</w:t>
      </w:r>
      <w:r>
        <w:rPr>
          <w:spacing w:val="-1"/>
        </w:rPr>
        <w:t> </w:t>
      </w:r>
      <w:r>
        <w:rPr/>
        <w:t>(MRP)</w:t>
      </w:r>
      <w:r>
        <w:rPr>
          <w:spacing w:val="-1"/>
        </w:rPr>
        <w:t> </w:t>
      </w:r>
      <w:r>
        <w:rPr/>
        <w:t>as</w:t>
      </w:r>
      <w:r>
        <w:rPr>
          <w:spacing w:val="-1"/>
        </w:rPr>
        <w:t> </w:t>
      </w:r>
      <w:r>
        <w:rPr/>
        <w:t>a</w:t>
      </w:r>
      <w:r>
        <w:rPr>
          <w:spacing w:val="-1"/>
        </w:rPr>
        <w:t> </w:t>
      </w:r>
      <w:r>
        <w:rPr/>
        <w:t>stochastic</w:t>
      </w:r>
      <w:r>
        <w:rPr>
          <w:spacing w:val="-1"/>
        </w:rPr>
        <w:t> </w:t>
      </w:r>
      <w:r>
        <w:rPr/>
        <w:t>pro- cess,</w:t>
      </w:r>
      <w:r>
        <w:rPr>
          <w:spacing w:val="-7"/>
        </w:rPr>
        <w:t> </w:t>
      </w:r>
      <w:r>
        <w:rPr/>
        <w:t>which</w:t>
      </w:r>
      <w:r>
        <w:rPr>
          <w:spacing w:val="-8"/>
        </w:rPr>
        <w:t> </w:t>
      </w:r>
      <w:r>
        <w:rPr/>
        <w:t>extends</w:t>
      </w:r>
      <w:r>
        <w:rPr>
          <w:spacing w:val="-8"/>
        </w:rPr>
        <w:t> </w:t>
      </w:r>
      <w:r>
        <w:rPr/>
        <w:t>a</w:t>
      </w:r>
      <w:r>
        <w:rPr>
          <w:spacing w:val="-8"/>
        </w:rPr>
        <w:t> </w:t>
      </w:r>
      <w:r>
        <w:rPr/>
        <w:t>Markov</w:t>
      </w:r>
      <w:r>
        <w:rPr>
          <w:spacing w:val="-8"/>
        </w:rPr>
        <w:t> </w:t>
      </w:r>
      <w:r>
        <w:rPr/>
        <w:t>chain</w:t>
      </w:r>
      <w:r>
        <w:rPr>
          <w:spacing w:val="-8"/>
        </w:rPr>
        <w:t> </w:t>
      </w:r>
      <w:r>
        <w:rPr/>
        <w:t>by</w:t>
      </w:r>
      <w:r>
        <w:rPr>
          <w:spacing w:val="-8"/>
        </w:rPr>
        <w:t> </w:t>
      </w:r>
      <w:r>
        <w:rPr/>
        <w:t>adding</w:t>
      </w:r>
      <w:r>
        <w:rPr>
          <w:spacing w:val="-8"/>
        </w:rPr>
        <w:t> </w:t>
      </w:r>
      <w:r>
        <w:rPr/>
        <w:t>a</w:t>
      </w:r>
      <w:r>
        <w:rPr>
          <w:spacing w:val="-8"/>
        </w:rPr>
        <w:t> </w:t>
      </w:r>
      <w:r>
        <w:rPr/>
        <w:t>reward</w:t>
      </w:r>
      <w:r>
        <w:rPr>
          <w:spacing w:val="-8"/>
        </w:rPr>
        <w:t> </w:t>
      </w:r>
      <w:r>
        <w:rPr/>
        <w:t>to</w:t>
      </w:r>
      <w:r>
        <w:rPr>
          <w:spacing w:val="-8"/>
        </w:rPr>
        <w:t> </w:t>
      </w:r>
      <w:r>
        <w:rPr/>
        <w:t>each</w:t>
      </w:r>
      <w:r>
        <w:rPr>
          <w:spacing w:val="-8"/>
        </w:rPr>
        <w:t> </w:t>
      </w:r>
      <w:r>
        <w:rPr/>
        <w:t>state</w:t>
      </w:r>
      <w:r>
        <w:rPr>
          <w:spacing w:val="-8"/>
        </w:rPr>
        <w:t> </w:t>
      </w:r>
      <w:r>
        <w:rPr/>
        <w:t>(</w:t>
      </w:r>
      <w:hyperlink w:history="true" w:anchor="_bookmark256">
        <w:r>
          <w:rPr>
            <w:color w:val="FF0000"/>
          </w:rPr>
          <w:t>Howard</w:t>
        </w:r>
      </w:hyperlink>
      <w:r>
        <w:rPr/>
        <w:t>,</w:t>
      </w:r>
      <w:hyperlink w:history="true" w:anchor="_bookmark256">
        <w:r>
          <w:rPr>
            <w:color w:val="FF0000"/>
          </w:rPr>
          <w:t>1971</w:t>
        </w:r>
      </w:hyperlink>
      <w:r>
        <w:rPr/>
        <w:t>). An MDP extends an MRP by adding an action to the framework (Definition</w:t>
      </w:r>
      <w:hyperlink w:history="true" w:anchor="_bookmark102">
        <w:r>
          <w:rPr>
            <w:color w:val="0000FF"/>
          </w:rPr>
          <w:t>4.2.1</w:t>
        </w:r>
      </w:hyperlink>
      <w:r>
        <w:rPr/>
        <w:t>).</w:t>
      </w:r>
      <w:r>
        <w:rPr>
          <w:spacing w:val="40"/>
        </w:rPr>
        <w:t> </w:t>
      </w:r>
      <w:r>
        <w:rPr/>
        <w:t>MDP’s are</w:t>
      </w:r>
      <w:r>
        <w:rPr>
          <w:spacing w:val="-13"/>
        </w:rPr>
        <w:t> </w:t>
      </w:r>
      <w:r>
        <w:rPr/>
        <w:t>mathematical</w:t>
      </w:r>
      <w:r>
        <w:rPr>
          <w:spacing w:val="-13"/>
        </w:rPr>
        <w:t> </w:t>
      </w:r>
      <w:r>
        <w:rPr/>
        <w:t>tools</w:t>
      </w:r>
      <w:r>
        <w:rPr>
          <w:spacing w:val="-13"/>
        </w:rPr>
        <w:t> </w:t>
      </w:r>
      <w:r>
        <w:rPr/>
        <w:t>for</w:t>
      </w:r>
      <w:r>
        <w:rPr>
          <w:spacing w:val="-13"/>
        </w:rPr>
        <w:t> </w:t>
      </w:r>
      <w:r>
        <w:rPr/>
        <w:t>sequential</w:t>
      </w:r>
      <w:r>
        <w:rPr>
          <w:spacing w:val="-13"/>
        </w:rPr>
        <w:t> </w:t>
      </w:r>
      <w:r>
        <w:rPr/>
        <w:t>decision</w:t>
      </w:r>
      <w:r>
        <w:rPr>
          <w:spacing w:val="-13"/>
        </w:rPr>
        <w:t> </w:t>
      </w:r>
      <w:r>
        <w:rPr/>
        <w:t>making</w:t>
      </w:r>
      <w:r>
        <w:rPr>
          <w:spacing w:val="-13"/>
        </w:rPr>
        <w:t> </w:t>
      </w:r>
      <w:r>
        <w:rPr/>
        <w:t>in</w:t>
      </w:r>
      <w:r>
        <w:rPr>
          <w:spacing w:val="-13"/>
        </w:rPr>
        <w:t> </w:t>
      </w:r>
      <w:r>
        <w:rPr/>
        <w:t>a</w:t>
      </w:r>
      <w:r>
        <w:rPr>
          <w:spacing w:val="-13"/>
        </w:rPr>
        <w:t> </w:t>
      </w:r>
      <w:r>
        <w:rPr/>
        <w:t>stochastic</w:t>
      </w:r>
      <w:r>
        <w:rPr>
          <w:spacing w:val="-13"/>
        </w:rPr>
        <w:t> </w:t>
      </w:r>
      <w:r>
        <w:rPr/>
        <w:t>environment</w:t>
      </w:r>
      <w:r>
        <w:rPr>
          <w:spacing w:val="-13"/>
        </w:rPr>
        <w:t> </w:t>
      </w:r>
      <w:r>
        <w:rPr/>
        <w:t>(</w:t>
      </w:r>
      <w:hyperlink w:history="true" w:anchor="_bookmark310">
        <w:r>
          <w:rPr>
            <w:color w:val="FF0000"/>
          </w:rPr>
          <w:t>White</w:t>
        </w:r>
      </w:hyperlink>
      <w:r>
        <w:rPr>
          <w:color w:val="FF0000"/>
        </w:rPr>
        <w:t> </w:t>
      </w:r>
      <w:hyperlink w:history="true" w:anchor="_bookmark310">
        <w:r>
          <w:rPr>
            <w:color w:val="FF0000"/>
          </w:rPr>
          <w:t>and</w:t>
        </w:r>
        <w:r>
          <w:rPr>
            <w:color w:val="FF0000"/>
            <w:spacing w:val="-11"/>
          </w:rPr>
          <w:t> </w:t>
        </w:r>
        <w:r>
          <w:rPr>
            <w:color w:val="FF0000"/>
          </w:rPr>
          <w:t>White</w:t>
        </w:r>
      </w:hyperlink>
      <w:r>
        <w:rPr/>
        <w:t>,</w:t>
      </w:r>
      <w:hyperlink w:history="true" w:anchor="_bookmark310">
        <w:r>
          <w:rPr>
            <w:color w:val="FF0000"/>
          </w:rPr>
          <w:t>1989</w:t>
        </w:r>
        <w:r>
          <w:rPr/>
          <w:t>)</w:t>
        </w:r>
      </w:hyperlink>
      <w:r>
        <w:rPr>
          <w:spacing w:val="-11"/>
        </w:rPr>
        <w:t> </w:t>
      </w:r>
      <w:r>
        <w:rPr/>
        <w:t>and</w:t>
      </w:r>
      <w:r>
        <w:rPr>
          <w:spacing w:val="-10"/>
        </w:rPr>
        <w:t> </w:t>
      </w:r>
      <w:r>
        <w:rPr/>
        <w:t>form</w:t>
      </w:r>
      <w:r>
        <w:rPr>
          <w:spacing w:val="-11"/>
        </w:rPr>
        <w:t> </w:t>
      </w:r>
      <w:r>
        <w:rPr/>
        <w:t>the</w:t>
      </w:r>
      <w:r>
        <w:rPr>
          <w:spacing w:val="-11"/>
        </w:rPr>
        <w:t> </w:t>
      </w:r>
      <w:r>
        <w:rPr/>
        <w:t>underlying</w:t>
      </w:r>
      <w:r>
        <w:rPr>
          <w:spacing w:val="-10"/>
        </w:rPr>
        <w:t> </w:t>
      </w:r>
      <w:r>
        <w:rPr/>
        <w:t>basis</w:t>
      </w:r>
      <w:r>
        <w:rPr>
          <w:spacing w:val="-11"/>
        </w:rPr>
        <w:t> </w:t>
      </w:r>
      <w:r>
        <w:rPr/>
        <w:t>of</w:t>
      </w:r>
      <w:r>
        <w:rPr>
          <w:spacing w:val="-10"/>
        </w:rPr>
        <w:t> </w:t>
      </w:r>
      <w:r>
        <w:rPr/>
        <w:t>the</w:t>
      </w:r>
      <w:r>
        <w:rPr>
          <w:spacing w:val="-11"/>
        </w:rPr>
        <w:t> </w:t>
      </w:r>
      <w:r>
        <w:rPr/>
        <w:t>reinforcement</w:t>
      </w:r>
      <w:r>
        <w:rPr>
          <w:spacing w:val="-10"/>
        </w:rPr>
        <w:t> </w:t>
      </w:r>
      <w:r>
        <w:rPr/>
        <w:t>learning</w:t>
      </w:r>
      <w:r>
        <w:rPr>
          <w:spacing w:val="-10"/>
        </w:rPr>
        <w:t> </w:t>
      </w:r>
      <w:r>
        <w:rPr/>
        <w:t>framework, whereby</w:t>
      </w:r>
      <w:r>
        <w:rPr>
          <w:spacing w:val="-6"/>
        </w:rPr>
        <w:t> </w:t>
      </w:r>
      <w:r>
        <w:rPr/>
        <w:t>an</w:t>
      </w:r>
      <w:r>
        <w:rPr>
          <w:spacing w:val="-6"/>
        </w:rPr>
        <w:t> </w:t>
      </w:r>
      <w:r>
        <w:rPr/>
        <w:t>agent</w:t>
      </w:r>
      <w:r>
        <w:rPr>
          <w:spacing w:val="-6"/>
        </w:rPr>
        <w:t> </w:t>
      </w:r>
      <w:r>
        <w:rPr/>
        <w:t>learns</w:t>
      </w:r>
      <w:r>
        <w:rPr>
          <w:spacing w:val="-6"/>
        </w:rPr>
        <w:t> </w:t>
      </w:r>
      <w:r>
        <w:rPr/>
        <w:t>an</w:t>
      </w:r>
      <w:r>
        <w:rPr>
          <w:spacing w:val="-6"/>
        </w:rPr>
        <w:t> </w:t>
      </w:r>
      <w:r>
        <w:rPr/>
        <w:t>optimal</w:t>
      </w:r>
      <w:r>
        <w:rPr>
          <w:spacing w:val="-6"/>
        </w:rPr>
        <w:t> </w:t>
      </w:r>
      <w:r>
        <w:rPr/>
        <w:t>solution</w:t>
      </w:r>
      <w:r>
        <w:rPr>
          <w:spacing w:val="-6"/>
        </w:rPr>
        <w:t> </w:t>
      </w:r>
      <w:r>
        <w:rPr/>
        <w:t>to</w:t>
      </w:r>
      <w:r>
        <w:rPr>
          <w:spacing w:val="-6"/>
        </w:rPr>
        <w:t> </w:t>
      </w:r>
      <w:r>
        <w:rPr/>
        <w:t>a</w:t>
      </w:r>
      <w:r>
        <w:rPr>
          <w:spacing w:val="-6"/>
        </w:rPr>
        <w:t> </w:t>
      </w:r>
      <w:r>
        <w:rPr/>
        <w:t>problem</w:t>
      </w:r>
      <w:r>
        <w:rPr>
          <w:spacing w:val="-6"/>
        </w:rPr>
        <w:t> </w:t>
      </w:r>
      <w:r>
        <w:rPr/>
        <w:t>by</w:t>
      </w:r>
      <w:r>
        <w:rPr>
          <w:spacing w:val="-6"/>
        </w:rPr>
        <w:t> </w:t>
      </w:r>
      <w:r>
        <w:rPr/>
        <w:t>interacting</w:t>
      </w:r>
      <w:r>
        <w:rPr>
          <w:spacing w:val="-6"/>
        </w:rPr>
        <w:t> </w:t>
      </w:r>
      <w:r>
        <w:rPr/>
        <w:t>with</w:t>
      </w:r>
      <w:r>
        <w:rPr>
          <w:spacing w:val="-6"/>
        </w:rPr>
        <w:t> </w:t>
      </w:r>
      <w:r>
        <w:rPr/>
        <w:t>an</w:t>
      </w:r>
      <w:r>
        <w:rPr>
          <w:spacing w:val="-6"/>
        </w:rPr>
        <w:t> </w:t>
      </w:r>
      <w:r>
        <w:rPr/>
        <w:t>environ- ment through the use of actions (</w:t>
      </w:r>
      <w:hyperlink w:history="true" w:anchor="_bookmark301">
        <w:r>
          <w:rPr>
            <w:color w:val="FF0000"/>
          </w:rPr>
          <w:t>Sutton and Barto</w:t>
        </w:r>
      </w:hyperlink>
      <w:r>
        <w:rPr/>
        <w:t>,</w:t>
      </w:r>
      <w:hyperlink w:history="true" w:anchor="_bookmark301">
        <w:r>
          <w:rPr>
            <w:color w:val="FF0000"/>
          </w:rPr>
          <w:t>2018</w:t>
        </w:r>
      </w:hyperlink>
      <w:r>
        <w:rPr/>
        <w:t>).</w:t>
      </w:r>
    </w:p>
    <w:p>
      <w:pPr>
        <w:spacing w:before="193"/>
        <w:ind w:left="610" w:right="0" w:firstLine="0"/>
        <w:jc w:val="left"/>
        <w:rPr>
          <w:sz w:val="24"/>
        </w:rPr>
      </w:pPr>
      <w:bookmarkStart w:name="_bookmark102" w:id="182"/>
      <w:bookmarkEnd w:id="182"/>
      <w:r>
        <w:rPr/>
      </w:r>
      <w:r>
        <w:rPr>
          <w:b/>
          <w:sz w:val="24"/>
        </w:rPr>
        <w:t>Definition</w:t>
      </w:r>
      <w:r>
        <w:rPr>
          <w:b/>
          <w:spacing w:val="11"/>
          <w:sz w:val="24"/>
        </w:rPr>
        <w:t> </w:t>
      </w:r>
      <w:r>
        <w:rPr>
          <w:b/>
          <w:sz w:val="24"/>
        </w:rPr>
        <w:t>4.2.1.</w:t>
      </w:r>
      <w:r>
        <w:rPr>
          <w:b/>
          <w:spacing w:val="61"/>
          <w:sz w:val="24"/>
        </w:rPr>
        <w:t> </w:t>
      </w:r>
      <w:r>
        <w:rPr>
          <w:sz w:val="24"/>
        </w:rPr>
        <w:t>A</w:t>
      </w:r>
      <w:r>
        <w:rPr>
          <w:spacing w:val="11"/>
          <w:sz w:val="24"/>
        </w:rPr>
        <w:t> </w:t>
      </w:r>
      <w:r>
        <w:rPr>
          <w:i/>
          <w:sz w:val="24"/>
        </w:rPr>
        <w:t>Markov</w:t>
      </w:r>
      <w:r>
        <w:rPr>
          <w:i/>
          <w:spacing w:val="12"/>
          <w:sz w:val="24"/>
        </w:rPr>
        <w:t> </w:t>
      </w:r>
      <w:r>
        <w:rPr>
          <w:i/>
          <w:sz w:val="24"/>
        </w:rPr>
        <w:t>Decision</w:t>
      </w:r>
      <w:r>
        <w:rPr>
          <w:i/>
          <w:spacing w:val="12"/>
          <w:sz w:val="24"/>
        </w:rPr>
        <w:t> </w:t>
      </w:r>
      <w:r>
        <w:rPr>
          <w:i/>
          <w:sz w:val="24"/>
        </w:rPr>
        <w:t>Process</w:t>
      </w:r>
      <w:r>
        <w:rPr>
          <w:i/>
          <w:spacing w:val="12"/>
          <w:sz w:val="24"/>
        </w:rPr>
        <w:t> </w:t>
      </w:r>
      <w:r>
        <w:rPr>
          <w:sz w:val="24"/>
        </w:rPr>
        <w:t>is</w:t>
      </w:r>
      <w:r>
        <w:rPr>
          <w:spacing w:val="11"/>
          <w:sz w:val="24"/>
        </w:rPr>
        <w:t> </w:t>
      </w:r>
      <w:r>
        <w:rPr>
          <w:sz w:val="24"/>
        </w:rPr>
        <w:t>a</w:t>
      </w:r>
      <w:r>
        <w:rPr>
          <w:spacing w:val="12"/>
          <w:sz w:val="24"/>
        </w:rPr>
        <w:t> </w:t>
      </w:r>
      <w:r>
        <w:rPr>
          <w:sz w:val="24"/>
        </w:rPr>
        <w:t>tuple</w:t>
      </w:r>
      <w:r>
        <w:rPr>
          <w:spacing w:val="12"/>
          <w:sz w:val="24"/>
        </w:rPr>
        <w:t> </w:t>
      </w:r>
      <w:r>
        <w:rPr>
          <w:rFonts w:ascii="Garamond" w:hAnsi="Garamond"/>
          <w:sz w:val="24"/>
        </w:rPr>
        <w:t>(</w:t>
      </w:r>
      <w:r>
        <w:rPr>
          <w:rFonts w:ascii="Cambria" w:hAnsi="Cambria"/>
          <w:sz w:val="24"/>
        </w:rPr>
        <w:t>S,</w:t>
      </w:r>
      <w:r>
        <w:rPr>
          <w:rFonts w:ascii="Cambria" w:hAnsi="Cambria"/>
          <w:spacing w:val="-4"/>
          <w:sz w:val="24"/>
        </w:rPr>
        <w:t> </w:t>
      </w:r>
      <w:r>
        <w:rPr>
          <w:rFonts w:ascii="Cambria" w:hAnsi="Cambria"/>
          <w:sz w:val="24"/>
        </w:rPr>
        <w:t>A,</w:t>
      </w:r>
      <w:r>
        <w:rPr>
          <w:rFonts w:ascii="Cambria" w:hAnsi="Cambria"/>
          <w:spacing w:val="-5"/>
          <w:sz w:val="24"/>
        </w:rPr>
        <w:t> </w:t>
      </w:r>
      <w:r>
        <w:rPr>
          <w:rFonts w:ascii="Cambria" w:hAnsi="Cambria"/>
          <w:sz w:val="24"/>
        </w:rPr>
        <w:t>P</w:t>
      </w:r>
      <w:r>
        <w:rPr>
          <w:rFonts w:ascii="Cambria" w:hAnsi="Cambria"/>
          <w:sz w:val="24"/>
          <w:vertAlign w:val="subscript"/>
        </w:rPr>
        <w:t>a</w:t>
      </w:r>
      <w:r>
        <w:rPr>
          <w:rFonts w:ascii="Cambria" w:hAnsi="Cambria"/>
          <w:sz w:val="24"/>
          <w:vertAlign w:val="baseline"/>
        </w:rPr>
        <w:t>,</w:t>
      </w:r>
      <w:r>
        <w:rPr>
          <w:rFonts w:ascii="Cambria" w:hAnsi="Cambria"/>
          <w:spacing w:val="-4"/>
          <w:sz w:val="24"/>
          <w:vertAlign w:val="baseline"/>
        </w:rPr>
        <w:t> </w:t>
      </w:r>
      <w:r>
        <w:rPr>
          <w:rFonts w:ascii="Cambria" w:hAnsi="Cambria"/>
          <w:sz w:val="24"/>
          <w:vertAlign w:val="baseline"/>
        </w:rPr>
        <w:t>R</w:t>
      </w:r>
      <w:r>
        <w:rPr>
          <w:rFonts w:ascii="Cambria" w:hAnsi="Cambria"/>
          <w:sz w:val="24"/>
          <w:vertAlign w:val="subscript"/>
        </w:rPr>
        <w:t>a</w:t>
      </w:r>
      <w:r>
        <w:rPr>
          <w:rFonts w:ascii="Cambria" w:hAnsi="Cambria"/>
          <w:sz w:val="24"/>
          <w:vertAlign w:val="baseline"/>
        </w:rPr>
        <w:t>,</w:t>
      </w:r>
      <w:r>
        <w:rPr>
          <w:rFonts w:ascii="Cambria" w:hAnsi="Cambria"/>
          <w:spacing w:val="-5"/>
          <w:sz w:val="24"/>
          <w:vertAlign w:val="baseline"/>
        </w:rPr>
        <w:t> </w:t>
      </w:r>
      <w:r>
        <w:rPr>
          <w:rFonts w:ascii="Cambria" w:hAnsi="Cambria"/>
          <w:sz w:val="24"/>
          <w:vertAlign w:val="baseline"/>
        </w:rPr>
        <w:t>γ</w:t>
      </w:r>
      <w:r>
        <w:rPr>
          <w:rFonts w:ascii="Garamond" w:hAnsi="Garamond"/>
          <w:sz w:val="24"/>
          <w:vertAlign w:val="baseline"/>
        </w:rPr>
        <w:t>)</w:t>
      </w:r>
      <w:r>
        <w:rPr>
          <w:rFonts w:ascii="Garamond" w:hAnsi="Garamond"/>
          <w:spacing w:val="12"/>
          <w:sz w:val="24"/>
          <w:vertAlign w:val="baseline"/>
        </w:rPr>
        <w:t> </w:t>
      </w:r>
      <w:r>
        <w:rPr>
          <w:spacing w:val="-2"/>
          <w:sz w:val="24"/>
          <w:vertAlign w:val="baseline"/>
        </w:rPr>
        <w:t>where:</w:t>
      </w:r>
    </w:p>
    <w:p>
      <w:pPr>
        <w:pStyle w:val="ListParagraph"/>
        <w:numPr>
          <w:ilvl w:val="0"/>
          <w:numId w:val="22"/>
        </w:numPr>
        <w:tabs>
          <w:tab w:pos="1196" w:val="left" w:leader="none"/>
        </w:tabs>
        <w:spacing w:line="240" w:lineRule="auto" w:before="266" w:after="0"/>
        <w:ind w:left="1195" w:right="0" w:hanging="202"/>
        <w:jc w:val="left"/>
        <w:rPr>
          <w:sz w:val="24"/>
        </w:rPr>
      </w:pPr>
      <w:r>
        <w:rPr>
          <w:rFonts w:ascii="Cambria" w:hAnsi="Cambria"/>
          <w:sz w:val="24"/>
        </w:rPr>
        <w:t>S</w:t>
      </w:r>
      <w:r>
        <w:rPr>
          <w:rFonts w:ascii="Cambria" w:hAnsi="Cambria"/>
          <w:spacing w:val="20"/>
          <w:sz w:val="24"/>
        </w:rPr>
        <w:t> </w:t>
      </w:r>
      <w:r>
        <w:rPr>
          <w:sz w:val="24"/>
        </w:rPr>
        <w:t>is</w:t>
      </w:r>
      <w:r>
        <w:rPr>
          <w:spacing w:val="-1"/>
          <w:sz w:val="24"/>
        </w:rPr>
        <w:t> </w:t>
      </w:r>
      <w:r>
        <w:rPr>
          <w:sz w:val="24"/>
        </w:rPr>
        <w:t>a</w:t>
      </w:r>
      <w:r>
        <w:rPr>
          <w:spacing w:val="-1"/>
          <w:sz w:val="24"/>
        </w:rPr>
        <w:t> </w:t>
      </w:r>
      <w:r>
        <w:rPr>
          <w:sz w:val="24"/>
        </w:rPr>
        <w:t>finite</w:t>
      </w:r>
      <w:r>
        <w:rPr>
          <w:spacing w:val="-1"/>
          <w:sz w:val="24"/>
        </w:rPr>
        <w:t> </w:t>
      </w:r>
      <w:r>
        <w:rPr>
          <w:sz w:val="24"/>
        </w:rPr>
        <w:t>set of</w:t>
      </w:r>
      <w:r>
        <w:rPr>
          <w:spacing w:val="-1"/>
          <w:sz w:val="24"/>
        </w:rPr>
        <w:t> </w:t>
      </w:r>
      <w:r>
        <w:rPr>
          <w:spacing w:val="-2"/>
          <w:sz w:val="24"/>
        </w:rPr>
        <w:t>states</w:t>
      </w:r>
    </w:p>
    <w:p>
      <w:pPr>
        <w:pStyle w:val="BodyText"/>
      </w:pPr>
    </w:p>
    <w:p>
      <w:pPr>
        <w:pStyle w:val="ListParagraph"/>
        <w:numPr>
          <w:ilvl w:val="0"/>
          <w:numId w:val="22"/>
        </w:numPr>
        <w:tabs>
          <w:tab w:pos="1196" w:val="left" w:leader="none"/>
        </w:tabs>
        <w:spacing w:line="240" w:lineRule="auto" w:before="1" w:after="0"/>
        <w:ind w:left="1195" w:right="0" w:hanging="202"/>
        <w:jc w:val="left"/>
        <w:rPr>
          <w:sz w:val="24"/>
        </w:rPr>
      </w:pPr>
      <w:r>
        <w:rPr>
          <w:rFonts w:ascii="Cambria" w:hAnsi="Cambria"/>
          <w:sz w:val="24"/>
        </w:rPr>
        <w:t>A</w:t>
      </w:r>
      <w:r>
        <w:rPr>
          <w:rFonts w:ascii="Cambria" w:hAnsi="Cambria"/>
          <w:spacing w:val="6"/>
          <w:sz w:val="24"/>
        </w:rPr>
        <w:t> </w:t>
      </w:r>
      <w:r>
        <w:rPr>
          <w:sz w:val="24"/>
        </w:rPr>
        <w:t>is</w:t>
      </w:r>
      <w:r>
        <w:rPr>
          <w:spacing w:val="-1"/>
          <w:sz w:val="24"/>
        </w:rPr>
        <w:t> </w:t>
      </w:r>
      <w:r>
        <w:rPr>
          <w:sz w:val="24"/>
        </w:rPr>
        <w:t>a finite</w:t>
      </w:r>
      <w:r>
        <w:rPr>
          <w:spacing w:val="-1"/>
          <w:sz w:val="24"/>
        </w:rPr>
        <w:t> </w:t>
      </w:r>
      <w:r>
        <w:rPr>
          <w:sz w:val="24"/>
        </w:rPr>
        <w:t>set of</w:t>
      </w:r>
      <w:r>
        <w:rPr>
          <w:spacing w:val="-1"/>
          <w:sz w:val="24"/>
        </w:rPr>
        <w:t> </w:t>
      </w:r>
      <w:r>
        <w:rPr>
          <w:spacing w:val="-2"/>
          <w:sz w:val="24"/>
        </w:rPr>
        <w:t>actions</w:t>
      </w:r>
    </w:p>
    <w:p>
      <w:pPr>
        <w:pStyle w:val="BodyText"/>
      </w:pPr>
    </w:p>
    <w:p>
      <w:pPr>
        <w:pStyle w:val="ListParagraph"/>
        <w:numPr>
          <w:ilvl w:val="0"/>
          <w:numId w:val="22"/>
        </w:numPr>
        <w:tabs>
          <w:tab w:pos="1196" w:val="left" w:leader="none"/>
        </w:tabs>
        <w:spacing w:line="240" w:lineRule="auto" w:before="0" w:after="0"/>
        <w:ind w:left="1195" w:right="0" w:hanging="202"/>
        <w:jc w:val="left"/>
        <w:rPr>
          <w:sz w:val="24"/>
        </w:rPr>
      </w:pPr>
      <w:r>
        <w:rPr>
          <w:rFonts w:ascii="Cambria" w:hAnsi="Cambria"/>
          <w:sz w:val="24"/>
        </w:rPr>
        <w:t>P</w:t>
      </w:r>
      <w:r>
        <w:rPr>
          <w:rFonts w:ascii="Cambria" w:hAnsi="Cambria"/>
          <w:spacing w:val="35"/>
          <w:sz w:val="24"/>
        </w:rPr>
        <w:t> </w:t>
      </w:r>
      <w:r>
        <w:rPr>
          <w:sz w:val="24"/>
        </w:rPr>
        <w:t>is</w:t>
      </w:r>
      <w:r>
        <w:rPr>
          <w:spacing w:val="-2"/>
          <w:sz w:val="24"/>
        </w:rPr>
        <w:t> </w:t>
      </w:r>
      <w:r>
        <w:rPr>
          <w:sz w:val="24"/>
        </w:rPr>
        <w:t>a</w:t>
      </w:r>
      <w:r>
        <w:rPr>
          <w:spacing w:val="-3"/>
          <w:sz w:val="24"/>
        </w:rPr>
        <w:t> </w:t>
      </w:r>
      <w:r>
        <w:rPr>
          <w:sz w:val="24"/>
        </w:rPr>
        <w:t>transition</w:t>
      </w:r>
      <w:r>
        <w:rPr>
          <w:spacing w:val="-3"/>
          <w:sz w:val="24"/>
        </w:rPr>
        <w:t> </w:t>
      </w:r>
      <w:r>
        <w:rPr>
          <w:sz w:val="24"/>
        </w:rPr>
        <w:t>probability</w:t>
      </w:r>
      <w:r>
        <w:rPr>
          <w:spacing w:val="-2"/>
          <w:sz w:val="24"/>
        </w:rPr>
        <w:t> matrix</w:t>
      </w:r>
    </w:p>
    <w:p>
      <w:pPr>
        <w:pStyle w:val="BodyText"/>
      </w:pPr>
    </w:p>
    <w:p>
      <w:pPr>
        <w:pStyle w:val="ListParagraph"/>
        <w:numPr>
          <w:ilvl w:val="0"/>
          <w:numId w:val="22"/>
        </w:numPr>
        <w:tabs>
          <w:tab w:pos="1196" w:val="left" w:leader="none"/>
        </w:tabs>
        <w:spacing w:line="240" w:lineRule="auto" w:before="0" w:after="0"/>
        <w:ind w:left="1195" w:right="0" w:hanging="202"/>
        <w:jc w:val="left"/>
        <w:rPr>
          <w:sz w:val="24"/>
        </w:rPr>
      </w:pPr>
      <w:r>
        <w:rPr>
          <w:rFonts w:ascii="Cambria" w:hAnsi="Cambria"/>
          <w:sz w:val="24"/>
        </w:rPr>
        <w:t>R</w:t>
      </w:r>
      <w:r>
        <w:rPr>
          <w:rFonts w:ascii="Cambria" w:hAnsi="Cambria"/>
          <w:spacing w:val="8"/>
          <w:sz w:val="24"/>
        </w:rPr>
        <w:t> </w:t>
      </w:r>
      <w:r>
        <w:rPr>
          <w:sz w:val="24"/>
        </w:rPr>
        <w:t>is</w:t>
      </w:r>
      <w:r>
        <w:rPr>
          <w:spacing w:val="2"/>
          <w:sz w:val="24"/>
        </w:rPr>
        <w:t> </w:t>
      </w:r>
      <w:r>
        <w:rPr>
          <w:sz w:val="24"/>
        </w:rPr>
        <w:t>a</w:t>
      </w:r>
      <w:r>
        <w:rPr>
          <w:spacing w:val="1"/>
          <w:sz w:val="24"/>
        </w:rPr>
        <w:t> </w:t>
      </w:r>
      <w:r>
        <w:rPr>
          <w:sz w:val="24"/>
        </w:rPr>
        <w:t>reward</w:t>
      </w:r>
      <w:r>
        <w:rPr>
          <w:spacing w:val="2"/>
          <w:sz w:val="24"/>
        </w:rPr>
        <w:t> </w:t>
      </w:r>
      <w:r>
        <w:rPr>
          <w:spacing w:val="-2"/>
          <w:sz w:val="24"/>
        </w:rPr>
        <w:t>function</w:t>
      </w:r>
    </w:p>
    <w:p>
      <w:pPr>
        <w:pStyle w:val="ListParagraph"/>
        <w:numPr>
          <w:ilvl w:val="0"/>
          <w:numId w:val="22"/>
        </w:numPr>
        <w:tabs>
          <w:tab w:pos="1196" w:val="left" w:leader="none"/>
        </w:tabs>
        <w:spacing w:line="240" w:lineRule="auto" w:before="242" w:after="0"/>
        <w:ind w:left="1195" w:right="0" w:hanging="202"/>
        <w:jc w:val="left"/>
        <w:rPr>
          <w:sz w:val="24"/>
        </w:rPr>
      </w:pPr>
      <w:r>
        <w:rPr>
          <w:rFonts w:ascii="Cambria" w:hAnsi="Cambria"/>
          <w:sz w:val="24"/>
        </w:rPr>
        <w:t>γ</w:t>
      </w:r>
      <w:r>
        <w:rPr>
          <w:rFonts w:ascii="Cambria" w:hAnsi="Cambria"/>
          <w:spacing w:val="11"/>
          <w:sz w:val="24"/>
        </w:rPr>
        <w:t> </w:t>
      </w:r>
      <w:r>
        <w:rPr>
          <w:sz w:val="24"/>
        </w:rPr>
        <w:t>is</w:t>
      </w:r>
      <w:r>
        <w:rPr>
          <w:spacing w:val="-5"/>
          <w:sz w:val="24"/>
        </w:rPr>
        <w:t> </w:t>
      </w:r>
      <w:r>
        <w:rPr>
          <w:sz w:val="24"/>
        </w:rPr>
        <w:t>a</w:t>
      </w:r>
      <w:r>
        <w:rPr>
          <w:spacing w:val="-6"/>
          <w:sz w:val="24"/>
        </w:rPr>
        <w:t> </w:t>
      </w:r>
      <w:r>
        <w:rPr>
          <w:sz w:val="24"/>
        </w:rPr>
        <w:t>discount</w:t>
      </w:r>
      <w:r>
        <w:rPr>
          <w:spacing w:val="-5"/>
          <w:sz w:val="24"/>
        </w:rPr>
        <w:t> </w:t>
      </w:r>
      <w:r>
        <w:rPr>
          <w:sz w:val="24"/>
        </w:rPr>
        <w:t>factor</w:t>
      </w:r>
      <w:r>
        <w:rPr>
          <w:spacing w:val="-6"/>
          <w:sz w:val="24"/>
        </w:rPr>
        <w:t> </w:t>
      </w:r>
      <w:r>
        <w:rPr>
          <w:sz w:val="24"/>
        </w:rPr>
        <w:t>(</w:t>
      </w:r>
      <w:r>
        <w:rPr>
          <w:rFonts w:ascii="Cambria" w:hAnsi="Cambria"/>
          <w:sz w:val="24"/>
        </w:rPr>
        <w:t>γ</w:t>
      </w:r>
      <w:r>
        <w:rPr>
          <w:rFonts w:ascii="Cambria" w:hAnsi="Cambria"/>
          <w:spacing w:val="19"/>
          <w:sz w:val="24"/>
        </w:rPr>
        <w:t> </w:t>
      </w:r>
      <w:r>
        <w:rPr>
          <w:rFonts w:ascii="Lucida Sans Unicode" w:hAnsi="Lucida Sans Unicode"/>
          <w:sz w:val="24"/>
        </w:rPr>
        <w:t>∈</w:t>
      </w:r>
      <w:r>
        <w:rPr>
          <w:rFonts w:ascii="Lucida Sans Unicode" w:hAnsi="Lucida Sans Unicode"/>
          <w:spacing w:val="-15"/>
          <w:sz w:val="24"/>
        </w:rPr>
        <w:t> </w:t>
      </w:r>
      <w:r>
        <w:rPr>
          <w:rFonts w:ascii="Garamond" w:hAnsi="Garamond"/>
          <w:sz w:val="24"/>
        </w:rPr>
        <w:t>[0</w:t>
      </w:r>
      <w:r>
        <w:rPr>
          <w:rFonts w:ascii="Cambria" w:hAnsi="Cambria"/>
          <w:sz w:val="24"/>
        </w:rPr>
        <w:t>,</w:t>
      </w:r>
      <w:r>
        <w:rPr>
          <w:rFonts w:ascii="Cambria" w:hAnsi="Cambria"/>
          <w:spacing w:val="-13"/>
          <w:sz w:val="24"/>
        </w:rPr>
        <w:t> </w:t>
      </w:r>
      <w:r>
        <w:rPr>
          <w:rFonts w:ascii="Garamond" w:hAnsi="Garamond"/>
          <w:spacing w:val="-5"/>
          <w:sz w:val="24"/>
        </w:rPr>
        <w:t>1]</w:t>
      </w:r>
      <w:r>
        <w:rPr>
          <w:spacing w:val="-5"/>
          <w:sz w:val="24"/>
        </w:rPr>
        <w:t>)</w:t>
      </w:r>
    </w:p>
    <w:p>
      <w:pPr>
        <w:pStyle w:val="BodyText"/>
        <w:spacing w:line="312" w:lineRule="auto" w:before="228"/>
        <w:ind w:left="610" w:right="389" w:firstLine="351"/>
        <w:jc w:val="both"/>
      </w:pPr>
      <w:r>
        <w:rPr/>
        <w:t>In this study, a set of actions is added to the model.</w:t>
      </w:r>
      <w:r>
        <w:rPr>
          <w:spacing w:val="40"/>
        </w:rPr>
        <w:t> </w:t>
      </w:r>
      <w:r>
        <w:rPr/>
        <w:t>Within an MDP framework, an action defines the choice made by an agent given the state (or environment) it </w:t>
      </w:r>
      <w:r>
        <w:rPr/>
        <w:t>observes (</w:t>
      </w:r>
      <w:hyperlink w:history="true" w:anchor="_bookmark301">
        <w:r>
          <w:rPr>
            <w:color w:val="FF0000"/>
          </w:rPr>
          <w:t>Sutton and Barto</w:t>
        </w:r>
      </w:hyperlink>
      <w:r>
        <w:rPr/>
        <w:t>,</w:t>
      </w:r>
      <w:hyperlink w:history="true" w:anchor="_bookmark301">
        <w:r>
          <w:rPr>
            <w:color w:val="FF0000"/>
          </w:rPr>
          <w:t>2018</w:t>
        </w:r>
      </w:hyperlink>
      <w:r>
        <w:rPr/>
        <w:t>).</w:t>
      </w:r>
      <w:r>
        <w:rPr>
          <w:spacing w:val="31"/>
        </w:rPr>
        <w:t> </w:t>
      </w:r>
      <w:r>
        <w:rPr/>
        <w:t>In rugby league, the actions are mostly movements of the ball performed</w:t>
      </w:r>
      <w:r>
        <w:rPr>
          <w:spacing w:val="-10"/>
        </w:rPr>
        <w:t> </w:t>
      </w:r>
      <w:r>
        <w:rPr/>
        <w:t>by</w:t>
      </w:r>
      <w:r>
        <w:rPr>
          <w:spacing w:val="-10"/>
        </w:rPr>
        <w:t> </w:t>
      </w:r>
      <w:r>
        <w:rPr/>
        <w:t>the</w:t>
      </w:r>
      <w:r>
        <w:rPr>
          <w:spacing w:val="-10"/>
        </w:rPr>
        <w:t> </w:t>
      </w:r>
      <w:r>
        <w:rPr/>
        <w:t>players</w:t>
      </w:r>
      <w:r>
        <w:rPr>
          <w:spacing w:val="-10"/>
        </w:rPr>
        <w:t> </w:t>
      </w:r>
      <w:r>
        <w:rPr/>
        <w:t>(e.g. pass,</w:t>
      </w:r>
      <w:r>
        <w:rPr>
          <w:spacing w:val="-9"/>
        </w:rPr>
        <w:t> </w:t>
      </w:r>
      <w:r>
        <w:rPr/>
        <w:t>kick,</w:t>
      </w:r>
      <w:r>
        <w:rPr>
          <w:spacing w:val="-9"/>
        </w:rPr>
        <w:t> </w:t>
      </w:r>
      <w:r>
        <w:rPr/>
        <w:t>run),</w:t>
      </w:r>
      <w:r>
        <w:rPr>
          <w:spacing w:val="-9"/>
        </w:rPr>
        <w:t> </w:t>
      </w:r>
      <w:r>
        <w:rPr/>
        <w:t>but</w:t>
      </w:r>
      <w:r>
        <w:rPr>
          <w:spacing w:val="-10"/>
        </w:rPr>
        <w:t> </w:t>
      </w:r>
      <w:r>
        <w:rPr/>
        <w:t>can</w:t>
      </w:r>
      <w:r>
        <w:rPr>
          <w:spacing w:val="-10"/>
        </w:rPr>
        <w:t> </w:t>
      </w:r>
      <w:r>
        <w:rPr/>
        <w:t>also</w:t>
      </w:r>
      <w:r>
        <w:rPr>
          <w:spacing w:val="-10"/>
        </w:rPr>
        <w:t> </w:t>
      </w:r>
      <w:r>
        <w:rPr/>
        <w:t>be</w:t>
      </w:r>
      <w:r>
        <w:rPr>
          <w:spacing w:val="-10"/>
        </w:rPr>
        <w:t> </w:t>
      </w:r>
      <w:r>
        <w:rPr/>
        <w:t>defined</w:t>
      </w:r>
      <w:r>
        <w:rPr>
          <w:spacing w:val="-10"/>
        </w:rPr>
        <w:t> </w:t>
      </w:r>
      <w:r>
        <w:rPr/>
        <w:t>as</w:t>
      </w:r>
      <w:r>
        <w:rPr>
          <w:spacing w:val="-10"/>
        </w:rPr>
        <w:t> </w:t>
      </w:r>
      <w:r>
        <w:rPr/>
        <w:t>key</w:t>
      </w:r>
      <w:r>
        <w:rPr>
          <w:spacing w:val="-10"/>
        </w:rPr>
        <w:t> </w:t>
      </w:r>
      <w:r>
        <w:rPr/>
        <w:t>moments</w:t>
      </w:r>
      <w:r>
        <w:rPr>
          <w:spacing w:val="-10"/>
        </w:rPr>
        <w:t> </w:t>
      </w:r>
      <w:r>
        <w:rPr/>
        <w:t>in the</w:t>
      </w:r>
      <w:r>
        <w:rPr>
          <w:spacing w:val="-6"/>
        </w:rPr>
        <w:t> </w:t>
      </w:r>
      <w:r>
        <w:rPr/>
        <w:t>game</w:t>
      </w:r>
      <w:r>
        <w:rPr>
          <w:spacing w:val="-6"/>
        </w:rPr>
        <w:t> </w:t>
      </w:r>
      <w:r>
        <w:rPr/>
        <w:t>(e.g. winning</w:t>
      </w:r>
      <w:r>
        <w:rPr>
          <w:spacing w:val="-6"/>
        </w:rPr>
        <w:t> </w:t>
      </w:r>
      <w:r>
        <w:rPr/>
        <w:t>a</w:t>
      </w:r>
      <w:r>
        <w:rPr>
          <w:spacing w:val="-6"/>
        </w:rPr>
        <w:t> </w:t>
      </w:r>
      <w:r>
        <w:rPr/>
        <w:t>penalty,</w:t>
      </w:r>
      <w:r>
        <w:rPr>
          <w:spacing w:val="-6"/>
        </w:rPr>
        <w:t> </w:t>
      </w:r>
      <w:r>
        <w:rPr/>
        <w:t>which</w:t>
      </w:r>
      <w:r>
        <w:rPr>
          <w:spacing w:val="-6"/>
        </w:rPr>
        <w:t> </w:t>
      </w:r>
      <w:r>
        <w:rPr/>
        <w:t>can</w:t>
      </w:r>
      <w:r>
        <w:rPr>
          <w:spacing w:val="-6"/>
        </w:rPr>
        <w:t> </w:t>
      </w:r>
      <w:r>
        <w:rPr/>
        <w:t>result</w:t>
      </w:r>
      <w:r>
        <w:rPr>
          <w:spacing w:val="-6"/>
        </w:rPr>
        <w:t> </w:t>
      </w:r>
      <w:r>
        <w:rPr/>
        <w:t>in</w:t>
      </w:r>
      <w:r>
        <w:rPr>
          <w:spacing w:val="-6"/>
        </w:rPr>
        <w:t> </w:t>
      </w:r>
      <w:r>
        <w:rPr/>
        <w:t>a</w:t>
      </w:r>
      <w:r>
        <w:rPr>
          <w:spacing w:val="-6"/>
        </w:rPr>
        <w:t> </w:t>
      </w:r>
      <w:r>
        <w:rPr/>
        <w:t>longer</w:t>
      </w:r>
      <w:r>
        <w:rPr>
          <w:spacing w:val="-6"/>
        </w:rPr>
        <w:t> </w:t>
      </w:r>
      <w:r>
        <w:rPr/>
        <w:t>attacking</w:t>
      </w:r>
      <w:r>
        <w:rPr>
          <w:spacing w:val="-6"/>
        </w:rPr>
        <w:t> </w:t>
      </w:r>
      <w:r>
        <w:rPr/>
        <w:t>possession). The finite set of actions used in this study are described in Table</w:t>
      </w:r>
      <w:hyperlink w:history="true" w:anchor="_bookmark98">
        <w:r>
          <w:rPr>
            <w:color w:val="0000FF"/>
          </w:rPr>
          <w:t>4.1</w:t>
        </w:r>
        <w:r>
          <w:rPr/>
          <w:t>.</w:t>
        </w:r>
      </w:hyperlink>
    </w:p>
    <w:p>
      <w:pPr>
        <w:pStyle w:val="BodyText"/>
        <w:spacing w:line="312" w:lineRule="auto"/>
        <w:ind w:left="610" w:right="389" w:firstLine="351"/>
      </w:pPr>
      <w:r>
        <w:rPr/>
        <w:t>The states, transition probability matrix and rewards were defined in Section</w:t>
      </w:r>
      <w:hyperlink w:history="true" w:anchor="_bookmark60">
        <w:r>
          <w:rPr>
            <w:color w:val="0000FF"/>
          </w:rPr>
          <w:t>3.2.3</w:t>
        </w:r>
        <w:r>
          <w:rPr/>
          <w:t>.</w:t>
        </w:r>
      </w:hyperlink>
      <w:r>
        <w:rPr/>
        <w:t> Their</w:t>
      </w:r>
      <w:r>
        <w:rPr>
          <w:spacing w:val="-2"/>
        </w:rPr>
        <w:t> </w:t>
      </w:r>
      <w:r>
        <w:rPr/>
        <w:t>representation</w:t>
      </w:r>
      <w:r>
        <w:rPr>
          <w:spacing w:val="-2"/>
        </w:rPr>
        <w:t> </w:t>
      </w:r>
      <w:r>
        <w:rPr/>
        <w:t>within</w:t>
      </w:r>
      <w:r>
        <w:rPr>
          <w:spacing w:val="-2"/>
        </w:rPr>
        <w:t> </w:t>
      </w:r>
      <w:r>
        <w:rPr/>
        <w:t>rugby</w:t>
      </w:r>
      <w:r>
        <w:rPr>
          <w:spacing w:val="-2"/>
        </w:rPr>
        <w:t> </w:t>
      </w:r>
      <w:r>
        <w:rPr/>
        <w:t>league</w:t>
      </w:r>
      <w:r>
        <w:rPr>
          <w:spacing w:val="-2"/>
        </w:rPr>
        <w:t> </w:t>
      </w:r>
      <w:r>
        <w:rPr/>
        <w:t>remains</w:t>
      </w:r>
      <w:r>
        <w:rPr>
          <w:spacing w:val="-2"/>
        </w:rPr>
        <w:t> </w:t>
      </w:r>
      <w:r>
        <w:rPr/>
        <w:t>the</w:t>
      </w:r>
      <w:r>
        <w:rPr>
          <w:spacing w:val="-2"/>
        </w:rPr>
        <w:t> </w:t>
      </w:r>
      <w:r>
        <w:rPr/>
        <w:t>same</w:t>
      </w:r>
      <w:r>
        <w:rPr>
          <w:spacing w:val="-2"/>
        </w:rPr>
        <w:t> </w:t>
      </w:r>
      <w:r>
        <w:rPr/>
        <w:t>in</w:t>
      </w:r>
      <w:r>
        <w:rPr>
          <w:spacing w:val="-2"/>
        </w:rPr>
        <w:t> </w:t>
      </w:r>
      <w:r>
        <w:rPr/>
        <w:t>this</w:t>
      </w:r>
      <w:r>
        <w:rPr>
          <w:spacing w:val="-2"/>
        </w:rPr>
        <w:t> </w:t>
      </w:r>
      <w:r>
        <w:rPr/>
        <w:t>study: the</w:t>
      </w:r>
      <w:r>
        <w:rPr>
          <w:spacing w:val="-2"/>
        </w:rPr>
        <w:t> </w:t>
      </w:r>
      <w:r>
        <w:rPr/>
        <w:t>location</w:t>
      </w:r>
      <w:r>
        <w:rPr>
          <w:spacing w:val="-2"/>
        </w:rPr>
        <w:t> </w:t>
      </w:r>
      <w:r>
        <w:rPr/>
        <w:t>(or zone) on the pitch can still be considered the state; the transition probability matrix still represents</w:t>
      </w:r>
      <w:r>
        <w:rPr>
          <w:spacing w:val="-11"/>
        </w:rPr>
        <w:t> </w:t>
      </w:r>
      <w:r>
        <w:rPr/>
        <w:t>the</w:t>
      </w:r>
      <w:r>
        <w:rPr>
          <w:spacing w:val="-11"/>
        </w:rPr>
        <w:t> </w:t>
      </w:r>
      <w:r>
        <w:rPr/>
        <w:t>probability</w:t>
      </w:r>
      <w:r>
        <w:rPr>
          <w:spacing w:val="-10"/>
        </w:rPr>
        <w:t> </w:t>
      </w:r>
      <w:r>
        <w:rPr/>
        <w:t>of</w:t>
      </w:r>
      <w:r>
        <w:rPr>
          <w:spacing w:val="-11"/>
        </w:rPr>
        <w:t> </w:t>
      </w:r>
      <w:r>
        <w:rPr/>
        <w:t>moving</w:t>
      </w:r>
      <w:r>
        <w:rPr>
          <w:spacing w:val="-11"/>
        </w:rPr>
        <w:t> </w:t>
      </w:r>
      <w:r>
        <w:rPr/>
        <w:t>between</w:t>
      </w:r>
      <w:r>
        <w:rPr>
          <w:spacing w:val="-10"/>
        </w:rPr>
        <w:t> </w:t>
      </w:r>
      <w:r>
        <w:rPr/>
        <w:t>states,</w:t>
      </w:r>
      <w:r>
        <w:rPr>
          <w:spacing w:val="-10"/>
        </w:rPr>
        <w:t> </w:t>
      </w:r>
      <w:r>
        <w:rPr/>
        <w:t>although</w:t>
      </w:r>
      <w:r>
        <w:rPr>
          <w:spacing w:val="-11"/>
        </w:rPr>
        <w:t> </w:t>
      </w:r>
      <w:r>
        <w:rPr/>
        <w:t>it</w:t>
      </w:r>
      <w:r>
        <w:rPr>
          <w:spacing w:val="-10"/>
        </w:rPr>
        <w:t> </w:t>
      </w:r>
      <w:r>
        <w:rPr/>
        <w:t>is</w:t>
      </w:r>
      <w:r>
        <w:rPr>
          <w:spacing w:val="-11"/>
        </w:rPr>
        <w:t> </w:t>
      </w:r>
      <w:r>
        <w:rPr/>
        <w:t>now</w:t>
      </w:r>
      <w:r>
        <w:rPr>
          <w:spacing w:val="-10"/>
        </w:rPr>
        <w:t> </w:t>
      </w:r>
      <w:r>
        <w:rPr/>
        <w:t>conditional</w:t>
      </w:r>
      <w:r>
        <w:rPr>
          <w:spacing w:val="-11"/>
        </w:rPr>
        <w:t> </w:t>
      </w:r>
      <w:r>
        <w:rPr/>
        <w:t>on</w:t>
      </w:r>
      <w:r>
        <w:rPr>
          <w:spacing w:val="-11"/>
        </w:rPr>
        <w:t> </w:t>
      </w:r>
      <w:r>
        <w:rPr>
          <w:spacing w:val="-5"/>
        </w:rPr>
        <w:t>the</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state, action tuple rather than just the state; and the reward can be defined as the points outcome achieved by the action in the team’s attacking possession.</w:t>
      </w:r>
    </w:p>
    <w:p>
      <w:pPr>
        <w:pStyle w:val="BodyText"/>
        <w:spacing w:line="312" w:lineRule="auto"/>
        <w:ind w:left="610" w:right="389" w:firstLine="351"/>
      </w:pPr>
      <w:r>
        <w:rPr/>
        <w:t>Recall</w:t>
      </w:r>
      <w:r>
        <w:rPr>
          <w:spacing w:val="29"/>
        </w:rPr>
        <w:t> </w:t>
      </w:r>
      <w:r>
        <w:rPr/>
        <w:t>from</w:t>
      </w:r>
      <w:r>
        <w:rPr>
          <w:spacing w:val="29"/>
        </w:rPr>
        <w:t> </w:t>
      </w:r>
      <w:r>
        <w:rPr/>
        <w:t>Definition</w:t>
      </w:r>
      <w:hyperlink w:history="true" w:anchor="_bookmark61">
        <w:r>
          <w:rPr>
            <w:color w:val="0000FF"/>
          </w:rPr>
          <w:t>3.2.2</w:t>
        </w:r>
        <w:r>
          <w:rPr/>
          <w:t>,</w:t>
        </w:r>
      </w:hyperlink>
      <w:r>
        <w:rPr>
          <w:spacing w:val="37"/>
        </w:rPr>
        <w:t> </w:t>
      </w:r>
      <w:r>
        <w:rPr/>
        <w:t>the</w:t>
      </w:r>
      <w:r>
        <w:rPr>
          <w:spacing w:val="29"/>
        </w:rPr>
        <w:t> </w:t>
      </w:r>
      <w:r>
        <w:rPr/>
        <w:t>value</w:t>
      </w:r>
      <w:r>
        <w:rPr>
          <w:spacing w:val="29"/>
        </w:rPr>
        <w:t> </w:t>
      </w:r>
      <w:r>
        <w:rPr/>
        <w:t>function</w:t>
      </w:r>
      <w:r>
        <w:rPr>
          <w:spacing w:val="29"/>
        </w:rPr>
        <w:t> </w:t>
      </w:r>
      <w:r>
        <w:rPr/>
        <w:t>for</w:t>
      </w:r>
      <w:r>
        <w:rPr>
          <w:spacing w:val="29"/>
        </w:rPr>
        <w:t> </w:t>
      </w:r>
      <w:r>
        <w:rPr/>
        <w:t>a</w:t>
      </w:r>
      <w:r>
        <w:rPr>
          <w:spacing w:val="29"/>
        </w:rPr>
        <w:t> </w:t>
      </w:r>
      <w:r>
        <w:rPr/>
        <w:t>state.</w:t>
      </w:r>
      <w:r>
        <w:rPr>
          <w:spacing w:val="80"/>
        </w:rPr>
        <w:t> </w:t>
      </w:r>
      <w:r>
        <w:rPr/>
        <w:t>With</w:t>
      </w:r>
      <w:r>
        <w:rPr>
          <w:spacing w:val="29"/>
        </w:rPr>
        <w:t> </w:t>
      </w:r>
      <w:r>
        <w:rPr/>
        <w:t>the</w:t>
      </w:r>
      <w:r>
        <w:rPr>
          <w:spacing w:val="29"/>
        </w:rPr>
        <w:t> </w:t>
      </w:r>
      <w:r>
        <w:rPr/>
        <w:t>inclusion</w:t>
      </w:r>
      <w:r>
        <w:rPr>
          <w:spacing w:val="29"/>
        </w:rPr>
        <w:t> </w:t>
      </w:r>
      <w:r>
        <w:rPr/>
        <w:t>of actions</w:t>
      </w:r>
      <w:r>
        <w:rPr>
          <w:spacing w:val="-6"/>
        </w:rPr>
        <w:t> </w:t>
      </w:r>
      <w:r>
        <w:rPr/>
        <w:t>within</w:t>
      </w:r>
      <w:r>
        <w:rPr>
          <w:spacing w:val="-6"/>
        </w:rPr>
        <w:t> </w:t>
      </w:r>
      <w:r>
        <w:rPr/>
        <w:t>the</w:t>
      </w:r>
      <w:r>
        <w:rPr>
          <w:spacing w:val="-6"/>
        </w:rPr>
        <w:t> </w:t>
      </w:r>
      <w:r>
        <w:rPr/>
        <w:t>MDP</w:t>
      </w:r>
      <w:r>
        <w:rPr>
          <w:spacing w:val="-6"/>
        </w:rPr>
        <w:t> </w:t>
      </w:r>
      <w:r>
        <w:rPr/>
        <w:t>framework,</w:t>
      </w:r>
      <w:r>
        <w:rPr>
          <w:spacing w:val="-6"/>
        </w:rPr>
        <w:t> </w:t>
      </w:r>
      <w:r>
        <w:rPr/>
        <w:t>the</w:t>
      </w:r>
      <w:r>
        <w:rPr>
          <w:spacing w:val="-6"/>
        </w:rPr>
        <w:t> </w:t>
      </w:r>
      <w:r>
        <w:rPr/>
        <w:t>value</w:t>
      </w:r>
      <w:r>
        <w:rPr>
          <w:spacing w:val="-6"/>
        </w:rPr>
        <w:t> </w:t>
      </w:r>
      <w:r>
        <w:rPr/>
        <w:t>function</w:t>
      </w:r>
      <w:r>
        <w:rPr>
          <w:spacing w:val="-6"/>
        </w:rPr>
        <w:t> </w:t>
      </w:r>
      <w:r>
        <w:rPr/>
        <w:t>for</w:t>
      </w:r>
      <w:r>
        <w:rPr>
          <w:spacing w:val="-6"/>
        </w:rPr>
        <w:t> </w:t>
      </w:r>
      <w:r>
        <w:rPr/>
        <w:t>each</w:t>
      </w:r>
      <w:r>
        <w:rPr>
          <w:spacing w:val="-6"/>
        </w:rPr>
        <w:t> </w:t>
      </w:r>
      <w:r>
        <w:rPr/>
        <w:t>state,</w:t>
      </w:r>
      <w:r>
        <w:rPr>
          <w:spacing w:val="-6"/>
        </w:rPr>
        <w:t> </w:t>
      </w:r>
      <w:r>
        <w:rPr/>
        <w:t>action</w:t>
      </w:r>
      <w:r>
        <w:rPr>
          <w:spacing w:val="-6"/>
        </w:rPr>
        <w:t> </w:t>
      </w:r>
      <w:r>
        <w:rPr/>
        <w:t>pair</w:t>
      </w:r>
      <w:r>
        <w:rPr>
          <w:spacing w:val="-6"/>
        </w:rPr>
        <w:t> </w:t>
      </w:r>
      <w:r>
        <w:rPr/>
        <w:t>must</w:t>
      </w:r>
      <w:r>
        <w:rPr>
          <w:spacing w:val="-6"/>
        </w:rPr>
        <w:t> </w:t>
      </w:r>
      <w:r>
        <w:rPr/>
        <w:t>be updated as shown in Definition</w:t>
      </w:r>
      <w:hyperlink w:history="true" w:anchor="_bookmark103">
        <w:r>
          <w:rPr>
            <w:color w:val="0000FF"/>
          </w:rPr>
          <w:t>4.2.2</w:t>
        </w:r>
        <w:r>
          <w:rPr/>
          <w:t>.</w:t>
        </w:r>
      </w:hyperlink>
    </w:p>
    <w:p>
      <w:pPr>
        <w:pStyle w:val="BodyText"/>
        <w:spacing w:before="101"/>
        <w:ind w:left="610"/>
        <w:rPr>
          <w:rFonts w:ascii="Cambria"/>
        </w:rPr>
      </w:pPr>
      <w:bookmarkStart w:name="_bookmark103" w:id="183"/>
      <w:bookmarkEnd w:id="183"/>
      <w:r>
        <w:rPr/>
      </w:r>
      <w:r>
        <w:rPr>
          <w:b/>
        </w:rPr>
        <w:t>Definition</w:t>
      </w:r>
      <w:r>
        <w:rPr>
          <w:b/>
          <w:spacing w:val="2"/>
        </w:rPr>
        <w:t> </w:t>
      </w:r>
      <w:r>
        <w:rPr>
          <w:b/>
        </w:rPr>
        <w:t>4.2.2.</w:t>
      </w:r>
      <w:r>
        <w:rPr>
          <w:b/>
          <w:spacing w:val="41"/>
        </w:rPr>
        <w:t> </w:t>
      </w:r>
      <w:r>
        <w:rPr/>
        <w:t>The</w:t>
      </w:r>
      <w:r>
        <w:rPr>
          <w:spacing w:val="3"/>
        </w:rPr>
        <w:t> </w:t>
      </w:r>
      <w:r>
        <w:rPr/>
        <w:t>state,</w:t>
      </w:r>
      <w:r>
        <w:rPr>
          <w:spacing w:val="4"/>
        </w:rPr>
        <w:t> </w:t>
      </w:r>
      <w:r>
        <w:rPr/>
        <w:t>action</w:t>
      </w:r>
      <w:r>
        <w:rPr>
          <w:spacing w:val="4"/>
        </w:rPr>
        <w:t> </w:t>
      </w:r>
      <w:r>
        <w:rPr/>
        <w:t>value</w:t>
      </w:r>
      <w:r>
        <w:rPr>
          <w:spacing w:val="2"/>
        </w:rPr>
        <w:t> </w:t>
      </w:r>
      <w:r>
        <w:rPr/>
        <w:t>function</w:t>
      </w:r>
      <w:r>
        <w:rPr>
          <w:spacing w:val="3"/>
        </w:rPr>
        <w:t> </w:t>
      </w:r>
      <w:r>
        <w:rPr>
          <w:rFonts w:ascii="Cambria"/>
        </w:rPr>
        <w:t>Q</w:t>
      </w:r>
      <w:r>
        <w:rPr>
          <w:rFonts w:ascii="Georgia"/>
          <w:vertAlign w:val="subscript"/>
        </w:rPr>
        <w:t>(</w:t>
      </w:r>
      <w:r>
        <w:rPr>
          <w:rFonts w:ascii="Cambria"/>
          <w:vertAlign w:val="subscript"/>
        </w:rPr>
        <w:t>s,a</w:t>
      </w:r>
      <w:r>
        <w:rPr>
          <w:rFonts w:ascii="Georgia"/>
          <w:vertAlign w:val="subscript"/>
        </w:rPr>
        <w:t>)</w:t>
      </w:r>
      <w:r>
        <w:rPr>
          <w:rFonts w:ascii="Georgia"/>
          <w:spacing w:val="15"/>
          <w:vertAlign w:val="baseline"/>
        </w:rPr>
        <w:t> </w:t>
      </w:r>
      <w:r>
        <w:rPr>
          <w:vertAlign w:val="baseline"/>
        </w:rPr>
        <w:t>for</w:t>
      </w:r>
      <w:r>
        <w:rPr>
          <w:spacing w:val="3"/>
          <w:vertAlign w:val="baseline"/>
        </w:rPr>
        <w:t> </w:t>
      </w:r>
      <w:r>
        <w:rPr>
          <w:vertAlign w:val="baseline"/>
        </w:rPr>
        <w:t>action</w:t>
      </w:r>
      <w:r>
        <w:rPr>
          <w:spacing w:val="4"/>
          <w:vertAlign w:val="baseline"/>
        </w:rPr>
        <w:t> </w:t>
      </w:r>
      <w:r>
        <w:rPr>
          <w:rFonts w:ascii="Cambria"/>
          <w:vertAlign w:val="baseline"/>
        </w:rPr>
        <w:t>a</w:t>
      </w:r>
      <w:r>
        <w:rPr>
          <w:rFonts w:ascii="Cambria"/>
          <w:spacing w:val="10"/>
          <w:vertAlign w:val="baseline"/>
        </w:rPr>
        <w:t> </w:t>
      </w:r>
      <w:r>
        <w:rPr>
          <w:vertAlign w:val="baseline"/>
        </w:rPr>
        <w:t>performed</w:t>
      </w:r>
      <w:r>
        <w:rPr>
          <w:spacing w:val="3"/>
          <w:vertAlign w:val="baseline"/>
        </w:rPr>
        <w:t> </w:t>
      </w:r>
      <w:r>
        <w:rPr>
          <w:vertAlign w:val="baseline"/>
        </w:rPr>
        <w:t>in</w:t>
      </w:r>
      <w:r>
        <w:rPr>
          <w:spacing w:val="3"/>
          <w:vertAlign w:val="baseline"/>
        </w:rPr>
        <w:t> </w:t>
      </w:r>
      <w:r>
        <w:rPr>
          <w:vertAlign w:val="baseline"/>
        </w:rPr>
        <w:t>state</w:t>
      </w:r>
      <w:r>
        <w:rPr>
          <w:spacing w:val="3"/>
          <w:vertAlign w:val="baseline"/>
        </w:rPr>
        <w:t> </w:t>
      </w:r>
      <w:r>
        <w:rPr>
          <w:rFonts w:ascii="Cambria"/>
          <w:spacing w:val="-10"/>
          <w:vertAlign w:val="baseline"/>
        </w:rPr>
        <w:t>s</w:t>
      </w:r>
    </w:p>
    <w:p>
      <w:pPr>
        <w:pStyle w:val="BodyText"/>
        <w:spacing w:before="81"/>
        <w:ind w:left="610"/>
      </w:pPr>
      <w:r>
        <w:rPr/>
        <w:t>can</w:t>
      </w:r>
      <w:r>
        <w:rPr>
          <w:spacing w:val="-11"/>
        </w:rPr>
        <w:t> </w:t>
      </w:r>
      <w:r>
        <w:rPr/>
        <w:t>be</w:t>
      </w:r>
      <w:r>
        <w:rPr>
          <w:spacing w:val="-10"/>
        </w:rPr>
        <w:t> </w:t>
      </w:r>
      <w:r>
        <w:rPr/>
        <w:t>defined</w:t>
      </w:r>
      <w:r>
        <w:rPr>
          <w:spacing w:val="-10"/>
        </w:rPr>
        <w:t> </w:t>
      </w:r>
      <w:r>
        <w:rPr>
          <w:spacing w:val="-5"/>
        </w:rPr>
        <w:t>as</w:t>
      </w:r>
    </w:p>
    <w:p>
      <w:pPr>
        <w:pStyle w:val="BodyText"/>
        <w:tabs>
          <w:tab w:pos="8656" w:val="left" w:leader="none"/>
        </w:tabs>
        <w:spacing w:before="44"/>
        <w:ind w:left="3371"/>
      </w:pPr>
      <w:r>
        <w:rPr>
          <w:rFonts w:ascii="Cambria"/>
          <w:w w:val="110"/>
        </w:rPr>
        <w:t>Q</w:t>
      </w:r>
      <w:r>
        <w:rPr>
          <w:rFonts w:ascii="Georgia"/>
          <w:w w:val="110"/>
          <w:vertAlign w:val="subscript"/>
        </w:rPr>
        <w:t>(</w:t>
      </w:r>
      <w:r>
        <w:rPr>
          <w:rFonts w:ascii="Cambria"/>
          <w:w w:val="110"/>
          <w:vertAlign w:val="subscript"/>
        </w:rPr>
        <w:t>s,a</w:t>
      </w:r>
      <w:r>
        <w:rPr>
          <w:rFonts w:ascii="Georgia"/>
          <w:w w:val="110"/>
          <w:vertAlign w:val="subscript"/>
        </w:rPr>
        <w:t>)</w:t>
      </w:r>
      <w:r>
        <w:rPr>
          <w:rFonts w:ascii="Georgia"/>
          <w:spacing w:val="20"/>
          <w:w w:val="110"/>
          <w:vertAlign w:val="baseline"/>
        </w:rPr>
        <w:t> </w:t>
      </w:r>
      <w:r>
        <w:rPr>
          <w:rFonts w:ascii="Garamond"/>
          <w:w w:val="110"/>
          <w:vertAlign w:val="baseline"/>
        </w:rPr>
        <w:t>=</w:t>
      </w:r>
      <w:r>
        <w:rPr>
          <w:rFonts w:ascii="Garamond"/>
          <w:spacing w:val="7"/>
          <w:w w:val="110"/>
          <w:vertAlign w:val="baseline"/>
        </w:rPr>
        <w:t> </w:t>
      </w:r>
      <w:r>
        <w:rPr>
          <w:rFonts w:ascii="Georgia"/>
          <w:b/>
          <w:w w:val="110"/>
          <w:vertAlign w:val="baseline"/>
        </w:rPr>
        <w:t>E</w:t>
      </w:r>
      <w:r>
        <w:rPr>
          <w:rFonts w:ascii="Garamond"/>
          <w:w w:val="110"/>
          <w:vertAlign w:val="baseline"/>
        </w:rPr>
        <w:t>[</w:t>
      </w:r>
      <w:r>
        <w:rPr>
          <w:rFonts w:ascii="Cambria"/>
          <w:w w:val="110"/>
          <w:vertAlign w:val="baseline"/>
        </w:rPr>
        <w:t>G</w:t>
      </w:r>
      <w:r>
        <w:rPr>
          <w:rFonts w:ascii="Cambria"/>
          <w:w w:val="110"/>
          <w:vertAlign w:val="subscript"/>
        </w:rPr>
        <w:t>t</w:t>
      </w:r>
      <w:r>
        <w:rPr>
          <w:rFonts w:ascii="Lucida Sans Unicode"/>
          <w:w w:val="110"/>
          <w:vertAlign w:val="baseline"/>
        </w:rPr>
        <w:t>|</w:t>
      </w:r>
      <w:r>
        <w:rPr>
          <w:rFonts w:ascii="Cambria"/>
          <w:w w:val="110"/>
          <w:vertAlign w:val="baseline"/>
        </w:rPr>
        <w:t>S</w:t>
      </w:r>
      <w:r>
        <w:rPr>
          <w:rFonts w:ascii="Cambria"/>
          <w:w w:val="110"/>
          <w:vertAlign w:val="subscript"/>
        </w:rPr>
        <w:t>t</w:t>
      </w:r>
      <w:r>
        <w:rPr>
          <w:rFonts w:ascii="Cambria"/>
          <w:spacing w:val="25"/>
          <w:w w:val="110"/>
          <w:vertAlign w:val="baseline"/>
        </w:rPr>
        <w:t> </w:t>
      </w:r>
      <w:r>
        <w:rPr>
          <w:rFonts w:ascii="Garamond"/>
          <w:w w:val="110"/>
          <w:vertAlign w:val="baseline"/>
        </w:rPr>
        <w:t>=</w:t>
      </w:r>
      <w:r>
        <w:rPr>
          <w:rFonts w:ascii="Garamond"/>
          <w:spacing w:val="7"/>
          <w:w w:val="110"/>
          <w:vertAlign w:val="baseline"/>
        </w:rPr>
        <w:t> </w:t>
      </w:r>
      <w:r>
        <w:rPr>
          <w:rFonts w:ascii="Cambria"/>
          <w:w w:val="110"/>
          <w:vertAlign w:val="baseline"/>
        </w:rPr>
        <w:t>s,</w:t>
      </w:r>
      <w:r>
        <w:rPr>
          <w:rFonts w:ascii="Cambria"/>
          <w:spacing w:val="-14"/>
          <w:w w:val="110"/>
          <w:vertAlign w:val="baseline"/>
        </w:rPr>
        <w:t> </w:t>
      </w:r>
      <w:r>
        <w:rPr>
          <w:rFonts w:ascii="Cambria"/>
          <w:w w:val="110"/>
          <w:vertAlign w:val="baseline"/>
        </w:rPr>
        <w:t>A</w:t>
      </w:r>
      <w:r>
        <w:rPr>
          <w:rFonts w:ascii="Cambria"/>
          <w:w w:val="110"/>
          <w:vertAlign w:val="subscript"/>
        </w:rPr>
        <w:t>t</w:t>
      </w:r>
      <w:r>
        <w:rPr>
          <w:rFonts w:ascii="Cambria"/>
          <w:spacing w:val="26"/>
          <w:w w:val="110"/>
          <w:vertAlign w:val="baseline"/>
        </w:rPr>
        <w:t> </w:t>
      </w:r>
      <w:r>
        <w:rPr>
          <w:rFonts w:ascii="Garamond"/>
          <w:w w:val="110"/>
          <w:vertAlign w:val="baseline"/>
        </w:rPr>
        <w:t>=</w:t>
      </w:r>
      <w:r>
        <w:rPr>
          <w:rFonts w:ascii="Garamond"/>
          <w:spacing w:val="7"/>
          <w:w w:val="110"/>
          <w:vertAlign w:val="baseline"/>
        </w:rPr>
        <w:t> </w:t>
      </w:r>
      <w:r>
        <w:rPr>
          <w:rFonts w:ascii="Cambria"/>
          <w:spacing w:val="-5"/>
          <w:w w:val="110"/>
          <w:vertAlign w:val="baseline"/>
        </w:rPr>
        <w:t>a</w:t>
      </w:r>
      <w:r>
        <w:rPr>
          <w:rFonts w:ascii="Garamond"/>
          <w:spacing w:val="-5"/>
          <w:w w:val="110"/>
          <w:vertAlign w:val="baseline"/>
        </w:rPr>
        <w:t>]</w:t>
      </w:r>
      <w:r>
        <w:rPr>
          <w:rFonts w:ascii="Cambria"/>
          <w:spacing w:val="-5"/>
          <w:w w:val="110"/>
          <w:vertAlign w:val="baseline"/>
        </w:rPr>
        <w:t>,</w:t>
      </w:r>
      <w:r>
        <w:rPr>
          <w:rFonts w:ascii="Cambria"/>
          <w:vertAlign w:val="baseline"/>
        </w:rPr>
        <w:tab/>
      </w:r>
      <w:r>
        <w:rPr>
          <w:spacing w:val="-2"/>
          <w:w w:val="110"/>
          <w:vertAlign w:val="baseline"/>
        </w:rPr>
        <w:t>(4.1)</w:t>
      </w:r>
    </w:p>
    <w:p>
      <w:pPr>
        <w:pStyle w:val="BodyText"/>
        <w:spacing w:before="185"/>
        <w:ind w:left="610"/>
      </w:pPr>
      <w:r>
        <w:rPr/>
        <w:t>where</w:t>
      </w:r>
      <w:r>
        <w:rPr>
          <w:spacing w:val="-6"/>
        </w:rPr>
        <w:t> </w:t>
      </w:r>
      <w:r>
        <w:rPr/>
        <w:t>Q</w:t>
      </w:r>
      <w:r>
        <w:rPr>
          <w:spacing w:val="-5"/>
        </w:rPr>
        <w:t> </w:t>
      </w:r>
      <w:r>
        <w:rPr/>
        <w:t>is</w:t>
      </w:r>
      <w:r>
        <w:rPr>
          <w:spacing w:val="-5"/>
        </w:rPr>
        <w:t> </w:t>
      </w:r>
      <w:r>
        <w:rPr/>
        <w:t>the</w:t>
      </w:r>
      <w:r>
        <w:rPr>
          <w:spacing w:val="-5"/>
        </w:rPr>
        <w:t> </w:t>
      </w:r>
      <w:r>
        <w:rPr/>
        <w:t>value</w:t>
      </w:r>
      <w:r>
        <w:rPr>
          <w:spacing w:val="-5"/>
        </w:rPr>
        <w:t> </w:t>
      </w:r>
      <w:r>
        <w:rPr/>
        <w:t>function</w:t>
      </w:r>
      <w:r>
        <w:rPr>
          <w:spacing w:val="-6"/>
        </w:rPr>
        <w:t> </w:t>
      </w:r>
      <w:r>
        <w:rPr/>
        <w:t>for</w:t>
      </w:r>
      <w:r>
        <w:rPr>
          <w:spacing w:val="-5"/>
        </w:rPr>
        <w:t> </w:t>
      </w:r>
      <w:r>
        <w:rPr/>
        <w:t>choosing</w:t>
      </w:r>
      <w:r>
        <w:rPr>
          <w:spacing w:val="-5"/>
        </w:rPr>
        <w:t> </w:t>
      </w:r>
      <w:r>
        <w:rPr/>
        <w:t>action</w:t>
      </w:r>
      <w:r>
        <w:rPr>
          <w:spacing w:val="-5"/>
        </w:rPr>
        <w:t> </w:t>
      </w:r>
      <w:r>
        <w:rPr>
          <w:rFonts w:ascii="Cambria"/>
        </w:rPr>
        <w:t>a</w:t>
      </w:r>
      <w:r>
        <w:rPr>
          <w:rFonts w:ascii="Cambria"/>
          <w:spacing w:val="2"/>
        </w:rPr>
        <w:t> </w:t>
      </w:r>
      <w:r>
        <w:rPr/>
        <w:t>in</w:t>
      </w:r>
      <w:r>
        <w:rPr>
          <w:spacing w:val="-6"/>
        </w:rPr>
        <w:t> </w:t>
      </w:r>
      <w:r>
        <w:rPr/>
        <w:t>state</w:t>
      </w:r>
      <w:r>
        <w:rPr>
          <w:spacing w:val="-5"/>
        </w:rPr>
        <w:t> </w:t>
      </w:r>
      <w:r>
        <w:rPr>
          <w:rFonts w:ascii="Cambria"/>
          <w:spacing w:val="-5"/>
        </w:rPr>
        <w:t>s</w:t>
      </w:r>
      <w:r>
        <w:rPr>
          <w:spacing w:val="-5"/>
        </w:rPr>
        <w:t>.</w:t>
      </w:r>
    </w:p>
    <w:p>
      <w:pPr>
        <w:pStyle w:val="BodyText"/>
        <w:spacing w:line="312" w:lineRule="auto" w:before="187"/>
        <w:ind w:left="610" w:right="389" w:firstLine="351"/>
      </w:pPr>
      <w:r>
        <w:rPr/>
        <w:t>Alongside</w:t>
      </w:r>
      <w:r>
        <w:rPr>
          <w:spacing w:val="-11"/>
        </w:rPr>
        <w:t> </w:t>
      </w:r>
      <w:r>
        <w:rPr/>
        <w:t>the</w:t>
      </w:r>
      <w:r>
        <w:rPr>
          <w:spacing w:val="-11"/>
        </w:rPr>
        <w:t> </w:t>
      </w:r>
      <w:r>
        <w:rPr/>
        <w:t>inclusion</w:t>
      </w:r>
      <w:r>
        <w:rPr>
          <w:spacing w:val="-11"/>
        </w:rPr>
        <w:t> </w:t>
      </w:r>
      <w:r>
        <w:rPr/>
        <w:t>of</w:t>
      </w:r>
      <w:r>
        <w:rPr>
          <w:spacing w:val="-11"/>
        </w:rPr>
        <w:t> </w:t>
      </w:r>
      <w:r>
        <w:rPr/>
        <w:t>actions</w:t>
      </w:r>
      <w:r>
        <w:rPr>
          <w:spacing w:val="-11"/>
        </w:rPr>
        <w:t> </w:t>
      </w:r>
      <w:r>
        <w:rPr/>
        <w:t>in</w:t>
      </w:r>
      <w:r>
        <w:rPr>
          <w:spacing w:val="-11"/>
        </w:rPr>
        <w:t> </w:t>
      </w:r>
      <w:r>
        <w:rPr/>
        <w:t>the</w:t>
      </w:r>
      <w:r>
        <w:rPr>
          <w:spacing w:val="-11"/>
        </w:rPr>
        <w:t> </w:t>
      </w:r>
      <w:r>
        <w:rPr/>
        <w:t>MDP,</w:t>
      </w:r>
      <w:r>
        <w:rPr>
          <w:spacing w:val="-11"/>
        </w:rPr>
        <w:t> </w:t>
      </w:r>
      <w:r>
        <w:rPr/>
        <w:t>this</w:t>
      </w:r>
      <w:r>
        <w:rPr>
          <w:spacing w:val="-11"/>
        </w:rPr>
        <w:t> </w:t>
      </w:r>
      <w:r>
        <w:rPr/>
        <w:t>study</w:t>
      </w:r>
      <w:r>
        <w:rPr>
          <w:spacing w:val="-11"/>
        </w:rPr>
        <w:t> </w:t>
      </w:r>
      <w:r>
        <w:rPr/>
        <w:t>also</w:t>
      </w:r>
      <w:r>
        <w:rPr>
          <w:spacing w:val="-11"/>
        </w:rPr>
        <w:t> </w:t>
      </w:r>
      <w:r>
        <w:rPr/>
        <w:t>includes</w:t>
      </w:r>
      <w:r>
        <w:rPr>
          <w:spacing w:val="-11"/>
        </w:rPr>
        <w:t> </w:t>
      </w:r>
      <w:r>
        <w:rPr/>
        <w:t>context</w:t>
      </w:r>
      <w:r>
        <w:rPr>
          <w:spacing w:val="-11"/>
        </w:rPr>
        <w:t> </w:t>
      </w:r>
      <w:r>
        <w:rPr/>
        <w:t>nodes, building on work previously conducted in ice hockey (</w:t>
      </w:r>
      <w:hyperlink w:history="true" w:anchor="_bookmark287">
        <w:r>
          <w:rPr>
            <w:color w:val="FF0000"/>
          </w:rPr>
          <w:t>Routley and Schulte</w:t>
        </w:r>
      </w:hyperlink>
      <w:r>
        <w:rPr/>
        <w:t>,</w:t>
      </w:r>
      <w:hyperlink w:history="true" w:anchor="_bookmark287">
        <w:r>
          <w:rPr>
            <w:color w:val="FF0000"/>
          </w:rPr>
          <w:t>2015</w:t>
        </w:r>
        <w:r>
          <w:rPr/>
          <w:t>)</w:t>
        </w:r>
      </w:hyperlink>
      <w:r>
        <w:rPr/>
        <w:t> and football (</w:t>
      </w:r>
      <w:hyperlink w:history="true" w:anchor="_bookmark239">
        <w:r>
          <w:rPr>
            <w:color w:val="FF0000"/>
          </w:rPr>
          <w:t>Decroos et al.</w:t>
        </w:r>
      </w:hyperlink>
      <w:r>
        <w:rPr/>
        <w:t>,</w:t>
      </w:r>
      <w:hyperlink w:history="true" w:anchor="_bookmark239">
        <w:r>
          <w:rPr>
            <w:color w:val="FF0000"/>
          </w:rPr>
          <w:t>2019</w:t>
        </w:r>
      </w:hyperlink>
      <w:r>
        <w:rPr/>
        <w:t>).</w:t>
      </w:r>
      <w:r>
        <w:rPr>
          <w:spacing w:val="40"/>
        </w:rPr>
        <w:t> </w:t>
      </w:r>
      <w:r>
        <w:rPr/>
        <w:t>Context nodes provide an additional level of detail sur- rounding the results of the analysis.</w:t>
      </w:r>
      <w:r>
        <w:rPr>
          <w:spacing w:val="40"/>
        </w:rPr>
        <w:t> </w:t>
      </w:r>
      <w:r>
        <w:rPr/>
        <w:t>In rugby league, they can provide information sur- </w:t>
      </w:r>
      <w:r>
        <w:rPr>
          <w:spacing w:val="-2"/>
        </w:rPr>
        <w:t>rounding</w:t>
      </w:r>
      <w:r>
        <w:rPr>
          <w:spacing w:val="-8"/>
        </w:rPr>
        <w:t> </w:t>
      </w:r>
      <w:r>
        <w:rPr>
          <w:spacing w:val="-2"/>
        </w:rPr>
        <w:t>player</w:t>
      </w:r>
      <w:r>
        <w:rPr>
          <w:spacing w:val="-8"/>
        </w:rPr>
        <w:t> </w:t>
      </w:r>
      <w:r>
        <w:rPr>
          <w:spacing w:val="-2"/>
        </w:rPr>
        <w:t>ratings</w:t>
      </w:r>
      <w:r>
        <w:rPr>
          <w:spacing w:val="-8"/>
        </w:rPr>
        <w:t> </w:t>
      </w:r>
      <w:r>
        <w:rPr>
          <w:spacing w:val="-2"/>
        </w:rPr>
        <w:t>when</w:t>
      </w:r>
      <w:r>
        <w:rPr>
          <w:spacing w:val="-8"/>
        </w:rPr>
        <w:t> </w:t>
      </w:r>
      <w:r>
        <w:rPr>
          <w:spacing w:val="-2"/>
        </w:rPr>
        <w:t>a</w:t>
      </w:r>
      <w:r>
        <w:rPr>
          <w:spacing w:val="-8"/>
        </w:rPr>
        <w:t> </w:t>
      </w:r>
      <w:r>
        <w:rPr>
          <w:spacing w:val="-2"/>
        </w:rPr>
        <w:t>team</w:t>
      </w:r>
      <w:r>
        <w:rPr>
          <w:spacing w:val="-8"/>
        </w:rPr>
        <w:t> </w:t>
      </w:r>
      <w:r>
        <w:rPr>
          <w:spacing w:val="-2"/>
        </w:rPr>
        <w:t>is</w:t>
      </w:r>
      <w:r>
        <w:rPr>
          <w:spacing w:val="-8"/>
        </w:rPr>
        <w:t> </w:t>
      </w:r>
      <w:r>
        <w:rPr>
          <w:spacing w:val="-2"/>
        </w:rPr>
        <w:t>winning,</w:t>
      </w:r>
      <w:r>
        <w:rPr>
          <w:spacing w:val="-6"/>
        </w:rPr>
        <w:t> </w:t>
      </w:r>
      <w:r>
        <w:rPr>
          <w:spacing w:val="-2"/>
        </w:rPr>
        <w:t>drawing</w:t>
      </w:r>
      <w:r>
        <w:rPr>
          <w:spacing w:val="-8"/>
        </w:rPr>
        <w:t> </w:t>
      </w:r>
      <w:r>
        <w:rPr>
          <w:spacing w:val="-2"/>
        </w:rPr>
        <w:t>or</w:t>
      </w:r>
      <w:r>
        <w:rPr>
          <w:spacing w:val="-8"/>
        </w:rPr>
        <w:t> </w:t>
      </w:r>
      <w:r>
        <w:rPr>
          <w:spacing w:val="-2"/>
        </w:rPr>
        <w:t>losing,</w:t>
      </w:r>
      <w:r>
        <w:rPr>
          <w:spacing w:val="-6"/>
        </w:rPr>
        <w:t> </w:t>
      </w:r>
      <w:r>
        <w:rPr>
          <w:spacing w:val="-2"/>
        </w:rPr>
        <w:t>or</w:t>
      </w:r>
      <w:r>
        <w:rPr>
          <w:spacing w:val="-8"/>
        </w:rPr>
        <w:t> </w:t>
      </w:r>
      <w:r>
        <w:rPr>
          <w:spacing w:val="-2"/>
        </w:rPr>
        <w:t>in</w:t>
      </w:r>
      <w:r>
        <w:rPr>
          <w:spacing w:val="-8"/>
        </w:rPr>
        <w:t> </w:t>
      </w:r>
      <w:r>
        <w:rPr>
          <w:spacing w:val="-2"/>
        </w:rPr>
        <w:t>the</w:t>
      </w:r>
      <w:r>
        <w:rPr>
          <w:spacing w:val="-8"/>
        </w:rPr>
        <w:t> </w:t>
      </w:r>
      <w:r>
        <w:rPr>
          <w:spacing w:val="-2"/>
        </w:rPr>
        <w:t>first</w:t>
      </w:r>
      <w:r>
        <w:rPr>
          <w:spacing w:val="-8"/>
        </w:rPr>
        <w:t> </w:t>
      </w:r>
      <w:r>
        <w:rPr>
          <w:spacing w:val="-2"/>
        </w:rPr>
        <w:t>or</w:t>
      </w:r>
      <w:r>
        <w:rPr>
          <w:spacing w:val="-8"/>
        </w:rPr>
        <w:t> </w:t>
      </w:r>
      <w:r>
        <w:rPr>
          <w:spacing w:val="-2"/>
        </w:rPr>
        <w:t>second </w:t>
      </w:r>
      <w:r>
        <w:rPr/>
        <w:t>half</w:t>
      </w:r>
      <w:r>
        <w:rPr>
          <w:spacing w:val="-6"/>
        </w:rPr>
        <w:t> </w:t>
      </w:r>
      <w:r>
        <w:rPr/>
        <w:t>of</w:t>
      </w:r>
      <w:r>
        <w:rPr>
          <w:spacing w:val="-6"/>
        </w:rPr>
        <w:t> </w:t>
      </w:r>
      <w:r>
        <w:rPr/>
        <w:t>the</w:t>
      </w:r>
      <w:r>
        <w:rPr>
          <w:spacing w:val="-6"/>
        </w:rPr>
        <w:t> </w:t>
      </w:r>
      <w:r>
        <w:rPr/>
        <w:t>match. Furthermore,</w:t>
      </w:r>
      <w:r>
        <w:rPr>
          <w:spacing w:val="-6"/>
        </w:rPr>
        <w:t> </w:t>
      </w:r>
      <w:r>
        <w:rPr/>
        <w:t>by</w:t>
      </w:r>
      <w:r>
        <w:rPr>
          <w:spacing w:val="-6"/>
        </w:rPr>
        <w:t> </w:t>
      </w:r>
      <w:r>
        <w:rPr/>
        <w:t>including</w:t>
      </w:r>
      <w:r>
        <w:rPr>
          <w:spacing w:val="-6"/>
        </w:rPr>
        <w:t> </w:t>
      </w:r>
      <w:r>
        <w:rPr/>
        <w:t>the</w:t>
      </w:r>
      <w:r>
        <w:rPr>
          <w:spacing w:val="-6"/>
        </w:rPr>
        <w:t> </w:t>
      </w:r>
      <w:r>
        <w:rPr/>
        <w:t>team</w:t>
      </w:r>
      <w:r>
        <w:rPr>
          <w:spacing w:val="-6"/>
        </w:rPr>
        <w:t> </w:t>
      </w:r>
      <w:r>
        <w:rPr/>
        <w:t>as</w:t>
      </w:r>
      <w:r>
        <w:rPr>
          <w:spacing w:val="-6"/>
        </w:rPr>
        <w:t> </w:t>
      </w:r>
      <w:r>
        <w:rPr/>
        <w:t>a</w:t>
      </w:r>
      <w:r>
        <w:rPr>
          <w:spacing w:val="-6"/>
        </w:rPr>
        <w:t> </w:t>
      </w:r>
      <w:r>
        <w:rPr/>
        <w:t>context</w:t>
      </w:r>
      <w:r>
        <w:rPr>
          <w:spacing w:val="-6"/>
        </w:rPr>
        <w:t> </w:t>
      </w:r>
      <w:r>
        <w:rPr/>
        <w:t>node,</w:t>
      </w:r>
      <w:r>
        <w:rPr>
          <w:spacing w:val="-6"/>
        </w:rPr>
        <w:t> </w:t>
      </w:r>
      <w:r>
        <w:rPr/>
        <w:t>individual</w:t>
      </w:r>
      <w:r>
        <w:rPr>
          <w:spacing w:val="-6"/>
        </w:rPr>
        <w:t> </w:t>
      </w:r>
      <w:r>
        <w:rPr/>
        <w:t>state, action values can be calculated for each team within the MDP framework.</w:t>
      </w:r>
      <w:r>
        <w:rPr>
          <w:spacing w:val="38"/>
        </w:rPr>
        <w:t> </w:t>
      </w:r>
      <w:r>
        <w:rPr/>
        <w:t>The updated value function for context </w:t>
      </w:r>
      <w:r>
        <w:rPr>
          <w:rFonts w:ascii="Cambria"/>
        </w:rPr>
        <w:t>c</w:t>
      </w:r>
      <w:r>
        <w:rPr/>
        <w:t>, state </w:t>
      </w:r>
      <w:r>
        <w:rPr>
          <w:rFonts w:ascii="Cambria"/>
        </w:rPr>
        <w:t>s</w:t>
      </w:r>
      <w:r>
        <w:rPr/>
        <w:t>, action </w:t>
      </w:r>
      <w:r>
        <w:rPr>
          <w:rFonts w:ascii="Cambria"/>
        </w:rPr>
        <w:t>a </w:t>
      </w:r>
      <w:r>
        <w:rPr/>
        <w:t>is provided in Definition</w:t>
      </w:r>
      <w:hyperlink w:history="true" w:anchor="_bookmark104">
        <w:r>
          <w:rPr>
            <w:color w:val="0000FF"/>
          </w:rPr>
          <w:t>4.2.3</w:t>
        </w:r>
        <w:r>
          <w:rPr/>
          <w:t>.</w:t>
        </w:r>
      </w:hyperlink>
    </w:p>
    <w:p>
      <w:pPr>
        <w:pStyle w:val="BodyText"/>
        <w:spacing w:line="304" w:lineRule="auto" w:before="94"/>
        <w:ind w:left="610" w:right="389"/>
      </w:pPr>
      <w:bookmarkStart w:name="_bookmark104" w:id="184"/>
      <w:bookmarkEnd w:id="184"/>
      <w:r>
        <w:rPr/>
      </w:r>
      <w:r>
        <w:rPr>
          <w:b/>
        </w:rPr>
        <w:t>Definition 4.2.3.</w:t>
      </w:r>
      <w:r>
        <w:rPr>
          <w:b/>
          <w:spacing w:val="40"/>
        </w:rPr>
        <w:t> </w:t>
      </w:r>
      <w:r>
        <w:rPr/>
        <w:t>The context, state, action value function </w:t>
      </w:r>
      <w:r>
        <w:rPr>
          <w:rFonts w:ascii="Cambria"/>
        </w:rPr>
        <w:t>Q</w:t>
      </w:r>
      <w:r>
        <w:rPr>
          <w:rFonts w:ascii="Georgia"/>
          <w:vertAlign w:val="subscript"/>
        </w:rPr>
        <w:t>(</w:t>
      </w:r>
      <w:r>
        <w:rPr>
          <w:rFonts w:ascii="Cambria"/>
          <w:vertAlign w:val="subscript"/>
        </w:rPr>
        <w:t>c,s,a</w:t>
      </w:r>
      <w:r>
        <w:rPr>
          <w:rFonts w:ascii="Georgia"/>
          <w:vertAlign w:val="subscript"/>
        </w:rPr>
        <w:t>)</w:t>
      </w:r>
      <w:r>
        <w:rPr>
          <w:rFonts w:ascii="Georgia"/>
          <w:vertAlign w:val="baseline"/>
        </w:rPr>
        <w:t> </w:t>
      </w:r>
      <w:r>
        <w:rPr>
          <w:vertAlign w:val="baseline"/>
        </w:rPr>
        <w:t>for action </w:t>
      </w:r>
      <w:r>
        <w:rPr>
          <w:rFonts w:ascii="Cambria"/>
          <w:vertAlign w:val="baseline"/>
        </w:rPr>
        <w:t>a </w:t>
      </w:r>
      <w:r>
        <w:rPr>
          <w:vertAlign w:val="baseline"/>
        </w:rPr>
        <w:t>performed in state </w:t>
      </w:r>
      <w:r>
        <w:rPr>
          <w:rFonts w:ascii="Cambria"/>
          <w:vertAlign w:val="baseline"/>
        </w:rPr>
        <w:t>s</w:t>
      </w:r>
      <w:r>
        <w:rPr>
          <w:vertAlign w:val="baseline"/>
        </w:rPr>
        <w:t>, in context </w:t>
      </w:r>
      <w:r>
        <w:rPr>
          <w:rFonts w:ascii="Cambria"/>
          <w:vertAlign w:val="baseline"/>
        </w:rPr>
        <w:t>c </w:t>
      </w:r>
      <w:r>
        <w:rPr>
          <w:vertAlign w:val="baseline"/>
        </w:rPr>
        <w:t>can be defined as</w:t>
      </w:r>
    </w:p>
    <w:p>
      <w:pPr>
        <w:pStyle w:val="BodyText"/>
        <w:spacing w:before="10"/>
        <w:rPr>
          <w:sz w:val="22"/>
        </w:rPr>
      </w:pPr>
    </w:p>
    <w:p>
      <w:pPr>
        <w:pStyle w:val="BodyText"/>
        <w:tabs>
          <w:tab w:pos="8656" w:val="left" w:leader="none"/>
        </w:tabs>
        <w:spacing w:line="448" w:lineRule="auto" w:before="1"/>
        <w:ind w:left="610" w:right="389" w:firstLine="2321"/>
      </w:pPr>
      <w:r>
        <w:rPr>
          <w:rFonts w:ascii="Cambria"/>
          <w:w w:val="105"/>
        </w:rPr>
        <w:t>Q</w:t>
      </w:r>
      <w:r>
        <w:rPr>
          <w:rFonts w:ascii="Georgia"/>
          <w:w w:val="105"/>
          <w:vertAlign w:val="subscript"/>
        </w:rPr>
        <w:t>(</w:t>
      </w:r>
      <w:r>
        <w:rPr>
          <w:rFonts w:ascii="Cambria"/>
          <w:w w:val="105"/>
          <w:vertAlign w:val="subscript"/>
        </w:rPr>
        <w:t>c,s,a</w:t>
      </w:r>
      <w:r>
        <w:rPr>
          <w:rFonts w:ascii="Georgia"/>
          <w:w w:val="105"/>
          <w:vertAlign w:val="subscript"/>
        </w:rPr>
        <w:t>)</w:t>
      </w:r>
      <w:r>
        <w:rPr>
          <w:rFonts w:ascii="Georgia"/>
          <w:w w:val="105"/>
          <w:vertAlign w:val="baseline"/>
        </w:rPr>
        <w:t> </w:t>
      </w:r>
      <w:r>
        <w:rPr>
          <w:rFonts w:ascii="Garamond"/>
          <w:w w:val="105"/>
          <w:vertAlign w:val="baseline"/>
        </w:rPr>
        <w:t>= </w:t>
      </w:r>
      <w:r>
        <w:rPr>
          <w:rFonts w:ascii="Georgia"/>
          <w:b/>
          <w:w w:val="105"/>
          <w:vertAlign w:val="baseline"/>
        </w:rPr>
        <w:t>E</w:t>
      </w:r>
      <w:r>
        <w:rPr>
          <w:rFonts w:ascii="Garamond"/>
          <w:w w:val="105"/>
          <w:vertAlign w:val="baseline"/>
        </w:rPr>
        <w:t>[</w:t>
      </w:r>
      <w:r>
        <w:rPr>
          <w:rFonts w:ascii="Cambria"/>
          <w:w w:val="105"/>
          <w:vertAlign w:val="baseline"/>
        </w:rPr>
        <w:t>G</w:t>
      </w:r>
      <w:r>
        <w:rPr>
          <w:rFonts w:ascii="Cambria"/>
          <w:w w:val="105"/>
          <w:vertAlign w:val="subscript"/>
        </w:rPr>
        <w:t>t</w:t>
      </w:r>
      <w:r>
        <w:rPr>
          <w:rFonts w:ascii="Lucida Sans Unicode"/>
          <w:w w:val="105"/>
          <w:vertAlign w:val="baseline"/>
        </w:rPr>
        <w:t>|</w:t>
      </w:r>
      <w:r>
        <w:rPr>
          <w:rFonts w:ascii="Cambria"/>
          <w:w w:val="105"/>
          <w:vertAlign w:val="baseline"/>
        </w:rPr>
        <w:t>C</w:t>
      </w:r>
      <w:r>
        <w:rPr>
          <w:rFonts w:ascii="Cambria"/>
          <w:w w:val="105"/>
          <w:vertAlign w:val="subscript"/>
        </w:rPr>
        <w:t>t</w:t>
      </w:r>
      <w:r>
        <w:rPr>
          <w:rFonts w:ascii="Cambria"/>
          <w:w w:val="105"/>
          <w:vertAlign w:val="baseline"/>
        </w:rPr>
        <w:t> </w:t>
      </w:r>
      <w:r>
        <w:rPr>
          <w:rFonts w:ascii="Garamond"/>
          <w:w w:val="105"/>
          <w:vertAlign w:val="baseline"/>
        </w:rPr>
        <w:t>= </w:t>
      </w:r>
      <w:r>
        <w:rPr>
          <w:rFonts w:ascii="Cambria"/>
          <w:w w:val="105"/>
          <w:vertAlign w:val="baseline"/>
        </w:rPr>
        <w:t>c, S</w:t>
      </w:r>
      <w:r>
        <w:rPr>
          <w:rFonts w:ascii="Cambria"/>
          <w:w w:val="105"/>
          <w:vertAlign w:val="subscript"/>
        </w:rPr>
        <w:t>t</w:t>
      </w:r>
      <w:r>
        <w:rPr>
          <w:rFonts w:ascii="Cambria"/>
          <w:w w:val="105"/>
          <w:vertAlign w:val="baseline"/>
        </w:rPr>
        <w:t> </w:t>
      </w:r>
      <w:r>
        <w:rPr>
          <w:rFonts w:ascii="Garamond"/>
          <w:w w:val="105"/>
          <w:vertAlign w:val="baseline"/>
        </w:rPr>
        <w:t>= </w:t>
      </w:r>
      <w:r>
        <w:rPr>
          <w:rFonts w:ascii="Cambria"/>
          <w:w w:val="105"/>
          <w:vertAlign w:val="baseline"/>
        </w:rPr>
        <w:t>s, A</w:t>
      </w:r>
      <w:r>
        <w:rPr>
          <w:rFonts w:ascii="Cambria"/>
          <w:w w:val="105"/>
          <w:vertAlign w:val="subscript"/>
        </w:rPr>
        <w:t>t</w:t>
      </w:r>
      <w:r>
        <w:rPr>
          <w:rFonts w:ascii="Cambria"/>
          <w:w w:val="105"/>
          <w:vertAlign w:val="baseline"/>
        </w:rPr>
        <w:t> </w:t>
      </w:r>
      <w:r>
        <w:rPr>
          <w:rFonts w:ascii="Garamond"/>
          <w:w w:val="105"/>
          <w:vertAlign w:val="baseline"/>
        </w:rPr>
        <w:t>= </w:t>
      </w:r>
      <w:r>
        <w:rPr>
          <w:rFonts w:ascii="Cambria"/>
          <w:w w:val="105"/>
          <w:vertAlign w:val="baseline"/>
        </w:rPr>
        <w:t>a</w:t>
      </w:r>
      <w:r>
        <w:rPr>
          <w:rFonts w:ascii="Garamond"/>
          <w:w w:val="105"/>
          <w:vertAlign w:val="baseline"/>
        </w:rPr>
        <w:t>]</w:t>
      </w:r>
      <w:r>
        <w:rPr>
          <w:rFonts w:ascii="Cambria"/>
          <w:w w:val="105"/>
          <w:vertAlign w:val="baseline"/>
        </w:rPr>
        <w:t>,</w:t>
      </w:r>
      <w:r>
        <w:rPr>
          <w:rFonts w:ascii="Cambria"/>
          <w:vertAlign w:val="baseline"/>
        </w:rPr>
        <w:tab/>
      </w:r>
      <w:r>
        <w:rPr>
          <w:spacing w:val="-6"/>
          <w:w w:val="105"/>
          <w:vertAlign w:val="baseline"/>
        </w:rPr>
        <w:t>(4.2) </w:t>
      </w:r>
      <w:r>
        <w:rPr>
          <w:w w:val="105"/>
          <w:vertAlign w:val="baseline"/>
        </w:rPr>
        <w:t>where</w:t>
      </w:r>
      <w:r>
        <w:rPr>
          <w:spacing w:val="-16"/>
          <w:w w:val="105"/>
          <w:vertAlign w:val="baseline"/>
        </w:rPr>
        <w:t> </w:t>
      </w:r>
      <w:r>
        <w:rPr>
          <w:w w:val="105"/>
          <w:vertAlign w:val="baseline"/>
        </w:rPr>
        <w:t>Q</w:t>
      </w:r>
      <w:r>
        <w:rPr>
          <w:spacing w:val="-16"/>
          <w:w w:val="105"/>
          <w:vertAlign w:val="baseline"/>
        </w:rPr>
        <w:t> </w:t>
      </w:r>
      <w:r>
        <w:rPr>
          <w:w w:val="105"/>
          <w:vertAlign w:val="baseline"/>
        </w:rPr>
        <w:t>is</w:t>
      </w:r>
      <w:r>
        <w:rPr>
          <w:spacing w:val="-16"/>
          <w:w w:val="105"/>
          <w:vertAlign w:val="baseline"/>
        </w:rPr>
        <w:t> </w:t>
      </w:r>
      <w:r>
        <w:rPr>
          <w:w w:val="105"/>
          <w:vertAlign w:val="baseline"/>
        </w:rPr>
        <w:t>the</w:t>
      </w:r>
      <w:r>
        <w:rPr>
          <w:spacing w:val="-15"/>
          <w:w w:val="105"/>
          <w:vertAlign w:val="baseline"/>
        </w:rPr>
        <w:t> </w:t>
      </w:r>
      <w:r>
        <w:rPr>
          <w:w w:val="105"/>
          <w:vertAlign w:val="baseline"/>
        </w:rPr>
        <w:t>value</w:t>
      </w:r>
      <w:r>
        <w:rPr>
          <w:spacing w:val="-16"/>
          <w:w w:val="105"/>
          <w:vertAlign w:val="baseline"/>
        </w:rPr>
        <w:t> </w:t>
      </w:r>
      <w:r>
        <w:rPr>
          <w:w w:val="105"/>
          <w:vertAlign w:val="baseline"/>
        </w:rPr>
        <w:t>function</w:t>
      </w:r>
      <w:r>
        <w:rPr>
          <w:spacing w:val="-16"/>
          <w:w w:val="105"/>
          <w:vertAlign w:val="baseline"/>
        </w:rPr>
        <w:t> </w:t>
      </w:r>
      <w:r>
        <w:rPr>
          <w:w w:val="105"/>
          <w:vertAlign w:val="baseline"/>
        </w:rPr>
        <w:t>for</w:t>
      </w:r>
      <w:r>
        <w:rPr>
          <w:spacing w:val="-16"/>
          <w:w w:val="105"/>
          <w:vertAlign w:val="baseline"/>
        </w:rPr>
        <w:t> </w:t>
      </w:r>
      <w:r>
        <w:rPr>
          <w:w w:val="105"/>
          <w:vertAlign w:val="baseline"/>
        </w:rPr>
        <w:t>choosing</w:t>
      </w:r>
      <w:r>
        <w:rPr>
          <w:spacing w:val="-15"/>
          <w:w w:val="105"/>
          <w:vertAlign w:val="baseline"/>
        </w:rPr>
        <w:t> </w:t>
      </w:r>
      <w:r>
        <w:rPr>
          <w:w w:val="105"/>
          <w:vertAlign w:val="baseline"/>
        </w:rPr>
        <w:t>action</w:t>
      </w:r>
      <w:r>
        <w:rPr>
          <w:spacing w:val="-16"/>
          <w:w w:val="105"/>
          <w:vertAlign w:val="baseline"/>
        </w:rPr>
        <w:t> </w:t>
      </w:r>
      <w:r>
        <w:rPr>
          <w:rFonts w:ascii="Cambria"/>
          <w:w w:val="105"/>
          <w:vertAlign w:val="baseline"/>
        </w:rPr>
        <w:t>a</w:t>
      </w:r>
      <w:r>
        <w:rPr>
          <w:rFonts w:ascii="Cambria"/>
          <w:spacing w:val="-13"/>
          <w:w w:val="105"/>
          <w:vertAlign w:val="baseline"/>
        </w:rPr>
        <w:t> </w:t>
      </w:r>
      <w:r>
        <w:rPr>
          <w:w w:val="105"/>
          <w:vertAlign w:val="baseline"/>
        </w:rPr>
        <w:t>in</w:t>
      </w:r>
      <w:r>
        <w:rPr>
          <w:spacing w:val="-16"/>
          <w:w w:val="105"/>
          <w:vertAlign w:val="baseline"/>
        </w:rPr>
        <w:t> </w:t>
      </w:r>
      <w:r>
        <w:rPr>
          <w:w w:val="105"/>
          <w:vertAlign w:val="baseline"/>
        </w:rPr>
        <w:t>state</w:t>
      </w:r>
      <w:r>
        <w:rPr>
          <w:spacing w:val="-15"/>
          <w:w w:val="105"/>
          <w:vertAlign w:val="baseline"/>
        </w:rPr>
        <w:t> </w:t>
      </w:r>
      <w:r>
        <w:rPr>
          <w:rFonts w:ascii="Cambria"/>
          <w:w w:val="105"/>
          <w:vertAlign w:val="baseline"/>
        </w:rPr>
        <w:t>s</w:t>
      </w:r>
      <w:r>
        <w:rPr>
          <w:rFonts w:ascii="Cambria"/>
          <w:spacing w:val="-9"/>
          <w:w w:val="105"/>
          <w:vertAlign w:val="baseline"/>
        </w:rPr>
        <w:t> </w:t>
      </w:r>
      <w:r>
        <w:rPr>
          <w:w w:val="105"/>
          <w:vertAlign w:val="baseline"/>
        </w:rPr>
        <w:t>and</w:t>
      </w:r>
      <w:r>
        <w:rPr>
          <w:spacing w:val="-16"/>
          <w:w w:val="105"/>
          <w:vertAlign w:val="baseline"/>
        </w:rPr>
        <w:t> </w:t>
      </w:r>
      <w:r>
        <w:rPr>
          <w:w w:val="105"/>
          <w:vertAlign w:val="baseline"/>
        </w:rPr>
        <w:t>context</w:t>
      </w:r>
      <w:r>
        <w:rPr>
          <w:spacing w:val="-16"/>
          <w:w w:val="105"/>
          <w:vertAlign w:val="baseline"/>
        </w:rPr>
        <w:t> </w:t>
      </w:r>
      <w:r>
        <w:rPr>
          <w:rFonts w:ascii="Cambria"/>
          <w:w w:val="105"/>
          <w:vertAlign w:val="baseline"/>
        </w:rPr>
        <w:t>c</w:t>
      </w:r>
      <w:r>
        <w:rPr>
          <w:w w:val="105"/>
          <w:vertAlign w:val="baseline"/>
        </w:rPr>
        <w:t>.</w:t>
      </w:r>
    </w:p>
    <w:p>
      <w:pPr>
        <w:pStyle w:val="BodyText"/>
        <w:spacing w:line="219" w:lineRule="exact"/>
        <w:ind w:left="961"/>
      </w:pPr>
      <w:r>
        <w:rPr/>
        <w:t>To</w:t>
      </w:r>
      <w:r>
        <w:rPr>
          <w:spacing w:val="18"/>
        </w:rPr>
        <w:t> </w:t>
      </w:r>
      <w:r>
        <w:rPr/>
        <w:t>solve</w:t>
      </w:r>
      <w:r>
        <w:rPr>
          <w:spacing w:val="19"/>
        </w:rPr>
        <w:t> </w:t>
      </w:r>
      <w:r>
        <w:rPr/>
        <w:t>the</w:t>
      </w:r>
      <w:r>
        <w:rPr>
          <w:spacing w:val="19"/>
        </w:rPr>
        <w:t> </w:t>
      </w:r>
      <w:r>
        <w:rPr/>
        <w:t>MDP,</w:t>
      </w:r>
      <w:r>
        <w:rPr>
          <w:spacing w:val="19"/>
        </w:rPr>
        <w:t> </w:t>
      </w:r>
      <w:r>
        <w:rPr/>
        <w:t>the</w:t>
      </w:r>
      <w:r>
        <w:rPr>
          <w:spacing w:val="19"/>
        </w:rPr>
        <w:t> </w:t>
      </w:r>
      <w:r>
        <w:rPr/>
        <w:t>Monte</w:t>
      </w:r>
      <w:r>
        <w:rPr>
          <w:spacing w:val="18"/>
        </w:rPr>
        <w:t> </w:t>
      </w:r>
      <w:r>
        <w:rPr/>
        <w:t>Carlo</w:t>
      </w:r>
      <w:r>
        <w:rPr>
          <w:spacing w:val="19"/>
        </w:rPr>
        <w:t> </w:t>
      </w:r>
      <w:r>
        <w:rPr/>
        <w:t>every</w:t>
      </w:r>
      <w:r>
        <w:rPr>
          <w:spacing w:val="19"/>
        </w:rPr>
        <w:t> </w:t>
      </w:r>
      <w:r>
        <w:rPr/>
        <w:t>visit</w:t>
      </w:r>
      <w:r>
        <w:rPr>
          <w:spacing w:val="19"/>
        </w:rPr>
        <w:t> </w:t>
      </w:r>
      <w:r>
        <w:rPr/>
        <w:t>algorithm</w:t>
      </w:r>
      <w:r>
        <w:rPr>
          <w:spacing w:val="19"/>
        </w:rPr>
        <w:t> </w:t>
      </w:r>
      <w:r>
        <w:rPr/>
        <w:t>was</w:t>
      </w:r>
      <w:r>
        <w:rPr>
          <w:spacing w:val="19"/>
        </w:rPr>
        <w:t> </w:t>
      </w:r>
      <w:r>
        <w:rPr/>
        <w:t>implemented.</w:t>
      </w:r>
      <w:r>
        <w:rPr>
          <w:spacing w:val="54"/>
          <w:w w:val="150"/>
        </w:rPr>
        <w:t> </w:t>
      </w:r>
      <w:r>
        <w:rPr>
          <w:spacing w:val="-4"/>
        </w:rPr>
        <w:t>This</w:t>
      </w:r>
    </w:p>
    <w:p>
      <w:pPr>
        <w:pStyle w:val="BodyText"/>
        <w:spacing w:line="312" w:lineRule="auto" w:before="82"/>
        <w:ind w:left="610" w:right="389"/>
      </w:pPr>
      <w:r>
        <w:rPr/>
        <w:t>algorithm was also used in Chapter</w:t>
      </w:r>
      <w:r>
        <w:rPr>
          <w:color w:val="0000FF"/>
        </w:rPr>
        <w:t>3</w:t>
      </w:r>
      <w:r>
        <w:rPr/>
        <w:t>and justification is provided in Section</w:t>
      </w:r>
      <w:r>
        <w:rPr>
          <w:color w:val="0000FF"/>
        </w:rPr>
        <w:t>3.2.3</w:t>
      </w:r>
      <w:hyperlink w:history="true" w:anchor="_bookmark60">
        <w:r>
          <w:rPr/>
          <w:t>.</w:t>
        </w:r>
      </w:hyperlink>
      <w:r>
        <w:rPr>
          <w:spacing w:val="40"/>
        </w:rPr>
        <w:t> </w:t>
      </w:r>
      <w:r>
        <w:rPr/>
        <w:t>The </w:t>
      </w:r>
      <w:r>
        <w:rPr>
          <w:spacing w:val="-2"/>
        </w:rPr>
        <w:t>Monte</w:t>
      </w:r>
      <w:r>
        <w:rPr>
          <w:spacing w:val="-9"/>
        </w:rPr>
        <w:t> </w:t>
      </w:r>
      <w:r>
        <w:rPr>
          <w:spacing w:val="-2"/>
        </w:rPr>
        <w:t>Carlo</w:t>
      </w:r>
      <w:r>
        <w:rPr>
          <w:spacing w:val="-9"/>
        </w:rPr>
        <w:t> </w:t>
      </w:r>
      <w:r>
        <w:rPr>
          <w:spacing w:val="-2"/>
        </w:rPr>
        <w:t>every</w:t>
      </w:r>
      <w:r>
        <w:rPr>
          <w:spacing w:val="-9"/>
        </w:rPr>
        <w:t> </w:t>
      </w:r>
      <w:r>
        <w:rPr>
          <w:spacing w:val="-2"/>
        </w:rPr>
        <w:t>visit</w:t>
      </w:r>
      <w:r>
        <w:rPr>
          <w:spacing w:val="-9"/>
        </w:rPr>
        <w:t> </w:t>
      </w:r>
      <w:r>
        <w:rPr>
          <w:spacing w:val="-2"/>
        </w:rPr>
        <w:t>algorithm</w:t>
      </w:r>
      <w:r>
        <w:rPr>
          <w:spacing w:val="-9"/>
        </w:rPr>
        <w:t> </w:t>
      </w:r>
      <w:r>
        <w:rPr>
          <w:spacing w:val="-2"/>
        </w:rPr>
        <w:t>calculates</w:t>
      </w:r>
      <w:r>
        <w:rPr>
          <w:spacing w:val="-9"/>
        </w:rPr>
        <w:t> </w:t>
      </w:r>
      <w:r>
        <w:rPr>
          <w:spacing w:val="-2"/>
        </w:rPr>
        <w:t>the</w:t>
      </w:r>
      <w:r>
        <w:rPr>
          <w:spacing w:val="-9"/>
        </w:rPr>
        <w:t> </w:t>
      </w:r>
      <w:r>
        <w:rPr>
          <w:spacing w:val="-2"/>
        </w:rPr>
        <w:t>empirical</w:t>
      </w:r>
      <w:r>
        <w:rPr>
          <w:spacing w:val="-9"/>
        </w:rPr>
        <w:t> </w:t>
      </w:r>
      <w:r>
        <w:rPr>
          <w:spacing w:val="-2"/>
        </w:rPr>
        <w:t>mean</w:t>
      </w:r>
      <w:r>
        <w:rPr>
          <w:spacing w:val="-9"/>
        </w:rPr>
        <w:t> </w:t>
      </w:r>
      <w:r>
        <w:rPr>
          <w:spacing w:val="-2"/>
        </w:rPr>
        <w:t>of</w:t>
      </w:r>
      <w:r>
        <w:rPr>
          <w:spacing w:val="-9"/>
        </w:rPr>
        <w:t> </w:t>
      </w:r>
      <w:r>
        <w:rPr>
          <w:spacing w:val="-2"/>
        </w:rPr>
        <w:t>each</w:t>
      </w:r>
      <w:r>
        <w:rPr>
          <w:spacing w:val="-9"/>
        </w:rPr>
        <w:t> </w:t>
      </w:r>
      <w:r>
        <w:rPr>
          <w:spacing w:val="-2"/>
        </w:rPr>
        <w:t>state,</w:t>
      </w:r>
      <w:r>
        <w:rPr>
          <w:spacing w:val="-5"/>
        </w:rPr>
        <w:t> </w:t>
      </w:r>
      <w:r>
        <w:rPr>
          <w:spacing w:val="-2"/>
        </w:rPr>
        <w:t>action</w:t>
      </w:r>
      <w:r>
        <w:rPr>
          <w:spacing w:val="-9"/>
        </w:rPr>
        <w:t> </w:t>
      </w:r>
      <w:r>
        <w:rPr>
          <w:spacing w:val="-2"/>
        </w:rPr>
        <w:t>value </w:t>
      </w:r>
      <w:r>
        <w:rPr/>
        <w:t>by summing the discounted rewards accumulated and dividing by the total number of</w:t>
      </w:r>
      <w:r>
        <w:rPr>
          <w:spacing w:val="80"/>
        </w:rPr>
        <w:t> </w:t>
      </w:r>
      <w:r>
        <w:rPr/>
        <w:t>times</w:t>
      </w:r>
      <w:r>
        <w:rPr>
          <w:spacing w:val="-5"/>
        </w:rPr>
        <w:t> </w:t>
      </w:r>
      <w:r>
        <w:rPr/>
        <w:t>the</w:t>
      </w:r>
      <w:r>
        <w:rPr>
          <w:spacing w:val="-5"/>
        </w:rPr>
        <w:t> </w:t>
      </w:r>
      <w:r>
        <w:rPr/>
        <w:t>state,</w:t>
      </w:r>
      <w:r>
        <w:rPr>
          <w:spacing w:val="-5"/>
        </w:rPr>
        <w:t> </w:t>
      </w:r>
      <w:r>
        <w:rPr/>
        <w:t>action</w:t>
      </w:r>
      <w:r>
        <w:rPr>
          <w:spacing w:val="-5"/>
        </w:rPr>
        <w:t> </w:t>
      </w:r>
      <w:r>
        <w:rPr/>
        <w:t>pair</w:t>
      </w:r>
      <w:r>
        <w:rPr>
          <w:spacing w:val="-5"/>
        </w:rPr>
        <w:t> </w:t>
      </w:r>
      <w:r>
        <w:rPr/>
        <w:t>is</w:t>
      </w:r>
      <w:r>
        <w:rPr>
          <w:spacing w:val="-5"/>
        </w:rPr>
        <w:t> </w:t>
      </w:r>
      <w:r>
        <w:rPr/>
        <w:t>used. The</w:t>
      </w:r>
      <w:r>
        <w:rPr>
          <w:spacing w:val="-5"/>
        </w:rPr>
        <w:t> </w:t>
      </w:r>
      <w:r>
        <w:rPr/>
        <w:t>algorithm</w:t>
      </w:r>
      <w:r>
        <w:rPr>
          <w:spacing w:val="-5"/>
        </w:rPr>
        <w:t> </w:t>
      </w:r>
      <w:r>
        <w:rPr/>
        <w:t>allows</w:t>
      </w:r>
      <w:r>
        <w:rPr>
          <w:spacing w:val="-5"/>
        </w:rPr>
        <w:t> </w:t>
      </w:r>
      <w:r>
        <w:rPr/>
        <w:t>every</w:t>
      </w:r>
      <w:r>
        <w:rPr>
          <w:spacing w:val="-5"/>
        </w:rPr>
        <w:t> </w:t>
      </w:r>
      <w:r>
        <w:rPr/>
        <w:t>visit</w:t>
      </w:r>
      <w:r>
        <w:rPr>
          <w:spacing w:val="-5"/>
        </w:rPr>
        <w:t> </w:t>
      </w:r>
      <w:r>
        <w:rPr/>
        <w:t>to</w:t>
      </w:r>
      <w:r>
        <w:rPr>
          <w:spacing w:val="-5"/>
        </w:rPr>
        <w:t> </w:t>
      </w:r>
      <w:r>
        <w:rPr/>
        <w:t>every</w:t>
      </w:r>
      <w:r>
        <w:rPr>
          <w:spacing w:val="-5"/>
        </w:rPr>
        <w:t> </w:t>
      </w:r>
      <w:r>
        <w:rPr/>
        <w:t>state,</w:t>
      </w:r>
      <w:r>
        <w:rPr>
          <w:spacing w:val="-5"/>
        </w:rPr>
        <w:t> </w:t>
      </w:r>
      <w:r>
        <w:rPr/>
        <w:t>action pair</w:t>
      </w:r>
      <w:r>
        <w:rPr>
          <w:spacing w:val="-15"/>
        </w:rPr>
        <w:t> </w:t>
      </w:r>
      <w:r>
        <w:rPr/>
        <w:t>to</w:t>
      </w:r>
      <w:r>
        <w:rPr>
          <w:spacing w:val="-15"/>
        </w:rPr>
        <w:t> </w:t>
      </w:r>
      <w:r>
        <w:rPr/>
        <w:t>be</w:t>
      </w:r>
      <w:r>
        <w:rPr>
          <w:spacing w:val="-15"/>
        </w:rPr>
        <w:t> </w:t>
      </w:r>
      <w:r>
        <w:rPr/>
        <w:t>valued</w:t>
      </w:r>
      <w:r>
        <w:rPr>
          <w:spacing w:val="-15"/>
        </w:rPr>
        <w:t> </w:t>
      </w:r>
      <w:r>
        <w:rPr/>
        <w:t>rather</w:t>
      </w:r>
      <w:r>
        <w:rPr>
          <w:spacing w:val="-15"/>
        </w:rPr>
        <w:t> </w:t>
      </w:r>
      <w:r>
        <w:rPr/>
        <w:t>than</w:t>
      </w:r>
      <w:r>
        <w:rPr>
          <w:spacing w:val="-15"/>
        </w:rPr>
        <w:t> </w:t>
      </w:r>
      <w:r>
        <w:rPr/>
        <w:t>just</w:t>
      </w:r>
      <w:r>
        <w:rPr>
          <w:spacing w:val="-15"/>
        </w:rPr>
        <w:t> </w:t>
      </w:r>
      <w:r>
        <w:rPr/>
        <w:t>the</w:t>
      </w:r>
      <w:r>
        <w:rPr>
          <w:spacing w:val="-15"/>
        </w:rPr>
        <w:t> </w:t>
      </w:r>
      <w:r>
        <w:rPr/>
        <w:t>first</w:t>
      </w:r>
      <w:r>
        <w:rPr>
          <w:spacing w:val="-15"/>
        </w:rPr>
        <w:t> </w:t>
      </w:r>
      <w:r>
        <w:rPr/>
        <w:t>occurrence</w:t>
      </w:r>
      <w:r>
        <w:rPr>
          <w:spacing w:val="-15"/>
        </w:rPr>
        <w:t> </w:t>
      </w:r>
      <w:r>
        <w:rPr/>
        <w:t>within</w:t>
      </w:r>
      <w:r>
        <w:rPr>
          <w:spacing w:val="-15"/>
        </w:rPr>
        <w:t> </w:t>
      </w:r>
      <w:r>
        <w:rPr/>
        <w:t>an</w:t>
      </w:r>
      <w:r>
        <w:rPr>
          <w:spacing w:val="-15"/>
        </w:rPr>
        <w:t> </w:t>
      </w:r>
      <w:r>
        <w:rPr/>
        <w:t>episode.</w:t>
      </w:r>
      <w:r>
        <w:rPr>
          <w:spacing w:val="-15"/>
        </w:rPr>
        <w:t> </w:t>
      </w:r>
      <w:r>
        <w:rPr/>
        <w:t>This</w:t>
      </w:r>
      <w:r>
        <w:rPr>
          <w:spacing w:val="-15"/>
        </w:rPr>
        <w:t> </w:t>
      </w:r>
      <w:r>
        <w:rPr/>
        <w:t>is</w:t>
      </w:r>
      <w:r>
        <w:rPr>
          <w:spacing w:val="-15"/>
        </w:rPr>
        <w:t> </w:t>
      </w:r>
      <w:r>
        <w:rPr/>
        <w:t>particularly important</w:t>
      </w:r>
      <w:r>
        <w:rPr>
          <w:spacing w:val="-12"/>
        </w:rPr>
        <w:t> </w:t>
      </w:r>
      <w:r>
        <w:rPr/>
        <w:t>in</w:t>
      </w:r>
      <w:r>
        <w:rPr>
          <w:spacing w:val="-12"/>
        </w:rPr>
        <w:t> </w:t>
      </w:r>
      <w:r>
        <w:rPr/>
        <w:t>rugby</w:t>
      </w:r>
      <w:r>
        <w:rPr>
          <w:spacing w:val="-12"/>
        </w:rPr>
        <w:t> </w:t>
      </w:r>
      <w:r>
        <w:rPr/>
        <w:t>league</w:t>
      </w:r>
      <w:r>
        <w:rPr>
          <w:spacing w:val="-12"/>
        </w:rPr>
        <w:t> </w:t>
      </w:r>
      <w:r>
        <w:rPr/>
        <w:t>as</w:t>
      </w:r>
      <w:r>
        <w:rPr>
          <w:spacing w:val="-12"/>
        </w:rPr>
        <w:t> </w:t>
      </w:r>
      <w:r>
        <w:rPr/>
        <w:t>multiple</w:t>
      </w:r>
      <w:r>
        <w:rPr>
          <w:spacing w:val="-12"/>
        </w:rPr>
        <w:t> </w:t>
      </w:r>
      <w:r>
        <w:rPr/>
        <w:t>actions</w:t>
      </w:r>
      <w:r>
        <w:rPr>
          <w:spacing w:val="-12"/>
        </w:rPr>
        <w:t> </w:t>
      </w:r>
      <w:r>
        <w:rPr/>
        <w:t>regularly</w:t>
      </w:r>
      <w:r>
        <w:rPr>
          <w:spacing w:val="-12"/>
        </w:rPr>
        <w:t> </w:t>
      </w:r>
      <w:r>
        <w:rPr/>
        <w:t>occur</w:t>
      </w:r>
      <w:r>
        <w:rPr>
          <w:spacing w:val="-12"/>
        </w:rPr>
        <w:t> </w:t>
      </w:r>
      <w:r>
        <w:rPr/>
        <w:t>in</w:t>
      </w:r>
      <w:r>
        <w:rPr>
          <w:spacing w:val="-12"/>
        </w:rPr>
        <w:t> </w:t>
      </w:r>
      <w:r>
        <w:rPr/>
        <w:t>similar</w:t>
      </w:r>
      <w:r>
        <w:rPr>
          <w:spacing w:val="-12"/>
        </w:rPr>
        <w:t> </w:t>
      </w:r>
      <w:r>
        <w:rPr/>
        <w:t>locations</w:t>
      </w:r>
      <w:r>
        <w:rPr>
          <w:spacing w:val="-12"/>
        </w:rPr>
        <w:t> </w:t>
      </w:r>
      <w:r>
        <w:rPr/>
        <w:t>or</w:t>
      </w:r>
      <w:r>
        <w:rPr>
          <w:spacing w:val="-12"/>
        </w:rPr>
        <w:t> </w:t>
      </w:r>
      <w:r>
        <w:rPr/>
        <w:t>states as</w:t>
      </w:r>
      <w:r>
        <w:rPr>
          <w:spacing w:val="-2"/>
        </w:rPr>
        <w:t> </w:t>
      </w:r>
      <w:r>
        <w:rPr/>
        <w:t>the</w:t>
      </w:r>
      <w:r>
        <w:rPr>
          <w:spacing w:val="-2"/>
        </w:rPr>
        <w:t> </w:t>
      </w:r>
      <w:r>
        <w:rPr/>
        <w:t>defensive</w:t>
      </w:r>
      <w:r>
        <w:rPr>
          <w:spacing w:val="-2"/>
        </w:rPr>
        <w:t> </w:t>
      </w:r>
      <w:r>
        <w:rPr/>
        <w:t>team</w:t>
      </w:r>
      <w:r>
        <w:rPr>
          <w:spacing w:val="-2"/>
        </w:rPr>
        <w:t> </w:t>
      </w:r>
      <w:r>
        <w:rPr/>
        <w:t>attempts</w:t>
      </w:r>
      <w:r>
        <w:rPr>
          <w:spacing w:val="-2"/>
        </w:rPr>
        <w:t> </w:t>
      </w:r>
      <w:r>
        <w:rPr/>
        <w:t>to</w:t>
      </w:r>
      <w:r>
        <w:rPr>
          <w:spacing w:val="-2"/>
        </w:rPr>
        <w:t> </w:t>
      </w:r>
      <w:r>
        <w:rPr/>
        <w:t>stop</w:t>
      </w:r>
      <w:r>
        <w:rPr>
          <w:spacing w:val="-2"/>
        </w:rPr>
        <w:t> </w:t>
      </w:r>
      <w:r>
        <w:rPr/>
        <w:t>the</w:t>
      </w:r>
      <w:r>
        <w:rPr>
          <w:spacing w:val="-2"/>
        </w:rPr>
        <w:t> </w:t>
      </w:r>
      <w:r>
        <w:rPr/>
        <w:t>attacking</w:t>
      </w:r>
      <w:r>
        <w:rPr>
          <w:spacing w:val="-2"/>
        </w:rPr>
        <w:t> </w:t>
      </w:r>
      <w:r>
        <w:rPr/>
        <w:t>team</w:t>
      </w:r>
      <w:r>
        <w:rPr>
          <w:spacing w:val="-2"/>
        </w:rPr>
        <w:t> </w:t>
      </w:r>
      <w:r>
        <w:rPr/>
        <w:t>from</w:t>
      </w:r>
      <w:r>
        <w:rPr>
          <w:spacing w:val="-2"/>
        </w:rPr>
        <w:t> </w:t>
      </w:r>
      <w:r>
        <w:rPr/>
        <w:t>progressing</w:t>
      </w:r>
      <w:r>
        <w:rPr>
          <w:spacing w:val="-2"/>
        </w:rPr>
        <w:t> </w:t>
      </w:r>
      <w:r>
        <w:rPr/>
        <w:t>towards</w:t>
      </w:r>
      <w:r>
        <w:rPr>
          <w:spacing w:val="-2"/>
        </w:rPr>
        <w:t> </w:t>
      </w:r>
      <w:r>
        <w:rPr/>
        <w:t>their try line.</w:t>
      </w:r>
    </w:p>
    <w:p>
      <w:pPr>
        <w:spacing w:after="0" w:line="312" w:lineRule="auto"/>
        <w:sectPr>
          <w:pgSz w:w="11910" w:h="16840"/>
          <w:pgMar w:header="1961" w:footer="1428" w:top="2280" w:bottom="1620" w:left="1680" w:right="720"/>
        </w:sectPr>
      </w:pPr>
    </w:p>
    <w:p>
      <w:pPr>
        <w:pStyle w:val="BodyText"/>
        <w:rPr>
          <w:sz w:val="20"/>
        </w:rPr>
      </w:pPr>
    </w:p>
    <w:p>
      <w:pPr>
        <w:pStyle w:val="BodyText"/>
        <w:spacing w:before="11"/>
        <w:rPr>
          <w:sz w:val="18"/>
        </w:rPr>
      </w:pPr>
    </w:p>
    <w:p>
      <w:pPr>
        <w:pStyle w:val="BodyText"/>
        <w:rPr>
          <w:sz w:val="8"/>
        </w:rPr>
      </w:pPr>
      <w:r>
        <w:rPr/>
        <w:pict>
          <v:shape style="position:absolute;margin-left:114.519997pt;margin-top:5.799609pt;width:425.2pt;height:.1pt;mso-position-horizontal-relative:page;mso-position-vertical-relative:paragraph;z-index:-15683072;mso-wrap-distance-left:0;mso-wrap-distance-right:0" id="docshape111" coordorigin="2290,116" coordsize="8504,0" path="m2290,116l10794,116e" filled="false" stroked="true" strokeweight=".797pt" strokecolor="#000000">
            <v:path arrowok="t"/>
            <v:stroke dashstyle="solid"/>
            <w10:wrap type="topAndBottom"/>
          </v:shape>
        </w:pict>
      </w:r>
    </w:p>
    <w:p>
      <w:pPr>
        <w:spacing w:before="0"/>
        <w:ind w:left="610" w:right="0" w:firstLine="0"/>
        <w:jc w:val="left"/>
        <w:rPr>
          <w:sz w:val="24"/>
        </w:rPr>
      </w:pPr>
      <w:bookmarkStart w:name="_bookmark105" w:id="185"/>
      <w:bookmarkEnd w:id="185"/>
      <w:r>
        <w:rPr/>
      </w:r>
      <w:r>
        <w:rPr>
          <w:b/>
          <w:sz w:val="24"/>
        </w:rPr>
        <w:t>Algorithm</w:t>
      </w:r>
      <w:r>
        <w:rPr>
          <w:b/>
          <w:spacing w:val="-7"/>
          <w:sz w:val="24"/>
        </w:rPr>
        <w:t> </w:t>
      </w:r>
      <w:r>
        <w:rPr>
          <w:b/>
          <w:sz w:val="24"/>
        </w:rPr>
        <w:t>2</w:t>
      </w:r>
      <w:r>
        <w:rPr>
          <w:b/>
          <w:spacing w:val="-7"/>
          <w:sz w:val="24"/>
        </w:rPr>
        <w:t> </w:t>
      </w:r>
      <w:r>
        <w:rPr>
          <w:sz w:val="24"/>
        </w:rPr>
        <w:t>Monte</w:t>
      </w:r>
      <w:r>
        <w:rPr>
          <w:spacing w:val="-7"/>
          <w:sz w:val="24"/>
        </w:rPr>
        <w:t> </w:t>
      </w:r>
      <w:r>
        <w:rPr>
          <w:sz w:val="24"/>
        </w:rPr>
        <w:t>Carlo</w:t>
      </w:r>
      <w:r>
        <w:rPr>
          <w:spacing w:val="-7"/>
          <w:sz w:val="24"/>
        </w:rPr>
        <w:t> </w:t>
      </w:r>
      <w:r>
        <w:rPr>
          <w:spacing w:val="-2"/>
          <w:sz w:val="24"/>
        </w:rPr>
        <w:t>Algorithm</w:t>
      </w:r>
    </w:p>
    <w:p>
      <w:pPr>
        <w:pStyle w:val="BodyText"/>
        <w:spacing w:line="249" w:lineRule="auto" w:before="4"/>
        <w:ind w:left="1493" w:hanging="884"/>
      </w:pPr>
      <w:r>
        <w:rPr/>
        <w:pict>
          <v:line style="position:absolute;mso-position-horizontal-relative:page;mso-position-vertical-relative:paragraph;z-index:15775232" from="114.519997pt,1.257339pt" to="539.716997pt,1.257339pt" stroked="true" strokeweight=".398pt" strokecolor="#000000">
            <v:stroke dashstyle="solid"/>
            <w10:wrap type="none"/>
          </v:line>
        </w:pict>
      </w:r>
      <w:r>
        <w:rPr>
          <w:b/>
        </w:rPr>
        <w:t>Input</w:t>
      </w:r>
      <w:r>
        <w:rPr>
          <w:b/>
          <w:spacing w:val="80"/>
        </w:rPr>
        <w:t> </w:t>
      </w:r>
      <w:r>
        <w:rPr>
          <w:b/>
        </w:rPr>
        <w:t>: </w:t>
      </w:r>
      <w:r>
        <w:rPr/>
        <w:t>Episode dataset, including state-action pairs and rewards, </w:t>
      </w:r>
      <w:r>
        <w:rPr>
          <w:rFonts w:ascii="Cambria" w:hAnsi="Cambria"/>
        </w:rPr>
        <w:t>γ</w:t>
      </w:r>
      <w:r>
        <w:rPr/>
        <w:t>, empty returns </w:t>
      </w:r>
      <w:r>
        <w:rPr/>
        <w:t>list (Returns), empty counter list (Counter), empty Q-values list (Q)</w:t>
      </w:r>
    </w:p>
    <w:p>
      <w:pPr>
        <w:pStyle w:val="BodyText"/>
        <w:spacing w:before="2"/>
        <w:ind w:left="610"/>
      </w:pPr>
      <w:r>
        <w:rPr>
          <w:b/>
        </w:rPr>
        <w:t>Output:</w:t>
      </w:r>
      <w:r>
        <w:rPr>
          <w:b/>
          <w:spacing w:val="-7"/>
        </w:rPr>
        <w:t> </w:t>
      </w:r>
      <w:r>
        <w:rPr/>
        <w:t>Q,</w:t>
      </w:r>
      <w:r>
        <w:rPr>
          <w:spacing w:val="-6"/>
        </w:rPr>
        <w:t> </w:t>
      </w:r>
      <w:r>
        <w:rPr/>
        <w:t>populated</w:t>
      </w:r>
      <w:r>
        <w:rPr>
          <w:spacing w:val="-7"/>
        </w:rPr>
        <w:t> </w:t>
      </w:r>
      <w:r>
        <w:rPr/>
        <w:t>with</w:t>
      </w:r>
      <w:r>
        <w:rPr>
          <w:spacing w:val="-6"/>
        </w:rPr>
        <w:t> </w:t>
      </w:r>
      <w:r>
        <w:rPr/>
        <w:t>results</w:t>
      </w:r>
      <w:r>
        <w:rPr>
          <w:spacing w:val="-7"/>
        </w:rPr>
        <w:t> </w:t>
      </w:r>
      <w:r>
        <w:rPr/>
        <w:t>of</w:t>
      </w:r>
      <w:r>
        <w:rPr>
          <w:spacing w:val="-6"/>
        </w:rPr>
        <w:t> </w:t>
      </w:r>
      <w:r>
        <w:rPr>
          <w:spacing w:val="-5"/>
        </w:rPr>
        <w:t>MDP</w:t>
      </w:r>
    </w:p>
    <w:p>
      <w:pPr>
        <w:spacing w:before="228"/>
        <w:ind w:left="610" w:right="0" w:firstLine="0"/>
        <w:jc w:val="left"/>
        <w:rPr>
          <w:b/>
          <w:sz w:val="24"/>
        </w:rPr>
      </w:pPr>
      <w:r>
        <w:rPr>
          <w:b/>
          <w:sz w:val="24"/>
        </w:rPr>
        <w:t>for</w:t>
      </w:r>
      <w:r>
        <w:rPr>
          <w:b/>
          <w:spacing w:val="-10"/>
          <w:sz w:val="24"/>
        </w:rPr>
        <w:t> </w:t>
      </w:r>
      <w:r>
        <w:rPr>
          <w:i/>
          <w:sz w:val="24"/>
        </w:rPr>
        <w:t>episode</w:t>
      </w:r>
      <w:r>
        <w:rPr>
          <w:i/>
          <w:spacing w:val="-9"/>
          <w:sz w:val="24"/>
        </w:rPr>
        <w:t> </w:t>
      </w:r>
      <w:r>
        <w:rPr>
          <w:b/>
          <w:spacing w:val="-5"/>
          <w:sz w:val="24"/>
        </w:rPr>
        <w:t>do</w:t>
      </w:r>
    </w:p>
    <w:p>
      <w:pPr>
        <w:spacing w:line="150" w:lineRule="exact" w:before="13"/>
        <w:ind w:left="969" w:right="0" w:firstLine="0"/>
        <w:jc w:val="left"/>
        <w:rPr>
          <w:b/>
          <w:sz w:val="24"/>
        </w:rPr>
      </w:pPr>
      <w:r>
        <w:rPr/>
        <w:pict>
          <v:line style="position:absolute;mso-position-horizontal-relative:page;mso-position-vertical-relative:paragraph;z-index:15775744" from="120.571999pt,84.840152pt" to="120.571999pt,1.741152pt" stroked="true" strokeweight=".398pt" strokecolor="#000000">
            <v:stroke dashstyle="solid"/>
            <w10:wrap type="none"/>
          </v:line>
        </w:pict>
      </w:r>
      <w:r>
        <w:rPr>
          <w:b/>
          <w:sz w:val="24"/>
        </w:rPr>
        <w:t>for</w:t>
      </w:r>
      <w:r>
        <w:rPr>
          <w:b/>
          <w:spacing w:val="-7"/>
          <w:sz w:val="24"/>
        </w:rPr>
        <w:t> </w:t>
      </w:r>
      <w:r>
        <w:rPr>
          <w:i/>
          <w:sz w:val="24"/>
        </w:rPr>
        <w:t>timestep,</w:t>
      </w:r>
      <w:r>
        <w:rPr>
          <w:i/>
          <w:spacing w:val="-7"/>
          <w:sz w:val="24"/>
        </w:rPr>
        <w:t> </w:t>
      </w:r>
      <w:r>
        <w:rPr>
          <w:i/>
          <w:sz w:val="24"/>
        </w:rPr>
        <w:t>t</w:t>
      </w:r>
      <w:r>
        <w:rPr>
          <w:i/>
          <w:spacing w:val="-3"/>
          <w:sz w:val="24"/>
        </w:rPr>
        <w:t> </w:t>
      </w:r>
      <w:r>
        <w:rPr>
          <w:b/>
          <w:spacing w:val="-5"/>
          <w:sz w:val="24"/>
        </w:rPr>
        <w:t>do</w:t>
      </w:r>
    </w:p>
    <w:p>
      <w:pPr>
        <w:spacing w:after="0" w:line="150" w:lineRule="exact"/>
        <w:jc w:val="left"/>
        <w:rPr>
          <w:sz w:val="24"/>
        </w:rPr>
        <w:sectPr>
          <w:pgSz w:w="11910" w:h="16840"/>
          <w:pgMar w:header="1961" w:footer="1428" w:top="2280" w:bottom="1620" w:left="1680" w:right="720"/>
        </w:sectPr>
      </w:pPr>
    </w:p>
    <w:p>
      <w:pPr>
        <w:pStyle w:val="BodyText"/>
        <w:spacing w:line="422" w:lineRule="exact"/>
        <w:ind w:left="1328"/>
        <w:rPr>
          <w:rFonts w:ascii="Lucida Sans Unicode" w:hAnsi="Lucida Sans Unicode"/>
          <w:sz w:val="16"/>
        </w:rPr>
      </w:pPr>
      <w:r>
        <w:rPr/>
        <w:pict>
          <v:line style="position:absolute;mso-position-horizontal-relative:page;mso-position-vertical-relative:paragraph;z-index:15776256" from="138.529007pt,61.285635pt" to="138.529007pt,8.074635pt" stroked="true" strokeweight=".398pt" strokecolor="#000000">
            <v:stroke dashstyle="solid"/>
            <w10:wrap type="none"/>
          </v:line>
        </w:pict>
      </w:r>
      <w:r>
        <w:rPr/>
        <w:pict>
          <v:shape style="position:absolute;margin-left:191.589996pt;margin-top:15.45706pt;width:15.45pt;height:8pt;mso-position-horizontal-relative:page;mso-position-vertical-relative:paragraph;z-index:-21768192" type="#_x0000_t202" id="docshape112" filled="false" stroked="false">
            <v:textbox inset="0,0,0,0">
              <w:txbxContent>
                <w:p>
                  <w:pPr>
                    <w:spacing w:line="155" w:lineRule="exact" w:before="0"/>
                    <w:ind w:left="0" w:right="0" w:firstLine="0"/>
                    <w:jc w:val="left"/>
                    <w:rPr>
                      <w:rFonts w:ascii="Georgia"/>
                      <w:sz w:val="16"/>
                    </w:rPr>
                  </w:pPr>
                  <w:r>
                    <w:rPr>
                      <w:rFonts w:ascii="Cambria"/>
                      <w:spacing w:val="-5"/>
                      <w:w w:val="105"/>
                      <w:sz w:val="16"/>
                    </w:rPr>
                    <w:t>k</w:t>
                  </w:r>
                  <w:r>
                    <w:rPr>
                      <w:rFonts w:ascii="Georgia"/>
                      <w:spacing w:val="-5"/>
                      <w:w w:val="105"/>
                      <w:sz w:val="16"/>
                    </w:rPr>
                    <w:t>=0</w:t>
                  </w:r>
                </w:p>
              </w:txbxContent>
            </v:textbox>
            <w10:wrap type="none"/>
          </v:shape>
        </w:pict>
      </w:r>
      <w:r>
        <w:rPr>
          <w:rFonts w:ascii="Cambria" w:hAnsi="Cambria"/>
          <w:w w:val="120"/>
        </w:rPr>
        <w:t>G</w:t>
      </w:r>
      <w:r>
        <w:rPr>
          <w:rFonts w:ascii="Cambria" w:hAnsi="Cambria"/>
          <w:w w:val="120"/>
          <w:vertAlign w:val="subscript"/>
        </w:rPr>
        <w:t>t</w:t>
      </w:r>
      <w:r>
        <w:rPr>
          <w:rFonts w:ascii="Cambria" w:hAnsi="Cambria"/>
          <w:spacing w:val="8"/>
          <w:w w:val="120"/>
          <w:vertAlign w:val="baseline"/>
        </w:rPr>
        <w:t> </w:t>
      </w:r>
      <w:r>
        <w:rPr>
          <w:rFonts w:ascii="Garamond" w:hAnsi="Garamond"/>
          <w:w w:val="120"/>
          <w:vertAlign w:val="baseline"/>
        </w:rPr>
        <w:t>=</w:t>
      </w:r>
      <w:r>
        <w:rPr>
          <w:rFonts w:ascii="Garamond" w:hAnsi="Garamond"/>
          <w:spacing w:val="-10"/>
          <w:w w:val="120"/>
          <w:vertAlign w:val="baseline"/>
        </w:rPr>
        <w:t> </w:t>
      </w:r>
      <w:r>
        <w:rPr>
          <w:rFonts w:ascii="Arial" w:hAnsi="Arial"/>
          <w:spacing w:val="-5"/>
          <w:w w:val="120"/>
          <w:position w:val="18"/>
          <w:vertAlign w:val="baseline"/>
        </w:rPr>
        <w:t>L.</w:t>
      </w:r>
      <w:r>
        <w:rPr>
          <w:rFonts w:ascii="Lucida Sans Unicode" w:hAnsi="Lucida Sans Unicode"/>
          <w:spacing w:val="-5"/>
          <w:w w:val="120"/>
          <w:position w:val="12"/>
          <w:sz w:val="16"/>
          <w:vertAlign w:val="baseline"/>
        </w:rPr>
        <w:t>∞</w:t>
      </w:r>
    </w:p>
    <w:p>
      <w:pPr>
        <w:spacing w:line="304" w:lineRule="exact" w:before="122"/>
        <w:ind w:left="149" w:right="0" w:firstLine="0"/>
        <w:jc w:val="left"/>
        <w:rPr>
          <w:rFonts w:ascii="Georgia" w:hAnsi="Georgia"/>
          <w:sz w:val="16"/>
        </w:rPr>
      </w:pPr>
      <w:r>
        <w:rPr/>
        <w:br w:type="column"/>
      </w:r>
      <w:r>
        <w:rPr>
          <w:rFonts w:ascii="Cambria" w:hAnsi="Cambria"/>
          <w:spacing w:val="-2"/>
          <w:w w:val="115"/>
          <w:position w:val="4"/>
          <w:sz w:val="24"/>
        </w:rPr>
        <w:t>γ</w:t>
      </w:r>
      <w:r>
        <w:rPr>
          <w:rFonts w:ascii="Cambria" w:hAnsi="Cambria"/>
          <w:spacing w:val="-2"/>
          <w:w w:val="115"/>
          <w:position w:val="12"/>
          <w:sz w:val="16"/>
        </w:rPr>
        <w:t>k</w:t>
      </w:r>
      <w:r>
        <w:rPr>
          <w:rFonts w:ascii="Cambria" w:hAnsi="Cambria"/>
          <w:spacing w:val="-2"/>
          <w:w w:val="115"/>
          <w:position w:val="4"/>
          <w:sz w:val="24"/>
        </w:rPr>
        <w:t>R</w:t>
      </w:r>
      <w:r>
        <w:rPr>
          <w:rFonts w:ascii="Cambria" w:hAnsi="Cambria"/>
          <w:spacing w:val="-2"/>
          <w:w w:val="115"/>
          <w:sz w:val="16"/>
        </w:rPr>
        <w:t>t</w:t>
      </w:r>
      <w:r>
        <w:rPr>
          <w:rFonts w:ascii="Georgia" w:hAnsi="Georgia"/>
          <w:spacing w:val="-2"/>
          <w:w w:val="115"/>
          <w:sz w:val="16"/>
        </w:rPr>
        <w:t>+</w:t>
      </w:r>
      <w:r>
        <w:rPr>
          <w:rFonts w:ascii="Cambria" w:hAnsi="Cambria"/>
          <w:spacing w:val="-2"/>
          <w:w w:val="115"/>
          <w:sz w:val="16"/>
        </w:rPr>
        <w:t>k</w:t>
      </w:r>
      <w:r>
        <w:rPr>
          <w:rFonts w:ascii="Georgia" w:hAnsi="Georgia"/>
          <w:spacing w:val="-2"/>
          <w:w w:val="115"/>
          <w:sz w:val="16"/>
        </w:rPr>
        <w:t>+1</w:t>
      </w:r>
    </w:p>
    <w:p>
      <w:pPr>
        <w:spacing w:after="0" w:line="304" w:lineRule="exact"/>
        <w:jc w:val="left"/>
        <w:rPr>
          <w:rFonts w:ascii="Georgia" w:hAnsi="Georgia"/>
          <w:sz w:val="16"/>
        </w:rPr>
        <w:sectPr>
          <w:type w:val="continuous"/>
          <w:pgSz w:w="11910" w:h="16840"/>
          <w:pgMar w:header="1961" w:footer="1428" w:top="1920" w:bottom="280" w:left="1680" w:right="720"/>
          <w:cols w:num="2" w:equalWidth="0">
            <w:col w:w="2322" w:space="40"/>
            <w:col w:w="7148"/>
          </w:cols>
        </w:sectPr>
      </w:pPr>
    </w:p>
    <w:p>
      <w:pPr>
        <w:pStyle w:val="BodyText"/>
        <w:rPr>
          <w:rFonts w:ascii="Georgia"/>
          <w:sz w:val="30"/>
        </w:rPr>
      </w:pPr>
    </w:p>
    <w:p>
      <w:pPr>
        <w:pStyle w:val="BodyText"/>
        <w:spacing w:before="9"/>
        <w:rPr>
          <w:rFonts w:ascii="Georgia"/>
          <w:sz w:val="39"/>
        </w:rPr>
      </w:pPr>
    </w:p>
    <w:p>
      <w:pPr>
        <w:pStyle w:val="Heading4"/>
        <w:spacing w:line="268" w:lineRule="auto" w:before="0"/>
        <w:ind w:left="610" w:right="-9" w:firstLine="359"/>
      </w:pPr>
      <w:r>
        <w:rPr>
          <w:spacing w:val="-4"/>
        </w:rPr>
        <w:t>end end</w:t>
      </w:r>
    </w:p>
    <w:p>
      <w:pPr>
        <w:pStyle w:val="BodyText"/>
        <w:spacing w:line="284" w:lineRule="exact"/>
        <w:ind w:left="64"/>
        <w:rPr>
          <w:rFonts w:ascii="Cambria"/>
        </w:rPr>
      </w:pPr>
      <w:r>
        <w:rPr/>
        <w:br w:type="column"/>
      </w:r>
      <w:r>
        <w:rPr>
          <w:w w:val="105"/>
        </w:rPr>
        <w:t>Returns</w:t>
      </w:r>
      <w:r>
        <w:rPr>
          <w:rFonts w:ascii="Garamond"/>
          <w:w w:val="105"/>
        </w:rPr>
        <w:t>(</w:t>
      </w:r>
      <w:r>
        <w:rPr>
          <w:rFonts w:ascii="Cambria"/>
          <w:w w:val="105"/>
        </w:rPr>
        <w:t>s,</w:t>
      </w:r>
      <w:r>
        <w:rPr>
          <w:rFonts w:ascii="Cambria"/>
          <w:spacing w:val="-16"/>
          <w:w w:val="105"/>
        </w:rPr>
        <w:t> </w:t>
      </w:r>
      <w:r>
        <w:rPr>
          <w:rFonts w:ascii="Cambria"/>
          <w:w w:val="105"/>
        </w:rPr>
        <w:t>a</w:t>
      </w:r>
      <w:r>
        <w:rPr>
          <w:rFonts w:ascii="Garamond"/>
          <w:w w:val="105"/>
        </w:rPr>
        <w:t>)</w:t>
      </w:r>
      <w:r>
        <w:rPr>
          <w:rFonts w:ascii="Garamond"/>
          <w:spacing w:val="-11"/>
          <w:w w:val="105"/>
        </w:rPr>
        <w:t> </w:t>
      </w:r>
      <w:r>
        <w:rPr>
          <w:w w:val="105"/>
        </w:rPr>
        <w:t>=</w:t>
      </w:r>
      <w:r>
        <w:rPr>
          <w:spacing w:val="-8"/>
          <w:w w:val="105"/>
        </w:rPr>
        <w:t> </w:t>
      </w:r>
      <w:r>
        <w:rPr>
          <w:w w:val="105"/>
        </w:rPr>
        <w:t>Returns</w:t>
      </w:r>
      <w:r>
        <w:rPr>
          <w:rFonts w:ascii="Garamond"/>
          <w:w w:val="105"/>
        </w:rPr>
        <w:t>(</w:t>
      </w:r>
      <w:r>
        <w:rPr>
          <w:rFonts w:ascii="Cambria"/>
          <w:w w:val="105"/>
        </w:rPr>
        <w:t>s,</w:t>
      </w:r>
      <w:r>
        <w:rPr>
          <w:rFonts w:ascii="Cambria"/>
          <w:spacing w:val="-15"/>
          <w:w w:val="105"/>
        </w:rPr>
        <w:t> </w:t>
      </w:r>
      <w:r>
        <w:rPr>
          <w:rFonts w:ascii="Cambria"/>
          <w:w w:val="105"/>
        </w:rPr>
        <w:t>a</w:t>
      </w:r>
      <w:r>
        <w:rPr>
          <w:rFonts w:ascii="Garamond"/>
          <w:w w:val="105"/>
        </w:rPr>
        <w:t>)</w:t>
      </w:r>
      <w:r>
        <w:rPr>
          <w:rFonts w:ascii="Garamond"/>
          <w:spacing w:val="-7"/>
          <w:w w:val="105"/>
        </w:rPr>
        <w:t> </w:t>
      </w:r>
      <w:r>
        <w:rPr>
          <w:w w:val="105"/>
        </w:rPr>
        <w:t>+</w:t>
      </w:r>
      <w:r>
        <w:rPr>
          <w:spacing w:val="-7"/>
          <w:w w:val="105"/>
        </w:rPr>
        <w:t> </w:t>
      </w:r>
      <w:r>
        <w:rPr>
          <w:rFonts w:ascii="Cambria"/>
          <w:spacing w:val="-5"/>
          <w:w w:val="105"/>
        </w:rPr>
        <w:t>G</w:t>
      </w:r>
      <w:r>
        <w:rPr>
          <w:rFonts w:ascii="Cambria"/>
          <w:spacing w:val="-5"/>
          <w:w w:val="105"/>
          <w:vertAlign w:val="subscript"/>
        </w:rPr>
        <w:t>t</w:t>
      </w:r>
    </w:p>
    <w:p>
      <w:pPr>
        <w:pStyle w:val="BodyText"/>
        <w:spacing w:line="290" w:lineRule="exact"/>
        <w:ind w:left="64"/>
      </w:pPr>
      <w:r>
        <w:rPr>
          <w:w w:val="105"/>
        </w:rPr>
        <w:t>Counter</w:t>
      </w:r>
      <w:r>
        <w:rPr>
          <w:rFonts w:ascii="Garamond"/>
          <w:w w:val="105"/>
        </w:rPr>
        <w:t>(</w:t>
      </w:r>
      <w:r>
        <w:rPr>
          <w:rFonts w:ascii="Cambria"/>
          <w:w w:val="105"/>
        </w:rPr>
        <w:t>s,</w:t>
      </w:r>
      <w:r>
        <w:rPr>
          <w:rFonts w:ascii="Cambria"/>
          <w:spacing w:val="-16"/>
          <w:w w:val="105"/>
        </w:rPr>
        <w:t> </w:t>
      </w:r>
      <w:r>
        <w:rPr>
          <w:rFonts w:ascii="Cambria"/>
          <w:w w:val="105"/>
        </w:rPr>
        <w:t>a</w:t>
      </w:r>
      <w:r>
        <w:rPr>
          <w:rFonts w:ascii="Garamond"/>
          <w:w w:val="105"/>
        </w:rPr>
        <w:t>)</w:t>
      </w:r>
      <w:r>
        <w:rPr>
          <w:rFonts w:ascii="Garamond"/>
          <w:spacing w:val="-13"/>
          <w:w w:val="105"/>
        </w:rPr>
        <w:t> </w:t>
      </w:r>
      <w:r>
        <w:rPr>
          <w:w w:val="105"/>
        </w:rPr>
        <w:t>=</w:t>
      </w:r>
      <w:r>
        <w:rPr>
          <w:spacing w:val="-8"/>
          <w:w w:val="105"/>
        </w:rPr>
        <w:t> </w:t>
      </w:r>
      <w:r>
        <w:rPr>
          <w:w w:val="105"/>
        </w:rPr>
        <w:t>Counter</w:t>
      </w:r>
      <w:r>
        <w:rPr>
          <w:rFonts w:ascii="Garamond"/>
          <w:w w:val="105"/>
        </w:rPr>
        <w:t>(</w:t>
      </w:r>
      <w:r>
        <w:rPr>
          <w:rFonts w:ascii="Cambria"/>
          <w:w w:val="105"/>
        </w:rPr>
        <w:t>s,</w:t>
      </w:r>
      <w:r>
        <w:rPr>
          <w:rFonts w:ascii="Cambria"/>
          <w:spacing w:val="-15"/>
          <w:w w:val="105"/>
        </w:rPr>
        <w:t> </w:t>
      </w:r>
      <w:r>
        <w:rPr>
          <w:rFonts w:ascii="Cambria"/>
          <w:w w:val="105"/>
        </w:rPr>
        <w:t>a</w:t>
      </w:r>
      <w:r>
        <w:rPr>
          <w:rFonts w:ascii="Garamond"/>
          <w:w w:val="105"/>
        </w:rPr>
        <w:t>)</w:t>
      </w:r>
      <w:r>
        <w:rPr>
          <w:rFonts w:ascii="Garamond"/>
          <w:spacing w:val="-8"/>
          <w:w w:val="105"/>
        </w:rPr>
        <w:t> </w:t>
      </w:r>
      <w:r>
        <w:rPr>
          <w:w w:val="105"/>
        </w:rPr>
        <w:t>+</w:t>
      </w:r>
      <w:r>
        <w:rPr>
          <w:spacing w:val="-8"/>
          <w:w w:val="105"/>
        </w:rPr>
        <w:t> </w:t>
      </w:r>
      <w:r>
        <w:rPr>
          <w:spacing w:val="-10"/>
          <w:w w:val="105"/>
        </w:rPr>
        <w:t>1</w:t>
      </w:r>
    </w:p>
    <w:p>
      <w:pPr>
        <w:spacing w:after="0" w:line="290" w:lineRule="exact"/>
        <w:sectPr>
          <w:type w:val="continuous"/>
          <w:pgSz w:w="11910" w:h="16840"/>
          <w:pgMar w:header="1961" w:footer="1428" w:top="1920" w:bottom="280" w:left="1680" w:right="720"/>
          <w:cols w:num="2" w:equalWidth="0">
            <w:col w:w="1342" w:space="40"/>
            <w:col w:w="8128"/>
          </w:cols>
        </w:sectPr>
      </w:pPr>
    </w:p>
    <w:p>
      <w:pPr>
        <w:spacing w:line="252" w:lineRule="auto" w:before="0"/>
        <w:ind w:left="1491" w:right="7083" w:firstLine="8"/>
        <w:jc w:val="left"/>
        <w:rPr>
          <w:rFonts w:ascii="Georgia"/>
          <w:sz w:val="16"/>
        </w:rPr>
      </w:pPr>
      <w:r>
        <w:rPr/>
        <w:pict>
          <v:shape style="position:absolute;margin-left:114.519997pt;margin-top:21.606575pt;width:425.2pt;height:.1pt;mso-position-horizontal-relative:page;mso-position-vertical-relative:paragraph;z-index:-15682560;mso-wrap-distance-left:0;mso-wrap-distance-right:0" id="docshape113" coordorigin="2290,432" coordsize="8504,0" path="m2290,432l10794,432e" filled="false" stroked="true" strokeweight=".398pt" strokecolor="#000000">
            <v:path arrowok="t"/>
            <v:stroke dashstyle="solid"/>
            <w10:wrap type="topAndBottom"/>
          </v:shape>
        </w:pict>
      </w:r>
      <w:r>
        <w:rPr/>
        <w:pict>
          <v:shape style="position:absolute;margin-left:114.519997pt;margin-top:4.333174pt;width:39.550pt;height:12.85pt;mso-position-horizontal-relative:page;mso-position-vertical-relative:paragraph;z-index:15777280" type="#_x0000_t202" id="docshape114" filled="false" stroked="false">
            <v:textbox inset="0,0,0,0">
              <w:txbxContent>
                <w:p>
                  <w:pPr>
                    <w:spacing w:line="252" w:lineRule="exact" w:before="0"/>
                    <w:ind w:left="0" w:right="0" w:firstLine="0"/>
                    <w:jc w:val="left"/>
                    <w:rPr>
                      <w:rFonts w:ascii="Garamond"/>
                      <w:sz w:val="24"/>
                    </w:rPr>
                  </w:pPr>
                  <w:r>
                    <w:rPr>
                      <w:rFonts w:ascii="Cambria"/>
                      <w:w w:val="115"/>
                      <w:position w:val="4"/>
                      <w:sz w:val="24"/>
                    </w:rPr>
                    <w:t>Q</w:t>
                  </w:r>
                  <w:r>
                    <w:rPr>
                      <w:rFonts w:ascii="Georgia"/>
                      <w:w w:val="115"/>
                      <w:sz w:val="16"/>
                    </w:rPr>
                    <w:t>(</w:t>
                  </w:r>
                  <w:r>
                    <w:rPr>
                      <w:rFonts w:ascii="Cambria"/>
                      <w:w w:val="115"/>
                      <w:sz w:val="16"/>
                    </w:rPr>
                    <w:t>s,a</w:t>
                  </w:r>
                  <w:r>
                    <w:rPr>
                      <w:rFonts w:ascii="Georgia"/>
                      <w:w w:val="115"/>
                      <w:sz w:val="16"/>
                    </w:rPr>
                    <w:t>)</w:t>
                  </w:r>
                  <w:r>
                    <w:rPr>
                      <w:rFonts w:ascii="Georgia"/>
                      <w:spacing w:val="35"/>
                      <w:w w:val="115"/>
                      <w:sz w:val="16"/>
                    </w:rPr>
                    <w:t> </w:t>
                  </w:r>
                  <w:r>
                    <w:rPr>
                      <w:rFonts w:ascii="Garamond"/>
                      <w:spacing w:val="-10"/>
                      <w:w w:val="115"/>
                      <w:position w:val="4"/>
                      <w:sz w:val="24"/>
                    </w:rPr>
                    <w:t>=</w:t>
                  </w:r>
                </w:p>
              </w:txbxContent>
            </v:textbox>
            <w10:wrap type="none"/>
          </v:shape>
        </w:pict>
      </w:r>
      <w:r>
        <w:rPr>
          <w:spacing w:val="-2"/>
          <w:w w:val="105"/>
          <w:sz w:val="16"/>
          <w:u w:val="single"/>
        </w:rPr>
        <w:t>Returns</w:t>
      </w:r>
      <w:r>
        <w:rPr>
          <w:rFonts w:ascii="Georgia"/>
          <w:spacing w:val="-2"/>
          <w:w w:val="105"/>
          <w:sz w:val="16"/>
          <w:u w:val="single"/>
        </w:rPr>
        <w:t>(</w:t>
      </w:r>
      <w:r>
        <w:rPr>
          <w:rFonts w:ascii="Cambria"/>
          <w:spacing w:val="-2"/>
          <w:w w:val="105"/>
          <w:sz w:val="16"/>
          <w:u w:val="single"/>
        </w:rPr>
        <w:t>s,a</w:t>
      </w:r>
      <w:r>
        <w:rPr>
          <w:rFonts w:ascii="Georgia"/>
          <w:spacing w:val="-2"/>
          <w:w w:val="105"/>
          <w:sz w:val="16"/>
          <w:u w:val="single"/>
        </w:rPr>
        <w:t>)</w:t>
      </w:r>
      <w:r>
        <w:rPr>
          <w:rFonts w:ascii="Georgia"/>
          <w:spacing w:val="40"/>
          <w:w w:val="105"/>
          <w:sz w:val="16"/>
        </w:rPr>
        <w:t> </w:t>
      </w:r>
      <w:r>
        <w:rPr>
          <w:spacing w:val="-2"/>
          <w:w w:val="105"/>
          <w:sz w:val="16"/>
        </w:rPr>
        <w:t>Counter</w:t>
      </w:r>
      <w:r>
        <w:rPr>
          <w:rFonts w:ascii="Georgia"/>
          <w:spacing w:val="-2"/>
          <w:w w:val="105"/>
          <w:sz w:val="16"/>
        </w:rPr>
        <w:t>(</w:t>
      </w:r>
      <w:r>
        <w:rPr>
          <w:rFonts w:ascii="Cambria"/>
          <w:spacing w:val="-2"/>
          <w:w w:val="105"/>
          <w:sz w:val="16"/>
        </w:rPr>
        <w:t>s,a</w:t>
      </w:r>
      <w:r>
        <w:rPr>
          <w:rFonts w:ascii="Georgia"/>
          <w:spacing w:val="-2"/>
          <w:w w:val="105"/>
          <w:sz w:val="16"/>
        </w:rPr>
        <w:t>)</w:t>
      </w:r>
    </w:p>
    <w:p>
      <w:pPr>
        <w:pStyle w:val="BodyText"/>
        <w:spacing w:before="9"/>
        <w:rPr>
          <w:rFonts w:ascii="Georgia"/>
          <w:sz w:val="27"/>
        </w:rPr>
      </w:pPr>
    </w:p>
    <w:p>
      <w:pPr>
        <w:pStyle w:val="BodyText"/>
        <w:spacing w:line="309" w:lineRule="auto" w:before="97"/>
        <w:ind w:left="610" w:right="389" w:firstLine="351"/>
      </w:pPr>
      <w:r>
        <w:rPr/>
        <w:t>Recall Algorithm</w:t>
      </w:r>
      <w:r>
        <w:rPr>
          <w:color w:val="0000FF"/>
        </w:rPr>
        <w:t>1</w:t>
      </w:r>
      <w:hyperlink w:history="true" w:anchor="_bookmark63">
        <w:r>
          <w:rPr/>
          <w:t>,</w:t>
        </w:r>
      </w:hyperlink>
      <w:r>
        <w:rPr/>
        <w:t> which provided the Monte Carlo every visit algorithm for state values.</w:t>
      </w:r>
      <w:r>
        <w:rPr>
          <w:spacing w:val="40"/>
        </w:rPr>
        <w:t> </w:t>
      </w:r>
      <w:r>
        <w:rPr/>
        <w:t>Pseudocode for Algorithm</w:t>
      </w:r>
      <w:r>
        <w:rPr>
          <w:color w:val="0000FF"/>
        </w:rPr>
        <w:t>2</w:t>
      </w:r>
      <w:r>
        <w:rPr/>
        <w:t>shows the algorithm used to estimate the empirical mean return for each state, action tuple. Algorithm</w:t>
      </w:r>
      <w:r>
        <w:rPr>
          <w:color w:val="0000FF"/>
        </w:rPr>
        <w:t>2</w:t>
      </w:r>
      <w:r>
        <w:rPr/>
        <w:t>extends the state value algorithm by ensuring that the episode returns and counter increments are added to the relevant </w:t>
      </w:r>
      <w:r>
        <w:rPr/>
        <w:t>state, action</w:t>
      </w:r>
      <w:r>
        <w:rPr>
          <w:spacing w:val="-11"/>
        </w:rPr>
        <w:t> </w:t>
      </w:r>
      <w:r>
        <w:rPr/>
        <w:t>tuple</w:t>
      </w:r>
      <w:r>
        <w:rPr>
          <w:spacing w:val="-11"/>
        </w:rPr>
        <w:t> </w:t>
      </w:r>
      <w:r>
        <w:rPr/>
        <w:t>in</w:t>
      </w:r>
      <w:r>
        <w:rPr>
          <w:spacing w:val="-11"/>
        </w:rPr>
        <w:t> </w:t>
      </w:r>
      <w:r>
        <w:rPr/>
        <w:t>lines</w:t>
      </w:r>
      <w:r>
        <w:rPr>
          <w:spacing w:val="-11"/>
        </w:rPr>
        <w:t> </w:t>
      </w:r>
      <w:r>
        <w:rPr/>
        <w:t>4</w:t>
      </w:r>
      <w:r>
        <w:rPr>
          <w:spacing w:val="-11"/>
        </w:rPr>
        <w:t> </w:t>
      </w:r>
      <w:r>
        <w:rPr/>
        <w:t>and</w:t>
      </w:r>
      <w:r>
        <w:rPr>
          <w:spacing w:val="-11"/>
        </w:rPr>
        <w:t> </w:t>
      </w:r>
      <w:r>
        <w:rPr/>
        <w:t>5.</w:t>
      </w:r>
      <w:r>
        <w:rPr>
          <w:spacing w:val="11"/>
        </w:rPr>
        <w:t> </w:t>
      </w:r>
      <w:r>
        <w:rPr/>
        <w:t>The</w:t>
      </w:r>
      <w:r>
        <w:rPr>
          <w:spacing w:val="-11"/>
        </w:rPr>
        <w:t> </w:t>
      </w:r>
      <w:r>
        <w:rPr/>
        <w:t>action</w:t>
      </w:r>
      <w:r>
        <w:rPr>
          <w:spacing w:val="-11"/>
        </w:rPr>
        <w:t> </w:t>
      </w:r>
      <w:r>
        <w:rPr/>
        <w:t>value</w:t>
      </w:r>
      <w:r>
        <w:rPr>
          <w:spacing w:val="-11"/>
        </w:rPr>
        <w:t> </w:t>
      </w:r>
      <w:r>
        <w:rPr/>
        <w:t>for</w:t>
      </w:r>
      <w:r>
        <w:rPr>
          <w:spacing w:val="-11"/>
        </w:rPr>
        <w:t> </w:t>
      </w:r>
      <w:r>
        <w:rPr/>
        <w:t>each</w:t>
      </w:r>
      <w:r>
        <w:rPr>
          <w:spacing w:val="-11"/>
        </w:rPr>
        <w:t> </w:t>
      </w:r>
      <w:r>
        <w:rPr/>
        <w:t>state,</w:t>
      </w:r>
      <w:r>
        <w:rPr>
          <w:spacing w:val="-9"/>
        </w:rPr>
        <w:t> </w:t>
      </w:r>
      <w:r>
        <w:rPr/>
        <w:t>action</w:t>
      </w:r>
      <w:r>
        <w:rPr>
          <w:spacing w:val="-11"/>
        </w:rPr>
        <w:t> </w:t>
      </w:r>
      <w:r>
        <w:rPr/>
        <w:t>pair</w:t>
      </w:r>
      <w:r>
        <w:rPr>
          <w:spacing w:val="-11"/>
        </w:rPr>
        <w:t> </w:t>
      </w:r>
      <w:r>
        <w:rPr>
          <w:rFonts w:ascii="Cambria"/>
        </w:rPr>
        <w:t>Q</w:t>
      </w:r>
      <w:r>
        <w:rPr>
          <w:rFonts w:ascii="Georgia"/>
          <w:vertAlign w:val="subscript"/>
        </w:rPr>
        <w:t>(</w:t>
      </w:r>
      <w:r>
        <w:rPr>
          <w:rFonts w:ascii="Cambria"/>
          <w:vertAlign w:val="subscript"/>
        </w:rPr>
        <w:t>s,a</w:t>
      </w:r>
      <w:r>
        <w:rPr>
          <w:rFonts w:ascii="Georgia"/>
          <w:vertAlign w:val="subscript"/>
        </w:rPr>
        <w:t>)</w:t>
      </w:r>
      <w:r>
        <w:rPr>
          <w:rFonts w:ascii="Georgia"/>
          <w:vertAlign w:val="baseline"/>
        </w:rPr>
        <w:t> </w:t>
      </w:r>
      <w:r>
        <w:rPr>
          <w:vertAlign w:val="baseline"/>
        </w:rPr>
        <w:t>is</w:t>
      </w:r>
      <w:r>
        <w:rPr>
          <w:spacing w:val="-11"/>
          <w:vertAlign w:val="baseline"/>
        </w:rPr>
        <w:t> </w:t>
      </w:r>
      <w:r>
        <w:rPr>
          <w:vertAlign w:val="baseline"/>
        </w:rPr>
        <w:t>calculated on line 8 using the relevant state, action data.</w:t>
      </w:r>
    </w:p>
    <w:p>
      <w:pPr>
        <w:pStyle w:val="BodyText"/>
        <w:spacing w:before="9"/>
        <w:ind w:left="961"/>
      </w:pPr>
      <w:r>
        <w:rPr/>
        <w:t>The</w:t>
      </w:r>
      <w:r>
        <w:rPr>
          <w:spacing w:val="-6"/>
        </w:rPr>
        <w:t> </w:t>
      </w:r>
      <w:r>
        <w:rPr/>
        <w:t>inclusion</w:t>
      </w:r>
      <w:r>
        <w:rPr>
          <w:spacing w:val="-5"/>
        </w:rPr>
        <w:t> </w:t>
      </w:r>
      <w:r>
        <w:rPr/>
        <w:t>of</w:t>
      </w:r>
      <w:r>
        <w:rPr>
          <w:spacing w:val="-5"/>
        </w:rPr>
        <w:t> </w:t>
      </w:r>
      <w:r>
        <w:rPr/>
        <w:t>context</w:t>
      </w:r>
      <w:r>
        <w:rPr>
          <w:spacing w:val="-5"/>
        </w:rPr>
        <w:t> </w:t>
      </w:r>
      <w:r>
        <w:rPr/>
        <w:t>nodes</w:t>
      </w:r>
      <w:r>
        <w:rPr>
          <w:spacing w:val="-6"/>
        </w:rPr>
        <w:t> </w:t>
      </w:r>
      <w:r>
        <w:rPr/>
        <w:t>in</w:t>
      </w:r>
      <w:r>
        <w:rPr>
          <w:spacing w:val="-5"/>
        </w:rPr>
        <w:t> </w:t>
      </w:r>
      <w:r>
        <w:rPr/>
        <w:t>this</w:t>
      </w:r>
      <w:r>
        <w:rPr>
          <w:spacing w:val="-5"/>
        </w:rPr>
        <w:t> </w:t>
      </w:r>
      <w:r>
        <w:rPr/>
        <w:t>study</w:t>
      </w:r>
      <w:r>
        <w:rPr>
          <w:spacing w:val="-5"/>
        </w:rPr>
        <w:t> </w:t>
      </w:r>
      <w:r>
        <w:rPr/>
        <w:t>requires</w:t>
      </w:r>
      <w:r>
        <w:rPr>
          <w:spacing w:val="-6"/>
        </w:rPr>
        <w:t> </w:t>
      </w:r>
      <w:r>
        <w:rPr/>
        <w:t>a</w:t>
      </w:r>
      <w:r>
        <w:rPr>
          <w:spacing w:val="-5"/>
        </w:rPr>
        <w:t> </w:t>
      </w:r>
      <w:r>
        <w:rPr/>
        <w:t>further</w:t>
      </w:r>
      <w:r>
        <w:rPr>
          <w:spacing w:val="-5"/>
        </w:rPr>
        <w:t> </w:t>
      </w:r>
      <w:r>
        <w:rPr/>
        <w:t>alteration</w:t>
      </w:r>
      <w:r>
        <w:rPr>
          <w:spacing w:val="-5"/>
        </w:rPr>
        <w:t> </w:t>
      </w:r>
      <w:r>
        <w:rPr/>
        <w:t>to</w:t>
      </w:r>
      <w:r>
        <w:rPr>
          <w:spacing w:val="-5"/>
        </w:rPr>
        <w:t> </w:t>
      </w:r>
      <w:r>
        <w:rPr>
          <w:spacing w:val="-2"/>
        </w:rPr>
        <w:t>Algorithm</w:t>
      </w:r>
    </w:p>
    <w:p>
      <w:pPr>
        <w:pStyle w:val="BodyText"/>
        <w:spacing w:line="307" w:lineRule="auto" w:before="82"/>
        <w:ind w:left="610" w:right="389"/>
      </w:pPr>
      <w:hyperlink w:history="true" w:anchor="_bookmark105">
        <w:r>
          <w:rPr>
            <w:color w:val="0000FF"/>
          </w:rPr>
          <w:t>2</w:t>
        </w:r>
      </w:hyperlink>
      <w:r>
        <w:rPr/>
        <w:t>.</w:t>
      </w:r>
      <w:r>
        <w:rPr>
          <w:spacing w:val="35"/>
        </w:rPr>
        <w:t> </w:t>
      </w:r>
      <w:r>
        <w:rPr/>
        <w:t>Pseudocode for the Monte Carlo every visit algorithm simulating the empirical mean return for the context, state, action tuples is provided in Algorithm</w:t>
      </w:r>
      <w:r>
        <w:rPr>
          <w:color w:val="0000FF"/>
        </w:rPr>
        <w:t>3</w:t>
      </w:r>
      <w:hyperlink w:history="true" w:anchor="_bookmark106">
        <w:r>
          <w:rPr/>
          <w:t>.</w:t>
        </w:r>
      </w:hyperlink>
      <w:r>
        <w:rPr/>
        <w:t> Algorithm</w:t>
      </w:r>
      <w:r>
        <w:rPr>
          <w:color w:val="0000FF"/>
        </w:rPr>
        <w:t>3</w:t>
      </w:r>
      <w:hyperlink w:history="true" w:anchor="_bookmark106">
        <w:r>
          <w:rPr/>
          <w:t>dif</w:t>
        </w:r>
      </w:hyperlink>
      <w:r>
        <w:rPr/>
        <w:t>fers from Algorithm</w:t>
      </w:r>
      <w:r>
        <w:rPr>
          <w:color w:val="0000FF"/>
        </w:rPr>
        <w:t>2</w:t>
      </w:r>
      <w:r>
        <w:rPr/>
        <w:t>at the first loop. Rather than looping through each episode irrespective of any contextual factors, the algorithm now loops through each episode in each context (lines</w:t>
      </w:r>
      <w:r>
        <w:rPr>
          <w:spacing w:val="26"/>
        </w:rPr>
        <w:t> </w:t>
      </w:r>
      <w:r>
        <w:rPr/>
        <w:t>1</w:t>
      </w:r>
      <w:r>
        <w:rPr>
          <w:spacing w:val="26"/>
        </w:rPr>
        <w:t> </w:t>
      </w:r>
      <w:r>
        <w:rPr/>
        <w:t>and</w:t>
      </w:r>
      <w:r>
        <w:rPr>
          <w:spacing w:val="26"/>
        </w:rPr>
        <w:t> </w:t>
      </w:r>
      <w:r>
        <w:rPr/>
        <w:t>2).</w:t>
      </w:r>
      <w:r>
        <w:rPr>
          <w:spacing w:val="80"/>
        </w:rPr>
        <w:t> </w:t>
      </w:r>
      <w:r>
        <w:rPr/>
        <w:t>The</w:t>
      </w:r>
      <w:r>
        <w:rPr>
          <w:spacing w:val="26"/>
        </w:rPr>
        <w:t> </w:t>
      </w:r>
      <w:r>
        <w:rPr/>
        <w:t>modification</w:t>
      </w:r>
      <w:r>
        <w:rPr>
          <w:spacing w:val="26"/>
        </w:rPr>
        <w:t> </w:t>
      </w:r>
      <w:r>
        <w:rPr/>
        <w:t>in</w:t>
      </w:r>
      <w:r>
        <w:rPr>
          <w:spacing w:val="26"/>
        </w:rPr>
        <w:t> </w:t>
      </w:r>
      <w:r>
        <w:rPr/>
        <w:t>lines</w:t>
      </w:r>
      <w:r>
        <w:rPr>
          <w:spacing w:val="26"/>
        </w:rPr>
        <w:t> </w:t>
      </w:r>
      <w:r>
        <w:rPr/>
        <w:t>5</w:t>
      </w:r>
      <w:r>
        <w:rPr>
          <w:spacing w:val="26"/>
        </w:rPr>
        <w:t> </w:t>
      </w:r>
      <w:r>
        <w:rPr/>
        <w:t>and</w:t>
      </w:r>
      <w:r>
        <w:rPr>
          <w:spacing w:val="26"/>
        </w:rPr>
        <w:t> </w:t>
      </w:r>
      <w:r>
        <w:rPr/>
        <w:t>6</w:t>
      </w:r>
      <w:r>
        <w:rPr>
          <w:spacing w:val="26"/>
        </w:rPr>
        <w:t> </w:t>
      </w:r>
      <w:r>
        <w:rPr/>
        <w:t>ensures</w:t>
      </w:r>
      <w:r>
        <w:rPr>
          <w:spacing w:val="26"/>
        </w:rPr>
        <w:t> </w:t>
      </w:r>
      <w:r>
        <w:rPr/>
        <w:t>that</w:t>
      </w:r>
      <w:r>
        <w:rPr>
          <w:spacing w:val="26"/>
        </w:rPr>
        <w:t> </w:t>
      </w:r>
      <w:r>
        <w:rPr/>
        <w:t>there</w:t>
      </w:r>
      <w:r>
        <w:rPr>
          <w:spacing w:val="26"/>
        </w:rPr>
        <w:t> </w:t>
      </w:r>
      <w:r>
        <w:rPr/>
        <w:t>is</w:t>
      </w:r>
      <w:r>
        <w:rPr>
          <w:spacing w:val="26"/>
        </w:rPr>
        <w:t> </w:t>
      </w:r>
      <w:r>
        <w:rPr/>
        <w:t>an</w:t>
      </w:r>
      <w:r>
        <w:rPr>
          <w:spacing w:val="26"/>
        </w:rPr>
        <w:t> </w:t>
      </w:r>
      <w:r>
        <w:rPr/>
        <w:t>individual entry for each </w:t>
      </w:r>
      <w:r>
        <w:rPr>
          <w:rFonts w:ascii="Garamond"/>
        </w:rPr>
        <w:t>(</w:t>
      </w:r>
      <w:r>
        <w:rPr>
          <w:rFonts w:ascii="Cambria"/>
        </w:rPr>
        <w:t>s,</w:t>
      </w:r>
      <w:r>
        <w:rPr>
          <w:rFonts w:ascii="Cambria"/>
          <w:spacing w:val="-13"/>
        </w:rPr>
        <w:t> </w:t>
      </w:r>
      <w:r>
        <w:rPr>
          <w:rFonts w:ascii="Cambria"/>
        </w:rPr>
        <w:t>a</w:t>
      </w:r>
      <w:r>
        <w:rPr>
          <w:rFonts w:ascii="Garamond"/>
        </w:rPr>
        <w:t>) </w:t>
      </w:r>
      <w:r>
        <w:rPr/>
        <w:t>pair in each context, which sums the returns, and counts the visits.</w:t>
      </w:r>
      <w:r>
        <w:rPr>
          <w:spacing w:val="40"/>
        </w:rPr>
        <w:t> </w:t>
      </w:r>
      <w:r>
        <w:rPr/>
        <w:t>Similarly,</w:t>
      </w:r>
      <w:r>
        <w:rPr>
          <w:spacing w:val="-2"/>
        </w:rPr>
        <w:t> </w:t>
      </w:r>
      <w:r>
        <w:rPr/>
        <w:t>the</w:t>
      </w:r>
      <w:r>
        <w:rPr>
          <w:spacing w:val="-3"/>
        </w:rPr>
        <w:t> </w:t>
      </w:r>
      <w:r>
        <w:rPr/>
        <w:t>addition</w:t>
      </w:r>
      <w:r>
        <w:rPr>
          <w:spacing w:val="-3"/>
        </w:rPr>
        <w:t> </w:t>
      </w:r>
      <w:r>
        <w:rPr/>
        <w:t>of</w:t>
      </w:r>
      <w:r>
        <w:rPr>
          <w:spacing w:val="-3"/>
        </w:rPr>
        <w:t> </w:t>
      </w:r>
      <w:r>
        <w:rPr>
          <w:rFonts w:ascii="Cambria"/>
        </w:rPr>
        <w:t>c </w:t>
      </w:r>
      <w:r>
        <w:rPr/>
        <w:t>to</w:t>
      </w:r>
      <w:r>
        <w:rPr>
          <w:spacing w:val="-3"/>
        </w:rPr>
        <w:t> </w:t>
      </w:r>
      <w:r>
        <w:rPr/>
        <w:t>line</w:t>
      </w:r>
      <w:r>
        <w:rPr>
          <w:spacing w:val="-3"/>
        </w:rPr>
        <w:t> </w:t>
      </w:r>
      <w:r>
        <w:rPr/>
        <w:t>9</w:t>
      </w:r>
      <w:r>
        <w:rPr>
          <w:spacing w:val="-3"/>
        </w:rPr>
        <w:t> </w:t>
      </w:r>
      <w:r>
        <w:rPr/>
        <w:t>ensures</w:t>
      </w:r>
      <w:r>
        <w:rPr>
          <w:spacing w:val="-3"/>
        </w:rPr>
        <w:t> </w:t>
      </w:r>
      <w:r>
        <w:rPr/>
        <w:t>that</w:t>
      </w:r>
      <w:r>
        <w:rPr>
          <w:spacing w:val="-3"/>
        </w:rPr>
        <w:t> </w:t>
      </w:r>
      <w:r>
        <w:rPr/>
        <w:t>Q</w:t>
      </w:r>
      <w:r>
        <w:rPr>
          <w:rFonts w:ascii="Georgia"/>
          <w:vertAlign w:val="subscript"/>
        </w:rPr>
        <w:t>(</w:t>
      </w:r>
      <w:r>
        <w:rPr>
          <w:rFonts w:ascii="Cambria"/>
          <w:vertAlign w:val="subscript"/>
        </w:rPr>
        <w:t>c,s,a</w:t>
      </w:r>
      <w:r>
        <w:rPr>
          <w:rFonts w:ascii="Georgia"/>
          <w:vertAlign w:val="subscript"/>
        </w:rPr>
        <w:t>)</w:t>
      </w:r>
      <w:r>
        <w:rPr>
          <w:rFonts w:ascii="Georgia"/>
          <w:vertAlign w:val="baseline"/>
        </w:rPr>
        <w:t> </w:t>
      </w:r>
      <w:r>
        <w:rPr>
          <w:vertAlign w:val="baseline"/>
        </w:rPr>
        <w:t>is</w:t>
      </w:r>
      <w:r>
        <w:rPr>
          <w:spacing w:val="-3"/>
          <w:vertAlign w:val="baseline"/>
        </w:rPr>
        <w:t> </w:t>
      </w:r>
      <w:r>
        <w:rPr>
          <w:vertAlign w:val="baseline"/>
        </w:rPr>
        <w:t>calculated</w:t>
      </w:r>
      <w:r>
        <w:rPr>
          <w:spacing w:val="-3"/>
          <w:vertAlign w:val="baseline"/>
        </w:rPr>
        <w:t> </w:t>
      </w:r>
      <w:r>
        <w:rPr>
          <w:vertAlign w:val="baseline"/>
        </w:rPr>
        <w:t>using</w:t>
      </w:r>
      <w:r>
        <w:rPr>
          <w:spacing w:val="-3"/>
          <w:vertAlign w:val="baseline"/>
        </w:rPr>
        <w:t> </w:t>
      </w:r>
      <w:r>
        <w:rPr>
          <w:vertAlign w:val="baseline"/>
        </w:rPr>
        <w:t>only</w:t>
      </w:r>
      <w:r>
        <w:rPr>
          <w:spacing w:val="-3"/>
          <w:vertAlign w:val="baseline"/>
        </w:rPr>
        <w:t> </w:t>
      </w:r>
      <w:r>
        <w:rPr>
          <w:vertAlign w:val="baseline"/>
        </w:rPr>
        <w:t>the</w:t>
      </w:r>
      <w:r>
        <w:rPr>
          <w:spacing w:val="-3"/>
          <w:vertAlign w:val="baseline"/>
        </w:rPr>
        <w:t> </w:t>
      </w:r>
      <w:r>
        <w:rPr>
          <w:vertAlign w:val="baseline"/>
        </w:rPr>
        <w:t>state, action pairs experienced within context </w:t>
      </w:r>
      <w:r>
        <w:rPr>
          <w:rFonts w:ascii="Cambria"/>
          <w:vertAlign w:val="baseline"/>
        </w:rPr>
        <w:t>c</w:t>
      </w:r>
      <w:r>
        <w:rPr>
          <w:vertAlign w:val="baseline"/>
        </w:rPr>
        <w:t>.</w:t>
      </w:r>
    </w:p>
    <w:p>
      <w:pPr>
        <w:pStyle w:val="BodyText"/>
        <w:spacing w:line="312" w:lineRule="auto" w:before="12"/>
        <w:ind w:left="610" w:right="389" w:firstLine="351"/>
      </w:pPr>
      <w:r>
        <w:rPr/>
        <w:t>In this study, the location of each action, binned into EPV-19 zones (Section</w:t>
      </w:r>
      <w:hyperlink w:history="true" w:anchor="_bookmark71">
        <w:r>
          <w:rPr>
            <w:color w:val="0000FF"/>
          </w:rPr>
          <w:t>3.3.1</w:t>
        </w:r>
      </w:hyperlink>
      <w:r>
        <w:rPr/>
        <w:t>), was</w:t>
      </w:r>
      <w:r>
        <w:rPr>
          <w:spacing w:val="-5"/>
        </w:rPr>
        <w:t> </w:t>
      </w:r>
      <w:r>
        <w:rPr/>
        <w:t>used</w:t>
      </w:r>
      <w:r>
        <w:rPr>
          <w:spacing w:val="-5"/>
        </w:rPr>
        <w:t> </w:t>
      </w:r>
      <w:r>
        <w:rPr/>
        <w:t>as</w:t>
      </w:r>
      <w:r>
        <w:rPr>
          <w:spacing w:val="-5"/>
        </w:rPr>
        <w:t> </w:t>
      </w:r>
      <w:r>
        <w:rPr/>
        <w:t>the</w:t>
      </w:r>
      <w:r>
        <w:rPr>
          <w:spacing w:val="-5"/>
        </w:rPr>
        <w:t> </w:t>
      </w:r>
      <w:r>
        <w:rPr/>
        <w:t>state</w:t>
      </w:r>
      <w:r>
        <w:rPr>
          <w:spacing w:val="-5"/>
        </w:rPr>
        <w:t> </w:t>
      </w:r>
      <w:r>
        <w:rPr/>
        <w:t>space</w:t>
      </w:r>
      <w:r>
        <w:rPr>
          <w:spacing w:val="-5"/>
        </w:rPr>
        <w:t> </w:t>
      </w:r>
      <w:r>
        <w:rPr/>
        <w:t>for</w:t>
      </w:r>
      <w:r>
        <w:rPr>
          <w:spacing w:val="-5"/>
        </w:rPr>
        <w:t> </w:t>
      </w:r>
      <w:r>
        <w:rPr/>
        <w:t>the</w:t>
      </w:r>
      <w:r>
        <w:rPr>
          <w:spacing w:val="-5"/>
        </w:rPr>
        <w:t> </w:t>
      </w:r>
      <w:r>
        <w:rPr/>
        <w:t>MDP.</w:t>
      </w:r>
      <w:r>
        <w:rPr>
          <w:spacing w:val="-5"/>
        </w:rPr>
        <w:t> </w:t>
      </w:r>
      <w:r>
        <w:rPr/>
        <w:t>The</w:t>
      </w:r>
      <w:r>
        <w:rPr>
          <w:spacing w:val="-5"/>
        </w:rPr>
        <w:t> </w:t>
      </w:r>
      <w:r>
        <w:rPr/>
        <w:t>grouped</w:t>
      </w:r>
      <w:r>
        <w:rPr>
          <w:spacing w:val="-5"/>
        </w:rPr>
        <w:t> </w:t>
      </w:r>
      <w:r>
        <w:rPr/>
        <w:t>actions</w:t>
      </w:r>
      <w:r>
        <w:rPr>
          <w:spacing w:val="-5"/>
        </w:rPr>
        <w:t> </w:t>
      </w:r>
      <w:r>
        <w:rPr/>
        <w:t>identified</w:t>
      </w:r>
      <w:r>
        <w:rPr>
          <w:spacing w:val="-5"/>
        </w:rPr>
        <w:t> </w:t>
      </w:r>
      <w:r>
        <w:rPr/>
        <w:t>in</w:t>
      </w:r>
      <w:r>
        <w:rPr>
          <w:spacing w:val="-5"/>
        </w:rPr>
        <w:t> </w:t>
      </w:r>
      <w:r>
        <w:rPr/>
        <w:t>Table</w:t>
      </w:r>
      <w:hyperlink w:history="true" w:anchor="_bookmark98">
        <w:r>
          <w:rPr>
            <w:color w:val="0000FF"/>
          </w:rPr>
          <w:t>4.1</w:t>
        </w:r>
      </w:hyperlink>
      <w:r>
        <w:rPr/>
        <w:t>were used</w:t>
      </w:r>
      <w:r>
        <w:rPr>
          <w:spacing w:val="-14"/>
        </w:rPr>
        <w:t> </w:t>
      </w:r>
      <w:r>
        <w:rPr/>
        <w:t>for</w:t>
      </w:r>
      <w:r>
        <w:rPr>
          <w:spacing w:val="-14"/>
        </w:rPr>
        <w:t> </w:t>
      </w:r>
      <w:r>
        <w:rPr/>
        <w:t>the</w:t>
      </w:r>
      <w:r>
        <w:rPr>
          <w:spacing w:val="-14"/>
        </w:rPr>
        <w:t> </w:t>
      </w:r>
      <w:r>
        <w:rPr/>
        <w:t>action</w:t>
      </w:r>
      <w:r>
        <w:rPr>
          <w:spacing w:val="-14"/>
        </w:rPr>
        <w:t> </w:t>
      </w:r>
      <w:r>
        <w:rPr/>
        <w:t>space.</w:t>
      </w:r>
      <w:r>
        <w:rPr>
          <w:spacing w:val="5"/>
        </w:rPr>
        <w:t> </w:t>
      </w:r>
      <w:r>
        <w:rPr/>
        <w:t>The</w:t>
      </w:r>
      <w:r>
        <w:rPr>
          <w:spacing w:val="-14"/>
        </w:rPr>
        <w:t> </w:t>
      </w:r>
      <w:r>
        <w:rPr/>
        <w:t>rewards</w:t>
      </w:r>
      <w:r>
        <w:rPr>
          <w:spacing w:val="-14"/>
        </w:rPr>
        <w:t> </w:t>
      </w:r>
      <w:r>
        <w:rPr/>
        <w:t>were</w:t>
      </w:r>
      <w:r>
        <w:rPr>
          <w:spacing w:val="-14"/>
        </w:rPr>
        <w:t> </w:t>
      </w:r>
      <w:r>
        <w:rPr/>
        <w:t>calculated</w:t>
      </w:r>
      <w:r>
        <w:rPr>
          <w:spacing w:val="-14"/>
        </w:rPr>
        <w:t> </w:t>
      </w:r>
      <w:r>
        <w:rPr/>
        <w:t>based</w:t>
      </w:r>
      <w:r>
        <w:rPr>
          <w:spacing w:val="-14"/>
        </w:rPr>
        <w:t> </w:t>
      </w:r>
      <w:r>
        <w:rPr/>
        <w:t>on</w:t>
      </w:r>
      <w:r>
        <w:rPr>
          <w:spacing w:val="-14"/>
        </w:rPr>
        <w:t> </w:t>
      </w:r>
      <w:r>
        <w:rPr/>
        <w:t>the</w:t>
      </w:r>
      <w:r>
        <w:rPr>
          <w:spacing w:val="-14"/>
        </w:rPr>
        <w:t> </w:t>
      </w:r>
      <w:r>
        <w:rPr/>
        <w:t>points</w:t>
      </w:r>
      <w:r>
        <w:rPr>
          <w:spacing w:val="-14"/>
        </w:rPr>
        <w:t> </w:t>
      </w:r>
      <w:r>
        <w:rPr/>
        <w:t>outcome</w:t>
      </w:r>
      <w:r>
        <w:rPr>
          <w:spacing w:val="-14"/>
        </w:rPr>
        <w:t> </w:t>
      </w:r>
      <w:r>
        <w:rPr/>
        <w:t>of</w:t>
      </w:r>
      <w:r>
        <w:rPr>
          <w:spacing w:val="-14"/>
        </w:rPr>
        <w:t> </w:t>
      </w:r>
      <w:r>
        <w:rPr/>
        <w:t>the action</w:t>
      </w:r>
      <w:r>
        <w:rPr>
          <w:spacing w:val="-7"/>
        </w:rPr>
        <w:t> </w:t>
      </w:r>
      <w:r>
        <w:rPr/>
        <w:t>within</w:t>
      </w:r>
      <w:r>
        <w:rPr>
          <w:spacing w:val="-7"/>
        </w:rPr>
        <w:t> </w:t>
      </w:r>
      <w:r>
        <w:rPr/>
        <w:t>the</w:t>
      </w:r>
      <w:r>
        <w:rPr>
          <w:spacing w:val="-7"/>
        </w:rPr>
        <w:t> </w:t>
      </w:r>
      <w:r>
        <w:rPr/>
        <w:t>attacking</w:t>
      </w:r>
      <w:r>
        <w:rPr>
          <w:spacing w:val="-7"/>
        </w:rPr>
        <w:t> </w:t>
      </w:r>
      <w:r>
        <w:rPr/>
        <w:t>possession: converted</w:t>
      </w:r>
      <w:r>
        <w:rPr>
          <w:spacing w:val="-7"/>
        </w:rPr>
        <w:t> </w:t>
      </w:r>
      <w:r>
        <w:rPr/>
        <w:t>try</w:t>
      </w:r>
      <w:r>
        <w:rPr>
          <w:spacing w:val="-7"/>
        </w:rPr>
        <w:t> </w:t>
      </w:r>
      <w:r>
        <w:rPr/>
        <w:t>scored</w:t>
      </w:r>
      <w:r>
        <w:rPr>
          <w:spacing w:val="-7"/>
        </w:rPr>
        <w:t> </w:t>
      </w:r>
      <w:r>
        <w:rPr/>
        <w:t>(+6);</w:t>
      </w:r>
      <w:r>
        <w:rPr>
          <w:spacing w:val="-6"/>
        </w:rPr>
        <w:t> </w:t>
      </w:r>
      <w:r>
        <w:rPr/>
        <w:t>unconverted</w:t>
      </w:r>
      <w:r>
        <w:rPr>
          <w:spacing w:val="-7"/>
        </w:rPr>
        <w:t> </w:t>
      </w:r>
      <w:r>
        <w:rPr/>
        <w:t>try</w:t>
      </w:r>
      <w:r>
        <w:rPr>
          <w:spacing w:val="-7"/>
        </w:rPr>
        <w:t> </w:t>
      </w:r>
      <w:r>
        <w:rPr/>
        <w:t>scored (+4);</w:t>
      </w:r>
      <w:r>
        <w:rPr>
          <w:spacing w:val="7"/>
        </w:rPr>
        <w:t> </w:t>
      </w:r>
      <w:r>
        <w:rPr/>
        <w:t>penalty</w:t>
      </w:r>
      <w:r>
        <w:rPr>
          <w:spacing w:val="4"/>
        </w:rPr>
        <w:t> </w:t>
      </w:r>
      <w:r>
        <w:rPr/>
        <w:t>goal</w:t>
      </w:r>
      <w:r>
        <w:rPr>
          <w:spacing w:val="4"/>
        </w:rPr>
        <w:t> </w:t>
      </w:r>
      <w:r>
        <w:rPr/>
        <w:t>scored</w:t>
      </w:r>
      <w:r>
        <w:rPr>
          <w:spacing w:val="3"/>
        </w:rPr>
        <w:t> </w:t>
      </w:r>
      <w:r>
        <w:rPr/>
        <w:t>(+2);</w:t>
      </w:r>
      <w:r>
        <w:rPr>
          <w:spacing w:val="8"/>
        </w:rPr>
        <w:t> </w:t>
      </w:r>
      <w:r>
        <w:rPr/>
        <w:t>drop</w:t>
      </w:r>
      <w:r>
        <w:rPr>
          <w:spacing w:val="3"/>
        </w:rPr>
        <w:t> </w:t>
      </w:r>
      <w:r>
        <w:rPr/>
        <w:t>goal</w:t>
      </w:r>
      <w:r>
        <w:rPr>
          <w:spacing w:val="4"/>
        </w:rPr>
        <w:t> </w:t>
      </w:r>
      <w:r>
        <w:rPr/>
        <w:t>scored</w:t>
      </w:r>
      <w:r>
        <w:rPr>
          <w:spacing w:val="4"/>
        </w:rPr>
        <w:t> </w:t>
      </w:r>
      <w:r>
        <w:rPr/>
        <w:t>(+1);</w:t>
      </w:r>
      <w:r>
        <w:rPr>
          <w:spacing w:val="7"/>
        </w:rPr>
        <w:t> </w:t>
      </w:r>
      <w:r>
        <w:rPr/>
        <w:t>loss</w:t>
      </w:r>
      <w:r>
        <w:rPr>
          <w:spacing w:val="4"/>
        </w:rPr>
        <w:t> </w:t>
      </w:r>
      <w:r>
        <w:rPr/>
        <w:t>of</w:t>
      </w:r>
      <w:r>
        <w:rPr>
          <w:spacing w:val="4"/>
        </w:rPr>
        <w:t> </w:t>
      </w:r>
      <w:r>
        <w:rPr/>
        <w:t>possession</w:t>
      </w:r>
      <w:r>
        <w:rPr>
          <w:spacing w:val="3"/>
        </w:rPr>
        <w:t> </w:t>
      </w:r>
      <w:r>
        <w:rPr/>
        <w:t>or</w:t>
      </w:r>
      <w:r>
        <w:rPr>
          <w:spacing w:val="4"/>
        </w:rPr>
        <w:t> </w:t>
      </w:r>
      <w:r>
        <w:rPr/>
        <w:t>missed</w:t>
      </w:r>
      <w:r>
        <w:rPr>
          <w:spacing w:val="4"/>
        </w:rPr>
        <w:t> </w:t>
      </w:r>
      <w:r>
        <w:rPr>
          <w:spacing w:val="-4"/>
        </w:rPr>
        <w:t>goal</w:t>
      </w:r>
    </w:p>
    <w:p>
      <w:pPr>
        <w:spacing w:after="0" w:line="312" w:lineRule="auto"/>
        <w:sectPr>
          <w:type w:val="continuous"/>
          <w:pgSz w:w="11910" w:h="16840"/>
          <w:pgMar w:header="1961" w:footer="1428" w:top="1920" w:bottom="280" w:left="1680" w:right="720"/>
        </w:sectPr>
      </w:pPr>
    </w:p>
    <w:p>
      <w:pPr>
        <w:pStyle w:val="BodyText"/>
        <w:rPr>
          <w:sz w:val="20"/>
        </w:rPr>
      </w:pPr>
    </w:p>
    <w:p>
      <w:pPr>
        <w:pStyle w:val="BodyText"/>
        <w:spacing w:before="11"/>
        <w:rPr>
          <w:sz w:val="18"/>
        </w:rPr>
      </w:pPr>
    </w:p>
    <w:p>
      <w:pPr>
        <w:pStyle w:val="BodyText"/>
        <w:rPr>
          <w:sz w:val="8"/>
        </w:rPr>
      </w:pPr>
      <w:r>
        <w:rPr/>
        <w:pict>
          <v:shape style="position:absolute;margin-left:114.519997pt;margin-top:5.799609pt;width:425.2pt;height:.1pt;mso-position-horizontal-relative:page;mso-position-vertical-relative:paragraph;z-index:-15679488;mso-wrap-distance-left:0;mso-wrap-distance-right:0" id="docshape115" coordorigin="2290,116" coordsize="8504,0" path="m2290,116l10794,116e" filled="false" stroked="true" strokeweight=".797pt" strokecolor="#000000">
            <v:path arrowok="t"/>
            <v:stroke dashstyle="solid"/>
            <w10:wrap type="topAndBottom"/>
          </v:shape>
        </w:pict>
      </w:r>
    </w:p>
    <w:p>
      <w:pPr>
        <w:spacing w:before="0" w:after="24"/>
        <w:ind w:left="610" w:right="0" w:firstLine="0"/>
        <w:jc w:val="both"/>
        <w:rPr>
          <w:sz w:val="24"/>
        </w:rPr>
      </w:pPr>
      <w:bookmarkStart w:name="_bookmark106" w:id="186"/>
      <w:bookmarkEnd w:id="186"/>
      <w:r>
        <w:rPr/>
      </w:r>
      <w:r>
        <w:rPr>
          <w:b/>
          <w:sz w:val="24"/>
        </w:rPr>
        <w:t>Algorithm</w:t>
      </w:r>
      <w:r>
        <w:rPr>
          <w:b/>
          <w:spacing w:val="-7"/>
          <w:sz w:val="24"/>
        </w:rPr>
        <w:t> </w:t>
      </w:r>
      <w:r>
        <w:rPr>
          <w:b/>
          <w:sz w:val="24"/>
        </w:rPr>
        <w:t>3</w:t>
      </w:r>
      <w:r>
        <w:rPr>
          <w:b/>
          <w:spacing w:val="-7"/>
          <w:sz w:val="24"/>
        </w:rPr>
        <w:t> </w:t>
      </w:r>
      <w:r>
        <w:rPr>
          <w:sz w:val="24"/>
        </w:rPr>
        <w:t>Monte</w:t>
      </w:r>
      <w:r>
        <w:rPr>
          <w:spacing w:val="-7"/>
          <w:sz w:val="24"/>
        </w:rPr>
        <w:t> </w:t>
      </w:r>
      <w:r>
        <w:rPr>
          <w:sz w:val="24"/>
        </w:rPr>
        <w:t>Carlo</w:t>
      </w:r>
      <w:r>
        <w:rPr>
          <w:spacing w:val="-7"/>
          <w:sz w:val="24"/>
        </w:rPr>
        <w:t> </w:t>
      </w:r>
      <w:r>
        <w:rPr>
          <w:spacing w:val="-2"/>
          <w:sz w:val="24"/>
        </w:rPr>
        <w:t>Algorithm</w:t>
      </w:r>
    </w:p>
    <w:p>
      <w:pPr>
        <w:pStyle w:val="BodyText"/>
        <w:spacing w:line="20" w:lineRule="exact"/>
        <w:ind w:left="610"/>
        <w:rPr>
          <w:sz w:val="2"/>
        </w:rPr>
      </w:pPr>
      <w:r>
        <w:rPr>
          <w:sz w:val="2"/>
        </w:rPr>
        <w:pict>
          <v:group style="width:425.2pt;height:.4pt;mso-position-horizontal-relative:char;mso-position-vertical-relative:line" id="docshapegroup116" coordorigin="0,0" coordsize="8504,8">
            <v:line style="position:absolute" from="0,4" to="8504,4" stroked="true" strokeweight=".398pt" strokecolor="#000000">
              <v:stroke dashstyle="solid"/>
            </v:line>
          </v:group>
        </w:pict>
      </w:r>
      <w:r>
        <w:rPr>
          <w:sz w:val="2"/>
        </w:rPr>
      </w:r>
    </w:p>
    <w:p>
      <w:pPr>
        <w:pStyle w:val="BodyText"/>
        <w:spacing w:line="247" w:lineRule="auto"/>
        <w:ind w:left="1493" w:right="389" w:hanging="884"/>
        <w:jc w:val="both"/>
      </w:pPr>
      <w:r>
        <w:rPr>
          <w:b/>
        </w:rPr>
        <w:t>Input</w:t>
      </w:r>
      <w:r>
        <w:rPr>
          <w:b/>
          <w:spacing w:val="40"/>
        </w:rPr>
        <w:t> </w:t>
      </w:r>
      <w:r>
        <w:rPr>
          <w:b/>
        </w:rPr>
        <w:t>: </w:t>
      </w:r>
      <w:r>
        <w:rPr/>
        <w:t>Episode dataset, including context </w:t>
      </w:r>
      <w:r>
        <w:rPr>
          <w:rFonts w:ascii="Garamond" w:hAnsi="Garamond"/>
        </w:rPr>
        <w:t>(</w:t>
      </w:r>
      <w:r>
        <w:rPr>
          <w:rFonts w:ascii="Cambria" w:hAnsi="Cambria"/>
        </w:rPr>
        <w:t>c</w:t>
      </w:r>
      <w:r>
        <w:rPr>
          <w:rFonts w:ascii="Garamond" w:hAnsi="Garamond"/>
        </w:rPr>
        <w:t>)</w:t>
      </w:r>
      <w:r>
        <w:rPr/>
        <w:t>, state-action </w:t>
      </w:r>
      <w:r>
        <w:rPr>
          <w:rFonts w:ascii="Garamond" w:hAnsi="Garamond"/>
        </w:rPr>
        <w:t>(</w:t>
      </w:r>
      <w:r>
        <w:rPr>
          <w:rFonts w:ascii="Cambria" w:hAnsi="Cambria"/>
        </w:rPr>
        <w:t>s,</w:t>
      </w:r>
      <w:r>
        <w:rPr>
          <w:rFonts w:ascii="Cambria" w:hAnsi="Cambria"/>
          <w:spacing w:val="-11"/>
        </w:rPr>
        <w:t> </w:t>
      </w:r>
      <w:r>
        <w:rPr>
          <w:rFonts w:ascii="Cambria" w:hAnsi="Cambria"/>
        </w:rPr>
        <w:t>a</w:t>
      </w:r>
      <w:r>
        <w:rPr>
          <w:rFonts w:ascii="Garamond" w:hAnsi="Garamond"/>
        </w:rPr>
        <w:t>) </w:t>
      </w:r>
      <w:r>
        <w:rPr/>
        <w:t>pairs and rewards, </w:t>
      </w:r>
      <w:r>
        <w:rPr>
          <w:rFonts w:ascii="Cambria" w:hAnsi="Cambria"/>
        </w:rPr>
        <w:t>γ</w:t>
      </w:r>
      <w:r>
        <w:rPr/>
        <w:t>, empty returns list (Returns), empty counter list (Counter), empty Q-values </w:t>
      </w:r>
      <w:r>
        <w:rPr/>
        <w:t>list </w:t>
      </w:r>
      <w:r>
        <w:rPr>
          <w:spacing w:val="-4"/>
        </w:rPr>
        <w:t>(Q)</w:t>
      </w:r>
    </w:p>
    <w:p>
      <w:pPr>
        <w:pStyle w:val="BodyText"/>
        <w:ind w:left="610"/>
        <w:jc w:val="both"/>
      </w:pPr>
      <w:r>
        <w:rPr>
          <w:b/>
        </w:rPr>
        <w:t>Output:</w:t>
      </w:r>
      <w:r>
        <w:rPr>
          <w:b/>
          <w:spacing w:val="-7"/>
        </w:rPr>
        <w:t> </w:t>
      </w:r>
      <w:r>
        <w:rPr/>
        <w:t>Q,</w:t>
      </w:r>
      <w:r>
        <w:rPr>
          <w:spacing w:val="-6"/>
        </w:rPr>
        <w:t> </w:t>
      </w:r>
      <w:r>
        <w:rPr/>
        <w:t>populated</w:t>
      </w:r>
      <w:r>
        <w:rPr>
          <w:spacing w:val="-7"/>
        </w:rPr>
        <w:t> </w:t>
      </w:r>
      <w:r>
        <w:rPr/>
        <w:t>with</w:t>
      </w:r>
      <w:r>
        <w:rPr>
          <w:spacing w:val="-6"/>
        </w:rPr>
        <w:t> </w:t>
      </w:r>
      <w:r>
        <w:rPr/>
        <w:t>results</w:t>
      </w:r>
      <w:r>
        <w:rPr>
          <w:spacing w:val="-7"/>
        </w:rPr>
        <w:t> </w:t>
      </w:r>
      <w:r>
        <w:rPr/>
        <w:t>of</w:t>
      </w:r>
      <w:r>
        <w:rPr>
          <w:spacing w:val="-6"/>
        </w:rPr>
        <w:t> </w:t>
      </w:r>
      <w:r>
        <w:rPr>
          <w:spacing w:val="-5"/>
        </w:rPr>
        <w:t>MDP</w:t>
      </w:r>
    </w:p>
    <w:p>
      <w:pPr>
        <w:spacing w:line="249" w:lineRule="auto" w:before="202"/>
        <w:ind w:left="969" w:right="7083" w:hanging="360"/>
        <w:jc w:val="left"/>
        <w:rPr>
          <w:b/>
          <w:sz w:val="24"/>
        </w:rPr>
      </w:pPr>
      <w:r>
        <w:rPr/>
        <w:pict>
          <v:line style="position:absolute;mso-position-horizontal-relative:page;mso-position-vertical-relative:paragraph;z-index:-21765632" from="120.571999pt,157.610321pt" to="120.571999pt,25.836321pt" stroked="true" strokeweight=".398pt" strokecolor="#000000">
            <v:stroke dashstyle="solid"/>
            <w10:wrap type="none"/>
          </v:line>
        </w:pict>
      </w:r>
      <w:r>
        <w:rPr>
          <w:b/>
          <w:sz w:val="24"/>
        </w:rPr>
        <w:t>for </w:t>
      </w:r>
      <w:r>
        <w:rPr>
          <w:i/>
          <w:sz w:val="24"/>
        </w:rPr>
        <w:t>context </w:t>
      </w:r>
      <w:r>
        <w:rPr>
          <w:rFonts w:ascii="Cambria"/>
          <w:sz w:val="24"/>
        </w:rPr>
        <w:t>c </w:t>
      </w:r>
      <w:r>
        <w:rPr>
          <w:b/>
          <w:sz w:val="24"/>
        </w:rPr>
        <w:t>do for</w:t>
      </w:r>
      <w:r>
        <w:rPr>
          <w:b/>
          <w:spacing w:val="-15"/>
          <w:sz w:val="24"/>
        </w:rPr>
        <w:t> </w:t>
      </w:r>
      <w:r>
        <w:rPr>
          <w:i/>
          <w:sz w:val="24"/>
        </w:rPr>
        <w:t>episode</w:t>
      </w:r>
      <w:r>
        <w:rPr>
          <w:i/>
          <w:spacing w:val="-15"/>
          <w:sz w:val="24"/>
        </w:rPr>
        <w:t> </w:t>
      </w:r>
      <w:r>
        <w:rPr>
          <w:b/>
          <w:sz w:val="24"/>
        </w:rPr>
        <w:t>do</w:t>
      </w:r>
    </w:p>
    <w:p>
      <w:pPr>
        <w:spacing w:line="150" w:lineRule="exact" w:before="2"/>
        <w:ind w:left="1328" w:right="0" w:firstLine="0"/>
        <w:jc w:val="left"/>
        <w:rPr>
          <w:b/>
          <w:sz w:val="24"/>
        </w:rPr>
      </w:pPr>
      <w:r>
        <w:rPr/>
        <w:pict>
          <v:line style="position:absolute;mso-position-horizontal-relative:page;mso-position-vertical-relative:paragraph;z-index:15779840" from="138.529007pt,84.290135pt" to="138.529007pt,1.191135pt" stroked="true" strokeweight=".398pt" strokecolor="#000000">
            <v:stroke dashstyle="solid"/>
            <w10:wrap type="none"/>
          </v:line>
        </w:pict>
      </w:r>
      <w:r>
        <w:rPr>
          <w:b/>
          <w:sz w:val="24"/>
        </w:rPr>
        <w:t>for</w:t>
      </w:r>
      <w:r>
        <w:rPr>
          <w:b/>
          <w:spacing w:val="-7"/>
          <w:sz w:val="24"/>
        </w:rPr>
        <w:t> </w:t>
      </w:r>
      <w:r>
        <w:rPr>
          <w:i/>
          <w:sz w:val="24"/>
        </w:rPr>
        <w:t>timestep,</w:t>
      </w:r>
      <w:r>
        <w:rPr>
          <w:i/>
          <w:spacing w:val="-7"/>
          <w:sz w:val="24"/>
        </w:rPr>
        <w:t> </w:t>
      </w:r>
      <w:r>
        <w:rPr>
          <w:i/>
          <w:sz w:val="24"/>
        </w:rPr>
        <w:t>t</w:t>
      </w:r>
      <w:r>
        <w:rPr>
          <w:i/>
          <w:spacing w:val="-3"/>
          <w:sz w:val="24"/>
        </w:rPr>
        <w:t> </w:t>
      </w:r>
      <w:r>
        <w:rPr>
          <w:b/>
          <w:spacing w:val="-5"/>
          <w:sz w:val="24"/>
        </w:rPr>
        <w:t>do</w:t>
      </w:r>
    </w:p>
    <w:p>
      <w:pPr>
        <w:spacing w:after="0" w:line="150" w:lineRule="exact"/>
        <w:jc w:val="left"/>
        <w:rPr>
          <w:sz w:val="24"/>
        </w:rPr>
        <w:sectPr>
          <w:pgSz w:w="11910" w:h="16840"/>
          <w:pgMar w:header="1961" w:footer="1428" w:top="2280" w:bottom="1620" w:left="1680" w:right="720"/>
        </w:sectPr>
      </w:pPr>
    </w:p>
    <w:p>
      <w:pPr>
        <w:pStyle w:val="BodyText"/>
        <w:spacing w:line="422" w:lineRule="exact"/>
        <w:ind w:left="1687"/>
        <w:rPr>
          <w:rFonts w:ascii="Lucida Sans Unicode" w:hAnsi="Lucida Sans Unicode"/>
          <w:sz w:val="16"/>
        </w:rPr>
      </w:pPr>
      <w:r>
        <w:rPr/>
        <w:pict>
          <v:line style="position:absolute;mso-position-horizontal-relative:page;mso-position-vertical-relative:paragraph;z-index:15780352" from="156.487pt,61.270379pt" to="156.487pt,8.059379pt" stroked="true" strokeweight=".398pt" strokecolor="#000000">
            <v:stroke dashstyle="solid"/>
            <w10:wrap type="none"/>
          </v:line>
        </w:pict>
      </w:r>
      <w:r>
        <w:rPr/>
        <w:pict>
          <v:shape style="position:absolute;margin-left:209.548004pt;margin-top:15.442803pt;width:15.45pt;height:8pt;mso-position-horizontal-relative:page;mso-position-vertical-relative:paragraph;z-index:-21764096" type="#_x0000_t202" id="docshape117" filled="false" stroked="false">
            <v:textbox inset="0,0,0,0">
              <w:txbxContent>
                <w:p>
                  <w:pPr>
                    <w:spacing w:line="155" w:lineRule="exact" w:before="0"/>
                    <w:ind w:left="0" w:right="0" w:firstLine="0"/>
                    <w:jc w:val="left"/>
                    <w:rPr>
                      <w:rFonts w:ascii="Georgia"/>
                      <w:sz w:val="16"/>
                    </w:rPr>
                  </w:pPr>
                  <w:r>
                    <w:rPr>
                      <w:rFonts w:ascii="Cambria"/>
                      <w:spacing w:val="-5"/>
                      <w:w w:val="105"/>
                      <w:sz w:val="16"/>
                    </w:rPr>
                    <w:t>k</w:t>
                  </w:r>
                  <w:r>
                    <w:rPr>
                      <w:rFonts w:ascii="Georgia"/>
                      <w:spacing w:val="-5"/>
                      <w:w w:val="105"/>
                      <w:sz w:val="16"/>
                    </w:rPr>
                    <w:t>=0</w:t>
                  </w:r>
                </w:p>
              </w:txbxContent>
            </v:textbox>
            <w10:wrap type="none"/>
          </v:shape>
        </w:pict>
      </w:r>
      <w:r>
        <w:rPr>
          <w:rFonts w:ascii="Cambria" w:hAnsi="Cambria"/>
          <w:w w:val="120"/>
        </w:rPr>
        <w:t>G</w:t>
      </w:r>
      <w:r>
        <w:rPr>
          <w:rFonts w:ascii="Cambria" w:hAnsi="Cambria"/>
          <w:w w:val="120"/>
          <w:vertAlign w:val="subscript"/>
        </w:rPr>
        <w:t>t</w:t>
      </w:r>
      <w:r>
        <w:rPr>
          <w:rFonts w:ascii="Cambria" w:hAnsi="Cambria"/>
          <w:spacing w:val="8"/>
          <w:w w:val="120"/>
          <w:vertAlign w:val="baseline"/>
        </w:rPr>
        <w:t> </w:t>
      </w:r>
      <w:r>
        <w:rPr>
          <w:rFonts w:ascii="Garamond" w:hAnsi="Garamond"/>
          <w:w w:val="120"/>
          <w:vertAlign w:val="baseline"/>
        </w:rPr>
        <w:t>=</w:t>
      </w:r>
      <w:r>
        <w:rPr>
          <w:rFonts w:ascii="Garamond" w:hAnsi="Garamond"/>
          <w:spacing w:val="-10"/>
          <w:w w:val="120"/>
          <w:vertAlign w:val="baseline"/>
        </w:rPr>
        <w:t> </w:t>
      </w:r>
      <w:r>
        <w:rPr>
          <w:rFonts w:ascii="Arial" w:hAnsi="Arial"/>
          <w:spacing w:val="-5"/>
          <w:w w:val="120"/>
          <w:position w:val="18"/>
          <w:vertAlign w:val="baseline"/>
        </w:rPr>
        <w:t>L.</w:t>
      </w:r>
      <w:r>
        <w:rPr>
          <w:rFonts w:ascii="Lucida Sans Unicode" w:hAnsi="Lucida Sans Unicode"/>
          <w:spacing w:val="-5"/>
          <w:w w:val="120"/>
          <w:position w:val="12"/>
          <w:sz w:val="16"/>
          <w:vertAlign w:val="baseline"/>
        </w:rPr>
        <w:t>∞</w:t>
      </w:r>
    </w:p>
    <w:p>
      <w:pPr>
        <w:spacing w:line="304" w:lineRule="exact" w:before="122"/>
        <w:ind w:left="149" w:right="0" w:firstLine="0"/>
        <w:jc w:val="left"/>
        <w:rPr>
          <w:rFonts w:ascii="Georgia" w:hAnsi="Georgia"/>
          <w:sz w:val="16"/>
        </w:rPr>
      </w:pPr>
      <w:r>
        <w:rPr/>
        <w:br w:type="column"/>
      </w:r>
      <w:r>
        <w:rPr>
          <w:rFonts w:ascii="Cambria" w:hAnsi="Cambria"/>
          <w:spacing w:val="-2"/>
          <w:w w:val="115"/>
          <w:position w:val="4"/>
          <w:sz w:val="24"/>
        </w:rPr>
        <w:t>γ</w:t>
      </w:r>
      <w:r>
        <w:rPr>
          <w:rFonts w:ascii="Cambria" w:hAnsi="Cambria"/>
          <w:spacing w:val="-2"/>
          <w:w w:val="115"/>
          <w:position w:val="12"/>
          <w:sz w:val="16"/>
        </w:rPr>
        <w:t>k</w:t>
      </w:r>
      <w:r>
        <w:rPr>
          <w:rFonts w:ascii="Cambria" w:hAnsi="Cambria"/>
          <w:spacing w:val="-2"/>
          <w:w w:val="115"/>
          <w:position w:val="4"/>
          <w:sz w:val="24"/>
        </w:rPr>
        <w:t>R</w:t>
      </w:r>
      <w:r>
        <w:rPr>
          <w:rFonts w:ascii="Cambria" w:hAnsi="Cambria"/>
          <w:spacing w:val="-2"/>
          <w:w w:val="115"/>
          <w:sz w:val="16"/>
        </w:rPr>
        <w:t>t</w:t>
      </w:r>
      <w:r>
        <w:rPr>
          <w:rFonts w:ascii="Georgia" w:hAnsi="Georgia"/>
          <w:spacing w:val="-2"/>
          <w:w w:val="115"/>
          <w:sz w:val="16"/>
        </w:rPr>
        <w:t>+</w:t>
      </w:r>
      <w:r>
        <w:rPr>
          <w:rFonts w:ascii="Cambria" w:hAnsi="Cambria"/>
          <w:spacing w:val="-2"/>
          <w:w w:val="115"/>
          <w:sz w:val="16"/>
        </w:rPr>
        <w:t>k</w:t>
      </w:r>
      <w:r>
        <w:rPr>
          <w:rFonts w:ascii="Georgia" w:hAnsi="Georgia"/>
          <w:spacing w:val="-2"/>
          <w:w w:val="115"/>
          <w:sz w:val="16"/>
        </w:rPr>
        <w:t>+1</w:t>
      </w:r>
    </w:p>
    <w:p>
      <w:pPr>
        <w:spacing w:after="0" w:line="304" w:lineRule="exact"/>
        <w:jc w:val="left"/>
        <w:rPr>
          <w:rFonts w:ascii="Georgia" w:hAnsi="Georgia"/>
          <w:sz w:val="16"/>
        </w:rPr>
        <w:sectPr>
          <w:type w:val="continuous"/>
          <w:pgSz w:w="11910" w:h="16840"/>
          <w:pgMar w:header="1961" w:footer="1428" w:top="1920" w:bottom="280" w:left="1680" w:right="720"/>
          <w:cols w:num="2" w:equalWidth="0">
            <w:col w:w="2681" w:space="40"/>
            <w:col w:w="6789"/>
          </w:cols>
        </w:sectPr>
      </w:pPr>
    </w:p>
    <w:p>
      <w:pPr>
        <w:pStyle w:val="BodyText"/>
        <w:rPr>
          <w:rFonts w:ascii="Georgia"/>
          <w:sz w:val="30"/>
        </w:rPr>
      </w:pPr>
    </w:p>
    <w:p>
      <w:pPr>
        <w:pStyle w:val="BodyText"/>
        <w:spacing w:before="8"/>
        <w:rPr>
          <w:rFonts w:ascii="Georgia"/>
          <w:sz w:val="39"/>
        </w:rPr>
      </w:pPr>
    </w:p>
    <w:p>
      <w:pPr>
        <w:pStyle w:val="Heading4"/>
        <w:spacing w:line="268" w:lineRule="auto" w:before="1"/>
        <w:ind w:left="969" w:right="-9" w:firstLine="359"/>
      </w:pPr>
      <w:r>
        <w:rPr>
          <w:spacing w:val="-4"/>
        </w:rPr>
        <w:t>end end</w:t>
      </w:r>
    </w:p>
    <w:p>
      <w:pPr>
        <w:pStyle w:val="BodyText"/>
        <w:spacing w:line="283" w:lineRule="exact"/>
        <w:ind w:left="64"/>
        <w:rPr>
          <w:rFonts w:ascii="Cambria"/>
        </w:rPr>
      </w:pPr>
      <w:r>
        <w:rPr/>
        <w:br w:type="column"/>
      </w:r>
      <w:r>
        <w:rPr/>
        <w:t>Returns</w:t>
      </w:r>
      <w:r>
        <w:rPr>
          <w:rFonts w:ascii="Garamond"/>
        </w:rPr>
        <w:t>(</w:t>
      </w:r>
      <w:r>
        <w:rPr>
          <w:rFonts w:ascii="Cambria"/>
        </w:rPr>
        <w:t>c, s, a</w:t>
      </w:r>
      <w:r>
        <w:rPr>
          <w:rFonts w:ascii="Garamond"/>
        </w:rPr>
        <w:t>)</w:t>
      </w:r>
      <w:r>
        <w:rPr>
          <w:rFonts w:ascii="Garamond"/>
          <w:spacing w:val="18"/>
        </w:rPr>
        <w:t> </w:t>
      </w:r>
      <w:r>
        <w:rPr/>
        <w:t>=</w:t>
      </w:r>
      <w:r>
        <w:rPr>
          <w:spacing w:val="19"/>
        </w:rPr>
        <w:t> </w:t>
      </w:r>
      <w:r>
        <w:rPr/>
        <w:t>Returns</w:t>
      </w:r>
      <w:r>
        <w:rPr>
          <w:rFonts w:ascii="Garamond"/>
        </w:rPr>
        <w:t>(</w:t>
      </w:r>
      <w:r>
        <w:rPr>
          <w:rFonts w:ascii="Cambria"/>
        </w:rPr>
        <w:t>c, s, a</w:t>
      </w:r>
      <w:r>
        <w:rPr>
          <w:rFonts w:ascii="Garamond"/>
        </w:rPr>
        <w:t>)</w:t>
      </w:r>
      <w:r>
        <w:rPr>
          <w:rFonts w:ascii="Garamond"/>
          <w:spacing w:val="18"/>
        </w:rPr>
        <w:t> </w:t>
      </w:r>
      <w:r>
        <w:rPr/>
        <w:t>+</w:t>
      </w:r>
      <w:r>
        <w:rPr>
          <w:spacing w:val="19"/>
        </w:rPr>
        <w:t> </w:t>
      </w:r>
      <w:r>
        <w:rPr>
          <w:rFonts w:ascii="Cambria"/>
          <w:spacing w:val="-5"/>
        </w:rPr>
        <w:t>G</w:t>
      </w:r>
      <w:r>
        <w:rPr>
          <w:rFonts w:ascii="Cambria"/>
          <w:spacing w:val="-5"/>
          <w:vertAlign w:val="subscript"/>
        </w:rPr>
        <w:t>t</w:t>
      </w:r>
    </w:p>
    <w:p>
      <w:pPr>
        <w:pStyle w:val="BodyText"/>
        <w:spacing w:line="290" w:lineRule="exact"/>
        <w:ind w:left="64"/>
      </w:pPr>
      <w:r>
        <w:rPr>
          <w:w w:val="105"/>
        </w:rPr>
        <w:t>Counter</w:t>
      </w:r>
      <w:r>
        <w:rPr>
          <w:rFonts w:ascii="Garamond"/>
          <w:w w:val="105"/>
        </w:rPr>
        <w:t>(</w:t>
      </w:r>
      <w:r>
        <w:rPr>
          <w:rFonts w:ascii="Cambria"/>
          <w:w w:val="105"/>
        </w:rPr>
        <w:t>c,</w:t>
      </w:r>
      <w:r>
        <w:rPr>
          <w:rFonts w:ascii="Cambria"/>
          <w:spacing w:val="-16"/>
          <w:w w:val="105"/>
        </w:rPr>
        <w:t> </w:t>
      </w:r>
      <w:r>
        <w:rPr>
          <w:rFonts w:ascii="Cambria"/>
          <w:w w:val="105"/>
        </w:rPr>
        <w:t>s,</w:t>
      </w:r>
      <w:r>
        <w:rPr>
          <w:rFonts w:ascii="Cambria"/>
          <w:spacing w:val="-16"/>
          <w:w w:val="105"/>
        </w:rPr>
        <w:t> </w:t>
      </w:r>
      <w:r>
        <w:rPr>
          <w:rFonts w:ascii="Cambria"/>
          <w:w w:val="105"/>
        </w:rPr>
        <w:t>a</w:t>
      </w:r>
      <w:r>
        <w:rPr>
          <w:rFonts w:ascii="Garamond"/>
          <w:w w:val="105"/>
        </w:rPr>
        <w:t>)</w:t>
      </w:r>
      <w:r>
        <w:rPr>
          <w:rFonts w:ascii="Garamond"/>
          <w:spacing w:val="-13"/>
          <w:w w:val="105"/>
        </w:rPr>
        <w:t> </w:t>
      </w:r>
      <w:r>
        <w:rPr>
          <w:w w:val="105"/>
        </w:rPr>
        <w:t>=</w:t>
      </w:r>
      <w:r>
        <w:rPr>
          <w:spacing w:val="-6"/>
          <w:w w:val="105"/>
        </w:rPr>
        <w:t> </w:t>
      </w:r>
      <w:r>
        <w:rPr>
          <w:w w:val="105"/>
        </w:rPr>
        <w:t>Counter</w:t>
      </w:r>
      <w:r>
        <w:rPr>
          <w:rFonts w:ascii="Garamond"/>
          <w:w w:val="105"/>
        </w:rPr>
        <w:t>(</w:t>
      </w:r>
      <w:r>
        <w:rPr>
          <w:rFonts w:ascii="Cambria"/>
          <w:w w:val="105"/>
        </w:rPr>
        <w:t>c,</w:t>
      </w:r>
      <w:r>
        <w:rPr>
          <w:rFonts w:ascii="Cambria"/>
          <w:spacing w:val="-16"/>
          <w:w w:val="105"/>
        </w:rPr>
        <w:t> </w:t>
      </w:r>
      <w:r>
        <w:rPr>
          <w:rFonts w:ascii="Cambria"/>
          <w:w w:val="105"/>
        </w:rPr>
        <w:t>s,</w:t>
      </w:r>
      <w:r>
        <w:rPr>
          <w:rFonts w:ascii="Cambria"/>
          <w:spacing w:val="-16"/>
          <w:w w:val="105"/>
        </w:rPr>
        <w:t> </w:t>
      </w:r>
      <w:r>
        <w:rPr>
          <w:rFonts w:ascii="Cambria"/>
          <w:w w:val="105"/>
        </w:rPr>
        <w:t>a</w:t>
      </w:r>
      <w:r>
        <w:rPr>
          <w:rFonts w:ascii="Garamond"/>
          <w:w w:val="105"/>
        </w:rPr>
        <w:t>)</w:t>
      </w:r>
      <w:r>
        <w:rPr>
          <w:rFonts w:ascii="Garamond"/>
          <w:spacing w:val="-6"/>
          <w:w w:val="105"/>
        </w:rPr>
        <w:t> </w:t>
      </w:r>
      <w:r>
        <w:rPr>
          <w:w w:val="105"/>
        </w:rPr>
        <w:t>+</w:t>
      </w:r>
      <w:r>
        <w:rPr>
          <w:spacing w:val="-7"/>
          <w:w w:val="105"/>
        </w:rPr>
        <w:t> </w:t>
      </w:r>
      <w:r>
        <w:rPr>
          <w:spacing w:val="-10"/>
          <w:w w:val="105"/>
        </w:rPr>
        <w:t>1</w:t>
      </w:r>
    </w:p>
    <w:p>
      <w:pPr>
        <w:spacing w:after="0" w:line="290" w:lineRule="exact"/>
        <w:sectPr>
          <w:type w:val="continuous"/>
          <w:pgSz w:w="11910" w:h="16840"/>
          <w:pgMar w:header="1961" w:footer="1428" w:top="1920" w:bottom="280" w:left="1680" w:right="720"/>
          <w:cols w:num="2" w:equalWidth="0">
            <w:col w:w="1701" w:space="40"/>
            <w:col w:w="7769"/>
          </w:cols>
        </w:sectPr>
      </w:pPr>
    </w:p>
    <w:p>
      <w:pPr>
        <w:spacing w:line="252" w:lineRule="auto" w:before="0"/>
        <w:ind w:left="1971" w:right="5696" w:firstLine="8"/>
        <w:jc w:val="left"/>
        <w:rPr>
          <w:rFonts w:ascii="Georgia"/>
          <w:sz w:val="16"/>
        </w:rPr>
      </w:pPr>
      <w:r>
        <w:rPr/>
        <w:pict>
          <v:shape style="position:absolute;margin-left:132.477005pt;margin-top:4.334164pt;width:45.6pt;height:12.85pt;mso-position-horizontal-relative:page;mso-position-vertical-relative:paragraph;z-index:15781376" type="#_x0000_t202" id="docshape118" filled="false" stroked="false">
            <v:textbox inset="0,0,0,0">
              <w:txbxContent>
                <w:p>
                  <w:pPr>
                    <w:spacing w:line="252" w:lineRule="exact" w:before="0"/>
                    <w:ind w:left="0" w:right="0" w:firstLine="0"/>
                    <w:jc w:val="left"/>
                    <w:rPr>
                      <w:rFonts w:ascii="Garamond"/>
                      <w:sz w:val="24"/>
                    </w:rPr>
                  </w:pPr>
                  <w:r>
                    <w:rPr>
                      <w:rFonts w:ascii="Cambria"/>
                      <w:w w:val="115"/>
                      <w:position w:val="4"/>
                      <w:sz w:val="24"/>
                    </w:rPr>
                    <w:t>Q</w:t>
                  </w:r>
                  <w:r>
                    <w:rPr>
                      <w:rFonts w:ascii="Georgia"/>
                      <w:w w:val="115"/>
                      <w:sz w:val="16"/>
                    </w:rPr>
                    <w:t>(</w:t>
                  </w:r>
                  <w:r>
                    <w:rPr>
                      <w:rFonts w:ascii="Cambria"/>
                      <w:w w:val="115"/>
                      <w:sz w:val="16"/>
                    </w:rPr>
                    <w:t>c,s,a</w:t>
                  </w:r>
                  <w:r>
                    <w:rPr>
                      <w:rFonts w:ascii="Georgia"/>
                      <w:w w:val="115"/>
                      <w:sz w:val="16"/>
                    </w:rPr>
                    <w:t>)</w:t>
                  </w:r>
                  <w:r>
                    <w:rPr>
                      <w:rFonts w:ascii="Georgia"/>
                      <w:spacing w:val="37"/>
                      <w:w w:val="115"/>
                      <w:sz w:val="16"/>
                    </w:rPr>
                    <w:t> </w:t>
                  </w:r>
                  <w:r>
                    <w:rPr>
                      <w:rFonts w:ascii="Garamond"/>
                      <w:spacing w:val="-10"/>
                      <w:w w:val="115"/>
                      <w:position w:val="4"/>
                      <w:sz w:val="24"/>
                    </w:rPr>
                    <w:t>=</w:t>
                  </w:r>
                </w:p>
              </w:txbxContent>
            </v:textbox>
            <w10:wrap type="none"/>
          </v:shape>
        </w:pict>
      </w:r>
      <w:r>
        <w:rPr>
          <w:spacing w:val="-2"/>
          <w:w w:val="105"/>
          <w:sz w:val="16"/>
          <w:u w:val="single"/>
        </w:rPr>
        <w:t>Returns</w:t>
      </w:r>
      <w:r>
        <w:rPr>
          <w:rFonts w:ascii="Georgia"/>
          <w:spacing w:val="-2"/>
          <w:w w:val="105"/>
          <w:sz w:val="16"/>
          <w:u w:val="single"/>
        </w:rPr>
        <w:t>(</w:t>
      </w:r>
      <w:r>
        <w:rPr>
          <w:rFonts w:ascii="Cambria"/>
          <w:spacing w:val="-2"/>
          <w:w w:val="105"/>
          <w:sz w:val="16"/>
          <w:u w:val="single"/>
        </w:rPr>
        <w:t>c,s,a</w:t>
      </w:r>
      <w:r>
        <w:rPr>
          <w:rFonts w:ascii="Georgia"/>
          <w:spacing w:val="-2"/>
          <w:w w:val="105"/>
          <w:sz w:val="16"/>
          <w:u w:val="single"/>
        </w:rPr>
        <w:t>)</w:t>
      </w:r>
      <w:r>
        <w:rPr>
          <w:rFonts w:ascii="Georgia"/>
          <w:spacing w:val="40"/>
          <w:w w:val="105"/>
          <w:sz w:val="16"/>
        </w:rPr>
        <w:t> </w:t>
      </w:r>
      <w:r>
        <w:rPr>
          <w:spacing w:val="-2"/>
          <w:w w:val="105"/>
          <w:sz w:val="16"/>
        </w:rPr>
        <w:t>Counter</w:t>
      </w:r>
      <w:r>
        <w:rPr>
          <w:rFonts w:ascii="Georgia"/>
          <w:spacing w:val="-2"/>
          <w:w w:val="105"/>
          <w:sz w:val="16"/>
        </w:rPr>
        <w:t>(</w:t>
      </w:r>
      <w:r>
        <w:rPr>
          <w:rFonts w:ascii="Cambria"/>
          <w:spacing w:val="-2"/>
          <w:w w:val="105"/>
          <w:sz w:val="16"/>
        </w:rPr>
        <w:t>c,s,a</w:t>
      </w:r>
      <w:r>
        <w:rPr>
          <w:rFonts w:ascii="Georgia"/>
          <w:spacing w:val="-2"/>
          <w:w w:val="105"/>
          <w:sz w:val="16"/>
        </w:rPr>
        <w:t>)</w:t>
      </w:r>
    </w:p>
    <w:p>
      <w:pPr>
        <w:pStyle w:val="Heading4"/>
        <w:spacing w:line="262" w:lineRule="exact" w:before="0"/>
        <w:ind w:left="610"/>
      </w:pPr>
      <w:r>
        <w:rPr>
          <w:spacing w:val="-5"/>
        </w:rPr>
        <w:t>end</w:t>
      </w:r>
    </w:p>
    <w:p>
      <w:pPr>
        <w:pStyle w:val="BodyText"/>
        <w:spacing w:before="8"/>
        <w:rPr>
          <w:b/>
          <w:sz w:val="4"/>
        </w:rPr>
      </w:pPr>
      <w:r>
        <w:rPr/>
        <w:pict>
          <v:shape style="position:absolute;margin-left:114.519997pt;margin-top:3.929294pt;width:425.2pt;height:.1pt;mso-position-horizontal-relative:page;mso-position-vertical-relative:paragraph;z-index:-15678464;mso-wrap-distance-left:0;mso-wrap-distance-right:0" id="docshape119" coordorigin="2290,79" coordsize="8504,0" path="m2290,79l10794,79e" filled="false" stroked="true" strokeweight=".398pt" strokecolor="#000000">
            <v:path arrowok="t"/>
            <v:stroke dashstyle="solid"/>
            <w10:wrap type="topAndBottom"/>
          </v:shape>
        </w:pict>
      </w:r>
    </w:p>
    <w:p>
      <w:pPr>
        <w:pStyle w:val="BodyText"/>
        <w:spacing w:before="6"/>
        <w:rPr>
          <w:b/>
          <w:sz w:val="27"/>
        </w:rPr>
      </w:pPr>
    </w:p>
    <w:p>
      <w:pPr>
        <w:pStyle w:val="BodyText"/>
        <w:spacing w:line="312" w:lineRule="auto" w:before="97"/>
        <w:ind w:left="610" w:right="389"/>
        <w:jc w:val="both"/>
      </w:pPr>
      <w:r>
        <w:rPr/>
        <w:t>attempt (0).</w:t>
      </w:r>
      <w:r>
        <w:rPr>
          <w:spacing w:val="40"/>
        </w:rPr>
        <w:t> </w:t>
      </w:r>
      <w:r>
        <w:rPr/>
        <w:t>For actions where none of these point scoring events occurred, a reward of 0 was assigned.</w:t>
      </w:r>
      <w:r>
        <w:rPr>
          <w:spacing w:val="40"/>
        </w:rPr>
        <w:t> </w:t>
      </w:r>
      <w:r>
        <w:rPr/>
        <w:t>Each time-step within the attacking possession sequence was assigned</w:t>
      </w:r>
      <w:r>
        <w:rPr>
          <w:spacing w:val="40"/>
        </w:rPr>
        <w:t> </w:t>
      </w:r>
      <w:r>
        <w:rPr/>
        <w:t>a reward, so it was possible for a state, action tuple to receive multiple rewards if more than one action was completed in a given location within the same attacking </w:t>
      </w:r>
      <w:r>
        <w:rPr/>
        <w:t>possession. However, a point scoring reward was only obtained once per attacking possession.</w:t>
      </w:r>
    </w:p>
    <w:p>
      <w:pPr>
        <w:pStyle w:val="BodyText"/>
        <w:spacing w:line="309" w:lineRule="auto"/>
        <w:ind w:left="610" w:right="389" w:firstLine="351"/>
      </w:pPr>
      <w:r>
        <w:rPr/>
        <w:t>Four models were run to evaluate the impact of context nodes on Q</w:t>
      </w:r>
      <w:r>
        <w:rPr>
          <w:rFonts w:ascii="Georgia" w:hAnsi="Georgia"/>
          <w:vertAlign w:val="subscript"/>
        </w:rPr>
        <w:t>(</w:t>
      </w:r>
      <w:r>
        <w:rPr>
          <w:rFonts w:ascii="Cambria" w:hAnsi="Cambria"/>
          <w:vertAlign w:val="subscript"/>
        </w:rPr>
        <w:t>s,a</w:t>
      </w:r>
      <w:r>
        <w:rPr>
          <w:rFonts w:ascii="Georgia" w:hAnsi="Georgia"/>
          <w:vertAlign w:val="subscript"/>
        </w:rPr>
        <w:t>)</w:t>
      </w:r>
      <w:r>
        <w:rPr>
          <w:vertAlign w:val="baseline"/>
        </w:rPr>
        <w:t>:</w:t>
      </w:r>
      <w:r>
        <w:rPr>
          <w:spacing w:val="35"/>
          <w:vertAlign w:val="baseline"/>
        </w:rPr>
        <w:t> </w:t>
      </w:r>
      <w:r>
        <w:rPr>
          <w:vertAlign w:val="baseline"/>
        </w:rPr>
        <w:t>MDP</w:t>
      </w:r>
      <w:r>
        <w:rPr>
          <w:vertAlign w:val="subscript"/>
        </w:rPr>
        <w:t>nc</w:t>
      </w:r>
      <w:r>
        <w:rPr>
          <w:vertAlign w:val="baseline"/>
        </w:rPr>
        <w:t> has no</w:t>
      </w:r>
      <w:r>
        <w:rPr>
          <w:spacing w:val="30"/>
          <w:vertAlign w:val="baseline"/>
        </w:rPr>
        <w:t> </w:t>
      </w:r>
      <w:r>
        <w:rPr>
          <w:vertAlign w:val="baseline"/>
        </w:rPr>
        <w:t>context</w:t>
      </w:r>
      <w:r>
        <w:rPr>
          <w:spacing w:val="30"/>
          <w:vertAlign w:val="baseline"/>
        </w:rPr>
        <w:t> </w:t>
      </w:r>
      <w:r>
        <w:rPr>
          <w:vertAlign w:val="baseline"/>
        </w:rPr>
        <w:t>nodes;</w:t>
      </w:r>
      <w:r>
        <w:rPr>
          <w:spacing w:val="40"/>
          <w:vertAlign w:val="baseline"/>
        </w:rPr>
        <w:t> </w:t>
      </w:r>
      <w:r>
        <w:rPr>
          <w:vertAlign w:val="baseline"/>
        </w:rPr>
        <w:t>MDP</w:t>
      </w:r>
      <w:r>
        <w:rPr>
          <w:vertAlign w:val="subscript"/>
        </w:rPr>
        <w:t>period</w:t>
      </w:r>
      <w:r>
        <w:rPr>
          <w:spacing w:val="39"/>
          <w:vertAlign w:val="baseline"/>
        </w:rPr>
        <w:t> </w:t>
      </w:r>
      <w:r>
        <w:rPr>
          <w:vertAlign w:val="baseline"/>
        </w:rPr>
        <w:t>has</w:t>
      </w:r>
      <w:r>
        <w:rPr>
          <w:spacing w:val="30"/>
          <w:vertAlign w:val="baseline"/>
        </w:rPr>
        <w:t> </w:t>
      </w:r>
      <w:r>
        <w:rPr>
          <w:vertAlign w:val="baseline"/>
        </w:rPr>
        <w:t>period</w:t>
      </w:r>
      <w:r>
        <w:rPr>
          <w:spacing w:val="30"/>
          <w:vertAlign w:val="baseline"/>
        </w:rPr>
        <w:t> </w:t>
      </w:r>
      <w:r>
        <w:rPr>
          <w:vertAlign w:val="baseline"/>
        </w:rPr>
        <w:t>(1st</w:t>
      </w:r>
      <w:r>
        <w:rPr>
          <w:spacing w:val="30"/>
          <w:vertAlign w:val="baseline"/>
        </w:rPr>
        <w:t> </w:t>
      </w:r>
      <w:r>
        <w:rPr>
          <w:vertAlign w:val="baseline"/>
        </w:rPr>
        <w:t>half</w:t>
      </w:r>
      <w:r>
        <w:rPr>
          <w:spacing w:val="30"/>
          <w:vertAlign w:val="baseline"/>
        </w:rPr>
        <w:t> </w:t>
      </w:r>
      <w:r>
        <w:rPr>
          <w:vertAlign w:val="baseline"/>
        </w:rPr>
        <w:t>or</w:t>
      </w:r>
      <w:r>
        <w:rPr>
          <w:spacing w:val="30"/>
          <w:vertAlign w:val="baseline"/>
        </w:rPr>
        <w:t> </w:t>
      </w:r>
      <w:r>
        <w:rPr>
          <w:vertAlign w:val="baseline"/>
        </w:rPr>
        <w:t>2nd</w:t>
      </w:r>
      <w:r>
        <w:rPr>
          <w:spacing w:val="30"/>
          <w:vertAlign w:val="baseline"/>
        </w:rPr>
        <w:t> </w:t>
      </w:r>
      <w:r>
        <w:rPr>
          <w:vertAlign w:val="baseline"/>
        </w:rPr>
        <w:t>half)</w:t>
      </w:r>
      <w:r>
        <w:rPr>
          <w:spacing w:val="30"/>
          <w:vertAlign w:val="baseline"/>
        </w:rPr>
        <w:t> </w:t>
      </w:r>
      <w:r>
        <w:rPr>
          <w:vertAlign w:val="baseline"/>
        </w:rPr>
        <w:t>as</w:t>
      </w:r>
      <w:r>
        <w:rPr>
          <w:spacing w:val="30"/>
          <w:vertAlign w:val="baseline"/>
        </w:rPr>
        <w:t> </w:t>
      </w:r>
      <w:r>
        <w:rPr>
          <w:vertAlign w:val="baseline"/>
        </w:rPr>
        <w:t>a</w:t>
      </w:r>
      <w:r>
        <w:rPr>
          <w:spacing w:val="30"/>
          <w:vertAlign w:val="baseline"/>
        </w:rPr>
        <w:t> </w:t>
      </w:r>
      <w:r>
        <w:rPr>
          <w:vertAlign w:val="baseline"/>
        </w:rPr>
        <w:t>context</w:t>
      </w:r>
      <w:r>
        <w:rPr>
          <w:spacing w:val="30"/>
          <w:vertAlign w:val="baseline"/>
        </w:rPr>
        <w:t> </w:t>
      </w:r>
      <w:r>
        <w:rPr>
          <w:vertAlign w:val="baseline"/>
        </w:rPr>
        <w:t>node;</w:t>
      </w:r>
      <w:r>
        <w:rPr>
          <w:spacing w:val="40"/>
          <w:vertAlign w:val="baseline"/>
        </w:rPr>
        <w:t> </w:t>
      </w:r>
      <w:r>
        <w:rPr>
          <w:vertAlign w:val="baseline"/>
        </w:rPr>
        <w:t>and MDP</w:t>
      </w:r>
      <w:r>
        <w:rPr>
          <w:vertAlign w:val="subscript"/>
        </w:rPr>
        <w:t>score</w:t>
      </w:r>
      <w:r>
        <w:rPr>
          <w:vertAlign w:val="baseline"/>
        </w:rPr>
        <w:t> has match score (winning, drawing or losing) as a context node.</w:t>
      </w:r>
      <w:r>
        <w:rPr>
          <w:spacing w:val="40"/>
          <w:vertAlign w:val="baseline"/>
        </w:rPr>
        <w:t> </w:t>
      </w:r>
      <w:r>
        <w:rPr>
          <w:vertAlign w:val="baseline"/>
        </w:rPr>
        <w:t>These </w:t>
      </w:r>
      <w:r>
        <w:rPr>
          <w:vertAlign w:val="baseline"/>
        </w:rPr>
        <w:t>three</w:t>
      </w:r>
      <w:r>
        <w:rPr>
          <w:spacing w:val="40"/>
          <w:vertAlign w:val="baseline"/>
        </w:rPr>
        <w:t> </w:t>
      </w:r>
      <w:r>
        <w:rPr>
          <w:vertAlign w:val="baseline"/>
        </w:rPr>
        <w:t>models were used to evaluate player performances.</w:t>
      </w:r>
      <w:r>
        <w:rPr>
          <w:spacing w:val="40"/>
          <w:vertAlign w:val="baseline"/>
        </w:rPr>
        <w:t> </w:t>
      </w:r>
      <w:r>
        <w:rPr>
          <w:vertAlign w:val="baseline"/>
        </w:rPr>
        <w:t>A fourth model MDP</w:t>
      </w:r>
      <w:r>
        <w:rPr>
          <w:vertAlign w:val="subscript"/>
        </w:rPr>
        <w:t>team</w:t>
      </w:r>
      <w:r>
        <w:rPr>
          <w:spacing w:val="27"/>
          <w:vertAlign w:val="baseline"/>
        </w:rPr>
        <w:t> </w:t>
      </w:r>
      <w:r>
        <w:rPr>
          <w:vertAlign w:val="baseline"/>
        </w:rPr>
        <w:t>used the</w:t>
      </w:r>
      <w:r>
        <w:rPr>
          <w:spacing w:val="40"/>
          <w:vertAlign w:val="baseline"/>
        </w:rPr>
        <w:t> </w:t>
      </w:r>
      <w:r>
        <w:rPr>
          <w:vertAlign w:val="baseline"/>
        </w:rPr>
        <w:t>attacking possession team as a context node to assess whether further insight into team attacking performances could be gleaned using the context nodes. Algorithm</w:t>
      </w:r>
      <w:r>
        <w:rPr>
          <w:color w:val="0000FF"/>
          <w:vertAlign w:val="baseline"/>
        </w:rPr>
        <w:t>2</w:t>
      </w:r>
      <w:r>
        <w:rPr>
          <w:vertAlign w:val="baseline"/>
        </w:rPr>
        <w:t>was used to produce MDP</w:t>
      </w:r>
      <w:r>
        <w:rPr>
          <w:vertAlign w:val="subscript"/>
        </w:rPr>
        <w:t>nc</w:t>
      </w:r>
      <w:r>
        <w:rPr>
          <w:vertAlign w:val="baseline"/>
        </w:rPr>
        <w:t>, Algorithm</w:t>
      </w:r>
      <w:r>
        <w:rPr>
          <w:color w:val="0000FF"/>
          <w:vertAlign w:val="baseline"/>
        </w:rPr>
        <w:t>3</w:t>
      </w:r>
      <w:r>
        <w:rPr>
          <w:vertAlign w:val="baseline"/>
        </w:rPr>
        <w:t>was used for MDP</w:t>
      </w:r>
      <w:r>
        <w:rPr>
          <w:spacing w:val="40"/>
          <w:vertAlign w:val="baseline"/>
        </w:rPr>
        <w:t> </w:t>
      </w:r>
      <w:r>
        <w:rPr>
          <w:vertAlign w:val="subscript"/>
        </w:rPr>
        <w:t>period</w:t>
      </w:r>
      <w:r>
        <w:rPr>
          <w:vertAlign w:val="baseline"/>
        </w:rPr>
        <w:t>, MDP</w:t>
      </w:r>
      <w:r>
        <w:rPr>
          <w:vertAlign w:val="subscript"/>
        </w:rPr>
        <w:t>score</w:t>
      </w:r>
      <w:r>
        <w:rPr>
          <w:vertAlign w:val="baseline"/>
        </w:rPr>
        <w:t> and MDP</w:t>
      </w:r>
      <w:r>
        <w:rPr>
          <w:vertAlign w:val="subscript"/>
        </w:rPr>
        <w:t>team</w:t>
      </w:r>
      <w:r>
        <w:rPr>
          <w:vertAlign w:val="baseline"/>
        </w:rPr>
        <w:t>.</w:t>
      </w:r>
      <w:r>
        <w:rPr>
          <w:spacing w:val="32"/>
          <w:vertAlign w:val="baseline"/>
        </w:rPr>
        <w:t> </w:t>
      </w:r>
      <w:r>
        <w:rPr>
          <w:vertAlign w:val="baseline"/>
        </w:rPr>
        <w:t>All the rewards</w:t>
      </w:r>
      <w:r>
        <w:rPr>
          <w:spacing w:val="21"/>
          <w:vertAlign w:val="baseline"/>
        </w:rPr>
        <w:t> </w:t>
      </w:r>
      <w:r>
        <w:rPr>
          <w:vertAlign w:val="baseline"/>
        </w:rPr>
        <w:t>obtained</w:t>
      </w:r>
      <w:r>
        <w:rPr>
          <w:spacing w:val="21"/>
          <w:vertAlign w:val="baseline"/>
        </w:rPr>
        <w:t> </w:t>
      </w:r>
      <w:r>
        <w:rPr>
          <w:vertAlign w:val="baseline"/>
        </w:rPr>
        <w:t>within</w:t>
      </w:r>
      <w:r>
        <w:rPr>
          <w:spacing w:val="21"/>
          <w:vertAlign w:val="baseline"/>
        </w:rPr>
        <w:t> </w:t>
      </w:r>
      <w:r>
        <w:rPr>
          <w:vertAlign w:val="baseline"/>
        </w:rPr>
        <w:t>the</w:t>
      </w:r>
      <w:r>
        <w:rPr>
          <w:spacing w:val="21"/>
          <w:vertAlign w:val="baseline"/>
        </w:rPr>
        <w:t> </w:t>
      </w:r>
      <w:r>
        <w:rPr>
          <w:vertAlign w:val="baseline"/>
        </w:rPr>
        <w:t>MDPs</w:t>
      </w:r>
      <w:r>
        <w:rPr>
          <w:spacing w:val="21"/>
          <w:vertAlign w:val="baseline"/>
        </w:rPr>
        <w:t> </w:t>
      </w:r>
      <w:r>
        <w:rPr>
          <w:vertAlign w:val="baseline"/>
        </w:rPr>
        <w:t>were</w:t>
      </w:r>
      <w:r>
        <w:rPr>
          <w:spacing w:val="21"/>
          <w:vertAlign w:val="baseline"/>
        </w:rPr>
        <w:t> </w:t>
      </w:r>
      <w:r>
        <w:rPr>
          <w:vertAlign w:val="baseline"/>
        </w:rPr>
        <w:t>directly</w:t>
      </w:r>
      <w:r>
        <w:rPr>
          <w:spacing w:val="21"/>
          <w:vertAlign w:val="baseline"/>
        </w:rPr>
        <w:t> </w:t>
      </w:r>
      <w:r>
        <w:rPr>
          <w:vertAlign w:val="baseline"/>
        </w:rPr>
        <w:t>related</w:t>
      </w:r>
      <w:r>
        <w:rPr>
          <w:spacing w:val="21"/>
          <w:vertAlign w:val="baseline"/>
        </w:rPr>
        <w:t> </w:t>
      </w:r>
      <w:r>
        <w:rPr>
          <w:vertAlign w:val="baseline"/>
        </w:rPr>
        <w:t>to</w:t>
      </w:r>
      <w:r>
        <w:rPr>
          <w:spacing w:val="21"/>
          <w:vertAlign w:val="baseline"/>
        </w:rPr>
        <w:t> </w:t>
      </w:r>
      <w:r>
        <w:rPr>
          <w:vertAlign w:val="baseline"/>
        </w:rPr>
        <w:t>the</w:t>
      </w:r>
      <w:r>
        <w:rPr>
          <w:spacing w:val="21"/>
          <w:vertAlign w:val="baseline"/>
        </w:rPr>
        <w:t> </w:t>
      </w:r>
      <w:r>
        <w:rPr>
          <w:vertAlign w:val="baseline"/>
        </w:rPr>
        <w:t>actual</w:t>
      </w:r>
      <w:r>
        <w:rPr>
          <w:spacing w:val="21"/>
          <w:vertAlign w:val="baseline"/>
        </w:rPr>
        <w:t> </w:t>
      </w:r>
      <w:r>
        <w:rPr>
          <w:vertAlign w:val="baseline"/>
        </w:rPr>
        <w:t>points</w:t>
      </w:r>
      <w:r>
        <w:rPr>
          <w:spacing w:val="21"/>
          <w:vertAlign w:val="baseline"/>
        </w:rPr>
        <w:t> </w:t>
      </w:r>
      <w:r>
        <w:rPr>
          <w:vertAlign w:val="baseline"/>
        </w:rPr>
        <w:t>scored</w:t>
      </w:r>
      <w:r>
        <w:rPr>
          <w:spacing w:val="21"/>
          <w:vertAlign w:val="baseline"/>
        </w:rPr>
        <w:t> </w:t>
      </w:r>
      <w:r>
        <w:rPr>
          <w:vertAlign w:val="baseline"/>
        </w:rPr>
        <w:t>in a rugby league match, so </w:t>
      </w:r>
      <w:r>
        <w:rPr>
          <w:rFonts w:ascii="Cambria" w:hAnsi="Cambria"/>
          <w:vertAlign w:val="baseline"/>
        </w:rPr>
        <w:t>γ</w:t>
      </w:r>
      <w:r>
        <w:rPr>
          <w:rFonts w:ascii="Cambria" w:hAnsi="Cambria"/>
          <w:spacing w:val="30"/>
          <w:vertAlign w:val="baseline"/>
        </w:rPr>
        <w:t> </w:t>
      </w:r>
      <w:r>
        <w:rPr>
          <w:vertAlign w:val="baseline"/>
        </w:rPr>
        <w:t>was calculated to minimise the difference between the sum of rewards obtained per team per match and the sum of Q-values obtained per team per average</w:t>
      </w:r>
      <w:r>
        <w:rPr>
          <w:spacing w:val="-7"/>
          <w:vertAlign w:val="baseline"/>
        </w:rPr>
        <w:t> </w:t>
      </w:r>
      <w:r>
        <w:rPr>
          <w:vertAlign w:val="baseline"/>
        </w:rPr>
        <w:t>number</w:t>
      </w:r>
      <w:r>
        <w:rPr>
          <w:spacing w:val="-7"/>
          <w:vertAlign w:val="baseline"/>
        </w:rPr>
        <w:t> </w:t>
      </w:r>
      <w:r>
        <w:rPr>
          <w:vertAlign w:val="baseline"/>
        </w:rPr>
        <w:t>of</w:t>
      </w:r>
      <w:r>
        <w:rPr>
          <w:spacing w:val="-7"/>
          <w:vertAlign w:val="baseline"/>
        </w:rPr>
        <w:t> </w:t>
      </w:r>
      <w:r>
        <w:rPr>
          <w:vertAlign w:val="baseline"/>
        </w:rPr>
        <w:t>match</w:t>
      </w:r>
      <w:r>
        <w:rPr>
          <w:spacing w:val="-7"/>
          <w:vertAlign w:val="baseline"/>
        </w:rPr>
        <w:t> </w:t>
      </w:r>
      <w:r>
        <w:rPr>
          <w:vertAlign w:val="baseline"/>
        </w:rPr>
        <w:t>possessions. This</w:t>
      </w:r>
      <w:r>
        <w:rPr>
          <w:spacing w:val="-7"/>
          <w:vertAlign w:val="baseline"/>
        </w:rPr>
        <w:t> </w:t>
      </w:r>
      <w:r>
        <w:rPr>
          <w:vertAlign w:val="baseline"/>
        </w:rPr>
        <w:t>value</w:t>
      </w:r>
      <w:r>
        <w:rPr>
          <w:spacing w:val="-7"/>
          <w:vertAlign w:val="baseline"/>
        </w:rPr>
        <w:t> </w:t>
      </w:r>
      <w:r>
        <w:rPr>
          <w:vertAlign w:val="baseline"/>
        </w:rPr>
        <w:t>was</w:t>
      </w:r>
      <w:r>
        <w:rPr>
          <w:spacing w:val="-7"/>
          <w:vertAlign w:val="baseline"/>
        </w:rPr>
        <w:t> </w:t>
      </w:r>
      <w:r>
        <w:rPr>
          <w:vertAlign w:val="baseline"/>
        </w:rPr>
        <w:t>calculated</w:t>
      </w:r>
      <w:r>
        <w:rPr>
          <w:spacing w:val="-7"/>
          <w:vertAlign w:val="baseline"/>
        </w:rPr>
        <w:t> </w:t>
      </w:r>
      <w:r>
        <w:rPr>
          <w:vertAlign w:val="baseline"/>
        </w:rPr>
        <w:t>for</w:t>
      </w:r>
      <w:r>
        <w:rPr>
          <w:spacing w:val="-7"/>
          <w:vertAlign w:val="baseline"/>
        </w:rPr>
        <w:t> </w:t>
      </w:r>
      <w:r>
        <w:rPr>
          <w:vertAlign w:val="baseline"/>
        </w:rPr>
        <w:t>MDP</w:t>
      </w:r>
      <w:r>
        <w:rPr>
          <w:vertAlign w:val="subscript"/>
        </w:rPr>
        <w:t>nc</w:t>
      </w:r>
      <w:r>
        <w:rPr>
          <w:vertAlign w:val="baseline"/>
        </w:rPr>
        <w:t> and</w:t>
      </w:r>
      <w:r>
        <w:rPr>
          <w:spacing w:val="-7"/>
          <w:vertAlign w:val="baseline"/>
        </w:rPr>
        <w:t> </w:t>
      </w:r>
      <w:r>
        <w:rPr>
          <w:vertAlign w:val="baseline"/>
        </w:rPr>
        <w:t>used</w:t>
      </w:r>
      <w:r>
        <w:rPr>
          <w:spacing w:val="-7"/>
          <w:vertAlign w:val="baseline"/>
        </w:rPr>
        <w:t> </w:t>
      </w:r>
      <w:r>
        <w:rPr>
          <w:vertAlign w:val="baseline"/>
        </w:rPr>
        <w:t>for all four MDPs, resulting in a </w:t>
      </w:r>
      <w:r>
        <w:rPr>
          <w:rFonts w:ascii="Cambria" w:hAnsi="Cambria"/>
          <w:vertAlign w:val="baseline"/>
        </w:rPr>
        <w:t>γ</w:t>
      </w:r>
      <w:r>
        <w:rPr>
          <w:rFonts w:ascii="Cambria" w:hAnsi="Cambria"/>
          <w:spacing w:val="19"/>
          <w:vertAlign w:val="baseline"/>
        </w:rPr>
        <w:t> </w:t>
      </w:r>
      <w:r>
        <w:rPr>
          <w:vertAlign w:val="baseline"/>
        </w:rPr>
        <w:t>value of 0.63, which considers actions to be beneficial to the final reward in the medium term.</w:t>
      </w:r>
    </w:p>
    <w:p>
      <w:pPr>
        <w:spacing w:after="0" w:line="309" w:lineRule="auto"/>
        <w:sectPr>
          <w:type w:val="continuous"/>
          <w:pgSz w:w="11910" w:h="16840"/>
          <w:pgMar w:header="1961" w:footer="1428" w:top="1920" w:bottom="280" w:left="1680" w:right="720"/>
        </w:sectPr>
      </w:pPr>
    </w:p>
    <w:p>
      <w:pPr>
        <w:pStyle w:val="BodyText"/>
        <w:rPr>
          <w:sz w:val="20"/>
        </w:rPr>
      </w:pPr>
    </w:p>
    <w:p>
      <w:pPr>
        <w:pStyle w:val="BodyText"/>
        <w:spacing w:before="6"/>
        <w:rPr>
          <w:sz w:val="16"/>
        </w:rPr>
      </w:pPr>
    </w:p>
    <w:p>
      <w:pPr>
        <w:pStyle w:val="Heading3"/>
        <w:numPr>
          <w:ilvl w:val="2"/>
          <w:numId w:val="21"/>
        </w:numPr>
        <w:tabs>
          <w:tab w:pos="1471" w:val="left" w:leader="none"/>
          <w:tab w:pos="1472" w:val="left" w:leader="none"/>
        </w:tabs>
        <w:spacing w:line="240" w:lineRule="auto" w:before="114" w:after="0"/>
        <w:ind w:left="1471" w:right="0" w:hanging="862"/>
        <w:jc w:val="left"/>
      </w:pPr>
      <w:bookmarkStart w:name="4.2.4 Action Impact Ratings" w:id="187"/>
      <w:bookmarkEnd w:id="187"/>
      <w:r>
        <w:rPr>
          <w:b w:val="0"/>
        </w:rPr>
      </w:r>
      <w:bookmarkStart w:name="_bookmark107" w:id="188"/>
      <w:bookmarkEnd w:id="188"/>
      <w:r>
        <w:rPr/>
        <w:t>Action</w:t>
      </w:r>
      <w:r>
        <w:rPr>
          <w:spacing w:val="17"/>
        </w:rPr>
        <w:t> </w:t>
      </w:r>
      <w:r>
        <w:rPr/>
        <w:t>Impact</w:t>
      </w:r>
      <w:r>
        <w:rPr>
          <w:spacing w:val="17"/>
        </w:rPr>
        <w:t> </w:t>
      </w:r>
      <w:r>
        <w:rPr>
          <w:spacing w:val="-2"/>
        </w:rPr>
        <w:t>Ratings</w:t>
      </w:r>
    </w:p>
    <w:p>
      <w:pPr>
        <w:pStyle w:val="BodyText"/>
        <w:spacing w:line="312" w:lineRule="auto" w:before="236"/>
        <w:ind w:left="610" w:right="389"/>
        <w:jc w:val="both"/>
      </w:pPr>
      <w:r>
        <w:rPr>
          <w:spacing w:val="-2"/>
        </w:rPr>
        <w:t>To</w:t>
      </w:r>
      <w:r>
        <w:rPr>
          <w:spacing w:val="-7"/>
        </w:rPr>
        <w:t> </w:t>
      </w:r>
      <w:r>
        <w:rPr>
          <w:spacing w:val="-2"/>
        </w:rPr>
        <w:t>evaluate</w:t>
      </w:r>
      <w:r>
        <w:rPr>
          <w:spacing w:val="-7"/>
        </w:rPr>
        <w:t> </w:t>
      </w:r>
      <w:r>
        <w:rPr>
          <w:spacing w:val="-2"/>
        </w:rPr>
        <w:t>player</w:t>
      </w:r>
      <w:r>
        <w:rPr>
          <w:spacing w:val="-7"/>
        </w:rPr>
        <w:t> </w:t>
      </w:r>
      <w:r>
        <w:rPr>
          <w:spacing w:val="-2"/>
        </w:rPr>
        <w:t>performances</w:t>
      </w:r>
      <w:r>
        <w:rPr>
          <w:spacing w:val="-7"/>
        </w:rPr>
        <w:t> </w:t>
      </w:r>
      <w:r>
        <w:rPr>
          <w:spacing w:val="-2"/>
        </w:rPr>
        <w:t>in</w:t>
      </w:r>
      <w:r>
        <w:rPr>
          <w:spacing w:val="-7"/>
        </w:rPr>
        <w:t> </w:t>
      </w:r>
      <w:r>
        <w:rPr>
          <w:spacing w:val="-2"/>
        </w:rPr>
        <w:t>rugby</w:t>
      </w:r>
      <w:r>
        <w:rPr>
          <w:spacing w:val="-7"/>
        </w:rPr>
        <w:t> </w:t>
      </w:r>
      <w:r>
        <w:rPr>
          <w:spacing w:val="-2"/>
        </w:rPr>
        <w:t>league,</w:t>
      </w:r>
      <w:r>
        <w:rPr>
          <w:spacing w:val="-5"/>
        </w:rPr>
        <w:t> </w:t>
      </w:r>
      <w:r>
        <w:rPr>
          <w:spacing w:val="-2"/>
        </w:rPr>
        <w:t>action</w:t>
      </w:r>
      <w:r>
        <w:rPr>
          <w:spacing w:val="-7"/>
        </w:rPr>
        <w:t> </w:t>
      </w:r>
      <w:r>
        <w:rPr>
          <w:spacing w:val="-2"/>
        </w:rPr>
        <w:t>impact</w:t>
      </w:r>
      <w:r>
        <w:rPr>
          <w:spacing w:val="-7"/>
        </w:rPr>
        <w:t> </w:t>
      </w:r>
      <w:r>
        <w:rPr>
          <w:spacing w:val="-2"/>
        </w:rPr>
        <w:t>ratings</w:t>
      </w:r>
      <w:r>
        <w:rPr>
          <w:spacing w:val="-7"/>
        </w:rPr>
        <w:t> </w:t>
      </w:r>
      <w:r>
        <w:rPr>
          <w:spacing w:val="-2"/>
        </w:rPr>
        <w:t>were</w:t>
      </w:r>
      <w:r>
        <w:rPr>
          <w:spacing w:val="-7"/>
        </w:rPr>
        <w:t> </w:t>
      </w:r>
      <w:r>
        <w:rPr>
          <w:spacing w:val="-2"/>
        </w:rPr>
        <w:t>adapted</w:t>
      </w:r>
      <w:r>
        <w:rPr>
          <w:spacing w:val="-7"/>
        </w:rPr>
        <w:t> </w:t>
      </w:r>
      <w:r>
        <w:rPr>
          <w:spacing w:val="-2"/>
        </w:rPr>
        <w:t>from </w:t>
      </w:r>
      <w:r>
        <w:rPr/>
        <w:t>previous</w:t>
      </w:r>
      <w:r>
        <w:rPr>
          <w:spacing w:val="-1"/>
        </w:rPr>
        <w:t> </w:t>
      </w:r>
      <w:r>
        <w:rPr/>
        <w:t>research</w:t>
      </w:r>
      <w:r>
        <w:rPr>
          <w:spacing w:val="-1"/>
        </w:rPr>
        <w:t> </w:t>
      </w:r>
      <w:r>
        <w:rPr/>
        <w:t>in</w:t>
      </w:r>
      <w:r>
        <w:rPr>
          <w:spacing w:val="-1"/>
        </w:rPr>
        <w:t> </w:t>
      </w:r>
      <w:r>
        <w:rPr/>
        <w:t>ice</w:t>
      </w:r>
      <w:r>
        <w:rPr>
          <w:spacing w:val="-1"/>
        </w:rPr>
        <w:t> </w:t>
      </w:r>
      <w:r>
        <w:rPr/>
        <w:t>hockey</w:t>
      </w:r>
      <w:r>
        <w:rPr>
          <w:spacing w:val="-1"/>
        </w:rPr>
        <w:t> </w:t>
      </w:r>
      <w:r>
        <w:rPr/>
        <w:t>(</w:t>
      </w:r>
      <w:hyperlink w:history="true" w:anchor="_bookmark287">
        <w:r>
          <w:rPr>
            <w:color w:val="FF0000"/>
          </w:rPr>
          <w:t>Routley</w:t>
        </w:r>
        <w:r>
          <w:rPr>
            <w:color w:val="FF0000"/>
            <w:spacing w:val="-1"/>
          </w:rPr>
          <w:t> </w:t>
        </w:r>
        <w:r>
          <w:rPr>
            <w:color w:val="FF0000"/>
          </w:rPr>
          <w:t>and</w:t>
        </w:r>
        <w:r>
          <w:rPr>
            <w:color w:val="FF0000"/>
            <w:spacing w:val="-1"/>
          </w:rPr>
          <w:t> </w:t>
        </w:r>
        <w:r>
          <w:rPr>
            <w:color w:val="FF0000"/>
          </w:rPr>
          <w:t>Schulte</w:t>
        </w:r>
      </w:hyperlink>
      <w:r>
        <w:rPr/>
        <w:t>,</w:t>
      </w:r>
      <w:hyperlink w:history="true" w:anchor="_bookmark287">
        <w:r>
          <w:rPr>
            <w:color w:val="FF0000"/>
          </w:rPr>
          <w:t>2015</w:t>
        </w:r>
      </w:hyperlink>
      <w:r>
        <w:rPr/>
        <w:t>). Action</w:t>
      </w:r>
      <w:r>
        <w:rPr>
          <w:spacing w:val="-1"/>
        </w:rPr>
        <w:t> </w:t>
      </w:r>
      <w:r>
        <w:rPr/>
        <w:t>impact</w:t>
      </w:r>
      <w:r>
        <w:rPr>
          <w:spacing w:val="-1"/>
        </w:rPr>
        <w:t> </w:t>
      </w:r>
      <w:r>
        <w:rPr/>
        <w:t>ratings</w:t>
      </w:r>
      <w:r>
        <w:rPr>
          <w:spacing w:val="-1"/>
        </w:rPr>
        <w:t> </w:t>
      </w:r>
      <w:r>
        <w:rPr/>
        <w:t>were calculated</w:t>
      </w:r>
      <w:r>
        <w:rPr>
          <w:spacing w:val="-7"/>
        </w:rPr>
        <w:t> </w:t>
      </w:r>
      <w:r>
        <w:rPr/>
        <w:t>via</w:t>
      </w:r>
      <w:r>
        <w:rPr>
          <w:spacing w:val="-7"/>
        </w:rPr>
        <w:t> </w:t>
      </w:r>
      <w:r>
        <w:rPr/>
        <w:t>Equation</w:t>
      </w:r>
      <w:hyperlink w:history="true" w:anchor="_bookmark108">
        <w:r>
          <w:rPr>
            <w:color w:val="0000FF"/>
          </w:rPr>
          <w:t>4.3</w:t>
        </w:r>
        <w:r>
          <w:rPr/>
          <w:t>.</w:t>
        </w:r>
      </w:hyperlink>
      <w:r>
        <w:rPr/>
        <w:t> They</w:t>
      </w:r>
      <w:r>
        <w:rPr>
          <w:spacing w:val="-7"/>
        </w:rPr>
        <w:t> </w:t>
      </w:r>
      <w:r>
        <w:rPr/>
        <w:t>provide</w:t>
      </w:r>
      <w:r>
        <w:rPr>
          <w:spacing w:val="-7"/>
        </w:rPr>
        <w:t> </w:t>
      </w:r>
      <w:r>
        <w:rPr/>
        <w:t>a</w:t>
      </w:r>
      <w:r>
        <w:rPr>
          <w:spacing w:val="-7"/>
        </w:rPr>
        <w:t> </w:t>
      </w:r>
      <w:r>
        <w:rPr/>
        <w:t>method</w:t>
      </w:r>
      <w:r>
        <w:rPr>
          <w:spacing w:val="-7"/>
        </w:rPr>
        <w:t> </w:t>
      </w:r>
      <w:r>
        <w:rPr/>
        <w:t>of</w:t>
      </w:r>
      <w:r>
        <w:rPr>
          <w:spacing w:val="-7"/>
        </w:rPr>
        <w:t> </w:t>
      </w:r>
      <w:r>
        <w:rPr/>
        <w:t>evaluating</w:t>
      </w:r>
      <w:r>
        <w:rPr>
          <w:spacing w:val="-7"/>
        </w:rPr>
        <w:t> </w:t>
      </w:r>
      <w:r>
        <w:rPr/>
        <w:t>every</w:t>
      </w:r>
      <w:r>
        <w:rPr>
          <w:spacing w:val="-7"/>
        </w:rPr>
        <w:t> </w:t>
      </w:r>
      <w:r>
        <w:rPr/>
        <w:t>action</w:t>
      </w:r>
      <w:r>
        <w:rPr>
          <w:spacing w:val="-7"/>
        </w:rPr>
        <w:t> </w:t>
      </w:r>
      <w:r>
        <w:rPr/>
        <w:t>completed against the state value (the weighted average of all actions completed within the state). Ratings</w:t>
      </w:r>
      <w:r>
        <w:rPr>
          <w:spacing w:val="-6"/>
        </w:rPr>
        <w:t> </w:t>
      </w:r>
      <w:r>
        <w:rPr/>
        <w:t>were</w:t>
      </w:r>
      <w:r>
        <w:rPr>
          <w:spacing w:val="-6"/>
        </w:rPr>
        <w:t> </w:t>
      </w:r>
      <w:r>
        <w:rPr/>
        <w:t>provided</w:t>
      </w:r>
      <w:r>
        <w:rPr>
          <w:spacing w:val="-6"/>
        </w:rPr>
        <w:t> </w:t>
      </w:r>
      <w:r>
        <w:rPr/>
        <w:t>using</w:t>
      </w:r>
      <w:r>
        <w:rPr>
          <w:spacing w:val="-6"/>
        </w:rPr>
        <w:t> </w:t>
      </w:r>
      <w:r>
        <w:rPr/>
        <w:t>MDP</w:t>
      </w:r>
      <w:r>
        <w:rPr>
          <w:vertAlign w:val="subscript"/>
        </w:rPr>
        <w:t>nc</w:t>
      </w:r>
      <w:r>
        <w:rPr>
          <w:vertAlign w:val="baseline"/>
        </w:rPr>
        <w:t>,</w:t>
      </w:r>
      <w:r>
        <w:rPr>
          <w:spacing w:val="-6"/>
          <w:vertAlign w:val="baseline"/>
        </w:rPr>
        <w:t> </w:t>
      </w:r>
      <w:r>
        <w:rPr>
          <w:vertAlign w:val="baseline"/>
        </w:rPr>
        <w:t>MDP</w:t>
      </w:r>
      <w:r>
        <w:rPr>
          <w:vertAlign w:val="subscript"/>
        </w:rPr>
        <w:t>period</w:t>
      </w:r>
      <w:r>
        <w:rPr>
          <w:vertAlign w:val="baseline"/>
        </w:rPr>
        <w:t> and</w:t>
      </w:r>
      <w:r>
        <w:rPr>
          <w:spacing w:val="-6"/>
          <w:vertAlign w:val="baseline"/>
        </w:rPr>
        <w:t> </w:t>
      </w:r>
      <w:r>
        <w:rPr>
          <w:vertAlign w:val="baseline"/>
        </w:rPr>
        <w:t>MDP</w:t>
      </w:r>
      <w:r>
        <w:rPr>
          <w:vertAlign w:val="subscript"/>
        </w:rPr>
        <w:t>score</w:t>
      </w:r>
      <w:r>
        <w:rPr>
          <w:vertAlign w:val="baseline"/>
        </w:rPr>
        <w:t> to</w:t>
      </w:r>
      <w:r>
        <w:rPr>
          <w:spacing w:val="-6"/>
          <w:vertAlign w:val="baseline"/>
        </w:rPr>
        <w:t> </w:t>
      </w:r>
      <w:r>
        <w:rPr>
          <w:vertAlign w:val="baseline"/>
        </w:rPr>
        <w:t>evaluate</w:t>
      </w:r>
      <w:r>
        <w:rPr>
          <w:spacing w:val="-6"/>
          <w:vertAlign w:val="baseline"/>
        </w:rPr>
        <w:t> </w:t>
      </w:r>
      <w:r>
        <w:rPr>
          <w:vertAlign w:val="baseline"/>
        </w:rPr>
        <w:t>whether</w:t>
      </w:r>
      <w:r>
        <w:rPr>
          <w:spacing w:val="-6"/>
          <w:vertAlign w:val="baseline"/>
        </w:rPr>
        <w:t> </w:t>
      </w:r>
      <w:r>
        <w:rPr>
          <w:vertAlign w:val="baseline"/>
        </w:rPr>
        <w:t>further insight into player performances could be provided through the use of context </w:t>
      </w:r>
      <w:r>
        <w:rPr>
          <w:vertAlign w:val="baseline"/>
        </w:rPr>
        <w:t>nodes. Equation</w:t>
      </w:r>
      <w:hyperlink w:history="true" w:anchor="_bookmark108">
        <w:r>
          <w:rPr>
            <w:color w:val="0000FF"/>
            <w:vertAlign w:val="baseline"/>
          </w:rPr>
          <w:t>4.3</w:t>
        </w:r>
      </w:hyperlink>
      <w:r>
        <w:rPr>
          <w:vertAlign w:val="baseline"/>
        </w:rPr>
        <w:t>is defined as</w:t>
      </w:r>
    </w:p>
    <w:p>
      <w:pPr>
        <w:tabs>
          <w:tab w:pos="8656" w:val="left" w:leader="none"/>
        </w:tabs>
        <w:spacing w:before="97"/>
        <w:ind w:left="3392" w:right="0" w:firstLine="0"/>
        <w:jc w:val="left"/>
        <w:rPr>
          <w:sz w:val="24"/>
        </w:rPr>
      </w:pPr>
      <w:bookmarkStart w:name="_bookmark108" w:id="189"/>
      <w:bookmarkEnd w:id="189"/>
      <w:r>
        <w:rPr/>
      </w:r>
      <w:r>
        <w:rPr>
          <w:w w:val="110"/>
          <w:sz w:val="24"/>
        </w:rPr>
        <w:t>impact</w:t>
      </w:r>
      <w:r>
        <w:rPr>
          <w:rFonts w:ascii="Georgia" w:hAnsi="Georgia"/>
          <w:w w:val="110"/>
          <w:position w:val="-5"/>
          <w:sz w:val="16"/>
        </w:rPr>
        <w:t>(</w:t>
      </w:r>
      <w:r>
        <w:rPr>
          <w:rFonts w:ascii="Cambria" w:hAnsi="Cambria"/>
          <w:w w:val="110"/>
          <w:position w:val="-5"/>
          <w:sz w:val="16"/>
        </w:rPr>
        <w:t>c,s,a</w:t>
      </w:r>
      <w:r>
        <w:rPr>
          <w:rFonts w:ascii="Georgia" w:hAnsi="Georgia"/>
          <w:w w:val="110"/>
          <w:position w:val="-5"/>
          <w:sz w:val="16"/>
        </w:rPr>
        <w:t>)</w:t>
      </w:r>
      <w:r>
        <w:rPr>
          <w:rFonts w:ascii="Georgia" w:hAnsi="Georgia"/>
          <w:spacing w:val="14"/>
          <w:w w:val="110"/>
          <w:position w:val="-5"/>
          <w:sz w:val="16"/>
        </w:rPr>
        <w:t> </w:t>
      </w:r>
      <w:r>
        <w:rPr>
          <w:rFonts w:ascii="Garamond" w:hAnsi="Garamond"/>
          <w:w w:val="110"/>
          <w:sz w:val="24"/>
        </w:rPr>
        <w:t>=</w:t>
      </w:r>
      <w:r>
        <w:rPr>
          <w:rFonts w:ascii="Garamond" w:hAnsi="Garamond"/>
          <w:spacing w:val="-9"/>
          <w:w w:val="110"/>
          <w:sz w:val="24"/>
        </w:rPr>
        <w:t> </w:t>
      </w:r>
      <w:r>
        <w:rPr>
          <w:rFonts w:ascii="Cambria" w:hAnsi="Cambria"/>
          <w:w w:val="110"/>
          <w:sz w:val="24"/>
        </w:rPr>
        <w:t>Q</w:t>
      </w:r>
      <w:r>
        <w:rPr>
          <w:rFonts w:ascii="Georgia" w:hAnsi="Georgia"/>
          <w:w w:val="110"/>
          <w:position w:val="-3"/>
          <w:sz w:val="16"/>
        </w:rPr>
        <w:t>(</w:t>
      </w:r>
      <w:r>
        <w:rPr>
          <w:rFonts w:ascii="Cambria" w:hAnsi="Cambria"/>
          <w:w w:val="110"/>
          <w:position w:val="-3"/>
          <w:sz w:val="16"/>
        </w:rPr>
        <w:t>c,s,a</w:t>
      </w:r>
      <w:r>
        <w:rPr>
          <w:rFonts w:ascii="Georgia" w:hAnsi="Georgia"/>
          <w:w w:val="110"/>
          <w:position w:val="-3"/>
          <w:sz w:val="16"/>
        </w:rPr>
        <w:t>)</w:t>
      </w:r>
      <w:r>
        <w:rPr>
          <w:rFonts w:ascii="Georgia" w:hAnsi="Georgia"/>
          <w:spacing w:val="10"/>
          <w:w w:val="110"/>
          <w:position w:val="-3"/>
          <w:sz w:val="16"/>
        </w:rPr>
        <w:t> </w:t>
      </w:r>
      <w:r>
        <w:rPr>
          <w:rFonts w:ascii="Lucida Sans Unicode" w:hAnsi="Lucida Sans Unicode"/>
          <w:w w:val="110"/>
          <w:sz w:val="24"/>
        </w:rPr>
        <w:t>−</w:t>
      </w:r>
      <w:r>
        <w:rPr>
          <w:rFonts w:ascii="Lucida Sans Unicode" w:hAnsi="Lucida Sans Unicode"/>
          <w:spacing w:val="-30"/>
          <w:w w:val="110"/>
          <w:sz w:val="24"/>
        </w:rPr>
        <w:t> </w:t>
      </w:r>
      <w:r>
        <w:rPr>
          <w:rFonts w:ascii="Cambria" w:hAnsi="Cambria"/>
          <w:spacing w:val="-2"/>
          <w:w w:val="110"/>
          <w:sz w:val="24"/>
        </w:rPr>
        <w:t>V</w:t>
      </w:r>
      <w:r>
        <w:rPr>
          <w:rFonts w:ascii="Georgia" w:hAnsi="Georgia"/>
          <w:spacing w:val="-2"/>
          <w:w w:val="110"/>
          <w:position w:val="-3"/>
          <w:sz w:val="16"/>
        </w:rPr>
        <w:t>(</w:t>
      </w:r>
      <w:r>
        <w:rPr>
          <w:rFonts w:ascii="Cambria" w:hAnsi="Cambria"/>
          <w:spacing w:val="-2"/>
          <w:w w:val="110"/>
          <w:position w:val="-3"/>
          <w:sz w:val="16"/>
        </w:rPr>
        <w:t>c,s</w:t>
      </w:r>
      <w:r>
        <w:rPr>
          <w:rFonts w:ascii="Georgia" w:hAnsi="Georgia"/>
          <w:spacing w:val="-2"/>
          <w:w w:val="110"/>
          <w:position w:val="-3"/>
          <w:sz w:val="16"/>
        </w:rPr>
        <w:t>)</w:t>
      </w:r>
      <w:r>
        <w:rPr>
          <w:rFonts w:ascii="Cambria" w:hAnsi="Cambria"/>
          <w:spacing w:val="-2"/>
          <w:w w:val="110"/>
          <w:sz w:val="24"/>
        </w:rPr>
        <w:t>,</w:t>
      </w:r>
      <w:r>
        <w:rPr>
          <w:rFonts w:ascii="Cambria" w:hAnsi="Cambria"/>
          <w:sz w:val="24"/>
        </w:rPr>
        <w:tab/>
      </w:r>
      <w:r>
        <w:rPr>
          <w:spacing w:val="-2"/>
          <w:w w:val="110"/>
          <w:sz w:val="24"/>
        </w:rPr>
        <w:t>(4.3)</w:t>
      </w:r>
    </w:p>
    <w:p>
      <w:pPr>
        <w:pStyle w:val="BodyText"/>
        <w:spacing w:before="11"/>
        <w:rPr>
          <w:sz w:val="27"/>
        </w:rPr>
      </w:pPr>
    </w:p>
    <w:p>
      <w:pPr>
        <w:pStyle w:val="BodyText"/>
        <w:spacing w:line="304" w:lineRule="auto"/>
        <w:ind w:left="610" w:right="389"/>
        <w:jc w:val="both"/>
      </w:pPr>
      <w:r>
        <w:rPr/>
        <w:t>where </w:t>
      </w:r>
      <w:r>
        <w:rPr>
          <w:rFonts w:ascii="Cambria"/>
        </w:rPr>
        <w:t>Q</w:t>
      </w:r>
      <w:r>
        <w:rPr>
          <w:rFonts w:ascii="Georgia"/>
          <w:vertAlign w:val="subscript"/>
        </w:rPr>
        <w:t>(</w:t>
      </w:r>
      <w:r>
        <w:rPr>
          <w:rFonts w:ascii="Cambria"/>
          <w:vertAlign w:val="subscript"/>
        </w:rPr>
        <w:t>c,s,a</w:t>
      </w:r>
      <w:r>
        <w:rPr>
          <w:rFonts w:ascii="Georgia"/>
          <w:vertAlign w:val="subscript"/>
        </w:rPr>
        <w:t>)</w:t>
      </w:r>
      <w:r>
        <w:rPr>
          <w:rFonts w:ascii="Georgia"/>
          <w:spacing w:val="20"/>
          <w:vertAlign w:val="baseline"/>
        </w:rPr>
        <w:t> </w:t>
      </w:r>
      <w:r>
        <w:rPr>
          <w:vertAlign w:val="baseline"/>
        </w:rPr>
        <w:t>is the action value for action </w:t>
      </w:r>
      <w:r>
        <w:rPr>
          <w:rFonts w:ascii="Cambria"/>
          <w:vertAlign w:val="baseline"/>
        </w:rPr>
        <w:t>a</w:t>
      </w:r>
      <w:r>
        <w:rPr>
          <w:rFonts w:ascii="Cambria"/>
          <w:spacing w:val="14"/>
          <w:vertAlign w:val="baseline"/>
        </w:rPr>
        <w:t> </w:t>
      </w:r>
      <w:r>
        <w:rPr>
          <w:vertAlign w:val="baseline"/>
        </w:rPr>
        <w:t>in state </w:t>
      </w:r>
      <w:r>
        <w:rPr>
          <w:rFonts w:ascii="Cambria"/>
          <w:vertAlign w:val="baseline"/>
        </w:rPr>
        <w:t>s</w:t>
      </w:r>
      <w:r>
        <w:rPr>
          <w:rFonts w:ascii="Cambria"/>
          <w:spacing w:val="14"/>
          <w:vertAlign w:val="baseline"/>
        </w:rPr>
        <w:t> </w:t>
      </w:r>
      <w:r>
        <w:rPr>
          <w:vertAlign w:val="baseline"/>
        </w:rPr>
        <w:t>in context </w:t>
      </w:r>
      <w:r>
        <w:rPr>
          <w:rFonts w:ascii="Cambria"/>
          <w:vertAlign w:val="baseline"/>
        </w:rPr>
        <w:t>c</w:t>
      </w:r>
      <w:r>
        <w:rPr>
          <w:rFonts w:ascii="Cambria"/>
          <w:spacing w:val="14"/>
          <w:vertAlign w:val="baseline"/>
        </w:rPr>
        <w:t> </w:t>
      </w:r>
      <w:r>
        <w:rPr>
          <w:vertAlign w:val="baseline"/>
        </w:rPr>
        <w:t>and </w:t>
      </w:r>
      <w:r>
        <w:rPr>
          <w:rFonts w:ascii="Cambria"/>
          <w:vertAlign w:val="baseline"/>
        </w:rPr>
        <w:t>V</w:t>
      </w:r>
      <w:r>
        <w:rPr>
          <w:rFonts w:ascii="Georgia"/>
          <w:vertAlign w:val="subscript"/>
        </w:rPr>
        <w:t>(</w:t>
      </w:r>
      <w:r>
        <w:rPr>
          <w:rFonts w:ascii="Cambria"/>
          <w:vertAlign w:val="subscript"/>
        </w:rPr>
        <w:t>c,s</w:t>
      </w:r>
      <w:r>
        <w:rPr>
          <w:rFonts w:ascii="Georgia"/>
          <w:vertAlign w:val="subscript"/>
        </w:rPr>
        <w:t>)</w:t>
      </w:r>
      <w:r>
        <w:rPr>
          <w:rFonts w:ascii="Georgia"/>
          <w:spacing w:val="20"/>
          <w:vertAlign w:val="baseline"/>
        </w:rPr>
        <w:t> </w:t>
      </w:r>
      <w:r>
        <w:rPr>
          <w:vertAlign w:val="baseline"/>
        </w:rPr>
        <w:t>is the value of state </w:t>
      </w:r>
      <w:r>
        <w:rPr>
          <w:rFonts w:ascii="Cambria"/>
          <w:vertAlign w:val="baseline"/>
        </w:rPr>
        <w:t>s </w:t>
      </w:r>
      <w:r>
        <w:rPr>
          <w:vertAlign w:val="baseline"/>
        </w:rPr>
        <w:t>in context </w:t>
      </w:r>
      <w:r>
        <w:rPr>
          <w:rFonts w:ascii="Cambria"/>
          <w:vertAlign w:val="baseline"/>
        </w:rPr>
        <w:t>c</w:t>
      </w:r>
      <w:r>
        <w:rPr>
          <w:vertAlign w:val="baseline"/>
        </w:rPr>
        <w:t>.</w:t>
      </w:r>
    </w:p>
    <w:p>
      <w:pPr>
        <w:pStyle w:val="BodyText"/>
        <w:spacing w:line="312" w:lineRule="auto" w:before="6"/>
        <w:ind w:left="610" w:right="389" w:firstLine="351"/>
        <w:jc w:val="both"/>
      </w:pPr>
      <w:r>
        <w:rPr/>
        <w:t>The</w:t>
      </w:r>
      <w:r>
        <w:rPr>
          <w:spacing w:val="-14"/>
        </w:rPr>
        <w:t> </w:t>
      </w:r>
      <w:r>
        <w:rPr/>
        <w:t>action</w:t>
      </w:r>
      <w:r>
        <w:rPr>
          <w:spacing w:val="-14"/>
        </w:rPr>
        <w:t> </w:t>
      </w:r>
      <w:r>
        <w:rPr/>
        <w:t>impact</w:t>
      </w:r>
      <w:r>
        <w:rPr>
          <w:spacing w:val="-14"/>
        </w:rPr>
        <w:t> </w:t>
      </w:r>
      <w:r>
        <w:rPr/>
        <w:t>rating</w:t>
      </w:r>
      <w:r>
        <w:rPr>
          <w:spacing w:val="-14"/>
        </w:rPr>
        <w:t> </w:t>
      </w:r>
      <w:r>
        <w:rPr/>
        <w:t>was</w:t>
      </w:r>
      <w:r>
        <w:rPr>
          <w:spacing w:val="-14"/>
        </w:rPr>
        <w:t> </w:t>
      </w:r>
      <w:r>
        <w:rPr/>
        <w:t>calculated</w:t>
      </w:r>
      <w:r>
        <w:rPr>
          <w:spacing w:val="-14"/>
        </w:rPr>
        <w:t> </w:t>
      </w:r>
      <w:r>
        <w:rPr/>
        <w:t>twice:</w:t>
      </w:r>
      <w:r>
        <w:rPr>
          <w:spacing w:val="4"/>
        </w:rPr>
        <w:t> </w:t>
      </w:r>
      <w:r>
        <w:rPr/>
        <w:t>once</w:t>
      </w:r>
      <w:r>
        <w:rPr>
          <w:spacing w:val="-14"/>
        </w:rPr>
        <w:t> </w:t>
      </w:r>
      <w:r>
        <w:rPr/>
        <w:t>including</w:t>
      </w:r>
      <w:r>
        <w:rPr>
          <w:spacing w:val="-14"/>
        </w:rPr>
        <w:t> </w:t>
      </w:r>
      <w:r>
        <w:rPr/>
        <w:t>goal</w:t>
      </w:r>
      <w:r>
        <w:rPr>
          <w:spacing w:val="-14"/>
        </w:rPr>
        <w:t> </w:t>
      </w:r>
      <w:r>
        <w:rPr/>
        <w:t>kicks</w:t>
      </w:r>
      <w:r>
        <w:rPr>
          <w:spacing w:val="-14"/>
        </w:rPr>
        <w:t> </w:t>
      </w:r>
      <w:r>
        <w:rPr/>
        <w:t>as</w:t>
      </w:r>
      <w:r>
        <w:rPr>
          <w:spacing w:val="-14"/>
        </w:rPr>
        <w:t> </w:t>
      </w:r>
      <w:r>
        <w:rPr/>
        <w:t>part</w:t>
      </w:r>
      <w:r>
        <w:rPr>
          <w:spacing w:val="-14"/>
        </w:rPr>
        <w:t> </w:t>
      </w:r>
      <w:r>
        <w:rPr/>
        <w:t>of</w:t>
      </w:r>
      <w:r>
        <w:rPr>
          <w:spacing w:val="-14"/>
        </w:rPr>
        <w:t> </w:t>
      </w:r>
      <w:r>
        <w:rPr/>
        <w:t>the weighted average of actions within the state and once without them.</w:t>
      </w:r>
      <w:r>
        <w:rPr>
          <w:spacing w:val="40"/>
        </w:rPr>
        <w:t> </w:t>
      </w:r>
      <w:r>
        <w:rPr/>
        <w:t>The action impact ratings were summed per player to create a season total and normalised to the average number of actions completed within that context per match.</w:t>
      </w:r>
      <w:r>
        <w:rPr>
          <w:spacing w:val="40"/>
        </w:rPr>
        <w:t> </w:t>
      </w:r>
      <w:r>
        <w:rPr/>
        <w:t>By calculating the </w:t>
      </w:r>
      <w:r>
        <w:rPr/>
        <w:t>action impact</w:t>
      </w:r>
      <w:r>
        <w:rPr>
          <w:spacing w:val="-15"/>
        </w:rPr>
        <w:t> </w:t>
      </w:r>
      <w:r>
        <w:rPr/>
        <w:t>ratings</w:t>
      </w:r>
      <w:r>
        <w:rPr>
          <w:spacing w:val="-15"/>
        </w:rPr>
        <w:t> </w:t>
      </w:r>
      <w:r>
        <w:rPr/>
        <w:t>in</w:t>
      </w:r>
      <w:r>
        <w:rPr>
          <w:spacing w:val="-15"/>
        </w:rPr>
        <w:t> </w:t>
      </w:r>
      <w:r>
        <w:rPr/>
        <w:t>this</w:t>
      </w:r>
      <w:r>
        <w:rPr>
          <w:spacing w:val="-15"/>
        </w:rPr>
        <w:t> </w:t>
      </w:r>
      <w:r>
        <w:rPr/>
        <w:t>way,</w:t>
      </w:r>
      <w:r>
        <w:rPr>
          <w:spacing w:val="-15"/>
        </w:rPr>
        <w:t> </w:t>
      </w:r>
      <w:r>
        <w:rPr/>
        <w:t>they</w:t>
      </w:r>
      <w:r>
        <w:rPr>
          <w:spacing w:val="-15"/>
        </w:rPr>
        <w:t> </w:t>
      </w:r>
      <w:r>
        <w:rPr/>
        <w:t>represent</w:t>
      </w:r>
      <w:r>
        <w:rPr>
          <w:spacing w:val="-15"/>
        </w:rPr>
        <w:t> </w:t>
      </w:r>
      <w:r>
        <w:rPr/>
        <w:t>the</w:t>
      </w:r>
      <w:r>
        <w:rPr>
          <w:spacing w:val="-15"/>
        </w:rPr>
        <w:t> </w:t>
      </w:r>
      <w:r>
        <w:rPr/>
        <w:t>positive</w:t>
      </w:r>
      <w:r>
        <w:rPr>
          <w:spacing w:val="-15"/>
        </w:rPr>
        <w:t> </w:t>
      </w:r>
      <w:r>
        <w:rPr/>
        <w:t>or</w:t>
      </w:r>
      <w:r>
        <w:rPr>
          <w:spacing w:val="-15"/>
        </w:rPr>
        <w:t> </w:t>
      </w:r>
      <w:r>
        <w:rPr/>
        <w:t>negative</w:t>
      </w:r>
      <w:r>
        <w:rPr>
          <w:spacing w:val="-15"/>
        </w:rPr>
        <w:t> </w:t>
      </w:r>
      <w:r>
        <w:rPr/>
        <w:t>impact</w:t>
      </w:r>
      <w:r>
        <w:rPr>
          <w:spacing w:val="-15"/>
        </w:rPr>
        <w:t> </w:t>
      </w:r>
      <w:r>
        <w:rPr/>
        <w:t>a</w:t>
      </w:r>
      <w:r>
        <w:rPr>
          <w:spacing w:val="-15"/>
        </w:rPr>
        <w:t> </w:t>
      </w:r>
      <w:r>
        <w:rPr/>
        <w:t>player’s</w:t>
      </w:r>
      <w:r>
        <w:rPr>
          <w:spacing w:val="-15"/>
        </w:rPr>
        <w:t> </w:t>
      </w:r>
      <w:r>
        <w:rPr/>
        <w:t>actions </w:t>
      </w:r>
      <w:r>
        <w:rPr>
          <w:spacing w:val="-2"/>
        </w:rPr>
        <w:t>have</w:t>
      </w:r>
      <w:r>
        <w:rPr>
          <w:spacing w:val="-11"/>
        </w:rPr>
        <w:t> </w:t>
      </w:r>
      <w:r>
        <w:rPr>
          <w:spacing w:val="-2"/>
        </w:rPr>
        <w:t>on</w:t>
      </w:r>
      <w:r>
        <w:rPr>
          <w:spacing w:val="-11"/>
        </w:rPr>
        <w:t> </w:t>
      </w:r>
      <w:r>
        <w:rPr>
          <w:spacing w:val="-2"/>
        </w:rPr>
        <w:t>the</w:t>
      </w:r>
      <w:r>
        <w:rPr>
          <w:spacing w:val="-11"/>
        </w:rPr>
        <w:t> </w:t>
      </w:r>
      <w:r>
        <w:rPr>
          <w:spacing w:val="-2"/>
        </w:rPr>
        <w:t>team’s</w:t>
      </w:r>
      <w:r>
        <w:rPr>
          <w:spacing w:val="-11"/>
        </w:rPr>
        <w:t> </w:t>
      </w:r>
      <w:r>
        <w:rPr>
          <w:spacing w:val="-2"/>
        </w:rPr>
        <w:t>expected</w:t>
      </w:r>
      <w:r>
        <w:rPr>
          <w:spacing w:val="-11"/>
        </w:rPr>
        <w:t> </w:t>
      </w:r>
      <w:r>
        <w:rPr>
          <w:spacing w:val="-2"/>
        </w:rPr>
        <w:t>points</w:t>
      </w:r>
      <w:r>
        <w:rPr>
          <w:spacing w:val="-11"/>
        </w:rPr>
        <w:t> </w:t>
      </w:r>
      <w:r>
        <w:rPr>
          <w:spacing w:val="-2"/>
        </w:rPr>
        <w:t>return</w:t>
      </w:r>
      <w:r>
        <w:rPr>
          <w:spacing w:val="-11"/>
        </w:rPr>
        <w:t> </w:t>
      </w:r>
      <w:r>
        <w:rPr>
          <w:spacing w:val="-2"/>
        </w:rPr>
        <w:t>above</w:t>
      </w:r>
      <w:r>
        <w:rPr>
          <w:spacing w:val="-11"/>
        </w:rPr>
        <w:t> </w:t>
      </w:r>
      <w:r>
        <w:rPr>
          <w:spacing w:val="-2"/>
        </w:rPr>
        <w:t>or</w:t>
      </w:r>
      <w:r>
        <w:rPr>
          <w:spacing w:val="-11"/>
        </w:rPr>
        <w:t> </w:t>
      </w:r>
      <w:r>
        <w:rPr>
          <w:spacing w:val="-2"/>
        </w:rPr>
        <w:t>below</w:t>
      </w:r>
      <w:r>
        <w:rPr>
          <w:spacing w:val="-11"/>
        </w:rPr>
        <w:t> </w:t>
      </w:r>
      <w:r>
        <w:rPr>
          <w:spacing w:val="-2"/>
        </w:rPr>
        <w:t>the</w:t>
      </w:r>
      <w:r>
        <w:rPr>
          <w:spacing w:val="-11"/>
        </w:rPr>
        <w:t> </w:t>
      </w:r>
      <w:r>
        <w:rPr>
          <w:spacing w:val="-2"/>
        </w:rPr>
        <w:t>average</w:t>
      </w:r>
      <w:r>
        <w:rPr>
          <w:spacing w:val="-11"/>
        </w:rPr>
        <w:t> </w:t>
      </w:r>
      <w:r>
        <w:rPr>
          <w:spacing w:val="-2"/>
        </w:rPr>
        <w:t>player’s</w:t>
      </w:r>
      <w:r>
        <w:rPr>
          <w:spacing w:val="-11"/>
        </w:rPr>
        <w:t> </w:t>
      </w:r>
      <w:r>
        <w:rPr>
          <w:spacing w:val="-2"/>
        </w:rPr>
        <w:t>contribution </w:t>
      </w:r>
      <w:r>
        <w:rPr/>
        <w:t>per match.</w:t>
      </w:r>
    </w:p>
    <w:p>
      <w:pPr>
        <w:pStyle w:val="BodyText"/>
        <w:spacing w:before="2"/>
        <w:rPr>
          <w:sz w:val="33"/>
        </w:rPr>
      </w:pPr>
    </w:p>
    <w:p>
      <w:pPr>
        <w:pStyle w:val="Heading3"/>
        <w:numPr>
          <w:ilvl w:val="2"/>
          <w:numId w:val="21"/>
        </w:numPr>
        <w:tabs>
          <w:tab w:pos="1471" w:val="left" w:leader="none"/>
          <w:tab w:pos="1472" w:val="left" w:leader="none"/>
        </w:tabs>
        <w:spacing w:line="240" w:lineRule="auto" w:before="1" w:after="0"/>
        <w:ind w:left="1471" w:right="0" w:hanging="862"/>
        <w:jc w:val="left"/>
      </w:pPr>
      <w:bookmarkStart w:name="4.2.5 Team State, Action Values" w:id="190"/>
      <w:bookmarkEnd w:id="190"/>
      <w:r>
        <w:rPr>
          <w:b w:val="0"/>
        </w:rPr>
      </w:r>
      <w:bookmarkStart w:name="_bookmark109" w:id="191"/>
      <w:bookmarkEnd w:id="191"/>
      <w:r>
        <w:rPr/>
        <w:t>T</w:t>
      </w:r>
      <w:r>
        <w:rPr/>
        <w:t>eam</w:t>
      </w:r>
      <w:r>
        <w:rPr>
          <w:spacing w:val="6"/>
        </w:rPr>
        <w:t> </w:t>
      </w:r>
      <w:r>
        <w:rPr/>
        <w:t>State,</w:t>
      </w:r>
      <w:r>
        <w:rPr>
          <w:spacing w:val="6"/>
        </w:rPr>
        <w:t> </w:t>
      </w:r>
      <w:r>
        <w:rPr/>
        <w:t>Action</w:t>
      </w:r>
      <w:r>
        <w:rPr>
          <w:spacing w:val="7"/>
        </w:rPr>
        <w:t> </w:t>
      </w:r>
      <w:r>
        <w:rPr>
          <w:spacing w:val="-2"/>
        </w:rPr>
        <w:t>Values</w:t>
      </w:r>
    </w:p>
    <w:p>
      <w:pPr>
        <w:pStyle w:val="BodyText"/>
        <w:spacing w:line="312" w:lineRule="auto" w:before="235"/>
        <w:ind w:left="610" w:right="389"/>
        <w:jc w:val="both"/>
      </w:pPr>
      <w:r>
        <w:rPr/>
        <w:t>To</w:t>
      </w:r>
      <w:r>
        <w:rPr>
          <w:spacing w:val="-12"/>
        </w:rPr>
        <w:t> </w:t>
      </w:r>
      <w:r>
        <w:rPr/>
        <w:t>evaluate</w:t>
      </w:r>
      <w:r>
        <w:rPr>
          <w:spacing w:val="-12"/>
        </w:rPr>
        <w:t> </w:t>
      </w:r>
      <w:r>
        <w:rPr/>
        <w:t>team</w:t>
      </w:r>
      <w:r>
        <w:rPr>
          <w:spacing w:val="-12"/>
        </w:rPr>
        <w:t> </w:t>
      </w:r>
      <w:r>
        <w:rPr/>
        <w:t>performances,</w:t>
      </w:r>
      <w:r>
        <w:rPr>
          <w:spacing w:val="-11"/>
        </w:rPr>
        <w:t> </w:t>
      </w:r>
      <w:r>
        <w:rPr/>
        <w:t>the</w:t>
      </w:r>
      <w:r>
        <w:rPr>
          <w:spacing w:val="-12"/>
        </w:rPr>
        <w:t> </w:t>
      </w:r>
      <w:r>
        <w:rPr/>
        <w:t>team</w:t>
      </w:r>
      <w:r>
        <w:rPr>
          <w:spacing w:val="-12"/>
        </w:rPr>
        <w:t> </w:t>
      </w:r>
      <w:r>
        <w:rPr/>
        <w:t>ID</w:t>
      </w:r>
      <w:r>
        <w:rPr>
          <w:spacing w:val="-12"/>
        </w:rPr>
        <w:t> </w:t>
      </w:r>
      <w:r>
        <w:rPr/>
        <w:t>context</w:t>
      </w:r>
      <w:r>
        <w:rPr>
          <w:spacing w:val="-12"/>
        </w:rPr>
        <w:t> </w:t>
      </w:r>
      <w:r>
        <w:rPr/>
        <w:t>node</w:t>
      </w:r>
      <w:r>
        <w:rPr>
          <w:spacing w:val="-12"/>
        </w:rPr>
        <w:t> </w:t>
      </w:r>
      <w:r>
        <w:rPr/>
        <w:t>in</w:t>
      </w:r>
      <w:r>
        <w:rPr>
          <w:spacing w:val="-12"/>
        </w:rPr>
        <w:t> </w:t>
      </w:r>
      <w:r>
        <w:rPr/>
        <w:t>MDP</w:t>
      </w:r>
      <w:r>
        <w:rPr>
          <w:vertAlign w:val="subscript"/>
        </w:rPr>
        <w:t>team</w:t>
      </w:r>
      <w:r>
        <w:rPr>
          <w:spacing w:val="-3"/>
          <w:vertAlign w:val="baseline"/>
        </w:rPr>
        <w:t> </w:t>
      </w:r>
      <w:r>
        <w:rPr>
          <w:vertAlign w:val="baseline"/>
        </w:rPr>
        <w:t>was</w:t>
      </w:r>
      <w:r>
        <w:rPr>
          <w:spacing w:val="-12"/>
          <w:vertAlign w:val="baseline"/>
        </w:rPr>
        <w:t> </w:t>
      </w:r>
      <w:r>
        <w:rPr>
          <w:vertAlign w:val="baseline"/>
        </w:rPr>
        <w:t>used. Utilising context</w:t>
      </w:r>
      <w:r>
        <w:rPr>
          <w:spacing w:val="-8"/>
          <w:vertAlign w:val="baseline"/>
        </w:rPr>
        <w:t> </w:t>
      </w:r>
      <w:r>
        <w:rPr>
          <w:vertAlign w:val="baseline"/>
        </w:rPr>
        <w:t>nodes</w:t>
      </w:r>
      <w:r>
        <w:rPr>
          <w:spacing w:val="-8"/>
          <w:vertAlign w:val="baseline"/>
        </w:rPr>
        <w:t> </w:t>
      </w:r>
      <w:r>
        <w:rPr>
          <w:vertAlign w:val="baseline"/>
        </w:rPr>
        <w:t>in</w:t>
      </w:r>
      <w:r>
        <w:rPr>
          <w:spacing w:val="-8"/>
          <w:vertAlign w:val="baseline"/>
        </w:rPr>
        <w:t> </w:t>
      </w:r>
      <w:r>
        <w:rPr>
          <w:vertAlign w:val="baseline"/>
        </w:rPr>
        <w:t>this</w:t>
      </w:r>
      <w:r>
        <w:rPr>
          <w:spacing w:val="-8"/>
          <w:vertAlign w:val="baseline"/>
        </w:rPr>
        <w:t> </w:t>
      </w:r>
      <w:r>
        <w:rPr>
          <w:vertAlign w:val="baseline"/>
        </w:rPr>
        <w:t>manner</w:t>
      </w:r>
      <w:r>
        <w:rPr>
          <w:spacing w:val="-8"/>
          <w:vertAlign w:val="baseline"/>
        </w:rPr>
        <w:t> </w:t>
      </w:r>
      <w:r>
        <w:rPr>
          <w:vertAlign w:val="baseline"/>
        </w:rPr>
        <w:t>allowed</w:t>
      </w:r>
      <w:r>
        <w:rPr>
          <w:spacing w:val="-8"/>
          <w:vertAlign w:val="baseline"/>
        </w:rPr>
        <w:t> </w:t>
      </w:r>
      <w:r>
        <w:rPr>
          <w:vertAlign w:val="baseline"/>
        </w:rPr>
        <w:t>individual</w:t>
      </w:r>
      <w:r>
        <w:rPr>
          <w:spacing w:val="-8"/>
          <w:vertAlign w:val="baseline"/>
        </w:rPr>
        <w:t> </w:t>
      </w:r>
      <w:r>
        <w:rPr>
          <w:vertAlign w:val="baseline"/>
        </w:rPr>
        <w:t>team</w:t>
      </w:r>
      <w:r>
        <w:rPr>
          <w:spacing w:val="-8"/>
          <w:vertAlign w:val="baseline"/>
        </w:rPr>
        <w:t> </w:t>
      </w:r>
      <w:r>
        <w:rPr>
          <w:vertAlign w:val="baseline"/>
        </w:rPr>
        <w:t>state,</w:t>
      </w:r>
      <w:r>
        <w:rPr>
          <w:spacing w:val="-8"/>
          <w:vertAlign w:val="baseline"/>
        </w:rPr>
        <w:t> </w:t>
      </w:r>
      <w:r>
        <w:rPr>
          <w:vertAlign w:val="baseline"/>
        </w:rPr>
        <w:t>action</w:t>
      </w:r>
      <w:r>
        <w:rPr>
          <w:spacing w:val="-8"/>
          <w:vertAlign w:val="baseline"/>
        </w:rPr>
        <w:t> </w:t>
      </w:r>
      <w:r>
        <w:rPr>
          <w:vertAlign w:val="baseline"/>
        </w:rPr>
        <w:t>values</w:t>
      </w:r>
      <w:r>
        <w:rPr>
          <w:spacing w:val="-8"/>
          <w:vertAlign w:val="baseline"/>
        </w:rPr>
        <w:t> </w:t>
      </w:r>
      <w:r>
        <w:rPr>
          <w:vertAlign w:val="baseline"/>
        </w:rPr>
        <w:t>to</w:t>
      </w:r>
      <w:r>
        <w:rPr>
          <w:spacing w:val="-8"/>
          <w:vertAlign w:val="baseline"/>
        </w:rPr>
        <w:t> </w:t>
      </w:r>
      <w:r>
        <w:rPr>
          <w:vertAlign w:val="baseline"/>
        </w:rPr>
        <w:t>be</w:t>
      </w:r>
      <w:r>
        <w:rPr>
          <w:spacing w:val="-8"/>
          <w:vertAlign w:val="baseline"/>
        </w:rPr>
        <w:t> </w:t>
      </w:r>
      <w:r>
        <w:rPr>
          <w:vertAlign w:val="baseline"/>
        </w:rPr>
        <w:t>produced. Comparing individual teams’ state action values provides a method through which team performances</w:t>
      </w:r>
      <w:r>
        <w:rPr>
          <w:spacing w:val="-6"/>
          <w:vertAlign w:val="baseline"/>
        </w:rPr>
        <w:t> </w:t>
      </w:r>
      <w:r>
        <w:rPr>
          <w:vertAlign w:val="baseline"/>
        </w:rPr>
        <w:t>could</w:t>
      </w:r>
      <w:r>
        <w:rPr>
          <w:spacing w:val="-6"/>
          <w:vertAlign w:val="baseline"/>
        </w:rPr>
        <w:t> </w:t>
      </w:r>
      <w:r>
        <w:rPr>
          <w:vertAlign w:val="baseline"/>
        </w:rPr>
        <w:t>be</w:t>
      </w:r>
      <w:r>
        <w:rPr>
          <w:spacing w:val="-6"/>
          <w:vertAlign w:val="baseline"/>
        </w:rPr>
        <w:t> </w:t>
      </w:r>
      <w:r>
        <w:rPr>
          <w:vertAlign w:val="baseline"/>
        </w:rPr>
        <w:t>evaluated</w:t>
      </w:r>
      <w:r>
        <w:rPr>
          <w:spacing w:val="-6"/>
          <w:vertAlign w:val="baseline"/>
        </w:rPr>
        <w:t> </w:t>
      </w:r>
      <w:r>
        <w:rPr>
          <w:vertAlign w:val="baseline"/>
        </w:rPr>
        <w:t>by</w:t>
      </w:r>
      <w:r>
        <w:rPr>
          <w:spacing w:val="-6"/>
          <w:vertAlign w:val="baseline"/>
        </w:rPr>
        <w:t> </w:t>
      </w:r>
      <w:r>
        <w:rPr>
          <w:vertAlign w:val="baseline"/>
        </w:rPr>
        <w:t>identifying</w:t>
      </w:r>
      <w:r>
        <w:rPr>
          <w:spacing w:val="-6"/>
          <w:vertAlign w:val="baseline"/>
        </w:rPr>
        <w:t> </w:t>
      </w:r>
      <w:r>
        <w:rPr>
          <w:vertAlign w:val="baseline"/>
        </w:rPr>
        <w:t>those</w:t>
      </w:r>
      <w:r>
        <w:rPr>
          <w:spacing w:val="-6"/>
          <w:vertAlign w:val="baseline"/>
        </w:rPr>
        <w:t> </w:t>
      </w:r>
      <w:r>
        <w:rPr>
          <w:vertAlign w:val="baseline"/>
        </w:rPr>
        <w:t>teams</w:t>
      </w:r>
      <w:r>
        <w:rPr>
          <w:spacing w:val="-6"/>
          <w:vertAlign w:val="baseline"/>
        </w:rPr>
        <w:t> </w:t>
      </w:r>
      <w:r>
        <w:rPr>
          <w:vertAlign w:val="baseline"/>
        </w:rPr>
        <w:t>who</w:t>
      </w:r>
      <w:r>
        <w:rPr>
          <w:spacing w:val="-6"/>
          <w:vertAlign w:val="baseline"/>
        </w:rPr>
        <w:t> </w:t>
      </w:r>
      <w:r>
        <w:rPr>
          <w:vertAlign w:val="baseline"/>
        </w:rPr>
        <w:t>generated</w:t>
      </w:r>
      <w:r>
        <w:rPr>
          <w:spacing w:val="-6"/>
          <w:vertAlign w:val="baseline"/>
        </w:rPr>
        <w:t> </w:t>
      </w:r>
      <w:r>
        <w:rPr>
          <w:vertAlign w:val="baseline"/>
        </w:rPr>
        <w:t>greater</w:t>
      </w:r>
      <w:r>
        <w:rPr>
          <w:spacing w:val="-6"/>
          <w:vertAlign w:val="baseline"/>
        </w:rPr>
        <w:t> </w:t>
      </w:r>
      <w:r>
        <w:rPr>
          <w:vertAlign w:val="baseline"/>
        </w:rPr>
        <w:t>value from</w:t>
      </w:r>
      <w:r>
        <w:rPr>
          <w:spacing w:val="-8"/>
          <w:vertAlign w:val="baseline"/>
        </w:rPr>
        <w:t> </w:t>
      </w:r>
      <w:r>
        <w:rPr>
          <w:vertAlign w:val="baseline"/>
        </w:rPr>
        <w:t>different</w:t>
      </w:r>
      <w:r>
        <w:rPr>
          <w:spacing w:val="-8"/>
          <w:vertAlign w:val="baseline"/>
        </w:rPr>
        <w:t> </w:t>
      </w:r>
      <w:r>
        <w:rPr>
          <w:vertAlign w:val="baseline"/>
        </w:rPr>
        <w:t>actions</w:t>
      </w:r>
      <w:r>
        <w:rPr>
          <w:spacing w:val="-8"/>
          <w:vertAlign w:val="baseline"/>
        </w:rPr>
        <w:t> </w:t>
      </w:r>
      <w:r>
        <w:rPr>
          <w:vertAlign w:val="baseline"/>
        </w:rPr>
        <w:t>in</w:t>
      </w:r>
      <w:r>
        <w:rPr>
          <w:spacing w:val="-8"/>
          <w:vertAlign w:val="baseline"/>
        </w:rPr>
        <w:t> </w:t>
      </w:r>
      <w:r>
        <w:rPr>
          <w:vertAlign w:val="baseline"/>
        </w:rPr>
        <w:t>different</w:t>
      </w:r>
      <w:r>
        <w:rPr>
          <w:spacing w:val="-8"/>
          <w:vertAlign w:val="baseline"/>
        </w:rPr>
        <w:t> </w:t>
      </w:r>
      <w:r>
        <w:rPr>
          <w:vertAlign w:val="baseline"/>
        </w:rPr>
        <w:t>states. To</w:t>
      </w:r>
      <w:r>
        <w:rPr>
          <w:spacing w:val="-8"/>
          <w:vertAlign w:val="baseline"/>
        </w:rPr>
        <w:t> </w:t>
      </w:r>
      <w:r>
        <w:rPr>
          <w:vertAlign w:val="baseline"/>
        </w:rPr>
        <w:t>visualise</w:t>
      </w:r>
      <w:r>
        <w:rPr>
          <w:spacing w:val="-8"/>
          <w:vertAlign w:val="baseline"/>
        </w:rPr>
        <w:t> </w:t>
      </w:r>
      <w:r>
        <w:rPr>
          <w:vertAlign w:val="baseline"/>
        </w:rPr>
        <w:t>the</w:t>
      </w:r>
      <w:r>
        <w:rPr>
          <w:spacing w:val="-8"/>
          <w:vertAlign w:val="baseline"/>
        </w:rPr>
        <w:t> </w:t>
      </w:r>
      <w:r>
        <w:rPr>
          <w:vertAlign w:val="baseline"/>
        </w:rPr>
        <w:t>differences</w:t>
      </w:r>
      <w:r>
        <w:rPr>
          <w:spacing w:val="-8"/>
          <w:vertAlign w:val="baseline"/>
        </w:rPr>
        <w:t> </w:t>
      </w:r>
      <w:r>
        <w:rPr>
          <w:vertAlign w:val="baseline"/>
        </w:rPr>
        <w:t>and</w:t>
      </w:r>
      <w:r>
        <w:rPr>
          <w:spacing w:val="-8"/>
          <w:vertAlign w:val="baseline"/>
        </w:rPr>
        <w:t> </w:t>
      </w:r>
      <w:r>
        <w:rPr>
          <w:vertAlign w:val="baseline"/>
        </w:rPr>
        <w:t>identify</w:t>
      </w:r>
      <w:r>
        <w:rPr>
          <w:spacing w:val="-8"/>
          <w:vertAlign w:val="baseline"/>
        </w:rPr>
        <w:t> </w:t>
      </w:r>
      <w:r>
        <w:rPr>
          <w:vertAlign w:val="baseline"/>
        </w:rPr>
        <w:t>tactical insights, the state, action values for five actions (catch, pass, run, positional kick and play-the-ball) were plotted.</w:t>
      </w:r>
      <w:r>
        <w:rPr>
          <w:spacing w:val="40"/>
          <w:vertAlign w:val="baseline"/>
        </w:rPr>
        <w:t> </w:t>
      </w:r>
      <w:r>
        <w:rPr>
          <w:vertAlign w:val="baseline"/>
        </w:rPr>
        <w:t>These five actions were chosen as at least one action was performed</w:t>
      </w:r>
      <w:r>
        <w:rPr>
          <w:spacing w:val="-10"/>
          <w:vertAlign w:val="baseline"/>
        </w:rPr>
        <w:t> </w:t>
      </w:r>
      <w:r>
        <w:rPr>
          <w:vertAlign w:val="baseline"/>
        </w:rPr>
        <w:t>in</w:t>
      </w:r>
      <w:r>
        <w:rPr>
          <w:spacing w:val="-10"/>
          <w:vertAlign w:val="baseline"/>
        </w:rPr>
        <w:t> </w:t>
      </w:r>
      <w:r>
        <w:rPr>
          <w:vertAlign w:val="baseline"/>
        </w:rPr>
        <w:t>every</w:t>
      </w:r>
      <w:r>
        <w:rPr>
          <w:spacing w:val="-10"/>
          <w:vertAlign w:val="baseline"/>
        </w:rPr>
        <w:t> </w:t>
      </w:r>
      <w:r>
        <w:rPr>
          <w:vertAlign w:val="baseline"/>
        </w:rPr>
        <w:t>state</w:t>
      </w:r>
      <w:r>
        <w:rPr>
          <w:spacing w:val="-10"/>
          <w:vertAlign w:val="baseline"/>
        </w:rPr>
        <w:t> </w:t>
      </w:r>
      <w:r>
        <w:rPr>
          <w:vertAlign w:val="baseline"/>
        </w:rPr>
        <w:t>for</w:t>
      </w:r>
      <w:r>
        <w:rPr>
          <w:spacing w:val="-10"/>
          <w:vertAlign w:val="baseline"/>
        </w:rPr>
        <w:t> </w:t>
      </w:r>
      <w:r>
        <w:rPr>
          <w:vertAlign w:val="baseline"/>
        </w:rPr>
        <w:t>every</w:t>
      </w:r>
      <w:r>
        <w:rPr>
          <w:spacing w:val="-9"/>
          <w:vertAlign w:val="baseline"/>
        </w:rPr>
        <w:t> </w:t>
      </w:r>
      <w:r>
        <w:rPr>
          <w:vertAlign w:val="baseline"/>
        </w:rPr>
        <w:t>team. Multiple</w:t>
      </w:r>
      <w:r>
        <w:rPr>
          <w:spacing w:val="-10"/>
          <w:vertAlign w:val="baseline"/>
        </w:rPr>
        <w:t> </w:t>
      </w:r>
      <w:r>
        <w:rPr>
          <w:vertAlign w:val="baseline"/>
        </w:rPr>
        <w:t>missing</w:t>
      </w:r>
      <w:r>
        <w:rPr>
          <w:spacing w:val="-10"/>
          <w:vertAlign w:val="baseline"/>
        </w:rPr>
        <w:t> </w:t>
      </w:r>
      <w:r>
        <w:rPr>
          <w:vertAlign w:val="baseline"/>
        </w:rPr>
        <w:t>states</w:t>
      </w:r>
      <w:r>
        <w:rPr>
          <w:spacing w:val="-10"/>
          <w:vertAlign w:val="baseline"/>
        </w:rPr>
        <w:t> </w:t>
      </w:r>
      <w:r>
        <w:rPr>
          <w:vertAlign w:val="baseline"/>
        </w:rPr>
        <w:t>were</w:t>
      </w:r>
      <w:r>
        <w:rPr>
          <w:spacing w:val="-9"/>
          <w:vertAlign w:val="baseline"/>
        </w:rPr>
        <w:t> </w:t>
      </w:r>
      <w:r>
        <w:rPr>
          <w:vertAlign w:val="baseline"/>
        </w:rPr>
        <w:t>present</w:t>
      </w:r>
      <w:r>
        <w:rPr>
          <w:spacing w:val="-10"/>
          <w:vertAlign w:val="baseline"/>
        </w:rPr>
        <w:t> </w:t>
      </w:r>
      <w:r>
        <w:rPr>
          <w:vertAlign w:val="baseline"/>
        </w:rPr>
        <w:t>for</w:t>
      </w:r>
      <w:r>
        <w:rPr>
          <w:spacing w:val="-10"/>
          <w:vertAlign w:val="baseline"/>
        </w:rPr>
        <w:t> </w:t>
      </w:r>
      <w:r>
        <w:rPr>
          <w:vertAlign w:val="baseline"/>
        </w:rPr>
        <w:t>the</w:t>
      </w:r>
      <w:r>
        <w:rPr>
          <w:spacing w:val="-10"/>
          <w:vertAlign w:val="baseline"/>
        </w:rPr>
        <w:t> </w:t>
      </w:r>
      <w:r>
        <w:rPr>
          <w:vertAlign w:val="baseline"/>
        </w:rPr>
        <w:t>goal kick</w:t>
      </w:r>
      <w:r>
        <w:rPr>
          <w:spacing w:val="-6"/>
          <w:vertAlign w:val="baseline"/>
        </w:rPr>
        <w:t> </w:t>
      </w:r>
      <w:r>
        <w:rPr>
          <w:vertAlign w:val="baseline"/>
        </w:rPr>
        <w:t>and</w:t>
      </w:r>
      <w:r>
        <w:rPr>
          <w:spacing w:val="-6"/>
          <w:vertAlign w:val="baseline"/>
        </w:rPr>
        <w:t> </w:t>
      </w:r>
      <w:r>
        <w:rPr>
          <w:vertAlign w:val="baseline"/>
        </w:rPr>
        <w:t>penalty</w:t>
      </w:r>
      <w:r>
        <w:rPr>
          <w:spacing w:val="-6"/>
          <w:vertAlign w:val="baseline"/>
        </w:rPr>
        <w:t> </w:t>
      </w:r>
      <w:r>
        <w:rPr>
          <w:vertAlign w:val="baseline"/>
        </w:rPr>
        <w:t>won</w:t>
      </w:r>
      <w:r>
        <w:rPr>
          <w:spacing w:val="-6"/>
          <w:vertAlign w:val="baseline"/>
        </w:rPr>
        <w:t> </w:t>
      </w:r>
      <w:r>
        <w:rPr>
          <w:vertAlign w:val="baseline"/>
        </w:rPr>
        <w:t>actions. In</w:t>
      </w:r>
      <w:r>
        <w:rPr>
          <w:spacing w:val="-6"/>
          <w:vertAlign w:val="baseline"/>
        </w:rPr>
        <w:t> </w:t>
      </w:r>
      <w:r>
        <w:rPr>
          <w:vertAlign w:val="baseline"/>
        </w:rPr>
        <w:t>the</w:t>
      </w:r>
      <w:r>
        <w:rPr>
          <w:spacing w:val="-6"/>
          <w:vertAlign w:val="baseline"/>
        </w:rPr>
        <w:t> </w:t>
      </w:r>
      <w:r>
        <w:rPr>
          <w:vertAlign w:val="baseline"/>
        </w:rPr>
        <w:t>plots,</w:t>
      </w:r>
      <w:r>
        <w:rPr>
          <w:spacing w:val="-6"/>
          <w:vertAlign w:val="baseline"/>
        </w:rPr>
        <w:t> </w:t>
      </w:r>
      <w:r>
        <w:rPr>
          <w:vertAlign w:val="baseline"/>
        </w:rPr>
        <w:t>all</w:t>
      </w:r>
      <w:r>
        <w:rPr>
          <w:spacing w:val="-6"/>
          <w:vertAlign w:val="baseline"/>
        </w:rPr>
        <w:t> </w:t>
      </w:r>
      <w:r>
        <w:rPr>
          <w:vertAlign w:val="baseline"/>
        </w:rPr>
        <w:t>team</w:t>
      </w:r>
      <w:r>
        <w:rPr>
          <w:spacing w:val="-6"/>
          <w:vertAlign w:val="baseline"/>
        </w:rPr>
        <w:t> </w:t>
      </w:r>
      <w:r>
        <w:rPr>
          <w:vertAlign w:val="baseline"/>
        </w:rPr>
        <w:t>state,</w:t>
      </w:r>
      <w:r>
        <w:rPr>
          <w:spacing w:val="-6"/>
          <w:vertAlign w:val="baseline"/>
        </w:rPr>
        <w:t> </w:t>
      </w:r>
      <w:r>
        <w:rPr>
          <w:vertAlign w:val="baseline"/>
        </w:rPr>
        <w:t>action</w:t>
      </w:r>
      <w:r>
        <w:rPr>
          <w:spacing w:val="-6"/>
          <w:vertAlign w:val="baseline"/>
        </w:rPr>
        <w:t> </w:t>
      </w:r>
      <w:r>
        <w:rPr>
          <w:vertAlign w:val="baseline"/>
        </w:rPr>
        <w:t>values</w:t>
      </w:r>
      <w:r>
        <w:rPr>
          <w:spacing w:val="-6"/>
          <w:vertAlign w:val="baseline"/>
        </w:rPr>
        <w:t> </w:t>
      </w:r>
      <w:r>
        <w:rPr>
          <w:vertAlign w:val="baseline"/>
        </w:rPr>
        <w:t>were</w:t>
      </w:r>
      <w:r>
        <w:rPr>
          <w:spacing w:val="-6"/>
          <w:vertAlign w:val="baseline"/>
        </w:rPr>
        <w:t> </w:t>
      </w:r>
      <w:r>
        <w:rPr>
          <w:vertAlign w:val="baseline"/>
        </w:rPr>
        <w:t>compared</w:t>
      </w:r>
      <w:r>
        <w:rPr>
          <w:spacing w:val="-6"/>
          <w:vertAlign w:val="baseline"/>
        </w:rPr>
        <w:t> </w:t>
      </w:r>
      <w:r>
        <w:rPr>
          <w:vertAlign w:val="baseline"/>
        </w:rPr>
        <w:t>to the league average state, action value.</w:t>
      </w:r>
      <w:r>
        <w:rPr>
          <w:spacing w:val="40"/>
          <w:vertAlign w:val="baseline"/>
        </w:rPr>
        <w:t> </w:t>
      </w:r>
      <w:r>
        <w:rPr>
          <w:vertAlign w:val="baseline"/>
        </w:rPr>
        <w:t>Therefore, the plots detail whether the team was better</w:t>
      </w:r>
      <w:r>
        <w:rPr>
          <w:spacing w:val="-12"/>
          <w:vertAlign w:val="baseline"/>
        </w:rPr>
        <w:t> </w:t>
      </w:r>
      <w:r>
        <w:rPr>
          <w:vertAlign w:val="baseline"/>
        </w:rPr>
        <w:t>or</w:t>
      </w:r>
      <w:r>
        <w:rPr>
          <w:spacing w:val="-11"/>
          <w:vertAlign w:val="baseline"/>
        </w:rPr>
        <w:t> </w:t>
      </w:r>
      <w:r>
        <w:rPr>
          <w:vertAlign w:val="baseline"/>
        </w:rPr>
        <w:t>worse</w:t>
      </w:r>
      <w:r>
        <w:rPr>
          <w:spacing w:val="-12"/>
          <w:vertAlign w:val="baseline"/>
        </w:rPr>
        <w:t> </w:t>
      </w:r>
      <w:r>
        <w:rPr>
          <w:vertAlign w:val="baseline"/>
        </w:rPr>
        <w:t>at</w:t>
      </w:r>
      <w:r>
        <w:rPr>
          <w:spacing w:val="-11"/>
          <w:vertAlign w:val="baseline"/>
        </w:rPr>
        <w:t> </w:t>
      </w:r>
      <w:r>
        <w:rPr>
          <w:vertAlign w:val="baseline"/>
        </w:rPr>
        <w:t>performing</w:t>
      </w:r>
      <w:r>
        <w:rPr>
          <w:spacing w:val="-12"/>
          <w:vertAlign w:val="baseline"/>
        </w:rPr>
        <w:t> </w:t>
      </w:r>
      <w:r>
        <w:rPr>
          <w:vertAlign w:val="baseline"/>
        </w:rPr>
        <w:t>a</w:t>
      </w:r>
      <w:r>
        <w:rPr>
          <w:spacing w:val="-11"/>
          <w:vertAlign w:val="baseline"/>
        </w:rPr>
        <w:t> </w:t>
      </w:r>
      <w:r>
        <w:rPr>
          <w:vertAlign w:val="baseline"/>
        </w:rPr>
        <w:t>given</w:t>
      </w:r>
      <w:r>
        <w:rPr>
          <w:spacing w:val="-12"/>
          <w:vertAlign w:val="baseline"/>
        </w:rPr>
        <w:t> </w:t>
      </w:r>
      <w:r>
        <w:rPr>
          <w:vertAlign w:val="baseline"/>
        </w:rPr>
        <w:t>action</w:t>
      </w:r>
      <w:r>
        <w:rPr>
          <w:spacing w:val="-11"/>
          <w:vertAlign w:val="baseline"/>
        </w:rPr>
        <w:t> </w:t>
      </w:r>
      <w:r>
        <w:rPr>
          <w:vertAlign w:val="baseline"/>
        </w:rPr>
        <w:t>in</w:t>
      </w:r>
      <w:r>
        <w:rPr>
          <w:spacing w:val="-12"/>
          <w:vertAlign w:val="baseline"/>
        </w:rPr>
        <w:t> </w:t>
      </w:r>
      <w:r>
        <w:rPr>
          <w:vertAlign w:val="baseline"/>
        </w:rPr>
        <w:t>a</w:t>
      </w:r>
      <w:r>
        <w:rPr>
          <w:spacing w:val="-11"/>
          <w:vertAlign w:val="baseline"/>
        </w:rPr>
        <w:t> </w:t>
      </w:r>
      <w:r>
        <w:rPr>
          <w:vertAlign w:val="baseline"/>
        </w:rPr>
        <w:t>given</w:t>
      </w:r>
      <w:r>
        <w:rPr>
          <w:spacing w:val="-12"/>
          <w:vertAlign w:val="baseline"/>
        </w:rPr>
        <w:t> </w:t>
      </w:r>
      <w:r>
        <w:rPr>
          <w:vertAlign w:val="baseline"/>
        </w:rPr>
        <w:t>state</w:t>
      </w:r>
      <w:r>
        <w:rPr>
          <w:spacing w:val="-11"/>
          <w:vertAlign w:val="baseline"/>
        </w:rPr>
        <w:t> </w:t>
      </w:r>
      <w:r>
        <w:rPr>
          <w:vertAlign w:val="baseline"/>
        </w:rPr>
        <w:t>than</w:t>
      </w:r>
      <w:r>
        <w:rPr>
          <w:spacing w:val="-12"/>
          <w:vertAlign w:val="baseline"/>
        </w:rPr>
        <w:t> </w:t>
      </w:r>
      <w:r>
        <w:rPr>
          <w:vertAlign w:val="baseline"/>
        </w:rPr>
        <w:t>the</w:t>
      </w:r>
      <w:r>
        <w:rPr>
          <w:spacing w:val="-11"/>
          <w:vertAlign w:val="baseline"/>
        </w:rPr>
        <w:t> </w:t>
      </w:r>
      <w:r>
        <w:rPr>
          <w:vertAlign w:val="baseline"/>
        </w:rPr>
        <w:t>league</w:t>
      </w:r>
      <w:r>
        <w:rPr>
          <w:spacing w:val="-11"/>
          <w:vertAlign w:val="baseline"/>
        </w:rPr>
        <w:t> </w:t>
      </w:r>
      <w:r>
        <w:rPr>
          <w:vertAlign w:val="baseline"/>
        </w:rPr>
        <w:t>average</w:t>
      </w:r>
      <w:r>
        <w:rPr>
          <w:spacing w:val="-12"/>
          <w:vertAlign w:val="baseline"/>
        </w:rPr>
        <w:t> </w:t>
      </w:r>
      <w:r>
        <w:rPr>
          <w:spacing w:val="-2"/>
          <w:vertAlign w:val="baseline"/>
        </w:rPr>
        <w:t>team.</w:t>
      </w:r>
    </w:p>
    <w:p>
      <w:pPr>
        <w:spacing w:after="0" w:line="312" w:lineRule="auto"/>
        <w:jc w:val="both"/>
        <w:sectPr>
          <w:pgSz w:w="11910" w:h="16840"/>
          <w:pgMar w:header="1961" w:footer="1428" w:top="2280" w:bottom="1620" w:left="1680" w:right="720"/>
        </w:sectPr>
      </w:pPr>
    </w:p>
    <w:p>
      <w:pPr>
        <w:pStyle w:val="BodyText"/>
        <w:rPr>
          <w:sz w:val="20"/>
        </w:rPr>
      </w:pPr>
    </w:p>
    <w:p>
      <w:pPr>
        <w:pStyle w:val="Heading2"/>
        <w:numPr>
          <w:ilvl w:val="1"/>
          <w:numId w:val="21"/>
        </w:numPr>
        <w:tabs>
          <w:tab w:pos="1385" w:val="left" w:leader="none"/>
          <w:tab w:pos="1386" w:val="left" w:leader="none"/>
        </w:tabs>
        <w:spacing w:line="240" w:lineRule="auto" w:before="248" w:after="0"/>
        <w:ind w:left="1385" w:right="0" w:hanging="776"/>
        <w:jc w:val="left"/>
      </w:pPr>
      <w:bookmarkStart w:name="4.3 Results" w:id="192"/>
      <w:bookmarkEnd w:id="192"/>
      <w:r>
        <w:rPr>
          <w:b w:val="0"/>
        </w:rPr>
      </w:r>
      <w:bookmarkStart w:name="_bookmark110" w:id="193"/>
      <w:bookmarkEnd w:id="193"/>
      <w:r>
        <w:rPr>
          <w:spacing w:val="-2"/>
        </w:rPr>
        <w:t>Results</w:t>
      </w:r>
    </w:p>
    <w:p>
      <w:pPr>
        <w:pStyle w:val="BodyText"/>
        <w:spacing w:line="312" w:lineRule="auto" w:before="309"/>
        <w:ind w:left="610" w:right="391"/>
      </w:pPr>
      <w:r>
        <w:rPr/>
        <w:t>The</w:t>
      </w:r>
      <w:r>
        <w:rPr>
          <w:spacing w:val="27"/>
        </w:rPr>
        <w:t> </w:t>
      </w:r>
      <w:r>
        <w:rPr/>
        <w:t>aim</w:t>
      </w:r>
      <w:r>
        <w:rPr>
          <w:spacing w:val="27"/>
        </w:rPr>
        <w:t> </w:t>
      </w:r>
      <w:r>
        <w:rPr/>
        <w:t>of</w:t>
      </w:r>
      <w:r>
        <w:rPr>
          <w:spacing w:val="27"/>
        </w:rPr>
        <w:t> </w:t>
      </w:r>
      <w:r>
        <w:rPr/>
        <w:t>this</w:t>
      </w:r>
      <w:r>
        <w:rPr>
          <w:spacing w:val="27"/>
        </w:rPr>
        <w:t> </w:t>
      </w:r>
      <w:r>
        <w:rPr/>
        <w:t>study</w:t>
      </w:r>
      <w:r>
        <w:rPr>
          <w:spacing w:val="27"/>
        </w:rPr>
        <w:t> </w:t>
      </w:r>
      <w:r>
        <w:rPr/>
        <w:t>was</w:t>
      </w:r>
      <w:r>
        <w:rPr>
          <w:spacing w:val="27"/>
        </w:rPr>
        <w:t> </w:t>
      </w:r>
      <w:r>
        <w:rPr/>
        <w:t>to</w:t>
      </w:r>
      <w:r>
        <w:rPr>
          <w:spacing w:val="27"/>
        </w:rPr>
        <w:t> </w:t>
      </w:r>
      <w:r>
        <w:rPr/>
        <w:t>evaluate</w:t>
      </w:r>
      <w:r>
        <w:rPr>
          <w:spacing w:val="27"/>
        </w:rPr>
        <w:t> </w:t>
      </w:r>
      <w:r>
        <w:rPr/>
        <w:t>player</w:t>
      </w:r>
      <w:r>
        <w:rPr>
          <w:spacing w:val="27"/>
        </w:rPr>
        <w:t> </w:t>
      </w:r>
      <w:r>
        <w:rPr/>
        <w:t>and</w:t>
      </w:r>
      <w:r>
        <w:rPr>
          <w:spacing w:val="27"/>
        </w:rPr>
        <w:t> </w:t>
      </w:r>
      <w:r>
        <w:rPr/>
        <w:t>team</w:t>
      </w:r>
      <w:r>
        <w:rPr>
          <w:spacing w:val="27"/>
        </w:rPr>
        <w:t> </w:t>
      </w:r>
      <w:r>
        <w:rPr/>
        <w:t>performances</w:t>
      </w:r>
      <w:r>
        <w:rPr>
          <w:spacing w:val="27"/>
        </w:rPr>
        <w:t> </w:t>
      </w:r>
      <w:r>
        <w:rPr/>
        <w:t>in</w:t>
      </w:r>
      <w:r>
        <w:rPr>
          <w:spacing w:val="27"/>
        </w:rPr>
        <w:t> </w:t>
      </w:r>
      <w:r>
        <w:rPr/>
        <w:t>rugby</w:t>
      </w:r>
      <w:r>
        <w:rPr>
          <w:spacing w:val="27"/>
        </w:rPr>
        <w:t> </w:t>
      </w:r>
      <w:r>
        <w:rPr/>
        <w:t>league using an MDP framework, which extended the MRP framework produced in Chapter</w:t>
      </w:r>
      <w:r>
        <w:rPr>
          <w:color w:val="0000FF"/>
        </w:rPr>
        <w:t>3 </w:t>
      </w:r>
      <w:r>
        <w:rPr/>
        <w:t>by adapting ideas previously considered in ice hockey (</w:t>
      </w:r>
      <w:hyperlink w:history="true" w:anchor="_bookmark287">
        <w:r>
          <w:rPr>
            <w:color w:val="FF0000"/>
          </w:rPr>
          <w:t>Routley and Schulte</w:t>
        </w:r>
      </w:hyperlink>
      <w:r>
        <w:rPr/>
        <w:t>,</w:t>
      </w:r>
      <w:hyperlink w:history="true" w:anchor="_bookmark287">
        <w:r>
          <w:rPr>
            <w:color w:val="FF0000"/>
          </w:rPr>
          <w:t>2015</w:t>
        </w:r>
      </w:hyperlink>
      <w:r>
        <w:rPr/>
        <w:t>).</w:t>
      </w:r>
      <w:r>
        <w:rPr>
          <w:spacing w:val="40"/>
        </w:rPr>
        <w:t> </w:t>
      </w:r>
      <w:r>
        <w:rPr/>
        <w:t>To achieve</w:t>
      </w:r>
      <w:r>
        <w:rPr>
          <w:spacing w:val="-14"/>
        </w:rPr>
        <w:t> </w:t>
      </w:r>
      <w:r>
        <w:rPr/>
        <w:t>these</w:t>
      </w:r>
      <w:r>
        <w:rPr>
          <w:spacing w:val="-14"/>
        </w:rPr>
        <w:t> </w:t>
      </w:r>
      <w:r>
        <w:rPr/>
        <w:t>aims,</w:t>
      </w:r>
      <w:r>
        <w:rPr>
          <w:spacing w:val="-12"/>
        </w:rPr>
        <w:t> </w:t>
      </w:r>
      <w:r>
        <w:rPr/>
        <w:t>the</w:t>
      </w:r>
      <w:r>
        <w:rPr>
          <w:spacing w:val="-14"/>
        </w:rPr>
        <w:t> </w:t>
      </w:r>
      <w:r>
        <w:rPr/>
        <w:t>63</w:t>
      </w:r>
      <w:r>
        <w:rPr>
          <w:spacing w:val="-14"/>
        </w:rPr>
        <w:t> </w:t>
      </w:r>
      <w:r>
        <w:rPr/>
        <w:t>xml</w:t>
      </w:r>
      <w:r>
        <w:rPr>
          <w:spacing w:val="-14"/>
        </w:rPr>
        <w:t> </w:t>
      </w:r>
      <w:r>
        <w:rPr/>
        <w:t>files</w:t>
      </w:r>
      <w:r>
        <w:rPr>
          <w:spacing w:val="-14"/>
        </w:rPr>
        <w:t> </w:t>
      </w:r>
      <w:r>
        <w:rPr/>
        <w:t>provided</w:t>
      </w:r>
      <w:r>
        <w:rPr>
          <w:spacing w:val="-14"/>
        </w:rPr>
        <w:t> </w:t>
      </w:r>
      <w:r>
        <w:rPr/>
        <w:t>by</w:t>
      </w:r>
      <w:r>
        <w:rPr>
          <w:spacing w:val="-14"/>
        </w:rPr>
        <w:t> </w:t>
      </w:r>
      <w:r>
        <w:rPr/>
        <w:t>Opta</w:t>
      </w:r>
      <w:r>
        <w:rPr>
          <w:spacing w:val="-14"/>
        </w:rPr>
        <w:t> </w:t>
      </w:r>
      <w:r>
        <w:rPr/>
        <w:t>from</w:t>
      </w:r>
      <w:r>
        <w:rPr>
          <w:spacing w:val="-14"/>
        </w:rPr>
        <w:t> </w:t>
      </w:r>
      <w:r>
        <w:rPr/>
        <w:t>the</w:t>
      </w:r>
      <w:r>
        <w:rPr>
          <w:spacing w:val="-14"/>
        </w:rPr>
        <w:t> </w:t>
      </w:r>
      <w:r>
        <w:rPr/>
        <w:t>2020</w:t>
      </w:r>
      <w:r>
        <w:rPr>
          <w:spacing w:val="-14"/>
        </w:rPr>
        <w:t> </w:t>
      </w:r>
      <w:r>
        <w:rPr/>
        <w:t>Super</w:t>
      </w:r>
      <w:r>
        <w:rPr>
          <w:spacing w:val="-14"/>
        </w:rPr>
        <w:t> </w:t>
      </w:r>
      <w:r>
        <w:rPr/>
        <w:t>League</w:t>
      </w:r>
      <w:r>
        <w:rPr>
          <w:spacing w:val="-14"/>
        </w:rPr>
        <w:t> </w:t>
      </w:r>
      <w:r>
        <w:rPr/>
        <w:t>season were preprocessed into a single file of 77,045 rows and 9 columns (Table</w:t>
      </w:r>
      <w:hyperlink w:history="true" w:anchor="_bookmark100">
        <w:r>
          <w:rPr>
            <w:color w:val="0000FF"/>
          </w:rPr>
          <w:t>4.2</w:t>
        </w:r>
      </w:hyperlink>
      <w:r>
        <w:rPr/>
        <w:t>).</w:t>
      </w:r>
      <w:r>
        <w:rPr>
          <w:spacing w:val="40"/>
        </w:rPr>
        <w:t> </w:t>
      </w:r>
      <w:r>
        <w:rPr/>
        <w:t>Using</w:t>
      </w:r>
      <w:r>
        <w:rPr>
          <w:spacing w:val="40"/>
        </w:rPr>
        <w:t> </w:t>
      </w:r>
      <w:r>
        <w:rPr/>
        <w:t>this data, four MDPs were produced:</w:t>
      </w:r>
      <w:r>
        <w:rPr>
          <w:spacing w:val="40"/>
        </w:rPr>
        <w:t> </w:t>
      </w:r>
      <w:r>
        <w:rPr/>
        <w:t>MDP</w:t>
      </w:r>
      <w:r>
        <w:rPr>
          <w:vertAlign w:val="subscript"/>
        </w:rPr>
        <w:t>nc</w:t>
      </w:r>
      <w:r>
        <w:rPr>
          <w:vertAlign w:val="baseline"/>
        </w:rPr>
        <w:t>, which had no context nodes;</w:t>
      </w:r>
      <w:r>
        <w:rPr>
          <w:spacing w:val="29"/>
          <w:vertAlign w:val="baseline"/>
        </w:rPr>
        <w:t> </w:t>
      </w:r>
      <w:r>
        <w:rPr>
          <w:vertAlign w:val="baseline"/>
        </w:rPr>
        <w:t>MDP</w:t>
      </w:r>
      <w:r>
        <w:rPr>
          <w:vertAlign w:val="subscript"/>
        </w:rPr>
        <w:t>period</w:t>
      </w:r>
      <w:r>
        <w:rPr>
          <w:vertAlign w:val="baseline"/>
        </w:rPr>
        <w:t>,</w:t>
      </w:r>
      <w:r>
        <w:rPr>
          <w:spacing w:val="40"/>
          <w:vertAlign w:val="baseline"/>
        </w:rPr>
        <w:t> </w:t>
      </w:r>
      <w:r>
        <w:rPr>
          <w:vertAlign w:val="baseline"/>
        </w:rPr>
        <w:t>which</w:t>
      </w:r>
      <w:r>
        <w:rPr>
          <w:spacing w:val="26"/>
          <w:vertAlign w:val="baseline"/>
        </w:rPr>
        <w:t> </w:t>
      </w:r>
      <w:r>
        <w:rPr>
          <w:vertAlign w:val="baseline"/>
        </w:rPr>
        <w:t>used</w:t>
      </w:r>
      <w:r>
        <w:rPr>
          <w:spacing w:val="26"/>
          <w:vertAlign w:val="baseline"/>
        </w:rPr>
        <w:t> </w:t>
      </w:r>
      <w:r>
        <w:rPr>
          <w:vertAlign w:val="baseline"/>
        </w:rPr>
        <w:t>period</w:t>
      </w:r>
      <w:r>
        <w:rPr>
          <w:spacing w:val="26"/>
          <w:vertAlign w:val="baseline"/>
        </w:rPr>
        <w:t> </w:t>
      </w:r>
      <w:r>
        <w:rPr>
          <w:vertAlign w:val="baseline"/>
        </w:rPr>
        <w:t>as</w:t>
      </w:r>
      <w:r>
        <w:rPr>
          <w:spacing w:val="26"/>
          <w:vertAlign w:val="baseline"/>
        </w:rPr>
        <w:t> </w:t>
      </w:r>
      <w:r>
        <w:rPr>
          <w:vertAlign w:val="baseline"/>
        </w:rPr>
        <w:t>a</w:t>
      </w:r>
      <w:r>
        <w:rPr>
          <w:spacing w:val="26"/>
          <w:vertAlign w:val="baseline"/>
        </w:rPr>
        <w:t> </w:t>
      </w:r>
      <w:r>
        <w:rPr>
          <w:vertAlign w:val="baseline"/>
        </w:rPr>
        <w:t>context</w:t>
      </w:r>
      <w:r>
        <w:rPr>
          <w:spacing w:val="26"/>
          <w:vertAlign w:val="baseline"/>
        </w:rPr>
        <w:t> </w:t>
      </w:r>
      <w:r>
        <w:rPr>
          <w:vertAlign w:val="baseline"/>
        </w:rPr>
        <w:t>node;</w:t>
      </w:r>
      <w:r>
        <w:rPr>
          <w:spacing w:val="40"/>
          <w:vertAlign w:val="baseline"/>
        </w:rPr>
        <w:t> </w:t>
      </w:r>
      <w:r>
        <w:rPr>
          <w:vertAlign w:val="baseline"/>
        </w:rPr>
        <w:t>MDP</w:t>
      </w:r>
      <w:r>
        <w:rPr>
          <w:vertAlign w:val="subscript"/>
        </w:rPr>
        <w:t>score</w:t>
      </w:r>
      <w:r>
        <w:rPr>
          <w:vertAlign w:val="baseline"/>
        </w:rPr>
        <w:t>,</w:t>
      </w:r>
      <w:r>
        <w:rPr>
          <w:spacing w:val="34"/>
          <w:vertAlign w:val="baseline"/>
        </w:rPr>
        <w:t> </w:t>
      </w:r>
      <w:r>
        <w:rPr>
          <w:vertAlign w:val="baseline"/>
        </w:rPr>
        <w:t>which</w:t>
      </w:r>
      <w:r>
        <w:rPr>
          <w:spacing w:val="26"/>
          <w:vertAlign w:val="baseline"/>
        </w:rPr>
        <w:t> </w:t>
      </w:r>
      <w:r>
        <w:rPr>
          <w:vertAlign w:val="baseline"/>
        </w:rPr>
        <w:t>used</w:t>
      </w:r>
      <w:r>
        <w:rPr>
          <w:spacing w:val="26"/>
          <w:vertAlign w:val="baseline"/>
        </w:rPr>
        <w:t> </w:t>
      </w:r>
      <w:r>
        <w:rPr>
          <w:vertAlign w:val="baseline"/>
        </w:rPr>
        <w:t>match</w:t>
      </w:r>
      <w:r>
        <w:rPr>
          <w:spacing w:val="26"/>
          <w:vertAlign w:val="baseline"/>
        </w:rPr>
        <w:t> </w:t>
      </w:r>
      <w:r>
        <w:rPr>
          <w:vertAlign w:val="baseline"/>
        </w:rPr>
        <w:t>score</w:t>
      </w:r>
      <w:r>
        <w:rPr>
          <w:spacing w:val="26"/>
          <w:vertAlign w:val="baseline"/>
        </w:rPr>
        <w:t> </w:t>
      </w:r>
      <w:r>
        <w:rPr>
          <w:vertAlign w:val="baseline"/>
        </w:rPr>
        <w:t>as</w:t>
      </w:r>
      <w:r>
        <w:rPr>
          <w:spacing w:val="26"/>
          <w:vertAlign w:val="baseline"/>
        </w:rPr>
        <w:t> </w:t>
      </w:r>
      <w:r>
        <w:rPr>
          <w:vertAlign w:val="baseline"/>
        </w:rPr>
        <w:t>a</w:t>
      </w:r>
      <w:r>
        <w:rPr>
          <w:spacing w:val="26"/>
          <w:vertAlign w:val="baseline"/>
        </w:rPr>
        <w:t> </w:t>
      </w:r>
      <w:r>
        <w:rPr>
          <w:vertAlign w:val="baseline"/>
        </w:rPr>
        <w:t>context node;</w:t>
      </w:r>
      <w:r>
        <w:rPr>
          <w:spacing w:val="36"/>
          <w:vertAlign w:val="baseline"/>
        </w:rPr>
        <w:t> </w:t>
      </w:r>
      <w:r>
        <w:rPr>
          <w:vertAlign w:val="baseline"/>
        </w:rPr>
        <w:t>and MDP</w:t>
      </w:r>
      <w:r>
        <w:rPr>
          <w:vertAlign w:val="subscript"/>
        </w:rPr>
        <w:t>team</w:t>
      </w:r>
      <w:r>
        <w:rPr>
          <w:vertAlign w:val="baseline"/>
        </w:rPr>
        <w:t>, which used team ID as a context node.</w:t>
      </w:r>
      <w:r>
        <w:rPr>
          <w:spacing w:val="40"/>
          <w:vertAlign w:val="baseline"/>
        </w:rPr>
        <w:t> </w:t>
      </w:r>
      <w:r>
        <w:rPr>
          <w:vertAlign w:val="baseline"/>
        </w:rPr>
        <w:t>Algorithm</w:t>
      </w:r>
      <w:r>
        <w:rPr>
          <w:color w:val="0000FF"/>
          <w:vertAlign w:val="baseline"/>
        </w:rPr>
        <w:t>2</w:t>
      </w:r>
      <w:r>
        <w:rPr>
          <w:vertAlign w:val="baseline"/>
        </w:rPr>
        <w:t>was used for MDP</w:t>
      </w:r>
      <w:r>
        <w:rPr>
          <w:vertAlign w:val="subscript"/>
        </w:rPr>
        <w:t>nc</w:t>
      </w:r>
      <w:r>
        <w:rPr>
          <w:vertAlign w:val="baseline"/>
        </w:rPr>
        <w:t>;</w:t>
      </w:r>
      <w:r>
        <w:rPr>
          <w:spacing w:val="-8"/>
          <w:vertAlign w:val="baseline"/>
        </w:rPr>
        <w:t> </w:t>
      </w:r>
      <w:r>
        <w:rPr>
          <w:vertAlign w:val="baseline"/>
        </w:rPr>
        <w:t>Algorithm</w:t>
      </w:r>
      <w:r>
        <w:rPr>
          <w:color w:val="0000FF"/>
          <w:vertAlign w:val="baseline"/>
        </w:rPr>
        <w:t>3</w:t>
      </w:r>
      <w:r>
        <w:rPr>
          <w:vertAlign w:val="baseline"/>
        </w:rPr>
        <w:t>was</w:t>
      </w:r>
      <w:r>
        <w:rPr>
          <w:spacing w:val="-11"/>
          <w:vertAlign w:val="baseline"/>
        </w:rPr>
        <w:t> </w:t>
      </w:r>
      <w:r>
        <w:rPr>
          <w:vertAlign w:val="baseline"/>
        </w:rPr>
        <w:t>used</w:t>
      </w:r>
      <w:r>
        <w:rPr>
          <w:spacing w:val="-11"/>
          <w:vertAlign w:val="baseline"/>
        </w:rPr>
        <w:t> </w:t>
      </w:r>
      <w:r>
        <w:rPr>
          <w:vertAlign w:val="baseline"/>
        </w:rPr>
        <w:t>for</w:t>
      </w:r>
      <w:r>
        <w:rPr>
          <w:spacing w:val="-11"/>
          <w:vertAlign w:val="baseline"/>
        </w:rPr>
        <w:t> </w:t>
      </w:r>
      <w:r>
        <w:rPr>
          <w:vertAlign w:val="baseline"/>
        </w:rPr>
        <w:t>MDP</w:t>
      </w:r>
      <w:r>
        <w:rPr>
          <w:spacing w:val="40"/>
          <w:vertAlign w:val="baseline"/>
        </w:rPr>
        <w:t> </w:t>
      </w:r>
      <w:r>
        <w:rPr>
          <w:vertAlign w:val="subscript"/>
        </w:rPr>
        <w:t>period</w:t>
      </w:r>
      <w:r>
        <w:rPr>
          <w:vertAlign w:val="baseline"/>
        </w:rPr>
        <w:t>,</w:t>
      </w:r>
      <w:r>
        <w:rPr>
          <w:spacing w:val="-9"/>
          <w:vertAlign w:val="baseline"/>
        </w:rPr>
        <w:t> </w:t>
      </w:r>
      <w:r>
        <w:rPr>
          <w:vertAlign w:val="baseline"/>
        </w:rPr>
        <w:t>MDP</w:t>
      </w:r>
      <w:r>
        <w:rPr>
          <w:vertAlign w:val="subscript"/>
        </w:rPr>
        <w:t>score</w:t>
      </w:r>
      <w:r>
        <w:rPr>
          <w:spacing w:val="-1"/>
          <w:vertAlign w:val="baseline"/>
        </w:rPr>
        <w:t> </w:t>
      </w:r>
      <w:r>
        <w:rPr>
          <w:vertAlign w:val="baseline"/>
        </w:rPr>
        <w:t>and</w:t>
      </w:r>
      <w:r>
        <w:rPr>
          <w:spacing w:val="-11"/>
          <w:vertAlign w:val="baseline"/>
        </w:rPr>
        <w:t> </w:t>
      </w:r>
      <w:r>
        <w:rPr>
          <w:vertAlign w:val="baseline"/>
        </w:rPr>
        <w:t>MDP</w:t>
      </w:r>
      <w:r>
        <w:rPr>
          <w:vertAlign w:val="subscript"/>
        </w:rPr>
        <w:t>team</w:t>
      </w:r>
      <w:r>
        <w:rPr>
          <w:spacing w:val="-1"/>
          <w:vertAlign w:val="baseline"/>
        </w:rPr>
        <w:t> </w:t>
      </w:r>
      <w:r>
        <w:rPr>
          <w:vertAlign w:val="baseline"/>
        </w:rPr>
        <w:t>models. The</w:t>
      </w:r>
      <w:r>
        <w:rPr>
          <w:spacing w:val="-11"/>
          <w:vertAlign w:val="baseline"/>
        </w:rPr>
        <w:t> </w:t>
      </w:r>
      <w:r>
        <w:rPr>
          <w:vertAlign w:val="baseline"/>
        </w:rPr>
        <w:t>MDP</w:t>
      </w:r>
      <w:r>
        <w:rPr>
          <w:vertAlign w:val="subscript"/>
        </w:rPr>
        <w:t>nc</w:t>
      </w:r>
      <w:r>
        <w:rPr>
          <w:vertAlign w:val="baseline"/>
        </w:rPr>
        <w:t>, MDP</w:t>
      </w:r>
      <w:r>
        <w:rPr>
          <w:vertAlign w:val="subscript"/>
        </w:rPr>
        <w:t>period</w:t>
      </w:r>
      <w:r>
        <w:rPr>
          <w:spacing w:val="35"/>
          <w:vertAlign w:val="baseline"/>
        </w:rPr>
        <w:t> </w:t>
      </w:r>
      <w:r>
        <w:rPr>
          <w:vertAlign w:val="baseline"/>
        </w:rPr>
        <w:t>and MDP</w:t>
      </w:r>
      <w:r>
        <w:rPr>
          <w:vertAlign w:val="subscript"/>
        </w:rPr>
        <w:t>score</w:t>
      </w:r>
      <w:r>
        <w:rPr>
          <w:spacing w:val="35"/>
          <w:vertAlign w:val="baseline"/>
        </w:rPr>
        <w:t> </w:t>
      </w:r>
      <w:r>
        <w:rPr>
          <w:vertAlign w:val="baseline"/>
        </w:rPr>
        <w:t>models were used to evaluate player performances via action</w:t>
      </w:r>
      <w:r>
        <w:rPr>
          <w:spacing w:val="40"/>
          <w:vertAlign w:val="baseline"/>
        </w:rPr>
        <w:t> </w:t>
      </w:r>
      <w:r>
        <w:rPr>
          <w:vertAlign w:val="baseline"/>
        </w:rPr>
        <w:t>impact</w:t>
      </w:r>
      <w:r>
        <w:rPr>
          <w:spacing w:val="-8"/>
          <w:vertAlign w:val="baseline"/>
        </w:rPr>
        <w:t> </w:t>
      </w:r>
      <w:r>
        <w:rPr>
          <w:vertAlign w:val="baseline"/>
        </w:rPr>
        <w:t>ratings,</w:t>
      </w:r>
      <w:r>
        <w:rPr>
          <w:spacing w:val="-6"/>
          <w:vertAlign w:val="baseline"/>
        </w:rPr>
        <w:t> </w:t>
      </w:r>
      <w:r>
        <w:rPr>
          <w:vertAlign w:val="baseline"/>
        </w:rPr>
        <w:t>adapted</w:t>
      </w:r>
      <w:r>
        <w:rPr>
          <w:spacing w:val="-8"/>
          <w:vertAlign w:val="baseline"/>
        </w:rPr>
        <w:t> </w:t>
      </w:r>
      <w:r>
        <w:rPr>
          <w:vertAlign w:val="baseline"/>
        </w:rPr>
        <w:t>from</w:t>
      </w:r>
      <w:hyperlink w:history="true" w:anchor="_bookmark287">
        <w:r>
          <w:rPr>
            <w:color w:val="FF0000"/>
            <w:vertAlign w:val="baseline"/>
          </w:rPr>
          <w:t>Routley</w:t>
        </w:r>
        <w:r>
          <w:rPr>
            <w:color w:val="FF0000"/>
            <w:spacing w:val="-8"/>
            <w:vertAlign w:val="baseline"/>
          </w:rPr>
          <w:t> </w:t>
        </w:r>
        <w:r>
          <w:rPr>
            <w:color w:val="FF0000"/>
            <w:vertAlign w:val="baseline"/>
          </w:rPr>
          <w:t>and</w:t>
        </w:r>
        <w:r>
          <w:rPr>
            <w:color w:val="FF0000"/>
            <w:spacing w:val="-8"/>
            <w:vertAlign w:val="baseline"/>
          </w:rPr>
          <w:t> </w:t>
        </w:r>
        <w:r>
          <w:rPr>
            <w:color w:val="FF0000"/>
            <w:vertAlign w:val="baseline"/>
          </w:rPr>
          <w:t>Schulte</w:t>
        </w:r>
        <w:r>
          <w:rPr>
            <w:vertAlign w:val="baseline"/>
          </w:rPr>
          <w:t>(</w:t>
        </w:r>
      </w:hyperlink>
      <w:hyperlink w:history="true" w:anchor="_bookmark287">
        <w:r>
          <w:rPr>
            <w:color w:val="FF0000"/>
            <w:vertAlign w:val="baseline"/>
          </w:rPr>
          <w:t>2015</w:t>
        </w:r>
        <w:r>
          <w:rPr>
            <w:vertAlign w:val="baseline"/>
          </w:rPr>
          <w:t>),</w:t>
        </w:r>
      </w:hyperlink>
      <w:r>
        <w:rPr>
          <w:spacing w:val="-6"/>
          <w:vertAlign w:val="baseline"/>
        </w:rPr>
        <w:t> </w:t>
      </w:r>
      <w:r>
        <w:rPr>
          <w:vertAlign w:val="baseline"/>
        </w:rPr>
        <w:t>with</w:t>
      </w:r>
      <w:r>
        <w:rPr>
          <w:spacing w:val="-8"/>
          <w:vertAlign w:val="baseline"/>
        </w:rPr>
        <w:t> </w:t>
      </w:r>
      <w:r>
        <w:rPr>
          <w:vertAlign w:val="baseline"/>
        </w:rPr>
        <w:t>and</w:t>
      </w:r>
      <w:r>
        <w:rPr>
          <w:spacing w:val="-8"/>
          <w:vertAlign w:val="baseline"/>
        </w:rPr>
        <w:t> </w:t>
      </w:r>
      <w:r>
        <w:rPr>
          <w:vertAlign w:val="baseline"/>
        </w:rPr>
        <w:t>without</w:t>
      </w:r>
      <w:r>
        <w:rPr>
          <w:spacing w:val="-8"/>
          <w:vertAlign w:val="baseline"/>
        </w:rPr>
        <w:t> </w:t>
      </w:r>
      <w:r>
        <w:rPr>
          <w:vertAlign w:val="baseline"/>
        </w:rPr>
        <w:t>context</w:t>
      </w:r>
      <w:r>
        <w:rPr>
          <w:spacing w:val="-8"/>
          <w:vertAlign w:val="baseline"/>
        </w:rPr>
        <w:t> </w:t>
      </w:r>
      <w:r>
        <w:rPr>
          <w:vertAlign w:val="baseline"/>
        </w:rPr>
        <w:t>nodes. MDP</w:t>
      </w:r>
      <w:r>
        <w:rPr>
          <w:vertAlign w:val="subscript"/>
        </w:rPr>
        <w:t>team</w:t>
      </w:r>
      <w:r>
        <w:rPr>
          <w:vertAlign w:val="baseline"/>
        </w:rPr>
        <w:t> used context nodes to evaluate individual team attacking performances.</w:t>
      </w:r>
    </w:p>
    <w:p>
      <w:pPr>
        <w:pStyle w:val="BodyText"/>
        <w:spacing w:before="5"/>
        <w:rPr>
          <w:sz w:val="34"/>
        </w:rPr>
      </w:pPr>
    </w:p>
    <w:p>
      <w:pPr>
        <w:pStyle w:val="Heading3"/>
        <w:numPr>
          <w:ilvl w:val="2"/>
          <w:numId w:val="21"/>
        </w:numPr>
        <w:tabs>
          <w:tab w:pos="1471" w:val="left" w:leader="none"/>
          <w:tab w:pos="1472" w:val="left" w:leader="none"/>
        </w:tabs>
        <w:spacing w:line="240" w:lineRule="auto" w:before="0" w:after="0"/>
        <w:ind w:left="1471" w:right="0" w:hanging="862"/>
        <w:jc w:val="left"/>
      </w:pPr>
      <w:bookmarkStart w:name="4.3.1 Evaluation of Player Performances" w:id="194"/>
      <w:bookmarkEnd w:id="194"/>
      <w:r>
        <w:rPr>
          <w:b w:val="0"/>
        </w:rPr>
      </w:r>
      <w:bookmarkStart w:name="_bookmark111" w:id="195"/>
      <w:bookmarkEnd w:id="195"/>
      <w:r>
        <w:rPr/>
        <w:t>E</w:t>
      </w:r>
      <w:r>
        <w:rPr/>
        <w:t>valuation</w:t>
      </w:r>
      <w:r>
        <w:rPr>
          <w:spacing w:val="14"/>
        </w:rPr>
        <w:t> </w:t>
      </w:r>
      <w:r>
        <w:rPr/>
        <w:t>of</w:t>
      </w:r>
      <w:r>
        <w:rPr>
          <w:spacing w:val="14"/>
        </w:rPr>
        <w:t> </w:t>
      </w:r>
      <w:r>
        <w:rPr/>
        <w:t>Player</w:t>
      </w:r>
      <w:r>
        <w:rPr>
          <w:spacing w:val="15"/>
        </w:rPr>
        <w:t> </w:t>
      </w:r>
      <w:r>
        <w:rPr>
          <w:spacing w:val="-2"/>
        </w:rPr>
        <w:t>Performances</w:t>
      </w:r>
    </w:p>
    <w:p>
      <w:pPr>
        <w:pStyle w:val="BodyText"/>
        <w:spacing w:line="312" w:lineRule="auto" w:before="235"/>
        <w:ind w:left="610" w:right="389"/>
      </w:pPr>
      <w:r>
        <w:rPr/>
        <w:t>To evaluate player performances in rugby league, the MRP approach used in Chapter</w:t>
      </w:r>
      <w:r>
        <w:rPr>
          <w:color w:val="0000FF"/>
        </w:rPr>
        <w:t>3 </w:t>
      </w:r>
      <w:r>
        <w:rPr/>
        <w:t>was</w:t>
      </w:r>
      <w:r>
        <w:rPr>
          <w:spacing w:val="23"/>
        </w:rPr>
        <w:t> </w:t>
      </w:r>
      <w:r>
        <w:rPr/>
        <w:t>extended</w:t>
      </w:r>
      <w:r>
        <w:rPr>
          <w:spacing w:val="23"/>
        </w:rPr>
        <w:t> </w:t>
      </w:r>
      <w:r>
        <w:rPr/>
        <w:t>to</w:t>
      </w:r>
      <w:r>
        <w:rPr>
          <w:spacing w:val="23"/>
        </w:rPr>
        <w:t> </w:t>
      </w:r>
      <w:r>
        <w:rPr/>
        <w:t>form</w:t>
      </w:r>
      <w:r>
        <w:rPr>
          <w:spacing w:val="23"/>
        </w:rPr>
        <w:t> </w:t>
      </w:r>
      <w:r>
        <w:rPr/>
        <w:t>an</w:t>
      </w:r>
      <w:r>
        <w:rPr>
          <w:spacing w:val="23"/>
        </w:rPr>
        <w:t> </w:t>
      </w:r>
      <w:r>
        <w:rPr/>
        <w:t>MDP</w:t>
      </w:r>
      <w:r>
        <w:rPr>
          <w:spacing w:val="23"/>
        </w:rPr>
        <w:t> </w:t>
      </w:r>
      <w:r>
        <w:rPr/>
        <w:t>framework.</w:t>
      </w:r>
      <w:r>
        <w:rPr>
          <w:spacing w:val="80"/>
        </w:rPr>
        <w:t> </w:t>
      </w:r>
      <w:r>
        <w:rPr/>
        <w:t>Three</w:t>
      </w:r>
      <w:r>
        <w:rPr>
          <w:spacing w:val="23"/>
        </w:rPr>
        <w:t> </w:t>
      </w:r>
      <w:r>
        <w:rPr/>
        <w:t>MDPs</w:t>
      </w:r>
      <w:r>
        <w:rPr>
          <w:spacing w:val="23"/>
        </w:rPr>
        <w:t> </w:t>
      </w:r>
      <w:r>
        <w:rPr/>
        <w:t>were</w:t>
      </w:r>
      <w:r>
        <w:rPr>
          <w:spacing w:val="23"/>
        </w:rPr>
        <w:t> </w:t>
      </w:r>
      <w:r>
        <w:rPr/>
        <w:t>produced:</w:t>
      </w:r>
      <w:r>
        <w:rPr>
          <w:spacing w:val="40"/>
        </w:rPr>
        <w:t> </w:t>
      </w:r>
      <w:r>
        <w:rPr/>
        <w:t>MDP</w:t>
      </w:r>
      <w:r>
        <w:rPr>
          <w:vertAlign w:val="subscript"/>
        </w:rPr>
        <w:t>nc</w:t>
      </w:r>
      <w:r>
        <w:rPr>
          <w:spacing w:val="33"/>
          <w:vertAlign w:val="baseline"/>
        </w:rPr>
        <w:t> </w:t>
      </w:r>
      <w:r>
        <w:rPr>
          <w:vertAlign w:val="baseline"/>
        </w:rPr>
        <w:t>(no context</w:t>
      </w:r>
      <w:r>
        <w:rPr>
          <w:spacing w:val="30"/>
          <w:vertAlign w:val="baseline"/>
        </w:rPr>
        <w:t> </w:t>
      </w:r>
      <w:r>
        <w:rPr>
          <w:vertAlign w:val="baseline"/>
        </w:rPr>
        <w:t>nodes),</w:t>
      </w:r>
      <w:r>
        <w:rPr>
          <w:spacing w:val="38"/>
          <w:vertAlign w:val="baseline"/>
        </w:rPr>
        <w:t> </w:t>
      </w:r>
      <w:r>
        <w:rPr>
          <w:vertAlign w:val="baseline"/>
        </w:rPr>
        <w:t>MDP</w:t>
      </w:r>
      <w:r>
        <w:rPr>
          <w:vertAlign w:val="subscript"/>
        </w:rPr>
        <w:t>period</w:t>
      </w:r>
      <w:r>
        <w:rPr>
          <w:spacing w:val="39"/>
          <w:vertAlign w:val="baseline"/>
        </w:rPr>
        <w:t> </w:t>
      </w:r>
      <w:r>
        <w:rPr>
          <w:vertAlign w:val="baseline"/>
        </w:rPr>
        <w:t>(period</w:t>
      </w:r>
      <w:r>
        <w:rPr>
          <w:spacing w:val="30"/>
          <w:vertAlign w:val="baseline"/>
        </w:rPr>
        <w:t> </w:t>
      </w:r>
      <w:r>
        <w:rPr>
          <w:vertAlign w:val="baseline"/>
        </w:rPr>
        <w:t>as</w:t>
      </w:r>
      <w:r>
        <w:rPr>
          <w:spacing w:val="30"/>
          <w:vertAlign w:val="baseline"/>
        </w:rPr>
        <w:t> </w:t>
      </w:r>
      <w:r>
        <w:rPr>
          <w:vertAlign w:val="baseline"/>
        </w:rPr>
        <w:t>a</w:t>
      </w:r>
      <w:r>
        <w:rPr>
          <w:spacing w:val="30"/>
          <w:vertAlign w:val="baseline"/>
        </w:rPr>
        <w:t> </w:t>
      </w:r>
      <w:r>
        <w:rPr>
          <w:vertAlign w:val="baseline"/>
        </w:rPr>
        <w:t>context</w:t>
      </w:r>
      <w:r>
        <w:rPr>
          <w:spacing w:val="30"/>
          <w:vertAlign w:val="baseline"/>
        </w:rPr>
        <w:t> </w:t>
      </w:r>
      <w:r>
        <w:rPr>
          <w:vertAlign w:val="baseline"/>
        </w:rPr>
        <w:t>node)</w:t>
      </w:r>
      <w:r>
        <w:rPr>
          <w:spacing w:val="30"/>
          <w:vertAlign w:val="baseline"/>
        </w:rPr>
        <w:t> </w:t>
      </w:r>
      <w:r>
        <w:rPr>
          <w:vertAlign w:val="baseline"/>
        </w:rPr>
        <w:t>and</w:t>
      </w:r>
      <w:r>
        <w:rPr>
          <w:spacing w:val="30"/>
          <w:vertAlign w:val="baseline"/>
        </w:rPr>
        <w:t> </w:t>
      </w:r>
      <w:r>
        <w:rPr>
          <w:vertAlign w:val="baseline"/>
        </w:rPr>
        <w:t>MDP</w:t>
      </w:r>
      <w:r>
        <w:rPr>
          <w:vertAlign w:val="subscript"/>
        </w:rPr>
        <w:t>score</w:t>
      </w:r>
      <w:r>
        <w:rPr>
          <w:spacing w:val="39"/>
          <w:vertAlign w:val="baseline"/>
        </w:rPr>
        <w:t> </w:t>
      </w:r>
      <w:r>
        <w:rPr>
          <w:vertAlign w:val="baseline"/>
        </w:rPr>
        <w:t>(match</w:t>
      </w:r>
      <w:r>
        <w:rPr>
          <w:spacing w:val="30"/>
          <w:vertAlign w:val="baseline"/>
        </w:rPr>
        <w:t> </w:t>
      </w:r>
      <w:r>
        <w:rPr>
          <w:vertAlign w:val="baseline"/>
        </w:rPr>
        <w:t>score</w:t>
      </w:r>
      <w:r>
        <w:rPr>
          <w:spacing w:val="30"/>
          <w:vertAlign w:val="baseline"/>
        </w:rPr>
        <w:t> </w:t>
      </w:r>
      <w:r>
        <w:rPr>
          <w:vertAlign w:val="baseline"/>
        </w:rPr>
        <w:t>as</w:t>
      </w:r>
      <w:r>
        <w:rPr>
          <w:spacing w:val="30"/>
          <w:vertAlign w:val="baseline"/>
        </w:rPr>
        <w:t> </w:t>
      </w:r>
      <w:r>
        <w:rPr>
          <w:vertAlign w:val="baseline"/>
        </w:rPr>
        <w:t>a context node).</w:t>
      </w:r>
      <w:r>
        <w:rPr>
          <w:spacing w:val="38"/>
          <w:vertAlign w:val="baseline"/>
        </w:rPr>
        <w:t> </w:t>
      </w:r>
      <w:r>
        <w:rPr>
          <w:vertAlign w:val="baseline"/>
        </w:rPr>
        <w:t>Figure</w:t>
      </w:r>
      <w:hyperlink w:history="true" w:anchor="_bookmark112">
        <w:r>
          <w:rPr>
            <w:color w:val="0000FF"/>
            <w:vertAlign w:val="baseline"/>
          </w:rPr>
          <w:t>4.3</w:t>
        </w:r>
      </w:hyperlink>
      <w:r>
        <w:rPr>
          <w:vertAlign w:val="baseline"/>
        </w:rPr>
        <w:t>depicts the variation in action values for each action across all states</w:t>
      </w:r>
      <w:r>
        <w:rPr>
          <w:spacing w:val="-15"/>
          <w:vertAlign w:val="baseline"/>
        </w:rPr>
        <w:t> </w:t>
      </w:r>
      <w:r>
        <w:rPr>
          <w:vertAlign w:val="baseline"/>
        </w:rPr>
        <w:t>and</w:t>
      </w:r>
      <w:r>
        <w:rPr>
          <w:spacing w:val="-15"/>
          <w:vertAlign w:val="baseline"/>
        </w:rPr>
        <w:t> </w:t>
      </w:r>
      <w:r>
        <w:rPr>
          <w:vertAlign w:val="baseline"/>
        </w:rPr>
        <w:t>contexts,</w:t>
      </w:r>
      <w:r>
        <w:rPr>
          <w:spacing w:val="-15"/>
          <w:vertAlign w:val="baseline"/>
        </w:rPr>
        <w:t> </w:t>
      </w:r>
      <w:r>
        <w:rPr>
          <w:vertAlign w:val="baseline"/>
        </w:rPr>
        <w:t>including</w:t>
      </w:r>
      <w:r>
        <w:rPr>
          <w:spacing w:val="-15"/>
          <w:vertAlign w:val="baseline"/>
        </w:rPr>
        <w:t> </w:t>
      </w:r>
      <w:r>
        <w:rPr>
          <w:vertAlign w:val="baseline"/>
        </w:rPr>
        <w:t>outlying</w:t>
      </w:r>
      <w:r>
        <w:rPr>
          <w:spacing w:val="-15"/>
          <w:vertAlign w:val="baseline"/>
        </w:rPr>
        <w:t> </w:t>
      </w:r>
      <w:r>
        <w:rPr>
          <w:vertAlign w:val="baseline"/>
        </w:rPr>
        <w:t>values</w:t>
      </w:r>
      <w:r>
        <w:rPr>
          <w:spacing w:val="-15"/>
          <w:vertAlign w:val="baseline"/>
        </w:rPr>
        <w:t> </w:t>
      </w:r>
      <w:r>
        <w:rPr>
          <w:vertAlign w:val="baseline"/>
        </w:rPr>
        <w:t>(i.e.</w:t>
      </w:r>
      <w:r>
        <w:rPr>
          <w:spacing w:val="-11"/>
          <w:vertAlign w:val="baseline"/>
        </w:rPr>
        <w:t> </w:t>
      </w:r>
      <w:r>
        <w:rPr>
          <w:vertAlign w:val="baseline"/>
        </w:rPr>
        <w:t>those</w:t>
      </w:r>
      <w:r>
        <w:rPr>
          <w:spacing w:val="-15"/>
          <w:vertAlign w:val="baseline"/>
        </w:rPr>
        <w:t> </w:t>
      </w:r>
      <w:r>
        <w:rPr>
          <w:vertAlign w:val="baseline"/>
        </w:rPr>
        <w:t>more</w:t>
      </w:r>
      <w:r>
        <w:rPr>
          <w:spacing w:val="-15"/>
          <w:vertAlign w:val="baseline"/>
        </w:rPr>
        <w:t> </w:t>
      </w:r>
      <w:r>
        <w:rPr>
          <w:vertAlign w:val="baseline"/>
        </w:rPr>
        <w:t>than</w:t>
      </w:r>
      <w:r>
        <w:rPr>
          <w:spacing w:val="-15"/>
          <w:vertAlign w:val="baseline"/>
        </w:rPr>
        <w:t> </w:t>
      </w:r>
      <w:r>
        <w:rPr>
          <w:vertAlign w:val="baseline"/>
        </w:rPr>
        <w:t>1.5*interquartile</w:t>
      </w:r>
      <w:r>
        <w:rPr>
          <w:spacing w:val="-15"/>
          <w:vertAlign w:val="baseline"/>
        </w:rPr>
        <w:t> </w:t>
      </w:r>
      <w:r>
        <w:rPr>
          <w:vertAlign w:val="baseline"/>
        </w:rPr>
        <w:t>range beyond</w:t>
      </w:r>
      <w:r>
        <w:rPr>
          <w:spacing w:val="-15"/>
          <w:vertAlign w:val="baseline"/>
        </w:rPr>
        <w:t> </w:t>
      </w:r>
      <w:r>
        <w:rPr>
          <w:vertAlign w:val="baseline"/>
        </w:rPr>
        <w:t>the</w:t>
      </w:r>
      <w:r>
        <w:rPr>
          <w:spacing w:val="-15"/>
          <w:vertAlign w:val="baseline"/>
        </w:rPr>
        <w:t> </w:t>
      </w:r>
      <w:r>
        <w:rPr>
          <w:vertAlign w:val="baseline"/>
        </w:rPr>
        <w:t>upper</w:t>
      </w:r>
      <w:r>
        <w:rPr>
          <w:spacing w:val="-15"/>
          <w:vertAlign w:val="baseline"/>
        </w:rPr>
        <w:t> </w:t>
      </w:r>
      <w:r>
        <w:rPr>
          <w:vertAlign w:val="baseline"/>
        </w:rPr>
        <w:t>quartile).</w:t>
      </w:r>
      <w:r>
        <w:rPr>
          <w:spacing w:val="-14"/>
          <w:vertAlign w:val="baseline"/>
        </w:rPr>
        <w:t> </w:t>
      </w:r>
      <w:r>
        <w:rPr>
          <w:vertAlign w:val="baseline"/>
        </w:rPr>
        <w:t>With</w:t>
      </w:r>
      <w:r>
        <w:rPr>
          <w:spacing w:val="-15"/>
          <w:vertAlign w:val="baseline"/>
        </w:rPr>
        <w:t> </w:t>
      </w:r>
      <w:r>
        <w:rPr>
          <w:vertAlign w:val="baseline"/>
        </w:rPr>
        <w:t>the</w:t>
      </w:r>
      <w:r>
        <w:rPr>
          <w:spacing w:val="-15"/>
          <w:vertAlign w:val="baseline"/>
        </w:rPr>
        <w:t> </w:t>
      </w:r>
      <w:r>
        <w:rPr>
          <w:vertAlign w:val="baseline"/>
        </w:rPr>
        <w:t>exception</w:t>
      </w:r>
      <w:r>
        <w:rPr>
          <w:spacing w:val="-15"/>
          <w:vertAlign w:val="baseline"/>
        </w:rPr>
        <w:t> </w:t>
      </w:r>
      <w:r>
        <w:rPr>
          <w:vertAlign w:val="baseline"/>
        </w:rPr>
        <w:t>of</w:t>
      </w:r>
      <w:r>
        <w:rPr>
          <w:spacing w:val="-15"/>
          <w:vertAlign w:val="baseline"/>
        </w:rPr>
        <w:t> </w:t>
      </w:r>
      <w:r>
        <w:rPr>
          <w:vertAlign w:val="baseline"/>
        </w:rPr>
        <w:t>the</w:t>
      </w:r>
      <w:r>
        <w:rPr>
          <w:spacing w:val="-15"/>
          <w:vertAlign w:val="baseline"/>
        </w:rPr>
        <w:t> </w:t>
      </w:r>
      <w:r>
        <w:rPr>
          <w:vertAlign w:val="baseline"/>
        </w:rPr>
        <w:t>play-the-ball</w:t>
      </w:r>
      <w:r>
        <w:rPr>
          <w:spacing w:val="-15"/>
          <w:vertAlign w:val="baseline"/>
        </w:rPr>
        <w:t> </w:t>
      </w:r>
      <w:r>
        <w:rPr>
          <w:vertAlign w:val="baseline"/>
        </w:rPr>
        <w:t>(PTB)</w:t>
      </w:r>
      <w:r>
        <w:rPr>
          <w:spacing w:val="-15"/>
          <w:vertAlign w:val="baseline"/>
        </w:rPr>
        <w:t> </w:t>
      </w:r>
      <w:r>
        <w:rPr>
          <w:vertAlign w:val="baseline"/>
        </w:rPr>
        <w:t>outlier</w:t>
      </w:r>
      <w:r>
        <w:rPr>
          <w:spacing w:val="-15"/>
          <w:vertAlign w:val="baseline"/>
        </w:rPr>
        <w:t> </w:t>
      </w:r>
      <w:r>
        <w:rPr>
          <w:vertAlign w:val="baseline"/>
        </w:rPr>
        <w:t>in</w:t>
      </w:r>
      <w:r>
        <w:rPr>
          <w:spacing w:val="-15"/>
          <w:vertAlign w:val="baseline"/>
        </w:rPr>
        <w:t> </w:t>
      </w:r>
      <w:r>
        <w:rPr>
          <w:vertAlign w:val="baseline"/>
        </w:rPr>
        <w:t>Figure </w:t>
      </w:r>
      <w:hyperlink w:history="true" w:anchor="_bookmark112">
        <w:r>
          <w:rPr>
            <w:color w:val="0000FF"/>
            <w:vertAlign w:val="baseline"/>
          </w:rPr>
          <w:t>4.3</w:t>
        </w:r>
      </w:hyperlink>
      <w:r>
        <w:rPr>
          <w:vertAlign w:val="baseline"/>
        </w:rPr>
        <w:t>B, all outlying state, action pairs were visited on less than 100 occasions, </w:t>
      </w:r>
      <w:r>
        <w:rPr>
          <w:vertAlign w:val="baseline"/>
        </w:rPr>
        <w:t>indicating that the models may not have fully converged with the limited dataset available.</w:t>
      </w:r>
    </w:p>
    <w:p>
      <w:pPr>
        <w:pStyle w:val="BodyText"/>
        <w:spacing w:line="312" w:lineRule="auto"/>
        <w:ind w:left="610" w:right="389" w:firstLine="351"/>
      </w:pPr>
      <w:r>
        <w:rPr/>
        <w:t>It is clear from comparing the box plots in Figure</w:t>
      </w:r>
      <w:hyperlink w:history="true" w:anchor="_bookmark112">
        <w:r>
          <w:rPr>
            <w:color w:val="0000FF"/>
          </w:rPr>
          <w:t>4.3</w:t>
        </w:r>
      </w:hyperlink>
      <w:r>
        <w:rPr/>
        <w:t>that goal kicks are generally</w:t>
      </w:r>
      <w:r>
        <w:rPr>
          <w:spacing w:val="40"/>
        </w:rPr>
        <w:t> </w:t>
      </w:r>
      <w:r>
        <w:rPr/>
        <w:t>much</w:t>
      </w:r>
      <w:r>
        <w:rPr>
          <w:spacing w:val="-2"/>
        </w:rPr>
        <w:t> </w:t>
      </w:r>
      <w:r>
        <w:rPr/>
        <w:t>more</w:t>
      </w:r>
      <w:r>
        <w:rPr>
          <w:spacing w:val="-2"/>
        </w:rPr>
        <w:t> </w:t>
      </w:r>
      <w:r>
        <w:rPr/>
        <w:t>valuable</w:t>
      </w:r>
      <w:r>
        <w:rPr>
          <w:spacing w:val="-2"/>
        </w:rPr>
        <w:t> </w:t>
      </w:r>
      <w:r>
        <w:rPr/>
        <w:t>than</w:t>
      </w:r>
      <w:r>
        <w:rPr>
          <w:spacing w:val="-2"/>
        </w:rPr>
        <w:t> </w:t>
      </w:r>
      <w:r>
        <w:rPr/>
        <w:t>any</w:t>
      </w:r>
      <w:r>
        <w:rPr>
          <w:spacing w:val="-2"/>
        </w:rPr>
        <w:t> </w:t>
      </w:r>
      <w:r>
        <w:rPr/>
        <w:t>other</w:t>
      </w:r>
      <w:r>
        <w:rPr>
          <w:spacing w:val="-2"/>
        </w:rPr>
        <w:t> </w:t>
      </w:r>
      <w:r>
        <w:rPr/>
        <w:t>action. This</w:t>
      </w:r>
      <w:r>
        <w:rPr>
          <w:spacing w:val="-2"/>
        </w:rPr>
        <w:t> </w:t>
      </w:r>
      <w:r>
        <w:rPr/>
        <w:t>is</w:t>
      </w:r>
      <w:r>
        <w:rPr>
          <w:spacing w:val="-2"/>
        </w:rPr>
        <w:t> </w:t>
      </w:r>
      <w:r>
        <w:rPr/>
        <w:t>not</w:t>
      </w:r>
      <w:r>
        <w:rPr>
          <w:spacing w:val="-2"/>
        </w:rPr>
        <w:t> </w:t>
      </w:r>
      <w:r>
        <w:rPr/>
        <w:t>surprising</w:t>
      </w:r>
      <w:r>
        <w:rPr>
          <w:spacing w:val="-2"/>
        </w:rPr>
        <w:t> </w:t>
      </w:r>
      <w:r>
        <w:rPr/>
        <w:t>as</w:t>
      </w:r>
      <w:r>
        <w:rPr>
          <w:spacing w:val="-2"/>
        </w:rPr>
        <w:t> </w:t>
      </w:r>
      <w:r>
        <w:rPr/>
        <w:t>a</w:t>
      </w:r>
      <w:r>
        <w:rPr>
          <w:spacing w:val="-2"/>
        </w:rPr>
        <w:t> </w:t>
      </w:r>
      <w:r>
        <w:rPr/>
        <w:t>goal</w:t>
      </w:r>
      <w:r>
        <w:rPr>
          <w:spacing w:val="-2"/>
        </w:rPr>
        <w:t> </w:t>
      </w:r>
      <w:r>
        <w:rPr/>
        <w:t>kick</w:t>
      </w:r>
      <w:r>
        <w:rPr>
          <w:spacing w:val="-2"/>
        </w:rPr>
        <w:t> </w:t>
      </w:r>
      <w:r>
        <w:rPr/>
        <w:t>is</w:t>
      </w:r>
      <w:r>
        <w:rPr>
          <w:spacing w:val="-2"/>
        </w:rPr>
        <w:t> </w:t>
      </w:r>
      <w:r>
        <w:rPr/>
        <w:t>almost always</w:t>
      </w:r>
      <w:r>
        <w:rPr>
          <w:spacing w:val="-14"/>
        </w:rPr>
        <w:t> </w:t>
      </w:r>
      <w:r>
        <w:rPr/>
        <w:t>the</w:t>
      </w:r>
      <w:r>
        <w:rPr>
          <w:spacing w:val="-14"/>
        </w:rPr>
        <w:t> </w:t>
      </w:r>
      <w:r>
        <w:rPr/>
        <w:t>last</w:t>
      </w:r>
      <w:r>
        <w:rPr>
          <w:spacing w:val="-14"/>
        </w:rPr>
        <w:t> </w:t>
      </w:r>
      <w:r>
        <w:rPr/>
        <w:t>action</w:t>
      </w:r>
      <w:r>
        <w:rPr>
          <w:spacing w:val="-14"/>
        </w:rPr>
        <w:t> </w:t>
      </w:r>
      <w:r>
        <w:rPr/>
        <w:t>of</w:t>
      </w:r>
      <w:r>
        <w:rPr>
          <w:spacing w:val="-14"/>
        </w:rPr>
        <w:t> </w:t>
      </w:r>
      <w:r>
        <w:rPr/>
        <w:t>a</w:t>
      </w:r>
      <w:r>
        <w:rPr>
          <w:spacing w:val="-14"/>
        </w:rPr>
        <w:t> </w:t>
      </w:r>
      <w:r>
        <w:rPr/>
        <w:t>possession,</w:t>
      </w:r>
      <w:r>
        <w:rPr>
          <w:spacing w:val="-12"/>
        </w:rPr>
        <w:t> </w:t>
      </w:r>
      <w:r>
        <w:rPr/>
        <w:t>whereas</w:t>
      </w:r>
      <w:r>
        <w:rPr>
          <w:spacing w:val="-14"/>
        </w:rPr>
        <w:t> </w:t>
      </w:r>
      <w:r>
        <w:rPr/>
        <w:t>catches,</w:t>
      </w:r>
      <w:r>
        <w:rPr>
          <w:spacing w:val="-12"/>
        </w:rPr>
        <w:t> </w:t>
      </w:r>
      <w:r>
        <w:rPr/>
        <w:t>passes</w:t>
      </w:r>
      <w:r>
        <w:rPr>
          <w:spacing w:val="-14"/>
        </w:rPr>
        <w:t> </w:t>
      </w:r>
      <w:r>
        <w:rPr/>
        <w:t>and</w:t>
      </w:r>
      <w:r>
        <w:rPr>
          <w:spacing w:val="-14"/>
        </w:rPr>
        <w:t> </w:t>
      </w:r>
      <w:r>
        <w:rPr/>
        <w:t>runs</w:t>
      </w:r>
      <w:r>
        <w:rPr>
          <w:spacing w:val="-14"/>
        </w:rPr>
        <w:t> </w:t>
      </w:r>
      <w:r>
        <w:rPr/>
        <w:t>happen</w:t>
      </w:r>
      <w:r>
        <w:rPr>
          <w:spacing w:val="-14"/>
        </w:rPr>
        <w:t> </w:t>
      </w:r>
      <w:r>
        <w:rPr/>
        <w:t>on</w:t>
      </w:r>
      <w:r>
        <w:rPr>
          <w:spacing w:val="-14"/>
        </w:rPr>
        <w:t> </w:t>
      </w:r>
      <w:r>
        <w:rPr/>
        <w:t>a</w:t>
      </w:r>
      <w:r>
        <w:rPr>
          <w:spacing w:val="-14"/>
        </w:rPr>
        <w:t> </w:t>
      </w:r>
      <w:r>
        <w:rPr/>
        <w:t>much more frequent basis within possessions and so are likely to receive less value when the rewards obtained are averaged out.</w:t>
      </w:r>
      <w:r>
        <w:rPr>
          <w:spacing w:val="40"/>
        </w:rPr>
        <w:t> </w:t>
      </w:r>
      <w:r>
        <w:rPr/>
        <w:t>However, the greater value provided by goal kicks relative to other actions could skew the player ratings unfairly in favour of the limited</w:t>
      </w:r>
      <w:r>
        <w:rPr>
          <w:spacing w:val="40"/>
        </w:rPr>
        <w:t> </w:t>
      </w:r>
      <w:r>
        <w:rPr/>
        <w:t>number of players who kick at goal.</w:t>
      </w:r>
      <w:r>
        <w:rPr>
          <w:spacing w:val="40"/>
        </w:rPr>
        <w:t> </w:t>
      </w:r>
      <w:r>
        <w:rPr/>
        <w:t>Therefore, two separate action impact ratings are</w:t>
      </w:r>
      <w:r>
        <w:rPr>
          <w:spacing w:val="40"/>
        </w:rPr>
        <w:t> </w:t>
      </w:r>
      <w:r>
        <w:rPr/>
        <w:t>calculated: one including goal kicks and one removing them.</w:t>
      </w:r>
    </w:p>
    <w:p>
      <w:pPr>
        <w:spacing w:after="0" w:line="312" w:lineRule="auto"/>
        <w:sectPr>
          <w:headerReference w:type="default" r:id="rId90"/>
          <w:footerReference w:type="default" r:id="rId91"/>
          <w:pgSz w:w="11910" w:h="16840"/>
          <w:pgMar w:header="1961" w:footer="1428" w:top="2280" w:bottom="1620" w:left="1680" w:right="720"/>
        </w:sectPr>
      </w:pPr>
    </w:p>
    <w:p>
      <w:pPr>
        <w:pStyle w:val="BodyText"/>
        <w:rPr>
          <w:sz w:val="20"/>
        </w:rPr>
      </w:pPr>
    </w:p>
    <w:p>
      <w:pPr>
        <w:pStyle w:val="BodyText"/>
        <w:rPr>
          <w:sz w:val="20"/>
        </w:rPr>
      </w:pPr>
    </w:p>
    <w:p>
      <w:pPr>
        <w:pStyle w:val="BodyText"/>
        <w:spacing w:before="10"/>
        <w:rPr>
          <w:sz w:val="18"/>
        </w:rPr>
      </w:pPr>
    </w:p>
    <w:p>
      <w:pPr>
        <w:pStyle w:val="BodyText"/>
        <w:ind w:left="1385"/>
        <w:rPr>
          <w:sz w:val="20"/>
        </w:rPr>
      </w:pPr>
      <w:r>
        <w:rPr>
          <w:sz w:val="20"/>
        </w:rPr>
        <w:drawing>
          <wp:inline distT="0" distB="0" distL="0" distR="0">
            <wp:extent cx="4430267" cy="2877502"/>
            <wp:effectExtent l="0" t="0" r="0" b="0"/>
            <wp:docPr id="59" name="image30.png"/>
            <wp:cNvGraphicFramePr>
              <a:graphicFrameLocks noChangeAspect="1"/>
            </wp:cNvGraphicFramePr>
            <a:graphic>
              <a:graphicData uri="http://schemas.openxmlformats.org/drawingml/2006/picture">
                <pic:pic>
                  <pic:nvPicPr>
                    <pic:cNvPr id="60" name="image30.png"/>
                    <pic:cNvPicPr/>
                  </pic:nvPicPr>
                  <pic:blipFill>
                    <a:blip r:embed="rId92" cstate="print"/>
                    <a:stretch>
                      <a:fillRect/>
                    </a:stretch>
                  </pic:blipFill>
                  <pic:spPr>
                    <a:xfrm>
                      <a:off x="0" y="0"/>
                      <a:ext cx="4430267" cy="2877502"/>
                    </a:xfrm>
                    <a:prstGeom prst="rect">
                      <a:avLst/>
                    </a:prstGeom>
                  </pic:spPr>
                </pic:pic>
              </a:graphicData>
            </a:graphic>
          </wp:inline>
        </w:drawing>
      </w:r>
      <w:r>
        <w:rPr>
          <w:sz w:val="20"/>
        </w:rPr>
      </w:r>
    </w:p>
    <w:p>
      <w:pPr>
        <w:pStyle w:val="BodyText"/>
        <w:spacing w:before="8"/>
        <w:rPr>
          <w:sz w:val="19"/>
        </w:rPr>
      </w:pPr>
    </w:p>
    <w:p>
      <w:pPr>
        <w:pStyle w:val="BodyText"/>
        <w:spacing w:line="252" w:lineRule="auto" w:before="106"/>
        <w:ind w:left="610" w:right="389"/>
        <w:jc w:val="both"/>
      </w:pPr>
      <w:bookmarkStart w:name="_bookmark112" w:id="196"/>
      <w:bookmarkEnd w:id="196"/>
      <w:r>
        <w:rPr/>
      </w:r>
      <w:r>
        <w:rPr>
          <w:b/>
        </w:rPr>
        <w:t>Figure</w:t>
      </w:r>
      <w:r>
        <w:rPr>
          <w:b/>
          <w:spacing w:val="-15"/>
        </w:rPr>
        <w:t> </w:t>
      </w:r>
      <w:r>
        <w:rPr>
          <w:b/>
        </w:rPr>
        <w:t>4.3:</w:t>
      </w:r>
      <w:r>
        <w:rPr>
          <w:b/>
          <w:spacing w:val="-15"/>
        </w:rPr>
        <w:t> </w:t>
      </w:r>
      <w:r>
        <w:rPr/>
        <w:t>Boxplot</w:t>
      </w:r>
      <w:r>
        <w:rPr>
          <w:spacing w:val="-15"/>
        </w:rPr>
        <w:t> </w:t>
      </w:r>
      <w:r>
        <w:rPr/>
        <w:t>showing</w:t>
      </w:r>
      <w:r>
        <w:rPr>
          <w:spacing w:val="-15"/>
        </w:rPr>
        <w:t> </w:t>
      </w:r>
      <w:r>
        <w:rPr/>
        <w:t>variation</w:t>
      </w:r>
      <w:r>
        <w:rPr>
          <w:spacing w:val="-15"/>
        </w:rPr>
        <w:t> </w:t>
      </w:r>
      <w:r>
        <w:rPr/>
        <w:t>in</w:t>
      </w:r>
      <w:r>
        <w:rPr>
          <w:spacing w:val="-15"/>
        </w:rPr>
        <w:t> </w:t>
      </w:r>
      <w:r>
        <w:rPr/>
        <w:t>action</w:t>
      </w:r>
      <w:r>
        <w:rPr>
          <w:spacing w:val="-15"/>
        </w:rPr>
        <w:t> </w:t>
      </w:r>
      <w:r>
        <w:rPr/>
        <w:t>values</w:t>
      </w:r>
      <w:r>
        <w:rPr>
          <w:spacing w:val="-15"/>
        </w:rPr>
        <w:t> </w:t>
      </w:r>
      <w:r>
        <w:rPr/>
        <w:t>for</w:t>
      </w:r>
      <w:r>
        <w:rPr>
          <w:spacing w:val="-15"/>
        </w:rPr>
        <w:t> </w:t>
      </w:r>
      <w:r>
        <w:rPr/>
        <w:t>each</w:t>
      </w:r>
      <w:r>
        <w:rPr>
          <w:spacing w:val="-15"/>
        </w:rPr>
        <w:t> </w:t>
      </w:r>
      <w:r>
        <w:rPr/>
        <w:t>action</w:t>
      </w:r>
      <w:r>
        <w:rPr>
          <w:spacing w:val="-15"/>
        </w:rPr>
        <w:t> </w:t>
      </w:r>
      <w:r>
        <w:rPr/>
        <w:t>across</w:t>
      </w:r>
      <w:r>
        <w:rPr>
          <w:spacing w:val="-15"/>
        </w:rPr>
        <w:t> </w:t>
      </w:r>
      <w:r>
        <w:rPr/>
        <w:t>the</w:t>
      </w:r>
      <w:r>
        <w:rPr>
          <w:spacing w:val="-15"/>
        </w:rPr>
        <w:t> </w:t>
      </w:r>
      <w:r>
        <w:rPr/>
        <w:t>19</w:t>
      </w:r>
      <w:r>
        <w:rPr>
          <w:spacing w:val="-15"/>
        </w:rPr>
        <w:t> </w:t>
      </w:r>
      <w:r>
        <w:rPr/>
        <w:t>states with no context nodes included (A), period as context (B) and match score as context (C)).</w:t>
      </w:r>
      <w:r>
        <w:rPr>
          <w:spacing w:val="-2"/>
        </w:rPr>
        <w:t> </w:t>
      </w:r>
      <w:r>
        <w:rPr/>
        <w:t>Circles</w:t>
      </w:r>
      <w:r>
        <w:rPr>
          <w:spacing w:val="-2"/>
        </w:rPr>
        <w:t> </w:t>
      </w:r>
      <w:r>
        <w:rPr/>
        <w:t>depict</w:t>
      </w:r>
      <w:r>
        <w:rPr>
          <w:spacing w:val="-2"/>
        </w:rPr>
        <w:t> </w:t>
      </w:r>
      <w:r>
        <w:rPr/>
        <w:t>outliers,</w:t>
      </w:r>
      <w:r>
        <w:rPr>
          <w:spacing w:val="-1"/>
        </w:rPr>
        <w:t> </w:t>
      </w:r>
      <w:r>
        <w:rPr/>
        <w:t>calculated</w:t>
      </w:r>
      <w:r>
        <w:rPr>
          <w:spacing w:val="-2"/>
        </w:rPr>
        <w:t> </w:t>
      </w:r>
      <w:r>
        <w:rPr/>
        <w:t>as</w:t>
      </w:r>
      <w:r>
        <w:rPr>
          <w:spacing w:val="-2"/>
        </w:rPr>
        <w:t> </w:t>
      </w:r>
      <w:r>
        <w:rPr/>
        <w:t>those</w:t>
      </w:r>
      <w:r>
        <w:rPr>
          <w:spacing w:val="-2"/>
        </w:rPr>
        <w:t> </w:t>
      </w:r>
      <w:r>
        <w:rPr/>
        <w:t>values</w:t>
      </w:r>
      <w:r>
        <w:rPr>
          <w:spacing w:val="-2"/>
        </w:rPr>
        <w:t> </w:t>
      </w:r>
      <w:r>
        <w:rPr/>
        <w:t>more</w:t>
      </w:r>
      <w:r>
        <w:rPr>
          <w:spacing w:val="-2"/>
        </w:rPr>
        <w:t> </w:t>
      </w:r>
      <w:r>
        <w:rPr/>
        <w:t>than</w:t>
      </w:r>
      <w:r>
        <w:rPr>
          <w:spacing w:val="-2"/>
        </w:rPr>
        <w:t> </w:t>
      </w:r>
      <w:r>
        <w:rPr/>
        <w:t>1.5*interquartile</w:t>
      </w:r>
      <w:r>
        <w:rPr>
          <w:spacing w:val="-2"/>
        </w:rPr>
        <w:t> </w:t>
      </w:r>
      <w:r>
        <w:rPr/>
        <w:t>range beyond the upper quartile.</w:t>
      </w:r>
    </w:p>
    <w:p>
      <w:pPr>
        <w:pStyle w:val="BodyText"/>
        <w:rPr>
          <w:sz w:val="28"/>
        </w:rPr>
      </w:pPr>
    </w:p>
    <w:p>
      <w:pPr>
        <w:pStyle w:val="BodyText"/>
        <w:spacing w:before="1"/>
        <w:rPr>
          <w:sz w:val="32"/>
        </w:rPr>
      </w:pPr>
    </w:p>
    <w:p>
      <w:pPr>
        <w:pStyle w:val="Heading4"/>
        <w:numPr>
          <w:ilvl w:val="3"/>
          <w:numId w:val="21"/>
        </w:numPr>
        <w:tabs>
          <w:tab w:pos="1506" w:val="left" w:leader="none"/>
          <w:tab w:pos="1508" w:val="left" w:leader="none"/>
        </w:tabs>
        <w:spacing w:line="240" w:lineRule="auto" w:before="0" w:after="0"/>
        <w:ind w:left="1507" w:right="0" w:hanging="898"/>
        <w:jc w:val="left"/>
      </w:pPr>
      <w:bookmarkStart w:name="4.3.1.1 Action Impact Ratings" w:id="197"/>
      <w:bookmarkEnd w:id="197"/>
      <w:r>
        <w:rPr>
          <w:b w:val="0"/>
        </w:rPr>
      </w:r>
      <w:bookmarkStart w:name="_bookmark113" w:id="198"/>
      <w:bookmarkEnd w:id="198"/>
      <w:r>
        <w:rPr/>
        <w:t>Action</w:t>
      </w:r>
      <w:r>
        <w:rPr>
          <w:spacing w:val="-9"/>
        </w:rPr>
        <w:t> </w:t>
      </w:r>
      <w:r>
        <w:rPr/>
        <w:t>Impact</w:t>
      </w:r>
      <w:r>
        <w:rPr>
          <w:spacing w:val="-8"/>
        </w:rPr>
        <w:t> </w:t>
      </w:r>
      <w:r>
        <w:rPr>
          <w:spacing w:val="-2"/>
        </w:rPr>
        <w:t>Ratings</w:t>
      </w:r>
    </w:p>
    <w:p>
      <w:pPr>
        <w:pStyle w:val="BodyText"/>
        <w:spacing w:line="312" w:lineRule="auto" w:before="244"/>
        <w:ind w:left="610" w:right="389"/>
      </w:pPr>
      <w:r>
        <w:rPr/>
        <w:t>To</w:t>
      </w:r>
      <w:r>
        <w:rPr>
          <w:spacing w:val="-10"/>
        </w:rPr>
        <w:t> </w:t>
      </w:r>
      <w:r>
        <w:rPr/>
        <w:t>evaluate</w:t>
      </w:r>
      <w:r>
        <w:rPr>
          <w:spacing w:val="-10"/>
        </w:rPr>
        <w:t> </w:t>
      </w:r>
      <w:r>
        <w:rPr/>
        <w:t>player</w:t>
      </w:r>
      <w:r>
        <w:rPr>
          <w:spacing w:val="-10"/>
        </w:rPr>
        <w:t> </w:t>
      </w:r>
      <w:r>
        <w:rPr/>
        <w:t>performances,</w:t>
      </w:r>
      <w:r>
        <w:rPr>
          <w:spacing w:val="-9"/>
        </w:rPr>
        <w:t> </w:t>
      </w:r>
      <w:r>
        <w:rPr/>
        <w:t>action</w:t>
      </w:r>
      <w:r>
        <w:rPr>
          <w:spacing w:val="-10"/>
        </w:rPr>
        <w:t> </w:t>
      </w:r>
      <w:r>
        <w:rPr/>
        <w:t>impact</w:t>
      </w:r>
      <w:r>
        <w:rPr>
          <w:spacing w:val="-9"/>
        </w:rPr>
        <w:t> </w:t>
      </w:r>
      <w:r>
        <w:rPr/>
        <w:t>ratings</w:t>
      </w:r>
      <w:r>
        <w:rPr>
          <w:spacing w:val="-10"/>
        </w:rPr>
        <w:t> </w:t>
      </w:r>
      <w:r>
        <w:rPr/>
        <w:t>adapted</w:t>
      </w:r>
      <w:r>
        <w:rPr>
          <w:spacing w:val="-10"/>
        </w:rPr>
        <w:t> </w:t>
      </w:r>
      <w:r>
        <w:rPr/>
        <w:t>from</w:t>
      </w:r>
      <w:hyperlink w:history="true" w:anchor="_bookmark287">
        <w:r>
          <w:rPr>
            <w:color w:val="FF0000"/>
          </w:rPr>
          <w:t>Routley</w:t>
        </w:r>
        <w:r>
          <w:rPr>
            <w:color w:val="FF0000"/>
            <w:spacing w:val="-10"/>
          </w:rPr>
          <w:t> </w:t>
        </w:r>
        <w:r>
          <w:rPr>
            <w:color w:val="FF0000"/>
          </w:rPr>
          <w:t>and</w:t>
        </w:r>
        <w:r>
          <w:rPr>
            <w:color w:val="FF0000"/>
            <w:spacing w:val="-10"/>
          </w:rPr>
          <w:t> </w:t>
        </w:r>
        <w:r>
          <w:rPr>
            <w:color w:val="FF0000"/>
          </w:rPr>
          <w:t>Schulte</w:t>
        </w:r>
      </w:hyperlink>
      <w:r>
        <w:rPr>
          <w:color w:val="FF0000"/>
        </w:rPr>
        <w:t> </w:t>
      </w:r>
      <w:r>
        <w:rPr/>
        <w:t>(</w:t>
      </w:r>
      <w:hyperlink w:history="true" w:anchor="_bookmark287">
        <w:r>
          <w:rPr>
            <w:color w:val="FF0000"/>
          </w:rPr>
          <w:t>2015</w:t>
        </w:r>
      </w:hyperlink>
      <w:r>
        <w:rPr/>
        <w:t>) were used.</w:t>
      </w:r>
      <w:r>
        <w:rPr>
          <w:spacing w:val="80"/>
        </w:rPr>
        <w:t> </w:t>
      </w:r>
      <w:r>
        <w:rPr/>
        <w:t>These ratings were calculated using Equation</w:t>
      </w:r>
      <w:hyperlink w:history="true" w:anchor="_bookmark108">
        <w:r>
          <w:rPr>
            <w:color w:val="0000FF"/>
          </w:rPr>
          <w:t>4.3</w:t>
        </w:r>
      </w:hyperlink>
      <w:r>
        <w:rPr/>
        <w:t>and compare the</w:t>
      </w:r>
      <w:r>
        <w:rPr>
          <w:spacing w:val="40"/>
        </w:rPr>
        <w:t> </w:t>
      </w:r>
      <w:r>
        <w:rPr/>
        <w:t>value of the actions taken by a player to the weighted average of all possible actions </w:t>
      </w:r>
      <w:r>
        <w:rPr/>
        <w:t>in the state (i.e.</w:t>
      </w:r>
      <w:r>
        <w:rPr>
          <w:spacing w:val="40"/>
        </w:rPr>
        <w:t> </w:t>
      </w:r>
      <w:r>
        <w:rPr/>
        <w:t>the state value).</w:t>
      </w:r>
      <w:r>
        <w:rPr>
          <w:spacing w:val="40"/>
        </w:rPr>
        <w:t> </w:t>
      </w:r>
      <w:r>
        <w:rPr/>
        <w:t>Table</w:t>
      </w:r>
      <w:hyperlink w:history="true" w:anchor="_bookmark114">
        <w:r>
          <w:rPr>
            <w:color w:val="0000FF"/>
          </w:rPr>
          <w:t>4.3</w:t>
        </w:r>
      </w:hyperlink>
      <w:r>
        <w:rPr/>
        <w:t>provides the top 20 rated players in the Super League</w:t>
      </w:r>
      <w:r>
        <w:rPr>
          <w:spacing w:val="36"/>
        </w:rPr>
        <w:t> </w:t>
      </w:r>
      <w:r>
        <w:rPr/>
        <w:t>2020</w:t>
      </w:r>
      <w:r>
        <w:rPr>
          <w:spacing w:val="36"/>
        </w:rPr>
        <w:t> </w:t>
      </w:r>
      <w:r>
        <w:rPr/>
        <w:t>season</w:t>
      </w:r>
      <w:r>
        <w:rPr>
          <w:spacing w:val="36"/>
        </w:rPr>
        <w:t> </w:t>
      </w:r>
      <w:r>
        <w:rPr/>
        <w:t>as</w:t>
      </w:r>
      <w:r>
        <w:rPr>
          <w:spacing w:val="36"/>
        </w:rPr>
        <w:t> </w:t>
      </w:r>
      <w:r>
        <w:rPr/>
        <w:t>rated</w:t>
      </w:r>
      <w:r>
        <w:rPr>
          <w:spacing w:val="36"/>
        </w:rPr>
        <w:t> </w:t>
      </w:r>
      <w:r>
        <w:rPr/>
        <w:t>by</w:t>
      </w:r>
      <w:r>
        <w:rPr>
          <w:spacing w:val="36"/>
        </w:rPr>
        <w:t> </w:t>
      </w:r>
      <w:r>
        <w:rPr/>
        <w:t>MDP</w:t>
      </w:r>
      <w:r>
        <w:rPr>
          <w:vertAlign w:val="subscript"/>
        </w:rPr>
        <w:t>nc</w:t>
      </w:r>
      <w:r>
        <w:rPr>
          <w:spacing w:val="40"/>
          <w:vertAlign w:val="baseline"/>
        </w:rPr>
        <w:t> </w:t>
      </w:r>
      <w:r>
        <w:rPr>
          <w:vertAlign w:val="baseline"/>
        </w:rPr>
        <w:t>with</w:t>
      </w:r>
      <w:r>
        <w:rPr>
          <w:spacing w:val="36"/>
          <w:vertAlign w:val="baseline"/>
        </w:rPr>
        <w:t> </w:t>
      </w:r>
      <w:r>
        <w:rPr>
          <w:vertAlign w:val="baseline"/>
        </w:rPr>
        <w:t>goal</w:t>
      </w:r>
      <w:r>
        <w:rPr>
          <w:spacing w:val="36"/>
          <w:vertAlign w:val="baseline"/>
        </w:rPr>
        <w:t> </w:t>
      </w:r>
      <w:r>
        <w:rPr>
          <w:vertAlign w:val="baseline"/>
        </w:rPr>
        <w:t>kicks</w:t>
      </w:r>
      <w:r>
        <w:rPr>
          <w:spacing w:val="36"/>
          <w:vertAlign w:val="baseline"/>
        </w:rPr>
        <w:t> </w:t>
      </w:r>
      <w:r>
        <w:rPr>
          <w:vertAlign w:val="baseline"/>
        </w:rPr>
        <w:t>included.</w:t>
      </w:r>
      <w:r>
        <w:rPr>
          <w:spacing w:val="80"/>
          <w:vertAlign w:val="baseline"/>
        </w:rPr>
        <w:t> </w:t>
      </w:r>
      <w:r>
        <w:rPr>
          <w:vertAlign w:val="baseline"/>
        </w:rPr>
        <w:t>Table</w:t>
      </w:r>
      <w:hyperlink w:history="true" w:anchor="_bookmark117">
        <w:r>
          <w:rPr>
            <w:color w:val="0000FF"/>
            <w:vertAlign w:val="baseline"/>
          </w:rPr>
          <w:t>4.5</w:t>
        </w:r>
      </w:hyperlink>
      <w:r>
        <w:rPr>
          <w:vertAlign w:val="baseline"/>
        </w:rPr>
        <w:t>provides the ratings from the same model with goal kick actions excluded.</w:t>
      </w:r>
      <w:r>
        <w:rPr>
          <w:spacing w:val="40"/>
          <w:vertAlign w:val="baseline"/>
        </w:rPr>
        <w:t> </w:t>
      </w:r>
      <w:r>
        <w:rPr>
          <w:vertAlign w:val="baseline"/>
        </w:rPr>
        <w:t>Both tables provide</w:t>
      </w:r>
      <w:r>
        <w:rPr>
          <w:spacing w:val="40"/>
          <w:vertAlign w:val="baseline"/>
        </w:rPr>
        <w:t> </w:t>
      </w:r>
      <w:r>
        <w:rPr>
          <w:vertAlign w:val="baseline"/>
        </w:rPr>
        <w:t>statistics for tries, try assists, metres gained and goals scored as references for the data currently available to value players in rugby league.</w:t>
      </w:r>
    </w:p>
    <w:p>
      <w:pPr>
        <w:pStyle w:val="BodyText"/>
        <w:spacing w:line="312" w:lineRule="auto"/>
        <w:ind w:left="610" w:right="389" w:firstLine="351"/>
        <w:jc w:val="both"/>
      </w:pPr>
      <w:r>
        <w:rPr/>
        <w:t>The difference in players’ rankings in the rating tables when goal kicks are included or</w:t>
      </w:r>
      <w:r>
        <w:rPr>
          <w:spacing w:val="-3"/>
        </w:rPr>
        <w:t> </w:t>
      </w:r>
      <w:r>
        <w:rPr/>
        <w:t>removed</w:t>
      </w:r>
      <w:r>
        <w:rPr>
          <w:spacing w:val="-3"/>
        </w:rPr>
        <w:t> </w:t>
      </w:r>
      <w:r>
        <w:rPr/>
        <w:t>shows</w:t>
      </w:r>
      <w:r>
        <w:rPr>
          <w:spacing w:val="-3"/>
        </w:rPr>
        <w:t> </w:t>
      </w:r>
      <w:r>
        <w:rPr/>
        <w:t>the</w:t>
      </w:r>
      <w:r>
        <w:rPr>
          <w:spacing w:val="-3"/>
        </w:rPr>
        <w:t> </w:t>
      </w:r>
      <w:r>
        <w:rPr/>
        <w:t>disproportionate</w:t>
      </w:r>
      <w:r>
        <w:rPr>
          <w:spacing w:val="-3"/>
        </w:rPr>
        <w:t> </w:t>
      </w:r>
      <w:r>
        <w:rPr/>
        <w:t>impact</w:t>
      </w:r>
      <w:r>
        <w:rPr>
          <w:spacing w:val="-3"/>
        </w:rPr>
        <w:t> </w:t>
      </w:r>
      <w:r>
        <w:rPr/>
        <w:t>of</w:t>
      </w:r>
      <w:r>
        <w:rPr>
          <w:spacing w:val="-3"/>
        </w:rPr>
        <w:t> </w:t>
      </w:r>
      <w:r>
        <w:rPr/>
        <w:t>goal</w:t>
      </w:r>
      <w:r>
        <w:rPr>
          <w:spacing w:val="-3"/>
        </w:rPr>
        <w:t> </w:t>
      </w:r>
      <w:r>
        <w:rPr/>
        <w:t>kicks</w:t>
      </w:r>
      <w:r>
        <w:rPr>
          <w:spacing w:val="-3"/>
        </w:rPr>
        <w:t> </w:t>
      </w:r>
      <w:r>
        <w:rPr/>
        <w:t>on</w:t>
      </w:r>
      <w:r>
        <w:rPr>
          <w:spacing w:val="-3"/>
        </w:rPr>
        <w:t> </w:t>
      </w:r>
      <w:r>
        <w:rPr/>
        <w:t>the</w:t>
      </w:r>
      <w:r>
        <w:rPr>
          <w:spacing w:val="-3"/>
        </w:rPr>
        <w:t> </w:t>
      </w:r>
      <w:r>
        <w:rPr/>
        <w:t>results. For</w:t>
      </w:r>
      <w:r>
        <w:rPr>
          <w:spacing w:val="-3"/>
        </w:rPr>
        <w:t> </w:t>
      </w:r>
      <w:r>
        <w:rPr/>
        <w:t>example, players 10457, 10625, 10107 and 6335 all fall outside of the top 100 best players when the</w:t>
      </w:r>
      <w:r>
        <w:rPr>
          <w:spacing w:val="-1"/>
        </w:rPr>
        <w:t> </w:t>
      </w:r>
      <w:r>
        <w:rPr/>
        <w:t>value</w:t>
      </w:r>
      <w:r>
        <w:rPr>
          <w:spacing w:val="-1"/>
        </w:rPr>
        <w:t> </w:t>
      </w:r>
      <w:r>
        <w:rPr/>
        <w:t>of</w:t>
      </w:r>
      <w:r>
        <w:rPr>
          <w:spacing w:val="-1"/>
        </w:rPr>
        <w:t> </w:t>
      </w:r>
      <w:r>
        <w:rPr/>
        <w:t>their</w:t>
      </w:r>
      <w:r>
        <w:rPr>
          <w:spacing w:val="-1"/>
        </w:rPr>
        <w:t> </w:t>
      </w:r>
      <w:r>
        <w:rPr/>
        <w:t>goal</w:t>
      </w:r>
      <w:r>
        <w:rPr>
          <w:spacing w:val="-2"/>
        </w:rPr>
        <w:t> </w:t>
      </w:r>
      <w:r>
        <w:rPr/>
        <w:t>kicks</w:t>
      </w:r>
      <w:r>
        <w:rPr>
          <w:spacing w:val="-1"/>
        </w:rPr>
        <w:t> </w:t>
      </w:r>
      <w:r>
        <w:rPr/>
        <w:t>(3</w:t>
      </w:r>
      <w:r>
        <w:rPr>
          <w:spacing w:val="-1"/>
        </w:rPr>
        <w:t> </w:t>
      </w:r>
      <w:r>
        <w:rPr/>
        <w:t>of</w:t>
      </w:r>
      <w:r>
        <w:rPr>
          <w:spacing w:val="-1"/>
        </w:rPr>
        <w:t> </w:t>
      </w:r>
      <w:r>
        <w:rPr/>
        <w:t>the</w:t>
      </w:r>
      <w:r>
        <w:rPr>
          <w:spacing w:val="-1"/>
        </w:rPr>
        <w:t> </w:t>
      </w:r>
      <w:r>
        <w:rPr/>
        <w:t>4</w:t>
      </w:r>
      <w:r>
        <w:rPr>
          <w:spacing w:val="-1"/>
        </w:rPr>
        <w:t> </w:t>
      </w:r>
      <w:r>
        <w:rPr/>
        <w:t>players</w:t>
      </w:r>
      <w:r>
        <w:rPr>
          <w:spacing w:val="-1"/>
        </w:rPr>
        <w:t> </w:t>
      </w:r>
      <w:r>
        <w:rPr/>
        <w:t>were</w:t>
      </w:r>
      <w:r>
        <w:rPr>
          <w:spacing w:val="-1"/>
        </w:rPr>
        <w:t> </w:t>
      </w:r>
      <w:r>
        <w:rPr/>
        <w:t>in</w:t>
      </w:r>
      <w:r>
        <w:rPr>
          <w:spacing w:val="-1"/>
        </w:rPr>
        <w:t> </w:t>
      </w:r>
      <w:r>
        <w:rPr/>
        <w:t>the</w:t>
      </w:r>
      <w:r>
        <w:rPr>
          <w:spacing w:val="-1"/>
        </w:rPr>
        <w:t> </w:t>
      </w:r>
      <w:r>
        <w:rPr/>
        <w:t>top</w:t>
      </w:r>
      <w:r>
        <w:rPr>
          <w:spacing w:val="-1"/>
        </w:rPr>
        <w:t> </w:t>
      </w:r>
      <w:r>
        <w:rPr/>
        <w:t>5</w:t>
      </w:r>
      <w:r>
        <w:rPr>
          <w:spacing w:val="-1"/>
        </w:rPr>
        <w:t> </w:t>
      </w:r>
      <w:r>
        <w:rPr/>
        <w:t>goal</w:t>
      </w:r>
      <w:r>
        <w:rPr>
          <w:spacing w:val="-1"/>
        </w:rPr>
        <w:t> </w:t>
      </w:r>
      <w:r>
        <w:rPr/>
        <w:t>kickers</w:t>
      </w:r>
      <w:r>
        <w:rPr>
          <w:spacing w:val="-1"/>
        </w:rPr>
        <w:t> </w:t>
      </w:r>
      <w:r>
        <w:rPr/>
        <w:t>in</w:t>
      </w:r>
      <w:r>
        <w:rPr>
          <w:spacing w:val="-1"/>
        </w:rPr>
        <w:t> </w:t>
      </w:r>
      <w:r>
        <w:rPr/>
        <w:t>2019)</w:t>
      </w:r>
      <w:r>
        <w:rPr>
          <w:spacing w:val="-1"/>
        </w:rPr>
        <w:t> </w:t>
      </w:r>
      <w:r>
        <w:rPr>
          <w:spacing w:val="-5"/>
        </w:rPr>
        <w:t>is</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114" w:id="199"/>
      <w:bookmarkEnd w:id="199"/>
      <w:r>
        <w:rPr/>
      </w:r>
      <w:r>
        <w:rPr>
          <w:b/>
        </w:rPr>
        <w:t>Table</w:t>
      </w:r>
      <w:r>
        <w:rPr>
          <w:b/>
          <w:spacing w:val="-15"/>
        </w:rPr>
        <w:t> </w:t>
      </w:r>
      <w:r>
        <w:rPr>
          <w:b/>
        </w:rPr>
        <w:t>4.3:</w:t>
      </w:r>
      <w:r>
        <w:rPr>
          <w:b/>
          <w:spacing w:val="-15"/>
        </w:rPr>
        <w:t> </w:t>
      </w:r>
      <w:r>
        <w:rPr/>
        <w:t>Top</w:t>
      </w:r>
      <w:r>
        <w:rPr>
          <w:spacing w:val="-15"/>
        </w:rPr>
        <w:t> </w:t>
      </w:r>
      <w:r>
        <w:rPr/>
        <w:t>20</w:t>
      </w:r>
      <w:r>
        <w:rPr>
          <w:spacing w:val="-15"/>
        </w:rPr>
        <w:t> </w:t>
      </w:r>
      <w:r>
        <w:rPr/>
        <w:t>normalised</w:t>
      </w:r>
      <w:r>
        <w:rPr>
          <w:spacing w:val="-15"/>
        </w:rPr>
        <w:t> </w:t>
      </w:r>
      <w:r>
        <w:rPr/>
        <w:t>player</w:t>
      </w:r>
      <w:r>
        <w:rPr>
          <w:spacing w:val="-15"/>
        </w:rPr>
        <w:t> </w:t>
      </w:r>
      <w:r>
        <w:rPr/>
        <w:t>action</w:t>
      </w:r>
      <w:r>
        <w:rPr>
          <w:spacing w:val="-15"/>
        </w:rPr>
        <w:t> </w:t>
      </w:r>
      <w:r>
        <w:rPr/>
        <w:t>impact</w:t>
      </w:r>
      <w:r>
        <w:rPr>
          <w:spacing w:val="-15"/>
        </w:rPr>
        <w:t> </w:t>
      </w:r>
      <w:r>
        <w:rPr/>
        <w:t>ratings</w:t>
      </w:r>
      <w:r>
        <w:rPr>
          <w:spacing w:val="-15"/>
        </w:rPr>
        <w:t> </w:t>
      </w:r>
      <w:r>
        <w:rPr/>
        <w:t>for</w:t>
      </w:r>
      <w:r>
        <w:rPr>
          <w:spacing w:val="-15"/>
        </w:rPr>
        <w:t> </w:t>
      </w:r>
      <w:r>
        <w:rPr/>
        <w:t>the</w:t>
      </w:r>
      <w:r>
        <w:rPr>
          <w:spacing w:val="-15"/>
        </w:rPr>
        <w:t> </w:t>
      </w:r>
      <w:r>
        <w:rPr/>
        <w:t>2020</w:t>
      </w:r>
      <w:r>
        <w:rPr>
          <w:spacing w:val="-15"/>
        </w:rPr>
        <w:t> </w:t>
      </w:r>
      <w:r>
        <w:rPr/>
        <w:t>Super</w:t>
      </w:r>
      <w:r>
        <w:rPr>
          <w:spacing w:val="-15"/>
        </w:rPr>
        <w:t> </w:t>
      </w:r>
      <w:r>
        <w:rPr/>
        <w:t>League</w:t>
      </w:r>
      <w:r>
        <w:rPr>
          <w:spacing w:val="-15"/>
        </w:rPr>
        <w:t> </w:t>
      </w:r>
      <w:r>
        <w:rPr/>
        <w:t>sea- son,</w:t>
      </w:r>
      <w:r>
        <w:rPr>
          <w:spacing w:val="-11"/>
        </w:rPr>
        <w:t> </w:t>
      </w:r>
      <w:r>
        <w:rPr/>
        <w:t>including</w:t>
      </w:r>
      <w:r>
        <w:rPr>
          <w:spacing w:val="-12"/>
        </w:rPr>
        <w:t> </w:t>
      </w:r>
      <w:r>
        <w:rPr/>
        <w:t>goal</w:t>
      </w:r>
      <w:r>
        <w:rPr>
          <w:spacing w:val="-12"/>
        </w:rPr>
        <w:t> </w:t>
      </w:r>
      <w:r>
        <w:rPr/>
        <w:t>kicks. Tries,</w:t>
      </w:r>
      <w:r>
        <w:rPr>
          <w:spacing w:val="-11"/>
        </w:rPr>
        <w:t> </w:t>
      </w:r>
      <w:r>
        <w:rPr/>
        <w:t>Try</w:t>
      </w:r>
      <w:r>
        <w:rPr>
          <w:spacing w:val="-12"/>
        </w:rPr>
        <w:t> </w:t>
      </w:r>
      <w:r>
        <w:rPr/>
        <w:t>Assists,</w:t>
      </w:r>
      <w:r>
        <w:rPr>
          <w:spacing w:val="-11"/>
        </w:rPr>
        <w:t> </w:t>
      </w:r>
      <w:r>
        <w:rPr/>
        <w:t>Metres</w:t>
      </w:r>
      <w:r>
        <w:rPr>
          <w:spacing w:val="-12"/>
        </w:rPr>
        <w:t> </w:t>
      </w:r>
      <w:r>
        <w:rPr/>
        <w:t>and</w:t>
      </w:r>
      <w:r>
        <w:rPr>
          <w:spacing w:val="-12"/>
        </w:rPr>
        <w:t> </w:t>
      </w:r>
      <w:r>
        <w:rPr/>
        <w:t>Goals</w:t>
      </w:r>
      <w:r>
        <w:rPr>
          <w:spacing w:val="-12"/>
        </w:rPr>
        <w:t> </w:t>
      </w:r>
      <w:r>
        <w:rPr/>
        <w:t>are</w:t>
      </w:r>
      <w:r>
        <w:rPr>
          <w:spacing w:val="-12"/>
        </w:rPr>
        <w:t> </w:t>
      </w:r>
      <w:r>
        <w:rPr/>
        <w:t>provided</w:t>
      </w:r>
      <w:r>
        <w:rPr>
          <w:spacing w:val="-12"/>
        </w:rPr>
        <w:t> </w:t>
      </w:r>
      <w:r>
        <w:rPr/>
        <w:t>as</w:t>
      </w:r>
      <w:r>
        <w:rPr>
          <w:spacing w:val="-12"/>
        </w:rPr>
        <w:t> </w:t>
      </w:r>
      <w:r>
        <w:rPr/>
        <w:t>references of</w:t>
      </w:r>
      <w:r>
        <w:rPr>
          <w:spacing w:val="-6"/>
        </w:rPr>
        <w:t> </w:t>
      </w:r>
      <w:r>
        <w:rPr/>
        <w:t>statistics</w:t>
      </w:r>
      <w:r>
        <w:rPr>
          <w:spacing w:val="-6"/>
        </w:rPr>
        <w:t> </w:t>
      </w:r>
      <w:r>
        <w:rPr/>
        <w:t>currently</w:t>
      </w:r>
      <w:r>
        <w:rPr>
          <w:spacing w:val="-6"/>
        </w:rPr>
        <w:t> </w:t>
      </w:r>
      <w:r>
        <w:rPr/>
        <w:t>provided</w:t>
      </w:r>
      <w:r>
        <w:rPr>
          <w:spacing w:val="-6"/>
        </w:rPr>
        <w:t> </w:t>
      </w:r>
      <w:r>
        <w:rPr/>
        <w:t>for</w:t>
      </w:r>
      <w:r>
        <w:rPr>
          <w:spacing w:val="-6"/>
        </w:rPr>
        <w:t> </w:t>
      </w:r>
      <w:r>
        <w:rPr/>
        <w:t>player</w:t>
      </w:r>
      <w:r>
        <w:rPr>
          <w:spacing w:val="-6"/>
        </w:rPr>
        <w:t> </w:t>
      </w:r>
      <w:r>
        <w:rPr/>
        <w:t>performances. To</w:t>
      </w:r>
      <w:r>
        <w:rPr>
          <w:spacing w:val="-6"/>
        </w:rPr>
        <w:t> </w:t>
      </w:r>
      <w:r>
        <w:rPr/>
        <w:t>protect</w:t>
      </w:r>
      <w:r>
        <w:rPr>
          <w:spacing w:val="-6"/>
        </w:rPr>
        <w:t> </w:t>
      </w:r>
      <w:r>
        <w:rPr/>
        <w:t>anonymity,</w:t>
      </w:r>
      <w:r>
        <w:rPr>
          <w:spacing w:val="-5"/>
        </w:rPr>
        <w:t> </w:t>
      </w:r>
      <w:r>
        <w:rPr/>
        <w:t>reference statistics</w:t>
      </w:r>
      <w:r>
        <w:rPr>
          <w:spacing w:val="-9"/>
        </w:rPr>
        <w:t> </w:t>
      </w:r>
      <w:r>
        <w:rPr/>
        <w:t>are</w:t>
      </w:r>
      <w:r>
        <w:rPr>
          <w:spacing w:val="-9"/>
        </w:rPr>
        <w:t> </w:t>
      </w:r>
      <w:r>
        <w:rPr/>
        <w:t>provided</w:t>
      </w:r>
      <w:r>
        <w:rPr>
          <w:spacing w:val="-9"/>
        </w:rPr>
        <w:t> </w:t>
      </w:r>
      <w:r>
        <w:rPr/>
        <w:t>based</w:t>
      </w:r>
      <w:r>
        <w:rPr>
          <w:spacing w:val="-9"/>
        </w:rPr>
        <w:t> </w:t>
      </w:r>
      <w:r>
        <w:rPr/>
        <w:t>on</w:t>
      </w:r>
      <w:r>
        <w:rPr>
          <w:spacing w:val="-9"/>
        </w:rPr>
        <w:t> </w:t>
      </w:r>
      <w:r>
        <w:rPr/>
        <w:t>the</w:t>
      </w:r>
      <w:r>
        <w:rPr>
          <w:spacing w:val="-9"/>
        </w:rPr>
        <w:t> </w:t>
      </w:r>
      <w:r>
        <w:rPr/>
        <w:t>whole</w:t>
      </w:r>
      <w:r>
        <w:rPr>
          <w:spacing w:val="-9"/>
        </w:rPr>
        <w:t> </w:t>
      </w:r>
      <w:r>
        <w:rPr/>
        <w:t>season</w:t>
      </w:r>
      <w:r>
        <w:rPr>
          <w:spacing w:val="-9"/>
        </w:rPr>
        <w:t> </w:t>
      </w:r>
      <w:r>
        <w:rPr/>
        <w:t>as: T-5</w:t>
      </w:r>
      <w:r>
        <w:rPr>
          <w:spacing w:val="-9"/>
        </w:rPr>
        <w:t> </w:t>
      </w:r>
      <w:r>
        <w:rPr/>
        <w:t>(top</w:t>
      </w:r>
      <w:r>
        <w:rPr>
          <w:spacing w:val="-9"/>
        </w:rPr>
        <w:t> </w:t>
      </w:r>
      <w:r>
        <w:rPr/>
        <w:t>5);</w:t>
      </w:r>
      <w:r>
        <w:rPr>
          <w:spacing w:val="-9"/>
        </w:rPr>
        <w:t> </w:t>
      </w:r>
      <w:r>
        <w:rPr/>
        <w:t>T-10</w:t>
      </w:r>
      <w:r>
        <w:rPr>
          <w:spacing w:val="-9"/>
        </w:rPr>
        <w:t> </w:t>
      </w:r>
      <w:r>
        <w:rPr/>
        <w:t>(top</w:t>
      </w:r>
      <w:r>
        <w:rPr>
          <w:spacing w:val="-9"/>
        </w:rPr>
        <w:t> </w:t>
      </w:r>
      <w:r>
        <w:rPr/>
        <w:t>10),</w:t>
      </w:r>
      <w:r>
        <w:rPr>
          <w:spacing w:val="-9"/>
        </w:rPr>
        <w:t> </w:t>
      </w:r>
      <w:r>
        <w:rPr/>
        <w:t>T-20</w:t>
      </w:r>
      <w:r>
        <w:rPr>
          <w:spacing w:val="-9"/>
        </w:rPr>
        <w:t> </w:t>
      </w:r>
      <w:r>
        <w:rPr/>
        <w:t>(top 20) and 20+ (outside top 20).</w:t>
      </w:r>
      <w:r>
        <w:rPr>
          <w:spacing w:val="40"/>
        </w:rPr>
        <w:t> </w:t>
      </w:r>
      <w:r>
        <w:rPr/>
        <w:t>Players completed a minimum of 150 actions across the season. Player</w:t>
      </w:r>
      <w:r>
        <w:rPr>
          <w:spacing w:val="-6"/>
        </w:rPr>
        <w:t> </w:t>
      </w:r>
      <w:r>
        <w:rPr/>
        <w:t>ID</w:t>
      </w:r>
      <w:r>
        <w:rPr>
          <w:spacing w:val="-5"/>
        </w:rPr>
        <w:t> </w:t>
      </w:r>
      <w:r>
        <w:rPr/>
        <w:t>brackets</w:t>
      </w:r>
      <w:r>
        <w:rPr>
          <w:spacing w:val="-6"/>
        </w:rPr>
        <w:t> </w:t>
      </w:r>
      <w:r>
        <w:rPr/>
        <w:t>provide</w:t>
      </w:r>
      <w:r>
        <w:rPr>
          <w:spacing w:val="-5"/>
        </w:rPr>
        <w:t> </w:t>
      </w:r>
      <w:r>
        <w:rPr/>
        <w:t>position</w:t>
      </w:r>
      <w:r>
        <w:rPr>
          <w:spacing w:val="-6"/>
        </w:rPr>
        <w:t> </w:t>
      </w:r>
      <w:r>
        <w:rPr/>
        <w:t>in</w:t>
      </w:r>
      <w:r>
        <w:rPr>
          <w:spacing w:val="-5"/>
        </w:rPr>
        <w:t> </w:t>
      </w:r>
      <w:r>
        <w:rPr/>
        <w:t>the</w:t>
      </w:r>
      <w:r>
        <w:rPr>
          <w:spacing w:val="-5"/>
        </w:rPr>
        <w:t> </w:t>
      </w:r>
      <w:r>
        <w:rPr/>
        <w:t>table</w:t>
      </w:r>
      <w:r>
        <w:rPr>
          <w:spacing w:val="-6"/>
        </w:rPr>
        <w:t> </w:t>
      </w:r>
      <w:r>
        <w:rPr/>
        <w:t>when</w:t>
      </w:r>
      <w:r>
        <w:rPr>
          <w:spacing w:val="-5"/>
        </w:rPr>
        <w:t> </w:t>
      </w:r>
      <w:r>
        <w:rPr/>
        <w:t>goal</w:t>
      </w:r>
      <w:r>
        <w:rPr>
          <w:spacing w:val="-6"/>
        </w:rPr>
        <w:t> </w:t>
      </w:r>
      <w:r>
        <w:rPr/>
        <w:t>kicks</w:t>
      </w:r>
      <w:r>
        <w:rPr>
          <w:spacing w:val="-5"/>
        </w:rPr>
        <w:t> </w:t>
      </w:r>
      <w:r>
        <w:rPr/>
        <w:t>are</w:t>
      </w:r>
      <w:r>
        <w:rPr>
          <w:spacing w:val="-6"/>
        </w:rPr>
        <w:t> </w:t>
      </w:r>
      <w:r>
        <w:rPr/>
        <w:t>not</w:t>
      </w:r>
      <w:r>
        <w:rPr>
          <w:spacing w:val="-5"/>
        </w:rPr>
        <w:t> </w:t>
      </w:r>
      <w:r>
        <w:rPr/>
        <w:t>included in the action impact rating.</w:t>
      </w:r>
    </w:p>
    <w:p>
      <w:pPr>
        <w:pStyle w:val="BodyText"/>
        <w:rPr>
          <w:sz w:val="20"/>
        </w:rPr>
      </w:pPr>
    </w:p>
    <w:p>
      <w:pPr>
        <w:pStyle w:val="BodyText"/>
        <w:rPr>
          <w:sz w:val="20"/>
        </w:rPr>
      </w:pPr>
    </w:p>
    <w:p>
      <w:pPr>
        <w:pStyle w:val="BodyText"/>
        <w:spacing w:before="4" w:after="1"/>
        <w:rPr>
          <w:sz w:val="22"/>
        </w:rPr>
      </w:pPr>
    </w:p>
    <w:tbl>
      <w:tblPr>
        <w:tblW w:w="0" w:type="auto"/>
        <w:jc w:val="left"/>
        <w:tblInd w:w="7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415"/>
        <w:gridCol w:w="1449"/>
        <w:gridCol w:w="1614"/>
        <w:gridCol w:w="722"/>
        <w:gridCol w:w="1313"/>
        <w:gridCol w:w="903"/>
        <w:gridCol w:w="797"/>
      </w:tblGrid>
      <w:tr>
        <w:trPr>
          <w:trHeight w:val="272" w:hRule="atLeast"/>
        </w:trPr>
        <w:tc>
          <w:tcPr>
            <w:tcW w:w="1415" w:type="dxa"/>
            <w:tcBorders>
              <w:top w:val="single" w:sz="4" w:space="0" w:color="000000"/>
              <w:bottom w:val="single" w:sz="4" w:space="0" w:color="000000"/>
            </w:tcBorders>
          </w:tcPr>
          <w:p>
            <w:pPr>
              <w:pStyle w:val="TableParagraph"/>
              <w:spacing w:line="253" w:lineRule="exact"/>
              <w:ind w:left="106" w:right="106"/>
              <w:rPr>
                <w:sz w:val="24"/>
              </w:rPr>
            </w:pPr>
            <w:r>
              <w:rPr>
                <w:sz w:val="24"/>
              </w:rPr>
              <w:t>Player</w:t>
            </w:r>
            <w:r>
              <w:rPr>
                <w:spacing w:val="-8"/>
                <w:sz w:val="24"/>
              </w:rPr>
              <w:t> </w:t>
            </w:r>
            <w:r>
              <w:rPr>
                <w:spacing w:val="-5"/>
                <w:sz w:val="24"/>
              </w:rPr>
              <w:t>ID</w:t>
            </w:r>
          </w:p>
        </w:tc>
        <w:tc>
          <w:tcPr>
            <w:tcW w:w="1449" w:type="dxa"/>
            <w:tcBorders>
              <w:top w:val="single" w:sz="4" w:space="0" w:color="000000"/>
              <w:bottom w:val="single" w:sz="4" w:space="0" w:color="000000"/>
            </w:tcBorders>
          </w:tcPr>
          <w:p>
            <w:pPr>
              <w:pStyle w:val="TableParagraph"/>
              <w:spacing w:line="253" w:lineRule="exact"/>
              <w:ind w:left="105" w:right="106"/>
              <w:rPr>
                <w:sz w:val="24"/>
              </w:rPr>
            </w:pPr>
            <w:r>
              <w:rPr>
                <w:spacing w:val="-2"/>
                <w:sz w:val="24"/>
              </w:rPr>
              <w:t>Position</w:t>
            </w:r>
          </w:p>
        </w:tc>
        <w:tc>
          <w:tcPr>
            <w:tcW w:w="1614" w:type="dxa"/>
            <w:tcBorders>
              <w:top w:val="single" w:sz="4" w:space="0" w:color="000000"/>
              <w:bottom w:val="single" w:sz="4" w:space="0" w:color="000000"/>
            </w:tcBorders>
          </w:tcPr>
          <w:p>
            <w:pPr>
              <w:pStyle w:val="TableParagraph"/>
              <w:spacing w:line="253" w:lineRule="exact"/>
              <w:ind w:left="106" w:right="106"/>
              <w:rPr>
                <w:sz w:val="24"/>
              </w:rPr>
            </w:pPr>
            <w:r>
              <w:rPr>
                <w:sz w:val="24"/>
              </w:rPr>
              <w:t>Action</w:t>
            </w:r>
            <w:r>
              <w:rPr>
                <w:spacing w:val="-8"/>
                <w:sz w:val="24"/>
              </w:rPr>
              <w:t> </w:t>
            </w:r>
            <w:r>
              <w:rPr>
                <w:spacing w:val="-2"/>
                <w:sz w:val="24"/>
              </w:rPr>
              <w:t>Impact</w:t>
            </w:r>
          </w:p>
        </w:tc>
        <w:tc>
          <w:tcPr>
            <w:tcW w:w="722" w:type="dxa"/>
            <w:tcBorders>
              <w:top w:val="single" w:sz="4" w:space="0" w:color="000000"/>
              <w:bottom w:val="single" w:sz="4" w:space="0" w:color="000000"/>
            </w:tcBorders>
          </w:tcPr>
          <w:p>
            <w:pPr>
              <w:pStyle w:val="TableParagraph"/>
              <w:spacing w:line="253" w:lineRule="exact"/>
              <w:ind w:left="98" w:right="98"/>
              <w:rPr>
                <w:sz w:val="24"/>
              </w:rPr>
            </w:pPr>
            <w:r>
              <w:rPr>
                <w:spacing w:val="-2"/>
                <w:sz w:val="24"/>
              </w:rPr>
              <w:t>Tries</w:t>
            </w:r>
          </w:p>
        </w:tc>
        <w:tc>
          <w:tcPr>
            <w:tcW w:w="1313" w:type="dxa"/>
            <w:tcBorders>
              <w:top w:val="single" w:sz="4" w:space="0" w:color="000000"/>
              <w:bottom w:val="single" w:sz="4" w:space="0" w:color="000000"/>
            </w:tcBorders>
          </w:tcPr>
          <w:p>
            <w:pPr>
              <w:pStyle w:val="TableParagraph"/>
              <w:spacing w:line="253" w:lineRule="exact"/>
              <w:ind w:left="105" w:right="106"/>
              <w:rPr>
                <w:sz w:val="24"/>
              </w:rPr>
            </w:pPr>
            <w:r>
              <w:rPr>
                <w:sz w:val="24"/>
              </w:rPr>
              <w:t>Try</w:t>
            </w:r>
            <w:r>
              <w:rPr>
                <w:spacing w:val="-14"/>
                <w:sz w:val="24"/>
              </w:rPr>
              <w:t> </w:t>
            </w:r>
            <w:r>
              <w:rPr>
                <w:spacing w:val="-2"/>
                <w:sz w:val="24"/>
              </w:rPr>
              <w:t>Assists</w:t>
            </w:r>
          </w:p>
        </w:tc>
        <w:tc>
          <w:tcPr>
            <w:tcW w:w="903" w:type="dxa"/>
            <w:tcBorders>
              <w:top w:val="single" w:sz="4" w:space="0" w:color="000000"/>
              <w:bottom w:val="single" w:sz="4" w:space="0" w:color="000000"/>
            </w:tcBorders>
          </w:tcPr>
          <w:p>
            <w:pPr>
              <w:pStyle w:val="TableParagraph"/>
              <w:spacing w:line="253" w:lineRule="exact"/>
              <w:ind w:left="102" w:right="103"/>
              <w:rPr>
                <w:sz w:val="24"/>
              </w:rPr>
            </w:pPr>
            <w:r>
              <w:rPr>
                <w:spacing w:val="-2"/>
                <w:sz w:val="24"/>
              </w:rPr>
              <w:t>Metres</w:t>
            </w:r>
          </w:p>
        </w:tc>
        <w:tc>
          <w:tcPr>
            <w:tcW w:w="797" w:type="dxa"/>
            <w:tcBorders>
              <w:top w:val="single" w:sz="4" w:space="0" w:color="000000"/>
              <w:bottom w:val="single" w:sz="4" w:space="0" w:color="000000"/>
            </w:tcBorders>
          </w:tcPr>
          <w:p>
            <w:pPr>
              <w:pStyle w:val="TableParagraph"/>
              <w:spacing w:line="253" w:lineRule="exact"/>
              <w:ind w:left="118"/>
              <w:jc w:val="left"/>
              <w:rPr>
                <w:sz w:val="24"/>
              </w:rPr>
            </w:pPr>
            <w:r>
              <w:rPr>
                <w:spacing w:val="-2"/>
                <w:sz w:val="24"/>
              </w:rPr>
              <w:t>Goals</w:t>
            </w:r>
          </w:p>
        </w:tc>
      </w:tr>
      <w:tr>
        <w:trPr>
          <w:trHeight w:val="283" w:hRule="atLeast"/>
        </w:trPr>
        <w:tc>
          <w:tcPr>
            <w:tcW w:w="1415" w:type="dxa"/>
            <w:tcBorders>
              <w:top w:val="single" w:sz="4" w:space="0" w:color="000000"/>
            </w:tcBorders>
          </w:tcPr>
          <w:p>
            <w:pPr>
              <w:pStyle w:val="TableParagraph"/>
              <w:spacing w:line="249" w:lineRule="exact"/>
              <w:ind w:left="106" w:right="106"/>
              <w:rPr>
                <w:sz w:val="24"/>
              </w:rPr>
            </w:pPr>
            <w:r>
              <w:rPr>
                <w:sz w:val="24"/>
              </w:rPr>
              <w:t>21721</w:t>
            </w:r>
            <w:r>
              <w:rPr>
                <w:spacing w:val="-7"/>
                <w:sz w:val="24"/>
              </w:rPr>
              <w:t> </w:t>
            </w:r>
            <w:r>
              <w:rPr>
                <w:spacing w:val="-5"/>
                <w:sz w:val="24"/>
              </w:rPr>
              <w:t>(1)</w:t>
            </w:r>
          </w:p>
        </w:tc>
        <w:tc>
          <w:tcPr>
            <w:tcW w:w="1449" w:type="dxa"/>
            <w:tcBorders>
              <w:top w:val="single" w:sz="4" w:space="0" w:color="000000"/>
            </w:tcBorders>
          </w:tcPr>
          <w:p>
            <w:pPr>
              <w:pStyle w:val="TableParagraph"/>
              <w:spacing w:line="249" w:lineRule="exact"/>
              <w:ind w:left="105" w:right="106"/>
              <w:rPr>
                <w:sz w:val="24"/>
              </w:rPr>
            </w:pPr>
            <w:r>
              <w:rPr>
                <w:spacing w:val="-2"/>
                <w:sz w:val="24"/>
              </w:rPr>
              <w:t>Winger</w:t>
            </w:r>
          </w:p>
        </w:tc>
        <w:tc>
          <w:tcPr>
            <w:tcW w:w="1614" w:type="dxa"/>
            <w:tcBorders>
              <w:top w:val="single" w:sz="4" w:space="0" w:color="000000"/>
            </w:tcBorders>
          </w:tcPr>
          <w:p>
            <w:pPr>
              <w:pStyle w:val="TableParagraph"/>
              <w:spacing w:line="249" w:lineRule="exact"/>
              <w:ind w:left="106" w:right="106"/>
              <w:rPr>
                <w:sz w:val="24"/>
              </w:rPr>
            </w:pPr>
            <w:r>
              <w:rPr>
                <w:spacing w:val="-2"/>
                <w:sz w:val="24"/>
              </w:rPr>
              <w:t>1.259</w:t>
            </w:r>
          </w:p>
        </w:tc>
        <w:tc>
          <w:tcPr>
            <w:tcW w:w="722" w:type="dxa"/>
            <w:tcBorders>
              <w:top w:val="single" w:sz="4" w:space="0" w:color="000000"/>
            </w:tcBorders>
          </w:tcPr>
          <w:p>
            <w:pPr>
              <w:pStyle w:val="TableParagraph"/>
              <w:spacing w:line="249" w:lineRule="exact"/>
              <w:ind w:left="98" w:right="98"/>
              <w:rPr>
                <w:sz w:val="24"/>
              </w:rPr>
            </w:pPr>
            <w:r>
              <w:rPr>
                <w:spacing w:val="-14"/>
                <w:sz w:val="24"/>
              </w:rPr>
              <w:t>T-</w:t>
            </w:r>
            <w:r>
              <w:rPr>
                <w:spacing w:val="-10"/>
                <w:sz w:val="24"/>
              </w:rPr>
              <w:t>5</w:t>
            </w:r>
          </w:p>
        </w:tc>
        <w:tc>
          <w:tcPr>
            <w:tcW w:w="1313" w:type="dxa"/>
            <w:tcBorders>
              <w:top w:val="single" w:sz="4" w:space="0" w:color="000000"/>
            </w:tcBorders>
          </w:tcPr>
          <w:p>
            <w:pPr>
              <w:pStyle w:val="TableParagraph"/>
              <w:spacing w:line="249" w:lineRule="exact"/>
              <w:ind w:left="106" w:right="106"/>
              <w:rPr>
                <w:sz w:val="24"/>
              </w:rPr>
            </w:pPr>
            <w:r>
              <w:rPr>
                <w:spacing w:val="-5"/>
                <w:sz w:val="24"/>
              </w:rPr>
              <w:t>20+</w:t>
            </w:r>
          </w:p>
        </w:tc>
        <w:tc>
          <w:tcPr>
            <w:tcW w:w="903" w:type="dxa"/>
            <w:tcBorders>
              <w:top w:val="single" w:sz="4" w:space="0" w:color="000000"/>
            </w:tcBorders>
          </w:tcPr>
          <w:p>
            <w:pPr>
              <w:pStyle w:val="TableParagraph"/>
              <w:spacing w:line="249" w:lineRule="exact"/>
              <w:ind w:left="102" w:right="103"/>
              <w:rPr>
                <w:sz w:val="24"/>
              </w:rPr>
            </w:pPr>
            <w:r>
              <w:rPr>
                <w:spacing w:val="-5"/>
                <w:sz w:val="24"/>
              </w:rPr>
              <w:t>20+</w:t>
            </w:r>
          </w:p>
        </w:tc>
        <w:tc>
          <w:tcPr>
            <w:tcW w:w="797" w:type="dxa"/>
            <w:tcBorders>
              <w:top w:val="single" w:sz="4" w:space="0" w:color="000000"/>
            </w:tcBorders>
          </w:tcPr>
          <w:p>
            <w:pPr>
              <w:pStyle w:val="TableParagraph"/>
              <w:spacing w:line="249" w:lineRule="exact"/>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2737</w:t>
            </w:r>
            <w:r>
              <w:rPr>
                <w:spacing w:val="-6"/>
                <w:sz w:val="24"/>
              </w:rPr>
              <w:t> </w:t>
            </w:r>
            <w:r>
              <w:rPr>
                <w:spacing w:val="-5"/>
                <w:sz w:val="24"/>
              </w:rPr>
              <w:t>(8)</w:t>
            </w:r>
          </w:p>
        </w:tc>
        <w:tc>
          <w:tcPr>
            <w:tcW w:w="1449" w:type="dxa"/>
          </w:tcPr>
          <w:p>
            <w:pPr>
              <w:pStyle w:val="TableParagraph"/>
              <w:ind w:left="105" w:right="106"/>
              <w:rPr>
                <w:sz w:val="24"/>
              </w:rPr>
            </w:pPr>
            <w:r>
              <w:rPr>
                <w:spacing w:val="-2"/>
                <w:sz w:val="24"/>
              </w:rPr>
              <w:t>Centre</w:t>
            </w:r>
          </w:p>
        </w:tc>
        <w:tc>
          <w:tcPr>
            <w:tcW w:w="1614" w:type="dxa"/>
          </w:tcPr>
          <w:p>
            <w:pPr>
              <w:pStyle w:val="TableParagraph"/>
              <w:ind w:left="106" w:right="106"/>
              <w:rPr>
                <w:sz w:val="24"/>
              </w:rPr>
            </w:pPr>
            <w:r>
              <w:rPr>
                <w:spacing w:val="-2"/>
                <w:sz w:val="24"/>
              </w:rPr>
              <w:t>1.126</w:t>
            </w:r>
          </w:p>
        </w:tc>
        <w:tc>
          <w:tcPr>
            <w:tcW w:w="722" w:type="dxa"/>
          </w:tcPr>
          <w:p>
            <w:pPr>
              <w:pStyle w:val="TableParagraph"/>
              <w:ind w:left="98" w:right="98"/>
              <w:rPr>
                <w:sz w:val="24"/>
              </w:rPr>
            </w:pPr>
            <w:r>
              <w:rPr>
                <w:spacing w:val="-14"/>
                <w:sz w:val="24"/>
              </w:rPr>
              <w:t>T-</w:t>
            </w:r>
            <w:r>
              <w:rPr>
                <w:spacing w:val="-5"/>
                <w:sz w:val="24"/>
              </w:rPr>
              <w:t>10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176"/>
              <w:jc w:val="left"/>
              <w:rPr>
                <w:sz w:val="24"/>
              </w:rPr>
            </w:pPr>
            <w:r>
              <w:rPr>
                <w:spacing w:val="-14"/>
                <w:sz w:val="24"/>
              </w:rPr>
              <w:t>T-</w:t>
            </w:r>
            <w:r>
              <w:rPr>
                <w:spacing w:val="-5"/>
                <w:sz w:val="24"/>
              </w:rPr>
              <w:t>10</w:t>
            </w:r>
          </w:p>
        </w:tc>
      </w:tr>
      <w:tr>
        <w:trPr>
          <w:trHeight w:val="288" w:hRule="atLeast"/>
        </w:trPr>
        <w:tc>
          <w:tcPr>
            <w:tcW w:w="1415" w:type="dxa"/>
          </w:tcPr>
          <w:p>
            <w:pPr>
              <w:pStyle w:val="TableParagraph"/>
              <w:ind w:left="106" w:right="106"/>
              <w:rPr>
                <w:sz w:val="24"/>
              </w:rPr>
            </w:pPr>
            <w:r>
              <w:rPr>
                <w:sz w:val="24"/>
              </w:rPr>
              <w:t>23232</w:t>
            </w:r>
            <w:r>
              <w:rPr>
                <w:spacing w:val="-7"/>
                <w:sz w:val="24"/>
              </w:rPr>
              <w:t> </w:t>
            </w:r>
            <w:r>
              <w:rPr>
                <w:spacing w:val="-5"/>
                <w:sz w:val="24"/>
              </w:rPr>
              <w:t>(2)</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0.980</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21082</w:t>
            </w:r>
            <w:r>
              <w:rPr>
                <w:spacing w:val="-7"/>
                <w:sz w:val="24"/>
              </w:rPr>
              <w:t> </w:t>
            </w:r>
            <w:r>
              <w:rPr>
                <w:spacing w:val="-5"/>
                <w:sz w:val="24"/>
              </w:rPr>
              <w:t>(3)</w:t>
            </w:r>
          </w:p>
        </w:tc>
        <w:tc>
          <w:tcPr>
            <w:tcW w:w="1449" w:type="dxa"/>
          </w:tcPr>
          <w:p>
            <w:pPr>
              <w:pStyle w:val="TableParagraph"/>
              <w:ind w:left="105" w:right="106"/>
              <w:rPr>
                <w:sz w:val="24"/>
              </w:rPr>
            </w:pPr>
            <w:r>
              <w:rPr>
                <w:spacing w:val="-4"/>
                <w:sz w:val="24"/>
              </w:rPr>
              <w:t>Prop</w:t>
            </w:r>
          </w:p>
        </w:tc>
        <w:tc>
          <w:tcPr>
            <w:tcW w:w="1614" w:type="dxa"/>
          </w:tcPr>
          <w:p>
            <w:pPr>
              <w:pStyle w:val="TableParagraph"/>
              <w:ind w:left="106" w:right="106"/>
              <w:rPr>
                <w:sz w:val="24"/>
              </w:rPr>
            </w:pPr>
            <w:r>
              <w:rPr>
                <w:spacing w:val="-2"/>
                <w:sz w:val="24"/>
              </w:rPr>
              <w:t>0.824</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11352</w:t>
            </w:r>
            <w:r>
              <w:rPr>
                <w:spacing w:val="-7"/>
                <w:sz w:val="24"/>
              </w:rPr>
              <w:t> </w:t>
            </w:r>
            <w:r>
              <w:rPr>
                <w:spacing w:val="-5"/>
                <w:sz w:val="24"/>
              </w:rPr>
              <w:t>(4)</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0.794</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10665</w:t>
            </w:r>
            <w:r>
              <w:rPr>
                <w:spacing w:val="-7"/>
                <w:sz w:val="24"/>
              </w:rPr>
              <w:t> </w:t>
            </w:r>
            <w:r>
              <w:rPr>
                <w:spacing w:val="-5"/>
                <w:sz w:val="24"/>
              </w:rPr>
              <w:t>(5)</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0.655</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14"/>
                <w:sz w:val="24"/>
              </w:rPr>
              <w:t>T-</w:t>
            </w:r>
            <w:r>
              <w:rPr>
                <w:spacing w:val="-5"/>
                <w:sz w:val="24"/>
              </w:rPr>
              <w:t>10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10167</w:t>
            </w:r>
            <w:r>
              <w:rPr>
                <w:spacing w:val="-7"/>
                <w:sz w:val="24"/>
              </w:rPr>
              <w:t> </w:t>
            </w:r>
            <w:r>
              <w:rPr>
                <w:spacing w:val="-5"/>
                <w:sz w:val="24"/>
              </w:rPr>
              <w:t>(7)</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0.609</w:t>
            </w:r>
          </w:p>
        </w:tc>
        <w:tc>
          <w:tcPr>
            <w:tcW w:w="722" w:type="dxa"/>
          </w:tcPr>
          <w:p>
            <w:pPr>
              <w:pStyle w:val="TableParagraph"/>
              <w:ind w:left="98" w:right="98"/>
              <w:rPr>
                <w:sz w:val="24"/>
              </w:rPr>
            </w:pPr>
            <w:r>
              <w:rPr>
                <w:spacing w:val="-14"/>
                <w:sz w:val="24"/>
              </w:rPr>
              <w:t>T-</w:t>
            </w: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14"/>
                <w:sz w:val="24"/>
              </w:rPr>
              <w:t>T-</w:t>
            </w:r>
            <w:r>
              <w:rPr>
                <w:spacing w:val="-5"/>
                <w:sz w:val="24"/>
              </w:rPr>
              <w:t>10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24400</w:t>
            </w:r>
            <w:r>
              <w:rPr>
                <w:spacing w:val="-7"/>
                <w:sz w:val="24"/>
              </w:rPr>
              <w:t> </w:t>
            </w:r>
            <w:r>
              <w:rPr>
                <w:spacing w:val="-5"/>
                <w:sz w:val="24"/>
              </w:rPr>
              <w:t>(6)</w:t>
            </w:r>
          </w:p>
        </w:tc>
        <w:tc>
          <w:tcPr>
            <w:tcW w:w="1449" w:type="dxa"/>
          </w:tcPr>
          <w:p>
            <w:pPr>
              <w:pStyle w:val="TableParagraph"/>
              <w:ind w:left="105" w:right="106"/>
              <w:rPr>
                <w:sz w:val="24"/>
              </w:rPr>
            </w:pPr>
            <w:r>
              <w:rPr>
                <w:spacing w:val="-2"/>
                <w:sz w:val="24"/>
              </w:rPr>
              <w:t>Centre</w:t>
            </w:r>
          </w:p>
        </w:tc>
        <w:tc>
          <w:tcPr>
            <w:tcW w:w="1614" w:type="dxa"/>
          </w:tcPr>
          <w:p>
            <w:pPr>
              <w:pStyle w:val="TableParagraph"/>
              <w:ind w:left="106" w:right="106"/>
              <w:rPr>
                <w:sz w:val="24"/>
              </w:rPr>
            </w:pPr>
            <w:r>
              <w:rPr>
                <w:spacing w:val="-2"/>
                <w:sz w:val="24"/>
              </w:rPr>
              <w:t>0.608</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10457</w:t>
            </w:r>
            <w:r>
              <w:rPr>
                <w:spacing w:val="-7"/>
                <w:sz w:val="24"/>
              </w:rPr>
              <w:t> </w:t>
            </w:r>
            <w:r>
              <w:rPr>
                <w:spacing w:val="-2"/>
                <w:sz w:val="24"/>
              </w:rPr>
              <w:t>(110)</w:t>
            </w:r>
          </w:p>
        </w:tc>
        <w:tc>
          <w:tcPr>
            <w:tcW w:w="1449" w:type="dxa"/>
          </w:tcPr>
          <w:p>
            <w:pPr>
              <w:pStyle w:val="TableParagraph"/>
              <w:ind w:left="105" w:right="106"/>
              <w:rPr>
                <w:sz w:val="24"/>
              </w:rPr>
            </w:pPr>
            <w:r>
              <w:rPr>
                <w:sz w:val="24"/>
              </w:rPr>
              <w:t>Full</w:t>
            </w:r>
            <w:r>
              <w:rPr>
                <w:spacing w:val="-6"/>
                <w:sz w:val="24"/>
              </w:rPr>
              <w:t> </w:t>
            </w:r>
            <w:r>
              <w:rPr>
                <w:spacing w:val="-4"/>
                <w:sz w:val="24"/>
              </w:rPr>
              <w:t>Back</w:t>
            </w:r>
          </w:p>
        </w:tc>
        <w:tc>
          <w:tcPr>
            <w:tcW w:w="1614" w:type="dxa"/>
          </w:tcPr>
          <w:p>
            <w:pPr>
              <w:pStyle w:val="TableParagraph"/>
              <w:ind w:left="106" w:right="106"/>
              <w:rPr>
                <w:sz w:val="24"/>
              </w:rPr>
            </w:pPr>
            <w:r>
              <w:rPr>
                <w:spacing w:val="-2"/>
                <w:sz w:val="24"/>
              </w:rPr>
              <w:t>0.597</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21286</w:t>
            </w:r>
            <w:r>
              <w:rPr>
                <w:spacing w:val="-7"/>
                <w:sz w:val="24"/>
              </w:rPr>
              <w:t> </w:t>
            </w:r>
            <w:r>
              <w:rPr>
                <w:spacing w:val="-5"/>
                <w:sz w:val="24"/>
              </w:rPr>
              <w:t>(9)</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0.584</w:t>
            </w:r>
          </w:p>
        </w:tc>
        <w:tc>
          <w:tcPr>
            <w:tcW w:w="722" w:type="dxa"/>
          </w:tcPr>
          <w:p>
            <w:pPr>
              <w:pStyle w:val="TableParagraph"/>
              <w:ind w:left="98" w:right="98"/>
              <w:rPr>
                <w:sz w:val="24"/>
              </w:rPr>
            </w:pPr>
            <w:r>
              <w:rPr>
                <w:spacing w:val="-14"/>
                <w:sz w:val="24"/>
              </w:rPr>
              <w:t>T-</w:t>
            </w: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22557</w:t>
            </w:r>
            <w:r>
              <w:rPr>
                <w:spacing w:val="-7"/>
                <w:sz w:val="24"/>
              </w:rPr>
              <w:t> </w:t>
            </w:r>
            <w:r>
              <w:rPr>
                <w:spacing w:val="-4"/>
                <w:sz w:val="24"/>
              </w:rPr>
              <w:t>(10)</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0.584</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10625</w:t>
            </w:r>
            <w:r>
              <w:rPr>
                <w:spacing w:val="-7"/>
                <w:sz w:val="24"/>
              </w:rPr>
              <w:t> </w:t>
            </w:r>
            <w:r>
              <w:rPr>
                <w:spacing w:val="-2"/>
                <w:sz w:val="24"/>
              </w:rPr>
              <w:t>(118)</w:t>
            </w:r>
          </w:p>
        </w:tc>
        <w:tc>
          <w:tcPr>
            <w:tcW w:w="1449" w:type="dxa"/>
          </w:tcPr>
          <w:p>
            <w:pPr>
              <w:pStyle w:val="TableParagraph"/>
              <w:ind w:left="105" w:right="106"/>
              <w:rPr>
                <w:sz w:val="24"/>
              </w:rPr>
            </w:pPr>
            <w:r>
              <w:rPr>
                <w:sz w:val="24"/>
              </w:rPr>
              <w:t>Scrum</w:t>
            </w:r>
            <w:r>
              <w:rPr>
                <w:spacing w:val="-8"/>
                <w:sz w:val="24"/>
              </w:rPr>
              <w:t> </w:t>
            </w:r>
            <w:r>
              <w:rPr>
                <w:spacing w:val="-4"/>
                <w:sz w:val="24"/>
              </w:rPr>
              <w:t>Half</w:t>
            </w:r>
          </w:p>
        </w:tc>
        <w:tc>
          <w:tcPr>
            <w:tcW w:w="1614" w:type="dxa"/>
          </w:tcPr>
          <w:p>
            <w:pPr>
              <w:pStyle w:val="TableParagraph"/>
              <w:ind w:left="106" w:right="106"/>
              <w:rPr>
                <w:sz w:val="24"/>
              </w:rPr>
            </w:pPr>
            <w:r>
              <w:rPr>
                <w:spacing w:val="-2"/>
                <w:sz w:val="24"/>
              </w:rPr>
              <w:t>0.560</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36"/>
              <w:jc w:val="left"/>
              <w:rPr>
                <w:sz w:val="24"/>
              </w:rPr>
            </w:pPr>
            <w:r>
              <w:rPr>
                <w:spacing w:val="-14"/>
                <w:sz w:val="24"/>
              </w:rPr>
              <w:t>T-</w:t>
            </w:r>
            <w:r>
              <w:rPr>
                <w:spacing w:val="-10"/>
                <w:sz w:val="24"/>
              </w:rPr>
              <w:t>5</w:t>
            </w:r>
          </w:p>
        </w:tc>
      </w:tr>
      <w:tr>
        <w:trPr>
          <w:trHeight w:val="288" w:hRule="atLeast"/>
        </w:trPr>
        <w:tc>
          <w:tcPr>
            <w:tcW w:w="1415" w:type="dxa"/>
          </w:tcPr>
          <w:p>
            <w:pPr>
              <w:pStyle w:val="TableParagraph"/>
              <w:ind w:left="106" w:right="106"/>
              <w:rPr>
                <w:sz w:val="24"/>
              </w:rPr>
            </w:pPr>
            <w:r>
              <w:rPr>
                <w:sz w:val="24"/>
              </w:rPr>
              <w:t>10107</w:t>
            </w:r>
            <w:r>
              <w:rPr>
                <w:spacing w:val="-7"/>
                <w:sz w:val="24"/>
              </w:rPr>
              <w:t> </w:t>
            </w:r>
            <w:r>
              <w:rPr>
                <w:spacing w:val="-2"/>
                <w:sz w:val="24"/>
              </w:rPr>
              <w:t>(125)</w:t>
            </w:r>
          </w:p>
        </w:tc>
        <w:tc>
          <w:tcPr>
            <w:tcW w:w="1449" w:type="dxa"/>
          </w:tcPr>
          <w:p>
            <w:pPr>
              <w:pStyle w:val="TableParagraph"/>
              <w:ind w:left="105" w:right="106"/>
              <w:rPr>
                <w:sz w:val="24"/>
              </w:rPr>
            </w:pPr>
            <w:r>
              <w:rPr>
                <w:sz w:val="24"/>
              </w:rPr>
              <w:t>Full</w:t>
            </w:r>
            <w:r>
              <w:rPr>
                <w:spacing w:val="-6"/>
                <w:sz w:val="24"/>
              </w:rPr>
              <w:t> </w:t>
            </w:r>
            <w:r>
              <w:rPr>
                <w:spacing w:val="-4"/>
                <w:sz w:val="24"/>
              </w:rPr>
              <w:t>Back</w:t>
            </w:r>
          </w:p>
        </w:tc>
        <w:tc>
          <w:tcPr>
            <w:tcW w:w="1614" w:type="dxa"/>
          </w:tcPr>
          <w:p>
            <w:pPr>
              <w:pStyle w:val="TableParagraph"/>
              <w:ind w:left="106" w:right="106"/>
              <w:rPr>
                <w:sz w:val="24"/>
              </w:rPr>
            </w:pPr>
            <w:r>
              <w:rPr>
                <w:spacing w:val="-2"/>
                <w:sz w:val="24"/>
              </w:rPr>
              <w:t>0.540</w:t>
            </w:r>
          </w:p>
        </w:tc>
        <w:tc>
          <w:tcPr>
            <w:tcW w:w="722" w:type="dxa"/>
          </w:tcPr>
          <w:p>
            <w:pPr>
              <w:pStyle w:val="TableParagraph"/>
              <w:ind w:left="98" w:right="98"/>
              <w:rPr>
                <w:sz w:val="24"/>
              </w:rPr>
            </w:pPr>
            <w:r>
              <w:rPr>
                <w:spacing w:val="-14"/>
                <w:sz w:val="24"/>
              </w:rPr>
              <w:t>T-</w:t>
            </w:r>
            <w:r>
              <w:rPr>
                <w:spacing w:val="-5"/>
                <w:sz w:val="24"/>
              </w:rPr>
              <w:t>20</w:t>
            </w:r>
          </w:p>
        </w:tc>
        <w:tc>
          <w:tcPr>
            <w:tcW w:w="1313" w:type="dxa"/>
          </w:tcPr>
          <w:p>
            <w:pPr>
              <w:pStyle w:val="TableParagraph"/>
              <w:ind w:left="106" w:right="106"/>
              <w:rPr>
                <w:sz w:val="24"/>
              </w:rPr>
            </w:pPr>
            <w:r>
              <w:rPr>
                <w:spacing w:val="-14"/>
                <w:sz w:val="24"/>
              </w:rPr>
              <w:t>T-</w:t>
            </w:r>
            <w:r>
              <w:rPr>
                <w:spacing w:val="-10"/>
                <w:sz w:val="24"/>
              </w:rPr>
              <w:t>5</w:t>
            </w:r>
          </w:p>
        </w:tc>
        <w:tc>
          <w:tcPr>
            <w:tcW w:w="903" w:type="dxa"/>
          </w:tcPr>
          <w:p>
            <w:pPr>
              <w:pStyle w:val="TableParagraph"/>
              <w:ind w:left="102" w:right="103"/>
              <w:rPr>
                <w:sz w:val="24"/>
              </w:rPr>
            </w:pPr>
            <w:r>
              <w:rPr>
                <w:spacing w:val="-5"/>
                <w:sz w:val="24"/>
              </w:rPr>
              <w:t>20+</w:t>
            </w:r>
          </w:p>
        </w:tc>
        <w:tc>
          <w:tcPr>
            <w:tcW w:w="797" w:type="dxa"/>
          </w:tcPr>
          <w:p>
            <w:pPr>
              <w:pStyle w:val="TableParagraph"/>
              <w:ind w:left="236"/>
              <w:jc w:val="left"/>
              <w:rPr>
                <w:sz w:val="24"/>
              </w:rPr>
            </w:pPr>
            <w:r>
              <w:rPr>
                <w:spacing w:val="-14"/>
                <w:sz w:val="24"/>
              </w:rPr>
              <w:t>T-</w:t>
            </w:r>
            <w:r>
              <w:rPr>
                <w:spacing w:val="-10"/>
                <w:sz w:val="24"/>
              </w:rPr>
              <w:t>5</w:t>
            </w:r>
          </w:p>
        </w:tc>
      </w:tr>
      <w:tr>
        <w:trPr>
          <w:trHeight w:val="288" w:hRule="atLeast"/>
        </w:trPr>
        <w:tc>
          <w:tcPr>
            <w:tcW w:w="1415" w:type="dxa"/>
          </w:tcPr>
          <w:p>
            <w:pPr>
              <w:pStyle w:val="TableParagraph"/>
              <w:ind w:left="106" w:right="106"/>
              <w:rPr>
                <w:sz w:val="24"/>
              </w:rPr>
            </w:pPr>
            <w:r>
              <w:rPr>
                <w:sz w:val="24"/>
              </w:rPr>
              <w:t>20858</w:t>
            </w:r>
            <w:r>
              <w:rPr>
                <w:spacing w:val="-7"/>
                <w:sz w:val="24"/>
              </w:rPr>
              <w:t> </w:t>
            </w:r>
            <w:r>
              <w:rPr>
                <w:spacing w:val="-4"/>
                <w:sz w:val="24"/>
              </w:rPr>
              <w:t>(11)</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0.538</w:t>
            </w:r>
          </w:p>
        </w:tc>
        <w:tc>
          <w:tcPr>
            <w:tcW w:w="722" w:type="dxa"/>
          </w:tcPr>
          <w:p>
            <w:pPr>
              <w:pStyle w:val="TableParagraph"/>
              <w:ind w:left="98" w:right="98"/>
              <w:rPr>
                <w:sz w:val="24"/>
              </w:rPr>
            </w:pPr>
            <w:r>
              <w:rPr>
                <w:spacing w:val="-14"/>
                <w:sz w:val="24"/>
              </w:rPr>
              <w:t>T-</w:t>
            </w: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21479</w:t>
            </w:r>
            <w:r>
              <w:rPr>
                <w:spacing w:val="-7"/>
                <w:sz w:val="24"/>
              </w:rPr>
              <w:t> </w:t>
            </w:r>
            <w:r>
              <w:rPr>
                <w:spacing w:val="-4"/>
                <w:sz w:val="24"/>
              </w:rPr>
              <w:t>(12)</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0.533</w:t>
            </w:r>
          </w:p>
        </w:tc>
        <w:tc>
          <w:tcPr>
            <w:tcW w:w="722" w:type="dxa"/>
          </w:tcPr>
          <w:p>
            <w:pPr>
              <w:pStyle w:val="TableParagraph"/>
              <w:ind w:left="98" w:right="98"/>
              <w:rPr>
                <w:sz w:val="24"/>
              </w:rPr>
            </w:pPr>
            <w:r>
              <w:rPr>
                <w:spacing w:val="-14"/>
                <w:sz w:val="24"/>
              </w:rPr>
              <w:t>T-</w:t>
            </w:r>
            <w:r>
              <w:rPr>
                <w:spacing w:val="-10"/>
                <w:sz w:val="24"/>
              </w:rPr>
              <w:t>5</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14"/>
                <w:sz w:val="24"/>
              </w:rPr>
              <w:t>T-</w:t>
            </w:r>
            <w:r>
              <w:rPr>
                <w:spacing w:val="-10"/>
                <w:sz w:val="24"/>
              </w:rPr>
              <w:t>5</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21425</w:t>
            </w:r>
            <w:r>
              <w:rPr>
                <w:spacing w:val="-7"/>
                <w:sz w:val="24"/>
              </w:rPr>
              <w:t> </w:t>
            </w:r>
            <w:r>
              <w:rPr>
                <w:spacing w:val="-4"/>
                <w:sz w:val="24"/>
              </w:rPr>
              <w:t>(14)</w:t>
            </w:r>
          </w:p>
        </w:tc>
        <w:tc>
          <w:tcPr>
            <w:tcW w:w="1449" w:type="dxa"/>
          </w:tcPr>
          <w:p>
            <w:pPr>
              <w:pStyle w:val="TableParagraph"/>
              <w:ind w:left="105" w:right="106"/>
              <w:rPr>
                <w:sz w:val="24"/>
              </w:rPr>
            </w:pPr>
            <w:r>
              <w:rPr>
                <w:spacing w:val="-2"/>
                <w:sz w:val="24"/>
              </w:rPr>
              <w:t>Centre</w:t>
            </w:r>
          </w:p>
        </w:tc>
        <w:tc>
          <w:tcPr>
            <w:tcW w:w="1614" w:type="dxa"/>
          </w:tcPr>
          <w:p>
            <w:pPr>
              <w:pStyle w:val="TableParagraph"/>
              <w:ind w:left="106" w:right="106"/>
              <w:rPr>
                <w:sz w:val="24"/>
              </w:rPr>
            </w:pPr>
            <w:r>
              <w:rPr>
                <w:spacing w:val="-2"/>
                <w:sz w:val="24"/>
              </w:rPr>
              <w:t>0.518</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288" w:hRule="atLeast"/>
        </w:trPr>
        <w:tc>
          <w:tcPr>
            <w:tcW w:w="1415" w:type="dxa"/>
          </w:tcPr>
          <w:p>
            <w:pPr>
              <w:pStyle w:val="TableParagraph"/>
              <w:ind w:left="106" w:right="106"/>
              <w:rPr>
                <w:sz w:val="24"/>
              </w:rPr>
            </w:pPr>
            <w:r>
              <w:rPr>
                <w:sz w:val="24"/>
              </w:rPr>
              <w:t>3246</w:t>
            </w:r>
            <w:r>
              <w:rPr>
                <w:spacing w:val="-6"/>
                <w:sz w:val="24"/>
              </w:rPr>
              <w:t> </w:t>
            </w:r>
            <w:r>
              <w:rPr>
                <w:spacing w:val="-4"/>
                <w:sz w:val="24"/>
              </w:rPr>
              <w:t>(16)</w:t>
            </w:r>
          </w:p>
        </w:tc>
        <w:tc>
          <w:tcPr>
            <w:tcW w:w="1449" w:type="dxa"/>
          </w:tcPr>
          <w:p>
            <w:pPr>
              <w:pStyle w:val="TableParagraph"/>
              <w:ind w:left="105" w:right="106"/>
              <w:rPr>
                <w:sz w:val="24"/>
              </w:rPr>
            </w:pPr>
            <w:r>
              <w:rPr>
                <w:spacing w:val="-2"/>
                <w:sz w:val="24"/>
              </w:rPr>
              <w:t>Winger</w:t>
            </w:r>
          </w:p>
        </w:tc>
        <w:tc>
          <w:tcPr>
            <w:tcW w:w="1614" w:type="dxa"/>
          </w:tcPr>
          <w:p>
            <w:pPr>
              <w:pStyle w:val="TableParagraph"/>
              <w:ind w:left="106" w:right="106"/>
              <w:rPr>
                <w:sz w:val="24"/>
              </w:rPr>
            </w:pPr>
            <w:r>
              <w:rPr>
                <w:spacing w:val="-2"/>
                <w:sz w:val="24"/>
              </w:rPr>
              <w:t>0.516</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14"/>
                <w:sz w:val="24"/>
              </w:rPr>
              <w:t>T-</w:t>
            </w:r>
            <w:r>
              <w:rPr>
                <w:spacing w:val="-5"/>
                <w:sz w:val="24"/>
              </w:rPr>
              <w:t>10</w:t>
            </w:r>
          </w:p>
        </w:tc>
        <w:tc>
          <w:tcPr>
            <w:tcW w:w="797" w:type="dxa"/>
          </w:tcPr>
          <w:p>
            <w:pPr>
              <w:pStyle w:val="TableParagraph"/>
              <w:ind w:left="176"/>
              <w:jc w:val="left"/>
              <w:rPr>
                <w:sz w:val="24"/>
              </w:rPr>
            </w:pPr>
            <w:r>
              <w:rPr>
                <w:spacing w:val="-14"/>
                <w:sz w:val="24"/>
              </w:rPr>
              <w:t>T-</w:t>
            </w:r>
            <w:r>
              <w:rPr>
                <w:spacing w:val="-5"/>
                <w:sz w:val="24"/>
              </w:rPr>
              <w:t>20</w:t>
            </w:r>
          </w:p>
        </w:tc>
      </w:tr>
      <w:tr>
        <w:trPr>
          <w:trHeight w:val="288" w:hRule="atLeast"/>
        </w:trPr>
        <w:tc>
          <w:tcPr>
            <w:tcW w:w="1415" w:type="dxa"/>
          </w:tcPr>
          <w:p>
            <w:pPr>
              <w:pStyle w:val="TableParagraph"/>
              <w:ind w:left="106" w:right="106"/>
              <w:rPr>
                <w:sz w:val="24"/>
              </w:rPr>
            </w:pPr>
            <w:r>
              <w:rPr>
                <w:sz w:val="24"/>
              </w:rPr>
              <w:t>6335</w:t>
            </w:r>
            <w:r>
              <w:rPr>
                <w:spacing w:val="-6"/>
                <w:sz w:val="24"/>
              </w:rPr>
              <w:t> </w:t>
            </w:r>
            <w:r>
              <w:rPr>
                <w:spacing w:val="-2"/>
                <w:sz w:val="24"/>
              </w:rPr>
              <w:t>(116)</w:t>
            </w:r>
          </w:p>
        </w:tc>
        <w:tc>
          <w:tcPr>
            <w:tcW w:w="1449" w:type="dxa"/>
          </w:tcPr>
          <w:p>
            <w:pPr>
              <w:pStyle w:val="TableParagraph"/>
              <w:ind w:left="105" w:right="106"/>
              <w:rPr>
                <w:sz w:val="24"/>
              </w:rPr>
            </w:pPr>
            <w:r>
              <w:rPr>
                <w:sz w:val="24"/>
              </w:rPr>
              <w:t>Scrum</w:t>
            </w:r>
            <w:r>
              <w:rPr>
                <w:spacing w:val="-8"/>
                <w:sz w:val="24"/>
              </w:rPr>
              <w:t> </w:t>
            </w:r>
            <w:r>
              <w:rPr>
                <w:spacing w:val="-4"/>
                <w:sz w:val="24"/>
              </w:rPr>
              <w:t>Half</w:t>
            </w:r>
          </w:p>
        </w:tc>
        <w:tc>
          <w:tcPr>
            <w:tcW w:w="1614" w:type="dxa"/>
          </w:tcPr>
          <w:p>
            <w:pPr>
              <w:pStyle w:val="TableParagraph"/>
              <w:ind w:left="106" w:right="106"/>
              <w:rPr>
                <w:sz w:val="24"/>
              </w:rPr>
            </w:pPr>
            <w:r>
              <w:rPr>
                <w:spacing w:val="-2"/>
                <w:sz w:val="24"/>
              </w:rPr>
              <w:t>0.495</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36"/>
              <w:jc w:val="left"/>
              <w:rPr>
                <w:sz w:val="24"/>
              </w:rPr>
            </w:pPr>
            <w:r>
              <w:rPr>
                <w:spacing w:val="-14"/>
                <w:sz w:val="24"/>
              </w:rPr>
              <w:t>T-</w:t>
            </w:r>
            <w:r>
              <w:rPr>
                <w:spacing w:val="-10"/>
                <w:sz w:val="24"/>
              </w:rPr>
              <w:t>5</w:t>
            </w:r>
          </w:p>
        </w:tc>
      </w:tr>
      <w:tr>
        <w:trPr>
          <w:trHeight w:val="288" w:hRule="atLeast"/>
        </w:trPr>
        <w:tc>
          <w:tcPr>
            <w:tcW w:w="1415" w:type="dxa"/>
          </w:tcPr>
          <w:p>
            <w:pPr>
              <w:pStyle w:val="TableParagraph"/>
              <w:ind w:left="106" w:right="106"/>
              <w:rPr>
                <w:sz w:val="24"/>
              </w:rPr>
            </w:pPr>
            <w:r>
              <w:rPr>
                <w:sz w:val="24"/>
              </w:rPr>
              <w:t>20990</w:t>
            </w:r>
            <w:r>
              <w:rPr>
                <w:spacing w:val="-7"/>
                <w:sz w:val="24"/>
              </w:rPr>
              <w:t> </w:t>
            </w:r>
            <w:r>
              <w:rPr>
                <w:spacing w:val="-4"/>
                <w:sz w:val="24"/>
              </w:rPr>
              <w:t>(13)</w:t>
            </w:r>
          </w:p>
        </w:tc>
        <w:tc>
          <w:tcPr>
            <w:tcW w:w="1449" w:type="dxa"/>
          </w:tcPr>
          <w:p>
            <w:pPr>
              <w:pStyle w:val="TableParagraph"/>
              <w:ind w:left="105" w:right="106"/>
              <w:rPr>
                <w:sz w:val="24"/>
              </w:rPr>
            </w:pPr>
            <w:r>
              <w:rPr>
                <w:sz w:val="24"/>
              </w:rPr>
              <w:t>Second</w:t>
            </w:r>
            <w:r>
              <w:rPr>
                <w:spacing w:val="-9"/>
                <w:sz w:val="24"/>
              </w:rPr>
              <w:t> </w:t>
            </w:r>
            <w:r>
              <w:rPr>
                <w:spacing w:val="-5"/>
                <w:sz w:val="24"/>
              </w:rPr>
              <w:t>Row</w:t>
            </w:r>
          </w:p>
        </w:tc>
        <w:tc>
          <w:tcPr>
            <w:tcW w:w="1614" w:type="dxa"/>
          </w:tcPr>
          <w:p>
            <w:pPr>
              <w:pStyle w:val="TableParagraph"/>
              <w:ind w:left="106" w:right="106"/>
              <w:rPr>
                <w:sz w:val="24"/>
              </w:rPr>
            </w:pPr>
            <w:r>
              <w:rPr>
                <w:spacing w:val="-2"/>
                <w:sz w:val="24"/>
              </w:rPr>
              <w:t>0.479</w:t>
            </w:r>
          </w:p>
        </w:tc>
        <w:tc>
          <w:tcPr>
            <w:tcW w:w="722" w:type="dxa"/>
          </w:tcPr>
          <w:p>
            <w:pPr>
              <w:pStyle w:val="TableParagraph"/>
              <w:ind w:left="98" w:right="98"/>
              <w:rPr>
                <w:sz w:val="24"/>
              </w:rPr>
            </w:pPr>
            <w:r>
              <w:rPr>
                <w:spacing w:val="-5"/>
                <w:sz w:val="24"/>
              </w:rPr>
              <w:t>20+</w:t>
            </w:r>
          </w:p>
        </w:tc>
        <w:tc>
          <w:tcPr>
            <w:tcW w:w="1313" w:type="dxa"/>
          </w:tcPr>
          <w:p>
            <w:pPr>
              <w:pStyle w:val="TableParagraph"/>
              <w:ind w:left="106" w:right="106"/>
              <w:rPr>
                <w:sz w:val="24"/>
              </w:rPr>
            </w:pPr>
            <w:r>
              <w:rPr>
                <w:spacing w:val="-5"/>
                <w:sz w:val="24"/>
              </w:rPr>
              <w:t>20+</w:t>
            </w:r>
          </w:p>
        </w:tc>
        <w:tc>
          <w:tcPr>
            <w:tcW w:w="903" w:type="dxa"/>
          </w:tcPr>
          <w:p>
            <w:pPr>
              <w:pStyle w:val="TableParagraph"/>
              <w:ind w:left="102" w:right="103"/>
              <w:rPr>
                <w:sz w:val="24"/>
              </w:rPr>
            </w:pPr>
            <w:r>
              <w:rPr>
                <w:spacing w:val="-5"/>
                <w:sz w:val="24"/>
              </w:rPr>
              <w:t>20+</w:t>
            </w:r>
          </w:p>
        </w:tc>
        <w:tc>
          <w:tcPr>
            <w:tcW w:w="797" w:type="dxa"/>
          </w:tcPr>
          <w:p>
            <w:pPr>
              <w:pStyle w:val="TableParagraph"/>
              <w:ind w:left="210"/>
              <w:jc w:val="left"/>
              <w:rPr>
                <w:sz w:val="24"/>
              </w:rPr>
            </w:pPr>
            <w:r>
              <w:rPr>
                <w:spacing w:val="-5"/>
                <w:sz w:val="24"/>
              </w:rPr>
              <w:t>20+</w:t>
            </w:r>
          </w:p>
        </w:tc>
      </w:tr>
      <w:tr>
        <w:trPr>
          <w:trHeight w:val="306" w:hRule="atLeast"/>
        </w:trPr>
        <w:tc>
          <w:tcPr>
            <w:tcW w:w="1415" w:type="dxa"/>
            <w:tcBorders>
              <w:bottom w:val="single" w:sz="4" w:space="0" w:color="000000"/>
            </w:tcBorders>
          </w:tcPr>
          <w:p>
            <w:pPr>
              <w:pStyle w:val="TableParagraph"/>
              <w:spacing w:line="273" w:lineRule="exact"/>
              <w:ind w:left="106" w:right="106"/>
              <w:rPr>
                <w:sz w:val="24"/>
              </w:rPr>
            </w:pPr>
            <w:r>
              <w:rPr>
                <w:sz w:val="24"/>
              </w:rPr>
              <w:t>10123</w:t>
            </w:r>
            <w:r>
              <w:rPr>
                <w:spacing w:val="-7"/>
                <w:sz w:val="24"/>
              </w:rPr>
              <w:t> </w:t>
            </w:r>
            <w:r>
              <w:rPr>
                <w:spacing w:val="-4"/>
                <w:sz w:val="24"/>
              </w:rPr>
              <w:t>(15)</w:t>
            </w:r>
          </w:p>
        </w:tc>
        <w:tc>
          <w:tcPr>
            <w:tcW w:w="1449" w:type="dxa"/>
            <w:tcBorders>
              <w:bottom w:val="single" w:sz="4" w:space="0" w:color="000000"/>
            </w:tcBorders>
          </w:tcPr>
          <w:p>
            <w:pPr>
              <w:pStyle w:val="TableParagraph"/>
              <w:spacing w:line="273" w:lineRule="exact"/>
              <w:ind w:left="105" w:right="106"/>
              <w:rPr>
                <w:sz w:val="24"/>
              </w:rPr>
            </w:pPr>
            <w:r>
              <w:rPr>
                <w:spacing w:val="-2"/>
                <w:sz w:val="24"/>
              </w:rPr>
              <w:t>Winger</w:t>
            </w:r>
          </w:p>
        </w:tc>
        <w:tc>
          <w:tcPr>
            <w:tcW w:w="1614" w:type="dxa"/>
            <w:tcBorders>
              <w:bottom w:val="single" w:sz="4" w:space="0" w:color="000000"/>
            </w:tcBorders>
          </w:tcPr>
          <w:p>
            <w:pPr>
              <w:pStyle w:val="TableParagraph"/>
              <w:spacing w:line="273" w:lineRule="exact"/>
              <w:ind w:left="106" w:right="106"/>
              <w:rPr>
                <w:sz w:val="24"/>
              </w:rPr>
            </w:pPr>
            <w:r>
              <w:rPr>
                <w:spacing w:val="-2"/>
                <w:sz w:val="24"/>
              </w:rPr>
              <w:t>0.473</w:t>
            </w:r>
          </w:p>
        </w:tc>
        <w:tc>
          <w:tcPr>
            <w:tcW w:w="722" w:type="dxa"/>
            <w:tcBorders>
              <w:bottom w:val="single" w:sz="4" w:space="0" w:color="000000"/>
            </w:tcBorders>
          </w:tcPr>
          <w:p>
            <w:pPr>
              <w:pStyle w:val="TableParagraph"/>
              <w:spacing w:line="273" w:lineRule="exact"/>
              <w:ind w:left="98" w:right="98"/>
              <w:rPr>
                <w:sz w:val="24"/>
              </w:rPr>
            </w:pPr>
            <w:r>
              <w:rPr>
                <w:spacing w:val="-5"/>
                <w:sz w:val="24"/>
              </w:rPr>
              <w:t>20+</w:t>
            </w:r>
          </w:p>
        </w:tc>
        <w:tc>
          <w:tcPr>
            <w:tcW w:w="1313" w:type="dxa"/>
            <w:tcBorders>
              <w:bottom w:val="single" w:sz="4" w:space="0" w:color="000000"/>
            </w:tcBorders>
          </w:tcPr>
          <w:p>
            <w:pPr>
              <w:pStyle w:val="TableParagraph"/>
              <w:spacing w:line="273" w:lineRule="exact"/>
              <w:ind w:left="106" w:right="106"/>
              <w:rPr>
                <w:sz w:val="24"/>
              </w:rPr>
            </w:pPr>
            <w:r>
              <w:rPr>
                <w:spacing w:val="-5"/>
                <w:sz w:val="24"/>
              </w:rPr>
              <w:t>20+</w:t>
            </w:r>
          </w:p>
        </w:tc>
        <w:tc>
          <w:tcPr>
            <w:tcW w:w="903" w:type="dxa"/>
            <w:tcBorders>
              <w:bottom w:val="single" w:sz="4" w:space="0" w:color="000000"/>
            </w:tcBorders>
          </w:tcPr>
          <w:p>
            <w:pPr>
              <w:pStyle w:val="TableParagraph"/>
              <w:spacing w:line="273" w:lineRule="exact"/>
              <w:ind w:left="102" w:right="103"/>
              <w:rPr>
                <w:sz w:val="24"/>
              </w:rPr>
            </w:pPr>
            <w:r>
              <w:rPr>
                <w:spacing w:val="-5"/>
                <w:sz w:val="24"/>
              </w:rPr>
              <w:t>20+</w:t>
            </w:r>
          </w:p>
        </w:tc>
        <w:tc>
          <w:tcPr>
            <w:tcW w:w="797" w:type="dxa"/>
            <w:tcBorders>
              <w:bottom w:val="single" w:sz="4" w:space="0" w:color="000000"/>
            </w:tcBorders>
          </w:tcPr>
          <w:p>
            <w:pPr>
              <w:pStyle w:val="TableParagraph"/>
              <w:spacing w:line="273" w:lineRule="exact"/>
              <w:ind w:left="210"/>
              <w:jc w:val="left"/>
              <w:rPr>
                <w:sz w:val="24"/>
              </w:rPr>
            </w:pPr>
            <w:r>
              <w:rPr>
                <w:spacing w:val="-5"/>
                <w:sz w:val="24"/>
              </w:rPr>
              <w:t>20+</w:t>
            </w:r>
          </w:p>
        </w:tc>
      </w:tr>
    </w:tbl>
    <w:p>
      <w:pPr>
        <w:pStyle w:val="BodyText"/>
        <w:rPr>
          <w:sz w:val="20"/>
        </w:rPr>
      </w:pPr>
    </w:p>
    <w:p>
      <w:pPr>
        <w:pStyle w:val="BodyText"/>
        <w:rPr>
          <w:sz w:val="20"/>
        </w:rPr>
      </w:pPr>
    </w:p>
    <w:p>
      <w:pPr>
        <w:pStyle w:val="BodyText"/>
        <w:rPr>
          <w:sz w:val="20"/>
        </w:rPr>
      </w:pPr>
    </w:p>
    <w:p>
      <w:pPr>
        <w:pStyle w:val="BodyText"/>
        <w:spacing w:line="312" w:lineRule="auto" w:before="234"/>
        <w:ind w:left="610" w:right="389"/>
        <w:jc w:val="both"/>
      </w:pPr>
      <w:r>
        <w:rPr/>
        <w:t>removed</w:t>
      </w:r>
      <w:r>
        <w:rPr>
          <w:spacing w:val="-15"/>
        </w:rPr>
        <w:t> </w:t>
      </w:r>
      <w:r>
        <w:rPr/>
        <w:t>from</w:t>
      </w:r>
      <w:r>
        <w:rPr>
          <w:spacing w:val="-15"/>
        </w:rPr>
        <w:t> </w:t>
      </w:r>
      <w:r>
        <w:rPr/>
        <w:t>their</w:t>
      </w:r>
      <w:r>
        <w:rPr>
          <w:spacing w:val="-15"/>
        </w:rPr>
        <w:t> </w:t>
      </w:r>
      <w:r>
        <w:rPr/>
        <w:t>ratings.</w:t>
      </w:r>
      <w:r>
        <w:rPr>
          <w:spacing w:val="-15"/>
        </w:rPr>
        <w:t> </w:t>
      </w:r>
      <w:r>
        <w:rPr/>
        <w:t>However,</w:t>
      </w:r>
      <w:r>
        <w:rPr>
          <w:spacing w:val="-15"/>
        </w:rPr>
        <w:t> </w:t>
      </w:r>
      <w:r>
        <w:rPr/>
        <w:t>it</w:t>
      </w:r>
      <w:r>
        <w:rPr>
          <w:spacing w:val="-15"/>
        </w:rPr>
        <w:t> </w:t>
      </w:r>
      <w:r>
        <w:rPr/>
        <w:t>should</w:t>
      </w:r>
      <w:r>
        <w:rPr>
          <w:spacing w:val="-15"/>
        </w:rPr>
        <w:t> </w:t>
      </w:r>
      <w:r>
        <w:rPr/>
        <w:t>be</w:t>
      </w:r>
      <w:r>
        <w:rPr>
          <w:spacing w:val="-15"/>
        </w:rPr>
        <w:t> </w:t>
      </w:r>
      <w:r>
        <w:rPr/>
        <w:t>noted</w:t>
      </w:r>
      <w:r>
        <w:rPr>
          <w:spacing w:val="-15"/>
        </w:rPr>
        <w:t> </w:t>
      </w:r>
      <w:r>
        <w:rPr/>
        <w:t>that</w:t>
      </w:r>
      <w:r>
        <w:rPr>
          <w:spacing w:val="-15"/>
        </w:rPr>
        <w:t> </w:t>
      </w:r>
      <w:r>
        <w:rPr/>
        <w:t>Player</w:t>
      </w:r>
      <w:r>
        <w:rPr>
          <w:spacing w:val="-15"/>
        </w:rPr>
        <w:t> </w:t>
      </w:r>
      <w:r>
        <w:rPr/>
        <w:t>10107</w:t>
      </w:r>
      <w:r>
        <w:rPr>
          <w:spacing w:val="-15"/>
        </w:rPr>
        <w:t> </w:t>
      </w:r>
      <w:r>
        <w:rPr/>
        <w:t>was</w:t>
      </w:r>
      <w:r>
        <w:rPr>
          <w:spacing w:val="-15"/>
        </w:rPr>
        <w:t> </w:t>
      </w:r>
      <w:r>
        <w:rPr/>
        <w:t>nominated for the best player of the year award so it’s reasonable to argue that he should be in the top 20 players with or without goal kicks included.</w:t>
      </w:r>
    </w:p>
    <w:p>
      <w:pPr>
        <w:pStyle w:val="BodyText"/>
        <w:spacing w:line="312" w:lineRule="auto"/>
        <w:ind w:left="610" w:right="389" w:firstLine="351"/>
        <w:jc w:val="both"/>
      </w:pPr>
      <w:r>
        <w:rPr/>
        <w:t>It is notable that the majority of highly rated players when goal kicks were removed were</w:t>
      </w:r>
      <w:r>
        <w:rPr>
          <w:spacing w:val="-5"/>
        </w:rPr>
        <w:t> </w:t>
      </w:r>
      <w:r>
        <w:rPr/>
        <w:t>wingers,</w:t>
      </w:r>
      <w:r>
        <w:rPr>
          <w:spacing w:val="-5"/>
        </w:rPr>
        <w:t> </w:t>
      </w:r>
      <w:r>
        <w:rPr/>
        <w:t>centres</w:t>
      </w:r>
      <w:r>
        <w:rPr>
          <w:spacing w:val="-5"/>
        </w:rPr>
        <w:t> </w:t>
      </w:r>
      <w:r>
        <w:rPr/>
        <w:t>or</w:t>
      </w:r>
      <w:r>
        <w:rPr>
          <w:spacing w:val="-5"/>
        </w:rPr>
        <w:t> </w:t>
      </w:r>
      <w:r>
        <w:rPr/>
        <w:t>props. In</w:t>
      </w:r>
      <w:r>
        <w:rPr>
          <w:spacing w:val="-5"/>
        </w:rPr>
        <w:t> </w:t>
      </w:r>
      <w:r>
        <w:rPr/>
        <w:t>rugby</w:t>
      </w:r>
      <w:r>
        <w:rPr>
          <w:spacing w:val="-5"/>
        </w:rPr>
        <w:t> </w:t>
      </w:r>
      <w:r>
        <w:rPr/>
        <w:t>league,</w:t>
      </w:r>
      <w:r>
        <w:rPr>
          <w:spacing w:val="-5"/>
        </w:rPr>
        <w:t> </w:t>
      </w:r>
      <w:r>
        <w:rPr/>
        <w:t>wingers</w:t>
      </w:r>
      <w:r>
        <w:rPr>
          <w:spacing w:val="-5"/>
        </w:rPr>
        <w:t> </w:t>
      </w:r>
      <w:r>
        <w:rPr/>
        <w:t>are</w:t>
      </w:r>
      <w:r>
        <w:rPr>
          <w:spacing w:val="-5"/>
        </w:rPr>
        <w:t> </w:t>
      </w:r>
      <w:r>
        <w:rPr/>
        <w:t>typically</w:t>
      </w:r>
      <w:r>
        <w:rPr>
          <w:spacing w:val="-5"/>
        </w:rPr>
        <w:t> </w:t>
      </w:r>
      <w:r>
        <w:rPr/>
        <w:t>known</w:t>
      </w:r>
      <w:r>
        <w:rPr>
          <w:spacing w:val="-5"/>
        </w:rPr>
        <w:t> </w:t>
      </w:r>
      <w:r>
        <w:rPr/>
        <w:t>for</w:t>
      </w:r>
      <w:r>
        <w:rPr>
          <w:spacing w:val="-5"/>
        </w:rPr>
        <w:t> </w:t>
      </w:r>
      <w:r>
        <w:rPr/>
        <w:t>scoring tries.</w:t>
      </w:r>
      <w:r>
        <w:rPr>
          <w:spacing w:val="48"/>
        </w:rPr>
        <w:t> </w:t>
      </w:r>
      <w:r>
        <w:rPr/>
        <w:t>They</w:t>
      </w:r>
      <w:r>
        <w:rPr>
          <w:spacing w:val="9"/>
        </w:rPr>
        <w:t> </w:t>
      </w:r>
      <w:r>
        <w:rPr/>
        <w:t>are</w:t>
      </w:r>
      <w:r>
        <w:rPr>
          <w:spacing w:val="8"/>
        </w:rPr>
        <w:t> </w:t>
      </w:r>
      <w:r>
        <w:rPr/>
        <w:t>expected</w:t>
      </w:r>
      <w:r>
        <w:rPr>
          <w:spacing w:val="9"/>
        </w:rPr>
        <w:t> </w:t>
      </w:r>
      <w:r>
        <w:rPr/>
        <w:t>to</w:t>
      </w:r>
      <w:r>
        <w:rPr>
          <w:spacing w:val="9"/>
        </w:rPr>
        <w:t> </w:t>
      </w:r>
      <w:r>
        <w:rPr/>
        <w:t>occupy</w:t>
      </w:r>
      <w:r>
        <w:rPr>
          <w:spacing w:val="9"/>
        </w:rPr>
        <w:t> </w:t>
      </w:r>
      <w:r>
        <w:rPr/>
        <w:t>wide</w:t>
      </w:r>
      <w:r>
        <w:rPr>
          <w:spacing w:val="8"/>
        </w:rPr>
        <w:t> </w:t>
      </w:r>
      <w:r>
        <w:rPr/>
        <w:t>areas</w:t>
      </w:r>
      <w:r>
        <w:rPr>
          <w:spacing w:val="9"/>
        </w:rPr>
        <w:t> </w:t>
      </w:r>
      <w:r>
        <w:rPr/>
        <w:t>to</w:t>
      </w:r>
      <w:r>
        <w:rPr>
          <w:spacing w:val="9"/>
        </w:rPr>
        <w:t> </w:t>
      </w:r>
      <w:r>
        <w:rPr/>
        <w:t>receive</w:t>
      </w:r>
      <w:r>
        <w:rPr>
          <w:spacing w:val="8"/>
        </w:rPr>
        <w:t> </w:t>
      </w:r>
      <w:r>
        <w:rPr/>
        <w:t>the</w:t>
      </w:r>
      <w:r>
        <w:rPr>
          <w:spacing w:val="9"/>
        </w:rPr>
        <w:t> </w:t>
      </w:r>
      <w:r>
        <w:rPr/>
        <w:t>ball</w:t>
      </w:r>
      <w:r>
        <w:rPr>
          <w:spacing w:val="9"/>
        </w:rPr>
        <w:t> </w:t>
      </w:r>
      <w:r>
        <w:rPr/>
        <w:t>and</w:t>
      </w:r>
      <w:r>
        <w:rPr>
          <w:spacing w:val="8"/>
        </w:rPr>
        <w:t> </w:t>
      </w:r>
      <w:r>
        <w:rPr/>
        <w:t>run</w:t>
      </w:r>
      <w:r>
        <w:rPr>
          <w:spacing w:val="9"/>
        </w:rPr>
        <w:t> </w:t>
      </w:r>
      <w:r>
        <w:rPr/>
        <w:t>with</w:t>
      </w:r>
      <w:r>
        <w:rPr>
          <w:spacing w:val="9"/>
        </w:rPr>
        <w:t> </w:t>
      </w:r>
      <w:r>
        <w:rPr/>
        <w:t>it</w:t>
      </w:r>
      <w:r>
        <w:rPr>
          <w:spacing w:val="8"/>
        </w:rPr>
        <w:t> </w:t>
      </w:r>
      <w:r>
        <w:rPr>
          <w:spacing w:val="-2"/>
        </w:rPr>
        <w:t>(Table</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hyperlink w:history="true" w:anchor="_bookmark38">
        <w:r>
          <w:rPr>
            <w:color w:val="0000FF"/>
          </w:rPr>
          <w:t>2.3</w:t>
        </w:r>
      </w:hyperlink>
      <w:r>
        <w:rPr/>
        <w:t>).</w:t>
      </w:r>
      <w:r>
        <w:rPr>
          <w:spacing w:val="40"/>
        </w:rPr>
        <w:t> </w:t>
      </w:r>
      <w:r>
        <w:rPr/>
        <w:t>Both of these elements are highly valued by the model (Figure</w:t>
      </w:r>
      <w:hyperlink w:history="true" w:anchor="_bookmark112">
        <w:r>
          <w:rPr>
            <w:color w:val="0000FF"/>
          </w:rPr>
          <w:t>4.3</w:t>
        </w:r>
        <w:r>
          <w:rPr/>
          <w:t>)</w:t>
        </w:r>
      </w:hyperlink>
      <w:r>
        <w:rPr/>
        <w:t> so it is unsur- prising</w:t>
      </w:r>
      <w:r>
        <w:rPr>
          <w:spacing w:val="23"/>
        </w:rPr>
        <w:t> </w:t>
      </w:r>
      <w:r>
        <w:rPr/>
        <w:t>that</w:t>
      </w:r>
      <w:r>
        <w:rPr>
          <w:spacing w:val="23"/>
        </w:rPr>
        <w:t> </w:t>
      </w:r>
      <w:r>
        <w:rPr/>
        <w:t>these</w:t>
      </w:r>
      <w:r>
        <w:rPr>
          <w:spacing w:val="23"/>
        </w:rPr>
        <w:t> </w:t>
      </w:r>
      <w:r>
        <w:rPr/>
        <w:t>players</w:t>
      </w:r>
      <w:r>
        <w:rPr>
          <w:spacing w:val="23"/>
        </w:rPr>
        <w:t> </w:t>
      </w:r>
      <w:r>
        <w:rPr/>
        <w:t>have</w:t>
      </w:r>
      <w:r>
        <w:rPr>
          <w:spacing w:val="23"/>
        </w:rPr>
        <w:t> </w:t>
      </w:r>
      <w:r>
        <w:rPr/>
        <w:t>high</w:t>
      </w:r>
      <w:r>
        <w:rPr>
          <w:spacing w:val="23"/>
        </w:rPr>
        <w:t> </w:t>
      </w:r>
      <w:r>
        <w:rPr/>
        <w:t>action</w:t>
      </w:r>
      <w:r>
        <w:rPr>
          <w:spacing w:val="23"/>
        </w:rPr>
        <w:t> </w:t>
      </w:r>
      <w:r>
        <w:rPr/>
        <w:t>impact</w:t>
      </w:r>
      <w:r>
        <w:rPr>
          <w:spacing w:val="23"/>
        </w:rPr>
        <w:t> </w:t>
      </w:r>
      <w:r>
        <w:rPr/>
        <w:t>ratings.</w:t>
      </w:r>
      <w:r>
        <w:rPr>
          <w:spacing w:val="80"/>
        </w:rPr>
        <w:t> </w:t>
      </w:r>
      <w:r>
        <w:rPr/>
        <w:t>The</w:t>
      </w:r>
      <w:r>
        <w:rPr>
          <w:spacing w:val="23"/>
        </w:rPr>
        <w:t> </w:t>
      </w:r>
      <w:r>
        <w:rPr/>
        <w:t>three</w:t>
      </w:r>
      <w:r>
        <w:rPr>
          <w:spacing w:val="23"/>
        </w:rPr>
        <w:t> </w:t>
      </w:r>
      <w:r>
        <w:rPr/>
        <w:t>centres</w:t>
      </w:r>
      <w:r>
        <w:rPr>
          <w:spacing w:val="23"/>
        </w:rPr>
        <w:t> </w:t>
      </w:r>
      <w:r>
        <w:rPr/>
        <w:t>included within the top 15 players also provide significant support for the model’s usefulness </w:t>
      </w:r>
      <w:r>
        <w:rPr/>
        <w:t>as two</w:t>
      </w:r>
      <w:r>
        <w:rPr>
          <w:spacing w:val="-2"/>
        </w:rPr>
        <w:t> </w:t>
      </w:r>
      <w:r>
        <w:rPr/>
        <w:t>were</w:t>
      </w:r>
      <w:r>
        <w:rPr>
          <w:spacing w:val="-3"/>
        </w:rPr>
        <w:t> </w:t>
      </w:r>
      <w:r>
        <w:rPr/>
        <w:t>included</w:t>
      </w:r>
      <w:r>
        <w:rPr>
          <w:spacing w:val="-2"/>
        </w:rPr>
        <w:t> </w:t>
      </w:r>
      <w:r>
        <w:rPr/>
        <w:t>in</w:t>
      </w:r>
      <w:r>
        <w:rPr>
          <w:spacing w:val="-2"/>
        </w:rPr>
        <w:t> </w:t>
      </w:r>
      <w:r>
        <w:rPr/>
        <w:t>the</w:t>
      </w:r>
      <w:r>
        <w:rPr>
          <w:spacing w:val="-3"/>
        </w:rPr>
        <w:t> </w:t>
      </w:r>
      <w:r>
        <w:rPr/>
        <w:t>Super</w:t>
      </w:r>
      <w:r>
        <w:rPr>
          <w:spacing w:val="-2"/>
        </w:rPr>
        <w:t> </w:t>
      </w:r>
      <w:r>
        <w:rPr/>
        <w:t>League</w:t>
      </w:r>
      <w:r>
        <w:rPr>
          <w:spacing w:val="-3"/>
        </w:rPr>
        <w:t> </w:t>
      </w:r>
      <w:r>
        <w:rPr/>
        <w:t>2020</w:t>
      </w:r>
      <w:r>
        <w:rPr>
          <w:spacing w:val="-2"/>
        </w:rPr>
        <w:t> </w:t>
      </w:r>
      <w:r>
        <w:rPr/>
        <w:t>Team</w:t>
      </w:r>
      <w:r>
        <w:rPr>
          <w:spacing w:val="-2"/>
        </w:rPr>
        <w:t> </w:t>
      </w:r>
      <w:r>
        <w:rPr/>
        <w:t>of</w:t>
      </w:r>
      <w:r>
        <w:rPr>
          <w:spacing w:val="-3"/>
        </w:rPr>
        <w:t> </w:t>
      </w:r>
      <w:r>
        <w:rPr/>
        <w:t>the</w:t>
      </w:r>
      <w:r>
        <w:rPr>
          <w:spacing w:val="-2"/>
        </w:rPr>
        <w:t> </w:t>
      </w:r>
      <w:r>
        <w:rPr/>
        <w:t>Year</w:t>
      </w:r>
      <w:r>
        <w:rPr>
          <w:spacing w:val="-2"/>
        </w:rPr>
        <w:t> </w:t>
      </w:r>
      <w:r>
        <w:rPr/>
        <w:t>and</w:t>
      </w:r>
      <w:r>
        <w:rPr>
          <w:spacing w:val="-3"/>
        </w:rPr>
        <w:t> </w:t>
      </w:r>
      <w:r>
        <w:rPr/>
        <w:t>one</w:t>
      </w:r>
      <w:r>
        <w:rPr>
          <w:spacing w:val="-2"/>
        </w:rPr>
        <w:t> </w:t>
      </w:r>
      <w:r>
        <w:rPr/>
        <w:t>was</w:t>
      </w:r>
      <w:r>
        <w:rPr>
          <w:spacing w:val="-2"/>
        </w:rPr>
        <w:t> </w:t>
      </w:r>
      <w:r>
        <w:rPr/>
        <w:t>voted</w:t>
      </w:r>
      <w:r>
        <w:rPr>
          <w:spacing w:val="-3"/>
        </w:rPr>
        <w:t> </w:t>
      </w:r>
      <w:r>
        <w:rPr/>
        <w:t>as</w:t>
      </w:r>
      <w:r>
        <w:rPr>
          <w:spacing w:val="-2"/>
        </w:rPr>
        <w:t> </w:t>
      </w:r>
      <w:r>
        <w:rPr/>
        <w:t>the Young</w:t>
      </w:r>
      <w:r>
        <w:rPr>
          <w:spacing w:val="-12"/>
        </w:rPr>
        <w:t> </w:t>
      </w:r>
      <w:r>
        <w:rPr/>
        <w:t>Player</w:t>
      </w:r>
      <w:r>
        <w:rPr>
          <w:spacing w:val="-12"/>
        </w:rPr>
        <w:t> </w:t>
      </w:r>
      <w:r>
        <w:rPr/>
        <w:t>of</w:t>
      </w:r>
      <w:r>
        <w:rPr>
          <w:spacing w:val="-12"/>
        </w:rPr>
        <w:t> </w:t>
      </w:r>
      <w:r>
        <w:rPr/>
        <w:t>the</w:t>
      </w:r>
      <w:r>
        <w:rPr>
          <w:spacing w:val="-12"/>
        </w:rPr>
        <w:t> </w:t>
      </w:r>
      <w:r>
        <w:rPr/>
        <w:t>Year. This</w:t>
      </w:r>
      <w:r>
        <w:rPr>
          <w:spacing w:val="-12"/>
        </w:rPr>
        <w:t> </w:t>
      </w:r>
      <w:r>
        <w:rPr/>
        <w:t>is</w:t>
      </w:r>
      <w:r>
        <w:rPr>
          <w:spacing w:val="-12"/>
        </w:rPr>
        <w:t> </w:t>
      </w:r>
      <w:r>
        <w:rPr/>
        <w:t>despite</w:t>
      </w:r>
      <w:r>
        <w:rPr>
          <w:spacing w:val="-12"/>
        </w:rPr>
        <w:t> </w:t>
      </w:r>
      <w:r>
        <w:rPr/>
        <w:t>two</w:t>
      </w:r>
      <w:r>
        <w:rPr>
          <w:spacing w:val="-12"/>
        </w:rPr>
        <w:t> </w:t>
      </w:r>
      <w:r>
        <w:rPr/>
        <w:t>of</w:t>
      </w:r>
      <w:r>
        <w:rPr>
          <w:spacing w:val="-12"/>
        </w:rPr>
        <w:t> </w:t>
      </w:r>
      <w:r>
        <w:rPr/>
        <w:t>the</w:t>
      </w:r>
      <w:r>
        <w:rPr>
          <w:spacing w:val="-12"/>
        </w:rPr>
        <w:t> </w:t>
      </w:r>
      <w:r>
        <w:rPr/>
        <w:t>centres</w:t>
      </w:r>
      <w:r>
        <w:rPr>
          <w:spacing w:val="-12"/>
        </w:rPr>
        <w:t> </w:t>
      </w:r>
      <w:r>
        <w:rPr/>
        <w:t>having</w:t>
      </w:r>
      <w:r>
        <w:rPr>
          <w:spacing w:val="-12"/>
        </w:rPr>
        <w:t> </w:t>
      </w:r>
      <w:r>
        <w:rPr/>
        <w:t>relatively</w:t>
      </w:r>
      <w:r>
        <w:rPr>
          <w:spacing w:val="-12"/>
        </w:rPr>
        <w:t> </w:t>
      </w:r>
      <w:r>
        <w:rPr/>
        <w:t>poor</w:t>
      </w:r>
      <w:r>
        <w:rPr>
          <w:spacing w:val="-12"/>
        </w:rPr>
        <w:t> </w:t>
      </w:r>
      <w:r>
        <w:rPr/>
        <w:t>try,</w:t>
      </w:r>
      <w:r>
        <w:rPr>
          <w:spacing w:val="-12"/>
        </w:rPr>
        <w:t> </w:t>
      </w:r>
      <w:r>
        <w:rPr/>
        <w:t>try assist, metre and goal statistics.</w:t>
      </w:r>
      <w:r>
        <w:rPr>
          <w:spacing w:val="30"/>
        </w:rPr>
        <w:t> </w:t>
      </w:r>
      <w:r>
        <w:rPr/>
        <w:t>The high rating of player 21082 is somewhat surprising as</w:t>
      </w:r>
      <w:r>
        <w:rPr>
          <w:spacing w:val="-4"/>
        </w:rPr>
        <w:t> </w:t>
      </w:r>
      <w:r>
        <w:rPr/>
        <w:t>player</w:t>
      </w:r>
      <w:r>
        <w:rPr>
          <w:spacing w:val="-4"/>
        </w:rPr>
        <w:t> </w:t>
      </w:r>
      <w:r>
        <w:rPr/>
        <w:t>20567</w:t>
      </w:r>
      <w:r>
        <w:rPr>
          <w:spacing w:val="-4"/>
        </w:rPr>
        <w:t> </w:t>
      </w:r>
      <w:r>
        <w:rPr/>
        <w:t>is</w:t>
      </w:r>
      <w:r>
        <w:rPr>
          <w:spacing w:val="-4"/>
        </w:rPr>
        <w:t> </w:t>
      </w:r>
      <w:r>
        <w:rPr/>
        <w:t>widely</w:t>
      </w:r>
      <w:r>
        <w:rPr>
          <w:spacing w:val="-4"/>
        </w:rPr>
        <w:t> </w:t>
      </w:r>
      <w:r>
        <w:rPr/>
        <w:t>regarded</w:t>
      </w:r>
      <w:r>
        <w:rPr>
          <w:spacing w:val="-4"/>
        </w:rPr>
        <w:t> </w:t>
      </w:r>
      <w:r>
        <w:rPr/>
        <w:t>to</w:t>
      </w:r>
      <w:r>
        <w:rPr>
          <w:spacing w:val="-4"/>
        </w:rPr>
        <w:t> </w:t>
      </w:r>
      <w:r>
        <w:rPr/>
        <w:t>be</w:t>
      </w:r>
      <w:r>
        <w:rPr>
          <w:spacing w:val="-4"/>
        </w:rPr>
        <w:t> </w:t>
      </w:r>
      <w:r>
        <w:rPr/>
        <w:t>a</w:t>
      </w:r>
      <w:r>
        <w:rPr>
          <w:spacing w:val="-4"/>
        </w:rPr>
        <w:t> </w:t>
      </w:r>
      <w:r>
        <w:rPr/>
        <w:t>better</w:t>
      </w:r>
      <w:r>
        <w:rPr>
          <w:spacing w:val="-4"/>
        </w:rPr>
        <w:t> </w:t>
      </w:r>
      <w:r>
        <w:rPr/>
        <w:t>player,</w:t>
      </w:r>
      <w:r>
        <w:rPr>
          <w:spacing w:val="-3"/>
        </w:rPr>
        <w:t> </w:t>
      </w:r>
      <w:r>
        <w:rPr/>
        <w:t>as</w:t>
      </w:r>
      <w:r>
        <w:rPr>
          <w:spacing w:val="-4"/>
        </w:rPr>
        <w:t> </w:t>
      </w:r>
      <w:r>
        <w:rPr/>
        <w:t>shown</w:t>
      </w:r>
      <w:r>
        <w:rPr>
          <w:spacing w:val="-4"/>
        </w:rPr>
        <w:t> </w:t>
      </w:r>
      <w:r>
        <w:rPr/>
        <w:t>by</w:t>
      </w:r>
      <w:r>
        <w:rPr>
          <w:spacing w:val="-4"/>
        </w:rPr>
        <w:t> </w:t>
      </w:r>
      <w:r>
        <w:rPr/>
        <w:t>his</w:t>
      </w:r>
      <w:r>
        <w:rPr>
          <w:spacing w:val="-4"/>
        </w:rPr>
        <w:t> </w:t>
      </w:r>
      <w:r>
        <w:rPr/>
        <w:t>better</w:t>
      </w:r>
      <w:r>
        <w:rPr>
          <w:spacing w:val="-4"/>
        </w:rPr>
        <w:t> </w:t>
      </w:r>
      <w:r>
        <w:rPr/>
        <w:t>reference statistics, but can possibly be explained by player 21082’s season consisting of 156 ac- tions</w:t>
      </w:r>
      <w:r>
        <w:rPr>
          <w:spacing w:val="-11"/>
        </w:rPr>
        <w:t> </w:t>
      </w:r>
      <w:r>
        <w:rPr/>
        <w:t>(only</w:t>
      </w:r>
      <w:r>
        <w:rPr>
          <w:spacing w:val="-11"/>
        </w:rPr>
        <w:t> </w:t>
      </w:r>
      <w:r>
        <w:rPr/>
        <w:t>just</w:t>
      </w:r>
      <w:r>
        <w:rPr>
          <w:spacing w:val="-11"/>
        </w:rPr>
        <w:t> </w:t>
      </w:r>
      <w:r>
        <w:rPr/>
        <w:t>above</w:t>
      </w:r>
      <w:r>
        <w:rPr>
          <w:spacing w:val="-11"/>
        </w:rPr>
        <w:t> </w:t>
      </w:r>
      <w:r>
        <w:rPr/>
        <w:t>the</w:t>
      </w:r>
      <w:r>
        <w:rPr>
          <w:spacing w:val="-11"/>
        </w:rPr>
        <w:t> </w:t>
      </w:r>
      <w:r>
        <w:rPr/>
        <w:t>150</w:t>
      </w:r>
      <w:r>
        <w:rPr>
          <w:spacing w:val="-11"/>
        </w:rPr>
        <w:t> </w:t>
      </w:r>
      <w:r>
        <w:rPr/>
        <w:t>action</w:t>
      </w:r>
      <w:r>
        <w:rPr>
          <w:spacing w:val="-11"/>
        </w:rPr>
        <w:t> </w:t>
      </w:r>
      <w:r>
        <w:rPr/>
        <w:t>threshold</w:t>
      </w:r>
      <w:r>
        <w:rPr>
          <w:spacing w:val="-11"/>
        </w:rPr>
        <w:t> </w:t>
      </w:r>
      <w:r>
        <w:rPr/>
        <w:t>for</w:t>
      </w:r>
      <w:r>
        <w:rPr>
          <w:spacing w:val="-11"/>
        </w:rPr>
        <w:t> </w:t>
      </w:r>
      <w:r>
        <w:rPr/>
        <w:t>inclusion),</w:t>
      </w:r>
      <w:r>
        <w:rPr>
          <w:spacing w:val="-10"/>
        </w:rPr>
        <w:t> </w:t>
      </w:r>
      <w:r>
        <w:rPr/>
        <w:t>compared</w:t>
      </w:r>
      <w:r>
        <w:rPr>
          <w:spacing w:val="-11"/>
        </w:rPr>
        <w:t> </w:t>
      </w:r>
      <w:r>
        <w:rPr/>
        <w:t>to</w:t>
      </w:r>
      <w:r>
        <w:rPr>
          <w:spacing w:val="-11"/>
        </w:rPr>
        <w:t> </w:t>
      </w:r>
      <w:r>
        <w:rPr/>
        <w:t>player</w:t>
      </w:r>
      <w:r>
        <w:rPr>
          <w:spacing w:val="-11"/>
        </w:rPr>
        <w:t> </w:t>
      </w:r>
      <w:r>
        <w:rPr/>
        <w:t>20567’s 395 actions from the same position.</w:t>
      </w:r>
    </w:p>
    <w:p>
      <w:pPr>
        <w:pStyle w:val="BodyText"/>
        <w:spacing w:before="3"/>
        <w:rPr>
          <w:sz w:val="30"/>
        </w:rPr>
      </w:pPr>
    </w:p>
    <w:p>
      <w:pPr>
        <w:pStyle w:val="Heading4"/>
        <w:numPr>
          <w:ilvl w:val="3"/>
          <w:numId w:val="21"/>
        </w:numPr>
        <w:tabs>
          <w:tab w:pos="1506" w:val="left" w:leader="none"/>
          <w:tab w:pos="1508" w:val="left" w:leader="none"/>
        </w:tabs>
        <w:spacing w:line="240" w:lineRule="auto" w:before="0" w:after="0"/>
        <w:ind w:left="1507" w:right="0" w:hanging="898"/>
        <w:jc w:val="left"/>
      </w:pPr>
      <w:bookmarkStart w:name="4.3.1.2 Contextual Insights" w:id="200"/>
      <w:bookmarkEnd w:id="200"/>
      <w:r>
        <w:rPr>
          <w:b w:val="0"/>
        </w:rPr>
      </w:r>
      <w:bookmarkStart w:name="_bookmark115" w:id="201"/>
      <w:bookmarkEnd w:id="201"/>
      <w:r>
        <w:rPr/>
        <w:t>Contextual</w:t>
      </w:r>
      <w:r>
        <w:rPr>
          <w:spacing w:val="-13"/>
        </w:rPr>
        <w:t> </w:t>
      </w:r>
      <w:r>
        <w:rPr>
          <w:spacing w:val="-2"/>
        </w:rPr>
        <w:t>Insights</w:t>
      </w:r>
    </w:p>
    <w:p>
      <w:pPr>
        <w:pStyle w:val="BodyText"/>
        <w:spacing w:line="312" w:lineRule="auto" w:before="244"/>
        <w:ind w:left="610" w:right="389"/>
      </w:pPr>
      <w:r>
        <w:rPr/>
        <w:t>Alongside MDP</w:t>
      </w:r>
      <w:r>
        <w:rPr>
          <w:vertAlign w:val="subscript"/>
        </w:rPr>
        <w:t>nc</w:t>
      </w:r>
      <w:r>
        <w:rPr>
          <w:vertAlign w:val="baseline"/>
        </w:rPr>
        <w:t>,</w:t>
      </w:r>
      <w:r>
        <w:rPr>
          <w:spacing w:val="32"/>
          <w:vertAlign w:val="baseline"/>
        </w:rPr>
        <w:t> </w:t>
      </w:r>
      <w:r>
        <w:rPr>
          <w:vertAlign w:val="baseline"/>
        </w:rPr>
        <w:t>which evaluated player performances using all data from the 2020</w:t>
      </w:r>
      <w:r>
        <w:rPr>
          <w:spacing w:val="80"/>
          <w:vertAlign w:val="baseline"/>
        </w:rPr>
        <w:t> </w:t>
      </w:r>
      <w:r>
        <w:rPr>
          <w:vertAlign w:val="baseline"/>
        </w:rPr>
        <w:t>Super</w:t>
      </w:r>
      <w:r>
        <w:rPr>
          <w:spacing w:val="25"/>
          <w:vertAlign w:val="baseline"/>
        </w:rPr>
        <w:t> </w:t>
      </w:r>
      <w:r>
        <w:rPr>
          <w:vertAlign w:val="baseline"/>
        </w:rPr>
        <w:t>League</w:t>
      </w:r>
      <w:r>
        <w:rPr>
          <w:spacing w:val="25"/>
          <w:vertAlign w:val="baseline"/>
        </w:rPr>
        <w:t> </w:t>
      </w:r>
      <w:r>
        <w:rPr>
          <w:vertAlign w:val="baseline"/>
        </w:rPr>
        <w:t>season,</w:t>
      </w:r>
      <w:r>
        <w:rPr>
          <w:spacing w:val="33"/>
          <w:vertAlign w:val="baseline"/>
        </w:rPr>
        <w:t> </w:t>
      </w:r>
      <w:r>
        <w:rPr>
          <w:vertAlign w:val="baseline"/>
        </w:rPr>
        <w:t>MDP</w:t>
      </w:r>
      <w:r>
        <w:rPr>
          <w:vertAlign w:val="subscript"/>
        </w:rPr>
        <w:t>period</w:t>
      </w:r>
      <w:r>
        <w:rPr>
          <w:spacing w:val="35"/>
          <w:vertAlign w:val="baseline"/>
        </w:rPr>
        <w:t> </w:t>
      </w:r>
      <w:r>
        <w:rPr>
          <w:vertAlign w:val="baseline"/>
        </w:rPr>
        <w:t>and</w:t>
      </w:r>
      <w:r>
        <w:rPr>
          <w:spacing w:val="25"/>
          <w:vertAlign w:val="baseline"/>
        </w:rPr>
        <w:t> </w:t>
      </w:r>
      <w:r>
        <w:rPr>
          <w:vertAlign w:val="baseline"/>
        </w:rPr>
        <w:t>MDP</w:t>
      </w:r>
      <w:r>
        <w:rPr>
          <w:vertAlign w:val="subscript"/>
        </w:rPr>
        <w:t>score</w:t>
      </w:r>
      <w:r>
        <w:rPr>
          <w:spacing w:val="35"/>
          <w:vertAlign w:val="baseline"/>
        </w:rPr>
        <w:t> </w:t>
      </w:r>
      <w:r>
        <w:rPr>
          <w:vertAlign w:val="baseline"/>
        </w:rPr>
        <w:t>were</w:t>
      </w:r>
      <w:r>
        <w:rPr>
          <w:spacing w:val="25"/>
          <w:vertAlign w:val="baseline"/>
        </w:rPr>
        <w:t> </w:t>
      </w:r>
      <w:r>
        <w:rPr>
          <w:vertAlign w:val="baseline"/>
        </w:rPr>
        <w:t>used</w:t>
      </w:r>
      <w:r>
        <w:rPr>
          <w:spacing w:val="25"/>
          <w:vertAlign w:val="baseline"/>
        </w:rPr>
        <w:t> </w:t>
      </w:r>
      <w:r>
        <w:rPr>
          <w:vertAlign w:val="baseline"/>
        </w:rPr>
        <w:t>to</w:t>
      </w:r>
      <w:r>
        <w:rPr>
          <w:spacing w:val="25"/>
          <w:vertAlign w:val="baseline"/>
        </w:rPr>
        <w:t> </w:t>
      </w:r>
      <w:r>
        <w:rPr>
          <w:vertAlign w:val="baseline"/>
        </w:rPr>
        <w:t>assess</w:t>
      </w:r>
      <w:r>
        <w:rPr>
          <w:spacing w:val="25"/>
          <w:vertAlign w:val="baseline"/>
        </w:rPr>
        <w:t> </w:t>
      </w:r>
      <w:r>
        <w:rPr>
          <w:vertAlign w:val="baseline"/>
        </w:rPr>
        <w:t>the</w:t>
      </w:r>
      <w:r>
        <w:rPr>
          <w:spacing w:val="25"/>
          <w:vertAlign w:val="baseline"/>
        </w:rPr>
        <w:t> </w:t>
      </w:r>
      <w:r>
        <w:rPr>
          <w:vertAlign w:val="baseline"/>
        </w:rPr>
        <w:t>context</w:t>
      </w:r>
      <w:r>
        <w:rPr>
          <w:spacing w:val="25"/>
          <w:vertAlign w:val="baseline"/>
        </w:rPr>
        <w:t> </w:t>
      </w:r>
      <w:r>
        <w:rPr>
          <w:vertAlign w:val="baseline"/>
        </w:rPr>
        <w:t>nodes’ ability to provide further insights into player performances.</w:t>
      </w:r>
      <w:r>
        <w:rPr>
          <w:spacing w:val="40"/>
          <w:vertAlign w:val="baseline"/>
        </w:rPr>
        <w:t> </w:t>
      </w:r>
      <w:r>
        <w:rPr>
          <w:vertAlign w:val="baseline"/>
        </w:rPr>
        <w:t>The benefit of using these nodes</w:t>
      </w:r>
      <w:r>
        <w:rPr>
          <w:spacing w:val="23"/>
          <w:vertAlign w:val="baseline"/>
        </w:rPr>
        <w:t> </w:t>
      </w:r>
      <w:r>
        <w:rPr>
          <w:vertAlign w:val="baseline"/>
        </w:rPr>
        <w:t>is</w:t>
      </w:r>
      <w:r>
        <w:rPr>
          <w:spacing w:val="23"/>
          <w:vertAlign w:val="baseline"/>
        </w:rPr>
        <w:t> </w:t>
      </w:r>
      <w:r>
        <w:rPr>
          <w:vertAlign w:val="baseline"/>
        </w:rPr>
        <w:t>shown</w:t>
      </w:r>
      <w:r>
        <w:rPr>
          <w:spacing w:val="23"/>
          <w:vertAlign w:val="baseline"/>
        </w:rPr>
        <w:t> </w:t>
      </w:r>
      <w:r>
        <w:rPr>
          <w:vertAlign w:val="baseline"/>
        </w:rPr>
        <w:t>by</w:t>
      </w:r>
      <w:r>
        <w:rPr>
          <w:spacing w:val="23"/>
          <w:vertAlign w:val="baseline"/>
        </w:rPr>
        <w:t> </w:t>
      </w:r>
      <w:r>
        <w:rPr>
          <w:vertAlign w:val="baseline"/>
        </w:rPr>
        <w:t>evaluating</w:t>
      </w:r>
      <w:r>
        <w:rPr>
          <w:spacing w:val="23"/>
          <w:vertAlign w:val="baseline"/>
        </w:rPr>
        <w:t> </w:t>
      </w:r>
      <w:r>
        <w:rPr>
          <w:vertAlign w:val="baseline"/>
        </w:rPr>
        <w:t>the</w:t>
      </w:r>
      <w:r>
        <w:rPr>
          <w:spacing w:val="23"/>
          <w:vertAlign w:val="baseline"/>
        </w:rPr>
        <w:t> </w:t>
      </w:r>
      <w:r>
        <w:rPr>
          <w:vertAlign w:val="baseline"/>
        </w:rPr>
        <w:t>five</w:t>
      </w:r>
      <w:r>
        <w:rPr>
          <w:spacing w:val="23"/>
          <w:vertAlign w:val="baseline"/>
        </w:rPr>
        <w:t> </w:t>
      </w:r>
      <w:r>
        <w:rPr>
          <w:vertAlign w:val="baseline"/>
        </w:rPr>
        <w:t>players</w:t>
      </w:r>
      <w:r>
        <w:rPr>
          <w:spacing w:val="23"/>
          <w:vertAlign w:val="baseline"/>
        </w:rPr>
        <w:t> </w:t>
      </w:r>
      <w:r>
        <w:rPr>
          <w:vertAlign w:val="baseline"/>
        </w:rPr>
        <w:t>nominated</w:t>
      </w:r>
      <w:r>
        <w:rPr>
          <w:spacing w:val="23"/>
          <w:vertAlign w:val="baseline"/>
        </w:rPr>
        <w:t> </w:t>
      </w:r>
      <w:r>
        <w:rPr>
          <w:vertAlign w:val="baseline"/>
        </w:rPr>
        <w:t>for</w:t>
      </w:r>
      <w:r>
        <w:rPr>
          <w:spacing w:val="23"/>
          <w:vertAlign w:val="baseline"/>
        </w:rPr>
        <w:t> </w:t>
      </w:r>
      <w:r>
        <w:rPr>
          <w:vertAlign w:val="baseline"/>
        </w:rPr>
        <w:t>the</w:t>
      </w:r>
      <w:r>
        <w:rPr>
          <w:spacing w:val="23"/>
          <w:vertAlign w:val="baseline"/>
        </w:rPr>
        <w:t> </w:t>
      </w:r>
      <w:r>
        <w:rPr>
          <w:vertAlign w:val="baseline"/>
        </w:rPr>
        <w:t>Man</w:t>
      </w:r>
      <w:r>
        <w:rPr>
          <w:spacing w:val="23"/>
          <w:vertAlign w:val="baseline"/>
        </w:rPr>
        <w:t> </w:t>
      </w:r>
      <w:r>
        <w:rPr>
          <w:vertAlign w:val="baseline"/>
        </w:rPr>
        <w:t>of</w:t>
      </w:r>
      <w:r>
        <w:rPr>
          <w:spacing w:val="23"/>
          <w:vertAlign w:val="baseline"/>
        </w:rPr>
        <w:t> </w:t>
      </w:r>
      <w:r>
        <w:rPr>
          <w:vertAlign w:val="baseline"/>
        </w:rPr>
        <w:t>Steel</w:t>
      </w:r>
      <w:r>
        <w:rPr>
          <w:spacing w:val="23"/>
          <w:vertAlign w:val="baseline"/>
        </w:rPr>
        <w:t> </w:t>
      </w:r>
      <w:r>
        <w:rPr>
          <w:vertAlign w:val="baseline"/>
        </w:rPr>
        <w:t>award, given</w:t>
      </w:r>
      <w:r>
        <w:rPr>
          <w:spacing w:val="-9"/>
          <w:vertAlign w:val="baseline"/>
        </w:rPr>
        <w:t> </w:t>
      </w:r>
      <w:r>
        <w:rPr>
          <w:vertAlign w:val="baseline"/>
        </w:rPr>
        <w:t>to</w:t>
      </w:r>
      <w:r>
        <w:rPr>
          <w:spacing w:val="-9"/>
          <w:vertAlign w:val="baseline"/>
        </w:rPr>
        <w:t> </w:t>
      </w:r>
      <w:r>
        <w:rPr>
          <w:vertAlign w:val="baseline"/>
        </w:rPr>
        <w:t>the</w:t>
      </w:r>
      <w:r>
        <w:rPr>
          <w:spacing w:val="-9"/>
          <w:vertAlign w:val="baseline"/>
        </w:rPr>
        <w:t> </w:t>
      </w:r>
      <w:r>
        <w:rPr>
          <w:vertAlign w:val="baseline"/>
        </w:rPr>
        <w:t>best</w:t>
      </w:r>
      <w:r>
        <w:rPr>
          <w:spacing w:val="-9"/>
          <w:vertAlign w:val="baseline"/>
        </w:rPr>
        <w:t> </w:t>
      </w:r>
      <w:r>
        <w:rPr>
          <w:vertAlign w:val="baseline"/>
        </w:rPr>
        <w:t>player</w:t>
      </w:r>
      <w:r>
        <w:rPr>
          <w:spacing w:val="-9"/>
          <w:vertAlign w:val="baseline"/>
        </w:rPr>
        <w:t> </w:t>
      </w:r>
      <w:r>
        <w:rPr>
          <w:vertAlign w:val="baseline"/>
        </w:rPr>
        <w:t>in</w:t>
      </w:r>
      <w:r>
        <w:rPr>
          <w:spacing w:val="-9"/>
          <w:vertAlign w:val="baseline"/>
        </w:rPr>
        <w:t> </w:t>
      </w:r>
      <w:r>
        <w:rPr>
          <w:vertAlign w:val="baseline"/>
        </w:rPr>
        <w:t>the</w:t>
      </w:r>
      <w:r>
        <w:rPr>
          <w:spacing w:val="-9"/>
          <w:vertAlign w:val="baseline"/>
        </w:rPr>
        <w:t> </w:t>
      </w:r>
      <w:r>
        <w:rPr>
          <w:vertAlign w:val="baseline"/>
        </w:rPr>
        <w:t>Super</w:t>
      </w:r>
      <w:r>
        <w:rPr>
          <w:spacing w:val="-9"/>
          <w:vertAlign w:val="baseline"/>
        </w:rPr>
        <w:t> </w:t>
      </w:r>
      <w:r>
        <w:rPr>
          <w:vertAlign w:val="baseline"/>
        </w:rPr>
        <w:t>League</w:t>
      </w:r>
      <w:r>
        <w:rPr>
          <w:spacing w:val="-9"/>
          <w:vertAlign w:val="baseline"/>
        </w:rPr>
        <w:t> </w:t>
      </w:r>
      <w:r>
        <w:rPr>
          <w:vertAlign w:val="baseline"/>
        </w:rPr>
        <w:t>in</w:t>
      </w:r>
      <w:r>
        <w:rPr>
          <w:spacing w:val="-9"/>
          <w:vertAlign w:val="baseline"/>
        </w:rPr>
        <w:t> </w:t>
      </w:r>
      <w:r>
        <w:rPr>
          <w:vertAlign w:val="baseline"/>
        </w:rPr>
        <w:t>2020. It</w:t>
      </w:r>
      <w:r>
        <w:rPr>
          <w:spacing w:val="-9"/>
          <w:vertAlign w:val="baseline"/>
        </w:rPr>
        <w:t> </w:t>
      </w:r>
      <w:r>
        <w:rPr>
          <w:vertAlign w:val="baseline"/>
        </w:rPr>
        <w:t>is</w:t>
      </w:r>
      <w:r>
        <w:rPr>
          <w:spacing w:val="-9"/>
          <w:vertAlign w:val="baseline"/>
        </w:rPr>
        <w:t> </w:t>
      </w:r>
      <w:r>
        <w:rPr>
          <w:vertAlign w:val="baseline"/>
        </w:rPr>
        <w:t>noted</w:t>
      </w:r>
      <w:r>
        <w:rPr>
          <w:spacing w:val="-9"/>
          <w:vertAlign w:val="baseline"/>
        </w:rPr>
        <w:t> </w:t>
      </w:r>
      <w:r>
        <w:rPr>
          <w:vertAlign w:val="baseline"/>
        </w:rPr>
        <w:t>that</w:t>
      </w:r>
      <w:r>
        <w:rPr>
          <w:spacing w:val="-9"/>
          <w:vertAlign w:val="baseline"/>
        </w:rPr>
        <w:t> </w:t>
      </w:r>
      <w:r>
        <w:rPr>
          <w:vertAlign w:val="baseline"/>
        </w:rPr>
        <w:t>none</w:t>
      </w:r>
      <w:r>
        <w:rPr>
          <w:spacing w:val="-9"/>
          <w:vertAlign w:val="baseline"/>
        </w:rPr>
        <w:t> </w:t>
      </w:r>
      <w:r>
        <w:rPr>
          <w:vertAlign w:val="baseline"/>
        </w:rPr>
        <w:t>of</w:t>
      </w:r>
      <w:r>
        <w:rPr>
          <w:spacing w:val="-9"/>
          <w:vertAlign w:val="baseline"/>
        </w:rPr>
        <w:t> </w:t>
      </w:r>
      <w:r>
        <w:rPr>
          <w:vertAlign w:val="baseline"/>
        </w:rPr>
        <w:t>these</w:t>
      </w:r>
      <w:r>
        <w:rPr>
          <w:spacing w:val="-9"/>
          <w:vertAlign w:val="baseline"/>
        </w:rPr>
        <w:t> </w:t>
      </w:r>
      <w:r>
        <w:rPr>
          <w:vertAlign w:val="baseline"/>
        </w:rPr>
        <w:t>players are</w:t>
      </w:r>
      <w:r>
        <w:rPr>
          <w:spacing w:val="30"/>
          <w:vertAlign w:val="baseline"/>
        </w:rPr>
        <w:t> </w:t>
      </w:r>
      <w:r>
        <w:rPr>
          <w:vertAlign w:val="baseline"/>
        </w:rPr>
        <w:t>included</w:t>
      </w:r>
      <w:r>
        <w:rPr>
          <w:spacing w:val="31"/>
          <w:vertAlign w:val="baseline"/>
        </w:rPr>
        <w:t> </w:t>
      </w:r>
      <w:r>
        <w:rPr>
          <w:vertAlign w:val="baseline"/>
        </w:rPr>
        <w:t>in</w:t>
      </w:r>
      <w:r>
        <w:rPr>
          <w:spacing w:val="30"/>
          <w:vertAlign w:val="baseline"/>
        </w:rPr>
        <w:t> </w:t>
      </w:r>
      <w:r>
        <w:rPr>
          <w:vertAlign w:val="baseline"/>
        </w:rPr>
        <w:t>the</w:t>
      </w:r>
      <w:r>
        <w:rPr>
          <w:spacing w:val="30"/>
          <w:vertAlign w:val="baseline"/>
        </w:rPr>
        <w:t> </w:t>
      </w:r>
      <w:r>
        <w:rPr>
          <w:vertAlign w:val="baseline"/>
        </w:rPr>
        <w:t>top</w:t>
      </w:r>
      <w:r>
        <w:rPr>
          <w:spacing w:val="30"/>
          <w:vertAlign w:val="baseline"/>
        </w:rPr>
        <w:t> </w:t>
      </w:r>
      <w:r>
        <w:rPr>
          <w:vertAlign w:val="baseline"/>
        </w:rPr>
        <w:t>20</w:t>
      </w:r>
      <w:r>
        <w:rPr>
          <w:spacing w:val="31"/>
          <w:vertAlign w:val="baseline"/>
        </w:rPr>
        <w:t> </w:t>
      </w:r>
      <w:r>
        <w:rPr>
          <w:vertAlign w:val="baseline"/>
        </w:rPr>
        <w:t>best</w:t>
      </w:r>
      <w:r>
        <w:rPr>
          <w:spacing w:val="30"/>
          <w:vertAlign w:val="baseline"/>
        </w:rPr>
        <w:t> </w:t>
      </w:r>
      <w:r>
        <w:rPr>
          <w:vertAlign w:val="baseline"/>
        </w:rPr>
        <w:t>players</w:t>
      </w:r>
      <w:r>
        <w:rPr>
          <w:spacing w:val="30"/>
          <w:vertAlign w:val="baseline"/>
        </w:rPr>
        <w:t> </w:t>
      </w:r>
      <w:r>
        <w:rPr>
          <w:vertAlign w:val="baseline"/>
        </w:rPr>
        <w:t>according</w:t>
      </w:r>
      <w:r>
        <w:rPr>
          <w:spacing w:val="31"/>
          <w:vertAlign w:val="baseline"/>
        </w:rPr>
        <w:t> </w:t>
      </w:r>
      <w:r>
        <w:rPr>
          <w:vertAlign w:val="baseline"/>
        </w:rPr>
        <w:t>to</w:t>
      </w:r>
      <w:r>
        <w:rPr>
          <w:spacing w:val="30"/>
          <w:vertAlign w:val="baseline"/>
        </w:rPr>
        <w:t> </w:t>
      </w:r>
      <w:r>
        <w:rPr>
          <w:vertAlign w:val="baseline"/>
        </w:rPr>
        <w:t>the</w:t>
      </w:r>
      <w:r>
        <w:rPr>
          <w:spacing w:val="30"/>
          <w:vertAlign w:val="baseline"/>
        </w:rPr>
        <w:t> </w:t>
      </w:r>
      <w:r>
        <w:rPr>
          <w:vertAlign w:val="baseline"/>
        </w:rPr>
        <w:t>action</w:t>
      </w:r>
      <w:r>
        <w:rPr>
          <w:spacing w:val="31"/>
          <w:vertAlign w:val="baseline"/>
        </w:rPr>
        <w:t> </w:t>
      </w:r>
      <w:r>
        <w:rPr>
          <w:vertAlign w:val="baseline"/>
        </w:rPr>
        <w:t>impact</w:t>
      </w:r>
      <w:r>
        <w:rPr>
          <w:spacing w:val="31"/>
          <w:vertAlign w:val="baseline"/>
        </w:rPr>
        <w:t> </w:t>
      </w:r>
      <w:r>
        <w:rPr>
          <w:vertAlign w:val="baseline"/>
        </w:rPr>
        <w:t>ratings,</w:t>
      </w:r>
      <w:r>
        <w:rPr>
          <w:spacing w:val="39"/>
          <w:vertAlign w:val="baseline"/>
        </w:rPr>
        <w:t> </w:t>
      </w:r>
      <w:r>
        <w:rPr>
          <w:vertAlign w:val="baseline"/>
        </w:rPr>
        <w:t>which is</w:t>
      </w:r>
      <w:r>
        <w:rPr>
          <w:spacing w:val="34"/>
          <w:vertAlign w:val="baseline"/>
        </w:rPr>
        <w:t> </w:t>
      </w:r>
      <w:r>
        <w:rPr>
          <w:vertAlign w:val="baseline"/>
        </w:rPr>
        <w:t>a</w:t>
      </w:r>
      <w:r>
        <w:rPr>
          <w:spacing w:val="34"/>
          <w:vertAlign w:val="baseline"/>
        </w:rPr>
        <w:t> </w:t>
      </w:r>
      <w:r>
        <w:rPr>
          <w:vertAlign w:val="baseline"/>
        </w:rPr>
        <w:t>limitation</w:t>
      </w:r>
      <w:r>
        <w:rPr>
          <w:spacing w:val="34"/>
          <w:vertAlign w:val="baseline"/>
        </w:rPr>
        <w:t> </w:t>
      </w:r>
      <w:r>
        <w:rPr>
          <w:vertAlign w:val="baseline"/>
        </w:rPr>
        <w:t>of</w:t>
      </w:r>
      <w:r>
        <w:rPr>
          <w:spacing w:val="34"/>
          <w:vertAlign w:val="baseline"/>
        </w:rPr>
        <w:t> </w:t>
      </w:r>
      <w:r>
        <w:rPr>
          <w:vertAlign w:val="baseline"/>
        </w:rPr>
        <w:t>the</w:t>
      </w:r>
      <w:r>
        <w:rPr>
          <w:spacing w:val="34"/>
          <w:vertAlign w:val="baseline"/>
        </w:rPr>
        <w:t> </w:t>
      </w:r>
      <w:r>
        <w:rPr>
          <w:vertAlign w:val="baseline"/>
        </w:rPr>
        <w:t>model.</w:t>
      </w:r>
      <w:r>
        <w:rPr>
          <w:spacing w:val="80"/>
          <w:vertAlign w:val="baseline"/>
        </w:rPr>
        <w:t> </w:t>
      </w:r>
      <w:r>
        <w:rPr>
          <w:vertAlign w:val="baseline"/>
        </w:rPr>
        <w:t>Table</w:t>
      </w:r>
      <w:hyperlink w:history="true" w:anchor="_bookmark118">
        <w:r>
          <w:rPr>
            <w:color w:val="0000FF"/>
            <w:vertAlign w:val="baseline"/>
          </w:rPr>
          <w:t>4.7</w:t>
        </w:r>
      </w:hyperlink>
      <w:r>
        <w:rPr>
          <w:vertAlign w:val="baseline"/>
        </w:rPr>
        <w:t>provides</w:t>
      </w:r>
      <w:r>
        <w:rPr>
          <w:spacing w:val="34"/>
          <w:vertAlign w:val="baseline"/>
        </w:rPr>
        <w:t> </w:t>
      </w:r>
      <w:r>
        <w:rPr>
          <w:vertAlign w:val="baseline"/>
        </w:rPr>
        <w:t>the</w:t>
      </w:r>
      <w:r>
        <w:rPr>
          <w:spacing w:val="34"/>
          <w:vertAlign w:val="baseline"/>
        </w:rPr>
        <w:t> </w:t>
      </w:r>
      <w:r>
        <w:rPr>
          <w:vertAlign w:val="baseline"/>
        </w:rPr>
        <w:t>action</w:t>
      </w:r>
      <w:r>
        <w:rPr>
          <w:spacing w:val="34"/>
          <w:vertAlign w:val="baseline"/>
        </w:rPr>
        <w:t> </w:t>
      </w:r>
      <w:r>
        <w:rPr>
          <w:vertAlign w:val="baseline"/>
        </w:rPr>
        <w:t>impact</w:t>
      </w:r>
      <w:r>
        <w:rPr>
          <w:spacing w:val="34"/>
          <w:vertAlign w:val="baseline"/>
        </w:rPr>
        <w:t> </w:t>
      </w:r>
      <w:r>
        <w:rPr>
          <w:vertAlign w:val="baseline"/>
        </w:rPr>
        <w:t>ratings</w:t>
      </w:r>
      <w:r>
        <w:rPr>
          <w:spacing w:val="34"/>
          <w:vertAlign w:val="baseline"/>
        </w:rPr>
        <w:t> </w:t>
      </w:r>
      <w:r>
        <w:rPr>
          <w:vertAlign w:val="baseline"/>
        </w:rPr>
        <w:t>for</w:t>
      </w:r>
      <w:r>
        <w:rPr>
          <w:spacing w:val="34"/>
          <w:vertAlign w:val="baseline"/>
        </w:rPr>
        <w:t> </w:t>
      </w:r>
      <w:r>
        <w:rPr>
          <w:vertAlign w:val="baseline"/>
        </w:rPr>
        <w:t>the</w:t>
      </w:r>
      <w:r>
        <w:rPr>
          <w:spacing w:val="34"/>
          <w:vertAlign w:val="baseline"/>
        </w:rPr>
        <w:t> </w:t>
      </w:r>
      <w:r>
        <w:rPr>
          <w:vertAlign w:val="baseline"/>
        </w:rPr>
        <w:t>five nominated players across the contextual factors used within this study.</w:t>
      </w:r>
      <w:r>
        <w:rPr>
          <w:spacing w:val="40"/>
          <w:vertAlign w:val="baseline"/>
        </w:rPr>
        <w:t> </w:t>
      </w:r>
      <w:r>
        <w:rPr>
          <w:vertAlign w:val="baseline"/>
        </w:rPr>
        <w:t>It clearly shows </w:t>
      </w:r>
      <w:r>
        <w:rPr>
          <w:spacing w:val="-2"/>
          <w:vertAlign w:val="baseline"/>
        </w:rPr>
        <w:t>differences</w:t>
      </w:r>
      <w:r>
        <w:rPr>
          <w:spacing w:val="-6"/>
          <w:vertAlign w:val="baseline"/>
        </w:rPr>
        <w:t> </w:t>
      </w:r>
      <w:r>
        <w:rPr>
          <w:spacing w:val="-2"/>
          <w:vertAlign w:val="baseline"/>
        </w:rPr>
        <w:t>in</w:t>
      </w:r>
      <w:r>
        <w:rPr>
          <w:spacing w:val="-6"/>
          <w:vertAlign w:val="baseline"/>
        </w:rPr>
        <w:t> </w:t>
      </w:r>
      <w:r>
        <w:rPr>
          <w:spacing w:val="-2"/>
          <w:vertAlign w:val="baseline"/>
        </w:rPr>
        <w:t>the</w:t>
      </w:r>
      <w:r>
        <w:rPr>
          <w:spacing w:val="-6"/>
          <w:vertAlign w:val="baseline"/>
        </w:rPr>
        <w:t> </w:t>
      </w:r>
      <w:r>
        <w:rPr>
          <w:spacing w:val="-2"/>
          <w:vertAlign w:val="baseline"/>
        </w:rPr>
        <w:t>action</w:t>
      </w:r>
      <w:r>
        <w:rPr>
          <w:spacing w:val="-6"/>
          <w:vertAlign w:val="baseline"/>
        </w:rPr>
        <w:t> </w:t>
      </w:r>
      <w:r>
        <w:rPr>
          <w:spacing w:val="-2"/>
          <w:vertAlign w:val="baseline"/>
        </w:rPr>
        <w:t>impact</w:t>
      </w:r>
      <w:r>
        <w:rPr>
          <w:spacing w:val="-6"/>
          <w:vertAlign w:val="baseline"/>
        </w:rPr>
        <w:t> </w:t>
      </w:r>
      <w:r>
        <w:rPr>
          <w:spacing w:val="-2"/>
          <w:vertAlign w:val="baseline"/>
        </w:rPr>
        <w:t>ratings</w:t>
      </w:r>
      <w:r>
        <w:rPr>
          <w:spacing w:val="-6"/>
          <w:vertAlign w:val="baseline"/>
        </w:rPr>
        <w:t> </w:t>
      </w:r>
      <w:r>
        <w:rPr>
          <w:spacing w:val="-2"/>
          <w:vertAlign w:val="baseline"/>
        </w:rPr>
        <w:t>between</w:t>
      </w:r>
      <w:r>
        <w:rPr>
          <w:spacing w:val="-6"/>
          <w:vertAlign w:val="baseline"/>
        </w:rPr>
        <w:t> </w:t>
      </w:r>
      <w:r>
        <w:rPr>
          <w:spacing w:val="-2"/>
          <w:vertAlign w:val="baseline"/>
        </w:rPr>
        <w:t>and</w:t>
      </w:r>
      <w:r>
        <w:rPr>
          <w:spacing w:val="-6"/>
          <w:vertAlign w:val="baseline"/>
        </w:rPr>
        <w:t> </w:t>
      </w:r>
      <w:r>
        <w:rPr>
          <w:spacing w:val="-2"/>
          <w:vertAlign w:val="baseline"/>
        </w:rPr>
        <w:t>within</w:t>
      </w:r>
      <w:r>
        <w:rPr>
          <w:spacing w:val="-6"/>
          <w:vertAlign w:val="baseline"/>
        </w:rPr>
        <w:t> </w:t>
      </w:r>
      <w:r>
        <w:rPr>
          <w:spacing w:val="-2"/>
          <w:vertAlign w:val="baseline"/>
        </w:rPr>
        <w:t>players</w:t>
      </w:r>
      <w:r>
        <w:rPr>
          <w:spacing w:val="-6"/>
          <w:vertAlign w:val="baseline"/>
        </w:rPr>
        <w:t> </w:t>
      </w:r>
      <w:r>
        <w:rPr>
          <w:spacing w:val="-2"/>
          <w:vertAlign w:val="baseline"/>
        </w:rPr>
        <w:t>as</w:t>
      </w:r>
      <w:r>
        <w:rPr>
          <w:spacing w:val="-6"/>
          <w:vertAlign w:val="baseline"/>
        </w:rPr>
        <w:t> </w:t>
      </w:r>
      <w:r>
        <w:rPr>
          <w:spacing w:val="-2"/>
          <w:vertAlign w:val="baseline"/>
        </w:rPr>
        <w:t>the</w:t>
      </w:r>
      <w:r>
        <w:rPr>
          <w:spacing w:val="-6"/>
          <w:vertAlign w:val="baseline"/>
        </w:rPr>
        <w:t> </w:t>
      </w:r>
      <w:r>
        <w:rPr>
          <w:spacing w:val="-2"/>
          <w:vertAlign w:val="baseline"/>
        </w:rPr>
        <w:t>context</w:t>
      </w:r>
      <w:r>
        <w:rPr>
          <w:spacing w:val="-6"/>
          <w:vertAlign w:val="baseline"/>
        </w:rPr>
        <w:t> </w:t>
      </w:r>
      <w:r>
        <w:rPr>
          <w:spacing w:val="-2"/>
          <w:vertAlign w:val="baseline"/>
        </w:rPr>
        <w:t>changes. </w:t>
      </w:r>
      <w:r>
        <w:rPr>
          <w:vertAlign w:val="baseline"/>
        </w:rPr>
        <w:t>For example, all players except player 2805 show a reduction in action impact rating in the second half compared to the first.</w:t>
      </w:r>
      <w:r>
        <w:rPr>
          <w:spacing w:val="40"/>
          <w:vertAlign w:val="baseline"/>
        </w:rPr>
        <w:t> </w:t>
      </w:r>
      <w:r>
        <w:rPr>
          <w:vertAlign w:val="baseline"/>
        </w:rPr>
        <w:t>Such a rating provides tactical insight that player 2805</w:t>
      </w:r>
      <w:r>
        <w:rPr>
          <w:spacing w:val="-2"/>
          <w:vertAlign w:val="baseline"/>
        </w:rPr>
        <w:t> </w:t>
      </w:r>
      <w:r>
        <w:rPr>
          <w:vertAlign w:val="baseline"/>
        </w:rPr>
        <w:t>is</w:t>
      </w:r>
      <w:r>
        <w:rPr>
          <w:spacing w:val="-1"/>
          <w:vertAlign w:val="baseline"/>
        </w:rPr>
        <w:t> </w:t>
      </w:r>
      <w:r>
        <w:rPr>
          <w:vertAlign w:val="baseline"/>
        </w:rPr>
        <w:t>particularly</w:t>
      </w:r>
      <w:r>
        <w:rPr>
          <w:spacing w:val="-2"/>
          <w:vertAlign w:val="baseline"/>
        </w:rPr>
        <w:t> </w:t>
      </w:r>
      <w:r>
        <w:rPr>
          <w:vertAlign w:val="baseline"/>
        </w:rPr>
        <w:t>dangerous</w:t>
      </w:r>
      <w:r>
        <w:rPr>
          <w:spacing w:val="-2"/>
          <w:vertAlign w:val="baseline"/>
        </w:rPr>
        <w:t> </w:t>
      </w:r>
      <w:r>
        <w:rPr>
          <w:vertAlign w:val="baseline"/>
        </w:rPr>
        <w:t>in</w:t>
      </w:r>
      <w:r>
        <w:rPr>
          <w:spacing w:val="-1"/>
          <w:vertAlign w:val="baseline"/>
        </w:rPr>
        <w:t> </w:t>
      </w:r>
      <w:r>
        <w:rPr>
          <w:vertAlign w:val="baseline"/>
        </w:rPr>
        <w:t>the</w:t>
      </w:r>
      <w:r>
        <w:rPr>
          <w:spacing w:val="-2"/>
          <w:vertAlign w:val="baseline"/>
        </w:rPr>
        <w:t> </w:t>
      </w:r>
      <w:r>
        <w:rPr>
          <w:vertAlign w:val="baseline"/>
        </w:rPr>
        <w:t>second</w:t>
      </w:r>
      <w:r>
        <w:rPr>
          <w:spacing w:val="-1"/>
          <w:vertAlign w:val="baseline"/>
        </w:rPr>
        <w:t> </w:t>
      </w:r>
      <w:r>
        <w:rPr>
          <w:vertAlign w:val="baseline"/>
        </w:rPr>
        <w:t>half</w:t>
      </w:r>
      <w:r>
        <w:rPr>
          <w:spacing w:val="-2"/>
          <w:vertAlign w:val="baseline"/>
        </w:rPr>
        <w:t> </w:t>
      </w:r>
      <w:r>
        <w:rPr>
          <w:vertAlign w:val="baseline"/>
        </w:rPr>
        <w:t>of</w:t>
      </w:r>
      <w:r>
        <w:rPr>
          <w:spacing w:val="-2"/>
          <w:vertAlign w:val="baseline"/>
        </w:rPr>
        <w:t> </w:t>
      </w:r>
      <w:r>
        <w:rPr>
          <w:vertAlign w:val="baseline"/>
        </w:rPr>
        <w:t>matches.</w:t>
      </w:r>
      <w:r>
        <w:rPr>
          <w:spacing w:val="21"/>
          <w:vertAlign w:val="baseline"/>
        </w:rPr>
        <w:t> </w:t>
      </w:r>
      <w:r>
        <w:rPr>
          <w:vertAlign w:val="baseline"/>
        </w:rPr>
        <w:t>Similarly, player</w:t>
      </w:r>
      <w:r>
        <w:rPr>
          <w:spacing w:val="-2"/>
          <w:vertAlign w:val="baseline"/>
        </w:rPr>
        <w:t> </w:t>
      </w:r>
      <w:r>
        <w:rPr>
          <w:vertAlign w:val="baseline"/>
        </w:rPr>
        <w:t>2228</w:t>
      </w:r>
      <w:r>
        <w:rPr>
          <w:spacing w:val="-1"/>
          <w:vertAlign w:val="baseline"/>
        </w:rPr>
        <w:t> </w:t>
      </w:r>
      <w:r>
        <w:rPr>
          <w:vertAlign w:val="baseline"/>
        </w:rPr>
        <w:t>and player</w:t>
      </w:r>
      <w:r>
        <w:rPr>
          <w:spacing w:val="21"/>
          <w:vertAlign w:val="baseline"/>
        </w:rPr>
        <w:t> </w:t>
      </w:r>
      <w:r>
        <w:rPr>
          <w:vertAlign w:val="baseline"/>
        </w:rPr>
        <w:t>10107</w:t>
      </w:r>
      <w:r>
        <w:rPr>
          <w:spacing w:val="21"/>
          <w:vertAlign w:val="baseline"/>
        </w:rPr>
        <w:t> </w:t>
      </w:r>
      <w:r>
        <w:rPr>
          <w:vertAlign w:val="baseline"/>
        </w:rPr>
        <w:t>are</w:t>
      </w:r>
      <w:r>
        <w:rPr>
          <w:spacing w:val="21"/>
          <w:vertAlign w:val="baseline"/>
        </w:rPr>
        <w:t> </w:t>
      </w:r>
      <w:r>
        <w:rPr>
          <w:vertAlign w:val="baseline"/>
        </w:rPr>
        <w:t>better</w:t>
      </w:r>
      <w:r>
        <w:rPr>
          <w:spacing w:val="21"/>
          <w:vertAlign w:val="baseline"/>
        </w:rPr>
        <w:t> </w:t>
      </w:r>
      <w:r>
        <w:rPr>
          <w:vertAlign w:val="baseline"/>
        </w:rPr>
        <w:t>performers</w:t>
      </w:r>
      <w:r>
        <w:rPr>
          <w:spacing w:val="21"/>
          <w:vertAlign w:val="baseline"/>
        </w:rPr>
        <w:t> </w:t>
      </w:r>
      <w:r>
        <w:rPr>
          <w:vertAlign w:val="baseline"/>
        </w:rPr>
        <w:t>when</w:t>
      </w:r>
      <w:r>
        <w:rPr>
          <w:spacing w:val="21"/>
          <w:vertAlign w:val="baseline"/>
        </w:rPr>
        <w:t> </w:t>
      </w:r>
      <w:r>
        <w:rPr>
          <w:vertAlign w:val="baseline"/>
        </w:rPr>
        <w:t>their</w:t>
      </w:r>
      <w:r>
        <w:rPr>
          <w:spacing w:val="21"/>
          <w:vertAlign w:val="baseline"/>
        </w:rPr>
        <w:t> </w:t>
      </w:r>
      <w:r>
        <w:rPr>
          <w:vertAlign w:val="baseline"/>
        </w:rPr>
        <w:t>team</w:t>
      </w:r>
      <w:r>
        <w:rPr>
          <w:spacing w:val="21"/>
          <w:vertAlign w:val="baseline"/>
        </w:rPr>
        <w:t> </w:t>
      </w:r>
      <w:r>
        <w:rPr>
          <w:vertAlign w:val="baseline"/>
        </w:rPr>
        <w:t>is</w:t>
      </w:r>
      <w:r>
        <w:rPr>
          <w:spacing w:val="21"/>
          <w:vertAlign w:val="baseline"/>
        </w:rPr>
        <w:t> </w:t>
      </w:r>
      <w:r>
        <w:rPr>
          <w:vertAlign w:val="baseline"/>
        </w:rPr>
        <w:t>losing,</w:t>
      </w:r>
      <w:r>
        <w:rPr>
          <w:spacing w:val="28"/>
          <w:vertAlign w:val="baseline"/>
        </w:rPr>
        <w:t> </w:t>
      </w:r>
      <w:r>
        <w:rPr>
          <w:vertAlign w:val="baseline"/>
        </w:rPr>
        <w:t>than</w:t>
      </w:r>
      <w:r>
        <w:rPr>
          <w:spacing w:val="21"/>
          <w:vertAlign w:val="baseline"/>
        </w:rPr>
        <w:t> </w:t>
      </w:r>
      <w:r>
        <w:rPr>
          <w:vertAlign w:val="baseline"/>
        </w:rPr>
        <w:t>when</w:t>
      </w:r>
      <w:r>
        <w:rPr>
          <w:spacing w:val="21"/>
          <w:vertAlign w:val="baseline"/>
        </w:rPr>
        <w:t> </w:t>
      </w:r>
      <w:r>
        <w:rPr>
          <w:vertAlign w:val="baseline"/>
        </w:rPr>
        <w:t>their</w:t>
      </w:r>
      <w:r>
        <w:rPr>
          <w:spacing w:val="21"/>
          <w:vertAlign w:val="baseline"/>
        </w:rPr>
        <w:t> </w:t>
      </w:r>
      <w:r>
        <w:rPr>
          <w:vertAlign w:val="baseline"/>
        </w:rPr>
        <w:t>team</w:t>
      </w:r>
      <w:r>
        <w:rPr>
          <w:spacing w:val="21"/>
          <w:vertAlign w:val="baseline"/>
        </w:rPr>
        <w:t> </w:t>
      </w:r>
      <w:r>
        <w:rPr>
          <w:vertAlign w:val="baseline"/>
        </w:rPr>
        <w:t>is winning.</w:t>
      </w:r>
      <w:r>
        <w:rPr>
          <w:spacing w:val="27"/>
          <w:vertAlign w:val="baseline"/>
        </w:rPr>
        <w:t> </w:t>
      </w:r>
      <w:r>
        <w:rPr>
          <w:vertAlign w:val="baseline"/>
        </w:rPr>
        <w:t>Opposition teams should therefore be aware of this when facing these players’ respective teams.</w:t>
      </w:r>
    </w:p>
    <w:p>
      <w:pPr>
        <w:pStyle w:val="BodyText"/>
        <w:spacing w:before="4"/>
        <w:rPr>
          <w:sz w:val="34"/>
        </w:rPr>
      </w:pPr>
    </w:p>
    <w:p>
      <w:pPr>
        <w:pStyle w:val="Heading3"/>
        <w:numPr>
          <w:ilvl w:val="2"/>
          <w:numId w:val="21"/>
        </w:numPr>
        <w:tabs>
          <w:tab w:pos="1471" w:val="left" w:leader="none"/>
          <w:tab w:pos="1472" w:val="left" w:leader="none"/>
        </w:tabs>
        <w:spacing w:line="240" w:lineRule="auto" w:before="0" w:after="0"/>
        <w:ind w:left="1471" w:right="0" w:hanging="862"/>
        <w:jc w:val="left"/>
      </w:pPr>
      <w:bookmarkStart w:name="4.3.2 Evaluation of Team Performances" w:id="202"/>
      <w:bookmarkEnd w:id="202"/>
      <w:r>
        <w:rPr>
          <w:b w:val="0"/>
        </w:rPr>
      </w:r>
      <w:bookmarkStart w:name="_bookmark116" w:id="203"/>
      <w:bookmarkEnd w:id="203"/>
      <w:r>
        <w:rPr/>
        <w:t>E</w:t>
      </w:r>
      <w:r>
        <w:rPr/>
        <w:t>valuation</w:t>
      </w:r>
      <w:r>
        <w:rPr>
          <w:spacing w:val="5"/>
        </w:rPr>
        <w:t> </w:t>
      </w:r>
      <w:r>
        <w:rPr/>
        <w:t>of</w:t>
      </w:r>
      <w:r>
        <w:rPr>
          <w:spacing w:val="6"/>
        </w:rPr>
        <w:t> </w:t>
      </w:r>
      <w:r>
        <w:rPr/>
        <w:t>Team</w:t>
      </w:r>
      <w:r>
        <w:rPr>
          <w:spacing w:val="6"/>
        </w:rPr>
        <w:t> </w:t>
      </w:r>
      <w:r>
        <w:rPr>
          <w:spacing w:val="-2"/>
        </w:rPr>
        <w:t>Performances</w:t>
      </w:r>
    </w:p>
    <w:p>
      <w:pPr>
        <w:pStyle w:val="BodyText"/>
        <w:spacing w:line="312" w:lineRule="auto" w:before="236"/>
        <w:ind w:left="610" w:right="389"/>
        <w:jc w:val="both"/>
      </w:pPr>
      <w:r>
        <w:rPr/>
        <w:t>To evaluate team performances, the use of context nodes was extended with MDP</w:t>
      </w:r>
      <w:r>
        <w:rPr>
          <w:vertAlign w:val="subscript"/>
        </w:rPr>
        <w:t>team</w:t>
      </w:r>
      <w:r>
        <w:rPr>
          <w:vertAlign w:val="baseline"/>
        </w:rPr>
        <w:t>, which used the team ID as the context node to provide individualised team state, action values.</w:t>
      </w:r>
      <w:r>
        <w:rPr>
          <w:spacing w:val="33"/>
          <w:vertAlign w:val="baseline"/>
        </w:rPr>
        <w:t> </w:t>
      </w:r>
      <w:r>
        <w:rPr>
          <w:vertAlign w:val="baseline"/>
        </w:rPr>
        <w:t>The</w:t>
      </w:r>
      <w:r>
        <w:rPr>
          <w:spacing w:val="3"/>
          <w:vertAlign w:val="baseline"/>
        </w:rPr>
        <w:t> </w:t>
      </w:r>
      <w:r>
        <w:rPr>
          <w:vertAlign w:val="baseline"/>
        </w:rPr>
        <w:t>individualised</w:t>
      </w:r>
      <w:r>
        <w:rPr>
          <w:spacing w:val="3"/>
          <w:vertAlign w:val="baseline"/>
        </w:rPr>
        <w:t> </w:t>
      </w:r>
      <w:r>
        <w:rPr>
          <w:vertAlign w:val="baseline"/>
        </w:rPr>
        <w:t>state,</w:t>
      </w:r>
      <w:r>
        <w:rPr>
          <w:spacing w:val="5"/>
          <w:vertAlign w:val="baseline"/>
        </w:rPr>
        <w:t> </w:t>
      </w:r>
      <w:r>
        <w:rPr>
          <w:vertAlign w:val="baseline"/>
        </w:rPr>
        <w:t>action</w:t>
      </w:r>
      <w:r>
        <w:rPr>
          <w:spacing w:val="3"/>
          <w:vertAlign w:val="baseline"/>
        </w:rPr>
        <w:t> </w:t>
      </w:r>
      <w:r>
        <w:rPr>
          <w:vertAlign w:val="baseline"/>
        </w:rPr>
        <w:t>values</w:t>
      </w:r>
      <w:r>
        <w:rPr>
          <w:spacing w:val="3"/>
          <w:vertAlign w:val="baseline"/>
        </w:rPr>
        <w:t> </w:t>
      </w:r>
      <w:r>
        <w:rPr>
          <w:vertAlign w:val="baseline"/>
        </w:rPr>
        <w:t>can</w:t>
      </w:r>
      <w:r>
        <w:rPr>
          <w:spacing w:val="3"/>
          <w:vertAlign w:val="baseline"/>
        </w:rPr>
        <w:t> </w:t>
      </w:r>
      <w:r>
        <w:rPr>
          <w:vertAlign w:val="baseline"/>
        </w:rPr>
        <w:t>be</w:t>
      </w:r>
      <w:r>
        <w:rPr>
          <w:spacing w:val="3"/>
          <w:vertAlign w:val="baseline"/>
        </w:rPr>
        <w:t> </w:t>
      </w:r>
      <w:r>
        <w:rPr>
          <w:vertAlign w:val="baseline"/>
        </w:rPr>
        <w:t>used</w:t>
      </w:r>
      <w:r>
        <w:rPr>
          <w:spacing w:val="2"/>
          <w:vertAlign w:val="baseline"/>
        </w:rPr>
        <w:t> </w:t>
      </w:r>
      <w:r>
        <w:rPr>
          <w:vertAlign w:val="baseline"/>
        </w:rPr>
        <w:t>to</w:t>
      </w:r>
      <w:r>
        <w:rPr>
          <w:spacing w:val="3"/>
          <w:vertAlign w:val="baseline"/>
        </w:rPr>
        <w:t> </w:t>
      </w:r>
      <w:r>
        <w:rPr>
          <w:vertAlign w:val="baseline"/>
        </w:rPr>
        <w:t>gain</w:t>
      </w:r>
      <w:r>
        <w:rPr>
          <w:spacing w:val="3"/>
          <w:vertAlign w:val="baseline"/>
        </w:rPr>
        <w:t> </w:t>
      </w:r>
      <w:r>
        <w:rPr>
          <w:vertAlign w:val="baseline"/>
        </w:rPr>
        <w:t>insight</w:t>
      </w:r>
      <w:r>
        <w:rPr>
          <w:spacing w:val="3"/>
          <w:vertAlign w:val="baseline"/>
        </w:rPr>
        <w:t> </w:t>
      </w:r>
      <w:r>
        <w:rPr>
          <w:vertAlign w:val="baseline"/>
        </w:rPr>
        <w:t>into</w:t>
      </w:r>
      <w:r>
        <w:rPr>
          <w:spacing w:val="2"/>
          <w:vertAlign w:val="baseline"/>
        </w:rPr>
        <w:t> </w:t>
      </w:r>
      <w:r>
        <w:rPr>
          <w:vertAlign w:val="baseline"/>
        </w:rPr>
        <w:t>the</w:t>
      </w:r>
      <w:r>
        <w:rPr>
          <w:spacing w:val="3"/>
          <w:vertAlign w:val="baseline"/>
        </w:rPr>
        <w:t> </w:t>
      </w:r>
      <w:r>
        <w:rPr>
          <w:spacing w:val="-2"/>
          <w:vertAlign w:val="baseline"/>
        </w:rPr>
        <w:t>value</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117" w:id="204"/>
      <w:bookmarkEnd w:id="204"/>
      <w:r>
        <w:rPr/>
      </w:r>
      <w:r>
        <w:rPr>
          <w:b/>
        </w:rPr>
        <w:t>Table 4.5:</w:t>
      </w:r>
      <w:r>
        <w:rPr>
          <w:b/>
          <w:spacing w:val="40"/>
        </w:rPr>
        <w:t> </w:t>
      </w:r>
      <w:r>
        <w:rPr/>
        <w:t>Top 20 normalised player action impact ratings for the 2020 Super </w:t>
      </w:r>
      <w:r>
        <w:rPr/>
        <w:t>League season, not including goal kicks.</w:t>
      </w:r>
      <w:r>
        <w:rPr>
          <w:spacing w:val="40"/>
        </w:rPr>
        <w:t> </w:t>
      </w:r>
      <w:r>
        <w:rPr/>
        <w:t>Tries, Try Assists, Metres and Goals are provided as references</w:t>
      </w:r>
      <w:r>
        <w:rPr>
          <w:spacing w:val="-14"/>
        </w:rPr>
        <w:t> </w:t>
      </w:r>
      <w:r>
        <w:rPr/>
        <w:t>of</w:t>
      </w:r>
      <w:r>
        <w:rPr>
          <w:spacing w:val="-15"/>
        </w:rPr>
        <w:t> </w:t>
      </w:r>
      <w:r>
        <w:rPr/>
        <w:t>statistics</w:t>
      </w:r>
      <w:r>
        <w:rPr>
          <w:spacing w:val="-14"/>
        </w:rPr>
        <w:t> </w:t>
      </w:r>
      <w:r>
        <w:rPr/>
        <w:t>currently</w:t>
      </w:r>
      <w:r>
        <w:rPr>
          <w:spacing w:val="-14"/>
        </w:rPr>
        <w:t> </w:t>
      </w:r>
      <w:r>
        <w:rPr/>
        <w:t>provided</w:t>
      </w:r>
      <w:r>
        <w:rPr>
          <w:spacing w:val="-15"/>
        </w:rPr>
        <w:t> </w:t>
      </w:r>
      <w:r>
        <w:rPr/>
        <w:t>for</w:t>
      </w:r>
      <w:r>
        <w:rPr>
          <w:spacing w:val="-14"/>
        </w:rPr>
        <w:t> </w:t>
      </w:r>
      <w:r>
        <w:rPr/>
        <w:t>player</w:t>
      </w:r>
      <w:r>
        <w:rPr>
          <w:spacing w:val="-14"/>
        </w:rPr>
        <w:t> </w:t>
      </w:r>
      <w:r>
        <w:rPr/>
        <w:t>performances.</w:t>
      </w:r>
      <w:r>
        <w:rPr>
          <w:spacing w:val="-1"/>
        </w:rPr>
        <w:t> </w:t>
      </w:r>
      <w:r>
        <w:rPr/>
        <w:t>To</w:t>
      </w:r>
      <w:r>
        <w:rPr>
          <w:spacing w:val="-15"/>
        </w:rPr>
        <w:t> </w:t>
      </w:r>
      <w:r>
        <w:rPr/>
        <w:t>protect</w:t>
      </w:r>
      <w:r>
        <w:rPr>
          <w:spacing w:val="-14"/>
        </w:rPr>
        <w:t> </w:t>
      </w:r>
      <w:r>
        <w:rPr/>
        <w:t>anonymity, reference</w:t>
      </w:r>
      <w:r>
        <w:rPr>
          <w:spacing w:val="-8"/>
        </w:rPr>
        <w:t> </w:t>
      </w:r>
      <w:r>
        <w:rPr/>
        <w:t>statistics</w:t>
      </w:r>
      <w:r>
        <w:rPr>
          <w:spacing w:val="-8"/>
        </w:rPr>
        <w:t> </w:t>
      </w:r>
      <w:r>
        <w:rPr/>
        <w:t>are</w:t>
      </w:r>
      <w:r>
        <w:rPr>
          <w:spacing w:val="-8"/>
        </w:rPr>
        <w:t> </w:t>
      </w:r>
      <w:r>
        <w:rPr/>
        <w:t>provided</w:t>
      </w:r>
      <w:r>
        <w:rPr>
          <w:spacing w:val="-8"/>
        </w:rPr>
        <w:t> </w:t>
      </w:r>
      <w:r>
        <w:rPr/>
        <w:t>based</w:t>
      </w:r>
      <w:r>
        <w:rPr>
          <w:spacing w:val="-8"/>
        </w:rPr>
        <w:t> </w:t>
      </w:r>
      <w:r>
        <w:rPr/>
        <w:t>on</w:t>
      </w:r>
      <w:r>
        <w:rPr>
          <w:spacing w:val="-8"/>
        </w:rPr>
        <w:t> </w:t>
      </w:r>
      <w:r>
        <w:rPr/>
        <w:t>the</w:t>
      </w:r>
      <w:r>
        <w:rPr>
          <w:spacing w:val="-8"/>
        </w:rPr>
        <w:t> </w:t>
      </w:r>
      <w:r>
        <w:rPr/>
        <w:t>whole</w:t>
      </w:r>
      <w:r>
        <w:rPr>
          <w:spacing w:val="-8"/>
        </w:rPr>
        <w:t> </w:t>
      </w:r>
      <w:r>
        <w:rPr/>
        <w:t>season</w:t>
      </w:r>
      <w:r>
        <w:rPr>
          <w:spacing w:val="-8"/>
        </w:rPr>
        <w:t> </w:t>
      </w:r>
      <w:r>
        <w:rPr/>
        <w:t>as: T-5</w:t>
      </w:r>
      <w:r>
        <w:rPr>
          <w:spacing w:val="-8"/>
        </w:rPr>
        <w:t> </w:t>
      </w:r>
      <w:r>
        <w:rPr/>
        <w:t>(top</w:t>
      </w:r>
      <w:r>
        <w:rPr>
          <w:spacing w:val="-8"/>
        </w:rPr>
        <w:t> </w:t>
      </w:r>
      <w:r>
        <w:rPr/>
        <w:t>5);</w:t>
      </w:r>
      <w:r>
        <w:rPr>
          <w:spacing w:val="-8"/>
        </w:rPr>
        <w:t> </w:t>
      </w:r>
      <w:r>
        <w:rPr/>
        <w:t>T-10</w:t>
      </w:r>
      <w:r>
        <w:rPr>
          <w:spacing w:val="-8"/>
        </w:rPr>
        <w:t> </w:t>
      </w:r>
      <w:r>
        <w:rPr/>
        <w:t>(top</w:t>
      </w:r>
      <w:r>
        <w:rPr>
          <w:spacing w:val="-8"/>
        </w:rPr>
        <w:t> </w:t>
      </w:r>
      <w:r>
        <w:rPr/>
        <w:t>10), T-20 (top 20) and 20+ (outside top 20).</w:t>
      </w:r>
      <w:r>
        <w:rPr>
          <w:spacing w:val="40"/>
        </w:rPr>
        <w:t> </w:t>
      </w:r>
      <w:r>
        <w:rPr/>
        <w:t>Players completed a minimum of 150 actions across the season.</w:t>
      </w:r>
      <w:r>
        <w:rPr>
          <w:spacing w:val="40"/>
        </w:rPr>
        <w:t> </w:t>
      </w:r>
      <w:r>
        <w:rPr/>
        <w:t>Player names are anonymised, brackets provide position in the table when goal kicks are included in the action impact rating</w:t>
      </w:r>
    </w:p>
    <w:p>
      <w:pPr>
        <w:pStyle w:val="BodyText"/>
        <w:rPr>
          <w:sz w:val="20"/>
        </w:rPr>
      </w:pPr>
    </w:p>
    <w:p>
      <w:pPr>
        <w:pStyle w:val="BodyText"/>
        <w:rPr>
          <w:sz w:val="20"/>
        </w:rPr>
      </w:pPr>
    </w:p>
    <w:p>
      <w:pPr>
        <w:pStyle w:val="BodyText"/>
        <w:spacing w:before="4" w:after="1"/>
        <w:rPr>
          <w:sz w:val="22"/>
        </w:rPr>
      </w:pPr>
    </w:p>
    <w:tbl>
      <w:tblPr>
        <w:tblW w:w="0" w:type="auto"/>
        <w:jc w:val="left"/>
        <w:tblInd w:w="8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295"/>
        <w:gridCol w:w="1449"/>
        <w:gridCol w:w="1614"/>
        <w:gridCol w:w="722"/>
        <w:gridCol w:w="1313"/>
        <w:gridCol w:w="903"/>
        <w:gridCol w:w="797"/>
      </w:tblGrid>
      <w:tr>
        <w:trPr>
          <w:trHeight w:val="272" w:hRule="atLeast"/>
        </w:trPr>
        <w:tc>
          <w:tcPr>
            <w:tcW w:w="1295" w:type="dxa"/>
            <w:tcBorders>
              <w:top w:val="single" w:sz="4" w:space="0" w:color="000000"/>
              <w:bottom w:val="single" w:sz="4" w:space="0" w:color="000000"/>
            </w:tcBorders>
          </w:tcPr>
          <w:p>
            <w:pPr>
              <w:pStyle w:val="TableParagraph"/>
              <w:spacing w:line="253" w:lineRule="exact"/>
              <w:ind w:left="109" w:right="109"/>
              <w:rPr>
                <w:sz w:val="24"/>
              </w:rPr>
            </w:pPr>
            <w:r>
              <w:rPr>
                <w:sz w:val="24"/>
              </w:rPr>
              <w:t>Player</w:t>
            </w:r>
            <w:r>
              <w:rPr>
                <w:spacing w:val="-8"/>
                <w:sz w:val="24"/>
              </w:rPr>
              <w:t> </w:t>
            </w:r>
            <w:r>
              <w:rPr>
                <w:spacing w:val="-5"/>
                <w:sz w:val="24"/>
              </w:rPr>
              <w:t>ID</w:t>
            </w:r>
          </w:p>
        </w:tc>
        <w:tc>
          <w:tcPr>
            <w:tcW w:w="1449" w:type="dxa"/>
            <w:tcBorders>
              <w:top w:val="single" w:sz="4" w:space="0" w:color="000000"/>
              <w:bottom w:val="single" w:sz="4" w:space="0" w:color="000000"/>
            </w:tcBorders>
          </w:tcPr>
          <w:p>
            <w:pPr>
              <w:pStyle w:val="TableParagraph"/>
              <w:spacing w:line="253" w:lineRule="exact"/>
              <w:ind w:left="106" w:right="106"/>
              <w:rPr>
                <w:sz w:val="24"/>
              </w:rPr>
            </w:pPr>
            <w:r>
              <w:rPr>
                <w:spacing w:val="-2"/>
                <w:sz w:val="24"/>
              </w:rPr>
              <w:t>Position</w:t>
            </w:r>
          </w:p>
        </w:tc>
        <w:tc>
          <w:tcPr>
            <w:tcW w:w="1614" w:type="dxa"/>
            <w:tcBorders>
              <w:top w:val="single" w:sz="4" w:space="0" w:color="000000"/>
              <w:bottom w:val="single" w:sz="4" w:space="0" w:color="000000"/>
            </w:tcBorders>
          </w:tcPr>
          <w:p>
            <w:pPr>
              <w:pStyle w:val="TableParagraph"/>
              <w:spacing w:line="253" w:lineRule="exact"/>
              <w:ind w:left="106" w:right="107"/>
              <w:rPr>
                <w:sz w:val="24"/>
              </w:rPr>
            </w:pPr>
            <w:r>
              <w:rPr>
                <w:sz w:val="24"/>
              </w:rPr>
              <w:t>Action</w:t>
            </w:r>
            <w:r>
              <w:rPr>
                <w:spacing w:val="-8"/>
                <w:sz w:val="24"/>
              </w:rPr>
              <w:t> </w:t>
            </w:r>
            <w:r>
              <w:rPr>
                <w:spacing w:val="-2"/>
                <w:sz w:val="24"/>
              </w:rPr>
              <w:t>Impact</w:t>
            </w:r>
          </w:p>
        </w:tc>
        <w:tc>
          <w:tcPr>
            <w:tcW w:w="722" w:type="dxa"/>
            <w:tcBorders>
              <w:top w:val="single" w:sz="4" w:space="0" w:color="000000"/>
              <w:bottom w:val="single" w:sz="4" w:space="0" w:color="000000"/>
            </w:tcBorders>
          </w:tcPr>
          <w:p>
            <w:pPr>
              <w:pStyle w:val="TableParagraph"/>
              <w:spacing w:line="253" w:lineRule="exact"/>
              <w:ind w:left="118"/>
              <w:jc w:val="left"/>
              <w:rPr>
                <w:sz w:val="24"/>
              </w:rPr>
            </w:pPr>
            <w:r>
              <w:rPr>
                <w:spacing w:val="-2"/>
                <w:sz w:val="24"/>
              </w:rPr>
              <w:t>Tries</w:t>
            </w:r>
          </w:p>
        </w:tc>
        <w:tc>
          <w:tcPr>
            <w:tcW w:w="1313" w:type="dxa"/>
            <w:tcBorders>
              <w:top w:val="single" w:sz="4" w:space="0" w:color="000000"/>
              <w:bottom w:val="single" w:sz="4" w:space="0" w:color="000000"/>
            </w:tcBorders>
          </w:tcPr>
          <w:p>
            <w:pPr>
              <w:pStyle w:val="TableParagraph"/>
              <w:spacing w:line="253" w:lineRule="exact"/>
              <w:ind w:left="106" w:right="106"/>
              <w:rPr>
                <w:sz w:val="24"/>
              </w:rPr>
            </w:pPr>
            <w:r>
              <w:rPr>
                <w:sz w:val="24"/>
              </w:rPr>
              <w:t>Try</w:t>
            </w:r>
            <w:r>
              <w:rPr>
                <w:spacing w:val="-14"/>
                <w:sz w:val="24"/>
              </w:rPr>
              <w:t> </w:t>
            </w:r>
            <w:r>
              <w:rPr>
                <w:spacing w:val="-2"/>
                <w:sz w:val="24"/>
              </w:rPr>
              <w:t>Assists</w:t>
            </w:r>
          </w:p>
        </w:tc>
        <w:tc>
          <w:tcPr>
            <w:tcW w:w="903" w:type="dxa"/>
            <w:tcBorders>
              <w:top w:val="single" w:sz="4" w:space="0" w:color="000000"/>
              <w:bottom w:val="single" w:sz="4" w:space="0" w:color="000000"/>
            </w:tcBorders>
          </w:tcPr>
          <w:p>
            <w:pPr>
              <w:pStyle w:val="TableParagraph"/>
              <w:spacing w:line="253" w:lineRule="exact"/>
              <w:ind w:left="103" w:right="103"/>
              <w:rPr>
                <w:sz w:val="24"/>
              </w:rPr>
            </w:pPr>
            <w:r>
              <w:rPr>
                <w:spacing w:val="-2"/>
                <w:sz w:val="24"/>
              </w:rPr>
              <w:t>Metres</w:t>
            </w:r>
          </w:p>
        </w:tc>
        <w:tc>
          <w:tcPr>
            <w:tcW w:w="797" w:type="dxa"/>
            <w:tcBorders>
              <w:top w:val="single" w:sz="4" w:space="0" w:color="000000"/>
              <w:bottom w:val="single" w:sz="4" w:space="0" w:color="000000"/>
            </w:tcBorders>
          </w:tcPr>
          <w:p>
            <w:pPr>
              <w:pStyle w:val="TableParagraph"/>
              <w:spacing w:line="253" w:lineRule="exact"/>
              <w:ind w:left="102" w:right="102"/>
              <w:rPr>
                <w:sz w:val="24"/>
              </w:rPr>
            </w:pPr>
            <w:r>
              <w:rPr>
                <w:spacing w:val="-2"/>
                <w:sz w:val="24"/>
              </w:rPr>
              <w:t>Goals</w:t>
            </w:r>
          </w:p>
        </w:tc>
      </w:tr>
      <w:tr>
        <w:trPr>
          <w:trHeight w:val="283" w:hRule="atLeast"/>
        </w:trPr>
        <w:tc>
          <w:tcPr>
            <w:tcW w:w="1295" w:type="dxa"/>
            <w:tcBorders>
              <w:top w:val="single" w:sz="4" w:space="0" w:color="000000"/>
            </w:tcBorders>
          </w:tcPr>
          <w:p>
            <w:pPr>
              <w:pStyle w:val="TableParagraph"/>
              <w:spacing w:line="249" w:lineRule="exact"/>
              <w:ind w:left="109" w:right="109"/>
              <w:rPr>
                <w:sz w:val="24"/>
              </w:rPr>
            </w:pPr>
            <w:r>
              <w:rPr>
                <w:sz w:val="24"/>
              </w:rPr>
              <w:t>21721</w:t>
            </w:r>
            <w:r>
              <w:rPr>
                <w:spacing w:val="-7"/>
                <w:sz w:val="24"/>
              </w:rPr>
              <w:t> </w:t>
            </w:r>
            <w:r>
              <w:rPr>
                <w:spacing w:val="-5"/>
                <w:sz w:val="24"/>
              </w:rPr>
              <w:t>(1)</w:t>
            </w:r>
          </w:p>
        </w:tc>
        <w:tc>
          <w:tcPr>
            <w:tcW w:w="1449" w:type="dxa"/>
            <w:tcBorders>
              <w:top w:val="single" w:sz="4" w:space="0" w:color="000000"/>
            </w:tcBorders>
          </w:tcPr>
          <w:p>
            <w:pPr>
              <w:pStyle w:val="TableParagraph"/>
              <w:spacing w:line="249" w:lineRule="exact"/>
              <w:ind w:left="106" w:right="106"/>
              <w:rPr>
                <w:sz w:val="24"/>
              </w:rPr>
            </w:pPr>
            <w:r>
              <w:rPr>
                <w:spacing w:val="-2"/>
                <w:sz w:val="24"/>
              </w:rPr>
              <w:t>Winger</w:t>
            </w:r>
          </w:p>
        </w:tc>
        <w:tc>
          <w:tcPr>
            <w:tcW w:w="1614" w:type="dxa"/>
            <w:tcBorders>
              <w:top w:val="single" w:sz="4" w:space="0" w:color="000000"/>
            </w:tcBorders>
          </w:tcPr>
          <w:p>
            <w:pPr>
              <w:pStyle w:val="TableParagraph"/>
              <w:spacing w:line="249" w:lineRule="exact"/>
              <w:ind w:left="106" w:right="107"/>
              <w:rPr>
                <w:sz w:val="24"/>
              </w:rPr>
            </w:pPr>
            <w:r>
              <w:rPr>
                <w:spacing w:val="-2"/>
                <w:sz w:val="24"/>
              </w:rPr>
              <w:t>1.280</w:t>
            </w:r>
          </w:p>
        </w:tc>
        <w:tc>
          <w:tcPr>
            <w:tcW w:w="722" w:type="dxa"/>
            <w:tcBorders>
              <w:top w:val="single" w:sz="4" w:space="0" w:color="000000"/>
            </w:tcBorders>
          </w:tcPr>
          <w:p>
            <w:pPr>
              <w:pStyle w:val="TableParagraph"/>
              <w:spacing w:line="249" w:lineRule="exact"/>
              <w:ind w:left="198"/>
              <w:jc w:val="left"/>
              <w:rPr>
                <w:sz w:val="24"/>
              </w:rPr>
            </w:pPr>
            <w:r>
              <w:rPr>
                <w:spacing w:val="-14"/>
                <w:sz w:val="24"/>
              </w:rPr>
              <w:t>T-</w:t>
            </w:r>
            <w:r>
              <w:rPr>
                <w:spacing w:val="-10"/>
                <w:sz w:val="24"/>
              </w:rPr>
              <w:t>5</w:t>
            </w:r>
          </w:p>
        </w:tc>
        <w:tc>
          <w:tcPr>
            <w:tcW w:w="1313" w:type="dxa"/>
            <w:tcBorders>
              <w:top w:val="single" w:sz="4" w:space="0" w:color="000000"/>
            </w:tcBorders>
          </w:tcPr>
          <w:p>
            <w:pPr>
              <w:pStyle w:val="TableParagraph"/>
              <w:spacing w:line="249" w:lineRule="exact"/>
              <w:ind w:left="105" w:right="106"/>
              <w:rPr>
                <w:sz w:val="24"/>
              </w:rPr>
            </w:pPr>
            <w:r>
              <w:rPr>
                <w:spacing w:val="-5"/>
                <w:sz w:val="24"/>
              </w:rPr>
              <w:t>20+</w:t>
            </w:r>
          </w:p>
        </w:tc>
        <w:tc>
          <w:tcPr>
            <w:tcW w:w="903" w:type="dxa"/>
            <w:tcBorders>
              <w:top w:val="single" w:sz="4" w:space="0" w:color="000000"/>
            </w:tcBorders>
          </w:tcPr>
          <w:p>
            <w:pPr>
              <w:pStyle w:val="TableParagraph"/>
              <w:spacing w:line="249" w:lineRule="exact"/>
              <w:ind w:left="103" w:right="103"/>
              <w:rPr>
                <w:sz w:val="24"/>
              </w:rPr>
            </w:pPr>
            <w:r>
              <w:rPr>
                <w:spacing w:val="-5"/>
                <w:sz w:val="24"/>
              </w:rPr>
              <w:t>20+</w:t>
            </w:r>
          </w:p>
        </w:tc>
        <w:tc>
          <w:tcPr>
            <w:tcW w:w="797" w:type="dxa"/>
            <w:tcBorders>
              <w:top w:val="single" w:sz="4" w:space="0" w:color="000000"/>
            </w:tcBorders>
          </w:tcPr>
          <w:p>
            <w:pPr>
              <w:pStyle w:val="TableParagraph"/>
              <w:spacing w:line="249" w:lineRule="exact"/>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23232</w:t>
            </w:r>
            <w:r>
              <w:rPr>
                <w:spacing w:val="-7"/>
                <w:sz w:val="24"/>
              </w:rPr>
              <w:t> </w:t>
            </w:r>
            <w:r>
              <w:rPr>
                <w:spacing w:val="-5"/>
                <w:sz w:val="24"/>
              </w:rPr>
              <w:t>(3)</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0.994</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21082</w:t>
            </w:r>
            <w:r>
              <w:rPr>
                <w:spacing w:val="-7"/>
                <w:sz w:val="24"/>
              </w:rPr>
              <w:t> </w:t>
            </w:r>
            <w:r>
              <w:rPr>
                <w:spacing w:val="-5"/>
                <w:sz w:val="24"/>
              </w:rPr>
              <w:t>(4)</w:t>
            </w:r>
          </w:p>
        </w:tc>
        <w:tc>
          <w:tcPr>
            <w:tcW w:w="1449" w:type="dxa"/>
          </w:tcPr>
          <w:p>
            <w:pPr>
              <w:pStyle w:val="TableParagraph"/>
              <w:ind w:left="106" w:right="106"/>
              <w:rPr>
                <w:sz w:val="24"/>
              </w:rPr>
            </w:pPr>
            <w:r>
              <w:rPr>
                <w:spacing w:val="-4"/>
                <w:sz w:val="24"/>
              </w:rPr>
              <w:t>Prop</w:t>
            </w:r>
          </w:p>
        </w:tc>
        <w:tc>
          <w:tcPr>
            <w:tcW w:w="1614" w:type="dxa"/>
          </w:tcPr>
          <w:p>
            <w:pPr>
              <w:pStyle w:val="TableParagraph"/>
              <w:ind w:left="106" w:right="107"/>
              <w:rPr>
                <w:sz w:val="24"/>
              </w:rPr>
            </w:pPr>
            <w:r>
              <w:rPr>
                <w:spacing w:val="-2"/>
                <w:sz w:val="24"/>
              </w:rPr>
              <w:t>0.883</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11352</w:t>
            </w:r>
            <w:r>
              <w:rPr>
                <w:spacing w:val="-7"/>
                <w:sz w:val="24"/>
              </w:rPr>
              <w:t> </w:t>
            </w:r>
            <w:r>
              <w:rPr>
                <w:spacing w:val="-5"/>
                <w:sz w:val="24"/>
              </w:rPr>
              <w:t>(5)</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0.813</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10665</w:t>
            </w:r>
            <w:r>
              <w:rPr>
                <w:spacing w:val="-7"/>
                <w:sz w:val="24"/>
              </w:rPr>
              <w:t> </w:t>
            </w:r>
            <w:r>
              <w:rPr>
                <w:spacing w:val="-5"/>
                <w:sz w:val="24"/>
              </w:rPr>
              <w:t>(6)</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0.671</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14"/>
                <w:sz w:val="24"/>
              </w:rPr>
              <w:t>T-</w:t>
            </w:r>
            <w:r>
              <w:rPr>
                <w:spacing w:val="-5"/>
                <w:sz w:val="24"/>
              </w:rPr>
              <w:t>10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24400</w:t>
            </w:r>
            <w:r>
              <w:rPr>
                <w:spacing w:val="-7"/>
                <w:sz w:val="24"/>
              </w:rPr>
              <w:t> </w:t>
            </w:r>
            <w:r>
              <w:rPr>
                <w:spacing w:val="-5"/>
                <w:sz w:val="24"/>
              </w:rPr>
              <w:t>(8)</w:t>
            </w:r>
          </w:p>
        </w:tc>
        <w:tc>
          <w:tcPr>
            <w:tcW w:w="1449" w:type="dxa"/>
          </w:tcPr>
          <w:p>
            <w:pPr>
              <w:pStyle w:val="TableParagraph"/>
              <w:ind w:left="106" w:right="106"/>
              <w:rPr>
                <w:sz w:val="24"/>
              </w:rPr>
            </w:pPr>
            <w:r>
              <w:rPr>
                <w:spacing w:val="-2"/>
                <w:sz w:val="24"/>
              </w:rPr>
              <w:t>Centre</w:t>
            </w:r>
          </w:p>
        </w:tc>
        <w:tc>
          <w:tcPr>
            <w:tcW w:w="1614" w:type="dxa"/>
          </w:tcPr>
          <w:p>
            <w:pPr>
              <w:pStyle w:val="TableParagraph"/>
              <w:ind w:left="106" w:right="107"/>
              <w:rPr>
                <w:sz w:val="24"/>
              </w:rPr>
            </w:pPr>
            <w:r>
              <w:rPr>
                <w:spacing w:val="-2"/>
                <w:sz w:val="24"/>
              </w:rPr>
              <w:t>0.645</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10167</w:t>
            </w:r>
            <w:r>
              <w:rPr>
                <w:spacing w:val="-7"/>
                <w:sz w:val="24"/>
              </w:rPr>
              <w:t> </w:t>
            </w:r>
            <w:r>
              <w:rPr>
                <w:spacing w:val="-5"/>
                <w:sz w:val="24"/>
              </w:rPr>
              <w:t>(7)</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0.625</w:t>
            </w:r>
          </w:p>
        </w:tc>
        <w:tc>
          <w:tcPr>
            <w:tcW w:w="722" w:type="dxa"/>
          </w:tcPr>
          <w:p>
            <w:pPr>
              <w:pStyle w:val="TableParagraph"/>
              <w:ind w:left="138"/>
              <w:jc w:val="left"/>
              <w:rPr>
                <w:sz w:val="24"/>
              </w:rPr>
            </w:pPr>
            <w:r>
              <w:rPr>
                <w:spacing w:val="-14"/>
                <w:sz w:val="24"/>
              </w:rPr>
              <w:t>T-</w:t>
            </w: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14"/>
                <w:sz w:val="24"/>
              </w:rPr>
              <w:t>T-</w:t>
            </w:r>
            <w:r>
              <w:rPr>
                <w:spacing w:val="-5"/>
                <w:sz w:val="24"/>
              </w:rPr>
              <w:t>10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2737</w:t>
            </w:r>
            <w:r>
              <w:rPr>
                <w:spacing w:val="-6"/>
                <w:sz w:val="24"/>
              </w:rPr>
              <w:t> </w:t>
            </w:r>
            <w:r>
              <w:rPr>
                <w:spacing w:val="-5"/>
                <w:sz w:val="24"/>
              </w:rPr>
              <w:t>(2)</w:t>
            </w:r>
          </w:p>
        </w:tc>
        <w:tc>
          <w:tcPr>
            <w:tcW w:w="1449" w:type="dxa"/>
          </w:tcPr>
          <w:p>
            <w:pPr>
              <w:pStyle w:val="TableParagraph"/>
              <w:ind w:left="106" w:right="106"/>
              <w:rPr>
                <w:sz w:val="24"/>
              </w:rPr>
            </w:pPr>
            <w:r>
              <w:rPr>
                <w:spacing w:val="-2"/>
                <w:sz w:val="24"/>
              </w:rPr>
              <w:t>Centre</w:t>
            </w:r>
          </w:p>
        </w:tc>
        <w:tc>
          <w:tcPr>
            <w:tcW w:w="1614" w:type="dxa"/>
          </w:tcPr>
          <w:p>
            <w:pPr>
              <w:pStyle w:val="TableParagraph"/>
              <w:ind w:left="106" w:right="107"/>
              <w:rPr>
                <w:sz w:val="24"/>
              </w:rPr>
            </w:pPr>
            <w:r>
              <w:rPr>
                <w:spacing w:val="-2"/>
                <w:sz w:val="24"/>
              </w:rPr>
              <w:t>0.611</w:t>
            </w:r>
          </w:p>
        </w:tc>
        <w:tc>
          <w:tcPr>
            <w:tcW w:w="722" w:type="dxa"/>
          </w:tcPr>
          <w:p>
            <w:pPr>
              <w:pStyle w:val="TableParagraph"/>
              <w:ind w:left="138"/>
              <w:jc w:val="left"/>
              <w:rPr>
                <w:sz w:val="24"/>
              </w:rPr>
            </w:pPr>
            <w:r>
              <w:rPr>
                <w:spacing w:val="-14"/>
                <w:sz w:val="24"/>
              </w:rPr>
              <w:t>T-</w:t>
            </w:r>
            <w:r>
              <w:rPr>
                <w:spacing w:val="-5"/>
                <w:sz w:val="24"/>
              </w:rPr>
              <w:t>10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14"/>
                <w:sz w:val="24"/>
              </w:rPr>
              <w:t>T-</w:t>
            </w:r>
            <w:r>
              <w:rPr>
                <w:spacing w:val="-5"/>
                <w:sz w:val="24"/>
              </w:rPr>
              <w:t>10</w:t>
            </w:r>
          </w:p>
        </w:tc>
      </w:tr>
      <w:tr>
        <w:trPr>
          <w:trHeight w:val="288" w:hRule="atLeast"/>
        </w:trPr>
        <w:tc>
          <w:tcPr>
            <w:tcW w:w="1295" w:type="dxa"/>
          </w:tcPr>
          <w:p>
            <w:pPr>
              <w:pStyle w:val="TableParagraph"/>
              <w:ind w:left="109" w:right="109"/>
              <w:rPr>
                <w:sz w:val="24"/>
              </w:rPr>
            </w:pPr>
            <w:r>
              <w:rPr>
                <w:sz w:val="24"/>
              </w:rPr>
              <w:t>21286</w:t>
            </w:r>
            <w:r>
              <w:rPr>
                <w:spacing w:val="-7"/>
                <w:sz w:val="24"/>
              </w:rPr>
              <w:t> </w:t>
            </w:r>
            <w:r>
              <w:rPr>
                <w:spacing w:val="-4"/>
                <w:sz w:val="24"/>
              </w:rPr>
              <w:t>(10)</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0.606</w:t>
            </w:r>
          </w:p>
        </w:tc>
        <w:tc>
          <w:tcPr>
            <w:tcW w:w="722" w:type="dxa"/>
          </w:tcPr>
          <w:p>
            <w:pPr>
              <w:pStyle w:val="TableParagraph"/>
              <w:ind w:left="138"/>
              <w:jc w:val="left"/>
              <w:rPr>
                <w:sz w:val="24"/>
              </w:rPr>
            </w:pPr>
            <w:r>
              <w:rPr>
                <w:spacing w:val="-14"/>
                <w:sz w:val="24"/>
              </w:rPr>
              <w:t>T-</w:t>
            </w: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22557</w:t>
            </w:r>
            <w:r>
              <w:rPr>
                <w:spacing w:val="-7"/>
                <w:sz w:val="24"/>
              </w:rPr>
              <w:t> </w:t>
            </w:r>
            <w:r>
              <w:rPr>
                <w:spacing w:val="-4"/>
                <w:sz w:val="24"/>
              </w:rPr>
              <w:t>(11)</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0.600</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20858</w:t>
            </w:r>
            <w:r>
              <w:rPr>
                <w:spacing w:val="-7"/>
                <w:sz w:val="24"/>
              </w:rPr>
              <w:t> </w:t>
            </w:r>
            <w:r>
              <w:rPr>
                <w:spacing w:val="-4"/>
                <w:sz w:val="24"/>
              </w:rPr>
              <w:t>(14)</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0.556</w:t>
            </w:r>
          </w:p>
        </w:tc>
        <w:tc>
          <w:tcPr>
            <w:tcW w:w="722" w:type="dxa"/>
          </w:tcPr>
          <w:p>
            <w:pPr>
              <w:pStyle w:val="TableParagraph"/>
              <w:ind w:left="138"/>
              <w:jc w:val="left"/>
              <w:rPr>
                <w:sz w:val="24"/>
              </w:rPr>
            </w:pPr>
            <w:r>
              <w:rPr>
                <w:spacing w:val="-14"/>
                <w:sz w:val="24"/>
              </w:rPr>
              <w:t>T-</w:t>
            </w: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21479</w:t>
            </w:r>
            <w:r>
              <w:rPr>
                <w:spacing w:val="-7"/>
                <w:sz w:val="24"/>
              </w:rPr>
              <w:t> </w:t>
            </w:r>
            <w:r>
              <w:rPr>
                <w:spacing w:val="-4"/>
                <w:sz w:val="24"/>
              </w:rPr>
              <w:t>(15)</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0.552</w:t>
            </w:r>
          </w:p>
        </w:tc>
        <w:tc>
          <w:tcPr>
            <w:tcW w:w="722" w:type="dxa"/>
          </w:tcPr>
          <w:p>
            <w:pPr>
              <w:pStyle w:val="TableParagraph"/>
              <w:ind w:left="198"/>
              <w:jc w:val="left"/>
              <w:rPr>
                <w:sz w:val="24"/>
              </w:rPr>
            </w:pPr>
            <w:r>
              <w:rPr>
                <w:spacing w:val="-14"/>
                <w:sz w:val="24"/>
              </w:rPr>
              <w:t>T-</w:t>
            </w:r>
            <w:r>
              <w:rPr>
                <w:spacing w:val="-10"/>
                <w:sz w:val="24"/>
              </w:rPr>
              <w:t>5</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14"/>
                <w:sz w:val="24"/>
              </w:rPr>
              <w:t>T-</w:t>
            </w:r>
            <w:r>
              <w:rPr>
                <w:spacing w:val="-10"/>
                <w:sz w:val="24"/>
              </w:rPr>
              <w:t>5</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20990</w:t>
            </w:r>
            <w:r>
              <w:rPr>
                <w:spacing w:val="-7"/>
                <w:sz w:val="24"/>
              </w:rPr>
              <w:t> </w:t>
            </w:r>
            <w:r>
              <w:rPr>
                <w:spacing w:val="-4"/>
                <w:sz w:val="24"/>
              </w:rPr>
              <w:t>(19)</w:t>
            </w:r>
          </w:p>
        </w:tc>
        <w:tc>
          <w:tcPr>
            <w:tcW w:w="1449" w:type="dxa"/>
          </w:tcPr>
          <w:p>
            <w:pPr>
              <w:pStyle w:val="TableParagraph"/>
              <w:ind w:left="106" w:right="106"/>
              <w:rPr>
                <w:sz w:val="24"/>
              </w:rPr>
            </w:pPr>
            <w:r>
              <w:rPr>
                <w:sz w:val="24"/>
              </w:rPr>
              <w:t>Second</w:t>
            </w:r>
            <w:r>
              <w:rPr>
                <w:spacing w:val="-9"/>
                <w:sz w:val="24"/>
              </w:rPr>
              <w:t> </w:t>
            </w:r>
            <w:r>
              <w:rPr>
                <w:spacing w:val="-5"/>
                <w:sz w:val="24"/>
              </w:rPr>
              <w:t>Row</w:t>
            </w:r>
          </w:p>
        </w:tc>
        <w:tc>
          <w:tcPr>
            <w:tcW w:w="1614" w:type="dxa"/>
          </w:tcPr>
          <w:p>
            <w:pPr>
              <w:pStyle w:val="TableParagraph"/>
              <w:ind w:left="106" w:right="107"/>
              <w:rPr>
                <w:sz w:val="24"/>
              </w:rPr>
            </w:pPr>
            <w:r>
              <w:rPr>
                <w:spacing w:val="-2"/>
                <w:sz w:val="24"/>
              </w:rPr>
              <w:t>0.550</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21425</w:t>
            </w:r>
            <w:r>
              <w:rPr>
                <w:spacing w:val="-7"/>
                <w:sz w:val="24"/>
              </w:rPr>
              <w:t> </w:t>
            </w:r>
            <w:r>
              <w:rPr>
                <w:spacing w:val="-4"/>
                <w:sz w:val="24"/>
              </w:rPr>
              <w:t>(16)</w:t>
            </w:r>
          </w:p>
        </w:tc>
        <w:tc>
          <w:tcPr>
            <w:tcW w:w="1449" w:type="dxa"/>
          </w:tcPr>
          <w:p>
            <w:pPr>
              <w:pStyle w:val="TableParagraph"/>
              <w:ind w:left="106" w:right="106"/>
              <w:rPr>
                <w:sz w:val="24"/>
              </w:rPr>
            </w:pPr>
            <w:r>
              <w:rPr>
                <w:spacing w:val="-2"/>
                <w:sz w:val="24"/>
              </w:rPr>
              <w:t>Centre</w:t>
            </w:r>
          </w:p>
        </w:tc>
        <w:tc>
          <w:tcPr>
            <w:tcW w:w="1614" w:type="dxa"/>
          </w:tcPr>
          <w:p>
            <w:pPr>
              <w:pStyle w:val="TableParagraph"/>
              <w:ind w:left="106" w:right="107"/>
              <w:rPr>
                <w:sz w:val="24"/>
              </w:rPr>
            </w:pPr>
            <w:r>
              <w:rPr>
                <w:spacing w:val="-2"/>
                <w:sz w:val="24"/>
              </w:rPr>
              <w:t>0.542</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10123</w:t>
            </w:r>
            <w:r>
              <w:rPr>
                <w:spacing w:val="-7"/>
                <w:sz w:val="24"/>
              </w:rPr>
              <w:t> </w:t>
            </w:r>
            <w:r>
              <w:rPr>
                <w:spacing w:val="-4"/>
                <w:sz w:val="24"/>
              </w:rPr>
              <w:t>(20)</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0.502</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3246</w:t>
            </w:r>
            <w:r>
              <w:rPr>
                <w:spacing w:val="-6"/>
                <w:sz w:val="24"/>
              </w:rPr>
              <w:t> </w:t>
            </w:r>
            <w:r>
              <w:rPr>
                <w:spacing w:val="-4"/>
                <w:sz w:val="24"/>
              </w:rPr>
              <w:t>(17)</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0.499</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14"/>
                <w:sz w:val="24"/>
              </w:rPr>
              <w:t>T-</w:t>
            </w:r>
            <w:r>
              <w:rPr>
                <w:spacing w:val="-5"/>
                <w:sz w:val="24"/>
              </w:rPr>
              <w:t>10</w:t>
            </w:r>
          </w:p>
        </w:tc>
        <w:tc>
          <w:tcPr>
            <w:tcW w:w="797" w:type="dxa"/>
          </w:tcPr>
          <w:p>
            <w:pPr>
              <w:pStyle w:val="TableParagraph"/>
              <w:ind w:left="102" w:right="102"/>
              <w:rPr>
                <w:sz w:val="24"/>
              </w:rPr>
            </w:pPr>
            <w:r>
              <w:rPr>
                <w:spacing w:val="-14"/>
                <w:sz w:val="24"/>
              </w:rPr>
              <w:t>T-</w:t>
            </w:r>
            <w:r>
              <w:rPr>
                <w:spacing w:val="-5"/>
                <w:sz w:val="24"/>
              </w:rPr>
              <w:t>20</w:t>
            </w:r>
          </w:p>
        </w:tc>
      </w:tr>
      <w:tr>
        <w:trPr>
          <w:trHeight w:val="288" w:hRule="atLeast"/>
        </w:trPr>
        <w:tc>
          <w:tcPr>
            <w:tcW w:w="1295" w:type="dxa"/>
          </w:tcPr>
          <w:p>
            <w:pPr>
              <w:pStyle w:val="TableParagraph"/>
              <w:ind w:left="109" w:right="109"/>
              <w:rPr>
                <w:sz w:val="24"/>
              </w:rPr>
            </w:pPr>
            <w:r>
              <w:rPr>
                <w:sz w:val="24"/>
              </w:rPr>
              <w:t>20567</w:t>
            </w:r>
            <w:r>
              <w:rPr>
                <w:spacing w:val="-7"/>
                <w:sz w:val="24"/>
              </w:rPr>
              <w:t> </w:t>
            </w:r>
            <w:r>
              <w:rPr>
                <w:spacing w:val="-4"/>
                <w:sz w:val="24"/>
              </w:rPr>
              <w:t>(27)</w:t>
            </w:r>
          </w:p>
        </w:tc>
        <w:tc>
          <w:tcPr>
            <w:tcW w:w="1449" w:type="dxa"/>
          </w:tcPr>
          <w:p>
            <w:pPr>
              <w:pStyle w:val="TableParagraph"/>
              <w:ind w:left="106" w:right="106"/>
              <w:rPr>
                <w:sz w:val="24"/>
              </w:rPr>
            </w:pPr>
            <w:r>
              <w:rPr>
                <w:spacing w:val="-4"/>
                <w:sz w:val="24"/>
              </w:rPr>
              <w:t>Prop</w:t>
            </w:r>
          </w:p>
        </w:tc>
        <w:tc>
          <w:tcPr>
            <w:tcW w:w="1614" w:type="dxa"/>
          </w:tcPr>
          <w:p>
            <w:pPr>
              <w:pStyle w:val="TableParagraph"/>
              <w:ind w:left="106" w:right="107"/>
              <w:rPr>
                <w:sz w:val="24"/>
              </w:rPr>
            </w:pPr>
            <w:r>
              <w:rPr>
                <w:spacing w:val="-2"/>
                <w:sz w:val="24"/>
              </w:rPr>
              <w:t>0.495</w:t>
            </w:r>
          </w:p>
        </w:tc>
        <w:tc>
          <w:tcPr>
            <w:tcW w:w="722" w:type="dxa"/>
          </w:tcPr>
          <w:p>
            <w:pPr>
              <w:pStyle w:val="TableParagraph"/>
              <w:ind w:left="138"/>
              <w:jc w:val="left"/>
              <w:rPr>
                <w:sz w:val="24"/>
              </w:rPr>
            </w:pPr>
            <w:r>
              <w:rPr>
                <w:spacing w:val="-14"/>
                <w:sz w:val="24"/>
              </w:rPr>
              <w:t>T-</w:t>
            </w:r>
            <w:r>
              <w:rPr>
                <w:spacing w:val="-5"/>
                <w:sz w:val="24"/>
              </w:rPr>
              <w:t>10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14"/>
                <w:sz w:val="24"/>
              </w:rPr>
              <w:t>T-</w:t>
            </w:r>
            <w:r>
              <w:rPr>
                <w:spacing w:val="-10"/>
                <w:sz w:val="24"/>
              </w:rPr>
              <w:t>5</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20940</w:t>
            </w:r>
            <w:r>
              <w:rPr>
                <w:spacing w:val="-7"/>
                <w:sz w:val="24"/>
              </w:rPr>
              <w:t> </w:t>
            </w:r>
            <w:r>
              <w:rPr>
                <w:spacing w:val="-4"/>
                <w:sz w:val="24"/>
              </w:rPr>
              <w:t>(21)</w:t>
            </w:r>
          </w:p>
        </w:tc>
        <w:tc>
          <w:tcPr>
            <w:tcW w:w="1449" w:type="dxa"/>
          </w:tcPr>
          <w:p>
            <w:pPr>
              <w:pStyle w:val="TableParagraph"/>
              <w:ind w:left="106" w:right="106"/>
              <w:rPr>
                <w:sz w:val="24"/>
              </w:rPr>
            </w:pPr>
            <w:r>
              <w:rPr>
                <w:spacing w:val="-2"/>
                <w:sz w:val="24"/>
              </w:rPr>
              <w:t>Winger</w:t>
            </w:r>
          </w:p>
        </w:tc>
        <w:tc>
          <w:tcPr>
            <w:tcW w:w="1614" w:type="dxa"/>
          </w:tcPr>
          <w:p>
            <w:pPr>
              <w:pStyle w:val="TableParagraph"/>
              <w:ind w:left="106" w:right="107"/>
              <w:rPr>
                <w:sz w:val="24"/>
              </w:rPr>
            </w:pPr>
            <w:r>
              <w:rPr>
                <w:spacing w:val="-2"/>
                <w:sz w:val="24"/>
              </w:rPr>
              <w:t>0.490</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288" w:hRule="atLeast"/>
        </w:trPr>
        <w:tc>
          <w:tcPr>
            <w:tcW w:w="1295" w:type="dxa"/>
          </w:tcPr>
          <w:p>
            <w:pPr>
              <w:pStyle w:val="TableParagraph"/>
              <w:ind w:left="109" w:right="109"/>
              <w:rPr>
                <w:sz w:val="24"/>
              </w:rPr>
            </w:pPr>
            <w:r>
              <w:rPr>
                <w:sz w:val="24"/>
              </w:rPr>
              <w:t>2163</w:t>
            </w:r>
            <w:r>
              <w:rPr>
                <w:spacing w:val="-6"/>
                <w:sz w:val="24"/>
              </w:rPr>
              <w:t> </w:t>
            </w:r>
            <w:r>
              <w:rPr>
                <w:spacing w:val="-4"/>
                <w:sz w:val="24"/>
              </w:rPr>
              <w:t>(26)</w:t>
            </w:r>
          </w:p>
        </w:tc>
        <w:tc>
          <w:tcPr>
            <w:tcW w:w="1449" w:type="dxa"/>
          </w:tcPr>
          <w:p>
            <w:pPr>
              <w:pStyle w:val="TableParagraph"/>
              <w:ind w:left="106" w:right="106"/>
              <w:rPr>
                <w:sz w:val="24"/>
              </w:rPr>
            </w:pPr>
            <w:r>
              <w:rPr>
                <w:sz w:val="24"/>
              </w:rPr>
              <w:t>Second</w:t>
            </w:r>
            <w:r>
              <w:rPr>
                <w:spacing w:val="-9"/>
                <w:sz w:val="24"/>
              </w:rPr>
              <w:t> </w:t>
            </w:r>
            <w:r>
              <w:rPr>
                <w:spacing w:val="-5"/>
                <w:sz w:val="24"/>
              </w:rPr>
              <w:t>Row</w:t>
            </w:r>
          </w:p>
        </w:tc>
        <w:tc>
          <w:tcPr>
            <w:tcW w:w="1614" w:type="dxa"/>
          </w:tcPr>
          <w:p>
            <w:pPr>
              <w:pStyle w:val="TableParagraph"/>
              <w:ind w:left="106" w:right="107"/>
              <w:rPr>
                <w:sz w:val="24"/>
              </w:rPr>
            </w:pPr>
            <w:r>
              <w:rPr>
                <w:spacing w:val="-2"/>
                <w:sz w:val="24"/>
              </w:rPr>
              <w:t>0.486</w:t>
            </w:r>
          </w:p>
        </w:tc>
        <w:tc>
          <w:tcPr>
            <w:tcW w:w="722" w:type="dxa"/>
          </w:tcPr>
          <w:p>
            <w:pPr>
              <w:pStyle w:val="TableParagraph"/>
              <w:ind w:left="173"/>
              <w:jc w:val="left"/>
              <w:rPr>
                <w:sz w:val="24"/>
              </w:rPr>
            </w:pPr>
            <w:r>
              <w:rPr>
                <w:spacing w:val="-5"/>
                <w:sz w:val="24"/>
              </w:rPr>
              <w:t>20+</w:t>
            </w:r>
          </w:p>
        </w:tc>
        <w:tc>
          <w:tcPr>
            <w:tcW w:w="1313" w:type="dxa"/>
          </w:tcPr>
          <w:p>
            <w:pPr>
              <w:pStyle w:val="TableParagraph"/>
              <w:ind w:left="105" w:right="106"/>
              <w:rPr>
                <w:sz w:val="24"/>
              </w:rPr>
            </w:pPr>
            <w:r>
              <w:rPr>
                <w:spacing w:val="-5"/>
                <w:sz w:val="24"/>
              </w:rPr>
              <w:t>20+</w:t>
            </w:r>
          </w:p>
        </w:tc>
        <w:tc>
          <w:tcPr>
            <w:tcW w:w="903" w:type="dxa"/>
          </w:tcPr>
          <w:p>
            <w:pPr>
              <w:pStyle w:val="TableParagraph"/>
              <w:ind w:left="103" w:right="103"/>
              <w:rPr>
                <w:sz w:val="24"/>
              </w:rPr>
            </w:pPr>
            <w:r>
              <w:rPr>
                <w:spacing w:val="-5"/>
                <w:sz w:val="24"/>
              </w:rPr>
              <w:t>20+</w:t>
            </w:r>
          </w:p>
        </w:tc>
        <w:tc>
          <w:tcPr>
            <w:tcW w:w="797" w:type="dxa"/>
          </w:tcPr>
          <w:p>
            <w:pPr>
              <w:pStyle w:val="TableParagraph"/>
              <w:ind w:left="102" w:right="102"/>
              <w:rPr>
                <w:sz w:val="24"/>
              </w:rPr>
            </w:pPr>
            <w:r>
              <w:rPr>
                <w:spacing w:val="-5"/>
                <w:sz w:val="24"/>
              </w:rPr>
              <w:t>20+</w:t>
            </w:r>
          </w:p>
        </w:tc>
      </w:tr>
      <w:tr>
        <w:trPr>
          <w:trHeight w:val="306" w:hRule="atLeast"/>
        </w:trPr>
        <w:tc>
          <w:tcPr>
            <w:tcW w:w="1295" w:type="dxa"/>
            <w:tcBorders>
              <w:bottom w:val="single" w:sz="4" w:space="0" w:color="000000"/>
            </w:tcBorders>
          </w:tcPr>
          <w:p>
            <w:pPr>
              <w:pStyle w:val="TableParagraph"/>
              <w:spacing w:line="273" w:lineRule="exact"/>
              <w:ind w:left="109" w:right="109"/>
              <w:rPr>
                <w:sz w:val="24"/>
              </w:rPr>
            </w:pPr>
            <w:r>
              <w:rPr>
                <w:sz w:val="24"/>
              </w:rPr>
              <w:t>20666</w:t>
            </w:r>
            <w:r>
              <w:rPr>
                <w:spacing w:val="-7"/>
                <w:sz w:val="24"/>
              </w:rPr>
              <w:t> </w:t>
            </w:r>
            <w:r>
              <w:rPr>
                <w:spacing w:val="-4"/>
                <w:sz w:val="24"/>
              </w:rPr>
              <w:t>(22)</w:t>
            </w:r>
          </w:p>
        </w:tc>
        <w:tc>
          <w:tcPr>
            <w:tcW w:w="1449" w:type="dxa"/>
            <w:tcBorders>
              <w:bottom w:val="single" w:sz="4" w:space="0" w:color="000000"/>
            </w:tcBorders>
          </w:tcPr>
          <w:p>
            <w:pPr>
              <w:pStyle w:val="TableParagraph"/>
              <w:spacing w:line="273" w:lineRule="exact"/>
              <w:ind w:left="106" w:right="106"/>
              <w:rPr>
                <w:sz w:val="24"/>
              </w:rPr>
            </w:pPr>
            <w:r>
              <w:rPr>
                <w:spacing w:val="-2"/>
                <w:sz w:val="24"/>
              </w:rPr>
              <w:t>Winger</w:t>
            </w:r>
          </w:p>
        </w:tc>
        <w:tc>
          <w:tcPr>
            <w:tcW w:w="1614" w:type="dxa"/>
            <w:tcBorders>
              <w:bottom w:val="single" w:sz="4" w:space="0" w:color="000000"/>
            </w:tcBorders>
          </w:tcPr>
          <w:p>
            <w:pPr>
              <w:pStyle w:val="TableParagraph"/>
              <w:spacing w:line="273" w:lineRule="exact"/>
              <w:ind w:left="106" w:right="107"/>
              <w:rPr>
                <w:sz w:val="24"/>
              </w:rPr>
            </w:pPr>
            <w:r>
              <w:rPr>
                <w:spacing w:val="-2"/>
                <w:sz w:val="24"/>
              </w:rPr>
              <w:t>0.477</w:t>
            </w:r>
          </w:p>
        </w:tc>
        <w:tc>
          <w:tcPr>
            <w:tcW w:w="722" w:type="dxa"/>
            <w:tcBorders>
              <w:bottom w:val="single" w:sz="4" w:space="0" w:color="000000"/>
            </w:tcBorders>
          </w:tcPr>
          <w:p>
            <w:pPr>
              <w:pStyle w:val="TableParagraph"/>
              <w:spacing w:line="273" w:lineRule="exact"/>
              <w:ind w:left="173"/>
              <w:jc w:val="left"/>
              <w:rPr>
                <w:sz w:val="24"/>
              </w:rPr>
            </w:pPr>
            <w:r>
              <w:rPr>
                <w:spacing w:val="-5"/>
                <w:sz w:val="24"/>
              </w:rPr>
              <w:t>20+</w:t>
            </w:r>
          </w:p>
        </w:tc>
        <w:tc>
          <w:tcPr>
            <w:tcW w:w="1313" w:type="dxa"/>
            <w:tcBorders>
              <w:bottom w:val="single" w:sz="4" w:space="0" w:color="000000"/>
            </w:tcBorders>
          </w:tcPr>
          <w:p>
            <w:pPr>
              <w:pStyle w:val="TableParagraph"/>
              <w:spacing w:line="273" w:lineRule="exact"/>
              <w:ind w:left="105" w:right="106"/>
              <w:rPr>
                <w:sz w:val="24"/>
              </w:rPr>
            </w:pPr>
            <w:r>
              <w:rPr>
                <w:spacing w:val="-5"/>
                <w:sz w:val="24"/>
              </w:rPr>
              <w:t>20+</w:t>
            </w:r>
          </w:p>
        </w:tc>
        <w:tc>
          <w:tcPr>
            <w:tcW w:w="903" w:type="dxa"/>
            <w:tcBorders>
              <w:bottom w:val="single" w:sz="4" w:space="0" w:color="000000"/>
            </w:tcBorders>
          </w:tcPr>
          <w:p>
            <w:pPr>
              <w:pStyle w:val="TableParagraph"/>
              <w:spacing w:line="273" w:lineRule="exact"/>
              <w:ind w:left="103" w:right="103"/>
              <w:rPr>
                <w:sz w:val="24"/>
              </w:rPr>
            </w:pPr>
            <w:r>
              <w:rPr>
                <w:spacing w:val="-5"/>
                <w:sz w:val="24"/>
              </w:rPr>
              <w:t>20+</w:t>
            </w:r>
          </w:p>
        </w:tc>
        <w:tc>
          <w:tcPr>
            <w:tcW w:w="797" w:type="dxa"/>
            <w:tcBorders>
              <w:bottom w:val="single" w:sz="4" w:space="0" w:color="000000"/>
            </w:tcBorders>
          </w:tcPr>
          <w:p>
            <w:pPr>
              <w:pStyle w:val="TableParagraph"/>
              <w:spacing w:line="273" w:lineRule="exact"/>
              <w:ind w:left="102" w:right="102"/>
              <w:rPr>
                <w:sz w:val="24"/>
              </w:rPr>
            </w:pPr>
            <w:r>
              <w:rPr>
                <w:spacing w:val="-5"/>
                <w:sz w:val="24"/>
              </w:rPr>
              <w:t>20+</w:t>
            </w:r>
          </w:p>
        </w:tc>
      </w:tr>
    </w:tbl>
    <w:p>
      <w:pPr>
        <w:pStyle w:val="BodyText"/>
        <w:rPr>
          <w:sz w:val="20"/>
        </w:rPr>
      </w:pPr>
    </w:p>
    <w:p>
      <w:pPr>
        <w:pStyle w:val="BodyText"/>
        <w:rPr>
          <w:sz w:val="20"/>
        </w:rPr>
      </w:pPr>
    </w:p>
    <w:p>
      <w:pPr>
        <w:pStyle w:val="BodyText"/>
        <w:rPr>
          <w:sz w:val="20"/>
        </w:rPr>
      </w:pPr>
    </w:p>
    <w:p>
      <w:pPr>
        <w:pStyle w:val="BodyText"/>
        <w:spacing w:line="312" w:lineRule="auto" w:before="234"/>
        <w:ind w:left="610" w:right="412"/>
      </w:pPr>
      <w:r>
        <w:rPr/>
        <w:t>generated by different teams.</w:t>
      </w:r>
      <w:r>
        <w:rPr>
          <w:spacing w:val="27"/>
        </w:rPr>
        <w:t> </w:t>
      </w:r>
      <w:r>
        <w:rPr/>
        <w:t>Figures</w:t>
      </w:r>
      <w:hyperlink w:history="true" w:anchor="_bookmark119">
        <w:r>
          <w:rPr>
            <w:color w:val="0000FF"/>
          </w:rPr>
          <w:t>4.4</w:t>
        </w:r>
      </w:hyperlink>
      <w:r>
        <w:rPr/>
        <w:t>(Hull) and</w:t>
      </w:r>
      <w:r>
        <w:rPr>
          <w:color w:val="0000FF"/>
        </w:rPr>
        <w:t>4.5</w:t>
      </w:r>
      <w:r>
        <w:rPr/>
        <w:t>(St Helens) provide two examples of this as the plots provide extremely interesting and contrasting insights regarding the value</w:t>
      </w:r>
      <w:r>
        <w:rPr>
          <w:spacing w:val="-10"/>
        </w:rPr>
        <w:t> </w:t>
      </w:r>
      <w:r>
        <w:rPr/>
        <w:t>generated</w:t>
      </w:r>
      <w:r>
        <w:rPr>
          <w:spacing w:val="-10"/>
        </w:rPr>
        <w:t> </w:t>
      </w:r>
      <w:r>
        <w:rPr/>
        <w:t>by</w:t>
      </w:r>
      <w:r>
        <w:rPr>
          <w:spacing w:val="-10"/>
        </w:rPr>
        <w:t> </w:t>
      </w:r>
      <w:r>
        <w:rPr/>
        <w:t>the</w:t>
      </w:r>
      <w:r>
        <w:rPr>
          <w:spacing w:val="-10"/>
        </w:rPr>
        <w:t> </w:t>
      </w:r>
      <w:r>
        <w:rPr/>
        <w:t>two</w:t>
      </w:r>
      <w:r>
        <w:rPr>
          <w:spacing w:val="-10"/>
        </w:rPr>
        <w:t> </w:t>
      </w:r>
      <w:r>
        <w:rPr/>
        <w:t>teams. For</w:t>
      </w:r>
      <w:r>
        <w:rPr>
          <w:spacing w:val="-10"/>
        </w:rPr>
        <w:t> </w:t>
      </w:r>
      <w:r>
        <w:rPr/>
        <w:t>example,</w:t>
      </w:r>
      <w:r>
        <w:rPr>
          <w:spacing w:val="-9"/>
        </w:rPr>
        <w:t> </w:t>
      </w:r>
      <w:r>
        <w:rPr/>
        <w:t>Hull</w:t>
      </w:r>
      <w:r>
        <w:rPr>
          <w:spacing w:val="-10"/>
        </w:rPr>
        <w:t> </w:t>
      </w:r>
      <w:r>
        <w:rPr/>
        <w:t>show</w:t>
      </w:r>
      <w:r>
        <w:rPr>
          <w:spacing w:val="-10"/>
        </w:rPr>
        <w:t> </w:t>
      </w:r>
      <w:r>
        <w:rPr/>
        <w:t>a</w:t>
      </w:r>
      <w:r>
        <w:rPr>
          <w:spacing w:val="-10"/>
        </w:rPr>
        <w:t> </w:t>
      </w:r>
      <w:r>
        <w:rPr/>
        <w:t>clear</w:t>
      </w:r>
      <w:r>
        <w:rPr>
          <w:spacing w:val="-10"/>
        </w:rPr>
        <w:t> </w:t>
      </w:r>
      <w:r>
        <w:rPr/>
        <w:t>area</w:t>
      </w:r>
      <w:r>
        <w:rPr>
          <w:spacing w:val="-10"/>
        </w:rPr>
        <w:t> </w:t>
      </w:r>
      <w:r>
        <w:rPr/>
        <w:t>of</w:t>
      </w:r>
      <w:r>
        <w:rPr>
          <w:spacing w:val="-10"/>
        </w:rPr>
        <w:t> </w:t>
      </w:r>
      <w:r>
        <w:rPr/>
        <w:t>increased</w:t>
      </w:r>
      <w:r>
        <w:rPr>
          <w:spacing w:val="-10"/>
        </w:rPr>
        <w:t> </w:t>
      </w:r>
      <w:r>
        <w:rPr/>
        <w:t>value relative</w:t>
      </w:r>
      <w:r>
        <w:rPr>
          <w:spacing w:val="27"/>
        </w:rPr>
        <w:t> </w:t>
      </w:r>
      <w:r>
        <w:rPr/>
        <w:t>to</w:t>
      </w:r>
      <w:r>
        <w:rPr>
          <w:spacing w:val="27"/>
        </w:rPr>
        <w:t> </w:t>
      </w:r>
      <w:r>
        <w:rPr/>
        <w:t>the</w:t>
      </w:r>
      <w:r>
        <w:rPr>
          <w:spacing w:val="27"/>
        </w:rPr>
        <w:t> </w:t>
      </w:r>
      <w:r>
        <w:rPr/>
        <w:t>league</w:t>
      </w:r>
      <w:r>
        <w:rPr>
          <w:spacing w:val="27"/>
        </w:rPr>
        <w:t> </w:t>
      </w:r>
      <w:r>
        <w:rPr/>
        <w:t>average</w:t>
      </w:r>
      <w:r>
        <w:rPr>
          <w:spacing w:val="27"/>
        </w:rPr>
        <w:t> </w:t>
      </w:r>
      <w:r>
        <w:rPr/>
        <w:t>team</w:t>
      </w:r>
      <w:r>
        <w:rPr>
          <w:spacing w:val="27"/>
        </w:rPr>
        <w:t> </w:t>
      </w:r>
      <w:r>
        <w:rPr/>
        <w:t>when</w:t>
      </w:r>
      <w:r>
        <w:rPr>
          <w:spacing w:val="27"/>
        </w:rPr>
        <w:t> </w:t>
      </w:r>
      <w:r>
        <w:rPr/>
        <w:t>performing</w:t>
      </w:r>
      <w:r>
        <w:rPr>
          <w:spacing w:val="27"/>
        </w:rPr>
        <w:t> </w:t>
      </w:r>
      <w:r>
        <w:rPr/>
        <w:t>positional</w:t>
      </w:r>
      <w:r>
        <w:rPr>
          <w:spacing w:val="27"/>
        </w:rPr>
        <w:t> </w:t>
      </w:r>
      <w:r>
        <w:rPr/>
        <w:t>kicks</w:t>
      </w:r>
      <w:r>
        <w:rPr>
          <w:spacing w:val="27"/>
        </w:rPr>
        <w:t> </w:t>
      </w:r>
      <w:r>
        <w:rPr/>
        <w:t>in</w:t>
      </w:r>
      <w:r>
        <w:rPr>
          <w:spacing w:val="27"/>
        </w:rPr>
        <w:t> </w:t>
      </w:r>
      <w:r>
        <w:rPr/>
        <w:t>central</w:t>
      </w:r>
      <w:r>
        <w:rPr>
          <w:spacing w:val="27"/>
        </w:rPr>
        <w:t> </w:t>
      </w:r>
      <w:r>
        <w:rPr/>
        <w:t>areas close to the opposition try line.</w:t>
      </w:r>
      <w:r>
        <w:rPr>
          <w:spacing w:val="40"/>
        </w:rPr>
        <w:t> </w:t>
      </w:r>
      <w:r>
        <w:rPr/>
        <w:t>Furthermore, they generate more value when </w:t>
      </w:r>
      <w:r>
        <w:rPr/>
        <w:t>catching</w:t>
      </w:r>
      <w:r>
        <w:rPr>
          <w:spacing w:val="80"/>
        </w:rPr>
        <w:t> </w:t>
      </w:r>
      <w:r>
        <w:rPr/>
        <w:t>in</w:t>
      </w:r>
      <w:r>
        <w:rPr>
          <w:spacing w:val="18"/>
        </w:rPr>
        <w:t> </w:t>
      </w:r>
      <w:r>
        <w:rPr/>
        <w:t>areas</w:t>
      </w:r>
      <w:r>
        <w:rPr>
          <w:spacing w:val="19"/>
        </w:rPr>
        <w:t> </w:t>
      </w:r>
      <w:r>
        <w:rPr/>
        <w:t>away</w:t>
      </w:r>
      <w:r>
        <w:rPr>
          <w:spacing w:val="17"/>
        </w:rPr>
        <w:t> </w:t>
      </w:r>
      <w:r>
        <w:rPr/>
        <w:t>from</w:t>
      </w:r>
      <w:r>
        <w:rPr>
          <w:spacing w:val="19"/>
        </w:rPr>
        <w:t> </w:t>
      </w:r>
      <w:r>
        <w:rPr/>
        <w:t>the</w:t>
      </w:r>
      <w:r>
        <w:rPr>
          <w:spacing w:val="19"/>
        </w:rPr>
        <w:t> </w:t>
      </w:r>
      <w:r>
        <w:rPr/>
        <w:t>centre</w:t>
      </w:r>
      <w:r>
        <w:rPr>
          <w:spacing w:val="18"/>
        </w:rPr>
        <w:t> </w:t>
      </w:r>
      <w:r>
        <w:rPr/>
        <w:t>of</w:t>
      </w:r>
      <w:r>
        <w:rPr>
          <w:spacing w:val="19"/>
        </w:rPr>
        <w:t> </w:t>
      </w:r>
      <w:r>
        <w:rPr/>
        <w:t>the</w:t>
      </w:r>
      <w:r>
        <w:rPr>
          <w:spacing w:val="17"/>
        </w:rPr>
        <w:t> </w:t>
      </w:r>
      <w:r>
        <w:rPr/>
        <w:t>pitch.</w:t>
      </w:r>
      <w:r>
        <w:rPr>
          <w:spacing w:val="78"/>
        </w:rPr>
        <w:t> </w:t>
      </w:r>
      <w:r>
        <w:rPr/>
        <w:t>Combining</w:t>
      </w:r>
      <w:r>
        <w:rPr>
          <w:spacing w:val="19"/>
        </w:rPr>
        <w:t> </w:t>
      </w:r>
      <w:r>
        <w:rPr/>
        <w:t>these</w:t>
      </w:r>
      <w:r>
        <w:rPr>
          <w:spacing w:val="18"/>
        </w:rPr>
        <w:t> </w:t>
      </w:r>
      <w:r>
        <w:rPr/>
        <w:t>two</w:t>
      </w:r>
      <w:r>
        <w:rPr>
          <w:spacing w:val="18"/>
        </w:rPr>
        <w:t> </w:t>
      </w:r>
      <w:r>
        <w:rPr/>
        <w:t>results</w:t>
      </w:r>
      <w:r>
        <w:rPr>
          <w:spacing w:val="19"/>
        </w:rPr>
        <w:t> </w:t>
      </w:r>
      <w:r>
        <w:rPr/>
        <w:t>suggests</w:t>
      </w:r>
      <w:r>
        <w:rPr>
          <w:spacing w:val="18"/>
        </w:rPr>
        <w:t> </w:t>
      </w:r>
      <w:r>
        <w:rPr>
          <w:spacing w:val="-4"/>
        </w:rPr>
        <w:t>that</w:t>
      </w:r>
    </w:p>
    <w:p>
      <w:pPr>
        <w:spacing w:after="0" w:line="312" w:lineRule="auto"/>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pPr>
      <w:bookmarkStart w:name="_bookmark118" w:id="205"/>
      <w:bookmarkEnd w:id="205"/>
      <w:r>
        <w:rPr/>
      </w:r>
      <w:r>
        <w:rPr>
          <w:b/>
          <w:spacing w:val="-2"/>
        </w:rPr>
        <w:t>Table</w:t>
      </w:r>
      <w:r>
        <w:rPr>
          <w:b/>
          <w:spacing w:val="-10"/>
        </w:rPr>
        <w:t> </w:t>
      </w:r>
      <w:r>
        <w:rPr>
          <w:b/>
          <w:spacing w:val="-2"/>
        </w:rPr>
        <w:t>4.7:</w:t>
      </w:r>
      <w:r>
        <w:rPr>
          <w:b/>
          <w:spacing w:val="14"/>
        </w:rPr>
        <w:t> </w:t>
      </w:r>
      <w:r>
        <w:rPr>
          <w:spacing w:val="-2"/>
        </w:rPr>
        <w:t>Contextual</w:t>
      </w:r>
      <w:r>
        <w:rPr>
          <w:spacing w:val="-10"/>
        </w:rPr>
        <w:t> </w:t>
      </w:r>
      <w:r>
        <w:rPr>
          <w:spacing w:val="-2"/>
        </w:rPr>
        <w:t>action</w:t>
      </w:r>
      <w:r>
        <w:rPr>
          <w:spacing w:val="-11"/>
        </w:rPr>
        <w:t> </w:t>
      </w:r>
      <w:r>
        <w:rPr>
          <w:spacing w:val="-2"/>
        </w:rPr>
        <w:t>impact</w:t>
      </w:r>
      <w:r>
        <w:rPr>
          <w:spacing w:val="-10"/>
        </w:rPr>
        <w:t> </w:t>
      </w:r>
      <w:r>
        <w:rPr>
          <w:spacing w:val="-2"/>
        </w:rPr>
        <w:t>ratings</w:t>
      </w:r>
      <w:r>
        <w:rPr>
          <w:spacing w:val="-11"/>
        </w:rPr>
        <w:t> </w:t>
      </w:r>
      <w:r>
        <w:rPr>
          <w:spacing w:val="-2"/>
        </w:rPr>
        <w:t>for</w:t>
      </w:r>
      <w:r>
        <w:rPr>
          <w:spacing w:val="-10"/>
        </w:rPr>
        <w:t> </w:t>
      </w:r>
      <w:r>
        <w:rPr>
          <w:spacing w:val="-2"/>
        </w:rPr>
        <w:t>players</w:t>
      </w:r>
      <w:r>
        <w:rPr>
          <w:spacing w:val="-11"/>
        </w:rPr>
        <w:t> </w:t>
      </w:r>
      <w:r>
        <w:rPr>
          <w:spacing w:val="-2"/>
        </w:rPr>
        <w:t>nominated</w:t>
      </w:r>
      <w:r>
        <w:rPr>
          <w:spacing w:val="-10"/>
        </w:rPr>
        <w:t> </w:t>
      </w:r>
      <w:r>
        <w:rPr>
          <w:spacing w:val="-2"/>
        </w:rPr>
        <w:t>for</w:t>
      </w:r>
      <w:r>
        <w:rPr>
          <w:spacing w:val="-11"/>
        </w:rPr>
        <w:t> </w:t>
      </w:r>
      <w:r>
        <w:rPr>
          <w:spacing w:val="-2"/>
        </w:rPr>
        <w:t>Man</w:t>
      </w:r>
      <w:r>
        <w:rPr>
          <w:spacing w:val="-10"/>
        </w:rPr>
        <w:t> </w:t>
      </w:r>
      <w:r>
        <w:rPr>
          <w:spacing w:val="-2"/>
        </w:rPr>
        <w:t>of</w:t>
      </w:r>
      <w:r>
        <w:rPr>
          <w:spacing w:val="-10"/>
        </w:rPr>
        <w:t> </w:t>
      </w:r>
      <w:r>
        <w:rPr>
          <w:spacing w:val="-2"/>
        </w:rPr>
        <w:t>Steel</w:t>
      </w:r>
      <w:r>
        <w:rPr>
          <w:spacing w:val="-11"/>
        </w:rPr>
        <w:t> </w:t>
      </w:r>
      <w:r>
        <w:rPr>
          <w:spacing w:val="-2"/>
        </w:rPr>
        <w:t>award. </w:t>
      </w:r>
      <w:r>
        <w:rPr/>
        <w:t>Player names are anonymised.</w:t>
      </w:r>
    </w:p>
    <w:p>
      <w:pPr>
        <w:pStyle w:val="BodyText"/>
        <w:rPr>
          <w:sz w:val="20"/>
        </w:rPr>
      </w:pPr>
    </w:p>
    <w:p>
      <w:pPr>
        <w:pStyle w:val="BodyText"/>
        <w:spacing w:before="10"/>
        <w:rPr>
          <w:sz w:val="19"/>
        </w:rPr>
      </w:pPr>
      <w:r>
        <w:rPr/>
        <w:pict>
          <v:shape style="position:absolute;margin-left:164.746002pt;margin-top:12.624072pt;width:324.75pt;height:.1pt;mso-position-horizontal-relative:page;mso-position-vertical-relative:paragraph;z-index:-15675392;mso-wrap-distance-left:0;mso-wrap-distance-right:0" id="docshape122" coordorigin="3295,252" coordsize="6495,0" path="m3295,252l9790,252e" filled="false" stroked="true" strokeweight=".398pt" strokecolor="#000000">
            <v:path arrowok="t"/>
            <v:stroke dashstyle="solid"/>
            <w10:wrap type="topAndBottom"/>
          </v:shape>
        </w:pict>
      </w:r>
    </w:p>
    <w:p>
      <w:pPr>
        <w:pStyle w:val="BodyText"/>
        <w:tabs>
          <w:tab w:pos="1699" w:val="left" w:leader="none"/>
          <w:tab w:pos="2659" w:val="left" w:leader="none"/>
          <w:tab w:pos="3672" w:val="left" w:leader="none"/>
          <w:tab w:pos="4738" w:val="left" w:leader="none"/>
          <w:tab w:pos="5810" w:val="left" w:leader="none"/>
        </w:tabs>
        <w:spacing w:after="18"/>
        <w:ind w:left="219"/>
        <w:jc w:val="center"/>
      </w:pPr>
      <w:r>
        <w:rPr/>
        <w:t>Player</w:t>
      </w:r>
      <w:r>
        <w:rPr>
          <w:spacing w:val="-8"/>
        </w:rPr>
        <w:t> </w:t>
      </w:r>
      <w:r>
        <w:rPr>
          <w:spacing w:val="-4"/>
        </w:rPr>
        <w:t>Name</w:t>
      </w:r>
      <w:r>
        <w:rPr/>
        <w:tab/>
        <w:t>1</w:t>
      </w:r>
      <w:r>
        <w:rPr>
          <w:vertAlign w:val="superscript"/>
        </w:rPr>
        <w:t>st</w:t>
      </w:r>
      <w:r>
        <w:rPr>
          <w:spacing w:val="5"/>
          <w:vertAlign w:val="baseline"/>
        </w:rPr>
        <w:t> </w:t>
      </w:r>
      <w:r>
        <w:rPr>
          <w:spacing w:val="-4"/>
          <w:vertAlign w:val="baseline"/>
        </w:rPr>
        <w:t>Half</w:t>
      </w:r>
      <w:r>
        <w:rPr>
          <w:vertAlign w:val="baseline"/>
        </w:rPr>
        <w:tab/>
        <w:t>2</w:t>
      </w:r>
      <w:r>
        <w:rPr>
          <w:vertAlign w:val="superscript"/>
        </w:rPr>
        <w:t>nd</w:t>
      </w:r>
      <w:r>
        <w:rPr>
          <w:spacing w:val="6"/>
          <w:vertAlign w:val="baseline"/>
        </w:rPr>
        <w:t> </w:t>
      </w:r>
      <w:r>
        <w:rPr>
          <w:spacing w:val="-4"/>
          <w:vertAlign w:val="baseline"/>
        </w:rPr>
        <w:t>Half</w:t>
      </w:r>
      <w:r>
        <w:rPr>
          <w:vertAlign w:val="baseline"/>
        </w:rPr>
        <w:tab/>
      </w:r>
      <w:r>
        <w:rPr>
          <w:spacing w:val="-2"/>
          <w:vertAlign w:val="baseline"/>
        </w:rPr>
        <w:t>Winning</w:t>
      </w:r>
      <w:r>
        <w:rPr>
          <w:vertAlign w:val="baseline"/>
        </w:rPr>
        <w:tab/>
      </w:r>
      <w:r>
        <w:rPr>
          <w:spacing w:val="-2"/>
          <w:vertAlign w:val="baseline"/>
        </w:rPr>
        <w:t>Drawing</w:t>
      </w:r>
      <w:r>
        <w:rPr>
          <w:vertAlign w:val="baseline"/>
        </w:rPr>
        <w:tab/>
      </w:r>
      <w:r>
        <w:rPr>
          <w:spacing w:val="-2"/>
          <w:vertAlign w:val="baseline"/>
        </w:rPr>
        <w:t>Losing</w:t>
      </w:r>
    </w:p>
    <w:tbl>
      <w:tblPr>
        <w:tblW w:w="0" w:type="auto"/>
        <w:jc w:val="left"/>
        <w:tblInd w:w="16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365"/>
        <w:gridCol w:w="2101"/>
        <w:gridCol w:w="1054"/>
        <w:gridCol w:w="1974"/>
      </w:tblGrid>
      <w:tr>
        <w:trPr>
          <w:trHeight w:val="268" w:hRule="atLeast"/>
        </w:trPr>
        <w:tc>
          <w:tcPr>
            <w:tcW w:w="1365" w:type="dxa"/>
            <w:tcBorders>
              <w:top w:val="single" w:sz="4" w:space="0" w:color="000000"/>
            </w:tcBorders>
          </w:tcPr>
          <w:p>
            <w:pPr>
              <w:pStyle w:val="TableParagraph"/>
              <w:spacing w:line="249" w:lineRule="exact"/>
              <w:ind w:left="441"/>
              <w:jc w:val="left"/>
              <w:rPr>
                <w:sz w:val="24"/>
              </w:rPr>
            </w:pPr>
            <w:r>
              <w:rPr>
                <w:spacing w:val="-2"/>
                <w:sz w:val="24"/>
              </w:rPr>
              <w:t>20441</w:t>
            </w:r>
          </w:p>
        </w:tc>
        <w:tc>
          <w:tcPr>
            <w:tcW w:w="2101" w:type="dxa"/>
            <w:tcBorders>
              <w:top w:val="single" w:sz="4" w:space="0" w:color="000000"/>
            </w:tcBorders>
          </w:tcPr>
          <w:p>
            <w:pPr>
              <w:pStyle w:val="TableParagraph"/>
              <w:tabs>
                <w:tab w:pos="1062" w:val="left" w:leader="none"/>
              </w:tabs>
              <w:spacing w:line="249" w:lineRule="exact"/>
              <w:ind w:left="76"/>
              <w:rPr>
                <w:sz w:val="24"/>
              </w:rPr>
            </w:pPr>
            <w:r>
              <w:rPr>
                <w:spacing w:val="-2"/>
                <w:sz w:val="24"/>
              </w:rPr>
              <w:t>1.860</w:t>
            </w:r>
            <w:r>
              <w:rPr>
                <w:sz w:val="24"/>
              </w:rPr>
              <w:tab/>
            </w:r>
            <w:r>
              <w:rPr>
                <w:spacing w:val="-2"/>
                <w:sz w:val="24"/>
              </w:rPr>
              <w:t>1.430</w:t>
            </w:r>
          </w:p>
        </w:tc>
        <w:tc>
          <w:tcPr>
            <w:tcW w:w="1054" w:type="dxa"/>
            <w:tcBorders>
              <w:top w:val="single" w:sz="4" w:space="0" w:color="000000"/>
            </w:tcBorders>
          </w:tcPr>
          <w:p>
            <w:pPr>
              <w:pStyle w:val="TableParagraph"/>
              <w:spacing w:line="249" w:lineRule="exact"/>
              <w:ind w:left="251"/>
              <w:jc w:val="left"/>
              <w:rPr>
                <w:sz w:val="24"/>
              </w:rPr>
            </w:pPr>
            <w:r>
              <w:rPr>
                <w:spacing w:val="-2"/>
                <w:sz w:val="24"/>
              </w:rPr>
              <w:t>1.330</w:t>
            </w:r>
          </w:p>
        </w:tc>
        <w:tc>
          <w:tcPr>
            <w:tcW w:w="1974" w:type="dxa"/>
            <w:tcBorders>
              <w:top w:val="single" w:sz="4" w:space="0" w:color="000000"/>
            </w:tcBorders>
          </w:tcPr>
          <w:p>
            <w:pPr>
              <w:pStyle w:val="TableParagraph"/>
              <w:tabs>
                <w:tab w:pos="987" w:val="left" w:leader="none"/>
              </w:tabs>
              <w:spacing w:line="249" w:lineRule="exact"/>
              <w:ind w:right="179"/>
              <w:jc w:val="right"/>
              <w:rPr>
                <w:sz w:val="24"/>
              </w:rPr>
            </w:pPr>
            <w:r>
              <w:rPr>
                <w:spacing w:val="-2"/>
                <w:sz w:val="24"/>
              </w:rPr>
              <w:t>0.800</w:t>
            </w:r>
            <w:r>
              <w:rPr>
                <w:sz w:val="24"/>
              </w:rPr>
              <w:tab/>
            </w:r>
            <w:r>
              <w:rPr>
                <w:spacing w:val="-2"/>
                <w:sz w:val="24"/>
              </w:rPr>
              <w:t>1.020</w:t>
            </w:r>
          </w:p>
        </w:tc>
      </w:tr>
      <w:tr>
        <w:trPr>
          <w:trHeight w:val="288" w:hRule="atLeast"/>
        </w:trPr>
        <w:tc>
          <w:tcPr>
            <w:tcW w:w="1365" w:type="dxa"/>
          </w:tcPr>
          <w:p>
            <w:pPr>
              <w:pStyle w:val="TableParagraph"/>
              <w:ind w:left="441"/>
              <w:jc w:val="left"/>
              <w:rPr>
                <w:sz w:val="24"/>
              </w:rPr>
            </w:pPr>
            <w:r>
              <w:rPr>
                <w:spacing w:val="-2"/>
                <w:sz w:val="24"/>
              </w:rPr>
              <w:t>21560</w:t>
            </w:r>
          </w:p>
        </w:tc>
        <w:tc>
          <w:tcPr>
            <w:tcW w:w="2101" w:type="dxa"/>
          </w:tcPr>
          <w:p>
            <w:pPr>
              <w:pStyle w:val="TableParagraph"/>
              <w:tabs>
                <w:tab w:pos="1312" w:val="left" w:leader="none"/>
              </w:tabs>
              <w:ind w:left="326"/>
              <w:jc w:val="left"/>
              <w:rPr>
                <w:sz w:val="24"/>
              </w:rPr>
            </w:pPr>
            <w:r>
              <w:rPr>
                <w:spacing w:val="-2"/>
                <w:sz w:val="24"/>
              </w:rPr>
              <w:t>1.260</w:t>
            </w:r>
            <w:r>
              <w:rPr>
                <w:sz w:val="24"/>
              </w:rPr>
              <w:tab/>
            </w:r>
            <w:r>
              <w:rPr>
                <w:spacing w:val="-2"/>
                <w:sz w:val="24"/>
              </w:rPr>
              <w:t>1.080</w:t>
            </w:r>
          </w:p>
        </w:tc>
        <w:tc>
          <w:tcPr>
            <w:tcW w:w="1054" w:type="dxa"/>
          </w:tcPr>
          <w:p>
            <w:pPr>
              <w:pStyle w:val="TableParagraph"/>
              <w:ind w:left="251"/>
              <w:jc w:val="left"/>
              <w:rPr>
                <w:sz w:val="24"/>
              </w:rPr>
            </w:pPr>
            <w:r>
              <w:rPr>
                <w:spacing w:val="-2"/>
                <w:sz w:val="24"/>
              </w:rPr>
              <w:t>1.110</w:t>
            </w:r>
          </w:p>
        </w:tc>
        <w:tc>
          <w:tcPr>
            <w:tcW w:w="1974" w:type="dxa"/>
          </w:tcPr>
          <w:p>
            <w:pPr>
              <w:pStyle w:val="TableParagraph"/>
              <w:tabs>
                <w:tab w:pos="987" w:val="left" w:leader="none"/>
              </w:tabs>
              <w:ind w:right="179"/>
              <w:jc w:val="right"/>
              <w:rPr>
                <w:sz w:val="24"/>
              </w:rPr>
            </w:pPr>
            <w:r>
              <w:rPr>
                <w:spacing w:val="-2"/>
                <w:sz w:val="24"/>
              </w:rPr>
              <w:t>0.434</w:t>
            </w:r>
            <w:r>
              <w:rPr>
                <w:sz w:val="24"/>
              </w:rPr>
              <w:tab/>
            </w:r>
            <w:r>
              <w:rPr>
                <w:spacing w:val="-2"/>
                <w:sz w:val="24"/>
              </w:rPr>
              <w:t>0.714</w:t>
            </w:r>
          </w:p>
        </w:tc>
      </w:tr>
      <w:tr>
        <w:trPr>
          <w:trHeight w:val="288" w:hRule="atLeast"/>
        </w:trPr>
        <w:tc>
          <w:tcPr>
            <w:tcW w:w="1365" w:type="dxa"/>
          </w:tcPr>
          <w:p>
            <w:pPr>
              <w:pStyle w:val="TableParagraph"/>
              <w:ind w:left="441"/>
              <w:jc w:val="left"/>
              <w:rPr>
                <w:sz w:val="24"/>
              </w:rPr>
            </w:pPr>
            <w:r>
              <w:rPr>
                <w:spacing w:val="-2"/>
                <w:sz w:val="24"/>
              </w:rPr>
              <w:t>10107</w:t>
            </w:r>
          </w:p>
        </w:tc>
        <w:tc>
          <w:tcPr>
            <w:tcW w:w="2101" w:type="dxa"/>
          </w:tcPr>
          <w:p>
            <w:pPr>
              <w:pStyle w:val="TableParagraph"/>
              <w:tabs>
                <w:tab w:pos="1312" w:val="left" w:leader="none"/>
              </w:tabs>
              <w:ind w:left="326"/>
              <w:jc w:val="left"/>
              <w:rPr>
                <w:sz w:val="24"/>
              </w:rPr>
            </w:pPr>
            <w:r>
              <w:rPr>
                <w:spacing w:val="-2"/>
                <w:sz w:val="24"/>
              </w:rPr>
              <w:t>1.220</w:t>
            </w:r>
            <w:r>
              <w:rPr>
                <w:sz w:val="24"/>
              </w:rPr>
              <w:tab/>
            </w:r>
            <w:r>
              <w:rPr>
                <w:spacing w:val="-2"/>
                <w:sz w:val="24"/>
              </w:rPr>
              <w:t>1.040</w:t>
            </w:r>
          </w:p>
        </w:tc>
        <w:tc>
          <w:tcPr>
            <w:tcW w:w="1054" w:type="dxa"/>
          </w:tcPr>
          <w:p>
            <w:pPr>
              <w:pStyle w:val="TableParagraph"/>
              <w:ind w:left="251"/>
              <w:jc w:val="left"/>
              <w:rPr>
                <w:sz w:val="24"/>
              </w:rPr>
            </w:pPr>
            <w:r>
              <w:rPr>
                <w:spacing w:val="-2"/>
                <w:sz w:val="24"/>
              </w:rPr>
              <w:t>0.799</w:t>
            </w:r>
          </w:p>
        </w:tc>
        <w:tc>
          <w:tcPr>
            <w:tcW w:w="1974" w:type="dxa"/>
          </w:tcPr>
          <w:p>
            <w:pPr>
              <w:pStyle w:val="TableParagraph"/>
              <w:tabs>
                <w:tab w:pos="987" w:val="left" w:leader="none"/>
              </w:tabs>
              <w:ind w:right="179"/>
              <w:jc w:val="right"/>
              <w:rPr>
                <w:sz w:val="24"/>
              </w:rPr>
            </w:pPr>
            <w:r>
              <w:rPr>
                <w:spacing w:val="-2"/>
                <w:sz w:val="24"/>
              </w:rPr>
              <w:t>0.435</w:t>
            </w:r>
            <w:r>
              <w:rPr>
                <w:sz w:val="24"/>
              </w:rPr>
              <w:tab/>
            </w:r>
            <w:r>
              <w:rPr>
                <w:spacing w:val="-2"/>
                <w:sz w:val="24"/>
              </w:rPr>
              <w:t>0.939</w:t>
            </w:r>
          </w:p>
        </w:tc>
      </w:tr>
      <w:tr>
        <w:trPr>
          <w:trHeight w:val="288" w:hRule="atLeast"/>
        </w:trPr>
        <w:tc>
          <w:tcPr>
            <w:tcW w:w="1365" w:type="dxa"/>
          </w:tcPr>
          <w:p>
            <w:pPr>
              <w:pStyle w:val="TableParagraph"/>
              <w:ind w:left="501"/>
              <w:jc w:val="left"/>
              <w:rPr>
                <w:sz w:val="24"/>
              </w:rPr>
            </w:pPr>
            <w:r>
              <w:rPr>
                <w:spacing w:val="-4"/>
                <w:sz w:val="24"/>
              </w:rPr>
              <w:t>2228</w:t>
            </w:r>
          </w:p>
        </w:tc>
        <w:tc>
          <w:tcPr>
            <w:tcW w:w="2101" w:type="dxa"/>
          </w:tcPr>
          <w:p>
            <w:pPr>
              <w:pStyle w:val="TableParagraph"/>
              <w:tabs>
                <w:tab w:pos="1312" w:val="left" w:leader="none"/>
              </w:tabs>
              <w:ind w:left="326"/>
              <w:jc w:val="left"/>
              <w:rPr>
                <w:sz w:val="24"/>
              </w:rPr>
            </w:pPr>
            <w:r>
              <w:rPr>
                <w:spacing w:val="-2"/>
                <w:sz w:val="24"/>
              </w:rPr>
              <w:t>1.100</w:t>
            </w:r>
            <w:r>
              <w:rPr>
                <w:sz w:val="24"/>
              </w:rPr>
              <w:tab/>
            </w:r>
            <w:r>
              <w:rPr>
                <w:spacing w:val="-2"/>
                <w:sz w:val="24"/>
              </w:rPr>
              <w:t>0.806</w:t>
            </w:r>
          </w:p>
        </w:tc>
        <w:tc>
          <w:tcPr>
            <w:tcW w:w="1054" w:type="dxa"/>
          </w:tcPr>
          <w:p>
            <w:pPr>
              <w:pStyle w:val="TableParagraph"/>
              <w:ind w:left="251"/>
              <w:jc w:val="left"/>
              <w:rPr>
                <w:sz w:val="24"/>
              </w:rPr>
            </w:pPr>
            <w:r>
              <w:rPr>
                <w:spacing w:val="-2"/>
                <w:sz w:val="24"/>
              </w:rPr>
              <w:t>0.430</w:t>
            </w:r>
          </w:p>
        </w:tc>
        <w:tc>
          <w:tcPr>
            <w:tcW w:w="1974" w:type="dxa"/>
          </w:tcPr>
          <w:p>
            <w:pPr>
              <w:pStyle w:val="TableParagraph"/>
              <w:tabs>
                <w:tab w:pos="987" w:val="left" w:leader="none"/>
              </w:tabs>
              <w:ind w:right="179"/>
              <w:jc w:val="right"/>
              <w:rPr>
                <w:sz w:val="24"/>
              </w:rPr>
            </w:pPr>
            <w:r>
              <w:rPr>
                <w:spacing w:val="-2"/>
                <w:sz w:val="24"/>
              </w:rPr>
              <w:t>0.616</w:t>
            </w:r>
            <w:r>
              <w:rPr>
                <w:sz w:val="24"/>
              </w:rPr>
              <w:tab/>
            </w:r>
            <w:r>
              <w:rPr>
                <w:spacing w:val="-2"/>
                <w:sz w:val="24"/>
              </w:rPr>
              <w:t>0.867</w:t>
            </w:r>
          </w:p>
        </w:tc>
      </w:tr>
      <w:tr>
        <w:trPr>
          <w:trHeight w:val="306" w:hRule="atLeast"/>
        </w:trPr>
        <w:tc>
          <w:tcPr>
            <w:tcW w:w="1365" w:type="dxa"/>
            <w:tcBorders>
              <w:bottom w:val="single" w:sz="4" w:space="0" w:color="000000"/>
            </w:tcBorders>
          </w:tcPr>
          <w:p>
            <w:pPr>
              <w:pStyle w:val="TableParagraph"/>
              <w:spacing w:line="273" w:lineRule="exact"/>
              <w:ind w:left="501"/>
              <w:jc w:val="left"/>
              <w:rPr>
                <w:sz w:val="24"/>
              </w:rPr>
            </w:pPr>
            <w:r>
              <w:rPr>
                <w:spacing w:val="-4"/>
                <w:sz w:val="24"/>
              </w:rPr>
              <w:t>2805</w:t>
            </w:r>
          </w:p>
        </w:tc>
        <w:tc>
          <w:tcPr>
            <w:tcW w:w="2101" w:type="dxa"/>
            <w:tcBorders>
              <w:bottom w:val="single" w:sz="4" w:space="0" w:color="000000"/>
            </w:tcBorders>
          </w:tcPr>
          <w:p>
            <w:pPr>
              <w:pStyle w:val="TableParagraph"/>
              <w:tabs>
                <w:tab w:pos="1062" w:val="left" w:leader="none"/>
              </w:tabs>
              <w:spacing w:line="273" w:lineRule="exact"/>
              <w:ind w:left="76"/>
              <w:rPr>
                <w:sz w:val="24"/>
              </w:rPr>
            </w:pPr>
            <w:r>
              <w:rPr>
                <w:spacing w:val="-2"/>
                <w:sz w:val="24"/>
              </w:rPr>
              <w:t>0.875</w:t>
            </w:r>
            <w:r>
              <w:rPr>
                <w:sz w:val="24"/>
              </w:rPr>
              <w:tab/>
            </w:r>
            <w:r>
              <w:rPr>
                <w:spacing w:val="-2"/>
                <w:sz w:val="24"/>
              </w:rPr>
              <w:t>1.030</w:t>
            </w:r>
          </w:p>
        </w:tc>
        <w:tc>
          <w:tcPr>
            <w:tcW w:w="1054" w:type="dxa"/>
            <w:tcBorders>
              <w:bottom w:val="single" w:sz="4" w:space="0" w:color="000000"/>
            </w:tcBorders>
          </w:tcPr>
          <w:p>
            <w:pPr>
              <w:pStyle w:val="TableParagraph"/>
              <w:spacing w:line="273" w:lineRule="exact"/>
              <w:ind w:left="251"/>
              <w:jc w:val="left"/>
              <w:rPr>
                <w:sz w:val="24"/>
              </w:rPr>
            </w:pPr>
            <w:r>
              <w:rPr>
                <w:spacing w:val="-2"/>
                <w:sz w:val="24"/>
              </w:rPr>
              <w:t>0.784</w:t>
            </w:r>
          </w:p>
        </w:tc>
        <w:tc>
          <w:tcPr>
            <w:tcW w:w="1974" w:type="dxa"/>
            <w:tcBorders>
              <w:bottom w:val="single" w:sz="4" w:space="0" w:color="000000"/>
            </w:tcBorders>
          </w:tcPr>
          <w:p>
            <w:pPr>
              <w:pStyle w:val="TableParagraph"/>
              <w:tabs>
                <w:tab w:pos="987" w:val="left" w:leader="none"/>
              </w:tabs>
              <w:spacing w:line="273" w:lineRule="exact"/>
              <w:ind w:right="179"/>
              <w:jc w:val="right"/>
              <w:rPr>
                <w:sz w:val="24"/>
              </w:rPr>
            </w:pPr>
            <w:r>
              <w:rPr>
                <w:spacing w:val="-2"/>
                <w:sz w:val="24"/>
              </w:rPr>
              <w:t>0.591</w:t>
            </w:r>
            <w:r>
              <w:rPr>
                <w:sz w:val="24"/>
              </w:rPr>
              <w:tab/>
            </w:r>
            <w:r>
              <w:rPr>
                <w:spacing w:val="-2"/>
                <w:sz w:val="24"/>
              </w:rPr>
              <w:t>0.554</w:t>
            </w:r>
          </w:p>
        </w:tc>
      </w:tr>
    </w:tbl>
    <w:p>
      <w:pPr>
        <w:pStyle w:val="BodyText"/>
        <w:rPr>
          <w:sz w:val="30"/>
        </w:rPr>
      </w:pPr>
    </w:p>
    <w:p>
      <w:pPr>
        <w:pStyle w:val="BodyText"/>
        <w:spacing w:before="4"/>
        <w:rPr>
          <w:sz w:val="28"/>
        </w:rPr>
      </w:pPr>
    </w:p>
    <w:p>
      <w:pPr>
        <w:pStyle w:val="BodyText"/>
        <w:spacing w:line="312" w:lineRule="auto"/>
        <w:ind w:left="610" w:right="389"/>
        <w:jc w:val="both"/>
      </w:pPr>
      <w:r>
        <w:rPr/>
        <w:t>Hull</w:t>
      </w:r>
      <w:r>
        <w:rPr>
          <w:spacing w:val="29"/>
        </w:rPr>
        <w:t> </w:t>
      </w:r>
      <w:r>
        <w:rPr/>
        <w:t>may</w:t>
      </w:r>
      <w:r>
        <w:rPr>
          <w:spacing w:val="29"/>
        </w:rPr>
        <w:t> </w:t>
      </w:r>
      <w:r>
        <w:rPr/>
        <w:t>have</w:t>
      </w:r>
      <w:r>
        <w:rPr>
          <w:spacing w:val="29"/>
        </w:rPr>
        <w:t> </w:t>
      </w:r>
      <w:r>
        <w:rPr/>
        <w:t>been</w:t>
      </w:r>
      <w:r>
        <w:rPr>
          <w:spacing w:val="29"/>
        </w:rPr>
        <w:t> </w:t>
      </w:r>
      <w:r>
        <w:rPr/>
        <w:t>particularly</w:t>
      </w:r>
      <w:r>
        <w:rPr>
          <w:spacing w:val="29"/>
        </w:rPr>
        <w:t> </w:t>
      </w:r>
      <w:r>
        <w:rPr/>
        <w:t>adept</w:t>
      </w:r>
      <w:r>
        <w:rPr>
          <w:spacing w:val="29"/>
        </w:rPr>
        <w:t> </w:t>
      </w:r>
      <w:r>
        <w:rPr/>
        <w:t>at</w:t>
      </w:r>
      <w:r>
        <w:rPr>
          <w:spacing w:val="29"/>
        </w:rPr>
        <w:t> </w:t>
      </w:r>
      <w:r>
        <w:rPr/>
        <w:t>kicking</w:t>
      </w:r>
      <w:r>
        <w:rPr>
          <w:spacing w:val="29"/>
        </w:rPr>
        <w:t> </w:t>
      </w:r>
      <w:r>
        <w:rPr/>
        <w:t>from</w:t>
      </w:r>
      <w:r>
        <w:rPr>
          <w:spacing w:val="29"/>
        </w:rPr>
        <w:t> </w:t>
      </w:r>
      <w:r>
        <w:rPr/>
        <w:t>central</w:t>
      </w:r>
      <w:r>
        <w:rPr>
          <w:spacing w:val="29"/>
        </w:rPr>
        <w:t> </w:t>
      </w:r>
      <w:r>
        <w:rPr/>
        <w:t>areas</w:t>
      </w:r>
      <w:r>
        <w:rPr>
          <w:spacing w:val="29"/>
        </w:rPr>
        <w:t> </w:t>
      </w:r>
      <w:r>
        <w:rPr/>
        <w:t>to</w:t>
      </w:r>
      <w:r>
        <w:rPr>
          <w:spacing w:val="29"/>
        </w:rPr>
        <w:t> </w:t>
      </w:r>
      <w:r>
        <w:rPr/>
        <w:t>the</w:t>
      </w:r>
      <w:r>
        <w:rPr>
          <w:spacing w:val="29"/>
        </w:rPr>
        <w:t> </w:t>
      </w:r>
      <w:r>
        <w:rPr/>
        <w:t>outer</w:t>
      </w:r>
      <w:r>
        <w:rPr>
          <w:spacing w:val="29"/>
        </w:rPr>
        <w:t> </w:t>
      </w:r>
      <w:r>
        <w:rPr/>
        <w:t>part of the opposition try line.</w:t>
      </w:r>
      <w:r>
        <w:rPr>
          <w:spacing w:val="40"/>
        </w:rPr>
        <w:t> </w:t>
      </w:r>
      <w:r>
        <w:rPr/>
        <w:t>Conversely, St Helens were generally poor at kicking and catching centrally within 30m of the opposition try line.</w:t>
      </w:r>
      <w:r>
        <w:rPr>
          <w:spacing w:val="35"/>
        </w:rPr>
        <w:t> </w:t>
      </w:r>
      <w:r>
        <w:rPr/>
        <w:t>Instead, they were much </w:t>
      </w:r>
      <w:r>
        <w:rPr/>
        <w:t>better than the league average team at passing and running in areas close to the opposition try line, particularly out wide.</w:t>
      </w:r>
      <w:r>
        <w:rPr>
          <w:spacing w:val="34"/>
        </w:rPr>
        <w:t> </w:t>
      </w:r>
      <w:r>
        <w:rPr/>
        <w:t>That the model can differentiate between these two different styles</w:t>
      </w:r>
      <w:r>
        <w:rPr>
          <w:spacing w:val="-1"/>
        </w:rPr>
        <w:t> </w:t>
      </w:r>
      <w:r>
        <w:rPr/>
        <w:t>of</w:t>
      </w:r>
      <w:r>
        <w:rPr>
          <w:spacing w:val="-1"/>
        </w:rPr>
        <w:t> </w:t>
      </w:r>
      <w:r>
        <w:rPr/>
        <w:t>play</w:t>
      </w:r>
      <w:r>
        <w:rPr>
          <w:spacing w:val="-1"/>
        </w:rPr>
        <w:t> </w:t>
      </w:r>
      <w:r>
        <w:rPr/>
        <w:t>is</w:t>
      </w:r>
      <w:r>
        <w:rPr>
          <w:spacing w:val="-1"/>
        </w:rPr>
        <w:t> </w:t>
      </w:r>
      <w:r>
        <w:rPr/>
        <w:t>extremely</w:t>
      </w:r>
      <w:r>
        <w:rPr>
          <w:spacing w:val="-1"/>
        </w:rPr>
        <w:t> </w:t>
      </w:r>
      <w:r>
        <w:rPr/>
        <w:t>valuable</w:t>
      </w:r>
      <w:r>
        <w:rPr>
          <w:spacing w:val="-1"/>
        </w:rPr>
        <w:t> </w:t>
      </w:r>
      <w:r>
        <w:rPr/>
        <w:t>for</w:t>
      </w:r>
      <w:r>
        <w:rPr>
          <w:spacing w:val="-1"/>
        </w:rPr>
        <w:t> </w:t>
      </w:r>
      <w:r>
        <w:rPr/>
        <w:t>a</w:t>
      </w:r>
      <w:r>
        <w:rPr>
          <w:spacing w:val="-1"/>
        </w:rPr>
        <w:t> </w:t>
      </w:r>
      <w:r>
        <w:rPr/>
        <w:t>coach</w:t>
      </w:r>
      <w:r>
        <w:rPr>
          <w:spacing w:val="-1"/>
        </w:rPr>
        <w:t> </w:t>
      </w:r>
      <w:r>
        <w:rPr/>
        <w:t>devising</w:t>
      </w:r>
      <w:r>
        <w:rPr>
          <w:spacing w:val="-1"/>
        </w:rPr>
        <w:t> </w:t>
      </w:r>
      <w:r>
        <w:rPr/>
        <w:t>tactical</w:t>
      </w:r>
      <w:r>
        <w:rPr>
          <w:spacing w:val="-1"/>
        </w:rPr>
        <w:t> </w:t>
      </w:r>
      <w:r>
        <w:rPr/>
        <w:t>strategies</w:t>
      </w:r>
      <w:r>
        <w:rPr>
          <w:spacing w:val="-1"/>
        </w:rPr>
        <w:t> </w:t>
      </w:r>
      <w:r>
        <w:rPr/>
        <w:t>against</w:t>
      </w:r>
      <w:r>
        <w:rPr>
          <w:spacing w:val="-1"/>
        </w:rPr>
        <w:t> </w:t>
      </w:r>
      <w:r>
        <w:rPr/>
        <w:t>future </w:t>
      </w:r>
      <w:r>
        <w:rPr>
          <w:spacing w:val="-2"/>
        </w:rPr>
        <w:t>opponents.</w:t>
      </w:r>
    </w:p>
    <w:p>
      <w:pPr>
        <w:pStyle w:val="BodyText"/>
        <w:spacing w:line="312" w:lineRule="auto"/>
        <w:ind w:left="610" w:right="389" w:firstLine="351"/>
        <w:jc w:val="both"/>
      </w:pPr>
      <w:r>
        <w:rPr/>
        <w:t>The results of the study were presented to the Leeds Beckett University Sports </w:t>
      </w:r>
      <w:r>
        <w:rPr/>
        <w:t>Sci- ence</w:t>
      </w:r>
      <w:r>
        <w:rPr>
          <w:spacing w:val="-6"/>
        </w:rPr>
        <w:t> </w:t>
      </w:r>
      <w:r>
        <w:rPr/>
        <w:t>Department</w:t>
      </w:r>
      <w:r>
        <w:rPr>
          <w:spacing w:val="-6"/>
        </w:rPr>
        <w:t> </w:t>
      </w:r>
      <w:r>
        <w:rPr/>
        <w:t>for</w:t>
      </w:r>
      <w:r>
        <w:rPr>
          <w:spacing w:val="-6"/>
        </w:rPr>
        <w:t> </w:t>
      </w:r>
      <w:r>
        <w:rPr/>
        <w:t>feedback. The</w:t>
      </w:r>
      <w:r>
        <w:rPr>
          <w:spacing w:val="-6"/>
        </w:rPr>
        <w:t> </w:t>
      </w:r>
      <w:r>
        <w:rPr/>
        <w:t>results</w:t>
      </w:r>
      <w:r>
        <w:rPr>
          <w:spacing w:val="-6"/>
        </w:rPr>
        <w:t> </w:t>
      </w:r>
      <w:r>
        <w:rPr/>
        <w:t>of</w:t>
      </w:r>
      <w:r>
        <w:rPr>
          <w:spacing w:val="-6"/>
        </w:rPr>
        <w:t> </w:t>
      </w:r>
      <w:r>
        <w:rPr/>
        <w:t>the</w:t>
      </w:r>
      <w:r>
        <w:rPr>
          <w:spacing w:val="-6"/>
        </w:rPr>
        <w:t> </w:t>
      </w:r>
      <w:r>
        <w:rPr/>
        <w:t>individualised</w:t>
      </w:r>
      <w:r>
        <w:rPr>
          <w:spacing w:val="-6"/>
        </w:rPr>
        <w:t> </w:t>
      </w:r>
      <w:r>
        <w:rPr/>
        <w:t>team,</w:t>
      </w:r>
      <w:r>
        <w:rPr>
          <w:spacing w:val="-5"/>
        </w:rPr>
        <w:t> </w:t>
      </w:r>
      <w:r>
        <w:rPr/>
        <w:t>state</w:t>
      </w:r>
      <w:r>
        <w:rPr>
          <w:spacing w:val="-6"/>
        </w:rPr>
        <w:t> </w:t>
      </w:r>
      <w:r>
        <w:rPr/>
        <w:t>action</w:t>
      </w:r>
      <w:r>
        <w:rPr>
          <w:spacing w:val="-6"/>
        </w:rPr>
        <w:t> </w:t>
      </w:r>
      <w:r>
        <w:rPr/>
        <w:t>values received significant praise in terms of usability and reliability based on the information that</w:t>
      </w:r>
      <w:r>
        <w:rPr>
          <w:spacing w:val="-9"/>
        </w:rPr>
        <w:t> </w:t>
      </w:r>
      <w:r>
        <w:rPr/>
        <w:t>was</w:t>
      </w:r>
      <w:r>
        <w:rPr>
          <w:spacing w:val="-9"/>
        </w:rPr>
        <w:t> </w:t>
      </w:r>
      <w:r>
        <w:rPr/>
        <w:t>provided</w:t>
      </w:r>
      <w:r>
        <w:rPr>
          <w:spacing w:val="-9"/>
        </w:rPr>
        <w:t> </w:t>
      </w:r>
      <w:r>
        <w:rPr/>
        <w:t>and</w:t>
      </w:r>
      <w:r>
        <w:rPr>
          <w:spacing w:val="-9"/>
        </w:rPr>
        <w:t> </w:t>
      </w:r>
      <w:r>
        <w:rPr/>
        <w:t>the</w:t>
      </w:r>
      <w:r>
        <w:rPr>
          <w:spacing w:val="-9"/>
        </w:rPr>
        <w:t> </w:t>
      </w:r>
      <w:r>
        <w:rPr/>
        <w:t>accuracy</w:t>
      </w:r>
      <w:r>
        <w:rPr>
          <w:spacing w:val="-9"/>
        </w:rPr>
        <w:t> </w:t>
      </w:r>
      <w:r>
        <w:rPr/>
        <w:t>and</w:t>
      </w:r>
      <w:r>
        <w:rPr>
          <w:spacing w:val="-9"/>
        </w:rPr>
        <w:t> </w:t>
      </w:r>
      <w:r>
        <w:rPr/>
        <w:t>simplicity</w:t>
      </w:r>
      <w:r>
        <w:rPr>
          <w:spacing w:val="-9"/>
        </w:rPr>
        <w:t> </w:t>
      </w:r>
      <w:r>
        <w:rPr/>
        <w:t>with</w:t>
      </w:r>
      <w:r>
        <w:rPr>
          <w:spacing w:val="-9"/>
        </w:rPr>
        <w:t> </w:t>
      </w:r>
      <w:r>
        <w:rPr/>
        <w:t>which</w:t>
      </w:r>
      <w:r>
        <w:rPr>
          <w:spacing w:val="-9"/>
        </w:rPr>
        <w:t> </w:t>
      </w:r>
      <w:r>
        <w:rPr/>
        <w:t>it</w:t>
      </w:r>
      <w:r>
        <w:rPr>
          <w:spacing w:val="-9"/>
        </w:rPr>
        <w:t> </w:t>
      </w:r>
      <w:r>
        <w:rPr/>
        <w:t>was</w:t>
      </w:r>
      <w:r>
        <w:rPr>
          <w:spacing w:val="-9"/>
        </w:rPr>
        <w:t> </w:t>
      </w:r>
      <w:r>
        <w:rPr/>
        <w:t>depicted. The</w:t>
      </w:r>
      <w:r>
        <w:rPr>
          <w:spacing w:val="-9"/>
        </w:rPr>
        <w:t> </w:t>
      </w:r>
      <w:r>
        <w:rPr/>
        <w:t>action impact ratings were treated more sceptically.</w:t>
      </w:r>
      <w:r>
        <w:rPr>
          <w:spacing w:val="40"/>
        </w:rPr>
        <w:t> </w:t>
      </w:r>
      <w:r>
        <w:rPr/>
        <w:t>Although there were some success stories and some of the younger players in the top 20 ratings went on to further success the fol- lowing year, the feedback from the department was that the action impact ratings may have rewarded attempting to perform a high value action irrespective of its success.</w:t>
      </w:r>
      <w:r>
        <w:rPr>
          <w:spacing w:val="40"/>
        </w:rPr>
        <w:t> </w:t>
      </w:r>
      <w:r>
        <w:rPr/>
        <w:t>It was suggested a better method may be to reward the outcome of the action, rather than its</w:t>
      </w:r>
      <w:r>
        <w:rPr>
          <w:spacing w:val="-8"/>
        </w:rPr>
        <w:t> </w:t>
      </w:r>
      <w:r>
        <w:rPr/>
        <w:t>expected</w:t>
      </w:r>
      <w:r>
        <w:rPr>
          <w:spacing w:val="-8"/>
        </w:rPr>
        <w:t> </w:t>
      </w:r>
      <w:r>
        <w:rPr/>
        <w:t>value. This</w:t>
      </w:r>
      <w:r>
        <w:rPr>
          <w:spacing w:val="-8"/>
        </w:rPr>
        <w:t> </w:t>
      </w:r>
      <w:r>
        <w:rPr/>
        <w:t>may</w:t>
      </w:r>
      <w:r>
        <w:rPr>
          <w:spacing w:val="-8"/>
        </w:rPr>
        <w:t> </w:t>
      </w:r>
      <w:r>
        <w:rPr/>
        <w:t>provide</w:t>
      </w:r>
      <w:r>
        <w:rPr>
          <w:spacing w:val="-8"/>
        </w:rPr>
        <w:t> </w:t>
      </w:r>
      <w:r>
        <w:rPr/>
        <w:t>a</w:t>
      </w:r>
      <w:r>
        <w:rPr>
          <w:spacing w:val="-8"/>
        </w:rPr>
        <w:t> </w:t>
      </w:r>
      <w:r>
        <w:rPr/>
        <w:t>better</w:t>
      </w:r>
      <w:r>
        <w:rPr>
          <w:spacing w:val="-8"/>
        </w:rPr>
        <w:t> </w:t>
      </w:r>
      <w:r>
        <w:rPr/>
        <w:t>indication</w:t>
      </w:r>
      <w:r>
        <w:rPr>
          <w:spacing w:val="-8"/>
        </w:rPr>
        <w:t> </w:t>
      </w:r>
      <w:r>
        <w:rPr/>
        <w:t>of</w:t>
      </w:r>
      <w:r>
        <w:rPr>
          <w:spacing w:val="-8"/>
        </w:rPr>
        <w:t> </w:t>
      </w:r>
      <w:r>
        <w:rPr/>
        <w:t>those</w:t>
      </w:r>
      <w:r>
        <w:rPr>
          <w:spacing w:val="-8"/>
        </w:rPr>
        <w:t> </w:t>
      </w:r>
      <w:r>
        <w:rPr/>
        <w:t>players</w:t>
      </w:r>
      <w:r>
        <w:rPr>
          <w:spacing w:val="-8"/>
        </w:rPr>
        <w:t> </w:t>
      </w:r>
      <w:r>
        <w:rPr/>
        <w:t>who</w:t>
      </w:r>
      <w:r>
        <w:rPr>
          <w:spacing w:val="-8"/>
        </w:rPr>
        <w:t> </w:t>
      </w:r>
      <w:r>
        <w:rPr/>
        <w:t>are</w:t>
      </w:r>
      <w:r>
        <w:rPr>
          <w:spacing w:val="-8"/>
        </w:rPr>
        <w:t> </w:t>
      </w:r>
      <w:r>
        <w:rPr/>
        <w:t>better</w:t>
      </w:r>
      <w:r>
        <w:rPr>
          <w:spacing w:val="-8"/>
        </w:rPr>
        <w:t> </w:t>
      </w:r>
      <w:r>
        <w:rPr/>
        <w:t>at performing these high value actions successfully.</w:t>
      </w:r>
    </w:p>
    <w:p>
      <w:pPr>
        <w:pStyle w:val="BodyText"/>
        <w:spacing w:line="312" w:lineRule="auto"/>
        <w:ind w:left="610" w:right="389" w:firstLine="351"/>
        <w:jc w:val="both"/>
      </w:pPr>
      <w:r>
        <w:rPr/>
        <w:t>All</w:t>
      </w:r>
      <w:r>
        <w:rPr>
          <w:spacing w:val="-5"/>
        </w:rPr>
        <w:t> </w:t>
      </w:r>
      <w:r>
        <w:rPr/>
        <w:t>analyses</w:t>
      </w:r>
      <w:r>
        <w:rPr>
          <w:spacing w:val="-5"/>
        </w:rPr>
        <w:t> </w:t>
      </w:r>
      <w:r>
        <w:rPr/>
        <w:t>for</w:t>
      </w:r>
      <w:r>
        <w:rPr>
          <w:spacing w:val="-5"/>
        </w:rPr>
        <w:t> </w:t>
      </w:r>
      <w:r>
        <w:rPr/>
        <w:t>this</w:t>
      </w:r>
      <w:r>
        <w:rPr>
          <w:spacing w:val="-5"/>
        </w:rPr>
        <w:t> </w:t>
      </w:r>
      <w:r>
        <w:rPr/>
        <w:t>study</w:t>
      </w:r>
      <w:r>
        <w:rPr>
          <w:spacing w:val="-5"/>
        </w:rPr>
        <w:t> </w:t>
      </w:r>
      <w:r>
        <w:rPr/>
        <w:t>were</w:t>
      </w:r>
      <w:r>
        <w:rPr>
          <w:spacing w:val="-5"/>
        </w:rPr>
        <w:t> </w:t>
      </w:r>
      <w:r>
        <w:rPr/>
        <w:t>conducted</w:t>
      </w:r>
      <w:r>
        <w:rPr>
          <w:spacing w:val="-5"/>
        </w:rPr>
        <w:t> </w:t>
      </w:r>
      <w:r>
        <w:rPr/>
        <w:t>using</w:t>
      </w:r>
      <w:r>
        <w:rPr>
          <w:spacing w:val="-5"/>
        </w:rPr>
        <w:t> </w:t>
      </w:r>
      <w:r>
        <w:rPr/>
        <w:t>bespoke</w:t>
      </w:r>
      <w:r>
        <w:rPr>
          <w:spacing w:val="-5"/>
        </w:rPr>
        <w:t> </w:t>
      </w:r>
      <w:r>
        <w:rPr/>
        <w:t>Python</w:t>
      </w:r>
      <w:r>
        <w:rPr>
          <w:spacing w:val="-5"/>
        </w:rPr>
        <w:t> </w:t>
      </w:r>
      <w:r>
        <w:rPr/>
        <w:t>scripts</w:t>
      </w:r>
      <w:r>
        <w:rPr>
          <w:spacing w:val="-5"/>
        </w:rPr>
        <w:t> </w:t>
      </w:r>
      <w:r>
        <w:rPr/>
        <w:t>(Python</w:t>
      </w:r>
      <w:r>
        <w:rPr>
          <w:spacing w:val="-5"/>
        </w:rPr>
        <w:t> </w:t>
      </w:r>
      <w:r>
        <w:rPr/>
        <w:t>3.7, Python</w:t>
      </w:r>
      <w:r>
        <w:rPr>
          <w:spacing w:val="-15"/>
        </w:rPr>
        <w:t> </w:t>
      </w:r>
      <w:r>
        <w:rPr/>
        <w:t>Software</w:t>
      </w:r>
      <w:r>
        <w:rPr>
          <w:spacing w:val="-15"/>
        </w:rPr>
        <w:t> </w:t>
      </w:r>
      <w:r>
        <w:rPr/>
        <w:t>Foundation,</w:t>
      </w:r>
      <w:r>
        <w:rPr>
          <w:spacing w:val="-14"/>
        </w:rPr>
        <w:t> </w:t>
      </w:r>
      <w:r>
        <w:rPr/>
        <w:t>Delawere,</w:t>
      </w:r>
      <w:r>
        <w:rPr>
          <w:spacing w:val="-14"/>
        </w:rPr>
        <w:t> </w:t>
      </w:r>
      <w:r>
        <w:rPr/>
        <w:t>USA).</w:t>
      </w:r>
      <w:r>
        <w:rPr>
          <w:spacing w:val="-15"/>
        </w:rPr>
        <w:t> </w:t>
      </w:r>
      <w:r>
        <w:rPr/>
        <w:t>The</w:t>
      </w:r>
      <w:r>
        <w:rPr>
          <w:spacing w:val="-15"/>
        </w:rPr>
        <w:t> </w:t>
      </w:r>
      <w:r>
        <w:rPr/>
        <w:t>analyses</w:t>
      </w:r>
      <w:r>
        <w:rPr>
          <w:spacing w:val="-15"/>
        </w:rPr>
        <w:t> </w:t>
      </w:r>
      <w:r>
        <w:rPr/>
        <w:t>were</w:t>
      </w:r>
      <w:r>
        <w:rPr>
          <w:spacing w:val="-15"/>
        </w:rPr>
        <w:t> </w:t>
      </w:r>
      <w:r>
        <w:rPr/>
        <w:t>completed</w:t>
      </w:r>
      <w:r>
        <w:rPr>
          <w:spacing w:val="-15"/>
        </w:rPr>
        <w:t> </w:t>
      </w:r>
      <w:r>
        <w:rPr/>
        <w:t>using</w:t>
      </w:r>
      <w:r>
        <w:rPr>
          <w:spacing w:val="-15"/>
        </w:rPr>
        <w:t> </w:t>
      </w:r>
      <w:r>
        <w:rPr/>
        <w:t>a</w:t>
      </w:r>
      <w:r>
        <w:rPr>
          <w:spacing w:val="-15"/>
        </w:rPr>
        <w:t> </w:t>
      </w:r>
      <w:r>
        <w:rPr/>
        <w:t>HP- Pavilion Laptop with an Intel Core i5-8250U 1.60 GHz processor and 8GB RAM. The Monte Carlo every visit algorithms used to estimate action values were timed at: 15.23s for MDP</w:t>
      </w:r>
      <w:r>
        <w:rPr>
          <w:rFonts w:ascii="Cambria"/>
          <w:vertAlign w:val="subscript"/>
        </w:rPr>
        <w:t>nc</w:t>
      </w:r>
      <w:r>
        <w:rPr>
          <w:vertAlign w:val="baseline"/>
        </w:rPr>
        <w:t>; 14.06s for </w:t>
      </w:r>
      <w:r>
        <w:rPr>
          <w:rFonts w:ascii="Cambria"/>
          <w:vertAlign w:val="subscript"/>
        </w:rPr>
        <w:t>period</w:t>
      </w:r>
      <w:r>
        <w:rPr>
          <w:vertAlign w:val="baseline"/>
        </w:rPr>
        <w:t>; 13.33s for MDP</w:t>
      </w:r>
      <w:r>
        <w:rPr>
          <w:rFonts w:ascii="Cambria"/>
          <w:vertAlign w:val="subscript"/>
        </w:rPr>
        <w:t>score</w:t>
      </w:r>
      <w:r>
        <w:rPr>
          <w:vertAlign w:val="baseline"/>
        </w:rPr>
        <w:t>; and 11.29s for MDP</w:t>
      </w:r>
      <w:r>
        <w:rPr>
          <w:rFonts w:ascii="Cambria"/>
          <w:vertAlign w:val="subscript"/>
        </w:rPr>
        <w:t>team</w:t>
      </w:r>
      <w:r>
        <w:rPr>
          <w:vertAlign w:val="baseline"/>
        </w:rPr>
        <w:t>.</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
        <w:rPr>
          <w:sz w:val="15"/>
        </w:rPr>
      </w:pPr>
    </w:p>
    <w:p>
      <w:pPr>
        <w:pStyle w:val="BodyText"/>
        <w:ind w:left="1750"/>
        <w:rPr>
          <w:sz w:val="20"/>
        </w:rPr>
      </w:pPr>
      <w:r>
        <w:rPr>
          <w:sz w:val="20"/>
        </w:rPr>
        <w:drawing>
          <wp:inline distT="0" distB="0" distL="0" distR="0">
            <wp:extent cx="3950804" cy="4779264"/>
            <wp:effectExtent l="0" t="0" r="0" b="0"/>
            <wp:docPr id="61" name="image31.jpeg"/>
            <wp:cNvGraphicFramePr>
              <a:graphicFrameLocks noChangeAspect="1"/>
            </wp:cNvGraphicFramePr>
            <a:graphic>
              <a:graphicData uri="http://schemas.openxmlformats.org/drawingml/2006/picture">
                <pic:pic>
                  <pic:nvPicPr>
                    <pic:cNvPr id="62" name="image31.jpeg"/>
                    <pic:cNvPicPr/>
                  </pic:nvPicPr>
                  <pic:blipFill>
                    <a:blip r:embed="rId95" cstate="print"/>
                    <a:stretch>
                      <a:fillRect/>
                    </a:stretch>
                  </pic:blipFill>
                  <pic:spPr>
                    <a:xfrm>
                      <a:off x="0" y="0"/>
                      <a:ext cx="3950804" cy="4779264"/>
                    </a:xfrm>
                    <a:prstGeom prst="rect">
                      <a:avLst/>
                    </a:prstGeom>
                  </pic:spPr>
                </pic:pic>
              </a:graphicData>
            </a:graphic>
          </wp:inline>
        </w:drawing>
      </w:r>
      <w:r>
        <w:rPr>
          <w:sz w:val="20"/>
        </w:rPr>
      </w:r>
    </w:p>
    <w:p>
      <w:pPr>
        <w:pStyle w:val="BodyText"/>
        <w:spacing w:before="3"/>
        <w:rPr>
          <w:sz w:val="12"/>
        </w:rPr>
      </w:pPr>
    </w:p>
    <w:p>
      <w:pPr>
        <w:pStyle w:val="BodyText"/>
        <w:spacing w:line="252" w:lineRule="auto" w:before="106"/>
        <w:ind w:left="610" w:right="389"/>
        <w:jc w:val="both"/>
      </w:pPr>
      <w:bookmarkStart w:name="_bookmark119" w:id="206"/>
      <w:bookmarkEnd w:id="206"/>
      <w:r>
        <w:rPr/>
      </w:r>
      <w:r>
        <w:rPr>
          <w:b/>
        </w:rPr>
        <w:t>Figure</w:t>
      </w:r>
      <w:r>
        <w:rPr>
          <w:b/>
          <w:spacing w:val="-5"/>
        </w:rPr>
        <w:t> </w:t>
      </w:r>
      <w:r>
        <w:rPr>
          <w:b/>
        </w:rPr>
        <w:t>4.4: </w:t>
      </w:r>
      <w:r>
        <w:rPr/>
        <w:t>Team</w:t>
      </w:r>
      <w:r>
        <w:rPr>
          <w:spacing w:val="-5"/>
        </w:rPr>
        <w:t> </w:t>
      </w:r>
      <w:r>
        <w:rPr/>
        <w:t>state,</w:t>
      </w:r>
      <w:r>
        <w:rPr>
          <w:spacing w:val="-4"/>
        </w:rPr>
        <w:t> </w:t>
      </w:r>
      <w:r>
        <w:rPr/>
        <w:t>action</w:t>
      </w:r>
      <w:r>
        <w:rPr>
          <w:spacing w:val="-4"/>
        </w:rPr>
        <w:t> </w:t>
      </w:r>
      <w:r>
        <w:rPr/>
        <w:t>value</w:t>
      </w:r>
      <w:r>
        <w:rPr>
          <w:spacing w:val="-5"/>
        </w:rPr>
        <w:t> </w:t>
      </w:r>
      <w:r>
        <w:rPr/>
        <w:t>plot</w:t>
      </w:r>
      <w:r>
        <w:rPr>
          <w:spacing w:val="-5"/>
        </w:rPr>
        <w:t> </w:t>
      </w:r>
      <w:r>
        <w:rPr/>
        <w:t>for</w:t>
      </w:r>
      <w:r>
        <w:rPr>
          <w:spacing w:val="-4"/>
        </w:rPr>
        <w:t> </w:t>
      </w:r>
      <w:r>
        <w:rPr/>
        <w:t>Hull. All</w:t>
      </w:r>
      <w:r>
        <w:rPr>
          <w:spacing w:val="-5"/>
        </w:rPr>
        <w:t> </w:t>
      </w:r>
      <w:r>
        <w:rPr/>
        <w:t>state,</w:t>
      </w:r>
      <w:r>
        <w:rPr>
          <w:spacing w:val="-4"/>
        </w:rPr>
        <w:t> </w:t>
      </w:r>
      <w:r>
        <w:rPr/>
        <w:t>action</w:t>
      </w:r>
      <w:r>
        <w:rPr>
          <w:spacing w:val="-5"/>
        </w:rPr>
        <w:t> </w:t>
      </w:r>
      <w:r>
        <w:rPr/>
        <w:t>values</w:t>
      </w:r>
      <w:r>
        <w:rPr>
          <w:spacing w:val="-4"/>
        </w:rPr>
        <w:t> </w:t>
      </w:r>
      <w:r>
        <w:rPr/>
        <w:t>are</w:t>
      </w:r>
      <w:r>
        <w:rPr>
          <w:spacing w:val="-5"/>
        </w:rPr>
        <w:t> </w:t>
      </w:r>
      <w:r>
        <w:rPr/>
        <w:t>centred</w:t>
      </w:r>
      <w:r>
        <w:rPr>
          <w:spacing w:val="-4"/>
        </w:rPr>
        <w:t> </w:t>
      </w:r>
      <w:r>
        <w:rPr/>
        <w:t>by the league average value.</w:t>
      </w:r>
      <w:r>
        <w:rPr>
          <w:spacing w:val="37"/>
        </w:rPr>
        <w:t> </w:t>
      </w:r>
      <w:r>
        <w:rPr/>
        <w:t>Green values indicate team is better at the action in a specific state than the league average team; red indicate the team is worse.</w:t>
      </w:r>
    </w:p>
    <w:p>
      <w:pPr>
        <w:pStyle w:val="BodyText"/>
        <w:rPr>
          <w:sz w:val="28"/>
        </w:rPr>
      </w:pPr>
    </w:p>
    <w:p>
      <w:pPr>
        <w:pStyle w:val="BodyText"/>
      </w:pPr>
    </w:p>
    <w:p>
      <w:pPr>
        <w:pStyle w:val="Heading2"/>
        <w:numPr>
          <w:ilvl w:val="1"/>
          <w:numId w:val="21"/>
        </w:numPr>
        <w:tabs>
          <w:tab w:pos="1385" w:val="left" w:leader="none"/>
          <w:tab w:pos="1386" w:val="left" w:leader="none"/>
        </w:tabs>
        <w:spacing w:line="240" w:lineRule="auto" w:before="0" w:after="0"/>
        <w:ind w:left="1385" w:right="0" w:hanging="776"/>
        <w:jc w:val="left"/>
      </w:pPr>
      <w:bookmarkStart w:name="_TOC_250030" w:id="207"/>
      <w:bookmarkStart w:name="4.4 Summary" w:id="208"/>
      <w:r>
        <w:rPr>
          <w:b w:val="0"/>
        </w:rPr>
      </w:r>
      <w:bookmarkStart w:name="_bookmark120" w:id="209"/>
      <w:bookmarkEnd w:id="207"/>
      <w:r>
        <w:rPr>
          <w:spacing w:val="-2"/>
        </w:rPr>
        <w:t>Summary</w:t>
      </w:r>
    </w:p>
    <w:p>
      <w:pPr>
        <w:pStyle w:val="BodyText"/>
        <w:spacing w:line="312" w:lineRule="auto" w:before="309"/>
        <w:ind w:left="610" w:right="456"/>
        <w:jc w:val="both"/>
      </w:pPr>
      <w:r>
        <w:rPr/>
        <w:t>This study extended the work conducted in Chapter</w:t>
      </w:r>
      <w:r>
        <w:rPr>
          <w:color w:val="0000FF"/>
        </w:rPr>
        <w:t>3</w:t>
      </w:r>
      <w:hyperlink w:history="true" w:anchor="_bookmark48">
        <w:r>
          <w:rPr/>
          <w:t>,</w:t>
        </w:r>
      </w:hyperlink>
      <w:r>
        <w:rPr/>
        <w:t> adapting ideas previously used in ice hockey (</w:t>
      </w:r>
      <w:hyperlink w:history="true" w:anchor="_bookmark287">
        <w:r>
          <w:rPr>
            <w:color w:val="FF0000"/>
          </w:rPr>
          <w:t>Routley and Schulte</w:t>
        </w:r>
      </w:hyperlink>
      <w:r>
        <w:rPr/>
        <w:t>,</w:t>
      </w:r>
      <w:hyperlink w:history="true" w:anchor="_bookmark287">
        <w:r>
          <w:rPr>
            <w:color w:val="FF0000"/>
          </w:rPr>
          <w:t>2015</w:t>
        </w:r>
        <w:r>
          <w:rPr/>
          <w:t>)</w:t>
        </w:r>
      </w:hyperlink>
      <w:r>
        <w:rPr/>
        <w:t> and football (</w:t>
      </w:r>
      <w:hyperlink w:history="true" w:anchor="_bookmark239">
        <w:r>
          <w:rPr>
            <w:color w:val="FF0000"/>
          </w:rPr>
          <w:t>Decroos et al.</w:t>
        </w:r>
        <w:r>
          <w:rPr/>
          <w:t>,</w:t>
        </w:r>
      </w:hyperlink>
      <w:r>
        <w:rPr>
          <w:color w:val="FF0000"/>
        </w:rPr>
        <w:t>2019</w:t>
      </w:r>
      <w:hyperlink w:history="true" w:anchor="_bookmark239">
        <w:r>
          <w:rPr/>
          <w:t>;</w:t>
        </w:r>
      </w:hyperlink>
      <w:r>
        <w:rPr>
          <w:color w:val="FF0000"/>
        </w:rPr>
        <w:t>Singh</w:t>
      </w:r>
      <w:hyperlink w:history="true" w:anchor="_bookmark294">
        <w:r>
          <w:rPr/>
          <w:t>,</w:t>
        </w:r>
      </w:hyperlink>
      <w:r>
        <w:rPr>
          <w:color w:val="FF0000"/>
        </w:rPr>
        <w:t>n.d.</w:t>
      </w:r>
      <w:hyperlink w:history="true" w:anchor="_bookmark294">
        <w:r>
          <w:rPr/>
          <w:t>)</w:t>
        </w:r>
      </w:hyperlink>
    </w:p>
    <w:p>
      <w:pPr>
        <w:pStyle w:val="BodyText"/>
        <w:spacing w:line="312" w:lineRule="auto"/>
        <w:ind w:left="610" w:right="389"/>
        <w:jc w:val="both"/>
      </w:pPr>
      <w:r>
        <w:rPr/>
        <w:t>to produce a framework through which player and team performances could be </w:t>
      </w:r>
      <w:r>
        <w:rPr/>
        <w:t>evalu- ated</w:t>
      </w:r>
      <w:r>
        <w:rPr>
          <w:spacing w:val="-1"/>
        </w:rPr>
        <w:t> </w:t>
      </w:r>
      <w:r>
        <w:rPr/>
        <w:t>in</w:t>
      </w:r>
      <w:r>
        <w:rPr>
          <w:spacing w:val="-1"/>
        </w:rPr>
        <w:t> </w:t>
      </w:r>
      <w:r>
        <w:rPr/>
        <w:t>rugby</w:t>
      </w:r>
      <w:r>
        <w:rPr>
          <w:spacing w:val="-1"/>
        </w:rPr>
        <w:t> </w:t>
      </w:r>
      <w:r>
        <w:rPr/>
        <w:t>league</w:t>
      </w:r>
      <w:r>
        <w:rPr>
          <w:spacing w:val="-2"/>
        </w:rPr>
        <w:t> </w:t>
      </w:r>
      <w:r>
        <w:rPr/>
        <w:t>using</w:t>
      </w:r>
      <w:r>
        <w:rPr>
          <w:spacing w:val="-1"/>
        </w:rPr>
        <w:t> </w:t>
      </w:r>
      <w:r>
        <w:rPr/>
        <w:t>MDPs.</w:t>
      </w:r>
      <w:r>
        <w:rPr>
          <w:spacing w:val="22"/>
        </w:rPr>
        <w:t> </w:t>
      </w:r>
      <w:r>
        <w:rPr/>
        <w:t>It</w:t>
      </w:r>
      <w:r>
        <w:rPr>
          <w:spacing w:val="-1"/>
        </w:rPr>
        <w:t> </w:t>
      </w:r>
      <w:r>
        <w:rPr/>
        <w:t>was</w:t>
      </w:r>
      <w:r>
        <w:rPr>
          <w:spacing w:val="-1"/>
        </w:rPr>
        <w:t> </w:t>
      </w:r>
      <w:r>
        <w:rPr/>
        <w:t>possible</w:t>
      </w:r>
      <w:r>
        <w:rPr>
          <w:spacing w:val="-1"/>
        </w:rPr>
        <w:t> </w:t>
      </w:r>
      <w:r>
        <w:rPr/>
        <w:t>to</w:t>
      </w:r>
      <w:r>
        <w:rPr>
          <w:spacing w:val="-1"/>
        </w:rPr>
        <w:t> </w:t>
      </w:r>
      <w:r>
        <w:rPr/>
        <w:t>develop</w:t>
      </w:r>
      <w:r>
        <w:rPr>
          <w:spacing w:val="-2"/>
        </w:rPr>
        <w:t> </w:t>
      </w:r>
      <w:r>
        <w:rPr/>
        <w:t>an</w:t>
      </w:r>
      <w:r>
        <w:rPr>
          <w:spacing w:val="-1"/>
        </w:rPr>
        <w:t> </w:t>
      </w:r>
      <w:r>
        <w:rPr/>
        <w:t>MDP</w:t>
      </w:r>
      <w:r>
        <w:rPr>
          <w:spacing w:val="-1"/>
        </w:rPr>
        <w:t> </w:t>
      </w:r>
      <w:r>
        <w:rPr/>
        <w:t>framework</w:t>
      </w:r>
      <w:r>
        <w:rPr>
          <w:spacing w:val="-1"/>
        </w:rPr>
        <w:t> </w:t>
      </w:r>
      <w:r>
        <w:rPr/>
        <w:t>in</w:t>
      </w:r>
      <w:r>
        <w:rPr>
          <w:spacing w:val="-1"/>
        </w:rPr>
        <w:t> </w:t>
      </w:r>
      <w:r>
        <w:rPr/>
        <w:t>this study</w:t>
      </w:r>
      <w:r>
        <w:rPr>
          <w:spacing w:val="9"/>
        </w:rPr>
        <w:t> </w:t>
      </w:r>
      <w:r>
        <w:rPr/>
        <w:t>because</w:t>
      </w:r>
      <w:r>
        <w:rPr>
          <w:spacing w:val="9"/>
        </w:rPr>
        <w:t> </w:t>
      </w:r>
      <w:r>
        <w:rPr/>
        <w:t>action</w:t>
      </w:r>
      <w:r>
        <w:rPr>
          <w:spacing w:val="9"/>
        </w:rPr>
        <w:t> </w:t>
      </w:r>
      <w:r>
        <w:rPr/>
        <w:t>by</w:t>
      </w:r>
      <w:r>
        <w:rPr>
          <w:spacing w:val="9"/>
        </w:rPr>
        <w:t> </w:t>
      </w:r>
      <w:r>
        <w:rPr/>
        <w:t>action</w:t>
      </w:r>
      <w:r>
        <w:rPr>
          <w:spacing w:val="9"/>
        </w:rPr>
        <w:t> </w:t>
      </w:r>
      <w:r>
        <w:rPr/>
        <w:t>data</w:t>
      </w:r>
      <w:r>
        <w:rPr>
          <w:spacing w:val="9"/>
        </w:rPr>
        <w:t> </w:t>
      </w:r>
      <w:r>
        <w:rPr/>
        <w:t>became</w:t>
      </w:r>
      <w:r>
        <w:rPr>
          <w:spacing w:val="9"/>
        </w:rPr>
        <w:t> </w:t>
      </w:r>
      <w:r>
        <w:rPr/>
        <w:t>available,</w:t>
      </w:r>
      <w:r>
        <w:rPr>
          <w:spacing w:val="13"/>
        </w:rPr>
        <w:t> </w:t>
      </w:r>
      <w:r>
        <w:rPr/>
        <w:t>rather</w:t>
      </w:r>
      <w:r>
        <w:rPr>
          <w:spacing w:val="9"/>
        </w:rPr>
        <w:t> </w:t>
      </w:r>
      <w:r>
        <w:rPr/>
        <w:t>than</w:t>
      </w:r>
      <w:r>
        <w:rPr>
          <w:spacing w:val="9"/>
        </w:rPr>
        <w:t> </w:t>
      </w:r>
      <w:r>
        <w:rPr/>
        <w:t>the</w:t>
      </w:r>
      <w:r>
        <w:rPr>
          <w:spacing w:val="9"/>
        </w:rPr>
        <w:t> </w:t>
      </w:r>
      <w:r>
        <w:rPr/>
        <w:t>play</w:t>
      </w:r>
      <w:r>
        <w:rPr>
          <w:spacing w:val="9"/>
        </w:rPr>
        <w:t> </w:t>
      </w:r>
      <w:r>
        <w:rPr/>
        <w:t>by</w:t>
      </w:r>
      <w:r>
        <w:rPr>
          <w:spacing w:val="10"/>
        </w:rPr>
        <w:t> </w:t>
      </w:r>
      <w:r>
        <w:rPr/>
        <w:t>play</w:t>
      </w:r>
      <w:r>
        <w:rPr>
          <w:spacing w:val="9"/>
        </w:rPr>
        <w:t> </w:t>
      </w:r>
      <w:r>
        <w:rPr>
          <w:spacing w:val="-4"/>
        </w:rPr>
        <w:t>data</w:t>
      </w:r>
    </w:p>
    <w:p>
      <w:pPr>
        <w:spacing w:after="0" w:line="312" w:lineRule="auto"/>
        <w:jc w:val="both"/>
        <w:sectPr>
          <w:headerReference w:type="default" r:id="rId93"/>
          <w:footerReference w:type="default" r:id="rId94"/>
          <w:pgSz w:w="11910" w:h="16840"/>
          <w:pgMar w:header="1961" w:footer="1428" w:top="2280" w:bottom="1620" w:left="1680" w:right="720"/>
        </w:sectPr>
      </w:pPr>
    </w:p>
    <w:p>
      <w:pPr>
        <w:pStyle w:val="BodyText"/>
        <w:rPr>
          <w:sz w:val="20"/>
        </w:rPr>
      </w:pPr>
    </w:p>
    <w:p>
      <w:pPr>
        <w:pStyle w:val="BodyText"/>
        <w:rPr>
          <w:sz w:val="20"/>
        </w:rPr>
      </w:pPr>
    </w:p>
    <w:p>
      <w:pPr>
        <w:pStyle w:val="BodyText"/>
        <w:spacing w:before="1"/>
        <w:rPr>
          <w:sz w:val="15"/>
        </w:rPr>
      </w:pPr>
    </w:p>
    <w:p>
      <w:pPr>
        <w:pStyle w:val="BodyText"/>
        <w:ind w:left="1750"/>
        <w:rPr>
          <w:sz w:val="20"/>
        </w:rPr>
      </w:pPr>
      <w:r>
        <w:rPr>
          <w:sz w:val="20"/>
        </w:rPr>
        <w:drawing>
          <wp:inline distT="0" distB="0" distL="0" distR="0">
            <wp:extent cx="3950804" cy="4779264"/>
            <wp:effectExtent l="0" t="0" r="0" b="0"/>
            <wp:docPr id="63" name="image32.jpeg"/>
            <wp:cNvGraphicFramePr>
              <a:graphicFrameLocks noChangeAspect="1"/>
            </wp:cNvGraphicFramePr>
            <a:graphic>
              <a:graphicData uri="http://schemas.openxmlformats.org/drawingml/2006/picture">
                <pic:pic>
                  <pic:nvPicPr>
                    <pic:cNvPr id="64" name="image32.jpeg"/>
                    <pic:cNvPicPr/>
                  </pic:nvPicPr>
                  <pic:blipFill>
                    <a:blip r:embed="rId96" cstate="print"/>
                    <a:stretch>
                      <a:fillRect/>
                    </a:stretch>
                  </pic:blipFill>
                  <pic:spPr>
                    <a:xfrm>
                      <a:off x="0" y="0"/>
                      <a:ext cx="3950804" cy="4779264"/>
                    </a:xfrm>
                    <a:prstGeom prst="rect">
                      <a:avLst/>
                    </a:prstGeom>
                  </pic:spPr>
                </pic:pic>
              </a:graphicData>
            </a:graphic>
          </wp:inline>
        </w:drawing>
      </w:r>
      <w:r>
        <w:rPr>
          <w:sz w:val="20"/>
        </w:rPr>
      </w:r>
    </w:p>
    <w:p>
      <w:pPr>
        <w:pStyle w:val="BodyText"/>
        <w:spacing w:before="3"/>
        <w:rPr>
          <w:sz w:val="12"/>
        </w:rPr>
      </w:pPr>
    </w:p>
    <w:p>
      <w:pPr>
        <w:pStyle w:val="BodyText"/>
        <w:spacing w:line="252" w:lineRule="auto" w:before="106"/>
        <w:ind w:left="610" w:right="389"/>
        <w:jc w:val="both"/>
      </w:pPr>
      <w:bookmarkStart w:name="_bookmark121" w:id="210"/>
      <w:bookmarkEnd w:id="210"/>
      <w:r>
        <w:rPr/>
      </w:r>
      <w:r>
        <w:rPr>
          <w:b/>
        </w:rPr>
        <w:t>Figure</w:t>
      </w:r>
      <w:r>
        <w:rPr>
          <w:b/>
          <w:spacing w:val="-15"/>
        </w:rPr>
        <w:t> </w:t>
      </w:r>
      <w:r>
        <w:rPr>
          <w:b/>
        </w:rPr>
        <w:t>4.5:</w:t>
      </w:r>
      <w:r>
        <w:rPr>
          <w:b/>
          <w:spacing w:val="-15"/>
        </w:rPr>
        <w:t> </w:t>
      </w:r>
      <w:r>
        <w:rPr/>
        <w:t>Team</w:t>
      </w:r>
      <w:r>
        <w:rPr>
          <w:spacing w:val="-15"/>
        </w:rPr>
        <w:t> </w:t>
      </w:r>
      <w:r>
        <w:rPr/>
        <w:t>state,</w:t>
      </w:r>
      <w:r>
        <w:rPr>
          <w:spacing w:val="-15"/>
        </w:rPr>
        <w:t> </w:t>
      </w:r>
      <w:r>
        <w:rPr/>
        <w:t>action</w:t>
      </w:r>
      <w:r>
        <w:rPr>
          <w:spacing w:val="-15"/>
        </w:rPr>
        <w:t> </w:t>
      </w:r>
      <w:r>
        <w:rPr/>
        <w:t>value</w:t>
      </w:r>
      <w:r>
        <w:rPr>
          <w:spacing w:val="-15"/>
        </w:rPr>
        <w:t> </w:t>
      </w:r>
      <w:r>
        <w:rPr/>
        <w:t>plot</w:t>
      </w:r>
      <w:r>
        <w:rPr>
          <w:spacing w:val="-15"/>
        </w:rPr>
        <w:t> </w:t>
      </w:r>
      <w:r>
        <w:rPr/>
        <w:t>for</w:t>
      </w:r>
      <w:r>
        <w:rPr>
          <w:spacing w:val="-15"/>
        </w:rPr>
        <w:t> </w:t>
      </w:r>
      <w:r>
        <w:rPr/>
        <w:t>St</w:t>
      </w:r>
      <w:r>
        <w:rPr>
          <w:spacing w:val="-15"/>
        </w:rPr>
        <w:t> </w:t>
      </w:r>
      <w:r>
        <w:rPr/>
        <w:t>Helens.</w:t>
      </w:r>
      <w:r>
        <w:rPr>
          <w:spacing w:val="-15"/>
        </w:rPr>
        <w:t> </w:t>
      </w:r>
      <w:r>
        <w:rPr/>
        <w:t>All</w:t>
      </w:r>
      <w:r>
        <w:rPr>
          <w:spacing w:val="-15"/>
        </w:rPr>
        <w:t> </w:t>
      </w:r>
      <w:r>
        <w:rPr/>
        <w:t>state,</w:t>
      </w:r>
      <w:r>
        <w:rPr>
          <w:spacing w:val="-15"/>
        </w:rPr>
        <w:t> </w:t>
      </w:r>
      <w:r>
        <w:rPr/>
        <w:t>action</w:t>
      </w:r>
      <w:r>
        <w:rPr>
          <w:spacing w:val="-15"/>
        </w:rPr>
        <w:t> </w:t>
      </w:r>
      <w:r>
        <w:rPr/>
        <w:t>values</w:t>
      </w:r>
      <w:r>
        <w:rPr>
          <w:spacing w:val="-15"/>
        </w:rPr>
        <w:t> </w:t>
      </w:r>
      <w:r>
        <w:rPr/>
        <w:t>are</w:t>
      </w:r>
      <w:r>
        <w:rPr>
          <w:spacing w:val="-15"/>
        </w:rPr>
        <w:t> </w:t>
      </w:r>
      <w:r>
        <w:rPr/>
        <w:t>centred by</w:t>
      </w:r>
      <w:r>
        <w:rPr>
          <w:spacing w:val="-14"/>
        </w:rPr>
        <w:t> </w:t>
      </w:r>
      <w:r>
        <w:rPr/>
        <w:t>the</w:t>
      </w:r>
      <w:r>
        <w:rPr>
          <w:spacing w:val="-14"/>
        </w:rPr>
        <w:t> </w:t>
      </w:r>
      <w:r>
        <w:rPr/>
        <w:t>league</w:t>
      </w:r>
      <w:r>
        <w:rPr>
          <w:spacing w:val="-14"/>
        </w:rPr>
        <w:t> </w:t>
      </w:r>
      <w:r>
        <w:rPr/>
        <w:t>average</w:t>
      </w:r>
      <w:r>
        <w:rPr>
          <w:spacing w:val="-14"/>
        </w:rPr>
        <w:t> </w:t>
      </w:r>
      <w:r>
        <w:rPr/>
        <w:t>value.</w:t>
      </w:r>
      <w:r>
        <w:rPr>
          <w:spacing w:val="3"/>
        </w:rPr>
        <w:t> </w:t>
      </w:r>
      <w:r>
        <w:rPr/>
        <w:t>Green</w:t>
      </w:r>
      <w:r>
        <w:rPr>
          <w:spacing w:val="-14"/>
        </w:rPr>
        <w:t> </w:t>
      </w:r>
      <w:r>
        <w:rPr/>
        <w:t>values</w:t>
      </w:r>
      <w:r>
        <w:rPr>
          <w:spacing w:val="-14"/>
        </w:rPr>
        <w:t> </w:t>
      </w:r>
      <w:r>
        <w:rPr/>
        <w:t>indicate</w:t>
      </w:r>
      <w:r>
        <w:rPr>
          <w:spacing w:val="-14"/>
        </w:rPr>
        <w:t> </w:t>
      </w:r>
      <w:r>
        <w:rPr/>
        <w:t>team</w:t>
      </w:r>
      <w:r>
        <w:rPr>
          <w:spacing w:val="-14"/>
        </w:rPr>
        <w:t> </w:t>
      </w:r>
      <w:r>
        <w:rPr/>
        <w:t>is</w:t>
      </w:r>
      <w:r>
        <w:rPr>
          <w:spacing w:val="-14"/>
        </w:rPr>
        <w:t> </w:t>
      </w:r>
      <w:r>
        <w:rPr/>
        <w:t>better</w:t>
      </w:r>
      <w:r>
        <w:rPr>
          <w:spacing w:val="-14"/>
        </w:rPr>
        <w:t> </w:t>
      </w:r>
      <w:r>
        <w:rPr/>
        <w:t>at</w:t>
      </w:r>
      <w:r>
        <w:rPr>
          <w:spacing w:val="-14"/>
        </w:rPr>
        <w:t> </w:t>
      </w:r>
      <w:r>
        <w:rPr/>
        <w:t>the</w:t>
      </w:r>
      <w:r>
        <w:rPr>
          <w:spacing w:val="-14"/>
        </w:rPr>
        <w:t> </w:t>
      </w:r>
      <w:r>
        <w:rPr/>
        <w:t>action</w:t>
      </w:r>
      <w:r>
        <w:rPr>
          <w:spacing w:val="-14"/>
        </w:rPr>
        <w:t> </w:t>
      </w:r>
      <w:r>
        <w:rPr/>
        <w:t>in</w:t>
      </w:r>
      <w:r>
        <w:rPr>
          <w:spacing w:val="-14"/>
        </w:rPr>
        <w:t> </w:t>
      </w:r>
      <w:r>
        <w:rPr/>
        <w:t>a</w:t>
      </w:r>
      <w:r>
        <w:rPr>
          <w:spacing w:val="-14"/>
        </w:rPr>
        <w:t> </w:t>
      </w:r>
      <w:r>
        <w:rPr/>
        <w:t>specific state than the league average team; red indicate the team is worse.</w:t>
      </w:r>
    </w:p>
    <w:p>
      <w:pPr>
        <w:pStyle w:val="BodyText"/>
        <w:rPr>
          <w:sz w:val="28"/>
        </w:rPr>
      </w:pPr>
    </w:p>
    <w:p>
      <w:pPr>
        <w:pStyle w:val="BodyText"/>
        <w:spacing w:before="2"/>
        <w:rPr>
          <w:sz w:val="32"/>
        </w:rPr>
      </w:pPr>
    </w:p>
    <w:p>
      <w:pPr>
        <w:pStyle w:val="BodyText"/>
        <w:spacing w:line="312" w:lineRule="auto"/>
        <w:ind w:left="610" w:right="389"/>
      </w:pPr>
      <w:r>
        <w:rPr/>
        <w:t>available</w:t>
      </w:r>
      <w:r>
        <w:rPr>
          <w:spacing w:val="27"/>
        </w:rPr>
        <w:t> </w:t>
      </w:r>
      <w:r>
        <w:rPr/>
        <w:t>in</w:t>
      </w:r>
      <w:r>
        <w:rPr>
          <w:spacing w:val="27"/>
        </w:rPr>
        <w:t> </w:t>
      </w:r>
      <w:r>
        <w:rPr/>
        <w:t>Chapter</w:t>
      </w:r>
      <w:r>
        <w:rPr>
          <w:color w:val="0000FF"/>
        </w:rPr>
        <w:t>3</w:t>
      </w:r>
      <w:hyperlink w:history="true" w:anchor="_bookmark48">
        <w:r>
          <w:rPr/>
          <w:t>.</w:t>
        </w:r>
      </w:hyperlink>
      <w:r>
        <w:rPr>
          <w:spacing w:val="80"/>
        </w:rPr>
        <w:t> </w:t>
      </w:r>
      <w:r>
        <w:rPr/>
        <w:t>Therefore,</w:t>
      </w:r>
      <w:r>
        <w:rPr>
          <w:spacing w:val="34"/>
        </w:rPr>
        <w:t> </w:t>
      </w:r>
      <w:r>
        <w:rPr/>
        <w:t>it</w:t>
      </w:r>
      <w:r>
        <w:rPr>
          <w:spacing w:val="27"/>
        </w:rPr>
        <w:t> </w:t>
      </w:r>
      <w:r>
        <w:rPr/>
        <w:t>was</w:t>
      </w:r>
      <w:r>
        <w:rPr>
          <w:spacing w:val="27"/>
        </w:rPr>
        <w:t> </w:t>
      </w:r>
      <w:r>
        <w:rPr/>
        <w:t>the</w:t>
      </w:r>
      <w:r>
        <w:rPr>
          <w:spacing w:val="27"/>
        </w:rPr>
        <w:t> </w:t>
      </w:r>
      <w:r>
        <w:rPr/>
        <w:t>first</w:t>
      </w:r>
      <w:r>
        <w:rPr>
          <w:spacing w:val="27"/>
        </w:rPr>
        <w:t> </w:t>
      </w:r>
      <w:r>
        <w:rPr/>
        <w:t>study</w:t>
      </w:r>
      <w:r>
        <w:rPr>
          <w:spacing w:val="27"/>
        </w:rPr>
        <w:t> </w:t>
      </w:r>
      <w:r>
        <w:rPr/>
        <w:t>in</w:t>
      </w:r>
      <w:r>
        <w:rPr>
          <w:spacing w:val="27"/>
        </w:rPr>
        <w:t> </w:t>
      </w:r>
      <w:r>
        <w:rPr/>
        <w:t>rugby</w:t>
      </w:r>
      <w:r>
        <w:rPr>
          <w:spacing w:val="27"/>
        </w:rPr>
        <w:t> </w:t>
      </w:r>
      <w:r>
        <w:rPr/>
        <w:t>league</w:t>
      </w:r>
      <w:r>
        <w:rPr>
          <w:spacing w:val="27"/>
        </w:rPr>
        <w:t> </w:t>
      </w:r>
      <w:r>
        <w:rPr/>
        <w:t>to</w:t>
      </w:r>
      <w:r>
        <w:rPr>
          <w:spacing w:val="27"/>
        </w:rPr>
        <w:t> </w:t>
      </w:r>
      <w:r>
        <w:rPr/>
        <w:t>attempt</w:t>
      </w:r>
      <w:r>
        <w:rPr>
          <w:spacing w:val="27"/>
        </w:rPr>
        <w:t> </w:t>
      </w:r>
      <w:r>
        <w:rPr/>
        <w:t>to evaluate player and team performances using action by action data.</w:t>
      </w:r>
      <w:r>
        <w:rPr>
          <w:spacing w:val="80"/>
        </w:rPr>
        <w:t> </w:t>
      </w:r>
      <w:r>
        <w:rPr/>
        <w:t>Four MDPs </w:t>
      </w:r>
      <w:r>
        <w:rPr/>
        <w:t>were</w:t>
      </w:r>
      <w:r>
        <w:rPr>
          <w:spacing w:val="40"/>
        </w:rPr>
        <w:t> </w:t>
      </w:r>
      <w:r>
        <w:rPr/>
        <w:t>produced:</w:t>
      </w:r>
      <w:r>
        <w:rPr>
          <w:spacing w:val="28"/>
        </w:rPr>
        <w:t> </w:t>
      </w:r>
      <w:r>
        <w:rPr/>
        <w:t>MDP</w:t>
      </w:r>
      <w:r>
        <w:rPr>
          <w:vertAlign w:val="subscript"/>
        </w:rPr>
        <w:t>nc</w:t>
      </w:r>
      <w:r>
        <w:rPr>
          <w:vertAlign w:val="baseline"/>
        </w:rPr>
        <w:t>, MDP</w:t>
      </w:r>
      <w:r>
        <w:rPr>
          <w:vertAlign w:val="subscript"/>
        </w:rPr>
        <w:t>period</w:t>
      </w:r>
      <w:r>
        <w:rPr>
          <w:vertAlign w:val="baseline"/>
        </w:rPr>
        <w:t>, MDP</w:t>
      </w:r>
      <w:r>
        <w:rPr>
          <w:vertAlign w:val="subscript"/>
        </w:rPr>
        <w:t>score</w:t>
      </w:r>
      <w:r>
        <w:rPr>
          <w:vertAlign w:val="baseline"/>
        </w:rPr>
        <w:t> and MDP</w:t>
      </w:r>
      <w:r>
        <w:rPr>
          <w:vertAlign w:val="subscript"/>
        </w:rPr>
        <w:t>team</w:t>
      </w:r>
      <w:r>
        <w:rPr>
          <w:vertAlign w:val="baseline"/>
        </w:rPr>
        <w:t>.</w:t>
      </w:r>
      <w:r>
        <w:rPr>
          <w:spacing w:val="38"/>
          <w:vertAlign w:val="baseline"/>
        </w:rPr>
        <w:t> </w:t>
      </w:r>
      <w:r>
        <w:rPr>
          <w:vertAlign w:val="baseline"/>
        </w:rPr>
        <w:t>Action impact ratings, previously developed in ice hockey (</w:t>
      </w:r>
      <w:hyperlink w:history="true" w:anchor="_bookmark287">
        <w:r>
          <w:rPr>
            <w:color w:val="FF0000"/>
            <w:vertAlign w:val="baseline"/>
          </w:rPr>
          <w:t>Routley and Schulte</w:t>
        </w:r>
      </w:hyperlink>
      <w:r>
        <w:rPr>
          <w:vertAlign w:val="baseline"/>
        </w:rPr>
        <w:t>,</w:t>
      </w:r>
      <w:hyperlink w:history="true" w:anchor="_bookmark287">
        <w:r>
          <w:rPr>
            <w:color w:val="FF0000"/>
            <w:vertAlign w:val="baseline"/>
          </w:rPr>
          <w:t>2015</w:t>
        </w:r>
      </w:hyperlink>
      <w:r>
        <w:rPr>
          <w:vertAlign w:val="baseline"/>
        </w:rPr>
        <w:t>), were shown to be reasonably suc- cessful at rating player performances compared to traditional statistics.</w:t>
      </w:r>
      <w:r>
        <w:rPr>
          <w:spacing w:val="40"/>
          <w:vertAlign w:val="baseline"/>
        </w:rPr>
        <w:t> </w:t>
      </w:r>
      <w:r>
        <w:rPr>
          <w:vertAlign w:val="baseline"/>
        </w:rPr>
        <w:t>Context nodes were shown to provide good insight into player performances when different scenarios (e.g.</w:t>
      </w:r>
      <w:r>
        <w:rPr>
          <w:spacing w:val="12"/>
          <w:vertAlign w:val="baseline"/>
        </w:rPr>
        <w:t> </w:t>
      </w:r>
      <w:r>
        <w:rPr>
          <w:vertAlign w:val="baseline"/>
        </w:rPr>
        <w:t>winning/losing</w:t>
      </w:r>
      <w:r>
        <w:rPr>
          <w:spacing w:val="-4"/>
          <w:vertAlign w:val="baseline"/>
        </w:rPr>
        <w:t> </w:t>
      </w:r>
      <w:r>
        <w:rPr>
          <w:vertAlign w:val="baseline"/>
        </w:rPr>
        <w:t>and</w:t>
      </w:r>
      <w:r>
        <w:rPr>
          <w:spacing w:val="-5"/>
          <w:vertAlign w:val="baseline"/>
        </w:rPr>
        <w:t> </w:t>
      </w:r>
      <w:r>
        <w:rPr>
          <w:vertAlign w:val="baseline"/>
        </w:rPr>
        <w:t>1</w:t>
      </w:r>
      <w:r>
        <w:rPr>
          <w:vertAlign w:val="superscript"/>
        </w:rPr>
        <w:t>st</w:t>
      </w:r>
      <w:r>
        <w:rPr>
          <w:vertAlign w:val="baseline"/>
        </w:rPr>
        <w:t>/2</w:t>
      </w:r>
      <w:r>
        <w:rPr>
          <w:vertAlign w:val="superscript"/>
        </w:rPr>
        <w:t>nd</w:t>
      </w:r>
      <w:r>
        <w:rPr>
          <w:spacing w:val="5"/>
          <w:vertAlign w:val="baseline"/>
        </w:rPr>
        <w:t> </w:t>
      </w:r>
      <w:r>
        <w:rPr>
          <w:vertAlign w:val="baseline"/>
        </w:rPr>
        <w:t>half)</w:t>
      </w:r>
      <w:r>
        <w:rPr>
          <w:spacing w:val="-4"/>
          <w:vertAlign w:val="baseline"/>
        </w:rPr>
        <w:t> </w:t>
      </w:r>
      <w:r>
        <w:rPr>
          <w:vertAlign w:val="baseline"/>
        </w:rPr>
        <w:t>were</w:t>
      </w:r>
      <w:r>
        <w:rPr>
          <w:spacing w:val="-5"/>
          <w:vertAlign w:val="baseline"/>
        </w:rPr>
        <w:t> </w:t>
      </w:r>
      <w:r>
        <w:rPr>
          <w:vertAlign w:val="baseline"/>
        </w:rPr>
        <w:t>considered.</w:t>
      </w:r>
      <w:r>
        <w:rPr>
          <w:spacing w:val="13"/>
          <w:vertAlign w:val="baseline"/>
        </w:rPr>
        <w:t> </w:t>
      </w:r>
      <w:r>
        <w:rPr>
          <w:vertAlign w:val="baseline"/>
        </w:rPr>
        <w:t>The</w:t>
      </w:r>
      <w:r>
        <w:rPr>
          <w:spacing w:val="-5"/>
          <w:vertAlign w:val="baseline"/>
        </w:rPr>
        <w:t> </w:t>
      </w:r>
      <w:r>
        <w:rPr>
          <w:vertAlign w:val="baseline"/>
        </w:rPr>
        <w:t>context</w:t>
      </w:r>
      <w:r>
        <w:rPr>
          <w:spacing w:val="-4"/>
          <w:vertAlign w:val="baseline"/>
        </w:rPr>
        <w:t> </w:t>
      </w:r>
      <w:r>
        <w:rPr>
          <w:vertAlign w:val="baseline"/>
        </w:rPr>
        <w:t>nodes</w:t>
      </w:r>
      <w:r>
        <w:rPr>
          <w:spacing w:val="-5"/>
          <w:vertAlign w:val="baseline"/>
        </w:rPr>
        <w:t> </w:t>
      </w:r>
      <w:r>
        <w:rPr>
          <w:vertAlign w:val="baseline"/>
        </w:rPr>
        <w:t>were</w:t>
      </w:r>
      <w:r>
        <w:rPr>
          <w:spacing w:val="-4"/>
          <w:vertAlign w:val="baseline"/>
        </w:rPr>
        <w:t> </w:t>
      </w:r>
      <w:r>
        <w:rPr>
          <w:vertAlign w:val="baseline"/>
        </w:rPr>
        <w:t>also</w:t>
      </w:r>
      <w:r>
        <w:rPr>
          <w:spacing w:val="-4"/>
          <w:vertAlign w:val="baseline"/>
        </w:rPr>
        <w:t> used</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to provide individual state, action values for each team providing excellent insights </w:t>
      </w:r>
      <w:r>
        <w:rPr/>
        <w:t>into tactical</w:t>
      </w:r>
      <w:r>
        <w:rPr>
          <w:spacing w:val="-5"/>
        </w:rPr>
        <w:t> </w:t>
      </w:r>
      <w:r>
        <w:rPr/>
        <w:t>differences</w:t>
      </w:r>
      <w:r>
        <w:rPr>
          <w:spacing w:val="-5"/>
        </w:rPr>
        <w:t> </w:t>
      </w:r>
      <w:r>
        <w:rPr/>
        <w:t>between</w:t>
      </w:r>
      <w:r>
        <w:rPr>
          <w:spacing w:val="-5"/>
        </w:rPr>
        <w:t> </w:t>
      </w:r>
      <w:r>
        <w:rPr/>
        <w:t>teams. Practitioners</w:t>
      </w:r>
      <w:r>
        <w:rPr>
          <w:spacing w:val="-5"/>
        </w:rPr>
        <w:t> </w:t>
      </w:r>
      <w:r>
        <w:rPr/>
        <w:t>can</w:t>
      </w:r>
      <w:r>
        <w:rPr>
          <w:spacing w:val="-5"/>
        </w:rPr>
        <w:t> </w:t>
      </w:r>
      <w:r>
        <w:rPr/>
        <w:t>use</w:t>
      </w:r>
      <w:r>
        <w:rPr>
          <w:spacing w:val="-5"/>
        </w:rPr>
        <w:t> </w:t>
      </w:r>
      <w:r>
        <w:rPr/>
        <w:t>the</w:t>
      </w:r>
      <w:r>
        <w:rPr>
          <w:spacing w:val="-5"/>
        </w:rPr>
        <w:t> </w:t>
      </w:r>
      <w:r>
        <w:rPr/>
        <w:t>player</w:t>
      </w:r>
      <w:r>
        <w:rPr>
          <w:spacing w:val="-5"/>
        </w:rPr>
        <w:t> </w:t>
      </w:r>
      <w:r>
        <w:rPr/>
        <w:t>performance</w:t>
      </w:r>
      <w:r>
        <w:rPr>
          <w:spacing w:val="-5"/>
        </w:rPr>
        <w:t> </w:t>
      </w:r>
      <w:r>
        <w:rPr/>
        <w:t>insights for</w:t>
      </w:r>
      <w:r>
        <w:rPr>
          <w:spacing w:val="-4"/>
        </w:rPr>
        <w:t> </w:t>
      </w:r>
      <w:r>
        <w:rPr/>
        <w:t>recruitment</w:t>
      </w:r>
      <w:r>
        <w:rPr>
          <w:spacing w:val="-4"/>
        </w:rPr>
        <w:t> </w:t>
      </w:r>
      <w:r>
        <w:rPr/>
        <w:t>purposes</w:t>
      </w:r>
      <w:r>
        <w:rPr>
          <w:spacing w:val="-4"/>
        </w:rPr>
        <w:t> </w:t>
      </w:r>
      <w:r>
        <w:rPr/>
        <w:t>and</w:t>
      </w:r>
      <w:r>
        <w:rPr>
          <w:spacing w:val="-4"/>
        </w:rPr>
        <w:t> </w:t>
      </w:r>
      <w:r>
        <w:rPr/>
        <w:t>the</w:t>
      </w:r>
      <w:r>
        <w:rPr>
          <w:spacing w:val="-4"/>
        </w:rPr>
        <w:t> </w:t>
      </w:r>
      <w:r>
        <w:rPr/>
        <w:t>team</w:t>
      </w:r>
      <w:r>
        <w:rPr>
          <w:spacing w:val="-4"/>
        </w:rPr>
        <w:t> </w:t>
      </w:r>
      <w:r>
        <w:rPr/>
        <w:t>performance</w:t>
      </w:r>
      <w:r>
        <w:rPr>
          <w:spacing w:val="-4"/>
        </w:rPr>
        <w:t> </w:t>
      </w:r>
      <w:r>
        <w:rPr/>
        <w:t>insights</w:t>
      </w:r>
      <w:r>
        <w:rPr>
          <w:spacing w:val="-4"/>
        </w:rPr>
        <w:t> </w:t>
      </w:r>
      <w:r>
        <w:rPr/>
        <w:t>to</w:t>
      </w:r>
      <w:r>
        <w:rPr>
          <w:spacing w:val="-4"/>
        </w:rPr>
        <w:t> </w:t>
      </w:r>
      <w:r>
        <w:rPr/>
        <w:t>develop</w:t>
      </w:r>
      <w:r>
        <w:rPr>
          <w:spacing w:val="-4"/>
        </w:rPr>
        <w:t> </w:t>
      </w:r>
      <w:r>
        <w:rPr/>
        <w:t>tactical</w:t>
      </w:r>
      <w:r>
        <w:rPr>
          <w:spacing w:val="-4"/>
        </w:rPr>
        <w:t> </w:t>
      </w:r>
      <w:r>
        <w:rPr/>
        <w:t>strategies against future opponents.</w:t>
      </w:r>
    </w:p>
    <w:p>
      <w:pPr>
        <w:pStyle w:val="BodyText"/>
        <w:spacing w:line="312" w:lineRule="auto"/>
        <w:ind w:left="610" w:right="389" w:firstLine="351"/>
        <w:jc w:val="both"/>
      </w:pPr>
      <w:r>
        <w:rPr/>
        <w:t>The work was presented at the UKCI conference and subsequently published in Ad- vances in Computational Intelligence Systems.</w:t>
      </w:r>
      <w:r>
        <w:rPr>
          <w:spacing w:val="40"/>
        </w:rPr>
        <w:t> </w:t>
      </w:r>
      <w:r>
        <w:rPr/>
        <w:t>It was presented internally to the Sports Science department at Leeds Beckett University, where it was positively received.</w:t>
      </w:r>
      <w:r>
        <w:rPr>
          <w:spacing w:val="40"/>
        </w:rPr>
        <w:t> </w:t>
      </w:r>
      <w:r>
        <w:rPr/>
        <w:t>The team performance insights were highly praised in terms of both usability and reliabil- ity. However,</w:t>
      </w:r>
      <w:r>
        <w:rPr>
          <w:spacing w:val="-9"/>
        </w:rPr>
        <w:t> </w:t>
      </w:r>
      <w:r>
        <w:rPr/>
        <w:t>the</w:t>
      </w:r>
      <w:r>
        <w:rPr>
          <w:spacing w:val="-9"/>
        </w:rPr>
        <w:t> </w:t>
      </w:r>
      <w:r>
        <w:rPr/>
        <w:t>player</w:t>
      </w:r>
      <w:r>
        <w:rPr>
          <w:spacing w:val="-9"/>
        </w:rPr>
        <w:t> </w:t>
      </w:r>
      <w:r>
        <w:rPr/>
        <w:t>player</w:t>
      </w:r>
      <w:r>
        <w:rPr>
          <w:spacing w:val="-9"/>
        </w:rPr>
        <w:t> </w:t>
      </w:r>
      <w:r>
        <w:rPr/>
        <w:t>performance</w:t>
      </w:r>
      <w:r>
        <w:rPr>
          <w:spacing w:val="-9"/>
        </w:rPr>
        <w:t> </w:t>
      </w:r>
      <w:r>
        <w:rPr/>
        <w:t>insights’</w:t>
      </w:r>
      <w:r>
        <w:rPr>
          <w:spacing w:val="-9"/>
        </w:rPr>
        <w:t> </w:t>
      </w:r>
      <w:r>
        <w:rPr/>
        <w:t>reliability</w:t>
      </w:r>
      <w:r>
        <w:rPr>
          <w:spacing w:val="-9"/>
        </w:rPr>
        <w:t> </w:t>
      </w:r>
      <w:r>
        <w:rPr/>
        <w:t>was</w:t>
      </w:r>
      <w:r>
        <w:rPr>
          <w:spacing w:val="-9"/>
        </w:rPr>
        <w:t> </w:t>
      </w:r>
      <w:r>
        <w:rPr/>
        <w:t>questioned</w:t>
      </w:r>
      <w:r>
        <w:rPr>
          <w:spacing w:val="-9"/>
        </w:rPr>
        <w:t> </w:t>
      </w:r>
      <w:r>
        <w:rPr/>
        <w:t>as</w:t>
      </w:r>
      <w:r>
        <w:rPr>
          <w:spacing w:val="-9"/>
        </w:rPr>
        <w:t> </w:t>
      </w:r>
      <w:r>
        <w:rPr/>
        <w:t>it</w:t>
      </w:r>
      <w:r>
        <w:rPr>
          <w:spacing w:val="-9"/>
        </w:rPr>
        <w:t> </w:t>
      </w:r>
      <w:r>
        <w:rPr/>
        <w:t>was suggested</w:t>
      </w:r>
      <w:r>
        <w:rPr>
          <w:spacing w:val="-2"/>
        </w:rPr>
        <w:t> </w:t>
      </w:r>
      <w:r>
        <w:rPr/>
        <w:t>that</w:t>
      </w:r>
      <w:r>
        <w:rPr>
          <w:spacing w:val="-2"/>
        </w:rPr>
        <w:t> </w:t>
      </w:r>
      <w:r>
        <w:rPr/>
        <w:t>the</w:t>
      </w:r>
      <w:r>
        <w:rPr>
          <w:spacing w:val="-2"/>
        </w:rPr>
        <w:t> </w:t>
      </w:r>
      <w:r>
        <w:rPr/>
        <w:t>action</w:t>
      </w:r>
      <w:r>
        <w:rPr>
          <w:spacing w:val="-2"/>
        </w:rPr>
        <w:t> </w:t>
      </w:r>
      <w:r>
        <w:rPr/>
        <w:t>impact</w:t>
      </w:r>
      <w:r>
        <w:rPr>
          <w:spacing w:val="-2"/>
        </w:rPr>
        <w:t> </w:t>
      </w:r>
      <w:r>
        <w:rPr/>
        <w:t>rating</w:t>
      </w:r>
      <w:r>
        <w:rPr>
          <w:spacing w:val="-2"/>
        </w:rPr>
        <w:t> </w:t>
      </w:r>
      <w:r>
        <w:rPr/>
        <w:t>provided</w:t>
      </w:r>
      <w:r>
        <w:rPr>
          <w:spacing w:val="-2"/>
        </w:rPr>
        <w:t> </w:t>
      </w:r>
      <w:r>
        <w:rPr/>
        <w:t>slightly</w:t>
      </w:r>
      <w:r>
        <w:rPr>
          <w:spacing w:val="-2"/>
        </w:rPr>
        <w:t> </w:t>
      </w:r>
      <w:r>
        <w:rPr/>
        <w:t>indifferent</w:t>
      </w:r>
      <w:r>
        <w:rPr>
          <w:spacing w:val="-2"/>
        </w:rPr>
        <w:t> </w:t>
      </w:r>
      <w:r>
        <w:rPr/>
        <w:t>results</w:t>
      </w:r>
      <w:r>
        <w:rPr>
          <w:spacing w:val="-2"/>
        </w:rPr>
        <w:t> </w:t>
      </w:r>
      <w:r>
        <w:rPr/>
        <w:t>because</w:t>
      </w:r>
      <w:r>
        <w:rPr>
          <w:spacing w:val="-2"/>
        </w:rPr>
        <w:t> </w:t>
      </w:r>
      <w:r>
        <w:rPr/>
        <w:t>it</w:t>
      </w:r>
      <w:r>
        <w:rPr>
          <w:spacing w:val="-2"/>
        </w:rPr>
        <w:t> </w:t>
      </w:r>
      <w:r>
        <w:rPr/>
        <w:t>re- warded</w:t>
      </w:r>
      <w:r>
        <w:rPr>
          <w:spacing w:val="-5"/>
        </w:rPr>
        <w:t> </w:t>
      </w:r>
      <w:r>
        <w:rPr/>
        <w:t>attempting</w:t>
      </w:r>
      <w:r>
        <w:rPr>
          <w:spacing w:val="-5"/>
        </w:rPr>
        <w:t> </w:t>
      </w:r>
      <w:r>
        <w:rPr/>
        <w:t>high</w:t>
      </w:r>
      <w:r>
        <w:rPr>
          <w:spacing w:val="-5"/>
        </w:rPr>
        <w:t> </w:t>
      </w:r>
      <w:r>
        <w:rPr/>
        <w:t>value</w:t>
      </w:r>
      <w:r>
        <w:rPr>
          <w:spacing w:val="-5"/>
        </w:rPr>
        <w:t> </w:t>
      </w:r>
      <w:r>
        <w:rPr/>
        <w:t>actions</w:t>
      </w:r>
      <w:r>
        <w:rPr>
          <w:spacing w:val="-5"/>
        </w:rPr>
        <w:t> </w:t>
      </w:r>
      <w:r>
        <w:rPr/>
        <w:t>rather</w:t>
      </w:r>
      <w:r>
        <w:rPr>
          <w:spacing w:val="-5"/>
        </w:rPr>
        <w:t> </w:t>
      </w:r>
      <w:r>
        <w:rPr/>
        <w:t>than</w:t>
      </w:r>
      <w:r>
        <w:rPr>
          <w:spacing w:val="-5"/>
        </w:rPr>
        <w:t> </w:t>
      </w:r>
      <w:r>
        <w:rPr/>
        <w:t>considering</w:t>
      </w:r>
      <w:r>
        <w:rPr>
          <w:spacing w:val="-5"/>
        </w:rPr>
        <w:t> </w:t>
      </w:r>
      <w:r>
        <w:rPr/>
        <w:t>the</w:t>
      </w:r>
      <w:r>
        <w:rPr>
          <w:spacing w:val="-5"/>
        </w:rPr>
        <w:t> </w:t>
      </w:r>
      <w:r>
        <w:rPr/>
        <w:t>outcome</w:t>
      </w:r>
      <w:r>
        <w:rPr>
          <w:spacing w:val="-5"/>
        </w:rPr>
        <w:t> </w:t>
      </w:r>
      <w:r>
        <w:rPr/>
        <w:t>of</w:t>
      </w:r>
      <w:r>
        <w:rPr>
          <w:spacing w:val="-5"/>
        </w:rPr>
        <w:t> </w:t>
      </w:r>
      <w:r>
        <w:rPr/>
        <w:t>the</w:t>
      </w:r>
      <w:r>
        <w:rPr>
          <w:spacing w:val="-5"/>
        </w:rPr>
        <w:t> </w:t>
      </w:r>
      <w:r>
        <w:rPr/>
        <w:t>actions. </w:t>
      </w:r>
      <w:r>
        <w:rPr>
          <w:spacing w:val="-2"/>
        </w:rPr>
        <w:t>To</w:t>
      </w:r>
      <w:r>
        <w:rPr>
          <w:spacing w:val="-7"/>
        </w:rPr>
        <w:t> </w:t>
      </w:r>
      <w:r>
        <w:rPr>
          <w:spacing w:val="-2"/>
        </w:rPr>
        <w:t>remedy</w:t>
      </w:r>
      <w:r>
        <w:rPr>
          <w:spacing w:val="-7"/>
        </w:rPr>
        <w:t> </w:t>
      </w:r>
      <w:r>
        <w:rPr>
          <w:spacing w:val="-2"/>
        </w:rPr>
        <w:t>this,</w:t>
      </w:r>
      <w:r>
        <w:rPr>
          <w:spacing w:val="-4"/>
        </w:rPr>
        <w:t> </w:t>
      </w:r>
      <w:r>
        <w:rPr>
          <w:spacing w:val="-2"/>
        </w:rPr>
        <w:t>the</w:t>
      </w:r>
      <w:r>
        <w:rPr>
          <w:spacing w:val="-7"/>
        </w:rPr>
        <w:t> </w:t>
      </w:r>
      <w:r>
        <w:rPr>
          <w:spacing w:val="-2"/>
        </w:rPr>
        <w:t>department</w:t>
      </w:r>
      <w:r>
        <w:rPr>
          <w:spacing w:val="-7"/>
        </w:rPr>
        <w:t> </w:t>
      </w:r>
      <w:r>
        <w:rPr>
          <w:spacing w:val="-2"/>
        </w:rPr>
        <w:t>suggested</w:t>
      </w:r>
      <w:r>
        <w:rPr>
          <w:spacing w:val="-7"/>
        </w:rPr>
        <w:t> </w:t>
      </w:r>
      <w:r>
        <w:rPr>
          <w:spacing w:val="-2"/>
        </w:rPr>
        <w:t>that</w:t>
      </w:r>
      <w:r>
        <w:rPr>
          <w:spacing w:val="-7"/>
        </w:rPr>
        <w:t> </w:t>
      </w:r>
      <w:r>
        <w:rPr>
          <w:spacing w:val="-2"/>
        </w:rPr>
        <w:t>a</w:t>
      </w:r>
      <w:r>
        <w:rPr>
          <w:spacing w:val="-7"/>
        </w:rPr>
        <w:t> </w:t>
      </w:r>
      <w:r>
        <w:rPr>
          <w:spacing w:val="-2"/>
        </w:rPr>
        <w:t>future</w:t>
      </w:r>
      <w:r>
        <w:rPr>
          <w:spacing w:val="-7"/>
        </w:rPr>
        <w:t> </w:t>
      </w:r>
      <w:r>
        <w:rPr>
          <w:spacing w:val="-2"/>
        </w:rPr>
        <w:t>performance</w:t>
      </w:r>
      <w:r>
        <w:rPr>
          <w:spacing w:val="-7"/>
        </w:rPr>
        <w:t> </w:t>
      </w:r>
      <w:r>
        <w:rPr>
          <w:spacing w:val="-2"/>
        </w:rPr>
        <w:t>rating</w:t>
      </w:r>
      <w:r>
        <w:rPr>
          <w:spacing w:val="-7"/>
        </w:rPr>
        <w:t> </w:t>
      </w:r>
      <w:r>
        <w:rPr>
          <w:spacing w:val="-2"/>
        </w:rPr>
        <w:t>should</w:t>
      </w:r>
      <w:r>
        <w:rPr>
          <w:spacing w:val="-7"/>
        </w:rPr>
        <w:t> </w:t>
      </w:r>
      <w:r>
        <w:rPr>
          <w:spacing w:val="-2"/>
        </w:rPr>
        <w:t>consider </w:t>
      </w:r>
      <w:r>
        <w:rPr/>
        <w:t>some form of actual vs expected possession outcome measure.</w:t>
      </w:r>
    </w:p>
    <w:p>
      <w:pPr>
        <w:pStyle w:val="BodyText"/>
        <w:spacing w:line="312" w:lineRule="auto"/>
        <w:ind w:left="610" w:right="411" w:firstLine="351"/>
      </w:pPr>
      <w:r>
        <w:rPr/>
        <w:t>Given</w:t>
      </w:r>
      <w:r>
        <w:rPr>
          <w:spacing w:val="-9"/>
        </w:rPr>
        <w:t> </w:t>
      </w:r>
      <w:r>
        <w:rPr/>
        <w:t>its</w:t>
      </w:r>
      <w:r>
        <w:rPr>
          <w:spacing w:val="-9"/>
        </w:rPr>
        <w:t> </w:t>
      </w:r>
      <w:r>
        <w:rPr/>
        <w:t>success</w:t>
      </w:r>
      <w:r>
        <w:rPr>
          <w:spacing w:val="-9"/>
        </w:rPr>
        <w:t> </w:t>
      </w:r>
      <w:r>
        <w:rPr/>
        <w:t>at</w:t>
      </w:r>
      <w:r>
        <w:rPr>
          <w:spacing w:val="-9"/>
        </w:rPr>
        <w:t> </w:t>
      </w:r>
      <w:r>
        <w:rPr/>
        <w:t>a</w:t>
      </w:r>
      <w:r>
        <w:rPr>
          <w:spacing w:val="-9"/>
        </w:rPr>
        <w:t> </w:t>
      </w:r>
      <w:r>
        <w:rPr/>
        <w:t>team</w:t>
      </w:r>
      <w:r>
        <w:rPr>
          <w:spacing w:val="-9"/>
        </w:rPr>
        <w:t> </w:t>
      </w:r>
      <w:r>
        <w:rPr/>
        <w:t>level,</w:t>
      </w:r>
      <w:r>
        <w:rPr>
          <w:spacing w:val="-8"/>
        </w:rPr>
        <w:t> </w:t>
      </w:r>
      <w:r>
        <w:rPr/>
        <w:t>future</w:t>
      </w:r>
      <w:r>
        <w:rPr>
          <w:spacing w:val="-9"/>
        </w:rPr>
        <w:t> </w:t>
      </w:r>
      <w:r>
        <w:rPr/>
        <w:t>studies</w:t>
      </w:r>
      <w:r>
        <w:rPr>
          <w:spacing w:val="-9"/>
        </w:rPr>
        <w:t> </w:t>
      </w:r>
      <w:r>
        <w:rPr/>
        <w:t>may</w:t>
      </w:r>
      <w:r>
        <w:rPr>
          <w:spacing w:val="-9"/>
        </w:rPr>
        <w:t> </w:t>
      </w:r>
      <w:r>
        <w:rPr/>
        <w:t>now</w:t>
      </w:r>
      <w:r>
        <w:rPr>
          <w:spacing w:val="-9"/>
        </w:rPr>
        <w:t> </w:t>
      </w:r>
      <w:r>
        <w:rPr/>
        <w:t>wish</w:t>
      </w:r>
      <w:r>
        <w:rPr>
          <w:spacing w:val="-9"/>
        </w:rPr>
        <w:t> </w:t>
      </w:r>
      <w:r>
        <w:rPr/>
        <w:t>to</w:t>
      </w:r>
      <w:r>
        <w:rPr>
          <w:spacing w:val="-9"/>
        </w:rPr>
        <w:t> </w:t>
      </w:r>
      <w:r>
        <w:rPr/>
        <w:t>apply</w:t>
      </w:r>
      <w:r>
        <w:rPr>
          <w:spacing w:val="-9"/>
        </w:rPr>
        <w:t> </w:t>
      </w:r>
      <w:r>
        <w:rPr/>
        <w:t>these</w:t>
      </w:r>
      <w:r>
        <w:rPr>
          <w:spacing w:val="-9"/>
        </w:rPr>
        <w:t> </w:t>
      </w:r>
      <w:r>
        <w:rPr/>
        <w:t>methods to other sports.</w:t>
      </w:r>
      <w:r>
        <w:rPr>
          <w:spacing w:val="40"/>
        </w:rPr>
        <w:t> </w:t>
      </w:r>
      <w:r>
        <w:rPr/>
        <w:t>Doing so would require a two-step process:</w:t>
      </w:r>
      <w:r>
        <w:rPr>
          <w:spacing w:val="40"/>
        </w:rPr>
        <w:t> </w:t>
      </w:r>
      <w:r>
        <w:rPr/>
        <w:t>first, the most </w:t>
      </w:r>
      <w:r>
        <w:rPr/>
        <w:t>appropriate zone</w:t>
      </w:r>
      <w:r>
        <w:rPr>
          <w:spacing w:val="-8"/>
        </w:rPr>
        <w:t> </w:t>
      </w:r>
      <w:r>
        <w:rPr/>
        <w:t>size</w:t>
      </w:r>
      <w:r>
        <w:rPr>
          <w:spacing w:val="-8"/>
        </w:rPr>
        <w:t> </w:t>
      </w:r>
      <w:r>
        <w:rPr/>
        <w:t>should</w:t>
      </w:r>
      <w:r>
        <w:rPr>
          <w:spacing w:val="-8"/>
        </w:rPr>
        <w:t> </w:t>
      </w:r>
      <w:r>
        <w:rPr/>
        <w:t>be</w:t>
      </w:r>
      <w:r>
        <w:rPr>
          <w:spacing w:val="-8"/>
        </w:rPr>
        <w:t> </w:t>
      </w:r>
      <w:r>
        <w:rPr/>
        <w:t>chosen</w:t>
      </w:r>
      <w:r>
        <w:rPr>
          <w:spacing w:val="-8"/>
        </w:rPr>
        <w:t> </w:t>
      </w:r>
      <w:r>
        <w:rPr/>
        <w:t>based</w:t>
      </w:r>
      <w:r>
        <w:rPr>
          <w:spacing w:val="-8"/>
        </w:rPr>
        <w:t> </w:t>
      </w:r>
      <w:r>
        <w:rPr/>
        <w:t>on</w:t>
      </w:r>
      <w:r>
        <w:rPr>
          <w:spacing w:val="-8"/>
        </w:rPr>
        <w:t> </w:t>
      </w:r>
      <w:r>
        <w:rPr/>
        <w:t>a</w:t>
      </w:r>
      <w:r>
        <w:rPr>
          <w:spacing w:val="-8"/>
        </w:rPr>
        <w:t> </w:t>
      </w:r>
      <w:r>
        <w:rPr/>
        <w:t>criterion</w:t>
      </w:r>
      <w:r>
        <w:rPr>
          <w:spacing w:val="-8"/>
        </w:rPr>
        <w:t> </w:t>
      </w:r>
      <w:r>
        <w:rPr/>
        <w:t>measure</w:t>
      </w:r>
      <w:r>
        <w:rPr>
          <w:spacing w:val="-8"/>
        </w:rPr>
        <w:t> </w:t>
      </w:r>
      <w:r>
        <w:rPr/>
        <w:t>appropriate</w:t>
      </w:r>
      <w:r>
        <w:rPr>
          <w:spacing w:val="-8"/>
        </w:rPr>
        <w:t> </w:t>
      </w:r>
      <w:r>
        <w:rPr/>
        <w:t>for</w:t>
      </w:r>
      <w:r>
        <w:rPr>
          <w:spacing w:val="-8"/>
        </w:rPr>
        <w:t> </w:t>
      </w:r>
      <w:r>
        <w:rPr/>
        <w:t>the</w:t>
      </w:r>
      <w:r>
        <w:rPr>
          <w:spacing w:val="-8"/>
        </w:rPr>
        <w:t> </w:t>
      </w:r>
      <w:r>
        <w:rPr/>
        <w:t>sport,</w:t>
      </w:r>
      <w:r>
        <w:rPr>
          <w:spacing w:val="-7"/>
        </w:rPr>
        <w:t> </w:t>
      </w:r>
      <w:r>
        <w:rPr/>
        <w:t>similar to Chapter</w:t>
      </w:r>
      <w:r>
        <w:rPr>
          <w:color w:val="0000FF"/>
        </w:rPr>
        <w:t>3</w:t>
      </w:r>
      <w:hyperlink w:history="true" w:anchor="_bookmark48">
        <w:r>
          <w:rPr/>
          <w:t>;</w:t>
        </w:r>
      </w:hyperlink>
      <w:r>
        <w:rPr/>
        <w:t> second, a useful set of actions should be included so that their values can</w:t>
      </w:r>
      <w:r>
        <w:rPr>
          <w:spacing w:val="40"/>
        </w:rPr>
        <w:t> </w:t>
      </w:r>
      <w:r>
        <w:rPr/>
        <w:t>be considered.</w:t>
      </w:r>
      <w:r>
        <w:rPr>
          <w:spacing w:val="40"/>
        </w:rPr>
        <w:t> </w:t>
      </w:r>
      <w:r>
        <w:rPr/>
        <w:t>The methods considered in both chapters should be useful in any sport</w:t>
      </w:r>
      <w:r>
        <w:rPr>
          <w:spacing w:val="40"/>
        </w:rPr>
        <w:t> </w:t>
      </w:r>
      <w:r>
        <w:rPr/>
        <w:t>which takes place on a pitch or court.</w:t>
      </w:r>
      <w:r>
        <w:rPr>
          <w:spacing w:val="40"/>
        </w:rPr>
        <w:t> </w:t>
      </w:r>
      <w:r>
        <w:rPr/>
        <w:t>For example, similar methods have already been considered in football (</w:t>
      </w:r>
      <w:hyperlink w:history="true" w:anchor="_bookmark294">
        <w:r>
          <w:rPr>
            <w:color w:val="FF0000"/>
          </w:rPr>
          <w:t>Singh</w:t>
        </w:r>
      </w:hyperlink>
      <w:r>
        <w:rPr/>
        <w:t>,</w:t>
      </w:r>
      <w:hyperlink w:history="true" w:anchor="_bookmark294">
        <w:r>
          <w:rPr>
            <w:color w:val="FF0000"/>
          </w:rPr>
          <w:t>n.d.</w:t>
        </w:r>
        <w:r>
          <w:rPr/>
          <w:t>)</w:t>
        </w:r>
      </w:hyperlink>
      <w:r>
        <w:rPr>
          <w:spacing w:val="40"/>
        </w:rPr>
        <w:t> </w:t>
      </w:r>
      <w:r>
        <w:rPr/>
        <w:t>and ice hockey (</w:t>
      </w:r>
      <w:hyperlink w:history="true" w:anchor="_bookmark287">
        <w:r>
          <w:rPr>
            <w:color w:val="FF0000"/>
          </w:rPr>
          <w:t>Routley and Schulte</w:t>
        </w:r>
        <w:r>
          <w:rPr/>
          <w:t>,</w:t>
        </w:r>
      </w:hyperlink>
      <w:r>
        <w:rPr>
          <w:color w:val="FF0000"/>
        </w:rPr>
        <w:t>2015</w:t>
      </w:r>
      <w:hyperlink w:history="true" w:anchor="_bookmark287">
        <w:r>
          <w:rPr/>
          <w:t>).</w:t>
        </w:r>
      </w:hyperlink>
      <w:r>
        <w:rPr>
          <w:spacing w:val="40"/>
        </w:rPr>
        <w:t> </w:t>
      </w:r>
      <w:r>
        <w:rPr/>
        <w:t>There</w:t>
      </w:r>
      <w:r>
        <w:rPr>
          <w:spacing w:val="80"/>
        </w:rPr>
        <w:t> </w:t>
      </w:r>
      <w:r>
        <w:rPr/>
        <w:t>is</w:t>
      </w:r>
      <w:r>
        <w:rPr>
          <w:spacing w:val="26"/>
        </w:rPr>
        <w:t> </w:t>
      </w:r>
      <w:r>
        <w:rPr/>
        <w:t>also</w:t>
      </w:r>
      <w:r>
        <w:rPr>
          <w:spacing w:val="27"/>
        </w:rPr>
        <w:t> </w:t>
      </w:r>
      <w:r>
        <w:rPr/>
        <w:t>scope</w:t>
      </w:r>
      <w:r>
        <w:rPr>
          <w:spacing w:val="26"/>
        </w:rPr>
        <w:t> </w:t>
      </w:r>
      <w:r>
        <w:rPr/>
        <w:t>for</w:t>
      </w:r>
      <w:r>
        <w:rPr>
          <w:spacing w:val="26"/>
        </w:rPr>
        <w:t> </w:t>
      </w:r>
      <w:r>
        <w:rPr/>
        <w:t>the</w:t>
      </w:r>
      <w:r>
        <w:rPr>
          <w:spacing w:val="26"/>
        </w:rPr>
        <w:t> </w:t>
      </w:r>
      <w:r>
        <w:rPr/>
        <w:t>model</w:t>
      </w:r>
      <w:r>
        <w:rPr>
          <w:spacing w:val="27"/>
        </w:rPr>
        <w:t> </w:t>
      </w:r>
      <w:r>
        <w:rPr/>
        <w:t>to</w:t>
      </w:r>
      <w:r>
        <w:rPr>
          <w:spacing w:val="26"/>
        </w:rPr>
        <w:t> </w:t>
      </w:r>
      <w:r>
        <w:rPr/>
        <w:t>be</w:t>
      </w:r>
      <w:r>
        <w:rPr>
          <w:spacing w:val="26"/>
        </w:rPr>
        <w:t> </w:t>
      </w:r>
      <w:r>
        <w:rPr/>
        <w:t>used</w:t>
      </w:r>
      <w:r>
        <w:rPr>
          <w:spacing w:val="27"/>
        </w:rPr>
        <w:t> </w:t>
      </w:r>
      <w:r>
        <w:rPr/>
        <w:t>in</w:t>
      </w:r>
      <w:r>
        <w:rPr>
          <w:spacing w:val="26"/>
        </w:rPr>
        <w:t> </w:t>
      </w:r>
      <w:r>
        <w:rPr/>
        <w:t>individual</w:t>
      </w:r>
      <w:r>
        <w:rPr>
          <w:spacing w:val="26"/>
        </w:rPr>
        <w:t> </w:t>
      </w:r>
      <w:r>
        <w:rPr/>
        <w:t>sports,</w:t>
      </w:r>
      <w:r>
        <w:rPr>
          <w:spacing w:val="34"/>
        </w:rPr>
        <w:t> </w:t>
      </w:r>
      <w:r>
        <w:rPr/>
        <w:t>such</w:t>
      </w:r>
      <w:r>
        <w:rPr>
          <w:spacing w:val="26"/>
        </w:rPr>
        <w:t> </w:t>
      </w:r>
      <w:r>
        <w:rPr/>
        <w:t>as</w:t>
      </w:r>
      <w:r>
        <w:rPr>
          <w:spacing w:val="27"/>
        </w:rPr>
        <w:t> </w:t>
      </w:r>
      <w:r>
        <w:rPr/>
        <w:t>tennis,</w:t>
      </w:r>
      <w:r>
        <w:rPr>
          <w:spacing w:val="34"/>
        </w:rPr>
        <w:t> </w:t>
      </w:r>
      <w:r>
        <w:rPr/>
        <w:t>where</w:t>
      </w:r>
      <w:r>
        <w:rPr>
          <w:spacing w:val="26"/>
        </w:rPr>
        <w:t> </w:t>
      </w:r>
      <w:r>
        <w:rPr/>
        <w:t>the </w:t>
      </w:r>
      <w:r>
        <w:rPr>
          <w:spacing w:val="-2"/>
        </w:rPr>
        <w:t>probability</w:t>
      </w:r>
      <w:r>
        <w:rPr>
          <w:spacing w:val="-7"/>
        </w:rPr>
        <w:t> </w:t>
      </w:r>
      <w:r>
        <w:rPr>
          <w:spacing w:val="-2"/>
        </w:rPr>
        <w:t>of</w:t>
      </w:r>
      <w:r>
        <w:rPr>
          <w:spacing w:val="-7"/>
        </w:rPr>
        <w:t> </w:t>
      </w:r>
      <w:r>
        <w:rPr>
          <w:spacing w:val="-2"/>
        </w:rPr>
        <w:t>winning</w:t>
      </w:r>
      <w:r>
        <w:rPr>
          <w:spacing w:val="-7"/>
        </w:rPr>
        <w:t> </w:t>
      </w:r>
      <w:r>
        <w:rPr>
          <w:spacing w:val="-2"/>
        </w:rPr>
        <w:t>a</w:t>
      </w:r>
      <w:r>
        <w:rPr>
          <w:spacing w:val="-7"/>
        </w:rPr>
        <w:t> </w:t>
      </w:r>
      <w:r>
        <w:rPr>
          <w:spacing w:val="-2"/>
        </w:rPr>
        <w:t>point</w:t>
      </w:r>
      <w:r>
        <w:rPr>
          <w:spacing w:val="-7"/>
        </w:rPr>
        <w:t> </w:t>
      </w:r>
      <w:r>
        <w:rPr>
          <w:spacing w:val="-2"/>
        </w:rPr>
        <w:t>based</w:t>
      </w:r>
      <w:r>
        <w:rPr>
          <w:spacing w:val="-7"/>
        </w:rPr>
        <w:t> </w:t>
      </w:r>
      <w:r>
        <w:rPr>
          <w:spacing w:val="-2"/>
        </w:rPr>
        <w:t>on</w:t>
      </w:r>
      <w:r>
        <w:rPr>
          <w:spacing w:val="-7"/>
        </w:rPr>
        <w:t> </w:t>
      </w:r>
      <w:r>
        <w:rPr>
          <w:spacing w:val="-2"/>
        </w:rPr>
        <w:t>performing</w:t>
      </w:r>
      <w:r>
        <w:rPr>
          <w:spacing w:val="-7"/>
        </w:rPr>
        <w:t> </w:t>
      </w:r>
      <w:r>
        <w:rPr>
          <w:spacing w:val="-2"/>
        </w:rPr>
        <w:t>different</w:t>
      </w:r>
      <w:r>
        <w:rPr>
          <w:spacing w:val="-7"/>
        </w:rPr>
        <w:t> </w:t>
      </w:r>
      <w:r>
        <w:rPr>
          <w:spacing w:val="-2"/>
        </w:rPr>
        <w:t>shots</w:t>
      </w:r>
      <w:r>
        <w:rPr>
          <w:spacing w:val="-7"/>
        </w:rPr>
        <w:t> </w:t>
      </w:r>
      <w:r>
        <w:rPr>
          <w:spacing w:val="-2"/>
        </w:rPr>
        <w:t>from</w:t>
      </w:r>
      <w:r>
        <w:rPr>
          <w:spacing w:val="-7"/>
        </w:rPr>
        <w:t> </w:t>
      </w:r>
      <w:r>
        <w:rPr>
          <w:spacing w:val="-2"/>
        </w:rPr>
        <w:t>different</w:t>
      </w:r>
      <w:r>
        <w:rPr>
          <w:spacing w:val="-7"/>
        </w:rPr>
        <w:t> </w:t>
      </w:r>
      <w:r>
        <w:rPr>
          <w:spacing w:val="-2"/>
        </w:rPr>
        <w:t>locations </w:t>
      </w:r>
      <w:r>
        <w:rPr/>
        <w:t>could be considered.</w:t>
      </w:r>
    </w:p>
    <w:p>
      <w:pPr>
        <w:pStyle w:val="BodyText"/>
        <w:spacing w:line="312" w:lineRule="auto"/>
        <w:ind w:left="610" w:right="389" w:firstLine="351"/>
        <w:jc w:val="both"/>
      </w:pPr>
      <w:r>
        <w:rPr/>
        <w:t>In addition to the action impact rating critique, there are a number of reasons why</w:t>
      </w:r>
      <w:r>
        <w:rPr>
          <w:spacing w:val="40"/>
        </w:rPr>
        <w:t> </w:t>
      </w:r>
      <w:r>
        <w:rPr/>
        <w:t>the player performance ratings may have provided mixed results.</w:t>
      </w:r>
      <w:r>
        <w:rPr>
          <w:spacing w:val="40"/>
        </w:rPr>
        <w:t> </w:t>
      </w:r>
      <w:r>
        <w:rPr/>
        <w:t>The first is that </w:t>
      </w:r>
      <w:r>
        <w:rPr/>
        <w:t>all defensive actions were removed from the model, which may have stopped players who were good defenders from being rated highly.</w:t>
      </w:r>
      <w:r>
        <w:rPr>
          <w:spacing w:val="26"/>
        </w:rPr>
        <w:t> </w:t>
      </w:r>
      <w:r>
        <w:rPr/>
        <w:t>The second is that the model values point scoring actions (goal kicks and runs) disproportionately higher than all other actions, which unduly rewards those players who attempt these actions more regularly.</w:t>
      </w:r>
      <w:r>
        <w:rPr>
          <w:spacing w:val="40"/>
        </w:rPr>
        <w:t> </w:t>
      </w:r>
      <w:r>
        <w:rPr/>
        <w:t>Finally, it could be that the zones used in this study are too large for meaningful differences to</w:t>
      </w:r>
      <w:r>
        <w:rPr>
          <w:spacing w:val="40"/>
        </w:rPr>
        <w:t> </w:t>
      </w:r>
      <w:r>
        <w:rPr/>
        <w:t>be identified.</w:t>
      </w:r>
      <w:r>
        <w:rPr>
          <w:spacing w:val="40"/>
        </w:rPr>
        <w:t> </w:t>
      </w:r>
      <w:r>
        <w:rPr/>
        <w:t>This limitation could also relate to the team performances as no major differences were identified between any team and the league average model when they were</w:t>
      </w:r>
      <w:r>
        <w:rPr>
          <w:spacing w:val="-9"/>
        </w:rPr>
        <w:t> </w:t>
      </w:r>
      <w:r>
        <w:rPr/>
        <w:t>more</w:t>
      </w:r>
      <w:r>
        <w:rPr>
          <w:spacing w:val="-9"/>
        </w:rPr>
        <w:t> </w:t>
      </w:r>
      <w:r>
        <w:rPr/>
        <w:t>than</w:t>
      </w:r>
      <w:r>
        <w:rPr>
          <w:spacing w:val="-9"/>
        </w:rPr>
        <w:t> </w:t>
      </w:r>
      <w:r>
        <w:rPr/>
        <w:t>30m</w:t>
      </w:r>
      <w:r>
        <w:rPr>
          <w:spacing w:val="-8"/>
        </w:rPr>
        <w:t> </w:t>
      </w:r>
      <w:r>
        <w:rPr/>
        <w:t>away</w:t>
      </w:r>
      <w:r>
        <w:rPr>
          <w:spacing w:val="-9"/>
        </w:rPr>
        <w:t> </w:t>
      </w:r>
      <w:r>
        <w:rPr/>
        <w:t>from</w:t>
      </w:r>
      <w:r>
        <w:rPr>
          <w:spacing w:val="-9"/>
        </w:rPr>
        <w:t> </w:t>
      </w:r>
      <w:r>
        <w:rPr/>
        <w:t>the</w:t>
      </w:r>
      <w:r>
        <w:rPr>
          <w:spacing w:val="-9"/>
        </w:rPr>
        <w:t> </w:t>
      </w:r>
      <w:r>
        <w:rPr/>
        <w:t>opposition</w:t>
      </w:r>
      <w:r>
        <w:rPr>
          <w:spacing w:val="-8"/>
        </w:rPr>
        <w:t> </w:t>
      </w:r>
      <w:r>
        <w:rPr/>
        <w:t>try</w:t>
      </w:r>
      <w:r>
        <w:rPr>
          <w:spacing w:val="-9"/>
        </w:rPr>
        <w:t> </w:t>
      </w:r>
      <w:r>
        <w:rPr/>
        <w:t>line.</w:t>
      </w:r>
      <w:r>
        <w:rPr>
          <w:spacing w:val="6"/>
        </w:rPr>
        <w:t> </w:t>
      </w:r>
      <w:r>
        <w:rPr/>
        <w:t>A</w:t>
      </w:r>
      <w:r>
        <w:rPr>
          <w:spacing w:val="-9"/>
        </w:rPr>
        <w:t> </w:t>
      </w:r>
      <w:r>
        <w:rPr/>
        <w:t>likely</w:t>
      </w:r>
      <w:r>
        <w:rPr>
          <w:spacing w:val="-9"/>
        </w:rPr>
        <w:t> </w:t>
      </w:r>
      <w:r>
        <w:rPr/>
        <w:t>reason</w:t>
      </w:r>
      <w:r>
        <w:rPr>
          <w:spacing w:val="-8"/>
        </w:rPr>
        <w:t> </w:t>
      </w:r>
      <w:r>
        <w:rPr/>
        <w:t>for</w:t>
      </w:r>
      <w:r>
        <w:rPr>
          <w:spacing w:val="-9"/>
        </w:rPr>
        <w:t> </w:t>
      </w:r>
      <w:r>
        <w:rPr/>
        <w:t>this</w:t>
      </w:r>
      <w:r>
        <w:rPr>
          <w:spacing w:val="-9"/>
        </w:rPr>
        <w:t> </w:t>
      </w:r>
      <w:r>
        <w:rPr/>
        <w:t>is</w:t>
      </w:r>
      <w:r>
        <w:rPr>
          <w:spacing w:val="-9"/>
        </w:rPr>
        <w:t> </w:t>
      </w:r>
      <w:r>
        <w:rPr/>
        <w:t>the</w:t>
      </w:r>
      <w:r>
        <w:rPr>
          <w:spacing w:val="-8"/>
        </w:rPr>
        <w:t> </w:t>
      </w:r>
      <w:r>
        <w:rPr>
          <w:spacing w:val="-4"/>
        </w:rPr>
        <w:t>size</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of</w:t>
      </w:r>
      <w:r>
        <w:rPr>
          <w:spacing w:val="-1"/>
        </w:rPr>
        <w:t> </w:t>
      </w:r>
      <w:r>
        <w:rPr/>
        <w:t>the</w:t>
      </w:r>
      <w:r>
        <w:rPr>
          <w:spacing w:val="-1"/>
        </w:rPr>
        <w:t> </w:t>
      </w:r>
      <w:r>
        <w:rPr/>
        <w:t>zones</w:t>
      </w:r>
      <w:r>
        <w:rPr>
          <w:spacing w:val="-1"/>
        </w:rPr>
        <w:t> </w:t>
      </w:r>
      <w:r>
        <w:rPr/>
        <w:t>-</w:t>
      </w:r>
      <w:r>
        <w:rPr>
          <w:spacing w:val="-1"/>
        </w:rPr>
        <w:t> </w:t>
      </w:r>
      <w:r>
        <w:rPr/>
        <w:t>the</w:t>
      </w:r>
      <w:r>
        <w:rPr>
          <w:spacing w:val="-1"/>
        </w:rPr>
        <w:t> </w:t>
      </w:r>
      <w:r>
        <w:rPr/>
        <w:t>middle</w:t>
      </w:r>
      <w:r>
        <w:rPr>
          <w:spacing w:val="-1"/>
        </w:rPr>
        <w:t> </w:t>
      </w:r>
      <w:r>
        <w:rPr/>
        <w:t>zone</w:t>
      </w:r>
      <w:r>
        <w:rPr>
          <w:spacing w:val="-1"/>
        </w:rPr>
        <w:t> </w:t>
      </w:r>
      <w:r>
        <w:rPr/>
        <w:t>is</w:t>
      </w:r>
      <w:r>
        <w:rPr>
          <w:spacing w:val="-1"/>
        </w:rPr>
        <w:t> </w:t>
      </w:r>
      <w:r>
        <w:rPr/>
        <w:t>60m</w:t>
      </w:r>
      <w:r>
        <w:rPr>
          <w:spacing w:val="-1"/>
        </w:rPr>
        <w:t> </w:t>
      </w:r>
      <w:r>
        <w:rPr/>
        <w:t>long, with</w:t>
      </w:r>
      <w:r>
        <w:rPr>
          <w:spacing w:val="-1"/>
        </w:rPr>
        <w:t> </w:t>
      </w:r>
      <w:r>
        <w:rPr/>
        <w:t>every</w:t>
      </w:r>
      <w:r>
        <w:rPr>
          <w:spacing w:val="-1"/>
        </w:rPr>
        <w:t> </w:t>
      </w:r>
      <w:r>
        <w:rPr/>
        <w:t>location</w:t>
      </w:r>
      <w:r>
        <w:rPr>
          <w:spacing w:val="-1"/>
        </w:rPr>
        <w:t> </w:t>
      </w:r>
      <w:r>
        <w:rPr/>
        <w:t>in</w:t>
      </w:r>
      <w:r>
        <w:rPr>
          <w:spacing w:val="-1"/>
        </w:rPr>
        <w:t> </w:t>
      </w:r>
      <w:r>
        <w:rPr/>
        <w:t>the</w:t>
      </w:r>
      <w:r>
        <w:rPr>
          <w:spacing w:val="-1"/>
        </w:rPr>
        <w:t> </w:t>
      </w:r>
      <w:r>
        <w:rPr/>
        <w:t>zone</w:t>
      </w:r>
      <w:r>
        <w:rPr>
          <w:spacing w:val="-1"/>
        </w:rPr>
        <w:t> </w:t>
      </w:r>
      <w:r>
        <w:rPr/>
        <w:t>receiving</w:t>
      </w:r>
      <w:r>
        <w:rPr>
          <w:spacing w:val="-1"/>
        </w:rPr>
        <w:t> </w:t>
      </w:r>
      <w:r>
        <w:rPr/>
        <w:t>the same value, which means a player or team can progress 59m closer to the opposition try line</w:t>
      </w:r>
      <w:r>
        <w:rPr>
          <w:spacing w:val="-12"/>
        </w:rPr>
        <w:t> </w:t>
      </w:r>
      <w:r>
        <w:rPr/>
        <w:t>and</w:t>
      </w:r>
      <w:r>
        <w:rPr>
          <w:spacing w:val="-12"/>
        </w:rPr>
        <w:t> </w:t>
      </w:r>
      <w:r>
        <w:rPr/>
        <w:t>receive</w:t>
      </w:r>
      <w:r>
        <w:rPr>
          <w:spacing w:val="-12"/>
        </w:rPr>
        <w:t> </w:t>
      </w:r>
      <w:r>
        <w:rPr/>
        <w:t>no</w:t>
      </w:r>
      <w:r>
        <w:rPr>
          <w:spacing w:val="-12"/>
        </w:rPr>
        <w:t> </w:t>
      </w:r>
      <w:r>
        <w:rPr/>
        <w:t>value</w:t>
      </w:r>
      <w:r>
        <w:rPr>
          <w:spacing w:val="-12"/>
        </w:rPr>
        <w:t> </w:t>
      </w:r>
      <w:r>
        <w:rPr/>
        <w:t>for</w:t>
      </w:r>
      <w:r>
        <w:rPr>
          <w:spacing w:val="-12"/>
        </w:rPr>
        <w:t> </w:t>
      </w:r>
      <w:r>
        <w:rPr/>
        <w:t>it</w:t>
      </w:r>
      <w:r>
        <w:rPr>
          <w:spacing w:val="-12"/>
        </w:rPr>
        <w:t> </w:t>
      </w:r>
      <w:r>
        <w:rPr/>
        <w:t>under</w:t>
      </w:r>
      <w:r>
        <w:rPr>
          <w:spacing w:val="-12"/>
        </w:rPr>
        <w:t> </w:t>
      </w:r>
      <w:r>
        <w:rPr/>
        <w:t>the</w:t>
      </w:r>
      <w:r>
        <w:rPr>
          <w:spacing w:val="-12"/>
        </w:rPr>
        <w:t> </w:t>
      </w:r>
      <w:r>
        <w:rPr/>
        <w:t>current</w:t>
      </w:r>
      <w:r>
        <w:rPr>
          <w:spacing w:val="-12"/>
        </w:rPr>
        <w:t> </w:t>
      </w:r>
      <w:r>
        <w:rPr/>
        <w:t>framework. Such</w:t>
      </w:r>
      <w:r>
        <w:rPr>
          <w:spacing w:val="-12"/>
        </w:rPr>
        <w:t> </w:t>
      </w:r>
      <w:r>
        <w:rPr/>
        <w:t>a</w:t>
      </w:r>
      <w:r>
        <w:rPr>
          <w:spacing w:val="-12"/>
        </w:rPr>
        <w:t> </w:t>
      </w:r>
      <w:r>
        <w:rPr/>
        <w:t>situation</w:t>
      </w:r>
      <w:r>
        <w:rPr>
          <w:spacing w:val="-12"/>
        </w:rPr>
        <w:t> </w:t>
      </w:r>
      <w:r>
        <w:rPr/>
        <w:t>is</w:t>
      </w:r>
      <w:r>
        <w:rPr>
          <w:spacing w:val="-12"/>
        </w:rPr>
        <w:t> </w:t>
      </w:r>
      <w:r>
        <w:rPr/>
        <w:t>obviously not realistic and so a method which produces a smoother surface than the dichotomous zoning approach currently used in rugby league is required.</w:t>
      </w:r>
    </w:p>
    <w:p>
      <w:pPr>
        <w:pStyle w:val="BodyText"/>
        <w:spacing w:line="312" w:lineRule="auto"/>
        <w:ind w:left="610" w:right="389" w:firstLine="351"/>
        <w:jc w:val="both"/>
      </w:pPr>
      <w:r>
        <w:rPr>
          <w:spacing w:val="-2"/>
        </w:rPr>
        <w:t>As</w:t>
      </w:r>
      <w:r>
        <w:rPr>
          <w:spacing w:val="-9"/>
        </w:rPr>
        <w:t> </w:t>
      </w:r>
      <w:r>
        <w:rPr>
          <w:spacing w:val="-2"/>
        </w:rPr>
        <w:t>a</w:t>
      </w:r>
      <w:r>
        <w:rPr>
          <w:spacing w:val="-9"/>
        </w:rPr>
        <w:t> </w:t>
      </w:r>
      <w:r>
        <w:rPr>
          <w:spacing w:val="-2"/>
        </w:rPr>
        <w:t>result</w:t>
      </w:r>
      <w:r>
        <w:rPr>
          <w:spacing w:val="-9"/>
        </w:rPr>
        <w:t> </w:t>
      </w:r>
      <w:r>
        <w:rPr>
          <w:spacing w:val="-2"/>
        </w:rPr>
        <w:t>of</w:t>
      </w:r>
      <w:r>
        <w:rPr>
          <w:spacing w:val="-9"/>
        </w:rPr>
        <w:t> </w:t>
      </w:r>
      <w:r>
        <w:rPr>
          <w:spacing w:val="-2"/>
        </w:rPr>
        <w:t>these</w:t>
      </w:r>
      <w:r>
        <w:rPr>
          <w:spacing w:val="-9"/>
        </w:rPr>
        <w:t> </w:t>
      </w:r>
      <w:r>
        <w:rPr>
          <w:spacing w:val="-2"/>
        </w:rPr>
        <w:t>limitations,</w:t>
      </w:r>
      <w:r>
        <w:rPr>
          <w:spacing w:val="-7"/>
        </w:rPr>
        <w:t> </w:t>
      </w:r>
      <w:r>
        <w:rPr>
          <w:spacing w:val="-2"/>
        </w:rPr>
        <w:t>it</w:t>
      </w:r>
      <w:r>
        <w:rPr>
          <w:spacing w:val="-9"/>
        </w:rPr>
        <w:t> </w:t>
      </w:r>
      <w:r>
        <w:rPr>
          <w:spacing w:val="-2"/>
        </w:rPr>
        <w:t>is</w:t>
      </w:r>
      <w:r>
        <w:rPr>
          <w:spacing w:val="-9"/>
        </w:rPr>
        <w:t> </w:t>
      </w:r>
      <w:r>
        <w:rPr>
          <w:spacing w:val="-2"/>
        </w:rPr>
        <w:t>necessary</w:t>
      </w:r>
      <w:r>
        <w:rPr>
          <w:spacing w:val="-9"/>
        </w:rPr>
        <w:t> </w:t>
      </w:r>
      <w:r>
        <w:rPr>
          <w:spacing w:val="-2"/>
        </w:rPr>
        <w:t>to</w:t>
      </w:r>
      <w:r>
        <w:rPr>
          <w:spacing w:val="-9"/>
        </w:rPr>
        <w:t> </w:t>
      </w:r>
      <w:r>
        <w:rPr>
          <w:spacing w:val="-2"/>
        </w:rPr>
        <w:t>move</w:t>
      </w:r>
      <w:r>
        <w:rPr>
          <w:spacing w:val="-9"/>
        </w:rPr>
        <w:t> </w:t>
      </w:r>
      <w:r>
        <w:rPr>
          <w:spacing w:val="-2"/>
        </w:rPr>
        <w:t>away</w:t>
      </w:r>
      <w:r>
        <w:rPr>
          <w:spacing w:val="-9"/>
        </w:rPr>
        <w:t> </w:t>
      </w:r>
      <w:r>
        <w:rPr>
          <w:spacing w:val="-2"/>
        </w:rPr>
        <w:t>from</w:t>
      </w:r>
      <w:r>
        <w:rPr>
          <w:spacing w:val="-9"/>
        </w:rPr>
        <w:t> </w:t>
      </w:r>
      <w:r>
        <w:rPr>
          <w:spacing w:val="-2"/>
        </w:rPr>
        <w:t>the</w:t>
      </w:r>
      <w:r>
        <w:rPr>
          <w:spacing w:val="-9"/>
        </w:rPr>
        <w:t> </w:t>
      </w:r>
      <w:r>
        <w:rPr>
          <w:spacing w:val="-2"/>
        </w:rPr>
        <w:t>zonal</w:t>
      </w:r>
      <w:r>
        <w:rPr>
          <w:spacing w:val="-9"/>
        </w:rPr>
        <w:t> </w:t>
      </w:r>
      <w:r>
        <w:rPr>
          <w:spacing w:val="-2"/>
        </w:rPr>
        <w:t>approaches considered</w:t>
      </w:r>
      <w:r>
        <w:rPr>
          <w:spacing w:val="-9"/>
        </w:rPr>
        <w:t> </w:t>
      </w:r>
      <w:r>
        <w:rPr>
          <w:spacing w:val="-2"/>
        </w:rPr>
        <w:t>in</w:t>
      </w:r>
      <w:r>
        <w:rPr>
          <w:spacing w:val="-9"/>
        </w:rPr>
        <w:t> </w:t>
      </w:r>
      <w:r>
        <w:rPr>
          <w:spacing w:val="-2"/>
        </w:rPr>
        <w:t>the</w:t>
      </w:r>
      <w:r>
        <w:rPr>
          <w:spacing w:val="-9"/>
        </w:rPr>
        <w:t> </w:t>
      </w:r>
      <w:r>
        <w:rPr>
          <w:spacing w:val="-2"/>
        </w:rPr>
        <w:t>previous</w:t>
      </w:r>
      <w:r>
        <w:rPr>
          <w:spacing w:val="-9"/>
        </w:rPr>
        <w:t> </w:t>
      </w:r>
      <w:r>
        <w:rPr>
          <w:spacing w:val="-2"/>
        </w:rPr>
        <w:t>two</w:t>
      </w:r>
      <w:r>
        <w:rPr>
          <w:spacing w:val="-9"/>
        </w:rPr>
        <w:t> </w:t>
      </w:r>
      <w:r>
        <w:rPr>
          <w:spacing w:val="-2"/>
        </w:rPr>
        <w:t>chapters</w:t>
      </w:r>
      <w:r>
        <w:rPr>
          <w:spacing w:val="-9"/>
        </w:rPr>
        <w:t> </w:t>
      </w:r>
      <w:r>
        <w:rPr>
          <w:spacing w:val="-2"/>
        </w:rPr>
        <w:t>as</w:t>
      </w:r>
      <w:r>
        <w:rPr>
          <w:spacing w:val="-9"/>
        </w:rPr>
        <w:t> </w:t>
      </w:r>
      <w:r>
        <w:rPr>
          <w:spacing w:val="-2"/>
        </w:rPr>
        <w:t>it</w:t>
      </w:r>
      <w:r>
        <w:rPr>
          <w:spacing w:val="-9"/>
        </w:rPr>
        <w:t> </w:t>
      </w:r>
      <w:r>
        <w:rPr>
          <w:spacing w:val="-2"/>
        </w:rPr>
        <w:t>is</w:t>
      </w:r>
      <w:r>
        <w:rPr>
          <w:spacing w:val="-9"/>
        </w:rPr>
        <w:t> </w:t>
      </w:r>
      <w:r>
        <w:rPr>
          <w:spacing w:val="-2"/>
        </w:rPr>
        <w:t>clear</w:t>
      </w:r>
      <w:r>
        <w:rPr>
          <w:spacing w:val="-9"/>
        </w:rPr>
        <w:t> </w:t>
      </w:r>
      <w:r>
        <w:rPr>
          <w:spacing w:val="-2"/>
        </w:rPr>
        <w:t>that</w:t>
      </w:r>
      <w:r>
        <w:rPr>
          <w:spacing w:val="-9"/>
        </w:rPr>
        <w:t> </w:t>
      </w:r>
      <w:r>
        <w:rPr>
          <w:spacing w:val="-2"/>
        </w:rPr>
        <w:t>it</w:t>
      </w:r>
      <w:r>
        <w:rPr>
          <w:spacing w:val="-9"/>
        </w:rPr>
        <w:t> </w:t>
      </w:r>
      <w:r>
        <w:rPr>
          <w:spacing w:val="-2"/>
        </w:rPr>
        <w:t>would</w:t>
      </w:r>
      <w:r>
        <w:rPr>
          <w:spacing w:val="-9"/>
        </w:rPr>
        <w:t> </w:t>
      </w:r>
      <w:r>
        <w:rPr>
          <w:spacing w:val="-2"/>
        </w:rPr>
        <w:t>prove</w:t>
      </w:r>
      <w:r>
        <w:rPr>
          <w:spacing w:val="-9"/>
        </w:rPr>
        <w:t> </w:t>
      </w:r>
      <w:r>
        <w:rPr>
          <w:spacing w:val="-2"/>
        </w:rPr>
        <w:t>difficult</w:t>
      </w:r>
      <w:r>
        <w:rPr>
          <w:spacing w:val="-9"/>
        </w:rPr>
        <w:t> </w:t>
      </w:r>
      <w:r>
        <w:rPr>
          <w:spacing w:val="-2"/>
        </w:rPr>
        <w:t>to</w:t>
      </w:r>
      <w:r>
        <w:rPr>
          <w:spacing w:val="-9"/>
        </w:rPr>
        <w:t> </w:t>
      </w:r>
      <w:r>
        <w:rPr>
          <w:spacing w:val="-2"/>
        </w:rPr>
        <w:t>provide </w:t>
      </w:r>
      <w:r>
        <w:rPr/>
        <w:t>results that could be fully validated as usable and reliable by practitioners.</w:t>
      </w:r>
      <w:r>
        <w:rPr>
          <w:spacing w:val="40"/>
        </w:rPr>
        <w:t> </w:t>
      </w:r>
      <w:r>
        <w:rPr/>
        <w:t>Instead, the next study will attempt to provide a smooth surface.</w:t>
      </w:r>
      <w:r>
        <w:rPr>
          <w:spacing w:val="40"/>
        </w:rPr>
        <w:t> </w:t>
      </w:r>
      <w:r>
        <w:rPr/>
        <w:t>Doing so will mean that an MDP approach is no longer viable.</w:t>
      </w:r>
      <w:r>
        <w:rPr>
          <w:spacing w:val="29"/>
        </w:rPr>
        <w:t> </w:t>
      </w:r>
      <w:r>
        <w:rPr/>
        <w:t>Therefore, as a prototype for further analysis, the research question will be simplified to consider the probability a team will control the ball in a given location, rather than attempting to estimate the expected value conditional on the location or location, action tuple.</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tabs>
          <w:tab w:pos="9388" w:val="left" w:leader="none"/>
        </w:tabs>
        <w:spacing w:before="256"/>
        <w:ind w:left="610" w:right="0" w:firstLine="0"/>
        <w:jc w:val="left"/>
        <w:rPr>
          <w:sz w:val="119"/>
        </w:rPr>
      </w:pPr>
      <w:r>
        <w:rPr/>
        <w:pict>
          <v:group style="position:absolute;margin-left:114.519997pt;margin-top:28.578819pt;width:55.5pt;height:28.5pt;mso-position-horizontal-relative:page;mso-position-vertical-relative:paragraph;z-index:-21762560" id="docshapegroup126" coordorigin="2290,572" coordsize="1110,570">
            <v:line style="position:absolute" from="2300,1141" to="2300,591" stroked="true" strokeweight=".996pt" strokecolor="#000000">
              <v:stroke dashstyle="solid"/>
            </v:line>
            <v:line style="position:absolute" from="2290,582" to="3400,582" stroked="true" strokeweight=".996pt" strokecolor="#000000">
              <v:stroke dashstyle="solid"/>
            </v:line>
            <w10:wrap type="none"/>
          </v:group>
        </w:pict>
      </w:r>
      <w:r>
        <w:rPr/>
        <w:pict>
          <v:group style="position:absolute;margin-left:202.770004pt;margin-top:28.578819pt;width:336.95pt;height:39.8pt;mso-position-horizontal-relative:page;mso-position-vertical-relative:paragraph;z-index:-21762048" id="docshapegroup127" coordorigin="4055,572" coordsize="6739,796">
            <v:line style="position:absolute" from="10784,1367" to="10784,591" stroked="true" strokeweight=".996pt" strokecolor="#000000">
              <v:stroke dashstyle="solid"/>
            </v:line>
            <v:line style="position:absolute" from="4055,582" to="10794,582" stroked="true" strokeweight=".996pt" strokecolor="#000000">
              <v:stroke dashstyle="solid"/>
            </v:line>
            <w10:wrap type="none"/>
          </v:group>
        </w:pict>
      </w:r>
      <w:bookmarkStart w:name="5 Kernel Density Estimation and Wasserst" w:id="211"/>
      <w:bookmarkEnd w:id="211"/>
      <w:r>
        <w:rPr/>
      </w:r>
      <w:bookmarkStart w:name="_bookmark122" w:id="212"/>
      <w:bookmarkEnd w:id="212"/>
      <w:r>
        <w:rPr/>
      </w:r>
      <w:r>
        <w:rPr>
          <w:rFonts w:ascii="Arial"/>
          <w:sz w:val="28"/>
        </w:rPr>
        <w:t>Chapter</w:t>
      </w:r>
      <w:r>
        <w:rPr>
          <w:rFonts w:ascii="Arial"/>
          <w:spacing w:val="66"/>
          <w:sz w:val="28"/>
        </w:rPr>
        <w:t> </w:t>
      </w:r>
      <w:r>
        <w:rPr>
          <w:spacing w:val="9"/>
          <w:sz w:val="119"/>
        </w:rPr>
        <w:t>5</w:t>
      </w:r>
      <w:r>
        <w:rPr>
          <w:sz w:val="119"/>
          <w:u w:val="single"/>
        </w:rPr>
        <w:tab/>
      </w:r>
    </w:p>
    <w:p>
      <w:pPr>
        <w:pStyle w:val="Heading1"/>
        <w:spacing w:line="316" w:lineRule="auto" w:before="426"/>
        <w:ind w:right="496"/>
      </w:pPr>
      <w:r>
        <w:rPr/>
        <w:t>Kernel Density Estimation and Wasserstein Distance Evaluation of </w:t>
      </w:r>
      <w:r>
        <w:rPr/>
        <w:t>the Spatial Trends of Team Attacking </w:t>
      </w:r>
      <w:r>
        <w:rPr>
          <w:spacing w:val="-2"/>
        </w:rPr>
        <w:t>Performances</w:t>
      </w:r>
    </w:p>
    <w:p>
      <w:pPr>
        <w:pStyle w:val="BodyText"/>
        <w:spacing w:before="7"/>
        <w:rPr>
          <w:sz w:val="63"/>
        </w:rPr>
      </w:pPr>
    </w:p>
    <w:p>
      <w:pPr>
        <w:pStyle w:val="Heading2"/>
        <w:numPr>
          <w:ilvl w:val="1"/>
          <w:numId w:val="23"/>
        </w:numPr>
        <w:tabs>
          <w:tab w:pos="1385" w:val="left" w:leader="none"/>
          <w:tab w:pos="1386" w:val="left" w:leader="none"/>
        </w:tabs>
        <w:spacing w:line="240" w:lineRule="auto" w:before="0" w:after="0"/>
        <w:ind w:left="1385" w:right="0" w:hanging="776"/>
        <w:jc w:val="left"/>
      </w:pPr>
      <w:bookmarkStart w:name="_TOC_250029" w:id="213"/>
      <w:bookmarkStart w:name="5.1 Introduction" w:id="214"/>
      <w:r>
        <w:rPr>
          <w:b w:val="0"/>
        </w:rPr>
      </w:r>
      <w:bookmarkStart w:name="_bookmark123" w:id="215"/>
      <w:bookmarkEnd w:id="215"/>
      <w:r>
        <w:rPr>
          <w:spacing w:val="-2"/>
        </w:rPr>
        <w:t>Int</w:t>
      </w:r>
      <w:bookmarkEnd w:id="213"/>
      <w:r>
        <w:rPr>
          <w:spacing w:val="-2"/>
        </w:rPr>
        <w:t>roduction</w:t>
      </w:r>
    </w:p>
    <w:p>
      <w:pPr>
        <w:pStyle w:val="BodyText"/>
        <w:spacing w:line="312" w:lineRule="auto" w:before="308"/>
        <w:ind w:left="610" w:right="389"/>
      </w:pPr>
      <w:r>
        <w:rPr/>
        <w:t>In the previous study (Chapter</w:t>
      </w:r>
      <w:r>
        <w:rPr>
          <w:color w:val="0000FF"/>
        </w:rPr>
        <w:t>4</w:t>
      </w:r>
      <w:r>
        <w:rPr/>
        <w:t>), the limitations of using a zonal approach to evaluate player</w:t>
      </w:r>
      <w:r>
        <w:rPr>
          <w:spacing w:val="-1"/>
        </w:rPr>
        <w:t> </w:t>
      </w:r>
      <w:r>
        <w:rPr/>
        <w:t>and</w:t>
      </w:r>
      <w:r>
        <w:rPr>
          <w:spacing w:val="-1"/>
        </w:rPr>
        <w:t> </w:t>
      </w:r>
      <w:r>
        <w:rPr/>
        <w:t>team</w:t>
      </w:r>
      <w:r>
        <w:rPr>
          <w:spacing w:val="-1"/>
        </w:rPr>
        <w:t> </w:t>
      </w:r>
      <w:r>
        <w:rPr/>
        <w:t>performances</w:t>
      </w:r>
      <w:r>
        <w:rPr>
          <w:spacing w:val="-1"/>
        </w:rPr>
        <w:t> </w:t>
      </w:r>
      <w:r>
        <w:rPr/>
        <w:t>in</w:t>
      </w:r>
      <w:r>
        <w:rPr>
          <w:spacing w:val="-1"/>
        </w:rPr>
        <w:t> </w:t>
      </w:r>
      <w:r>
        <w:rPr/>
        <w:t>rugby</w:t>
      </w:r>
      <w:r>
        <w:rPr>
          <w:spacing w:val="-1"/>
        </w:rPr>
        <w:t> </w:t>
      </w:r>
      <w:r>
        <w:rPr/>
        <w:t>league</w:t>
      </w:r>
      <w:r>
        <w:rPr>
          <w:spacing w:val="-1"/>
        </w:rPr>
        <w:t> </w:t>
      </w:r>
      <w:r>
        <w:rPr/>
        <w:t>were</w:t>
      </w:r>
      <w:r>
        <w:rPr>
          <w:spacing w:val="-1"/>
        </w:rPr>
        <w:t> </w:t>
      </w:r>
      <w:r>
        <w:rPr/>
        <w:t>highlighted.</w:t>
      </w:r>
      <w:r>
        <w:rPr>
          <w:spacing w:val="20"/>
        </w:rPr>
        <w:t> </w:t>
      </w:r>
      <w:r>
        <w:rPr/>
        <w:t>The</w:t>
      </w:r>
      <w:r>
        <w:rPr>
          <w:spacing w:val="-1"/>
        </w:rPr>
        <w:t> </w:t>
      </w:r>
      <w:r>
        <w:rPr/>
        <w:t>most</w:t>
      </w:r>
      <w:r>
        <w:rPr>
          <w:spacing w:val="-1"/>
        </w:rPr>
        <w:t> </w:t>
      </w:r>
      <w:r>
        <w:rPr/>
        <w:t>prominent</w:t>
      </w:r>
      <w:r>
        <w:rPr>
          <w:spacing w:val="-1"/>
        </w:rPr>
        <w:t> </w:t>
      </w:r>
      <w:r>
        <w:rPr/>
        <w:t>of these issues was the size of the zones, which meant a player could run more than 50m</w:t>
      </w:r>
      <w:r>
        <w:rPr>
          <w:spacing w:val="80"/>
        </w:rPr>
        <w:t> </w:t>
      </w:r>
      <w:r>
        <w:rPr/>
        <w:t>towards</w:t>
      </w:r>
      <w:r>
        <w:rPr>
          <w:spacing w:val="-2"/>
        </w:rPr>
        <w:t> </w:t>
      </w:r>
      <w:r>
        <w:rPr/>
        <w:t>the</w:t>
      </w:r>
      <w:r>
        <w:rPr>
          <w:spacing w:val="-2"/>
        </w:rPr>
        <w:t> </w:t>
      </w:r>
      <w:r>
        <w:rPr/>
        <w:t>opposition</w:t>
      </w:r>
      <w:r>
        <w:rPr>
          <w:spacing w:val="-2"/>
        </w:rPr>
        <w:t> </w:t>
      </w:r>
      <w:r>
        <w:rPr/>
        <w:t>try</w:t>
      </w:r>
      <w:r>
        <w:rPr>
          <w:spacing w:val="-2"/>
        </w:rPr>
        <w:t> </w:t>
      </w:r>
      <w:r>
        <w:rPr/>
        <w:t>line</w:t>
      </w:r>
      <w:r>
        <w:rPr>
          <w:spacing w:val="-2"/>
        </w:rPr>
        <w:t> </w:t>
      </w:r>
      <w:r>
        <w:rPr/>
        <w:t>but</w:t>
      </w:r>
      <w:r>
        <w:rPr>
          <w:spacing w:val="-2"/>
        </w:rPr>
        <w:t> </w:t>
      </w:r>
      <w:r>
        <w:rPr/>
        <w:t>not</w:t>
      </w:r>
      <w:r>
        <w:rPr>
          <w:spacing w:val="-2"/>
        </w:rPr>
        <w:t> </w:t>
      </w:r>
      <w:r>
        <w:rPr/>
        <w:t>receive</w:t>
      </w:r>
      <w:r>
        <w:rPr>
          <w:spacing w:val="-2"/>
        </w:rPr>
        <w:t> </w:t>
      </w:r>
      <w:r>
        <w:rPr/>
        <w:t>a</w:t>
      </w:r>
      <w:r>
        <w:rPr>
          <w:spacing w:val="-2"/>
        </w:rPr>
        <w:t> </w:t>
      </w:r>
      <w:r>
        <w:rPr/>
        <w:t>positive</w:t>
      </w:r>
      <w:r>
        <w:rPr>
          <w:spacing w:val="-2"/>
        </w:rPr>
        <w:t> </w:t>
      </w:r>
      <w:r>
        <w:rPr/>
        <w:t>rating</w:t>
      </w:r>
      <w:r>
        <w:rPr>
          <w:spacing w:val="-2"/>
        </w:rPr>
        <w:t> </w:t>
      </w:r>
      <w:r>
        <w:rPr/>
        <w:t>if</w:t>
      </w:r>
      <w:r>
        <w:rPr>
          <w:spacing w:val="-2"/>
        </w:rPr>
        <w:t> </w:t>
      </w:r>
      <w:r>
        <w:rPr/>
        <w:t>he</w:t>
      </w:r>
      <w:r>
        <w:rPr>
          <w:spacing w:val="-2"/>
        </w:rPr>
        <w:t> </w:t>
      </w:r>
      <w:r>
        <w:rPr/>
        <w:t>remained</w:t>
      </w:r>
      <w:r>
        <w:rPr>
          <w:spacing w:val="-2"/>
        </w:rPr>
        <w:t> </w:t>
      </w:r>
      <w:r>
        <w:rPr/>
        <w:t>within</w:t>
      </w:r>
      <w:r>
        <w:rPr>
          <w:spacing w:val="-2"/>
        </w:rPr>
        <w:t> </w:t>
      </w:r>
      <w:r>
        <w:rPr/>
        <w:t>the </w:t>
      </w:r>
      <w:r>
        <w:rPr>
          <w:spacing w:val="-2"/>
        </w:rPr>
        <w:t>same</w:t>
      </w:r>
      <w:r>
        <w:rPr>
          <w:spacing w:val="-10"/>
        </w:rPr>
        <w:t> </w:t>
      </w:r>
      <w:r>
        <w:rPr>
          <w:spacing w:val="-2"/>
        </w:rPr>
        <w:t>zone.</w:t>
      </w:r>
      <w:r>
        <w:rPr>
          <w:spacing w:val="17"/>
        </w:rPr>
        <w:t> </w:t>
      </w:r>
      <w:r>
        <w:rPr>
          <w:spacing w:val="-2"/>
        </w:rPr>
        <w:t>This</w:t>
      </w:r>
      <w:r>
        <w:rPr>
          <w:spacing w:val="-10"/>
        </w:rPr>
        <w:t> </w:t>
      </w:r>
      <w:r>
        <w:rPr>
          <w:spacing w:val="-2"/>
        </w:rPr>
        <w:t>issue</w:t>
      </w:r>
      <w:r>
        <w:rPr>
          <w:spacing w:val="-10"/>
        </w:rPr>
        <w:t> </w:t>
      </w:r>
      <w:r>
        <w:rPr>
          <w:spacing w:val="-2"/>
        </w:rPr>
        <w:t>was</w:t>
      </w:r>
      <w:r>
        <w:rPr>
          <w:spacing w:val="-10"/>
        </w:rPr>
        <w:t> </w:t>
      </w:r>
      <w:r>
        <w:rPr>
          <w:spacing w:val="-2"/>
        </w:rPr>
        <w:t>not</w:t>
      </w:r>
      <w:r>
        <w:rPr>
          <w:spacing w:val="-10"/>
        </w:rPr>
        <w:t> </w:t>
      </w:r>
      <w:r>
        <w:rPr>
          <w:spacing w:val="-2"/>
        </w:rPr>
        <w:t>prevalent</w:t>
      </w:r>
      <w:r>
        <w:rPr>
          <w:spacing w:val="-10"/>
        </w:rPr>
        <w:t> </w:t>
      </w:r>
      <w:r>
        <w:rPr>
          <w:spacing w:val="-2"/>
        </w:rPr>
        <w:t>in</w:t>
      </w:r>
      <w:r>
        <w:rPr>
          <w:spacing w:val="-10"/>
        </w:rPr>
        <w:t> </w:t>
      </w:r>
      <w:r>
        <w:rPr>
          <w:spacing w:val="-2"/>
        </w:rPr>
        <w:t>basketball</w:t>
      </w:r>
      <w:r>
        <w:rPr>
          <w:spacing w:val="-10"/>
        </w:rPr>
        <w:t> </w:t>
      </w:r>
      <w:r>
        <w:rPr>
          <w:spacing w:val="-2"/>
        </w:rPr>
        <w:t>or</w:t>
      </w:r>
      <w:r>
        <w:rPr>
          <w:spacing w:val="-10"/>
        </w:rPr>
        <w:t> </w:t>
      </w:r>
      <w:r>
        <w:rPr>
          <w:spacing w:val="-2"/>
        </w:rPr>
        <w:t>football,</w:t>
      </w:r>
      <w:r>
        <w:rPr>
          <w:spacing w:val="-7"/>
        </w:rPr>
        <w:t> </w:t>
      </w:r>
      <w:r>
        <w:rPr>
          <w:spacing w:val="-2"/>
        </w:rPr>
        <w:t>as</w:t>
      </w:r>
      <w:r>
        <w:rPr>
          <w:spacing w:val="-10"/>
        </w:rPr>
        <w:t> </w:t>
      </w:r>
      <w:r>
        <w:rPr>
          <w:spacing w:val="-2"/>
        </w:rPr>
        <w:t>their</w:t>
      </w:r>
      <w:r>
        <w:rPr>
          <w:spacing w:val="-10"/>
        </w:rPr>
        <w:t> </w:t>
      </w:r>
      <w:r>
        <w:rPr>
          <w:spacing w:val="-2"/>
        </w:rPr>
        <w:t>zones</w:t>
      </w:r>
      <w:r>
        <w:rPr>
          <w:spacing w:val="-10"/>
        </w:rPr>
        <w:t> </w:t>
      </w:r>
      <w:r>
        <w:rPr>
          <w:spacing w:val="-2"/>
        </w:rPr>
        <w:t>were</w:t>
      </w:r>
      <w:r>
        <w:rPr>
          <w:spacing w:val="-10"/>
        </w:rPr>
        <w:t> </w:t>
      </w:r>
      <w:r>
        <w:rPr>
          <w:spacing w:val="-2"/>
        </w:rPr>
        <w:t>much </w:t>
      </w:r>
      <w:r>
        <w:rPr/>
        <w:t>smaller (</w:t>
      </w:r>
      <w:hyperlink w:history="true" w:anchor="_bookmark231">
        <w:r>
          <w:rPr>
            <w:color w:val="FF0000"/>
          </w:rPr>
          <w:t>Cervone et al.</w:t>
        </w:r>
      </w:hyperlink>
      <w:r>
        <w:rPr/>
        <w:t>,</w:t>
      </w:r>
      <w:hyperlink w:history="true" w:anchor="_bookmark231">
        <w:r>
          <w:rPr>
            <w:color w:val="FF0000"/>
          </w:rPr>
          <w:t>2016</w:t>
        </w:r>
        <w:r>
          <w:rPr/>
          <w:t>;</w:t>
        </w:r>
      </w:hyperlink>
      <w:hyperlink w:history="true" w:anchor="_bookmark294">
        <w:r>
          <w:rPr>
            <w:color w:val="FF0000"/>
          </w:rPr>
          <w:t>Singh</w:t>
        </w:r>
        <w:r>
          <w:rPr/>
          <w:t>,</w:t>
        </w:r>
      </w:hyperlink>
      <w:r>
        <w:rPr>
          <w:color w:val="FF0000"/>
        </w:rPr>
        <w:t>n.d.</w:t>
      </w:r>
      <w:hyperlink w:history="true" w:anchor="_bookmark294">
        <w:r>
          <w:rPr/>
          <w:t>),</w:t>
        </w:r>
      </w:hyperlink>
      <w:r>
        <w:rPr/>
        <w:t> but significantly reduces the validity of the re- sults</w:t>
      </w:r>
      <w:r>
        <w:rPr>
          <w:spacing w:val="-5"/>
        </w:rPr>
        <w:t> </w:t>
      </w:r>
      <w:r>
        <w:rPr/>
        <w:t>in</w:t>
      </w:r>
      <w:r>
        <w:rPr>
          <w:spacing w:val="-4"/>
        </w:rPr>
        <w:t> </w:t>
      </w:r>
      <w:r>
        <w:rPr/>
        <w:t>rugby</w:t>
      </w:r>
      <w:r>
        <w:rPr>
          <w:spacing w:val="-4"/>
        </w:rPr>
        <w:t> </w:t>
      </w:r>
      <w:r>
        <w:rPr/>
        <w:t>league. A</w:t>
      </w:r>
      <w:r>
        <w:rPr>
          <w:spacing w:val="-4"/>
        </w:rPr>
        <w:t> </w:t>
      </w:r>
      <w:r>
        <w:rPr/>
        <w:t>logical</w:t>
      </w:r>
      <w:r>
        <w:rPr>
          <w:spacing w:val="-5"/>
        </w:rPr>
        <w:t> </w:t>
      </w:r>
      <w:r>
        <w:rPr/>
        <w:t>solution</w:t>
      </w:r>
      <w:r>
        <w:rPr>
          <w:spacing w:val="-4"/>
        </w:rPr>
        <w:t> </w:t>
      </w:r>
      <w:r>
        <w:rPr/>
        <w:t>to</w:t>
      </w:r>
      <w:r>
        <w:rPr>
          <w:spacing w:val="-5"/>
        </w:rPr>
        <w:t> </w:t>
      </w:r>
      <w:r>
        <w:rPr/>
        <w:t>the</w:t>
      </w:r>
      <w:r>
        <w:rPr>
          <w:spacing w:val="-4"/>
        </w:rPr>
        <w:t> </w:t>
      </w:r>
      <w:r>
        <w:rPr/>
        <w:t>zone</w:t>
      </w:r>
      <w:r>
        <w:rPr>
          <w:spacing w:val="-5"/>
        </w:rPr>
        <w:t> </w:t>
      </w:r>
      <w:r>
        <w:rPr/>
        <w:t>size</w:t>
      </w:r>
      <w:r>
        <w:rPr>
          <w:spacing w:val="-4"/>
        </w:rPr>
        <w:t> </w:t>
      </w:r>
      <w:r>
        <w:rPr/>
        <w:t>problem</w:t>
      </w:r>
      <w:r>
        <w:rPr>
          <w:spacing w:val="-5"/>
        </w:rPr>
        <w:t> </w:t>
      </w:r>
      <w:r>
        <w:rPr/>
        <w:t>is</w:t>
      </w:r>
      <w:r>
        <w:rPr>
          <w:spacing w:val="-4"/>
        </w:rPr>
        <w:t> </w:t>
      </w:r>
      <w:r>
        <w:rPr/>
        <w:t>to</w:t>
      </w:r>
      <w:r>
        <w:rPr>
          <w:spacing w:val="-5"/>
        </w:rPr>
        <w:t> </w:t>
      </w:r>
      <w:r>
        <w:rPr/>
        <w:t>try</w:t>
      </w:r>
      <w:r>
        <w:rPr>
          <w:spacing w:val="-4"/>
        </w:rPr>
        <w:t> </w:t>
      </w:r>
      <w:r>
        <w:rPr/>
        <w:t>and</w:t>
      </w:r>
      <w:r>
        <w:rPr>
          <w:spacing w:val="-5"/>
        </w:rPr>
        <w:t> </w:t>
      </w:r>
      <w:r>
        <w:rPr/>
        <w:t>calculate</w:t>
      </w:r>
      <w:r>
        <w:rPr>
          <w:spacing w:val="-4"/>
        </w:rPr>
        <w:t> </w:t>
      </w:r>
      <w:r>
        <w:rPr/>
        <w:t>a smooth surface, as has been achieved in previous deep learning </w:t>
      </w:r>
      <w:r>
        <w:rPr>
          <w:spacing w:val="7"/>
        </w:rPr>
        <w:t>(</w:t>
      </w:r>
      <w:hyperlink w:history="true" w:anchor="_bookmark243">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1"/>
          </w:rPr>
          <w:t> </w:t>
        </w:r>
        <w:r>
          <w:rPr>
            <w:color w:val="FF0000"/>
          </w:rPr>
          <w:t>et al.</w:t>
        </w:r>
      </w:hyperlink>
      <w:r>
        <w:rPr/>
        <w:t>,</w:t>
      </w:r>
      <w:hyperlink w:history="true" w:anchor="_bookmark243">
        <w:r>
          <w:rPr>
            <w:color w:val="FF0000"/>
          </w:rPr>
          <w:t>2021</w:t>
        </w:r>
        <w:r>
          <w:rPr/>
          <w:t>)</w:t>
        </w:r>
      </w:hyperlink>
      <w:r>
        <w:rPr/>
        <w:t> and deep reinforcement learning models (</w:t>
      </w:r>
      <w:hyperlink w:history="true" w:anchor="_bookmark269">
        <w:r>
          <w:rPr>
            <w:color w:val="FF0000"/>
          </w:rPr>
          <w:t>Liu et al.</w:t>
        </w:r>
      </w:hyperlink>
      <w:r>
        <w:rPr/>
        <w:t>,</w:t>
      </w:r>
      <w:hyperlink w:history="true" w:anchor="_bookmark269">
        <w:r>
          <w:rPr>
            <w:color w:val="FF0000"/>
          </w:rPr>
          <w:t>2020</w:t>
        </w:r>
      </w:hyperlink>
      <w:r>
        <w:rPr/>
        <w:t>). Unfortunately, it is not possi- ble to produce such complicated models in rugby league due to data availability issues. Therefore,</w:t>
      </w:r>
      <w:r>
        <w:rPr>
          <w:spacing w:val="-7"/>
        </w:rPr>
        <w:t> </w:t>
      </w:r>
      <w:r>
        <w:rPr/>
        <w:t>this</w:t>
      </w:r>
      <w:r>
        <w:rPr>
          <w:spacing w:val="-7"/>
        </w:rPr>
        <w:t> </w:t>
      </w:r>
      <w:r>
        <w:rPr/>
        <w:t>study</w:t>
      </w:r>
      <w:r>
        <w:rPr>
          <w:spacing w:val="-7"/>
        </w:rPr>
        <w:t> </w:t>
      </w:r>
      <w:r>
        <w:rPr/>
        <w:t>takes</w:t>
      </w:r>
      <w:r>
        <w:rPr>
          <w:spacing w:val="-7"/>
        </w:rPr>
        <w:t> </w:t>
      </w:r>
      <w:r>
        <w:rPr/>
        <w:t>the</w:t>
      </w:r>
      <w:r>
        <w:rPr>
          <w:spacing w:val="-7"/>
        </w:rPr>
        <w:t> </w:t>
      </w:r>
      <w:r>
        <w:rPr/>
        <w:t>first</w:t>
      </w:r>
      <w:r>
        <w:rPr>
          <w:spacing w:val="-7"/>
        </w:rPr>
        <w:t> </w:t>
      </w:r>
      <w:r>
        <w:rPr/>
        <w:t>step</w:t>
      </w:r>
      <w:r>
        <w:rPr>
          <w:spacing w:val="-7"/>
        </w:rPr>
        <w:t> </w:t>
      </w:r>
      <w:r>
        <w:rPr/>
        <w:t>towards</w:t>
      </w:r>
      <w:r>
        <w:rPr>
          <w:spacing w:val="-7"/>
        </w:rPr>
        <w:t> </w:t>
      </w:r>
      <w:r>
        <w:rPr/>
        <w:t>analysing</w:t>
      </w:r>
      <w:r>
        <w:rPr>
          <w:spacing w:val="-7"/>
        </w:rPr>
        <w:t> </w:t>
      </w:r>
      <w:r>
        <w:rPr/>
        <w:t>player</w:t>
      </w:r>
      <w:r>
        <w:rPr>
          <w:spacing w:val="-7"/>
        </w:rPr>
        <w:t> </w:t>
      </w:r>
      <w:r>
        <w:rPr/>
        <w:t>and</w:t>
      </w:r>
      <w:r>
        <w:rPr>
          <w:spacing w:val="-7"/>
        </w:rPr>
        <w:t> </w:t>
      </w:r>
      <w:r>
        <w:rPr/>
        <w:t>team</w:t>
      </w:r>
      <w:r>
        <w:rPr>
          <w:spacing w:val="-7"/>
        </w:rPr>
        <w:t> </w:t>
      </w:r>
      <w:r>
        <w:rPr/>
        <w:t>performances in</w:t>
      </w:r>
      <w:r>
        <w:rPr>
          <w:spacing w:val="-8"/>
        </w:rPr>
        <w:t> </w:t>
      </w:r>
      <w:r>
        <w:rPr/>
        <w:t>a</w:t>
      </w:r>
      <w:r>
        <w:rPr>
          <w:spacing w:val="-8"/>
        </w:rPr>
        <w:t> </w:t>
      </w:r>
      <w:r>
        <w:rPr/>
        <w:t>smooth</w:t>
      </w:r>
      <w:r>
        <w:rPr>
          <w:spacing w:val="-8"/>
        </w:rPr>
        <w:t> </w:t>
      </w:r>
      <w:r>
        <w:rPr/>
        <w:t>manner</w:t>
      </w:r>
      <w:r>
        <w:rPr>
          <w:spacing w:val="-8"/>
        </w:rPr>
        <w:t> </w:t>
      </w:r>
      <w:r>
        <w:rPr/>
        <w:t>by</w:t>
      </w:r>
      <w:r>
        <w:rPr>
          <w:spacing w:val="-8"/>
        </w:rPr>
        <w:t> </w:t>
      </w:r>
      <w:r>
        <w:rPr/>
        <w:t>simplifying</w:t>
      </w:r>
      <w:r>
        <w:rPr>
          <w:spacing w:val="-8"/>
        </w:rPr>
        <w:t> </w:t>
      </w:r>
      <w:r>
        <w:rPr/>
        <w:t>the</w:t>
      </w:r>
      <w:r>
        <w:rPr>
          <w:spacing w:val="-8"/>
        </w:rPr>
        <w:t> </w:t>
      </w:r>
      <w:r>
        <w:rPr/>
        <w:t>problem</w:t>
      </w:r>
      <w:r>
        <w:rPr>
          <w:spacing w:val="-8"/>
        </w:rPr>
        <w:t> </w:t>
      </w:r>
      <w:r>
        <w:rPr/>
        <w:t>of</w:t>
      </w:r>
      <w:r>
        <w:rPr>
          <w:spacing w:val="-8"/>
        </w:rPr>
        <w:t> </w:t>
      </w:r>
      <w:r>
        <w:rPr/>
        <w:t>evaluating</w:t>
      </w:r>
      <w:r>
        <w:rPr>
          <w:spacing w:val="-8"/>
        </w:rPr>
        <w:t> </w:t>
      </w:r>
      <w:r>
        <w:rPr/>
        <w:t>team</w:t>
      </w:r>
      <w:r>
        <w:rPr>
          <w:spacing w:val="-8"/>
        </w:rPr>
        <w:t> </w:t>
      </w:r>
      <w:r>
        <w:rPr/>
        <w:t>performances. Rather than</w:t>
      </w:r>
      <w:r>
        <w:rPr>
          <w:spacing w:val="12"/>
        </w:rPr>
        <w:t> </w:t>
      </w:r>
      <w:r>
        <w:rPr/>
        <w:t>considering</w:t>
      </w:r>
      <w:r>
        <w:rPr>
          <w:spacing w:val="12"/>
        </w:rPr>
        <w:t> </w:t>
      </w:r>
      <w:r>
        <w:rPr/>
        <w:t>the</w:t>
      </w:r>
      <w:r>
        <w:rPr>
          <w:spacing w:val="13"/>
        </w:rPr>
        <w:t> </w:t>
      </w:r>
      <w:r>
        <w:rPr/>
        <w:t>value</w:t>
      </w:r>
      <w:r>
        <w:rPr>
          <w:spacing w:val="12"/>
        </w:rPr>
        <w:t> </w:t>
      </w:r>
      <w:r>
        <w:rPr/>
        <w:t>of</w:t>
      </w:r>
      <w:r>
        <w:rPr>
          <w:spacing w:val="13"/>
        </w:rPr>
        <w:t> </w:t>
      </w:r>
      <w:r>
        <w:rPr/>
        <w:t>an</w:t>
      </w:r>
      <w:r>
        <w:rPr>
          <w:spacing w:val="12"/>
        </w:rPr>
        <w:t> </w:t>
      </w:r>
      <w:r>
        <w:rPr/>
        <w:t>action</w:t>
      </w:r>
      <w:r>
        <w:rPr>
          <w:spacing w:val="13"/>
        </w:rPr>
        <w:t> </w:t>
      </w:r>
      <w:r>
        <w:rPr/>
        <w:t>conditional</w:t>
      </w:r>
      <w:r>
        <w:rPr>
          <w:spacing w:val="12"/>
        </w:rPr>
        <w:t> </w:t>
      </w:r>
      <w:r>
        <w:rPr/>
        <w:t>on</w:t>
      </w:r>
      <w:r>
        <w:rPr>
          <w:spacing w:val="13"/>
        </w:rPr>
        <w:t> </w:t>
      </w:r>
      <w:r>
        <w:rPr/>
        <w:t>its</w:t>
      </w:r>
      <w:r>
        <w:rPr>
          <w:spacing w:val="12"/>
        </w:rPr>
        <w:t> </w:t>
      </w:r>
      <w:r>
        <w:rPr/>
        <w:t>location,</w:t>
      </w:r>
      <w:r>
        <w:rPr>
          <w:spacing w:val="17"/>
        </w:rPr>
        <w:t> </w:t>
      </w:r>
      <w:r>
        <w:rPr/>
        <w:t>this</w:t>
      </w:r>
      <w:r>
        <w:rPr>
          <w:spacing w:val="13"/>
        </w:rPr>
        <w:t> </w:t>
      </w:r>
      <w:r>
        <w:rPr/>
        <w:t>study</w:t>
      </w:r>
      <w:r>
        <w:rPr>
          <w:spacing w:val="12"/>
        </w:rPr>
        <w:t> </w:t>
      </w:r>
      <w:r>
        <w:rPr>
          <w:spacing w:val="-2"/>
        </w:rPr>
        <w:t>considers</w:t>
      </w:r>
    </w:p>
    <w:p>
      <w:pPr>
        <w:spacing w:after="0" w:line="312" w:lineRule="auto"/>
        <w:sectPr>
          <w:headerReference w:type="default" r:id="rId97"/>
          <w:footerReference w:type="default" r:id="rId98"/>
          <w:pgSz w:w="11910" w:h="16840"/>
          <w:pgMar w:header="0" w:footer="1428" w:top="192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the probability of a team controlling the ball in a given location.</w:t>
      </w:r>
      <w:r>
        <w:rPr>
          <w:spacing w:val="40"/>
        </w:rPr>
        <w:t> </w:t>
      </w:r>
      <w:r>
        <w:rPr/>
        <w:t>The spatial trends of</w:t>
      </w:r>
      <w:r>
        <w:rPr>
          <w:spacing w:val="80"/>
        </w:rPr>
        <w:t> </w:t>
      </w:r>
      <w:r>
        <w:rPr/>
        <w:t>team attacking performances are quantified by adapting the methods of</w:t>
      </w:r>
      <w:hyperlink w:history="true" w:anchor="_bookmark271">
        <w:r>
          <w:rPr>
            <w:color w:val="FF0000"/>
          </w:rPr>
          <w:t>Mallepalle et al.</w:t>
        </w:r>
      </w:hyperlink>
      <w:r>
        <w:rPr>
          <w:color w:val="FF0000"/>
        </w:rPr>
        <w:t> </w:t>
      </w:r>
      <w:r>
        <w:rPr/>
        <w:t>(</w:t>
      </w:r>
      <w:hyperlink w:history="true" w:anchor="_bookmark271">
        <w:r>
          <w:rPr>
            <w:color w:val="FF0000"/>
          </w:rPr>
          <w:t>2020</w:t>
        </w:r>
      </w:hyperlink>
      <w:r>
        <w:rPr/>
        <w:t>) in rugby league.</w:t>
      </w:r>
      <w:r>
        <w:rPr>
          <w:spacing w:val="40"/>
        </w:rPr>
        <w:t> </w:t>
      </w:r>
      <w:r>
        <w:rPr/>
        <w:t>The work of</w:t>
      </w:r>
      <w:hyperlink w:history="true" w:anchor="_bookmark271">
        <w:r>
          <w:rPr>
            <w:color w:val="FF0000"/>
          </w:rPr>
          <w:t>Mallepalle et al.</w:t>
        </w:r>
        <w:r>
          <w:rPr/>
          <w:t>(</w:t>
        </w:r>
      </w:hyperlink>
      <w:r>
        <w:rPr>
          <w:color w:val="FF0000"/>
        </w:rPr>
        <w:t>2020</w:t>
      </w:r>
      <w:hyperlink w:history="true" w:anchor="_bookmark271">
        <w:r>
          <w:rPr/>
          <w:t>)</w:t>
        </w:r>
      </w:hyperlink>
      <w:r>
        <w:rPr/>
        <w:t> is then extended through</w:t>
      </w:r>
      <w:r>
        <w:rPr>
          <w:spacing w:val="80"/>
        </w:rPr>
        <w:t> </w:t>
      </w:r>
      <w:r>
        <w:rPr/>
        <w:t>the proposition of novel metrics, which evaluate differences in spatial trends of </w:t>
      </w:r>
      <w:r>
        <w:rPr/>
        <w:t>attack- ing</w:t>
      </w:r>
      <w:r>
        <w:rPr>
          <w:spacing w:val="-3"/>
        </w:rPr>
        <w:t> </w:t>
      </w:r>
      <w:r>
        <w:rPr/>
        <w:t>performances</w:t>
      </w:r>
      <w:r>
        <w:rPr>
          <w:spacing w:val="-3"/>
        </w:rPr>
        <w:t> </w:t>
      </w:r>
      <w:r>
        <w:rPr/>
        <w:t>between</w:t>
      </w:r>
      <w:r>
        <w:rPr>
          <w:spacing w:val="-3"/>
        </w:rPr>
        <w:t> </w:t>
      </w:r>
      <w:r>
        <w:rPr/>
        <w:t>and</w:t>
      </w:r>
      <w:r>
        <w:rPr>
          <w:spacing w:val="-3"/>
        </w:rPr>
        <w:t> </w:t>
      </w:r>
      <w:r>
        <w:rPr/>
        <w:t>within</w:t>
      </w:r>
      <w:r>
        <w:rPr>
          <w:spacing w:val="-3"/>
        </w:rPr>
        <w:t> </w:t>
      </w:r>
      <w:r>
        <w:rPr/>
        <w:t>teams. The</w:t>
      </w:r>
      <w:r>
        <w:rPr>
          <w:spacing w:val="-3"/>
        </w:rPr>
        <w:t> </w:t>
      </w:r>
      <w:r>
        <w:rPr/>
        <w:t>study</w:t>
      </w:r>
      <w:r>
        <w:rPr>
          <w:spacing w:val="-3"/>
        </w:rPr>
        <w:t> </w:t>
      </w:r>
      <w:r>
        <w:rPr/>
        <w:t>was</w:t>
      </w:r>
      <w:r>
        <w:rPr>
          <w:spacing w:val="-3"/>
        </w:rPr>
        <w:t> </w:t>
      </w:r>
      <w:r>
        <w:rPr/>
        <w:t>presented</w:t>
      </w:r>
      <w:r>
        <w:rPr>
          <w:spacing w:val="-3"/>
        </w:rPr>
        <w:t> </w:t>
      </w:r>
      <w:r>
        <w:rPr/>
        <w:t>at</w:t>
      </w:r>
      <w:r>
        <w:rPr>
          <w:spacing w:val="-3"/>
        </w:rPr>
        <w:t> </w:t>
      </w:r>
      <w:r>
        <w:rPr/>
        <w:t>the</w:t>
      </w:r>
      <w:r>
        <w:rPr>
          <w:spacing w:val="-3"/>
        </w:rPr>
        <w:t> </w:t>
      </w:r>
      <w:r>
        <w:rPr/>
        <w:t>UKCI</w:t>
      </w:r>
      <w:r>
        <w:rPr>
          <w:spacing w:val="-3"/>
        </w:rPr>
        <w:t> </w:t>
      </w:r>
      <w:r>
        <w:rPr/>
        <w:t>2022 conference (Thomas Sawczuk, Anna Palczewska, Ben Jones, Jan Palczewski.</w:t>
      </w:r>
      <w:r>
        <w:rPr>
          <w:spacing w:val="40"/>
        </w:rPr>
        <w:t> </w:t>
      </w:r>
      <w:r>
        <w:rPr/>
        <w:t>”Use of Kernel Density Estimation to understand the spatial trends of attacking possessions in</w:t>
      </w:r>
      <w:r>
        <w:rPr>
          <w:spacing w:val="80"/>
        </w:rPr>
        <w:t> </w:t>
      </w:r>
      <w:r>
        <w:rPr/>
        <w:t>rugby</w:t>
      </w:r>
      <w:r>
        <w:rPr>
          <w:spacing w:val="-9"/>
        </w:rPr>
        <w:t> </w:t>
      </w:r>
      <w:r>
        <w:rPr/>
        <w:t>league”</w:t>
      </w:r>
      <w:r>
        <w:rPr>
          <w:spacing w:val="-9"/>
        </w:rPr>
        <w:t> </w:t>
      </w:r>
      <w:r>
        <w:rPr/>
        <w:t>in</w:t>
      </w:r>
      <w:r>
        <w:rPr>
          <w:spacing w:val="-9"/>
        </w:rPr>
        <w:t> </w:t>
      </w:r>
      <w:r>
        <w:rPr>
          <w:i/>
        </w:rPr>
        <w:t>21st</w:t>
      </w:r>
      <w:r>
        <w:rPr>
          <w:i/>
          <w:spacing w:val="-9"/>
        </w:rPr>
        <w:t> </w:t>
      </w:r>
      <w:r>
        <w:rPr>
          <w:i/>
        </w:rPr>
        <w:t>UK</w:t>
      </w:r>
      <w:r>
        <w:rPr>
          <w:i/>
          <w:spacing w:val="-9"/>
        </w:rPr>
        <w:t> </w:t>
      </w:r>
      <w:r>
        <w:rPr>
          <w:i/>
        </w:rPr>
        <w:t>Workshop</w:t>
      </w:r>
      <w:r>
        <w:rPr>
          <w:i/>
          <w:spacing w:val="-9"/>
        </w:rPr>
        <w:t> </w:t>
      </w:r>
      <w:r>
        <w:rPr>
          <w:i/>
        </w:rPr>
        <w:t>on</w:t>
      </w:r>
      <w:r>
        <w:rPr>
          <w:i/>
          <w:spacing w:val="-9"/>
        </w:rPr>
        <w:t> </w:t>
      </w:r>
      <w:r>
        <w:rPr>
          <w:i/>
        </w:rPr>
        <w:t>Computational</w:t>
      </w:r>
      <w:r>
        <w:rPr>
          <w:i/>
          <w:spacing w:val="-9"/>
        </w:rPr>
        <w:t> </w:t>
      </w:r>
      <w:r>
        <w:rPr>
          <w:i/>
        </w:rPr>
        <w:t>Intelligence</w:t>
      </w:r>
      <w:r>
        <w:rPr/>
        <w:t>,</w:t>
      </w:r>
      <w:r>
        <w:rPr>
          <w:spacing w:val="-8"/>
        </w:rPr>
        <w:t> </w:t>
      </w:r>
      <w:r>
        <w:rPr/>
        <w:t>Sheffield,</w:t>
      </w:r>
      <w:r>
        <w:rPr>
          <w:spacing w:val="-8"/>
        </w:rPr>
        <w:t> </w:t>
      </w:r>
      <w:r>
        <w:rPr/>
        <w:t>2022)</w:t>
      </w:r>
      <w:r>
        <w:rPr>
          <w:spacing w:val="-9"/>
        </w:rPr>
        <w:t> </w:t>
      </w:r>
      <w:r>
        <w:rPr/>
        <w:t>and will be published in Advances in Computational Intelligence Systems.</w:t>
      </w:r>
      <w:r>
        <w:rPr>
          <w:spacing w:val="40"/>
        </w:rPr>
        <w:t> </w:t>
      </w:r>
      <w:r>
        <w:rPr/>
        <w:t>It was also pre- sented to coaches at Leeds Rhinos, a professional rugby league team competing in the</w:t>
      </w:r>
      <w:r>
        <w:rPr>
          <w:spacing w:val="40"/>
        </w:rPr>
        <w:t> </w:t>
      </w:r>
      <w:r>
        <w:rPr/>
        <w:t>Super League, who validated the reliability and usability of the results.</w:t>
      </w:r>
    </w:p>
    <w:p>
      <w:pPr>
        <w:pStyle w:val="BodyText"/>
        <w:spacing w:before="6"/>
        <w:rPr>
          <w:sz w:val="40"/>
        </w:rPr>
      </w:pPr>
    </w:p>
    <w:p>
      <w:pPr>
        <w:pStyle w:val="Heading2"/>
        <w:numPr>
          <w:ilvl w:val="1"/>
          <w:numId w:val="23"/>
        </w:numPr>
        <w:tabs>
          <w:tab w:pos="1385" w:val="left" w:leader="none"/>
          <w:tab w:pos="1386" w:val="left" w:leader="none"/>
        </w:tabs>
        <w:spacing w:line="240" w:lineRule="auto" w:before="0" w:after="0"/>
        <w:ind w:left="1385" w:right="0" w:hanging="776"/>
        <w:jc w:val="left"/>
      </w:pPr>
      <w:bookmarkStart w:name="_TOC_250028" w:id="216"/>
      <w:bookmarkStart w:name="5.2 Methodology" w:id="217"/>
      <w:r>
        <w:rPr>
          <w:b w:val="0"/>
        </w:rPr>
      </w:r>
      <w:bookmarkStart w:name="_bookmark124" w:id="218"/>
      <w:bookmarkEnd w:id="216"/>
      <w:r>
        <w:rPr>
          <w:spacing w:val="-2"/>
        </w:rPr>
        <w:t>Methodology</w:t>
      </w:r>
    </w:p>
    <w:p>
      <w:pPr>
        <w:pStyle w:val="BodyText"/>
        <w:spacing w:line="312" w:lineRule="auto" w:before="309"/>
        <w:ind w:left="610" w:right="389"/>
        <w:jc w:val="both"/>
      </w:pPr>
      <w:r>
        <w:rPr/>
        <w:t>In</w:t>
      </w:r>
      <w:r>
        <w:rPr>
          <w:spacing w:val="-1"/>
        </w:rPr>
        <w:t> </w:t>
      </w:r>
      <w:r>
        <w:rPr/>
        <w:t>this</w:t>
      </w:r>
      <w:r>
        <w:rPr>
          <w:spacing w:val="-1"/>
        </w:rPr>
        <w:t> </w:t>
      </w:r>
      <w:r>
        <w:rPr/>
        <w:t>section, the</w:t>
      </w:r>
      <w:r>
        <w:rPr>
          <w:spacing w:val="-1"/>
        </w:rPr>
        <w:t> </w:t>
      </w:r>
      <w:r>
        <w:rPr/>
        <w:t>methodology</w:t>
      </w:r>
      <w:r>
        <w:rPr>
          <w:spacing w:val="-1"/>
        </w:rPr>
        <w:t> </w:t>
      </w:r>
      <w:r>
        <w:rPr/>
        <w:t>for</w:t>
      </w:r>
      <w:r>
        <w:rPr>
          <w:spacing w:val="-1"/>
        </w:rPr>
        <w:t> </w:t>
      </w:r>
      <w:r>
        <w:rPr/>
        <w:t>the</w:t>
      </w:r>
      <w:r>
        <w:rPr>
          <w:spacing w:val="-1"/>
        </w:rPr>
        <w:t> </w:t>
      </w:r>
      <w:r>
        <w:rPr/>
        <w:t>study</w:t>
      </w:r>
      <w:r>
        <w:rPr>
          <w:spacing w:val="-1"/>
        </w:rPr>
        <w:t> </w:t>
      </w:r>
      <w:r>
        <w:rPr/>
        <w:t>is</w:t>
      </w:r>
      <w:r>
        <w:rPr>
          <w:spacing w:val="-1"/>
        </w:rPr>
        <w:t> </w:t>
      </w:r>
      <w:r>
        <w:rPr/>
        <w:t>described. It</w:t>
      </w:r>
      <w:r>
        <w:rPr>
          <w:spacing w:val="-1"/>
        </w:rPr>
        <w:t> </w:t>
      </w:r>
      <w:r>
        <w:rPr/>
        <w:t>describes</w:t>
      </w:r>
      <w:r>
        <w:rPr>
          <w:spacing w:val="-1"/>
        </w:rPr>
        <w:t> </w:t>
      </w:r>
      <w:r>
        <w:rPr/>
        <w:t>the</w:t>
      </w:r>
      <w:r>
        <w:rPr>
          <w:spacing w:val="-1"/>
        </w:rPr>
        <w:t> </w:t>
      </w:r>
      <w:r>
        <w:rPr/>
        <w:t>data</w:t>
      </w:r>
      <w:r>
        <w:rPr>
          <w:spacing w:val="-1"/>
        </w:rPr>
        <w:t> </w:t>
      </w:r>
      <w:r>
        <w:rPr/>
        <w:t>and</w:t>
      </w:r>
      <w:r>
        <w:rPr>
          <w:spacing w:val="-1"/>
        </w:rPr>
        <w:t> </w:t>
      </w:r>
      <w:r>
        <w:rPr/>
        <w:t>data preprocessing steps required to prepare the data for analysis.</w:t>
      </w:r>
      <w:r>
        <w:rPr>
          <w:spacing w:val="40"/>
        </w:rPr>
        <w:t> </w:t>
      </w:r>
      <w:r>
        <w:rPr/>
        <w:t>Kernel Density Estima- tion and the Wasserstein Distance are presented and their adaptation to rugby league is outlined.</w:t>
      </w:r>
      <w:r>
        <w:rPr>
          <w:spacing w:val="40"/>
        </w:rPr>
        <w:t> </w:t>
      </w:r>
      <w:r>
        <w:rPr/>
        <w:t>Novel metrics evaluating the spatial trends of team attacking performances in this</w:t>
      </w:r>
      <w:r>
        <w:rPr>
          <w:spacing w:val="-15"/>
        </w:rPr>
        <w:t> </w:t>
      </w:r>
      <w:r>
        <w:rPr/>
        <w:t>study</w:t>
      </w:r>
      <w:r>
        <w:rPr>
          <w:spacing w:val="-15"/>
        </w:rPr>
        <w:t> </w:t>
      </w:r>
      <w:r>
        <w:rPr/>
        <w:t>(normalised</w:t>
      </w:r>
      <w:r>
        <w:rPr>
          <w:spacing w:val="-15"/>
        </w:rPr>
        <w:t> </w:t>
      </w:r>
      <w:r>
        <w:rPr/>
        <w:t>axis</w:t>
      </w:r>
      <w:r>
        <w:rPr>
          <w:spacing w:val="-15"/>
        </w:rPr>
        <w:t> </w:t>
      </w:r>
      <w:r>
        <w:rPr/>
        <w:t>Wasserstein</w:t>
      </w:r>
      <w:r>
        <w:rPr>
          <w:spacing w:val="-15"/>
        </w:rPr>
        <w:t> </w:t>
      </w:r>
      <w:r>
        <w:rPr/>
        <w:t>distance</w:t>
      </w:r>
      <w:r>
        <w:rPr>
          <w:spacing w:val="-15"/>
        </w:rPr>
        <w:t> </w:t>
      </w:r>
      <w:r>
        <w:rPr/>
        <w:t>and</w:t>
      </w:r>
      <w:r>
        <w:rPr>
          <w:spacing w:val="-15"/>
        </w:rPr>
        <w:t> </w:t>
      </w:r>
      <w:r>
        <w:rPr/>
        <w:t>directional</w:t>
      </w:r>
      <w:r>
        <w:rPr>
          <w:spacing w:val="-15"/>
        </w:rPr>
        <w:t> </w:t>
      </w:r>
      <w:r>
        <w:rPr/>
        <w:t>Wasserstein</w:t>
      </w:r>
      <w:r>
        <w:rPr>
          <w:spacing w:val="-15"/>
        </w:rPr>
        <w:t> </w:t>
      </w:r>
      <w:r>
        <w:rPr/>
        <w:t>distance)</w:t>
      </w:r>
      <w:r>
        <w:rPr>
          <w:spacing w:val="-15"/>
        </w:rPr>
        <w:t> </w:t>
      </w:r>
      <w:r>
        <w:rPr/>
        <w:t>are </w:t>
      </w:r>
      <w:r>
        <w:rPr>
          <w:spacing w:val="-2"/>
        </w:rPr>
        <w:t>formalised.</w:t>
      </w:r>
    </w:p>
    <w:p>
      <w:pPr>
        <w:pStyle w:val="BodyText"/>
        <w:spacing w:before="6"/>
        <w:rPr>
          <w:sz w:val="34"/>
        </w:rPr>
      </w:pPr>
    </w:p>
    <w:p>
      <w:pPr>
        <w:pStyle w:val="Heading3"/>
        <w:numPr>
          <w:ilvl w:val="2"/>
          <w:numId w:val="23"/>
        </w:numPr>
        <w:tabs>
          <w:tab w:pos="1471" w:val="left" w:leader="none"/>
          <w:tab w:pos="1472" w:val="left" w:leader="none"/>
        </w:tabs>
        <w:spacing w:line="240" w:lineRule="auto" w:before="0" w:after="0"/>
        <w:ind w:left="1471" w:right="0" w:hanging="862"/>
        <w:jc w:val="left"/>
      </w:pPr>
      <w:bookmarkStart w:name="_TOC_250027" w:id="219"/>
      <w:bookmarkStart w:name="5.2.1 Data" w:id="220"/>
      <w:r>
        <w:rPr>
          <w:b w:val="0"/>
        </w:rPr>
      </w:r>
      <w:bookmarkStart w:name="_bookmark125" w:id="221"/>
      <w:bookmarkEnd w:id="219"/>
      <w:r>
        <w:rPr>
          <w:spacing w:val="-4"/>
        </w:rPr>
        <w:t>Data</w:t>
      </w:r>
    </w:p>
    <w:p>
      <w:pPr>
        <w:pStyle w:val="BodyText"/>
        <w:spacing w:line="312" w:lineRule="auto" w:before="236"/>
        <w:ind w:left="610" w:right="385"/>
      </w:pPr>
      <w:r>
        <w:rPr/>
        <w:t>In this study, event level match-play data were obtained from Opta (Stats Perform, </w:t>
      </w:r>
      <w:r>
        <w:rPr/>
        <w:t>Lon- don,</w:t>
      </w:r>
      <w:r>
        <w:rPr>
          <w:spacing w:val="-15"/>
        </w:rPr>
        <w:t> </w:t>
      </w:r>
      <w:r>
        <w:rPr/>
        <w:t>UK)</w:t>
      </w:r>
      <w:r>
        <w:rPr>
          <w:spacing w:val="-15"/>
        </w:rPr>
        <w:t> </w:t>
      </w:r>
      <w:r>
        <w:rPr/>
        <w:t>for</w:t>
      </w:r>
      <w:r>
        <w:rPr>
          <w:spacing w:val="-15"/>
        </w:rPr>
        <w:t> </w:t>
      </w:r>
      <w:r>
        <w:rPr/>
        <w:t>the</w:t>
      </w:r>
      <w:r>
        <w:rPr>
          <w:spacing w:val="-15"/>
        </w:rPr>
        <w:t> </w:t>
      </w:r>
      <w:r>
        <w:rPr/>
        <w:t>2021</w:t>
      </w:r>
      <w:r>
        <w:rPr>
          <w:spacing w:val="-15"/>
        </w:rPr>
        <w:t> </w:t>
      </w:r>
      <w:r>
        <w:rPr/>
        <w:t>Super</w:t>
      </w:r>
      <w:r>
        <w:rPr>
          <w:spacing w:val="-15"/>
        </w:rPr>
        <w:t> </w:t>
      </w:r>
      <w:r>
        <w:rPr/>
        <w:t>League</w:t>
      </w:r>
      <w:r>
        <w:rPr>
          <w:spacing w:val="-15"/>
        </w:rPr>
        <w:t> </w:t>
      </w:r>
      <w:r>
        <w:rPr/>
        <w:t>season.</w:t>
      </w:r>
      <w:r>
        <w:rPr>
          <w:spacing w:val="-15"/>
        </w:rPr>
        <w:t> </w:t>
      </w:r>
      <w:r>
        <w:rPr/>
        <w:t>The</w:t>
      </w:r>
      <w:r>
        <w:rPr>
          <w:spacing w:val="-15"/>
        </w:rPr>
        <w:t> </w:t>
      </w:r>
      <w:r>
        <w:rPr/>
        <w:t>data</w:t>
      </w:r>
      <w:r>
        <w:rPr>
          <w:spacing w:val="-15"/>
        </w:rPr>
        <w:t> </w:t>
      </w:r>
      <w:r>
        <w:rPr/>
        <w:t>was</w:t>
      </w:r>
      <w:r>
        <w:rPr>
          <w:spacing w:val="-15"/>
        </w:rPr>
        <w:t> </w:t>
      </w:r>
      <w:r>
        <w:rPr/>
        <w:t>produced</w:t>
      </w:r>
      <w:r>
        <w:rPr>
          <w:spacing w:val="-15"/>
        </w:rPr>
        <w:t> </w:t>
      </w:r>
      <w:r>
        <w:rPr/>
        <w:t>via</w:t>
      </w:r>
      <w:r>
        <w:rPr>
          <w:spacing w:val="-15"/>
        </w:rPr>
        <w:t> </w:t>
      </w:r>
      <w:r>
        <w:rPr/>
        <w:t>human</w:t>
      </w:r>
      <w:r>
        <w:rPr>
          <w:spacing w:val="-15"/>
        </w:rPr>
        <w:t> </w:t>
      </w:r>
      <w:r>
        <w:rPr/>
        <w:t>annotation of</w:t>
      </w:r>
      <w:r>
        <w:rPr>
          <w:spacing w:val="-1"/>
        </w:rPr>
        <w:t> </w:t>
      </w:r>
      <w:r>
        <w:rPr/>
        <w:t>the</w:t>
      </w:r>
      <w:r>
        <w:rPr>
          <w:spacing w:val="-1"/>
        </w:rPr>
        <w:t> </w:t>
      </w:r>
      <w:r>
        <w:rPr/>
        <w:t>actions</w:t>
      </w:r>
      <w:r>
        <w:rPr>
          <w:spacing w:val="-1"/>
        </w:rPr>
        <w:t> </w:t>
      </w:r>
      <w:r>
        <w:rPr/>
        <w:t>taking</w:t>
      </w:r>
      <w:r>
        <w:rPr>
          <w:spacing w:val="-1"/>
        </w:rPr>
        <w:t> </w:t>
      </w:r>
      <w:r>
        <w:rPr/>
        <w:t>place</w:t>
      </w:r>
      <w:r>
        <w:rPr>
          <w:spacing w:val="-1"/>
        </w:rPr>
        <w:t> </w:t>
      </w:r>
      <w:r>
        <w:rPr/>
        <w:t>and</w:t>
      </w:r>
      <w:r>
        <w:rPr>
          <w:spacing w:val="-1"/>
        </w:rPr>
        <w:t> </w:t>
      </w:r>
      <w:r>
        <w:rPr/>
        <w:t>was</w:t>
      </w:r>
      <w:r>
        <w:rPr>
          <w:spacing w:val="-1"/>
        </w:rPr>
        <w:t> </w:t>
      </w:r>
      <w:r>
        <w:rPr/>
        <w:t>downloaded</w:t>
      </w:r>
      <w:r>
        <w:rPr>
          <w:spacing w:val="-1"/>
        </w:rPr>
        <w:t> </w:t>
      </w:r>
      <w:r>
        <w:rPr/>
        <w:t>from</w:t>
      </w:r>
      <w:r>
        <w:rPr>
          <w:spacing w:val="-1"/>
        </w:rPr>
        <w:t> </w:t>
      </w:r>
      <w:hyperlink r:id="rId86">
        <w:r>
          <w:rPr/>
          <w:t>www.optaprorugby.com.</w:t>
        </w:r>
      </w:hyperlink>
      <w:r>
        <w:rPr>
          <w:spacing w:val="27"/>
        </w:rPr>
        <w:t> </w:t>
      </w:r>
      <w:r>
        <w:rPr/>
        <w:t>In</w:t>
      </w:r>
      <w:r>
        <w:rPr>
          <w:spacing w:val="-1"/>
        </w:rPr>
        <w:t> </w:t>
      </w:r>
      <w:r>
        <w:rPr/>
        <w:t>2021, Opta</w:t>
      </w:r>
      <w:r>
        <w:rPr>
          <w:spacing w:val="-2"/>
        </w:rPr>
        <w:t> </w:t>
      </w:r>
      <w:r>
        <w:rPr/>
        <w:t>again</w:t>
      </w:r>
      <w:r>
        <w:rPr>
          <w:spacing w:val="-2"/>
        </w:rPr>
        <w:t> </w:t>
      </w:r>
      <w:r>
        <w:rPr/>
        <w:t>improved</w:t>
      </w:r>
      <w:r>
        <w:rPr>
          <w:spacing w:val="-2"/>
        </w:rPr>
        <w:t> </w:t>
      </w:r>
      <w:r>
        <w:rPr/>
        <w:t>their</w:t>
      </w:r>
      <w:r>
        <w:rPr>
          <w:spacing w:val="-2"/>
        </w:rPr>
        <w:t> </w:t>
      </w:r>
      <w:r>
        <w:rPr/>
        <w:t>coding</w:t>
      </w:r>
      <w:r>
        <w:rPr>
          <w:spacing w:val="-2"/>
        </w:rPr>
        <w:t> </w:t>
      </w:r>
      <w:r>
        <w:rPr/>
        <w:t>protocols.</w:t>
      </w:r>
      <w:r>
        <w:rPr>
          <w:spacing w:val="22"/>
        </w:rPr>
        <w:t> </w:t>
      </w:r>
      <w:r>
        <w:rPr/>
        <w:t>Deviating</w:t>
      </w:r>
      <w:r>
        <w:rPr>
          <w:spacing w:val="-2"/>
        </w:rPr>
        <w:t> </w:t>
      </w:r>
      <w:r>
        <w:rPr/>
        <w:t>from</w:t>
      </w:r>
      <w:r>
        <w:rPr>
          <w:spacing w:val="-2"/>
        </w:rPr>
        <w:t> </w:t>
      </w:r>
      <w:r>
        <w:rPr/>
        <w:t>their</w:t>
      </w:r>
      <w:r>
        <w:rPr>
          <w:spacing w:val="-2"/>
        </w:rPr>
        <w:t> </w:t>
      </w:r>
      <w:r>
        <w:rPr/>
        <w:t>previous</w:t>
      </w:r>
      <w:r>
        <w:rPr>
          <w:spacing w:val="-2"/>
        </w:rPr>
        <w:t> </w:t>
      </w:r>
      <w:r>
        <w:rPr/>
        <w:t>methods,</w:t>
      </w:r>
      <w:r>
        <w:rPr>
          <w:spacing w:val="-1"/>
        </w:rPr>
        <w:t> </w:t>
      </w:r>
      <w:r>
        <w:rPr/>
        <w:t>the company</w:t>
      </w:r>
      <w:r>
        <w:rPr>
          <w:spacing w:val="-7"/>
        </w:rPr>
        <w:t> </w:t>
      </w:r>
      <w:r>
        <w:rPr/>
        <w:t>provided</w:t>
      </w:r>
      <w:r>
        <w:rPr>
          <w:spacing w:val="-7"/>
        </w:rPr>
        <w:t> </w:t>
      </w:r>
      <w:r>
        <w:rPr/>
        <w:t>20</w:t>
      </w:r>
      <w:r>
        <w:rPr>
          <w:spacing w:val="-7"/>
        </w:rPr>
        <w:t> </w:t>
      </w:r>
      <w:r>
        <w:rPr/>
        <w:t>categories</w:t>
      </w:r>
      <w:r>
        <w:rPr>
          <w:spacing w:val="-7"/>
        </w:rPr>
        <w:t> </w:t>
      </w:r>
      <w:r>
        <w:rPr/>
        <w:t>of</w:t>
      </w:r>
      <w:r>
        <w:rPr>
          <w:spacing w:val="-7"/>
        </w:rPr>
        <w:t> </w:t>
      </w:r>
      <w:r>
        <w:rPr/>
        <w:t>actions,</w:t>
      </w:r>
      <w:r>
        <w:rPr>
          <w:spacing w:val="-7"/>
        </w:rPr>
        <w:t> </w:t>
      </w:r>
      <w:r>
        <w:rPr/>
        <w:t>96</w:t>
      </w:r>
      <w:r>
        <w:rPr>
          <w:spacing w:val="-7"/>
        </w:rPr>
        <w:t> </w:t>
      </w:r>
      <w:r>
        <w:rPr/>
        <w:t>actions</w:t>
      </w:r>
      <w:r>
        <w:rPr>
          <w:spacing w:val="-7"/>
        </w:rPr>
        <w:t> </w:t>
      </w:r>
      <w:r>
        <w:rPr/>
        <w:t>and</w:t>
      </w:r>
      <w:r>
        <w:rPr>
          <w:spacing w:val="-7"/>
        </w:rPr>
        <w:t> </w:t>
      </w:r>
      <w:r>
        <w:rPr/>
        <w:t>446</w:t>
      </w:r>
      <w:r>
        <w:rPr>
          <w:spacing w:val="-7"/>
        </w:rPr>
        <w:t> </w:t>
      </w:r>
      <w:r>
        <w:rPr/>
        <w:t>additional</w:t>
      </w:r>
      <w:r>
        <w:rPr>
          <w:spacing w:val="-7"/>
        </w:rPr>
        <w:t> </w:t>
      </w:r>
      <w:r>
        <w:rPr/>
        <w:t>action</w:t>
      </w:r>
      <w:r>
        <w:rPr>
          <w:spacing w:val="-7"/>
        </w:rPr>
        <w:t> </w:t>
      </w:r>
      <w:r>
        <w:rPr/>
        <w:t>descrip- tors, describing the type of action and its outcome.</w:t>
      </w:r>
      <w:r>
        <w:rPr>
          <w:spacing w:val="31"/>
        </w:rPr>
        <w:t> </w:t>
      </w:r>
      <w:r>
        <w:rPr/>
        <w:t>Table</w:t>
      </w:r>
      <w:hyperlink w:history="true" w:anchor="_bookmark126">
        <w:r>
          <w:rPr>
            <w:color w:val="0000FF"/>
          </w:rPr>
          <w:t>5.1</w:t>
        </w:r>
      </w:hyperlink>
      <w:r>
        <w:rPr/>
        <w:t>provides an example of the actions</w:t>
      </w:r>
      <w:r>
        <w:rPr>
          <w:spacing w:val="-3"/>
        </w:rPr>
        <w:t> </w:t>
      </w:r>
      <w:r>
        <w:rPr/>
        <w:t>and</w:t>
      </w:r>
      <w:r>
        <w:rPr>
          <w:spacing w:val="-3"/>
        </w:rPr>
        <w:t> </w:t>
      </w:r>
      <w:r>
        <w:rPr/>
        <w:t>descriptors</w:t>
      </w:r>
      <w:r>
        <w:rPr>
          <w:spacing w:val="-4"/>
        </w:rPr>
        <w:t> </w:t>
      </w:r>
      <w:r>
        <w:rPr/>
        <w:t>used</w:t>
      </w:r>
      <w:r>
        <w:rPr>
          <w:spacing w:val="-3"/>
        </w:rPr>
        <w:t> </w:t>
      </w:r>
      <w:r>
        <w:rPr/>
        <w:t>for</w:t>
      </w:r>
      <w:r>
        <w:rPr>
          <w:spacing w:val="-3"/>
        </w:rPr>
        <w:t> </w:t>
      </w:r>
      <w:r>
        <w:rPr/>
        <w:t>the</w:t>
      </w:r>
      <w:r>
        <w:rPr>
          <w:spacing w:val="-3"/>
        </w:rPr>
        <w:t> </w:t>
      </w:r>
      <w:r>
        <w:rPr/>
        <w:t>passing</w:t>
      </w:r>
      <w:r>
        <w:rPr>
          <w:spacing w:val="-3"/>
        </w:rPr>
        <w:t> </w:t>
      </w:r>
      <w:r>
        <w:rPr/>
        <w:t>category. Appendix</w:t>
      </w:r>
      <w:r>
        <w:rPr>
          <w:color w:val="0000FF"/>
        </w:rPr>
        <w:t>C</w:t>
      </w:r>
      <w:r>
        <w:rPr/>
        <w:t>is</w:t>
      </w:r>
      <w:r>
        <w:rPr>
          <w:spacing w:val="-4"/>
        </w:rPr>
        <w:t> </w:t>
      </w:r>
      <w:r>
        <w:rPr/>
        <w:t>the</w:t>
      </w:r>
      <w:r>
        <w:rPr>
          <w:spacing w:val="-3"/>
        </w:rPr>
        <w:t> </w:t>
      </w:r>
      <w:r>
        <w:rPr/>
        <w:t>user</w:t>
      </w:r>
      <w:r>
        <w:rPr>
          <w:spacing w:val="-3"/>
        </w:rPr>
        <w:t> </w:t>
      </w:r>
      <w:r>
        <w:rPr/>
        <w:t>manual</w:t>
      </w:r>
      <w:r>
        <w:rPr>
          <w:spacing w:val="-3"/>
        </w:rPr>
        <w:t> </w:t>
      </w:r>
      <w:r>
        <w:rPr/>
        <w:t>pro- vided by Opta, where definitions of the actions and their coding criteria can be viewed. The data for each match was provided in separate xml files, but the play-the-ball node</w:t>
      </w:r>
      <w:r>
        <w:rPr>
          <w:spacing w:val="40"/>
        </w:rPr>
        <w:t> </w:t>
      </w:r>
      <w:r>
        <w:rPr/>
        <w:t>was</w:t>
      </w:r>
      <w:r>
        <w:rPr>
          <w:spacing w:val="-7"/>
        </w:rPr>
        <w:t> </w:t>
      </w:r>
      <w:r>
        <w:rPr/>
        <w:t>dropped</w:t>
      </w:r>
      <w:r>
        <w:rPr>
          <w:spacing w:val="-6"/>
        </w:rPr>
        <w:t> </w:t>
      </w:r>
      <w:r>
        <w:rPr/>
        <w:t>in</w:t>
      </w:r>
      <w:r>
        <w:rPr>
          <w:spacing w:val="-7"/>
        </w:rPr>
        <w:t> </w:t>
      </w:r>
      <w:r>
        <w:rPr/>
        <w:t>2021,</w:t>
      </w:r>
      <w:r>
        <w:rPr>
          <w:spacing w:val="-6"/>
        </w:rPr>
        <w:t> </w:t>
      </w:r>
      <w:r>
        <w:rPr/>
        <w:t>so</w:t>
      </w:r>
      <w:r>
        <w:rPr>
          <w:spacing w:val="-6"/>
        </w:rPr>
        <w:t> </w:t>
      </w:r>
      <w:r>
        <w:rPr/>
        <w:t>the</w:t>
      </w:r>
      <w:r>
        <w:rPr>
          <w:spacing w:val="-7"/>
        </w:rPr>
        <w:t> </w:t>
      </w:r>
      <w:r>
        <w:rPr/>
        <w:t>data</w:t>
      </w:r>
      <w:r>
        <w:rPr>
          <w:spacing w:val="-6"/>
        </w:rPr>
        <w:t> </w:t>
      </w:r>
      <w:r>
        <w:rPr/>
        <w:t>was</w:t>
      </w:r>
      <w:r>
        <w:rPr>
          <w:spacing w:val="-6"/>
        </w:rPr>
        <w:t> </w:t>
      </w:r>
      <w:r>
        <w:rPr/>
        <w:t>provided</w:t>
      </w:r>
      <w:r>
        <w:rPr>
          <w:spacing w:val="-7"/>
        </w:rPr>
        <w:t> </w:t>
      </w:r>
      <w:r>
        <w:rPr/>
        <w:t>using</w:t>
      </w:r>
      <w:r>
        <w:rPr>
          <w:spacing w:val="-6"/>
        </w:rPr>
        <w:t> </w:t>
      </w:r>
      <w:r>
        <w:rPr/>
        <w:t>three</w:t>
      </w:r>
      <w:r>
        <w:rPr>
          <w:spacing w:val="-6"/>
        </w:rPr>
        <w:t> </w:t>
      </w:r>
      <w:r>
        <w:rPr/>
        <w:t>nodes:</w:t>
      </w:r>
      <w:r>
        <w:rPr>
          <w:spacing w:val="7"/>
        </w:rPr>
        <w:t> </w:t>
      </w:r>
      <w:r>
        <w:rPr/>
        <w:t>match</w:t>
      </w:r>
      <w:r>
        <w:rPr>
          <w:spacing w:val="-6"/>
        </w:rPr>
        <w:t> </w:t>
      </w:r>
      <w:r>
        <w:rPr/>
        <w:t>data;</w:t>
      </w:r>
      <w:r>
        <w:rPr>
          <w:spacing w:val="-7"/>
        </w:rPr>
        <w:t> </w:t>
      </w:r>
      <w:r>
        <w:rPr/>
        <w:t>team</w:t>
      </w:r>
      <w:r>
        <w:rPr>
          <w:spacing w:val="-6"/>
        </w:rPr>
        <w:t> </w:t>
      </w:r>
      <w:r>
        <w:rPr>
          <w:spacing w:val="-2"/>
        </w:rPr>
        <w:t>data;</w:t>
      </w:r>
    </w:p>
    <w:p>
      <w:pPr>
        <w:spacing w:after="0" w:line="312" w:lineRule="auto"/>
        <w:sectPr>
          <w:headerReference w:type="default" r:id="rId99"/>
          <w:footerReference w:type="default" r:id="rId100"/>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before="105"/>
        <w:ind w:left="907"/>
      </w:pPr>
      <w:bookmarkStart w:name="_bookmark126" w:id="222"/>
      <w:bookmarkEnd w:id="222"/>
      <w:r>
        <w:rPr/>
      </w:r>
      <w:r>
        <w:rPr>
          <w:b/>
        </w:rPr>
        <w:t>Table</w:t>
      </w:r>
      <w:r>
        <w:rPr>
          <w:b/>
          <w:spacing w:val="-10"/>
        </w:rPr>
        <w:t> </w:t>
      </w:r>
      <w:r>
        <w:rPr>
          <w:b/>
        </w:rPr>
        <w:t>5.1:</w:t>
      </w:r>
      <w:r>
        <w:rPr>
          <w:b/>
          <w:spacing w:val="3"/>
        </w:rPr>
        <w:t> </w:t>
      </w:r>
      <w:r>
        <w:rPr/>
        <w:t>Passing</w:t>
      </w:r>
      <w:r>
        <w:rPr>
          <w:spacing w:val="-9"/>
        </w:rPr>
        <w:t> </w:t>
      </w:r>
      <w:r>
        <w:rPr/>
        <w:t>example</w:t>
      </w:r>
      <w:r>
        <w:rPr>
          <w:spacing w:val="-10"/>
        </w:rPr>
        <w:t> </w:t>
      </w:r>
      <w:r>
        <w:rPr/>
        <w:t>to</w:t>
      </w:r>
      <w:r>
        <w:rPr>
          <w:spacing w:val="-9"/>
        </w:rPr>
        <w:t> </w:t>
      </w:r>
      <w:r>
        <w:rPr/>
        <w:t>show</w:t>
      </w:r>
      <w:r>
        <w:rPr>
          <w:spacing w:val="-10"/>
        </w:rPr>
        <w:t> </w:t>
      </w:r>
      <w:r>
        <w:rPr/>
        <w:t>the</w:t>
      </w:r>
      <w:r>
        <w:rPr>
          <w:spacing w:val="-10"/>
        </w:rPr>
        <w:t> </w:t>
      </w:r>
      <w:r>
        <w:rPr/>
        <w:t>action</w:t>
      </w:r>
      <w:r>
        <w:rPr>
          <w:spacing w:val="-9"/>
        </w:rPr>
        <w:t> </w:t>
      </w:r>
      <w:r>
        <w:rPr/>
        <w:t>definitions</w:t>
      </w:r>
      <w:r>
        <w:rPr>
          <w:spacing w:val="-10"/>
        </w:rPr>
        <w:t> </w:t>
      </w:r>
      <w:r>
        <w:rPr/>
        <w:t>utilised</w:t>
      </w:r>
      <w:r>
        <w:rPr>
          <w:spacing w:val="-9"/>
        </w:rPr>
        <w:t> </w:t>
      </w:r>
      <w:r>
        <w:rPr/>
        <w:t>by</w:t>
      </w:r>
      <w:r>
        <w:rPr>
          <w:spacing w:val="-10"/>
        </w:rPr>
        <w:t> </w:t>
      </w:r>
      <w:r>
        <w:rPr/>
        <w:t>Opta</w:t>
      </w:r>
      <w:r>
        <w:rPr>
          <w:spacing w:val="-9"/>
        </w:rPr>
        <w:t> </w:t>
      </w:r>
      <w:r>
        <w:rPr/>
        <w:t>in</w:t>
      </w:r>
      <w:r>
        <w:rPr>
          <w:spacing w:val="-10"/>
        </w:rPr>
        <w:t> </w:t>
      </w:r>
      <w:r>
        <w:rPr>
          <w:spacing w:val="-4"/>
        </w:rPr>
        <w:t>2021</w:t>
      </w:r>
    </w:p>
    <w:p>
      <w:pPr>
        <w:pStyle w:val="BodyText"/>
        <w:rPr>
          <w:sz w:val="20"/>
        </w:rPr>
      </w:pPr>
    </w:p>
    <w:p>
      <w:pPr>
        <w:pStyle w:val="BodyText"/>
        <w:spacing w:before="2"/>
        <w:rPr>
          <w:sz w:val="21"/>
        </w:rPr>
      </w:pPr>
      <w:r>
        <w:rPr/>
        <w:pict>
          <v:shape style="position:absolute;margin-left:139.669006pt;margin-top:13.373975pt;width:374.9pt;height:.1pt;mso-position-horizontal-relative:page;mso-position-vertical-relative:paragraph;z-index:-15673856;mso-wrap-distance-left:0;mso-wrap-distance-right:0" id="docshape130" coordorigin="2793,267" coordsize="7498,0" path="m2793,267l10291,267e" filled="false" stroked="true" strokeweight=".398pt" strokecolor="#000000">
            <v:path arrowok="t"/>
            <v:stroke dashstyle="solid"/>
            <w10:wrap type="topAndBottom"/>
          </v:shape>
        </w:pict>
      </w:r>
    </w:p>
    <w:p>
      <w:pPr>
        <w:pStyle w:val="BodyText"/>
        <w:tabs>
          <w:tab w:pos="5463" w:val="left" w:leader="none"/>
        </w:tabs>
        <w:spacing w:line="254" w:lineRule="exact" w:after="39"/>
        <w:ind w:left="1825"/>
      </w:pPr>
      <w:r>
        <w:rPr>
          <w:spacing w:val="-4"/>
        </w:rPr>
        <w:t>Level</w:t>
      </w:r>
      <w:r>
        <w:rPr/>
        <w:tab/>
      </w:r>
      <w:r>
        <w:rPr>
          <w:spacing w:val="-2"/>
        </w:rPr>
        <w:t>Options</w:t>
      </w:r>
    </w:p>
    <w:p>
      <w:pPr>
        <w:pStyle w:val="BodyText"/>
        <w:spacing w:line="20" w:lineRule="exact"/>
        <w:ind w:left="1113"/>
        <w:rPr>
          <w:sz w:val="2"/>
        </w:rPr>
      </w:pPr>
      <w:r>
        <w:rPr>
          <w:sz w:val="2"/>
        </w:rPr>
        <w:pict>
          <v:group style="width:374.9pt;height:.4pt;mso-position-horizontal-relative:char;mso-position-vertical-relative:line" id="docshapegroup131" coordorigin="0,0" coordsize="7498,8">
            <v:line style="position:absolute" from="0,4" to="7498,4" stroked="true" strokeweight=".398pt" strokecolor="#000000">
              <v:stroke dashstyle="solid"/>
            </v:line>
          </v:group>
        </w:pict>
      </w:r>
      <w:r>
        <w:rPr>
          <w:sz w:val="2"/>
        </w:rPr>
      </w:r>
    </w:p>
    <w:p>
      <w:pPr>
        <w:pStyle w:val="BodyText"/>
        <w:tabs>
          <w:tab w:pos="5478" w:val="left" w:leader="none"/>
        </w:tabs>
        <w:ind w:left="1656"/>
      </w:pPr>
      <w:r>
        <w:rPr>
          <w:spacing w:val="-2"/>
        </w:rPr>
        <w:t>Category</w:t>
      </w:r>
      <w:r>
        <w:rPr/>
        <w:tab/>
      </w:r>
      <w:r>
        <w:rPr>
          <w:spacing w:val="-2"/>
        </w:rPr>
        <w:t>Passing</w:t>
      </w:r>
    </w:p>
    <w:p>
      <w:pPr>
        <w:pStyle w:val="BodyText"/>
        <w:tabs>
          <w:tab w:pos="3191" w:val="left" w:leader="none"/>
          <w:tab w:pos="3291" w:val="left" w:leader="none"/>
        </w:tabs>
        <w:spacing w:line="252" w:lineRule="auto"/>
        <w:ind w:left="1232" w:right="1011" w:firstLine="534"/>
      </w:pPr>
      <w:r>
        <w:rPr>
          <w:spacing w:val="-2"/>
        </w:rPr>
        <w:t>Action</w:t>
      </w:r>
      <w:r>
        <w:rPr/>
        <w:tab/>
        <w:tab/>
        <w:t>Short; Out the back; Face ball; Offload; Dummy Pass Action Descriptor</w:t>
        <w:tab/>
      </w:r>
      <w:r>
        <w:rPr>
          <w:spacing w:val="-2"/>
        </w:rPr>
        <w:t>Effective;</w:t>
      </w:r>
      <w:r>
        <w:rPr>
          <w:spacing w:val="-5"/>
        </w:rPr>
        <w:t> </w:t>
      </w:r>
      <w:r>
        <w:rPr>
          <w:spacing w:val="-2"/>
        </w:rPr>
        <w:t>Ineffective;</w:t>
      </w:r>
      <w:r>
        <w:rPr>
          <w:spacing w:val="-5"/>
        </w:rPr>
        <w:t> </w:t>
      </w:r>
      <w:r>
        <w:rPr>
          <w:spacing w:val="-2"/>
        </w:rPr>
        <w:t>Off</w:t>
      </w:r>
      <w:r>
        <w:rPr>
          <w:spacing w:val="-5"/>
        </w:rPr>
        <w:t> </w:t>
      </w:r>
      <w:r>
        <w:rPr>
          <w:spacing w:val="-2"/>
        </w:rPr>
        <w:t>Target;</w:t>
      </w:r>
      <w:r>
        <w:rPr>
          <w:spacing w:val="-5"/>
        </w:rPr>
        <w:t> </w:t>
      </w:r>
      <w:r>
        <w:rPr>
          <w:spacing w:val="-2"/>
        </w:rPr>
        <w:t>Turnover;</w:t>
      </w:r>
      <w:r>
        <w:rPr>
          <w:spacing w:val="-5"/>
        </w:rPr>
        <w:t> </w:t>
      </w:r>
      <w:r>
        <w:rPr>
          <w:spacing w:val="-2"/>
        </w:rPr>
        <w:t>Left;</w:t>
      </w:r>
      <w:r>
        <w:rPr>
          <w:spacing w:val="-5"/>
        </w:rPr>
        <w:t> </w:t>
      </w:r>
      <w:r>
        <w:rPr>
          <w:spacing w:val="-2"/>
        </w:rPr>
        <w:t>Right</w:t>
      </w:r>
    </w:p>
    <w:p>
      <w:pPr>
        <w:pStyle w:val="BodyText"/>
        <w:spacing w:line="20" w:lineRule="exact"/>
        <w:ind w:left="1113"/>
        <w:rPr>
          <w:sz w:val="2"/>
        </w:rPr>
      </w:pPr>
      <w:r>
        <w:rPr>
          <w:sz w:val="2"/>
        </w:rPr>
        <w:pict>
          <v:group style="width:374.9pt;height:.4pt;mso-position-horizontal-relative:char;mso-position-vertical-relative:line" id="docshapegroup132" coordorigin="0,0" coordsize="7498,8">
            <v:line style="position:absolute" from="0,4" to="7498,4" stroked="true" strokeweight=".398pt" strokecolor="#000000">
              <v:stroke dashstyle="solid"/>
            </v:line>
          </v:group>
        </w:pict>
      </w:r>
      <w:r>
        <w:rPr>
          <w:sz w:val="2"/>
        </w:rPr>
      </w:r>
    </w:p>
    <w:p>
      <w:pPr>
        <w:pStyle w:val="BodyText"/>
        <w:rPr>
          <w:sz w:val="20"/>
        </w:rPr>
      </w:pPr>
    </w:p>
    <w:p>
      <w:pPr>
        <w:pStyle w:val="BodyText"/>
        <w:spacing w:before="6"/>
        <w:rPr>
          <w:sz w:val="28"/>
        </w:rPr>
      </w:pPr>
    </w:p>
    <w:p>
      <w:pPr>
        <w:pStyle w:val="BodyText"/>
        <w:spacing w:line="312" w:lineRule="auto" w:before="97"/>
        <w:ind w:left="610" w:right="389"/>
      </w:pPr>
      <w:r>
        <w:rPr/>
        <w:t>and fixture data.</w:t>
      </w:r>
      <w:r>
        <w:rPr>
          <w:spacing w:val="27"/>
        </w:rPr>
        <w:t> </w:t>
      </w:r>
      <w:r>
        <w:rPr/>
        <w:t>The definitions of the three nodes remained the same as previous </w:t>
      </w:r>
      <w:r>
        <w:rPr/>
        <w:t>years </w:t>
      </w:r>
      <w:r>
        <w:rPr>
          <w:spacing w:val="-2"/>
        </w:rPr>
        <w:t>(Table</w:t>
      </w:r>
      <w:hyperlink w:history="true" w:anchor="_bookmark50">
        <w:r>
          <w:rPr>
            <w:color w:val="0000FF"/>
            <w:spacing w:val="-2"/>
          </w:rPr>
          <w:t>3.1</w:t>
        </w:r>
      </w:hyperlink>
      <w:r>
        <w:rPr>
          <w:spacing w:val="-2"/>
        </w:rPr>
        <w:t>).</w:t>
      </w:r>
    </w:p>
    <w:p>
      <w:pPr>
        <w:pStyle w:val="BodyText"/>
        <w:spacing w:line="276" w:lineRule="exact"/>
        <w:ind w:left="961"/>
      </w:pPr>
      <w:r>
        <w:rPr/>
        <w:t>In</w:t>
      </w:r>
      <w:r>
        <w:rPr>
          <w:spacing w:val="-15"/>
        </w:rPr>
        <w:t> </w:t>
      </w:r>
      <w:r>
        <w:rPr/>
        <w:t>Chapter</w:t>
      </w:r>
      <w:r>
        <w:rPr>
          <w:color w:val="0000FF"/>
        </w:rPr>
        <w:t>3</w:t>
      </w:r>
      <w:r>
        <w:rPr/>
        <w:t>the</w:t>
      </w:r>
      <w:r>
        <w:rPr>
          <w:spacing w:val="-15"/>
        </w:rPr>
        <w:t> </w:t>
      </w:r>
      <w:r>
        <w:rPr/>
        <w:t>data</w:t>
      </w:r>
      <w:r>
        <w:rPr>
          <w:spacing w:val="-14"/>
        </w:rPr>
        <w:t> </w:t>
      </w:r>
      <w:r>
        <w:rPr/>
        <w:t>provided</w:t>
      </w:r>
      <w:r>
        <w:rPr>
          <w:spacing w:val="-15"/>
        </w:rPr>
        <w:t> </w:t>
      </w:r>
      <w:r>
        <w:rPr/>
        <w:t>by</w:t>
      </w:r>
      <w:r>
        <w:rPr>
          <w:spacing w:val="-14"/>
        </w:rPr>
        <w:t> </w:t>
      </w:r>
      <w:r>
        <w:rPr/>
        <w:t>Opta</w:t>
      </w:r>
      <w:r>
        <w:rPr>
          <w:spacing w:val="-15"/>
        </w:rPr>
        <w:t> </w:t>
      </w:r>
      <w:r>
        <w:rPr/>
        <w:t>were</w:t>
      </w:r>
      <w:r>
        <w:rPr>
          <w:spacing w:val="-14"/>
        </w:rPr>
        <w:t> </w:t>
      </w:r>
      <w:r>
        <w:rPr/>
        <w:t>introduced.</w:t>
      </w:r>
      <w:r>
        <w:rPr>
          <w:spacing w:val="2"/>
        </w:rPr>
        <w:t> </w:t>
      </w:r>
      <w:r>
        <w:rPr/>
        <w:t>As</w:t>
      </w:r>
      <w:r>
        <w:rPr>
          <w:spacing w:val="-15"/>
        </w:rPr>
        <w:t> </w:t>
      </w:r>
      <w:r>
        <w:rPr/>
        <w:t>with</w:t>
      </w:r>
      <w:r>
        <w:rPr>
          <w:spacing w:val="-14"/>
        </w:rPr>
        <w:t> </w:t>
      </w:r>
      <w:r>
        <w:rPr/>
        <w:t>Chapters</w:t>
      </w:r>
      <w:r>
        <w:rPr>
          <w:color w:val="0000FF"/>
        </w:rPr>
        <w:t>3</w:t>
      </w:r>
      <w:hyperlink w:history="true" w:anchor="_bookmark48">
        <w:r>
          <w:rPr/>
          <w:t>and</w:t>
        </w:r>
      </w:hyperlink>
      <w:r>
        <w:rPr>
          <w:color w:val="0000FF"/>
        </w:rPr>
        <w:t>4</w:t>
      </w:r>
      <w:r>
        <w:rPr/>
        <w:t>,</w:t>
      </w:r>
      <w:r>
        <w:rPr>
          <w:spacing w:val="-13"/>
        </w:rPr>
        <w:t> </w:t>
      </w:r>
      <w:hyperlink w:history="true" w:anchor="_bookmark92">
        <w:r>
          <w:rPr>
            <w:spacing w:val="-5"/>
          </w:rPr>
          <w:t>13</w:t>
        </w:r>
      </w:hyperlink>
    </w:p>
    <w:p>
      <w:pPr>
        <w:pStyle w:val="BodyText"/>
        <w:spacing w:line="312" w:lineRule="auto" w:before="83"/>
        <w:ind w:left="610" w:right="389"/>
      </w:pPr>
      <w:r>
        <w:rPr/>
        <w:pict>
          <v:line style="position:absolute;mso-position-horizontal-relative:page;mso-position-vertical-relative:paragraph;z-index:-21760000" from="206.623001pt,33.081127pt" to="210.210001pt,33.081127pt" stroked="true" strokeweight=".398pt" strokecolor="#000000">
            <v:stroke dashstyle="solid"/>
            <w10:wrap type="none"/>
          </v:line>
        </w:pict>
      </w:r>
      <w:r>
        <w:rPr/>
        <w:pict>
          <v:line style="position:absolute;mso-position-horizontal-relative:page;mso-position-vertical-relative:paragraph;z-index:-21759488" from="295.691986pt,33.081127pt" to="299.278986pt,33.081127pt" stroked="true" strokeweight=".398pt" strokecolor="#000000">
            <v:stroke dashstyle="solid"/>
            <w10:wrap type="none"/>
          </v:line>
        </w:pict>
      </w:r>
      <w:r>
        <w:rPr/>
        <w:pict>
          <v:line style="position:absolute;mso-position-horizontal-relative:page;mso-position-vertical-relative:paragraph;z-index:-21758976" from="340.256989pt,33.081127pt" to="343.843989pt,33.081127pt" stroked="true" strokeweight=".398pt" strokecolor="#000000">
            <v:stroke dashstyle="solid"/>
            <w10:wrap type="none"/>
          </v:line>
        </w:pict>
      </w:r>
      <w:r>
        <w:rPr/>
        <w:t>of</w:t>
      </w:r>
      <w:r>
        <w:rPr>
          <w:spacing w:val="-3"/>
        </w:rPr>
        <w:t> </w:t>
      </w:r>
      <w:r>
        <w:rPr/>
        <w:t>the</w:t>
      </w:r>
      <w:r>
        <w:rPr>
          <w:spacing w:val="-3"/>
        </w:rPr>
        <w:t> </w:t>
      </w:r>
      <w:r>
        <w:rPr/>
        <w:t>28</w:t>
      </w:r>
      <w:r>
        <w:rPr>
          <w:spacing w:val="-3"/>
        </w:rPr>
        <w:t> </w:t>
      </w:r>
      <w:r>
        <w:rPr/>
        <w:t>variables</w:t>
      </w:r>
      <w:r>
        <w:rPr>
          <w:spacing w:val="-3"/>
        </w:rPr>
        <w:t> </w:t>
      </w:r>
      <w:r>
        <w:rPr/>
        <w:t>provided</w:t>
      </w:r>
      <w:r>
        <w:rPr>
          <w:spacing w:val="-3"/>
        </w:rPr>
        <w:t> </w:t>
      </w:r>
      <w:r>
        <w:rPr/>
        <w:t>by</w:t>
      </w:r>
      <w:r>
        <w:rPr>
          <w:spacing w:val="-3"/>
        </w:rPr>
        <w:t> </w:t>
      </w:r>
      <w:r>
        <w:rPr/>
        <w:t>Opta</w:t>
      </w:r>
      <w:r>
        <w:rPr>
          <w:spacing w:val="-3"/>
        </w:rPr>
        <w:t> </w:t>
      </w:r>
      <w:r>
        <w:rPr/>
        <w:t>were</w:t>
      </w:r>
      <w:r>
        <w:rPr>
          <w:spacing w:val="-3"/>
        </w:rPr>
        <w:t> </w:t>
      </w:r>
      <w:r>
        <w:rPr/>
        <w:t>considered</w:t>
      </w:r>
      <w:r>
        <w:rPr>
          <w:spacing w:val="-3"/>
        </w:rPr>
        <w:t> </w:t>
      </w:r>
      <w:r>
        <w:rPr/>
        <w:t>within</w:t>
      </w:r>
      <w:r>
        <w:rPr>
          <w:spacing w:val="-3"/>
        </w:rPr>
        <w:t> </w:t>
      </w:r>
      <w:r>
        <w:rPr/>
        <w:t>this</w:t>
      </w:r>
      <w:r>
        <w:rPr>
          <w:spacing w:val="-3"/>
        </w:rPr>
        <w:t> </w:t>
      </w:r>
      <w:r>
        <w:rPr/>
        <w:t>study. These</w:t>
      </w:r>
      <w:r>
        <w:rPr>
          <w:spacing w:val="-3"/>
        </w:rPr>
        <w:t> </w:t>
      </w:r>
      <w:r>
        <w:rPr/>
        <w:t>were: ID, FXID, PLID, team id, MatchTime, x coord, y coord, action, ActionType, </w:t>
      </w:r>
      <w:r>
        <w:rPr/>
        <w:t>Actionresult, Metres, PlayNum and SetNum.</w:t>
      </w:r>
      <w:r>
        <w:rPr>
          <w:spacing w:val="40"/>
        </w:rPr>
        <w:t> </w:t>
      </w:r>
      <w:r>
        <w:rPr/>
        <w:t>Table</w:t>
      </w:r>
      <w:hyperlink w:history="true" w:anchor="_bookmark53">
        <w:r>
          <w:rPr>
            <w:color w:val="0000FF"/>
          </w:rPr>
          <w:t>3.2</w:t>
        </w:r>
      </w:hyperlink>
      <w:r>
        <w:rPr/>
        <w:t>defines these variables.</w:t>
      </w:r>
      <w:r>
        <w:rPr>
          <w:spacing w:val="40"/>
        </w:rPr>
        <w:t> </w:t>
      </w:r>
      <w:r>
        <w:rPr/>
        <w:t>Similar to the 2020 dataset used in Chapter</w:t>
      </w:r>
      <w:r>
        <w:rPr>
          <w:color w:val="0000FF"/>
        </w:rPr>
        <w:t>4</w:t>
      </w:r>
      <w:hyperlink w:history="true" w:anchor="_bookmark92">
        <w:r>
          <w:rPr/>
          <w:t>,</w:t>
        </w:r>
      </w:hyperlink>
      <w:r>
        <w:rPr/>
        <w:t> location data was available on an action by action basis.</w:t>
      </w:r>
      <w:r>
        <w:rPr>
          <w:spacing w:val="28"/>
        </w:rPr>
        <w:t> </w:t>
      </w:r>
      <w:r>
        <w:rPr/>
        <w:t>Con- trary</w:t>
      </w:r>
      <w:r>
        <w:rPr>
          <w:spacing w:val="-9"/>
        </w:rPr>
        <w:t> </w:t>
      </w:r>
      <w:r>
        <w:rPr/>
        <w:t>to</w:t>
      </w:r>
      <w:r>
        <w:rPr>
          <w:spacing w:val="-8"/>
        </w:rPr>
        <w:t> </w:t>
      </w:r>
      <w:r>
        <w:rPr/>
        <w:t>the</w:t>
      </w:r>
      <w:r>
        <w:rPr>
          <w:spacing w:val="-9"/>
        </w:rPr>
        <w:t> </w:t>
      </w:r>
      <w:r>
        <w:rPr/>
        <w:t>2020</w:t>
      </w:r>
      <w:r>
        <w:rPr>
          <w:spacing w:val="-8"/>
        </w:rPr>
        <w:t> </w:t>
      </w:r>
      <w:r>
        <w:rPr/>
        <w:t>dataset,</w:t>
      </w:r>
      <w:r>
        <w:rPr>
          <w:spacing w:val="-8"/>
        </w:rPr>
        <w:t> </w:t>
      </w:r>
      <w:r>
        <w:rPr/>
        <w:t>a</w:t>
      </w:r>
      <w:r>
        <w:rPr>
          <w:spacing w:val="-8"/>
        </w:rPr>
        <w:t> </w:t>
      </w:r>
      <w:r>
        <w:rPr/>
        <w:t>much</w:t>
      </w:r>
      <w:r>
        <w:rPr>
          <w:spacing w:val="-9"/>
        </w:rPr>
        <w:t> </w:t>
      </w:r>
      <w:r>
        <w:rPr/>
        <w:t>greater</w:t>
      </w:r>
      <w:r>
        <w:rPr>
          <w:spacing w:val="-8"/>
        </w:rPr>
        <w:t> </w:t>
      </w:r>
      <w:r>
        <w:rPr/>
        <w:t>number</w:t>
      </w:r>
      <w:r>
        <w:rPr>
          <w:spacing w:val="-9"/>
        </w:rPr>
        <w:t> </w:t>
      </w:r>
      <w:r>
        <w:rPr/>
        <w:t>of</w:t>
      </w:r>
      <w:r>
        <w:rPr>
          <w:spacing w:val="-8"/>
        </w:rPr>
        <w:t> </w:t>
      </w:r>
      <w:r>
        <w:rPr/>
        <w:t>actions</w:t>
      </w:r>
      <w:r>
        <w:rPr>
          <w:spacing w:val="-9"/>
        </w:rPr>
        <w:t> </w:t>
      </w:r>
      <w:r>
        <w:rPr/>
        <w:t>were</w:t>
      </w:r>
      <w:r>
        <w:rPr>
          <w:spacing w:val="-8"/>
        </w:rPr>
        <w:t> </w:t>
      </w:r>
      <w:r>
        <w:rPr/>
        <w:t>coded</w:t>
      </w:r>
      <w:r>
        <w:rPr>
          <w:spacing w:val="-9"/>
        </w:rPr>
        <w:t> </w:t>
      </w:r>
      <w:r>
        <w:rPr/>
        <w:t>across</w:t>
      </w:r>
      <w:r>
        <w:rPr>
          <w:spacing w:val="-9"/>
        </w:rPr>
        <w:t> </w:t>
      </w:r>
      <w:r>
        <w:rPr/>
        <w:t>the</w:t>
      </w:r>
      <w:r>
        <w:rPr>
          <w:spacing w:val="-8"/>
        </w:rPr>
        <w:t> </w:t>
      </w:r>
      <w:r>
        <w:rPr/>
        <w:t>season, including</w:t>
      </w:r>
      <w:r>
        <w:rPr>
          <w:spacing w:val="-4"/>
        </w:rPr>
        <w:t> </w:t>
      </w:r>
      <w:r>
        <w:rPr/>
        <w:t>supporting</w:t>
      </w:r>
      <w:r>
        <w:rPr>
          <w:spacing w:val="-4"/>
        </w:rPr>
        <w:t> </w:t>
      </w:r>
      <w:r>
        <w:rPr/>
        <w:t>runs,</w:t>
      </w:r>
      <w:r>
        <w:rPr>
          <w:spacing w:val="-2"/>
        </w:rPr>
        <w:t> </w:t>
      </w:r>
      <w:r>
        <w:rPr/>
        <w:t>a</w:t>
      </w:r>
      <w:r>
        <w:rPr>
          <w:spacing w:val="-4"/>
        </w:rPr>
        <w:t> </w:t>
      </w:r>
      <w:r>
        <w:rPr/>
        <w:t>greater</w:t>
      </w:r>
      <w:r>
        <w:rPr>
          <w:spacing w:val="-4"/>
        </w:rPr>
        <w:t> </w:t>
      </w:r>
      <w:r>
        <w:rPr/>
        <w:t>variety</w:t>
      </w:r>
      <w:r>
        <w:rPr>
          <w:spacing w:val="-4"/>
        </w:rPr>
        <w:t> </w:t>
      </w:r>
      <w:r>
        <w:rPr/>
        <w:t>of</w:t>
      </w:r>
      <w:r>
        <w:rPr>
          <w:spacing w:val="-4"/>
        </w:rPr>
        <w:t> </w:t>
      </w:r>
      <w:r>
        <w:rPr/>
        <w:t>defensive</w:t>
      </w:r>
      <w:r>
        <w:rPr>
          <w:spacing w:val="-4"/>
        </w:rPr>
        <w:t> </w:t>
      </w:r>
      <w:r>
        <w:rPr/>
        <w:t>actions</w:t>
      </w:r>
      <w:r>
        <w:rPr>
          <w:spacing w:val="-3"/>
        </w:rPr>
        <w:t> </w:t>
      </w:r>
      <w:r>
        <w:rPr/>
        <w:t>and</w:t>
      </w:r>
      <w:r>
        <w:rPr>
          <w:spacing w:val="-4"/>
        </w:rPr>
        <w:t> </w:t>
      </w:r>
      <w:r>
        <w:rPr/>
        <w:t>more</w:t>
      </w:r>
      <w:r>
        <w:rPr>
          <w:spacing w:val="-4"/>
        </w:rPr>
        <w:t> </w:t>
      </w:r>
      <w:r>
        <w:rPr/>
        <w:t>miscellaneous </w:t>
      </w:r>
      <w:r>
        <w:rPr>
          <w:spacing w:val="-2"/>
        </w:rPr>
        <w:t>data.</w:t>
      </w:r>
    </w:p>
    <w:p>
      <w:pPr>
        <w:pStyle w:val="BodyText"/>
        <w:spacing w:line="312" w:lineRule="auto"/>
        <w:ind w:left="610" w:right="389" w:firstLine="351"/>
        <w:jc w:val="both"/>
      </w:pPr>
      <w:r>
        <w:rPr/>
        <w:t>In the 2021 Super League season, 138 matches were contested by 12 teams and </w:t>
      </w:r>
      <w:r>
        <w:rPr/>
        <w:t>373 players.</w:t>
      </w:r>
      <w:r>
        <w:rPr>
          <w:spacing w:val="-15"/>
        </w:rPr>
        <w:t> </w:t>
      </w:r>
      <w:r>
        <w:rPr/>
        <w:t>A</w:t>
      </w:r>
      <w:r>
        <w:rPr>
          <w:spacing w:val="-15"/>
        </w:rPr>
        <w:t> </w:t>
      </w:r>
      <w:r>
        <w:rPr/>
        <w:t>total</w:t>
      </w:r>
      <w:r>
        <w:rPr>
          <w:spacing w:val="-15"/>
        </w:rPr>
        <w:t> </w:t>
      </w:r>
      <w:r>
        <w:rPr/>
        <w:t>of</w:t>
      </w:r>
      <w:r>
        <w:rPr>
          <w:spacing w:val="-15"/>
        </w:rPr>
        <w:t> </w:t>
      </w:r>
      <w:r>
        <w:rPr/>
        <w:t>557,050</w:t>
      </w:r>
      <w:r>
        <w:rPr>
          <w:spacing w:val="-15"/>
        </w:rPr>
        <w:t> </w:t>
      </w:r>
      <w:r>
        <w:rPr/>
        <w:t>match</w:t>
      </w:r>
      <w:r>
        <w:rPr>
          <w:spacing w:val="-15"/>
        </w:rPr>
        <w:t> </w:t>
      </w:r>
      <w:r>
        <w:rPr/>
        <w:t>actions</w:t>
      </w:r>
      <w:r>
        <w:rPr>
          <w:spacing w:val="-15"/>
        </w:rPr>
        <w:t> </w:t>
      </w:r>
      <w:r>
        <w:rPr/>
        <w:t>were</w:t>
      </w:r>
      <w:r>
        <w:rPr>
          <w:spacing w:val="-15"/>
        </w:rPr>
        <w:t> </w:t>
      </w:r>
      <w:r>
        <w:rPr/>
        <w:t>completed</w:t>
      </w:r>
      <w:r>
        <w:rPr>
          <w:spacing w:val="-15"/>
        </w:rPr>
        <w:t> </w:t>
      </w:r>
      <w:r>
        <w:rPr/>
        <w:t>(median</w:t>
      </w:r>
      <w:r>
        <w:rPr>
          <w:spacing w:val="-15"/>
        </w:rPr>
        <w:t> </w:t>
      </w:r>
      <w:r>
        <w:rPr/>
        <w:t>4003</w:t>
      </w:r>
      <w:r>
        <w:rPr>
          <w:spacing w:val="-15"/>
        </w:rPr>
        <w:t> </w:t>
      </w:r>
      <w:r>
        <w:rPr/>
        <w:t>events</w:t>
      </w:r>
      <w:r>
        <w:rPr>
          <w:spacing w:val="-15"/>
        </w:rPr>
        <w:t> </w:t>
      </w:r>
      <w:r>
        <w:rPr/>
        <w:t>per</w:t>
      </w:r>
      <w:r>
        <w:rPr>
          <w:spacing w:val="-15"/>
        </w:rPr>
        <w:t> </w:t>
      </w:r>
      <w:r>
        <w:rPr/>
        <w:t>match, interquartile</w:t>
      </w:r>
      <w:r>
        <w:rPr>
          <w:spacing w:val="-15"/>
        </w:rPr>
        <w:t> </w:t>
      </w:r>
      <w:r>
        <w:rPr/>
        <w:t>range</w:t>
      </w:r>
      <w:r>
        <w:rPr>
          <w:spacing w:val="-15"/>
        </w:rPr>
        <w:t> </w:t>
      </w:r>
      <w:r>
        <w:rPr/>
        <w:t>3857-4200).</w:t>
      </w:r>
      <w:r>
        <w:rPr>
          <w:spacing w:val="1"/>
        </w:rPr>
        <w:t> </w:t>
      </w:r>
      <w:r>
        <w:rPr/>
        <w:t>Across</w:t>
      </w:r>
      <w:r>
        <w:rPr>
          <w:spacing w:val="-15"/>
        </w:rPr>
        <w:t> </w:t>
      </w:r>
      <w:r>
        <w:rPr/>
        <w:t>the</w:t>
      </w:r>
      <w:r>
        <w:rPr>
          <w:spacing w:val="-15"/>
        </w:rPr>
        <w:t> </w:t>
      </w:r>
      <w:r>
        <w:rPr/>
        <w:t>season,</w:t>
      </w:r>
      <w:r>
        <w:rPr>
          <w:spacing w:val="-14"/>
        </w:rPr>
        <w:t> </w:t>
      </w:r>
      <w:r>
        <w:rPr/>
        <w:t>1001</w:t>
      </w:r>
      <w:r>
        <w:rPr>
          <w:spacing w:val="-15"/>
        </w:rPr>
        <w:t> </w:t>
      </w:r>
      <w:r>
        <w:rPr/>
        <w:t>tries</w:t>
      </w:r>
      <w:r>
        <w:rPr>
          <w:spacing w:val="-15"/>
        </w:rPr>
        <w:t> </w:t>
      </w:r>
      <w:r>
        <w:rPr/>
        <w:t>were</w:t>
      </w:r>
      <w:r>
        <w:rPr>
          <w:spacing w:val="-15"/>
        </w:rPr>
        <w:t> </w:t>
      </w:r>
      <w:r>
        <w:rPr/>
        <w:t>scored</w:t>
      </w:r>
      <w:r>
        <w:rPr>
          <w:spacing w:val="-15"/>
        </w:rPr>
        <w:t> </w:t>
      </w:r>
      <w:r>
        <w:rPr/>
        <w:t>(768</w:t>
      </w:r>
      <w:r>
        <w:rPr>
          <w:spacing w:val="-15"/>
        </w:rPr>
        <w:t> </w:t>
      </w:r>
      <w:r>
        <w:rPr/>
        <w:t>successful conversion</w:t>
      </w:r>
      <w:r>
        <w:rPr>
          <w:spacing w:val="-3"/>
        </w:rPr>
        <w:t> </w:t>
      </w:r>
      <w:r>
        <w:rPr/>
        <w:t>kicks,</w:t>
      </w:r>
      <w:r>
        <w:rPr>
          <w:spacing w:val="-1"/>
        </w:rPr>
        <w:t> </w:t>
      </w:r>
      <w:r>
        <w:rPr/>
        <w:t>233</w:t>
      </w:r>
      <w:r>
        <w:rPr>
          <w:spacing w:val="-3"/>
        </w:rPr>
        <w:t> </w:t>
      </w:r>
      <w:r>
        <w:rPr/>
        <w:t>unsuccessful</w:t>
      </w:r>
      <w:r>
        <w:rPr>
          <w:spacing w:val="-3"/>
        </w:rPr>
        <w:t> </w:t>
      </w:r>
      <w:r>
        <w:rPr/>
        <w:t>conversion</w:t>
      </w:r>
      <w:r>
        <w:rPr>
          <w:spacing w:val="-3"/>
        </w:rPr>
        <w:t> </w:t>
      </w:r>
      <w:r>
        <w:rPr/>
        <w:t>kicks),</w:t>
      </w:r>
      <w:r>
        <w:rPr>
          <w:spacing w:val="-1"/>
        </w:rPr>
        <w:t> </w:t>
      </w:r>
      <w:r>
        <w:rPr/>
        <w:t>175</w:t>
      </w:r>
      <w:r>
        <w:rPr>
          <w:spacing w:val="-3"/>
        </w:rPr>
        <w:t> </w:t>
      </w:r>
      <w:r>
        <w:rPr/>
        <w:t>penalty</w:t>
      </w:r>
      <w:r>
        <w:rPr>
          <w:spacing w:val="-3"/>
        </w:rPr>
        <w:t> </w:t>
      </w:r>
      <w:r>
        <w:rPr/>
        <w:t>goals</w:t>
      </w:r>
      <w:r>
        <w:rPr>
          <w:spacing w:val="-3"/>
        </w:rPr>
        <w:t> </w:t>
      </w:r>
      <w:r>
        <w:rPr/>
        <w:t>were</w:t>
      </w:r>
      <w:r>
        <w:rPr>
          <w:spacing w:val="-3"/>
        </w:rPr>
        <w:t> </w:t>
      </w:r>
      <w:r>
        <w:rPr/>
        <w:t>attempted (158 successful, 17 unsuccessful) and 83 drop goals were attempted (37 successful, 46 </w:t>
      </w:r>
      <w:r>
        <w:rPr>
          <w:spacing w:val="-2"/>
        </w:rPr>
        <w:t>unsuccessful).</w:t>
      </w:r>
    </w:p>
    <w:p>
      <w:pPr>
        <w:pStyle w:val="BodyText"/>
        <w:spacing w:before="5"/>
        <w:rPr>
          <w:sz w:val="34"/>
        </w:rPr>
      </w:pPr>
    </w:p>
    <w:p>
      <w:pPr>
        <w:pStyle w:val="Heading3"/>
        <w:numPr>
          <w:ilvl w:val="2"/>
          <w:numId w:val="23"/>
        </w:numPr>
        <w:tabs>
          <w:tab w:pos="1471" w:val="left" w:leader="none"/>
          <w:tab w:pos="1472" w:val="left" w:leader="none"/>
        </w:tabs>
        <w:spacing w:line="240" w:lineRule="auto" w:before="0" w:after="0"/>
        <w:ind w:left="1471" w:right="0" w:hanging="862"/>
        <w:jc w:val="left"/>
      </w:pPr>
      <w:bookmarkStart w:name="_TOC_250026" w:id="223"/>
      <w:bookmarkStart w:name="5.2.2 Data Preprocessing" w:id="224"/>
      <w:r>
        <w:rPr>
          <w:b w:val="0"/>
        </w:rPr>
      </w:r>
      <w:bookmarkStart w:name="_bookmark127" w:id="225"/>
      <w:bookmarkEnd w:id="225"/>
      <w:r>
        <w:rPr/>
        <w:t>Data</w:t>
      </w:r>
      <w:r>
        <w:rPr>
          <w:spacing w:val="12"/>
        </w:rPr>
        <w:t> </w:t>
      </w:r>
      <w:bookmarkEnd w:id="223"/>
      <w:r>
        <w:rPr>
          <w:spacing w:val="-2"/>
        </w:rPr>
        <w:t>Preprocessing</w:t>
      </w:r>
    </w:p>
    <w:p>
      <w:pPr>
        <w:pStyle w:val="BodyText"/>
        <w:spacing w:line="312" w:lineRule="auto" w:before="235"/>
        <w:ind w:left="610" w:right="389"/>
      </w:pPr>
      <w:r>
        <w:rPr/>
        <w:t>Figure</w:t>
      </w:r>
      <w:hyperlink w:history="true" w:anchor="_bookmark128">
        <w:r>
          <w:rPr>
            <w:color w:val="0000FF"/>
          </w:rPr>
          <w:t>5.1</w:t>
        </w:r>
      </w:hyperlink>
      <w:r>
        <w:rPr/>
        <w:t>provides an overview of the data preprocessing completed within this study. The preprocessing steps converted the 138 raw xml files described above to a single </w:t>
      </w:r>
      <w:r>
        <w:rPr/>
        <w:t>file of</w:t>
      </w:r>
      <w:r>
        <w:rPr>
          <w:spacing w:val="-2"/>
        </w:rPr>
        <w:t> </w:t>
      </w:r>
      <w:r>
        <w:rPr/>
        <w:t>99,966</w:t>
      </w:r>
      <w:r>
        <w:rPr>
          <w:spacing w:val="-2"/>
        </w:rPr>
        <w:t> </w:t>
      </w:r>
      <w:r>
        <w:rPr/>
        <w:t>rows</w:t>
      </w:r>
      <w:r>
        <w:rPr>
          <w:spacing w:val="-2"/>
        </w:rPr>
        <w:t> </w:t>
      </w:r>
      <w:r>
        <w:rPr/>
        <w:t>and</w:t>
      </w:r>
      <w:r>
        <w:rPr>
          <w:spacing w:val="-2"/>
        </w:rPr>
        <w:t> </w:t>
      </w:r>
      <w:r>
        <w:rPr/>
        <w:t>4</w:t>
      </w:r>
      <w:r>
        <w:rPr>
          <w:spacing w:val="-2"/>
        </w:rPr>
        <w:t> </w:t>
      </w:r>
      <w:r>
        <w:rPr/>
        <w:t>columns</w:t>
      </w:r>
      <w:r>
        <w:rPr>
          <w:spacing w:val="-2"/>
        </w:rPr>
        <w:t> </w:t>
      </w:r>
      <w:r>
        <w:rPr/>
        <w:t>ready</w:t>
      </w:r>
      <w:r>
        <w:rPr>
          <w:spacing w:val="-2"/>
        </w:rPr>
        <w:t> </w:t>
      </w:r>
      <w:r>
        <w:rPr/>
        <w:t>for</w:t>
      </w:r>
      <w:r>
        <w:rPr>
          <w:spacing w:val="-2"/>
        </w:rPr>
        <w:t> </w:t>
      </w:r>
      <w:r>
        <w:rPr/>
        <w:t>analysis.</w:t>
      </w:r>
      <w:r>
        <w:rPr>
          <w:spacing w:val="19"/>
        </w:rPr>
        <w:t> </w:t>
      </w:r>
      <w:r>
        <w:rPr/>
        <w:t>Full</w:t>
      </w:r>
      <w:r>
        <w:rPr>
          <w:spacing w:val="-2"/>
        </w:rPr>
        <w:t> </w:t>
      </w:r>
      <w:r>
        <w:rPr/>
        <w:t>details</w:t>
      </w:r>
      <w:r>
        <w:rPr>
          <w:spacing w:val="-2"/>
        </w:rPr>
        <w:t> </w:t>
      </w:r>
      <w:r>
        <w:rPr/>
        <w:t>of</w:t>
      </w:r>
      <w:r>
        <w:rPr>
          <w:spacing w:val="-2"/>
        </w:rPr>
        <w:t> </w:t>
      </w:r>
      <w:r>
        <w:rPr/>
        <w:t>each</w:t>
      </w:r>
      <w:r>
        <w:rPr>
          <w:spacing w:val="-2"/>
        </w:rPr>
        <w:t> </w:t>
      </w:r>
      <w:r>
        <w:rPr/>
        <w:t>preprocessing</w:t>
      </w:r>
      <w:r>
        <w:rPr>
          <w:spacing w:val="-2"/>
        </w:rPr>
        <w:t> </w:t>
      </w:r>
      <w:r>
        <w:rPr/>
        <w:t>step are provided below.</w:t>
      </w:r>
    </w:p>
    <w:p>
      <w:pPr>
        <w:pStyle w:val="BodyText"/>
        <w:spacing w:line="312" w:lineRule="auto"/>
        <w:ind w:left="610" w:right="389" w:firstLine="351"/>
        <w:jc w:val="both"/>
      </w:pPr>
      <w:r>
        <w:rPr/>
        <w:t>The</w:t>
      </w:r>
      <w:r>
        <w:rPr>
          <w:spacing w:val="-7"/>
        </w:rPr>
        <w:t> </w:t>
      </w:r>
      <w:r>
        <w:rPr/>
        <w:t>match</w:t>
      </w:r>
      <w:r>
        <w:rPr>
          <w:spacing w:val="-7"/>
        </w:rPr>
        <w:t> </w:t>
      </w:r>
      <w:r>
        <w:rPr/>
        <w:t>action</w:t>
      </w:r>
      <w:r>
        <w:rPr>
          <w:spacing w:val="-7"/>
        </w:rPr>
        <w:t> </w:t>
      </w:r>
      <w:r>
        <w:rPr/>
        <w:t>data,</w:t>
      </w:r>
      <w:r>
        <w:rPr>
          <w:spacing w:val="-7"/>
        </w:rPr>
        <w:t> </w:t>
      </w:r>
      <w:r>
        <w:rPr/>
        <w:t>provided</w:t>
      </w:r>
      <w:r>
        <w:rPr>
          <w:spacing w:val="-7"/>
        </w:rPr>
        <w:t> </w:t>
      </w:r>
      <w:r>
        <w:rPr/>
        <w:t>in</w:t>
      </w:r>
      <w:r>
        <w:rPr>
          <w:spacing w:val="-7"/>
        </w:rPr>
        <w:t> </w:t>
      </w:r>
      <w:r>
        <w:rPr/>
        <w:t>138</w:t>
      </w:r>
      <w:r>
        <w:rPr>
          <w:spacing w:val="-7"/>
        </w:rPr>
        <w:t> </w:t>
      </w:r>
      <w:r>
        <w:rPr/>
        <w:t>xml</w:t>
      </w:r>
      <w:r>
        <w:rPr>
          <w:spacing w:val="-7"/>
        </w:rPr>
        <w:t> </w:t>
      </w:r>
      <w:r>
        <w:rPr/>
        <w:t>files,</w:t>
      </w:r>
      <w:r>
        <w:rPr>
          <w:spacing w:val="-7"/>
        </w:rPr>
        <w:t> </w:t>
      </w:r>
      <w:r>
        <w:rPr/>
        <w:t>were</w:t>
      </w:r>
      <w:r>
        <w:rPr>
          <w:spacing w:val="-7"/>
        </w:rPr>
        <w:t> </w:t>
      </w:r>
      <w:r>
        <w:rPr/>
        <w:t>collected</w:t>
      </w:r>
      <w:r>
        <w:rPr>
          <w:spacing w:val="-7"/>
        </w:rPr>
        <w:t> </w:t>
      </w:r>
      <w:r>
        <w:rPr/>
        <w:t>and</w:t>
      </w:r>
      <w:r>
        <w:rPr>
          <w:spacing w:val="-7"/>
        </w:rPr>
        <w:t> </w:t>
      </w:r>
      <w:r>
        <w:rPr/>
        <w:t>integrated</w:t>
      </w:r>
      <w:r>
        <w:rPr>
          <w:spacing w:val="-7"/>
        </w:rPr>
        <w:t> </w:t>
      </w:r>
      <w:r>
        <w:rPr/>
        <w:t>into</w:t>
      </w:r>
      <w:r>
        <w:rPr>
          <w:spacing w:val="-7"/>
        </w:rPr>
        <w:t> </w:t>
      </w:r>
      <w:r>
        <w:rPr/>
        <w:t>a single</w:t>
      </w:r>
      <w:r>
        <w:rPr>
          <w:spacing w:val="-8"/>
        </w:rPr>
        <w:t> </w:t>
      </w:r>
      <w:r>
        <w:rPr/>
        <w:t>dataset</w:t>
      </w:r>
      <w:r>
        <w:rPr>
          <w:spacing w:val="-8"/>
        </w:rPr>
        <w:t> </w:t>
      </w:r>
      <w:r>
        <w:rPr/>
        <w:t>of</w:t>
      </w:r>
      <w:r>
        <w:rPr>
          <w:spacing w:val="-8"/>
        </w:rPr>
        <w:t> </w:t>
      </w:r>
      <w:r>
        <w:rPr/>
        <w:t>557,050</w:t>
      </w:r>
      <w:r>
        <w:rPr>
          <w:spacing w:val="-8"/>
        </w:rPr>
        <w:t> </w:t>
      </w:r>
      <w:r>
        <w:rPr/>
        <w:t>rows</w:t>
      </w:r>
      <w:r>
        <w:rPr>
          <w:spacing w:val="-8"/>
        </w:rPr>
        <w:t> </w:t>
      </w:r>
      <w:r>
        <w:rPr/>
        <w:t>and</w:t>
      </w:r>
      <w:r>
        <w:rPr>
          <w:spacing w:val="-8"/>
        </w:rPr>
        <w:t> </w:t>
      </w:r>
      <w:r>
        <w:rPr/>
        <w:t>28</w:t>
      </w:r>
      <w:r>
        <w:rPr>
          <w:spacing w:val="-8"/>
        </w:rPr>
        <w:t> </w:t>
      </w:r>
      <w:r>
        <w:rPr/>
        <w:t>columns. To</w:t>
      </w:r>
      <w:r>
        <w:rPr>
          <w:spacing w:val="-8"/>
        </w:rPr>
        <w:t> </w:t>
      </w:r>
      <w:r>
        <w:rPr/>
        <w:t>do</w:t>
      </w:r>
      <w:r>
        <w:rPr>
          <w:spacing w:val="-8"/>
        </w:rPr>
        <w:t> </w:t>
      </w:r>
      <w:r>
        <w:rPr/>
        <w:t>this,</w:t>
      </w:r>
      <w:r>
        <w:rPr>
          <w:spacing w:val="-8"/>
        </w:rPr>
        <w:t> </w:t>
      </w:r>
      <w:r>
        <w:rPr/>
        <w:t>the</w:t>
      </w:r>
      <w:r>
        <w:rPr>
          <w:spacing w:val="-8"/>
        </w:rPr>
        <w:t> </w:t>
      </w:r>
      <w:r>
        <w:rPr/>
        <w:t>match</w:t>
      </w:r>
      <w:r>
        <w:rPr>
          <w:spacing w:val="-8"/>
        </w:rPr>
        <w:t> </w:t>
      </w:r>
      <w:r>
        <w:rPr/>
        <w:t>data</w:t>
      </w:r>
      <w:r>
        <w:rPr>
          <w:spacing w:val="-8"/>
        </w:rPr>
        <w:t> </w:t>
      </w:r>
      <w:r>
        <w:rPr/>
        <w:t>node</w:t>
      </w:r>
      <w:r>
        <w:rPr>
          <w:spacing w:val="-8"/>
        </w:rPr>
        <w:t> </w:t>
      </w:r>
      <w:r>
        <w:rPr/>
        <w:t>variables were</w:t>
      </w:r>
      <w:r>
        <w:rPr>
          <w:spacing w:val="19"/>
        </w:rPr>
        <w:t> </w:t>
      </w:r>
      <w:r>
        <w:rPr/>
        <w:t>extracted</w:t>
      </w:r>
      <w:r>
        <w:rPr>
          <w:spacing w:val="19"/>
        </w:rPr>
        <w:t> </w:t>
      </w:r>
      <w:r>
        <w:rPr/>
        <w:t>from</w:t>
      </w:r>
      <w:r>
        <w:rPr>
          <w:spacing w:val="19"/>
        </w:rPr>
        <w:t> </w:t>
      </w:r>
      <w:r>
        <w:rPr/>
        <w:t>each</w:t>
      </w:r>
      <w:r>
        <w:rPr>
          <w:spacing w:val="19"/>
        </w:rPr>
        <w:t> </w:t>
      </w:r>
      <w:r>
        <w:rPr/>
        <w:t>xml</w:t>
      </w:r>
      <w:r>
        <w:rPr>
          <w:spacing w:val="19"/>
        </w:rPr>
        <w:t> </w:t>
      </w:r>
      <w:r>
        <w:rPr/>
        <w:t>file</w:t>
      </w:r>
      <w:r>
        <w:rPr>
          <w:spacing w:val="19"/>
        </w:rPr>
        <w:t> </w:t>
      </w:r>
      <w:r>
        <w:rPr/>
        <w:t>into</w:t>
      </w:r>
      <w:r>
        <w:rPr>
          <w:spacing w:val="19"/>
        </w:rPr>
        <w:t> </w:t>
      </w:r>
      <w:r>
        <w:rPr/>
        <w:t>separate</w:t>
      </w:r>
      <w:r>
        <w:rPr>
          <w:spacing w:val="19"/>
        </w:rPr>
        <w:t> </w:t>
      </w:r>
      <w:r>
        <w:rPr/>
        <w:t>tables</w:t>
      </w:r>
      <w:r>
        <w:rPr>
          <w:spacing w:val="19"/>
        </w:rPr>
        <w:t> </w:t>
      </w:r>
      <w:r>
        <w:rPr/>
        <w:t>and</w:t>
      </w:r>
      <w:r>
        <w:rPr>
          <w:spacing w:val="19"/>
        </w:rPr>
        <w:t> </w:t>
      </w:r>
      <w:r>
        <w:rPr/>
        <w:t>then</w:t>
      </w:r>
      <w:r>
        <w:rPr>
          <w:spacing w:val="19"/>
        </w:rPr>
        <w:t> </w:t>
      </w:r>
      <w:r>
        <w:rPr/>
        <w:t>concatenated</w:t>
      </w:r>
      <w:r>
        <w:rPr>
          <w:spacing w:val="19"/>
        </w:rPr>
        <w:t> </w:t>
      </w:r>
      <w:r>
        <w:rPr>
          <w:spacing w:val="-2"/>
        </w:rPr>
        <w:t>together.</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spacing w:before="2"/>
        <w:rPr>
          <w:sz w:val="17"/>
        </w:rPr>
      </w:pPr>
    </w:p>
    <w:p>
      <w:pPr>
        <w:pStyle w:val="BodyText"/>
        <w:ind w:left="2008"/>
        <w:rPr>
          <w:sz w:val="20"/>
        </w:rPr>
      </w:pPr>
      <w:bookmarkStart w:name="_bookmark129" w:id="226"/>
      <w:bookmarkEnd w:id="226"/>
      <w:r>
        <w:rPr/>
      </w:r>
      <w:r>
        <w:rPr>
          <w:sz w:val="20"/>
        </w:rPr>
        <w:drawing>
          <wp:inline distT="0" distB="0" distL="0" distR="0">
            <wp:extent cx="3630453" cy="3918489"/>
            <wp:effectExtent l="0" t="0" r="0" b="0"/>
            <wp:docPr id="65" name="image33.png"/>
            <wp:cNvGraphicFramePr>
              <a:graphicFrameLocks noChangeAspect="1"/>
            </wp:cNvGraphicFramePr>
            <a:graphic>
              <a:graphicData uri="http://schemas.openxmlformats.org/drawingml/2006/picture">
                <pic:pic>
                  <pic:nvPicPr>
                    <pic:cNvPr id="66" name="image33.png"/>
                    <pic:cNvPicPr/>
                  </pic:nvPicPr>
                  <pic:blipFill>
                    <a:blip r:embed="rId101" cstate="print"/>
                    <a:stretch>
                      <a:fillRect/>
                    </a:stretch>
                  </pic:blipFill>
                  <pic:spPr>
                    <a:xfrm>
                      <a:off x="0" y="0"/>
                      <a:ext cx="3630453" cy="3918489"/>
                    </a:xfrm>
                    <a:prstGeom prst="rect">
                      <a:avLst/>
                    </a:prstGeom>
                  </pic:spPr>
                </pic:pic>
              </a:graphicData>
            </a:graphic>
          </wp:inline>
        </w:drawing>
      </w:r>
      <w:r>
        <w:rPr>
          <w:sz w:val="20"/>
        </w:rPr>
      </w:r>
    </w:p>
    <w:p>
      <w:pPr>
        <w:pStyle w:val="BodyText"/>
        <w:rPr>
          <w:sz w:val="20"/>
        </w:rPr>
      </w:pPr>
    </w:p>
    <w:p>
      <w:pPr>
        <w:pStyle w:val="BodyText"/>
        <w:spacing w:before="6"/>
        <w:rPr>
          <w:sz w:val="16"/>
        </w:rPr>
      </w:pPr>
    </w:p>
    <w:p>
      <w:pPr>
        <w:spacing w:before="106"/>
        <w:ind w:left="757" w:right="538" w:firstLine="0"/>
        <w:jc w:val="center"/>
        <w:rPr>
          <w:sz w:val="24"/>
        </w:rPr>
      </w:pPr>
      <w:bookmarkStart w:name="_bookmark128" w:id="227"/>
      <w:bookmarkEnd w:id="227"/>
      <w:r>
        <w:rPr/>
      </w:r>
      <w:r>
        <w:rPr>
          <w:b/>
          <w:sz w:val="24"/>
        </w:rPr>
        <w:t>Figure</w:t>
      </w:r>
      <w:r>
        <w:rPr>
          <w:b/>
          <w:spacing w:val="-9"/>
          <w:sz w:val="24"/>
        </w:rPr>
        <w:t> </w:t>
      </w:r>
      <w:r>
        <w:rPr>
          <w:b/>
          <w:sz w:val="24"/>
        </w:rPr>
        <w:t>5.1:</w:t>
      </w:r>
      <w:r>
        <w:rPr>
          <w:b/>
          <w:spacing w:val="4"/>
          <w:sz w:val="24"/>
        </w:rPr>
        <w:t> </w:t>
      </w:r>
      <w:r>
        <w:rPr>
          <w:sz w:val="24"/>
        </w:rPr>
        <w:t>Data</w:t>
      </w:r>
      <w:r>
        <w:rPr>
          <w:spacing w:val="-9"/>
          <w:sz w:val="24"/>
        </w:rPr>
        <w:t> </w:t>
      </w:r>
      <w:r>
        <w:rPr>
          <w:sz w:val="24"/>
        </w:rPr>
        <w:t>preprocessing</w:t>
      </w:r>
      <w:r>
        <w:rPr>
          <w:spacing w:val="-9"/>
          <w:sz w:val="24"/>
        </w:rPr>
        <w:t> </w:t>
      </w:r>
      <w:r>
        <w:rPr>
          <w:spacing w:val="-2"/>
          <w:sz w:val="24"/>
        </w:rPr>
        <w:t>workflow</w:t>
      </w:r>
    </w:p>
    <w:p>
      <w:pPr>
        <w:pStyle w:val="BodyText"/>
        <w:rPr>
          <w:sz w:val="30"/>
        </w:rPr>
      </w:pPr>
    </w:p>
    <w:p>
      <w:pPr>
        <w:pStyle w:val="BodyText"/>
        <w:spacing w:before="6"/>
        <w:rPr>
          <w:sz w:val="31"/>
        </w:rPr>
      </w:pPr>
    </w:p>
    <w:p>
      <w:pPr>
        <w:pStyle w:val="BodyText"/>
        <w:spacing w:line="312" w:lineRule="auto"/>
        <w:ind w:left="610" w:right="389"/>
        <w:jc w:val="both"/>
      </w:pPr>
      <w:r>
        <w:rPr/>
        <w:t>The</w:t>
      </w:r>
      <w:r>
        <w:rPr>
          <w:spacing w:val="-1"/>
        </w:rPr>
        <w:t> </w:t>
      </w:r>
      <w:r>
        <w:rPr/>
        <w:t>team data</w:t>
      </w:r>
      <w:r>
        <w:rPr>
          <w:spacing w:val="-1"/>
        </w:rPr>
        <w:t> </w:t>
      </w:r>
      <w:r>
        <w:rPr/>
        <w:t>nodes were</w:t>
      </w:r>
      <w:r>
        <w:rPr>
          <w:spacing w:val="-1"/>
        </w:rPr>
        <w:t> </w:t>
      </w:r>
      <w:r>
        <w:rPr/>
        <w:t>also</w:t>
      </w:r>
      <w:r>
        <w:rPr>
          <w:spacing w:val="-1"/>
        </w:rPr>
        <w:t> </w:t>
      </w:r>
      <w:r>
        <w:rPr/>
        <w:t>extracted into</w:t>
      </w:r>
      <w:r>
        <w:rPr>
          <w:spacing w:val="-1"/>
        </w:rPr>
        <w:t> </w:t>
      </w:r>
      <w:r>
        <w:rPr/>
        <w:t>tables for</w:t>
      </w:r>
      <w:r>
        <w:rPr>
          <w:spacing w:val="-1"/>
        </w:rPr>
        <w:t> </w:t>
      </w:r>
      <w:r>
        <w:rPr/>
        <w:t>each</w:t>
      </w:r>
      <w:r>
        <w:rPr>
          <w:spacing w:val="-1"/>
        </w:rPr>
        <w:t> </w:t>
      </w:r>
      <w:r>
        <w:rPr/>
        <w:t>fixture.</w:t>
      </w:r>
      <w:r>
        <w:rPr>
          <w:spacing w:val="22"/>
        </w:rPr>
        <w:t> </w:t>
      </w:r>
      <w:r>
        <w:rPr/>
        <w:t>These</w:t>
      </w:r>
      <w:r>
        <w:rPr>
          <w:spacing w:val="-1"/>
        </w:rPr>
        <w:t> </w:t>
      </w:r>
      <w:r>
        <w:rPr/>
        <w:t>were</w:t>
      </w:r>
      <w:r>
        <w:rPr>
          <w:spacing w:val="-1"/>
        </w:rPr>
        <w:t> </w:t>
      </w:r>
      <w:r>
        <w:rPr/>
        <w:t>used to map team unique identifiers to the real team name.</w:t>
      </w:r>
      <w:r>
        <w:rPr>
          <w:spacing w:val="40"/>
        </w:rPr>
        <w:t> </w:t>
      </w:r>
      <w:r>
        <w:rPr/>
        <w:t>Similarly, Opta’s action definitions and unique identifiers (Appendix</w:t>
      </w:r>
      <w:r>
        <w:rPr>
          <w:color w:val="0000FF"/>
        </w:rPr>
        <w:t>C</w:t>
      </w:r>
      <w:r>
        <w:rPr/>
        <w:t>) were mapped to the real name of the coded actions.</w:t>
      </w:r>
    </w:p>
    <w:p>
      <w:pPr>
        <w:pStyle w:val="BodyText"/>
        <w:spacing w:line="312" w:lineRule="auto"/>
        <w:ind w:left="610" w:right="389" w:firstLine="351"/>
      </w:pPr>
      <w:r>
        <w:rPr/>
        <w:t>Within the 2021 dataset, 126 unique actions (i.e.</w:t>
      </w:r>
      <w:r>
        <w:rPr>
          <w:spacing w:val="40"/>
        </w:rPr>
        <w:t> </w:t>
      </w:r>
      <w:r>
        <w:rPr/>
        <w:t>different combinations of actions and action descriptors) were coded.</w:t>
      </w:r>
      <w:r>
        <w:rPr>
          <w:spacing w:val="40"/>
        </w:rPr>
        <w:t> </w:t>
      </w:r>
      <w:r>
        <w:rPr/>
        <w:t>For the purposes of this study, these actions were</w:t>
      </w:r>
      <w:r>
        <w:rPr>
          <w:spacing w:val="80"/>
        </w:rPr>
        <w:t> </w:t>
      </w:r>
      <w:r>
        <w:rPr/>
        <w:t>regrouped</w:t>
      </w:r>
      <w:r>
        <w:rPr>
          <w:spacing w:val="-7"/>
        </w:rPr>
        <w:t> </w:t>
      </w:r>
      <w:r>
        <w:rPr/>
        <w:t>into</w:t>
      </w:r>
      <w:r>
        <w:rPr>
          <w:spacing w:val="-7"/>
        </w:rPr>
        <w:t> </w:t>
      </w:r>
      <w:r>
        <w:rPr/>
        <w:t>23</w:t>
      </w:r>
      <w:r>
        <w:rPr>
          <w:spacing w:val="-7"/>
        </w:rPr>
        <w:t> </w:t>
      </w:r>
      <w:r>
        <w:rPr/>
        <w:t>preprocessing</w:t>
      </w:r>
      <w:r>
        <w:rPr>
          <w:spacing w:val="-7"/>
        </w:rPr>
        <w:t> </w:t>
      </w:r>
      <w:r>
        <w:rPr/>
        <w:t>categories. These</w:t>
      </w:r>
      <w:r>
        <w:rPr>
          <w:spacing w:val="-7"/>
        </w:rPr>
        <w:t> </w:t>
      </w:r>
      <w:r>
        <w:rPr/>
        <w:t>preprocessing</w:t>
      </w:r>
      <w:r>
        <w:rPr>
          <w:spacing w:val="-7"/>
        </w:rPr>
        <w:t> </w:t>
      </w:r>
      <w:r>
        <w:rPr/>
        <w:t>categories</w:t>
      </w:r>
      <w:r>
        <w:rPr>
          <w:spacing w:val="-7"/>
        </w:rPr>
        <w:t> </w:t>
      </w:r>
      <w:r>
        <w:rPr/>
        <w:t>were</w:t>
      </w:r>
      <w:r>
        <w:rPr>
          <w:spacing w:val="-7"/>
        </w:rPr>
        <w:t> </w:t>
      </w:r>
      <w:r>
        <w:rPr/>
        <w:t>used</w:t>
      </w:r>
      <w:r>
        <w:rPr>
          <w:spacing w:val="-7"/>
        </w:rPr>
        <w:t> </w:t>
      </w:r>
      <w:r>
        <w:rPr/>
        <w:t>to assist with the preprocessing steps, but were not required for the location based analy-</w:t>
      </w:r>
      <w:r>
        <w:rPr>
          <w:spacing w:val="40"/>
        </w:rPr>
        <w:t> </w:t>
      </w:r>
      <w:r>
        <w:rPr/>
        <w:t>sis described in Section</w:t>
      </w:r>
      <w:hyperlink w:history="true" w:anchor="_bookmark134">
        <w:r>
          <w:rPr>
            <w:color w:val="0000FF"/>
          </w:rPr>
          <w:t>5.2.3</w:t>
        </w:r>
        <w:r>
          <w:rPr/>
          <w:t>.</w:t>
        </w:r>
      </w:hyperlink>
      <w:r>
        <w:rPr>
          <w:spacing w:val="40"/>
        </w:rPr>
        <w:t> </w:t>
      </w:r>
      <w:r>
        <w:rPr/>
        <w:t>A full list of the actions included in each preprocessing category is provided in Table</w:t>
      </w:r>
      <w:hyperlink w:history="true" w:anchor="_bookmark128">
        <w:r>
          <w:rPr>
            <w:color w:val="0000FF"/>
          </w:rPr>
          <w:t>5.2.2</w:t>
        </w:r>
        <w:r>
          <w:rPr/>
          <w:t>.</w:t>
        </w:r>
      </w:hyperlink>
    </w:p>
    <w:p>
      <w:pPr>
        <w:spacing w:after="0" w:line="312" w:lineRule="auto"/>
        <w:sectPr>
          <w:pgSz w:w="11910" w:h="16840"/>
          <w:pgMar w:header="1961" w:footer="1428" w:top="2280" w:bottom="1620" w:left="1680" w:right="720"/>
        </w:sectPr>
      </w:pPr>
    </w:p>
    <w:p>
      <w:pPr>
        <w:pStyle w:val="BodyText"/>
        <w:rPr>
          <w:sz w:val="20"/>
        </w:rPr>
      </w:pPr>
    </w:p>
    <w:p>
      <w:pPr>
        <w:pStyle w:val="BodyText"/>
        <w:spacing w:before="6"/>
        <w:rPr>
          <w:sz w:val="21"/>
        </w:rPr>
      </w:pPr>
    </w:p>
    <w:p>
      <w:pPr>
        <w:pStyle w:val="BodyText"/>
        <w:spacing w:before="106"/>
        <w:ind w:left="879"/>
        <w:jc w:val="both"/>
      </w:pPr>
      <w:r>
        <w:rPr>
          <w:b/>
        </w:rPr>
        <w:t>Table</w:t>
      </w:r>
      <w:r>
        <w:rPr>
          <w:b/>
          <w:spacing w:val="-10"/>
        </w:rPr>
        <w:t> </w:t>
      </w:r>
      <w:r>
        <w:rPr>
          <w:b/>
        </w:rPr>
        <w:t>5.2:</w:t>
      </w:r>
      <w:r>
        <w:rPr>
          <w:b/>
          <w:spacing w:val="4"/>
        </w:rPr>
        <w:t> </w:t>
      </w:r>
      <w:r>
        <w:rPr/>
        <w:t>Preprocessing</w:t>
      </w:r>
      <w:r>
        <w:rPr>
          <w:spacing w:val="-10"/>
        </w:rPr>
        <w:t> </w:t>
      </w:r>
      <w:r>
        <w:rPr/>
        <w:t>categories</w:t>
      </w:r>
      <w:r>
        <w:rPr>
          <w:spacing w:val="-9"/>
        </w:rPr>
        <w:t> </w:t>
      </w:r>
      <w:r>
        <w:rPr/>
        <w:t>and</w:t>
      </w:r>
      <w:r>
        <w:rPr>
          <w:spacing w:val="-9"/>
        </w:rPr>
        <w:t> </w:t>
      </w:r>
      <w:r>
        <w:rPr/>
        <w:t>actions</w:t>
      </w:r>
      <w:r>
        <w:rPr>
          <w:spacing w:val="-10"/>
        </w:rPr>
        <w:t> </w:t>
      </w:r>
      <w:r>
        <w:rPr/>
        <w:t>included</w:t>
      </w:r>
      <w:r>
        <w:rPr>
          <w:spacing w:val="-9"/>
        </w:rPr>
        <w:t> </w:t>
      </w:r>
      <w:r>
        <w:rPr/>
        <w:t>within</w:t>
      </w:r>
      <w:r>
        <w:rPr>
          <w:spacing w:val="-9"/>
        </w:rPr>
        <w:t> </w:t>
      </w:r>
      <w:r>
        <w:rPr/>
        <w:t>them</w:t>
      </w:r>
      <w:r>
        <w:rPr>
          <w:spacing w:val="-9"/>
        </w:rPr>
        <w:t> </w:t>
      </w:r>
      <w:r>
        <w:rPr/>
        <w:t>in</w:t>
      </w:r>
      <w:r>
        <w:rPr>
          <w:spacing w:val="-10"/>
        </w:rPr>
        <w:t> </w:t>
      </w:r>
      <w:r>
        <w:rPr/>
        <w:t>this</w:t>
      </w:r>
      <w:r>
        <w:rPr>
          <w:spacing w:val="-9"/>
        </w:rPr>
        <w:t> </w:t>
      </w:r>
      <w:r>
        <w:rPr>
          <w:spacing w:val="-2"/>
        </w:rPr>
        <w:t>study</w:t>
      </w:r>
    </w:p>
    <w:p>
      <w:pPr>
        <w:pStyle w:val="BodyText"/>
        <w:spacing w:before="3"/>
        <w:rPr>
          <w:sz w:val="18"/>
        </w:rPr>
      </w:pPr>
      <w:r>
        <w:rPr/>
        <w:pict>
          <v:shape style="position:absolute;margin-left:123.821999pt;margin-top:11.921174pt;width:406.6pt;height:.1pt;mso-position-horizontal-relative:page;mso-position-vertical-relative:paragraph;z-index:-15670784;mso-wrap-distance-left:0;mso-wrap-distance-right:0" id="docshape133" coordorigin="2476,238" coordsize="8132,0" path="m2476,238l5267,238m2476,238l10608,238e" filled="false" stroked="true" strokeweight=".398pt" strokecolor="#000000">
            <v:path arrowok="t"/>
            <v:stroke dashstyle="solid"/>
            <w10:wrap type="topAndBottom"/>
          </v:shape>
        </w:pict>
      </w:r>
    </w:p>
    <w:p>
      <w:pPr>
        <w:pStyle w:val="BodyText"/>
        <w:tabs>
          <w:tab w:pos="3706" w:val="left" w:leader="none"/>
        </w:tabs>
        <w:spacing w:before="27" w:after="56"/>
        <w:ind w:left="916"/>
        <w:jc w:val="both"/>
      </w:pPr>
      <w:r>
        <w:rPr>
          <w:spacing w:val="-2"/>
        </w:rPr>
        <w:t>Category</w:t>
      </w:r>
      <w:r>
        <w:rPr/>
        <w:tab/>
      </w:r>
      <w:r>
        <w:rPr>
          <w:spacing w:val="-2"/>
        </w:rPr>
        <w:t>Events</w:t>
      </w:r>
    </w:p>
    <w:p>
      <w:pPr>
        <w:pStyle w:val="BodyText"/>
        <w:spacing w:line="20" w:lineRule="exact"/>
        <w:ind w:left="792"/>
        <w:rPr>
          <w:sz w:val="2"/>
        </w:rPr>
      </w:pPr>
      <w:r>
        <w:rPr>
          <w:sz w:val="2"/>
        </w:rPr>
        <w:pict>
          <v:group style="width:406.6pt;height:.4pt;mso-position-horizontal-relative:char;mso-position-vertical-relative:line" id="docshapegroup134" coordorigin="0,0" coordsize="8132,8">
            <v:shape style="position:absolute;left:0;top:3;width:8132;height:2" id="docshape135" coordorigin="0,4" coordsize="8132,0" path="m0,4l8132,4m0,4l8132,4e" filled="false" stroked="true" strokeweight=".398pt" strokecolor="#000000">
              <v:path arrowok="t"/>
              <v:stroke dashstyle="solid"/>
            </v:shape>
          </v:group>
        </w:pict>
      </w:r>
      <w:r>
        <w:rPr>
          <w:sz w:val="2"/>
        </w:rPr>
      </w:r>
    </w:p>
    <w:p>
      <w:pPr>
        <w:pStyle w:val="BodyText"/>
        <w:tabs>
          <w:tab w:pos="3706" w:val="left" w:leader="none"/>
        </w:tabs>
        <w:spacing w:before="15"/>
        <w:ind w:left="916"/>
        <w:jc w:val="both"/>
      </w:pPr>
      <w:r>
        <w:rPr/>
        <w:t>Auxiliary</w:t>
      </w:r>
      <w:r>
        <w:rPr>
          <w:spacing w:val="-11"/>
        </w:rPr>
        <w:t> </w:t>
      </w:r>
      <w:r>
        <w:rPr>
          <w:spacing w:val="-2"/>
        </w:rPr>
        <w:t>Information</w:t>
      </w:r>
      <w:r>
        <w:rPr/>
        <w:tab/>
        <w:t>Front</w:t>
      </w:r>
      <w:r>
        <w:rPr>
          <w:spacing w:val="-4"/>
        </w:rPr>
        <w:t> </w:t>
      </w:r>
      <w:r>
        <w:rPr/>
        <w:t>Marker,</w:t>
      </w:r>
      <w:r>
        <w:rPr>
          <w:spacing w:val="-1"/>
        </w:rPr>
        <w:t> </w:t>
      </w:r>
      <w:r>
        <w:rPr/>
        <w:t>Back</w:t>
      </w:r>
      <w:r>
        <w:rPr>
          <w:spacing w:val="-3"/>
        </w:rPr>
        <w:t> </w:t>
      </w:r>
      <w:r>
        <w:rPr/>
        <w:t>Marker,</w:t>
      </w:r>
      <w:r>
        <w:rPr>
          <w:spacing w:val="-1"/>
        </w:rPr>
        <w:t> </w:t>
      </w:r>
      <w:r>
        <w:rPr/>
        <w:t>Video</w:t>
      </w:r>
      <w:r>
        <w:rPr>
          <w:spacing w:val="-4"/>
        </w:rPr>
        <w:t> </w:t>
      </w:r>
      <w:r>
        <w:rPr/>
        <w:t>Ref,</w:t>
      </w:r>
      <w:r>
        <w:rPr>
          <w:spacing w:val="-1"/>
        </w:rPr>
        <w:t> </w:t>
      </w:r>
      <w:r>
        <w:rPr>
          <w:spacing w:val="-2"/>
        </w:rPr>
        <w:t>Interchange,</w:t>
      </w:r>
    </w:p>
    <w:p>
      <w:pPr>
        <w:pStyle w:val="BodyText"/>
        <w:spacing w:before="82"/>
        <w:ind w:left="3706"/>
        <w:jc w:val="both"/>
      </w:pPr>
      <w:r>
        <w:rPr/>
        <w:t>HIA,</w:t>
      </w:r>
      <w:r>
        <w:rPr>
          <w:spacing w:val="-6"/>
        </w:rPr>
        <w:t> </w:t>
      </w:r>
      <w:r>
        <w:rPr>
          <w:spacing w:val="-2"/>
        </w:rPr>
        <w:t>Stoppage</w:t>
      </w:r>
    </w:p>
    <w:p>
      <w:pPr>
        <w:pStyle w:val="BodyText"/>
        <w:tabs>
          <w:tab w:pos="3706" w:val="left" w:leader="none"/>
        </w:tabs>
        <w:spacing w:before="83"/>
        <w:ind w:left="916"/>
        <w:jc w:val="both"/>
      </w:pPr>
      <w:r>
        <w:rPr/>
        <w:t>Generic</w:t>
      </w:r>
      <w:r>
        <w:rPr>
          <w:spacing w:val="-9"/>
        </w:rPr>
        <w:t> </w:t>
      </w:r>
      <w:r>
        <w:rPr>
          <w:spacing w:val="-2"/>
        </w:rPr>
        <w:t>Descriptor</w:t>
      </w:r>
      <w:r>
        <w:rPr/>
        <w:tab/>
      </w:r>
      <w:r>
        <w:rPr>
          <w:spacing w:val="-2"/>
        </w:rPr>
        <w:t>Other</w:t>
      </w:r>
      <w:r>
        <w:rPr>
          <w:spacing w:val="-7"/>
        </w:rPr>
        <w:t> </w:t>
      </w:r>
      <w:r>
        <w:rPr>
          <w:spacing w:val="-2"/>
        </w:rPr>
        <w:t>Error,</w:t>
      </w:r>
      <w:r>
        <w:rPr>
          <w:spacing w:val="-6"/>
        </w:rPr>
        <w:t> </w:t>
      </w:r>
      <w:r>
        <w:rPr>
          <w:spacing w:val="-2"/>
        </w:rPr>
        <w:t>Try</w:t>
      </w:r>
      <w:r>
        <w:rPr>
          <w:spacing w:val="-7"/>
        </w:rPr>
        <w:t> </w:t>
      </w:r>
      <w:r>
        <w:rPr>
          <w:spacing w:val="-2"/>
        </w:rPr>
        <w:t>cause,</w:t>
      </w:r>
      <w:r>
        <w:rPr>
          <w:spacing w:val="-6"/>
        </w:rPr>
        <w:t> </w:t>
      </w:r>
      <w:r>
        <w:rPr>
          <w:spacing w:val="-2"/>
        </w:rPr>
        <w:t>Line</w:t>
      </w:r>
      <w:r>
        <w:rPr>
          <w:spacing w:val="-7"/>
        </w:rPr>
        <w:t> </w:t>
      </w:r>
      <w:r>
        <w:rPr>
          <w:spacing w:val="-2"/>
        </w:rPr>
        <w:t>Break</w:t>
      </w:r>
      <w:r>
        <w:rPr>
          <w:spacing w:val="-7"/>
        </w:rPr>
        <w:t> </w:t>
      </w:r>
      <w:r>
        <w:rPr>
          <w:spacing w:val="-2"/>
        </w:rPr>
        <w:t>Involvement,</w:t>
      </w:r>
      <w:r>
        <w:rPr>
          <w:spacing w:val="-6"/>
        </w:rPr>
        <w:t> </w:t>
      </w:r>
      <w:r>
        <w:rPr>
          <w:spacing w:val="-4"/>
        </w:rPr>
        <w:t>Line</w:t>
      </w:r>
    </w:p>
    <w:p>
      <w:pPr>
        <w:pStyle w:val="BodyText"/>
        <w:spacing w:line="312" w:lineRule="auto" w:before="82"/>
        <w:ind w:left="3706" w:right="694"/>
        <w:jc w:val="both"/>
      </w:pPr>
      <w:r>
        <w:rPr/>
        <w:t>Break</w:t>
      </w:r>
      <w:r>
        <w:rPr>
          <w:spacing w:val="-9"/>
        </w:rPr>
        <w:t> </w:t>
      </w:r>
      <w:r>
        <w:rPr/>
        <w:t>Assist,</w:t>
      </w:r>
      <w:r>
        <w:rPr>
          <w:spacing w:val="-8"/>
        </w:rPr>
        <w:t> </w:t>
      </w:r>
      <w:r>
        <w:rPr/>
        <w:t>Break</w:t>
      </w:r>
      <w:r>
        <w:rPr>
          <w:spacing w:val="-9"/>
        </w:rPr>
        <w:t> </w:t>
      </w:r>
      <w:r>
        <w:rPr/>
        <w:t>Cause,</w:t>
      </w:r>
      <w:r>
        <w:rPr>
          <w:spacing w:val="-8"/>
        </w:rPr>
        <w:t> </w:t>
      </w:r>
      <w:r>
        <w:rPr/>
        <w:t>Tackle</w:t>
      </w:r>
      <w:r>
        <w:rPr>
          <w:spacing w:val="-8"/>
        </w:rPr>
        <w:t> </w:t>
      </w:r>
      <w:r>
        <w:rPr/>
        <w:t>Break,</w:t>
      </w:r>
      <w:r>
        <w:rPr>
          <w:spacing w:val="-8"/>
        </w:rPr>
        <w:t> </w:t>
      </w:r>
      <w:r>
        <w:rPr/>
        <w:t>Opp</w:t>
      </w:r>
      <w:r>
        <w:rPr>
          <w:spacing w:val="-8"/>
        </w:rPr>
        <w:t> </w:t>
      </w:r>
      <w:r>
        <w:rPr/>
        <w:t>Error, Passing</w:t>
      </w:r>
      <w:r>
        <w:rPr>
          <w:spacing w:val="-9"/>
        </w:rPr>
        <w:t> </w:t>
      </w:r>
      <w:r>
        <w:rPr/>
        <w:t>Move,</w:t>
      </w:r>
      <w:r>
        <w:rPr>
          <w:spacing w:val="-8"/>
        </w:rPr>
        <w:t> </w:t>
      </w:r>
      <w:r>
        <w:rPr/>
        <w:t>Close</w:t>
      </w:r>
      <w:r>
        <w:rPr>
          <w:spacing w:val="-9"/>
        </w:rPr>
        <w:t> </w:t>
      </w:r>
      <w:r>
        <w:rPr/>
        <w:t>Range,</w:t>
      </w:r>
      <w:r>
        <w:rPr>
          <w:spacing w:val="-8"/>
        </w:rPr>
        <w:t> </w:t>
      </w:r>
      <w:r>
        <w:rPr/>
        <w:t>Error,</w:t>
      </w:r>
      <w:r>
        <w:rPr>
          <w:spacing w:val="-8"/>
        </w:rPr>
        <w:t> </w:t>
      </w:r>
      <w:r>
        <w:rPr/>
        <w:t>Try</w:t>
      </w:r>
      <w:r>
        <w:rPr>
          <w:spacing w:val="-9"/>
        </w:rPr>
        <w:t> </w:t>
      </w:r>
      <w:r>
        <w:rPr/>
        <w:t>Involvement, Long Range, Individual Effort, Other, Sin Bin Out, </w:t>
      </w:r>
      <w:r>
        <w:rPr>
          <w:spacing w:val="-2"/>
        </w:rPr>
        <w:t>Yellow,</w:t>
      </w:r>
      <w:r>
        <w:rPr>
          <w:spacing w:val="-9"/>
        </w:rPr>
        <w:t> </w:t>
      </w:r>
      <w:r>
        <w:rPr>
          <w:spacing w:val="-2"/>
        </w:rPr>
        <w:t>Sin</w:t>
      </w:r>
      <w:r>
        <w:rPr>
          <w:spacing w:val="-9"/>
        </w:rPr>
        <w:t> </w:t>
      </w:r>
      <w:r>
        <w:rPr>
          <w:spacing w:val="-2"/>
        </w:rPr>
        <w:t>Bin</w:t>
      </w:r>
      <w:r>
        <w:rPr>
          <w:spacing w:val="-9"/>
        </w:rPr>
        <w:t> </w:t>
      </w:r>
      <w:r>
        <w:rPr>
          <w:spacing w:val="-2"/>
        </w:rPr>
        <w:t>Return</w:t>
      </w:r>
      <w:r>
        <w:rPr>
          <w:spacing w:val="-9"/>
        </w:rPr>
        <w:t> </w:t>
      </w:r>
      <w:r>
        <w:rPr>
          <w:spacing w:val="-2"/>
        </w:rPr>
        <w:t>To</w:t>
      </w:r>
      <w:r>
        <w:rPr>
          <w:spacing w:val="-9"/>
        </w:rPr>
        <w:t> </w:t>
      </w:r>
      <w:r>
        <w:rPr>
          <w:spacing w:val="-2"/>
        </w:rPr>
        <w:t>Field,</w:t>
      </w:r>
      <w:r>
        <w:rPr>
          <w:spacing w:val="-9"/>
        </w:rPr>
        <w:t> </w:t>
      </w:r>
      <w:r>
        <w:rPr>
          <w:spacing w:val="-2"/>
        </w:rPr>
        <w:t>Grounding,</w:t>
      </w:r>
      <w:r>
        <w:rPr>
          <w:spacing w:val="-9"/>
        </w:rPr>
        <w:t> </w:t>
      </w:r>
      <w:r>
        <w:rPr>
          <w:spacing w:val="-2"/>
        </w:rPr>
        <w:t>Contest, </w:t>
      </w:r>
      <w:r>
        <w:rPr/>
        <w:t>Sent Off Out, Red, Touchline/Deadball, Onside, On </w:t>
      </w:r>
      <w:r>
        <w:rPr>
          <w:spacing w:val="-2"/>
        </w:rPr>
        <w:t>Report</w:t>
      </w:r>
    </w:p>
    <w:p>
      <w:pPr>
        <w:pStyle w:val="BodyText"/>
        <w:tabs>
          <w:tab w:pos="3706" w:val="left" w:leader="none"/>
        </w:tabs>
        <w:spacing w:line="312" w:lineRule="auto"/>
        <w:ind w:left="916" w:right="694"/>
        <w:jc w:val="both"/>
      </w:pPr>
      <w:r>
        <w:rPr/>
        <w:t>Restart Actions</w:t>
        <w:tab/>
        <w:t>50m Restart, Goal Line Drop Out, 20m Restart</w:t>
      </w:r>
      <w:r>
        <w:rPr>
          <w:spacing w:val="40"/>
        </w:rPr>
        <w:t> </w:t>
      </w:r>
      <w:r>
        <w:rPr/>
        <w:t>Move</w:t>
      </w:r>
      <w:r>
        <w:rPr>
          <w:spacing w:val="-15"/>
        </w:rPr>
        <w:t> </w:t>
      </w:r>
      <w:r>
        <w:rPr>
          <w:spacing w:val="-4"/>
        </w:rPr>
        <w:t>Self</w:t>
      </w:r>
      <w:r>
        <w:rPr/>
        <w:tab/>
        <w:t>Restart</w:t>
      </w:r>
      <w:r>
        <w:rPr>
          <w:spacing w:val="12"/>
        </w:rPr>
        <w:t> </w:t>
      </w:r>
      <w:r>
        <w:rPr/>
        <w:t>Run,</w:t>
      </w:r>
      <w:r>
        <w:rPr>
          <w:spacing w:val="17"/>
        </w:rPr>
        <w:t> </w:t>
      </w:r>
      <w:r>
        <w:rPr/>
        <w:t>Evasion,</w:t>
      </w:r>
      <w:r>
        <w:rPr>
          <w:spacing w:val="17"/>
        </w:rPr>
        <w:t> </w:t>
      </w:r>
      <w:r>
        <w:rPr/>
        <w:t>Hitup,</w:t>
      </w:r>
      <w:r>
        <w:rPr>
          <w:spacing w:val="17"/>
        </w:rPr>
        <w:t> </w:t>
      </w:r>
      <w:r>
        <w:rPr/>
        <w:t>Kick</w:t>
      </w:r>
      <w:r>
        <w:rPr>
          <w:spacing w:val="12"/>
        </w:rPr>
        <w:t> </w:t>
      </w:r>
      <w:r>
        <w:rPr/>
        <w:t>Return,</w:t>
      </w:r>
      <w:r>
        <w:rPr>
          <w:spacing w:val="17"/>
        </w:rPr>
        <w:t> </w:t>
      </w:r>
      <w:r>
        <w:rPr/>
        <w:t>Line</w:t>
      </w:r>
      <w:r>
        <w:rPr>
          <w:spacing w:val="13"/>
        </w:rPr>
        <w:t> </w:t>
      </w:r>
      <w:r>
        <w:rPr>
          <w:spacing w:val="-5"/>
        </w:rPr>
        <w:t>En-</w:t>
      </w:r>
    </w:p>
    <w:p>
      <w:pPr>
        <w:pStyle w:val="BodyText"/>
        <w:spacing w:line="312" w:lineRule="auto"/>
        <w:ind w:left="3706" w:right="694"/>
        <w:jc w:val="both"/>
      </w:pPr>
      <w:r>
        <w:rPr/>
        <w:t>gaged, Ruck Run, Dummy Half, Run, Line Not </w:t>
      </w:r>
      <w:r>
        <w:rPr/>
        <w:t>En- </w:t>
      </w:r>
      <w:r>
        <w:rPr>
          <w:spacing w:val="-2"/>
        </w:rPr>
        <w:t>gaged</w:t>
      </w:r>
    </w:p>
    <w:p>
      <w:pPr>
        <w:pStyle w:val="BodyText"/>
        <w:tabs>
          <w:tab w:pos="3706" w:val="left" w:leader="none"/>
        </w:tabs>
        <w:spacing w:line="312" w:lineRule="auto"/>
        <w:ind w:left="3706" w:right="694" w:hanging="2791"/>
        <w:jc w:val="both"/>
      </w:pPr>
      <w:r>
        <w:rPr/>
        <w:t>Move Team</w:t>
        <w:tab/>
        <w:t>Complete, Short - Crossfield, Short - Grubber, </w:t>
      </w:r>
      <w:r>
        <w:rPr/>
        <w:t>Own Player, Break, Short - Banana, To Ground, Short - Bomb, Short - Chip, Try</w:t>
      </w:r>
    </w:p>
    <w:p>
      <w:pPr>
        <w:pStyle w:val="BodyText"/>
        <w:tabs>
          <w:tab w:pos="3706" w:val="left" w:leader="none"/>
        </w:tabs>
        <w:spacing w:line="275" w:lineRule="exact"/>
        <w:ind w:left="916"/>
        <w:jc w:val="both"/>
      </w:pPr>
      <w:r>
        <w:rPr/>
        <w:t>Kick</w:t>
      </w:r>
      <w:r>
        <w:rPr>
          <w:spacing w:val="-6"/>
        </w:rPr>
        <w:t> </w:t>
      </w:r>
      <w:r>
        <w:rPr>
          <w:spacing w:val="-4"/>
        </w:rPr>
        <w:t>Goal</w:t>
      </w:r>
      <w:r>
        <w:rPr/>
        <w:tab/>
        <w:t>Conversion,</w:t>
      </w:r>
      <w:r>
        <w:rPr>
          <w:spacing w:val="-12"/>
        </w:rPr>
        <w:t> </w:t>
      </w:r>
      <w:r>
        <w:rPr/>
        <w:t>Penalty</w:t>
      </w:r>
      <w:r>
        <w:rPr>
          <w:spacing w:val="-12"/>
        </w:rPr>
        <w:t> </w:t>
      </w:r>
      <w:r>
        <w:rPr/>
        <w:t>Goal,</w:t>
      </w:r>
      <w:r>
        <w:rPr>
          <w:spacing w:val="-12"/>
        </w:rPr>
        <w:t> </w:t>
      </w:r>
      <w:r>
        <w:rPr/>
        <w:t>Field</w:t>
      </w:r>
      <w:r>
        <w:rPr>
          <w:spacing w:val="-12"/>
        </w:rPr>
        <w:t> </w:t>
      </w:r>
      <w:r>
        <w:rPr>
          <w:spacing w:val="-4"/>
        </w:rPr>
        <w:t>Goal</w:t>
      </w:r>
    </w:p>
    <w:p>
      <w:pPr>
        <w:pStyle w:val="BodyText"/>
        <w:tabs>
          <w:tab w:pos="3706" w:val="left" w:leader="none"/>
        </w:tabs>
        <w:spacing w:before="81"/>
        <w:ind w:left="916"/>
        <w:jc w:val="both"/>
      </w:pPr>
      <w:r>
        <w:rPr/>
        <w:t>Kick</w:t>
      </w:r>
      <w:r>
        <w:rPr>
          <w:spacing w:val="-6"/>
        </w:rPr>
        <w:t> </w:t>
      </w:r>
      <w:r>
        <w:rPr>
          <w:spacing w:val="-2"/>
        </w:rPr>
        <w:t>Position</w:t>
      </w:r>
      <w:r>
        <w:rPr/>
        <w:tab/>
        <w:t>Long</w:t>
      </w:r>
      <w:r>
        <w:rPr>
          <w:spacing w:val="-13"/>
        </w:rPr>
        <w:t> </w:t>
      </w:r>
      <w:r>
        <w:rPr/>
        <w:t>-</w:t>
      </w:r>
      <w:r>
        <w:rPr>
          <w:spacing w:val="-12"/>
        </w:rPr>
        <w:t> </w:t>
      </w:r>
      <w:r>
        <w:rPr/>
        <w:t>To</w:t>
      </w:r>
      <w:r>
        <w:rPr>
          <w:spacing w:val="-13"/>
        </w:rPr>
        <w:t> </w:t>
      </w:r>
      <w:r>
        <w:rPr/>
        <w:t>Opposition,</w:t>
      </w:r>
      <w:r>
        <w:rPr>
          <w:spacing w:val="-12"/>
        </w:rPr>
        <w:t> </w:t>
      </w:r>
      <w:r>
        <w:rPr/>
        <w:t>Good,</w:t>
      </w:r>
      <w:r>
        <w:rPr>
          <w:spacing w:val="-12"/>
        </w:rPr>
        <w:t> </w:t>
      </w:r>
      <w:r>
        <w:rPr/>
        <w:t>Long</w:t>
      </w:r>
      <w:r>
        <w:rPr>
          <w:spacing w:val="-13"/>
        </w:rPr>
        <w:t> </w:t>
      </w:r>
      <w:r>
        <w:rPr/>
        <w:t>-</w:t>
      </w:r>
      <w:r>
        <w:rPr>
          <w:spacing w:val="-12"/>
        </w:rPr>
        <w:t> </w:t>
      </w:r>
      <w:r>
        <w:rPr/>
        <w:t>To</w:t>
      </w:r>
      <w:r>
        <w:rPr>
          <w:spacing w:val="-13"/>
        </w:rPr>
        <w:t> </w:t>
      </w:r>
      <w:r>
        <w:rPr/>
        <w:t>Open,</w:t>
      </w:r>
      <w:r>
        <w:rPr>
          <w:spacing w:val="-12"/>
        </w:rPr>
        <w:t> </w:t>
      </w:r>
      <w:r>
        <w:rPr/>
        <w:t>Long</w:t>
      </w:r>
      <w:r>
        <w:rPr>
          <w:spacing w:val="-13"/>
        </w:rPr>
        <w:t> </w:t>
      </w:r>
      <w:r>
        <w:rPr>
          <w:spacing w:val="-10"/>
        </w:rPr>
        <w:t>-</w:t>
      </w:r>
    </w:p>
    <w:p>
      <w:pPr>
        <w:pStyle w:val="BodyText"/>
        <w:spacing w:before="82"/>
        <w:ind w:left="3706"/>
        <w:jc w:val="both"/>
      </w:pPr>
      <w:r>
        <w:rPr/>
        <w:t>40-20,</w:t>
      </w:r>
      <w:r>
        <w:rPr>
          <w:spacing w:val="-6"/>
        </w:rPr>
        <w:t> </w:t>
      </w:r>
      <w:r>
        <w:rPr/>
        <w:t>Long</w:t>
      </w:r>
      <w:r>
        <w:rPr>
          <w:spacing w:val="-5"/>
        </w:rPr>
        <w:t> </w:t>
      </w:r>
      <w:r>
        <w:rPr/>
        <w:t>-</w:t>
      </w:r>
      <w:r>
        <w:rPr>
          <w:spacing w:val="-5"/>
        </w:rPr>
        <w:t> </w:t>
      </w:r>
      <w:r>
        <w:rPr>
          <w:spacing w:val="-2"/>
        </w:rPr>
        <w:t>Touch</w:t>
      </w:r>
    </w:p>
    <w:p>
      <w:pPr>
        <w:pStyle w:val="BodyText"/>
        <w:tabs>
          <w:tab w:pos="3706" w:val="left" w:leader="none"/>
        </w:tabs>
        <w:spacing w:before="83"/>
        <w:ind w:left="916"/>
        <w:jc w:val="both"/>
      </w:pPr>
      <w:r>
        <w:rPr/>
        <w:t>Catch</w:t>
      </w:r>
      <w:r>
        <w:rPr>
          <w:spacing w:val="-7"/>
        </w:rPr>
        <w:t> </w:t>
      </w:r>
      <w:r>
        <w:rPr>
          <w:spacing w:val="-4"/>
        </w:rPr>
        <w:t>Pass</w:t>
      </w:r>
      <w:r>
        <w:rPr/>
        <w:tab/>
        <w:t>Simple</w:t>
      </w:r>
      <w:r>
        <w:rPr>
          <w:spacing w:val="-8"/>
        </w:rPr>
        <w:t> </w:t>
      </w:r>
      <w:r>
        <w:rPr/>
        <w:t>Receipt,</w:t>
      </w:r>
      <w:r>
        <w:rPr>
          <w:spacing w:val="-8"/>
        </w:rPr>
        <w:t> </w:t>
      </w:r>
      <w:r>
        <w:rPr/>
        <w:t>Jump</w:t>
      </w:r>
      <w:r>
        <w:rPr>
          <w:spacing w:val="-7"/>
        </w:rPr>
        <w:t> </w:t>
      </w:r>
      <w:r>
        <w:rPr>
          <w:spacing w:val="-2"/>
        </w:rPr>
        <w:t>Catch</w:t>
      </w:r>
    </w:p>
    <w:p>
      <w:pPr>
        <w:pStyle w:val="BodyText"/>
        <w:tabs>
          <w:tab w:pos="3706" w:val="left" w:leader="none"/>
        </w:tabs>
        <w:spacing w:before="82"/>
        <w:ind w:left="916"/>
        <w:jc w:val="both"/>
      </w:pPr>
      <w:r>
        <w:rPr/>
        <w:t>Catch</w:t>
      </w:r>
      <w:r>
        <w:rPr>
          <w:spacing w:val="-7"/>
        </w:rPr>
        <w:t> </w:t>
      </w:r>
      <w:r>
        <w:rPr>
          <w:spacing w:val="-4"/>
        </w:rPr>
        <w:t>Kick</w:t>
      </w:r>
      <w:r>
        <w:rPr/>
        <w:tab/>
        <w:t>Kick</w:t>
      </w:r>
      <w:r>
        <w:rPr>
          <w:spacing w:val="-8"/>
        </w:rPr>
        <w:t> </w:t>
      </w:r>
      <w:r>
        <w:rPr/>
        <w:t>Receipt,</w:t>
      </w:r>
      <w:r>
        <w:rPr>
          <w:spacing w:val="-7"/>
        </w:rPr>
        <w:t> </w:t>
      </w:r>
      <w:r>
        <w:rPr/>
        <w:t>Restart</w:t>
      </w:r>
      <w:r>
        <w:rPr>
          <w:spacing w:val="-8"/>
        </w:rPr>
        <w:t> </w:t>
      </w:r>
      <w:r>
        <w:rPr>
          <w:spacing w:val="-2"/>
        </w:rPr>
        <w:t>Receipt</w:t>
      </w:r>
    </w:p>
    <w:p>
      <w:pPr>
        <w:pStyle w:val="BodyText"/>
        <w:tabs>
          <w:tab w:pos="3706" w:val="left" w:leader="none"/>
        </w:tabs>
        <w:spacing w:line="312" w:lineRule="auto" w:before="83"/>
        <w:ind w:left="3706" w:right="694" w:hanging="2791"/>
        <w:jc w:val="both"/>
      </w:pPr>
      <w:r>
        <w:rPr/>
        <w:t>Loose Ball</w:t>
        <w:tab/>
        <w:t>Defensive Cleanup, Attacking Cleanup, </w:t>
      </w:r>
      <w:r>
        <w:rPr/>
        <w:t>Attempted Intercept, Contestable Cleanup, Interception</w:t>
      </w:r>
    </w:p>
    <w:p>
      <w:pPr>
        <w:pStyle w:val="BodyText"/>
        <w:tabs>
          <w:tab w:pos="3706" w:val="left" w:leader="none"/>
        </w:tabs>
        <w:spacing w:line="312" w:lineRule="auto"/>
        <w:ind w:left="3706" w:right="694" w:hanging="2791"/>
        <w:jc w:val="both"/>
      </w:pPr>
      <w:r>
        <w:rPr>
          <w:spacing w:val="-2"/>
        </w:rPr>
        <w:t>Tackle</w:t>
      </w:r>
      <w:r>
        <w:rPr/>
        <w:tab/>
        <w:t>Made,</w:t>
      </w:r>
      <w:r>
        <w:rPr>
          <w:spacing w:val="-2"/>
        </w:rPr>
        <w:t> </w:t>
      </w:r>
      <w:r>
        <w:rPr/>
        <w:t>Dominant,</w:t>
      </w:r>
      <w:r>
        <w:rPr>
          <w:spacing w:val="-2"/>
        </w:rPr>
        <w:t> </w:t>
      </w:r>
      <w:r>
        <w:rPr/>
        <w:t>Offload</w:t>
      </w:r>
      <w:r>
        <w:rPr>
          <w:spacing w:val="-4"/>
        </w:rPr>
        <w:t> </w:t>
      </w:r>
      <w:r>
        <w:rPr/>
        <w:t>To</w:t>
      </w:r>
      <w:r>
        <w:rPr>
          <w:spacing w:val="-4"/>
        </w:rPr>
        <w:t> </w:t>
      </w:r>
      <w:r>
        <w:rPr/>
        <w:t>Ground,</w:t>
      </w:r>
      <w:r>
        <w:rPr>
          <w:spacing w:val="-2"/>
        </w:rPr>
        <w:t> </w:t>
      </w:r>
      <w:r>
        <w:rPr/>
        <w:t>Turnover</w:t>
      </w:r>
      <w:r>
        <w:rPr>
          <w:spacing w:val="-4"/>
        </w:rPr>
        <w:t> </w:t>
      </w:r>
      <w:r>
        <w:rPr/>
        <w:t>Ball Split, Forced Within In Goal, Stolen, Turnover Into Touch, Offload</w:t>
      </w:r>
    </w:p>
    <w:p>
      <w:pPr>
        <w:pStyle w:val="BodyText"/>
        <w:tabs>
          <w:tab w:pos="3706" w:val="left" w:leader="none"/>
        </w:tabs>
        <w:spacing w:line="275" w:lineRule="exact"/>
        <w:ind w:left="916"/>
        <w:jc w:val="both"/>
      </w:pPr>
      <w:r>
        <w:rPr/>
        <w:t>Missed</w:t>
      </w:r>
      <w:r>
        <w:rPr>
          <w:spacing w:val="-8"/>
        </w:rPr>
        <w:t> </w:t>
      </w:r>
      <w:r>
        <w:rPr>
          <w:spacing w:val="-2"/>
        </w:rPr>
        <w:t>Tackle</w:t>
      </w:r>
      <w:r>
        <w:rPr/>
        <w:tab/>
        <w:t>Bumped</w:t>
      </w:r>
      <w:r>
        <w:rPr>
          <w:spacing w:val="65"/>
        </w:rPr>
        <w:t> </w:t>
      </w:r>
      <w:r>
        <w:rPr/>
        <w:t>Off,</w:t>
      </w:r>
      <w:r>
        <w:rPr>
          <w:spacing w:val="54"/>
          <w:w w:val="150"/>
        </w:rPr>
        <w:t> </w:t>
      </w:r>
      <w:r>
        <w:rPr/>
        <w:t>Stepped,</w:t>
      </w:r>
      <w:r>
        <w:rPr>
          <w:spacing w:val="53"/>
          <w:w w:val="150"/>
        </w:rPr>
        <w:t> </w:t>
      </w:r>
      <w:r>
        <w:rPr/>
        <w:t>Positional,</w:t>
      </w:r>
      <w:r>
        <w:rPr>
          <w:spacing w:val="54"/>
          <w:w w:val="150"/>
        </w:rPr>
        <w:t> </w:t>
      </w:r>
      <w:r>
        <w:rPr/>
        <w:t>Outpaced,</w:t>
      </w:r>
      <w:r>
        <w:rPr>
          <w:spacing w:val="53"/>
          <w:w w:val="150"/>
        </w:rPr>
        <w:t> </w:t>
      </w:r>
      <w:r>
        <w:rPr>
          <w:spacing w:val="-5"/>
        </w:rPr>
        <w:t>Try</w:t>
      </w:r>
    </w:p>
    <w:p>
      <w:pPr>
        <w:pStyle w:val="BodyText"/>
        <w:spacing w:before="82"/>
        <w:ind w:left="3706"/>
      </w:pPr>
      <w:r>
        <w:rPr>
          <w:spacing w:val="-2"/>
        </w:rPr>
        <w:t>Conceded</w:t>
      </w:r>
    </w:p>
    <w:p>
      <w:pPr>
        <w:pStyle w:val="BodyText"/>
        <w:tabs>
          <w:tab w:pos="3706" w:val="left" w:leader="none"/>
        </w:tabs>
        <w:spacing w:line="312" w:lineRule="auto" w:before="83"/>
        <w:ind w:left="3706" w:right="694" w:hanging="2791"/>
      </w:pPr>
      <w:r>
        <w:rPr/>
        <w:t>Run Action</w:t>
        <w:tab/>
        <w:t>Dummy Pass, Half Break, Line Break, Carried </w:t>
      </w:r>
      <w:r>
        <w:rPr/>
        <w:t>Dead Ball, Forced Into In Goal, Carried In Touch</w:t>
      </w:r>
    </w:p>
    <w:p>
      <w:pPr>
        <w:spacing w:after="0" w:line="312" w:lineRule="auto"/>
        <w:sectPr>
          <w:pgSz w:w="11910" w:h="16840"/>
          <w:pgMar w:header="1961" w:footer="1428" w:top="2280" w:bottom="1620" w:left="1680" w:right="720"/>
        </w:sectPr>
      </w:pPr>
    </w:p>
    <w:p>
      <w:pPr>
        <w:pStyle w:val="BodyText"/>
        <w:rPr>
          <w:sz w:val="20"/>
        </w:rPr>
      </w:pPr>
    </w:p>
    <w:p>
      <w:pPr>
        <w:pStyle w:val="BodyText"/>
        <w:spacing w:before="4"/>
        <w:rPr>
          <w:sz w:val="22"/>
        </w:rPr>
      </w:pPr>
    </w:p>
    <w:p>
      <w:pPr>
        <w:pStyle w:val="BodyText"/>
        <w:tabs>
          <w:tab w:pos="3706" w:val="left" w:leader="none"/>
        </w:tabs>
        <w:spacing w:before="97"/>
        <w:ind w:left="916"/>
      </w:pPr>
      <w:r>
        <w:rPr>
          <w:spacing w:val="-2"/>
        </w:rPr>
        <w:t>Play-The-</w:t>
      </w:r>
      <w:r>
        <w:rPr>
          <w:spacing w:val="-4"/>
        </w:rPr>
        <w:t>Ball</w:t>
      </w:r>
      <w:r>
        <w:rPr/>
        <w:tab/>
      </w:r>
      <w:r>
        <w:rPr>
          <w:spacing w:val="-2"/>
        </w:rPr>
        <w:t>Lost,</w:t>
      </w:r>
      <w:r>
        <w:rPr>
          <w:spacing w:val="-8"/>
        </w:rPr>
        <w:t> </w:t>
      </w:r>
      <w:r>
        <w:rPr>
          <w:spacing w:val="-2"/>
        </w:rPr>
        <w:t>Won,</w:t>
      </w:r>
      <w:r>
        <w:rPr>
          <w:spacing w:val="-7"/>
        </w:rPr>
        <w:t> </w:t>
      </w:r>
      <w:r>
        <w:rPr>
          <w:spacing w:val="-2"/>
        </w:rPr>
        <w:t>Interrupted</w:t>
      </w:r>
    </w:p>
    <w:p>
      <w:pPr>
        <w:pStyle w:val="BodyText"/>
        <w:tabs>
          <w:tab w:pos="3706" w:val="left" w:leader="none"/>
        </w:tabs>
        <w:spacing w:before="82"/>
        <w:ind w:left="916"/>
      </w:pPr>
      <w:r>
        <w:rPr/>
        <w:t>Attacking</w:t>
      </w:r>
      <w:r>
        <w:rPr>
          <w:spacing w:val="-11"/>
        </w:rPr>
        <w:t> </w:t>
      </w:r>
      <w:r>
        <w:rPr>
          <w:spacing w:val="-2"/>
        </w:rPr>
        <w:t>Descriptor</w:t>
      </w:r>
      <w:r>
        <w:rPr/>
        <w:tab/>
        <w:t>Kick</w:t>
      </w:r>
      <w:r>
        <w:rPr>
          <w:spacing w:val="71"/>
        </w:rPr>
        <w:t> </w:t>
      </w:r>
      <w:r>
        <w:rPr/>
        <w:t>Line</w:t>
      </w:r>
      <w:r>
        <w:rPr>
          <w:spacing w:val="72"/>
        </w:rPr>
        <w:t> </w:t>
      </w:r>
      <w:r>
        <w:rPr/>
        <w:t>Break,</w:t>
      </w:r>
      <w:r>
        <w:rPr>
          <w:spacing w:val="60"/>
          <w:w w:val="150"/>
        </w:rPr>
        <w:t> </w:t>
      </w:r>
      <w:r>
        <w:rPr/>
        <w:t>Try</w:t>
      </w:r>
      <w:r>
        <w:rPr>
          <w:spacing w:val="72"/>
        </w:rPr>
        <w:t> </w:t>
      </w:r>
      <w:r>
        <w:rPr/>
        <w:t>Assist,</w:t>
      </w:r>
      <w:r>
        <w:rPr>
          <w:spacing w:val="60"/>
          <w:w w:val="150"/>
        </w:rPr>
        <w:t> </w:t>
      </w:r>
      <w:r>
        <w:rPr/>
        <w:t>From</w:t>
      </w:r>
      <w:r>
        <w:rPr>
          <w:spacing w:val="72"/>
        </w:rPr>
        <w:t> </w:t>
      </w:r>
      <w:r>
        <w:rPr/>
        <w:t>Kick,</w:t>
      </w:r>
      <w:r>
        <w:rPr>
          <w:spacing w:val="61"/>
          <w:w w:val="150"/>
        </w:rPr>
        <w:t> </w:t>
      </w:r>
      <w:r>
        <w:rPr>
          <w:spacing w:val="-4"/>
        </w:rPr>
        <w:t>From</w:t>
      </w:r>
    </w:p>
    <w:p>
      <w:pPr>
        <w:pStyle w:val="BodyText"/>
        <w:tabs>
          <w:tab w:pos="3706" w:val="left" w:leader="none"/>
        </w:tabs>
        <w:spacing w:line="312" w:lineRule="auto" w:before="83"/>
        <w:ind w:left="916" w:right="3959" w:firstLine="2790"/>
      </w:pPr>
      <w:r>
        <w:rPr/>
        <w:t>Penalty,</w:t>
      </w:r>
      <w:r>
        <w:rPr>
          <w:spacing w:val="-15"/>
        </w:rPr>
        <w:t> </w:t>
      </w:r>
      <w:r>
        <w:rPr/>
        <w:t>From</w:t>
      </w:r>
      <w:r>
        <w:rPr>
          <w:spacing w:val="-15"/>
        </w:rPr>
        <w:t> </w:t>
      </w:r>
      <w:r>
        <w:rPr/>
        <w:t>Line Defensive Descriptor</w:t>
        <w:tab/>
        <w:t>Kick Pressure</w:t>
      </w:r>
    </w:p>
    <w:p>
      <w:pPr>
        <w:pStyle w:val="BodyText"/>
        <w:tabs>
          <w:tab w:pos="3706" w:val="left" w:leader="none"/>
        </w:tabs>
        <w:spacing w:line="312" w:lineRule="auto"/>
        <w:ind w:left="916" w:right="694"/>
      </w:pPr>
      <w:r>
        <w:rPr/>
        <w:t>Move Self Error</w:t>
        <w:tab/>
        <w:t>Dropped</w:t>
      </w:r>
      <w:r>
        <w:rPr>
          <w:spacing w:val="-13"/>
        </w:rPr>
        <w:t> </w:t>
      </w:r>
      <w:r>
        <w:rPr/>
        <w:t>Ball</w:t>
      </w:r>
      <w:r>
        <w:rPr>
          <w:spacing w:val="-13"/>
        </w:rPr>
        <w:t> </w:t>
      </w:r>
      <w:r>
        <w:rPr/>
        <w:t>Unforced,</w:t>
      </w:r>
      <w:r>
        <w:rPr>
          <w:spacing w:val="-12"/>
        </w:rPr>
        <w:t> </w:t>
      </w:r>
      <w:r>
        <w:rPr/>
        <w:t>Ball</w:t>
      </w:r>
      <w:r>
        <w:rPr>
          <w:spacing w:val="-13"/>
        </w:rPr>
        <w:t> </w:t>
      </w:r>
      <w:r>
        <w:rPr/>
        <w:t>Jolted,</w:t>
      </w:r>
      <w:r>
        <w:rPr>
          <w:spacing w:val="-12"/>
        </w:rPr>
        <w:t> </w:t>
      </w:r>
      <w:r>
        <w:rPr/>
        <w:t>Lost</w:t>
      </w:r>
      <w:r>
        <w:rPr>
          <w:spacing w:val="-13"/>
        </w:rPr>
        <w:t> </w:t>
      </w:r>
      <w:r>
        <w:rPr/>
        <w:t>Ball</w:t>
      </w:r>
      <w:r>
        <w:rPr>
          <w:spacing w:val="-13"/>
        </w:rPr>
        <w:t> </w:t>
      </w:r>
      <w:r>
        <w:rPr/>
        <w:t>Forced </w:t>
      </w:r>
      <w:r>
        <w:rPr>
          <w:spacing w:val="-2"/>
        </w:rPr>
        <w:t>Move</w:t>
      </w:r>
      <w:r>
        <w:rPr>
          <w:spacing w:val="-12"/>
        </w:rPr>
        <w:t> </w:t>
      </w:r>
      <w:r>
        <w:rPr>
          <w:spacing w:val="-2"/>
        </w:rPr>
        <w:t>Team</w:t>
      </w:r>
      <w:r>
        <w:rPr>
          <w:spacing w:val="-11"/>
        </w:rPr>
        <w:t> </w:t>
      </w:r>
      <w:r>
        <w:rPr>
          <w:spacing w:val="-2"/>
        </w:rPr>
        <w:t>Error</w:t>
      </w:r>
      <w:r>
        <w:rPr/>
        <w:tab/>
        <w:t>Not</w:t>
      </w:r>
      <w:r>
        <w:rPr>
          <w:spacing w:val="-14"/>
        </w:rPr>
        <w:t> </w:t>
      </w:r>
      <w:r>
        <w:rPr/>
        <w:t>Out,</w:t>
      </w:r>
      <w:r>
        <w:rPr>
          <w:spacing w:val="-14"/>
        </w:rPr>
        <w:t> </w:t>
      </w:r>
      <w:r>
        <w:rPr/>
        <w:t>Failure</w:t>
      </w:r>
      <w:r>
        <w:rPr>
          <w:spacing w:val="-13"/>
        </w:rPr>
        <w:t> </w:t>
      </w:r>
      <w:r>
        <w:rPr/>
        <w:t>To</w:t>
      </w:r>
      <w:r>
        <w:rPr>
          <w:spacing w:val="-14"/>
        </w:rPr>
        <w:t> </w:t>
      </w:r>
      <w:r>
        <w:rPr/>
        <w:t>Find</w:t>
      </w:r>
      <w:r>
        <w:rPr>
          <w:spacing w:val="-14"/>
        </w:rPr>
        <w:t> </w:t>
      </w:r>
      <w:r>
        <w:rPr/>
        <w:t>Touch,</w:t>
      </w:r>
      <w:r>
        <w:rPr>
          <w:spacing w:val="-13"/>
        </w:rPr>
        <w:t> </w:t>
      </w:r>
      <w:r>
        <w:rPr/>
        <w:t>Incomplete,</w:t>
      </w:r>
      <w:r>
        <w:rPr>
          <w:spacing w:val="-14"/>
        </w:rPr>
        <w:t> </w:t>
      </w:r>
      <w:r>
        <w:rPr/>
        <w:t>Off</w:t>
      </w:r>
      <w:r>
        <w:rPr>
          <w:spacing w:val="-14"/>
        </w:rPr>
        <w:t> </w:t>
      </w:r>
      <w:r>
        <w:rPr>
          <w:spacing w:val="-4"/>
        </w:rPr>
        <w:t>Tar-</w:t>
      </w:r>
    </w:p>
    <w:p>
      <w:pPr>
        <w:pStyle w:val="BodyText"/>
        <w:spacing w:line="312" w:lineRule="auto"/>
        <w:ind w:left="3706" w:right="644"/>
      </w:pPr>
      <w:r>
        <w:rPr/>
        <w:t>get,</w:t>
      </w:r>
      <w:r>
        <w:rPr>
          <w:spacing w:val="-15"/>
        </w:rPr>
        <w:t> </w:t>
      </w:r>
      <w:r>
        <w:rPr/>
        <w:t>Forward</w:t>
      </w:r>
      <w:r>
        <w:rPr>
          <w:spacing w:val="-15"/>
        </w:rPr>
        <w:t> </w:t>
      </w:r>
      <w:r>
        <w:rPr/>
        <w:t>Pass,</w:t>
      </w:r>
      <w:r>
        <w:rPr>
          <w:spacing w:val="-14"/>
        </w:rPr>
        <w:t> </w:t>
      </w:r>
      <w:r>
        <w:rPr/>
        <w:t>Forward,</w:t>
      </w:r>
      <w:r>
        <w:rPr>
          <w:spacing w:val="-15"/>
        </w:rPr>
        <w:t> </w:t>
      </w:r>
      <w:r>
        <w:rPr/>
        <w:t>Kick</w:t>
      </w:r>
      <w:r>
        <w:rPr>
          <w:spacing w:val="-15"/>
        </w:rPr>
        <w:t> </w:t>
      </w:r>
      <w:r>
        <w:rPr/>
        <w:t>Error,</w:t>
      </w:r>
      <w:r>
        <w:rPr>
          <w:spacing w:val="-14"/>
        </w:rPr>
        <w:t> </w:t>
      </w:r>
      <w:r>
        <w:rPr/>
        <w:t>Bad</w:t>
      </w:r>
      <w:r>
        <w:rPr>
          <w:spacing w:val="-15"/>
        </w:rPr>
        <w:t> </w:t>
      </w:r>
      <w:r>
        <w:rPr/>
        <w:t>Offload, To Opposition, Bad Pass, PTB Fumble, Intercepted</w:t>
      </w:r>
    </w:p>
    <w:p>
      <w:pPr>
        <w:pStyle w:val="BodyText"/>
        <w:tabs>
          <w:tab w:pos="3706" w:val="left" w:leader="none"/>
        </w:tabs>
        <w:spacing w:line="276" w:lineRule="exact"/>
        <w:ind w:left="916"/>
      </w:pPr>
      <w:r>
        <w:rPr/>
        <w:t>Catch</w:t>
      </w:r>
      <w:r>
        <w:rPr>
          <w:spacing w:val="-7"/>
        </w:rPr>
        <w:t> </w:t>
      </w:r>
      <w:r>
        <w:rPr>
          <w:spacing w:val="-2"/>
        </w:rPr>
        <w:t>Error</w:t>
      </w:r>
      <w:r>
        <w:rPr/>
        <w:tab/>
        <w:t>Accidental</w:t>
      </w:r>
      <w:r>
        <w:rPr>
          <w:spacing w:val="-8"/>
        </w:rPr>
        <w:t> </w:t>
      </w:r>
      <w:r>
        <w:rPr/>
        <w:t>Knock</w:t>
      </w:r>
      <w:r>
        <w:rPr>
          <w:spacing w:val="-8"/>
        </w:rPr>
        <w:t> </w:t>
      </w:r>
      <w:r>
        <w:rPr/>
        <w:t>On,</w:t>
      </w:r>
      <w:r>
        <w:rPr>
          <w:spacing w:val="-8"/>
        </w:rPr>
        <w:t> </w:t>
      </w:r>
      <w:r>
        <w:rPr>
          <w:spacing w:val="-2"/>
        </w:rPr>
        <w:t>Falcon</w:t>
      </w:r>
    </w:p>
    <w:p>
      <w:pPr>
        <w:pStyle w:val="BodyText"/>
        <w:tabs>
          <w:tab w:pos="3706" w:val="left" w:leader="none"/>
        </w:tabs>
        <w:spacing w:before="81"/>
        <w:ind w:left="916"/>
      </w:pPr>
      <w:r>
        <w:rPr/>
        <w:t>Penalty</w:t>
      </w:r>
      <w:r>
        <w:rPr>
          <w:spacing w:val="-9"/>
        </w:rPr>
        <w:t> </w:t>
      </w:r>
      <w:r>
        <w:rPr>
          <w:spacing w:val="-2"/>
        </w:rPr>
        <w:t>Conceded</w:t>
      </w:r>
      <w:r>
        <w:rPr/>
        <w:tab/>
        <w:t>Defence,</w:t>
      </w:r>
      <w:r>
        <w:rPr>
          <w:spacing w:val="-10"/>
        </w:rPr>
        <w:t> </w:t>
      </w:r>
      <w:r>
        <w:rPr/>
        <w:t>Penalty,</w:t>
      </w:r>
      <w:r>
        <w:rPr>
          <w:spacing w:val="-9"/>
        </w:rPr>
        <w:t> </w:t>
      </w:r>
      <w:r>
        <w:rPr/>
        <w:t>Inside</w:t>
      </w:r>
      <w:r>
        <w:rPr>
          <w:spacing w:val="-9"/>
        </w:rPr>
        <w:t> </w:t>
      </w:r>
      <w:r>
        <w:rPr/>
        <w:t>10m,</w:t>
      </w:r>
      <w:r>
        <w:rPr>
          <w:spacing w:val="-9"/>
        </w:rPr>
        <w:t> </w:t>
      </w:r>
      <w:r>
        <w:rPr/>
        <w:t>Attack,</w:t>
      </w:r>
      <w:r>
        <w:rPr>
          <w:spacing w:val="-9"/>
        </w:rPr>
        <w:t> </w:t>
      </w:r>
      <w:r>
        <w:rPr/>
        <w:t>Ruck</w:t>
      </w:r>
      <w:r>
        <w:rPr>
          <w:spacing w:val="-10"/>
        </w:rPr>
        <w:t> </w:t>
      </w:r>
      <w:r>
        <w:rPr>
          <w:spacing w:val="-2"/>
        </w:rPr>
        <w:t>Infringe-</w:t>
      </w:r>
    </w:p>
    <w:p>
      <w:pPr>
        <w:pStyle w:val="BodyText"/>
        <w:tabs>
          <w:tab w:pos="3706" w:val="left" w:leader="none"/>
        </w:tabs>
        <w:spacing w:line="312" w:lineRule="auto" w:before="83"/>
        <w:ind w:left="916" w:right="694" w:firstLine="2790"/>
      </w:pPr>
      <w:r>
        <w:rPr/>
        <w:t>ment, Foul Play, Double Movement, Obstruction Defensive Play</w:t>
        <w:tab/>
        <w:t>Flop,</w:t>
      </w:r>
      <w:r>
        <w:rPr>
          <w:spacing w:val="80"/>
        </w:rPr>
        <w:t> </w:t>
      </w:r>
      <w:r>
        <w:rPr/>
        <w:t>Kick</w:t>
      </w:r>
      <w:r>
        <w:rPr>
          <w:spacing w:val="74"/>
        </w:rPr>
        <w:t> </w:t>
      </w:r>
      <w:r>
        <w:rPr/>
        <w:t>Not</w:t>
      </w:r>
      <w:r>
        <w:rPr>
          <w:spacing w:val="74"/>
        </w:rPr>
        <w:t> </w:t>
      </w:r>
      <w:r>
        <w:rPr/>
        <w:t>Defused,</w:t>
      </w:r>
      <w:r>
        <w:rPr>
          <w:spacing w:val="80"/>
        </w:rPr>
        <w:t> </w:t>
      </w:r>
      <w:r>
        <w:rPr/>
        <w:t>Kick</w:t>
      </w:r>
      <w:r>
        <w:rPr>
          <w:spacing w:val="74"/>
        </w:rPr>
        <w:t> </w:t>
      </w:r>
      <w:r>
        <w:rPr/>
        <w:t>Defused,</w:t>
      </w:r>
      <w:r>
        <w:rPr>
          <w:spacing w:val="80"/>
        </w:rPr>
        <w:t> </w:t>
      </w:r>
      <w:r>
        <w:rPr/>
        <w:t>Charge</w:t>
      </w:r>
    </w:p>
    <w:p>
      <w:pPr>
        <w:pStyle w:val="BodyText"/>
        <w:spacing w:line="276" w:lineRule="exact"/>
        <w:ind w:left="3706"/>
      </w:pPr>
      <w:r>
        <w:rPr/>
        <w:t>Down,</w:t>
      </w:r>
      <w:r>
        <w:rPr>
          <w:spacing w:val="-13"/>
        </w:rPr>
        <w:t> </w:t>
      </w:r>
      <w:r>
        <w:rPr/>
        <w:t>Attempted</w:t>
      </w:r>
      <w:r>
        <w:rPr>
          <w:spacing w:val="-12"/>
        </w:rPr>
        <w:t> </w:t>
      </w:r>
      <w:r>
        <w:rPr>
          <w:spacing w:val="-2"/>
        </w:rPr>
        <w:t>Steal</w:t>
      </w:r>
    </w:p>
    <w:p>
      <w:pPr>
        <w:pStyle w:val="BodyText"/>
        <w:tabs>
          <w:tab w:pos="3706" w:val="left" w:leader="none"/>
        </w:tabs>
        <w:spacing w:before="83"/>
        <w:ind w:left="916"/>
      </w:pPr>
      <w:r>
        <w:rPr/>
        <w:t>Off</w:t>
      </w:r>
      <w:r>
        <w:rPr>
          <w:spacing w:val="-8"/>
        </w:rPr>
        <w:t> </w:t>
      </w:r>
      <w:r>
        <w:rPr/>
        <w:t>The</w:t>
      </w:r>
      <w:r>
        <w:rPr>
          <w:spacing w:val="-8"/>
        </w:rPr>
        <w:t> </w:t>
      </w:r>
      <w:r>
        <w:rPr>
          <w:spacing w:val="-4"/>
        </w:rPr>
        <w:t>Ball</w:t>
      </w:r>
      <w:r>
        <w:rPr/>
        <w:tab/>
        <w:t>Decoy,</w:t>
      </w:r>
      <w:r>
        <w:rPr>
          <w:spacing w:val="45"/>
        </w:rPr>
        <w:t> </w:t>
      </w:r>
      <w:r>
        <w:rPr/>
        <w:t>Support</w:t>
      </w:r>
      <w:r>
        <w:rPr>
          <w:spacing w:val="35"/>
        </w:rPr>
        <w:t> </w:t>
      </w:r>
      <w:r>
        <w:rPr/>
        <w:t>Run,</w:t>
      </w:r>
      <w:r>
        <w:rPr>
          <w:spacing w:val="46"/>
        </w:rPr>
        <w:t> </w:t>
      </w:r>
      <w:r>
        <w:rPr/>
        <w:t>Kick</w:t>
      </w:r>
      <w:r>
        <w:rPr>
          <w:spacing w:val="35"/>
        </w:rPr>
        <w:t> </w:t>
      </w:r>
      <w:r>
        <w:rPr/>
        <w:t>Shield,</w:t>
      </w:r>
      <w:r>
        <w:rPr>
          <w:spacing w:val="46"/>
        </w:rPr>
        <w:t> </w:t>
      </w:r>
      <w:r>
        <w:rPr/>
        <w:t>Kick</w:t>
      </w:r>
      <w:r>
        <w:rPr>
          <w:spacing w:val="35"/>
        </w:rPr>
        <w:t> </w:t>
      </w:r>
      <w:r>
        <w:rPr>
          <w:spacing w:val="-2"/>
        </w:rPr>
        <w:t>Shepherd,</w:t>
      </w:r>
    </w:p>
    <w:p>
      <w:pPr>
        <w:pStyle w:val="BodyText"/>
        <w:spacing w:before="82"/>
        <w:ind w:left="3706"/>
      </w:pPr>
      <w:r>
        <w:rPr/>
        <w:pict>
          <v:shape style="position:absolute;margin-left:123.821999pt;margin-top:20.880123pt;width:406.6pt;height:.1pt;mso-position-horizontal-relative:page;mso-position-vertical-relative:paragraph;z-index:-15669760;mso-wrap-distance-left:0;mso-wrap-distance-right:0" id="docshape136" coordorigin="2476,418" coordsize="8132,0" path="m2476,418l10608,418m2476,418l10608,418e" filled="false" stroked="true" strokeweight=".398pt" strokecolor="#000000">
            <v:path arrowok="t"/>
            <v:stroke dashstyle="solid"/>
            <w10:wrap type="topAndBottom"/>
          </v:shape>
        </w:pict>
      </w:r>
      <w:r>
        <w:rPr/>
        <w:t>Kick</w:t>
      </w:r>
      <w:r>
        <w:rPr>
          <w:spacing w:val="-6"/>
        </w:rPr>
        <w:t> </w:t>
      </w:r>
      <w:r>
        <w:rPr>
          <w:spacing w:val="-2"/>
        </w:rPr>
        <w:t>Chase</w:t>
      </w:r>
    </w:p>
    <w:p>
      <w:pPr>
        <w:pStyle w:val="BodyText"/>
        <w:rPr>
          <w:sz w:val="20"/>
        </w:rPr>
      </w:pPr>
    </w:p>
    <w:p>
      <w:pPr>
        <w:pStyle w:val="BodyText"/>
        <w:rPr>
          <w:sz w:val="20"/>
        </w:rPr>
      </w:pPr>
    </w:p>
    <w:p>
      <w:pPr>
        <w:pStyle w:val="BodyText"/>
        <w:spacing w:before="5"/>
        <w:rPr>
          <w:sz w:val="23"/>
        </w:rPr>
      </w:pPr>
    </w:p>
    <w:p>
      <w:pPr>
        <w:pStyle w:val="BodyText"/>
        <w:spacing w:line="312" w:lineRule="auto" w:before="97"/>
        <w:ind w:left="610" w:right="402" w:firstLine="351"/>
      </w:pPr>
      <w:r>
        <w:rPr/>
        <w:t>Although the type of action completed was not in itself important for this study, the information</w:t>
      </w:r>
      <w:r>
        <w:rPr>
          <w:spacing w:val="-1"/>
        </w:rPr>
        <w:t> </w:t>
      </w:r>
      <w:r>
        <w:rPr/>
        <w:t>it</w:t>
      </w:r>
      <w:r>
        <w:rPr>
          <w:spacing w:val="-1"/>
        </w:rPr>
        <w:t> </w:t>
      </w:r>
      <w:r>
        <w:rPr/>
        <w:t>provided was</w:t>
      </w:r>
      <w:r>
        <w:rPr>
          <w:spacing w:val="-1"/>
        </w:rPr>
        <w:t> </w:t>
      </w:r>
      <w:r>
        <w:rPr/>
        <w:t>important</w:t>
      </w:r>
      <w:r>
        <w:rPr>
          <w:spacing w:val="-1"/>
        </w:rPr>
        <w:t> </w:t>
      </w:r>
      <w:r>
        <w:rPr/>
        <w:t>for</w:t>
      </w:r>
      <w:r>
        <w:rPr>
          <w:spacing w:val="-1"/>
        </w:rPr>
        <w:t> </w:t>
      </w:r>
      <w:r>
        <w:rPr/>
        <w:t>the</w:t>
      </w:r>
      <w:r>
        <w:rPr>
          <w:spacing w:val="-1"/>
        </w:rPr>
        <w:t> </w:t>
      </w:r>
      <w:r>
        <w:rPr/>
        <w:t>purposes of</w:t>
      </w:r>
      <w:r>
        <w:rPr>
          <w:spacing w:val="-1"/>
        </w:rPr>
        <w:t> </w:t>
      </w:r>
      <w:r>
        <w:rPr/>
        <w:t>preprocessing.</w:t>
      </w:r>
      <w:r>
        <w:rPr>
          <w:spacing w:val="26"/>
        </w:rPr>
        <w:t> </w:t>
      </w:r>
      <w:r>
        <w:rPr/>
        <w:t>To prepare</w:t>
      </w:r>
      <w:r>
        <w:rPr>
          <w:spacing w:val="-1"/>
        </w:rPr>
        <w:t> </w:t>
      </w:r>
      <w:r>
        <w:rPr/>
        <w:t>the data for the analysis of the spatial trends of team attacking performances, only </w:t>
      </w:r>
      <w:r>
        <w:rPr/>
        <w:t>actions</w:t>
      </w:r>
      <w:r>
        <w:rPr>
          <w:spacing w:val="40"/>
        </w:rPr>
        <w:t> </w:t>
      </w:r>
      <w:r>
        <w:rPr/>
        <w:t>completed</w:t>
      </w:r>
      <w:r>
        <w:rPr>
          <w:spacing w:val="-3"/>
        </w:rPr>
        <w:t> </w:t>
      </w:r>
      <w:r>
        <w:rPr/>
        <w:t>by</w:t>
      </w:r>
      <w:r>
        <w:rPr>
          <w:spacing w:val="-4"/>
        </w:rPr>
        <w:t> </w:t>
      </w:r>
      <w:r>
        <w:rPr/>
        <w:t>the</w:t>
      </w:r>
      <w:r>
        <w:rPr>
          <w:spacing w:val="-3"/>
        </w:rPr>
        <w:t> </w:t>
      </w:r>
      <w:r>
        <w:rPr/>
        <w:t>team</w:t>
      </w:r>
      <w:r>
        <w:rPr>
          <w:spacing w:val="-4"/>
        </w:rPr>
        <w:t> </w:t>
      </w:r>
      <w:r>
        <w:rPr/>
        <w:t>in</w:t>
      </w:r>
      <w:r>
        <w:rPr>
          <w:spacing w:val="-3"/>
        </w:rPr>
        <w:t> </w:t>
      </w:r>
      <w:r>
        <w:rPr/>
        <w:t>possession</w:t>
      </w:r>
      <w:r>
        <w:rPr>
          <w:spacing w:val="-4"/>
        </w:rPr>
        <w:t> </w:t>
      </w:r>
      <w:r>
        <w:rPr/>
        <w:t>of</w:t>
      </w:r>
      <w:r>
        <w:rPr>
          <w:spacing w:val="-3"/>
        </w:rPr>
        <w:t> </w:t>
      </w:r>
      <w:r>
        <w:rPr/>
        <w:t>the</w:t>
      </w:r>
      <w:r>
        <w:rPr>
          <w:spacing w:val="-3"/>
        </w:rPr>
        <w:t> </w:t>
      </w:r>
      <w:r>
        <w:rPr/>
        <w:t>ball</w:t>
      </w:r>
      <w:r>
        <w:rPr>
          <w:spacing w:val="-4"/>
        </w:rPr>
        <w:t> </w:t>
      </w:r>
      <w:r>
        <w:rPr/>
        <w:t>were</w:t>
      </w:r>
      <w:r>
        <w:rPr>
          <w:spacing w:val="-3"/>
        </w:rPr>
        <w:t> </w:t>
      </w:r>
      <w:r>
        <w:rPr/>
        <w:t>required. In</w:t>
      </w:r>
      <w:r>
        <w:rPr>
          <w:spacing w:val="-4"/>
        </w:rPr>
        <w:t> </w:t>
      </w:r>
      <w:r>
        <w:rPr/>
        <w:t>order</w:t>
      </w:r>
      <w:r>
        <w:rPr>
          <w:spacing w:val="-3"/>
        </w:rPr>
        <w:t> </w:t>
      </w:r>
      <w:r>
        <w:rPr/>
        <w:t>to</w:t>
      </w:r>
      <w:r>
        <w:rPr>
          <w:spacing w:val="-4"/>
        </w:rPr>
        <w:t> </w:t>
      </w:r>
      <w:r>
        <w:rPr/>
        <w:t>prevent</w:t>
      </w:r>
      <w:r>
        <w:rPr>
          <w:spacing w:val="-3"/>
        </w:rPr>
        <w:t> </w:t>
      </w:r>
      <w:r>
        <w:rPr/>
        <w:t>multi- ple</w:t>
      </w:r>
      <w:r>
        <w:rPr>
          <w:spacing w:val="-2"/>
        </w:rPr>
        <w:t> </w:t>
      </w:r>
      <w:r>
        <w:rPr/>
        <w:t>codings</w:t>
      </w:r>
      <w:r>
        <w:rPr>
          <w:spacing w:val="-2"/>
        </w:rPr>
        <w:t> </w:t>
      </w:r>
      <w:r>
        <w:rPr/>
        <w:t>being</w:t>
      </w:r>
      <w:r>
        <w:rPr>
          <w:spacing w:val="-2"/>
        </w:rPr>
        <w:t> </w:t>
      </w:r>
      <w:r>
        <w:rPr/>
        <w:t>present</w:t>
      </w:r>
      <w:r>
        <w:rPr>
          <w:spacing w:val="-2"/>
        </w:rPr>
        <w:t> </w:t>
      </w:r>
      <w:r>
        <w:rPr/>
        <w:t>for</w:t>
      </w:r>
      <w:r>
        <w:rPr>
          <w:spacing w:val="-2"/>
        </w:rPr>
        <w:t> </w:t>
      </w:r>
      <w:r>
        <w:rPr/>
        <w:t>the</w:t>
      </w:r>
      <w:r>
        <w:rPr>
          <w:spacing w:val="-2"/>
        </w:rPr>
        <w:t> </w:t>
      </w:r>
      <w:r>
        <w:rPr/>
        <w:t>same</w:t>
      </w:r>
      <w:r>
        <w:rPr>
          <w:spacing w:val="-2"/>
        </w:rPr>
        <w:t> </w:t>
      </w:r>
      <w:r>
        <w:rPr/>
        <w:t>action,</w:t>
      </w:r>
      <w:r>
        <w:rPr>
          <w:spacing w:val="-1"/>
        </w:rPr>
        <w:t> </w:t>
      </w:r>
      <w:r>
        <w:rPr/>
        <w:t>a</w:t>
      </w:r>
      <w:r>
        <w:rPr>
          <w:spacing w:val="-2"/>
        </w:rPr>
        <w:t> </w:t>
      </w:r>
      <w:r>
        <w:rPr/>
        <w:t>subset</w:t>
      </w:r>
      <w:r>
        <w:rPr>
          <w:spacing w:val="-2"/>
        </w:rPr>
        <w:t> </w:t>
      </w:r>
      <w:r>
        <w:rPr/>
        <w:t>of</w:t>
      </w:r>
      <w:r>
        <w:rPr>
          <w:spacing w:val="-2"/>
        </w:rPr>
        <w:t> </w:t>
      </w:r>
      <w:r>
        <w:rPr/>
        <w:t>the</w:t>
      </w:r>
      <w:r>
        <w:rPr>
          <w:spacing w:val="-2"/>
        </w:rPr>
        <w:t> </w:t>
      </w:r>
      <w:r>
        <w:rPr/>
        <w:t>action</w:t>
      </w:r>
      <w:r>
        <w:rPr>
          <w:spacing w:val="-2"/>
        </w:rPr>
        <w:t> </w:t>
      </w:r>
      <w:r>
        <w:rPr/>
        <w:t>categories</w:t>
      </w:r>
      <w:r>
        <w:rPr>
          <w:spacing w:val="-2"/>
        </w:rPr>
        <w:t> </w:t>
      </w:r>
      <w:r>
        <w:rPr/>
        <w:t>described in Table</w:t>
      </w:r>
      <w:hyperlink w:history="true" w:anchor="_bookmark128">
        <w:r>
          <w:rPr>
            <w:color w:val="0000FF"/>
          </w:rPr>
          <w:t>5.2.2</w:t>
        </w:r>
      </w:hyperlink>
      <w:r>
        <w:rPr/>
        <w:t>was considered: “move team”; “move self”; “catch kick”; “kick position”; “move team error”; “move self error”; “loose ball” and “kick goal”.</w:t>
      </w:r>
      <w:r>
        <w:rPr>
          <w:spacing w:val="40"/>
        </w:rPr>
        <w:t> </w:t>
      </w:r>
      <w:r>
        <w:rPr/>
        <w:t>This filtering was necessary</w:t>
      </w:r>
      <w:r>
        <w:rPr>
          <w:spacing w:val="-3"/>
        </w:rPr>
        <w:t> </w:t>
      </w:r>
      <w:r>
        <w:rPr/>
        <w:t>as</w:t>
      </w:r>
      <w:r>
        <w:rPr>
          <w:spacing w:val="-3"/>
        </w:rPr>
        <w:t> </w:t>
      </w:r>
      <w:r>
        <w:rPr/>
        <w:t>a</w:t>
      </w:r>
      <w:r>
        <w:rPr>
          <w:spacing w:val="-3"/>
        </w:rPr>
        <w:t> </w:t>
      </w:r>
      <w:r>
        <w:rPr/>
        <w:t>player</w:t>
      </w:r>
      <w:r>
        <w:rPr>
          <w:spacing w:val="-3"/>
        </w:rPr>
        <w:t> </w:t>
      </w:r>
      <w:r>
        <w:rPr/>
        <w:t>completing</w:t>
      </w:r>
      <w:r>
        <w:rPr>
          <w:spacing w:val="-3"/>
        </w:rPr>
        <w:t> </w:t>
      </w:r>
      <w:r>
        <w:rPr/>
        <w:t>a</w:t>
      </w:r>
      <w:r>
        <w:rPr>
          <w:spacing w:val="-3"/>
        </w:rPr>
        <w:t> </w:t>
      </w:r>
      <w:r>
        <w:rPr/>
        <w:t>“move</w:t>
      </w:r>
      <w:r>
        <w:rPr>
          <w:spacing w:val="-3"/>
        </w:rPr>
        <w:t> </w:t>
      </w:r>
      <w:r>
        <w:rPr/>
        <w:t>self”</w:t>
      </w:r>
      <w:r>
        <w:rPr>
          <w:spacing w:val="-3"/>
        </w:rPr>
        <w:t> </w:t>
      </w:r>
      <w:r>
        <w:rPr/>
        <w:t>action</w:t>
      </w:r>
      <w:r>
        <w:rPr>
          <w:spacing w:val="-3"/>
        </w:rPr>
        <w:t> </w:t>
      </w:r>
      <w:r>
        <w:rPr/>
        <w:t>could</w:t>
      </w:r>
      <w:r>
        <w:rPr>
          <w:spacing w:val="-3"/>
        </w:rPr>
        <w:t> </w:t>
      </w:r>
      <w:r>
        <w:rPr/>
        <w:t>also</w:t>
      </w:r>
      <w:r>
        <w:rPr>
          <w:spacing w:val="-3"/>
        </w:rPr>
        <w:t> </w:t>
      </w:r>
      <w:r>
        <w:rPr/>
        <w:t>be</w:t>
      </w:r>
      <w:r>
        <w:rPr>
          <w:spacing w:val="-3"/>
        </w:rPr>
        <w:t> </w:t>
      </w:r>
      <w:r>
        <w:rPr/>
        <w:t>given</w:t>
      </w:r>
      <w:r>
        <w:rPr>
          <w:spacing w:val="-3"/>
        </w:rPr>
        <w:t> </w:t>
      </w:r>
      <w:r>
        <w:rPr/>
        <w:t>a</w:t>
      </w:r>
      <w:r>
        <w:rPr>
          <w:spacing w:val="-3"/>
        </w:rPr>
        <w:t> </w:t>
      </w:r>
      <w:r>
        <w:rPr/>
        <w:t>“run</w:t>
      </w:r>
      <w:r>
        <w:rPr>
          <w:spacing w:val="-3"/>
        </w:rPr>
        <w:t> </w:t>
      </w:r>
      <w:r>
        <w:rPr/>
        <w:t>action” descriptor if they ran past an opponent, thus providing two entries for the same action. Filtering</w:t>
      </w:r>
      <w:r>
        <w:rPr>
          <w:spacing w:val="-6"/>
        </w:rPr>
        <w:t> </w:t>
      </w:r>
      <w:r>
        <w:rPr/>
        <w:t>the</w:t>
      </w:r>
      <w:r>
        <w:rPr>
          <w:spacing w:val="-7"/>
        </w:rPr>
        <w:t> </w:t>
      </w:r>
      <w:r>
        <w:rPr/>
        <w:t>actions</w:t>
      </w:r>
      <w:r>
        <w:rPr>
          <w:spacing w:val="-6"/>
        </w:rPr>
        <w:t> </w:t>
      </w:r>
      <w:r>
        <w:rPr/>
        <w:t>in</w:t>
      </w:r>
      <w:r>
        <w:rPr>
          <w:spacing w:val="-7"/>
        </w:rPr>
        <w:t> </w:t>
      </w:r>
      <w:r>
        <w:rPr/>
        <w:t>this</w:t>
      </w:r>
      <w:r>
        <w:rPr>
          <w:spacing w:val="-6"/>
        </w:rPr>
        <w:t> </w:t>
      </w:r>
      <w:r>
        <w:rPr/>
        <w:t>manner</w:t>
      </w:r>
      <w:r>
        <w:rPr>
          <w:spacing w:val="-7"/>
        </w:rPr>
        <w:t> </w:t>
      </w:r>
      <w:r>
        <w:rPr/>
        <w:t>immediately</w:t>
      </w:r>
      <w:r>
        <w:rPr>
          <w:spacing w:val="-6"/>
        </w:rPr>
        <w:t> </w:t>
      </w:r>
      <w:r>
        <w:rPr/>
        <w:t>reduced</w:t>
      </w:r>
      <w:r>
        <w:rPr>
          <w:spacing w:val="-6"/>
        </w:rPr>
        <w:t> </w:t>
      </w:r>
      <w:r>
        <w:rPr/>
        <w:t>the</w:t>
      </w:r>
      <w:r>
        <w:rPr>
          <w:spacing w:val="-7"/>
        </w:rPr>
        <w:t> </w:t>
      </w:r>
      <w:r>
        <w:rPr/>
        <w:t>dataset</w:t>
      </w:r>
      <w:r>
        <w:rPr>
          <w:spacing w:val="-6"/>
        </w:rPr>
        <w:t> </w:t>
      </w:r>
      <w:r>
        <w:rPr/>
        <w:t>from</w:t>
      </w:r>
      <w:r>
        <w:rPr>
          <w:spacing w:val="-7"/>
        </w:rPr>
        <w:t> </w:t>
      </w:r>
      <w:r>
        <w:rPr/>
        <w:t>557,050</w:t>
      </w:r>
      <w:r>
        <w:rPr>
          <w:spacing w:val="-6"/>
        </w:rPr>
        <w:t> </w:t>
      </w:r>
      <w:r>
        <w:rPr/>
        <w:t>obser- vations to 128,716 observations.</w:t>
      </w:r>
      <w:r>
        <w:rPr>
          <w:spacing w:val="40"/>
        </w:rPr>
        <w:t> </w:t>
      </w:r>
      <w:r>
        <w:rPr/>
        <w:t>Incomplete actions were only included if they caused the end of a possession.</w:t>
      </w:r>
      <w:r>
        <w:rPr>
          <w:spacing w:val="40"/>
        </w:rPr>
        <w:t> </w:t>
      </w:r>
      <w:r>
        <w:rPr/>
        <w:t>For example, an unsuccessful attempt at a loose ball collection or an unsuccessful attempt to intercept a pass by the defensive team were not included</w:t>
      </w:r>
      <w:r>
        <w:rPr>
          <w:spacing w:val="40"/>
        </w:rPr>
        <w:t> </w:t>
      </w:r>
      <w:r>
        <w:rPr/>
        <w:t>as these actions were not completed and including them would have unduly affected the chain</w:t>
      </w:r>
      <w:r>
        <w:rPr>
          <w:spacing w:val="26"/>
        </w:rPr>
        <w:t> </w:t>
      </w:r>
      <w:r>
        <w:rPr/>
        <w:t>of</w:t>
      </w:r>
      <w:r>
        <w:rPr>
          <w:spacing w:val="26"/>
        </w:rPr>
        <w:t> </w:t>
      </w:r>
      <w:r>
        <w:rPr/>
        <w:t>possession.</w:t>
      </w:r>
      <w:r>
        <w:rPr>
          <w:spacing w:val="80"/>
        </w:rPr>
        <w:t> </w:t>
      </w:r>
      <w:r>
        <w:rPr/>
        <w:t>However,</w:t>
      </w:r>
      <w:r>
        <w:rPr>
          <w:spacing w:val="33"/>
        </w:rPr>
        <w:t> </w:t>
      </w:r>
      <w:r>
        <w:rPr/>
        <w:t>an</w:t>
      </w:r>
      <w:r>
        <w:rPr>
          <w:spacing w:val="26"/>
        </w:rPr>
        <w:t> </w:t>
      </w:r>
      <w:r>
        <w:rPr/>
        <w:t>unsuccessful</w:t>
      </w:r>
      <w:r>
        <w:rPr>
          <w:spacing w:val="26"/>
        </w:rPr>
        <w:t> </w:t>
      </w:r>
      <w:r>
        <w:rPr/>
        <w:t>pass,</w:t>
      </w:r>
      <w:r>
        <w:rPr>
          <w:spacing w:val="33"/>
        </w:rPr>
        <w:t> </w:t>
      </w:r>
      <w:r>
        <w:rPr/>
        <w:t>or</w:t>
      </w:r>
      <w:r>
        <w:rPr>
          <w:spacing w:val="26"/>
        </w:rPr>
        <w:t> </w:t>
      </w:r>
      <w:r>
        <w:rPr/>
        <w:t>a</w:t>
      </w:r>
      <w:r>
        <w:rPr>
          <w:spacing w:val="26"/>
        </w:rPr>
        <w:t> </w:t>
      </w:r>
      <w:r>
        <w:rPr/>
        <w:t>dropped</w:t>
      </w:r>
      <w:r>
        <w:rPr>
          <w:spacing w:val="26"/>
        </w:rPr>
        <w:t> </w:t>
      </w:r>
      <w:r>
        <w:rPr/>
        <w:t>catch</w:t>
      </w:r>
      <w:r>
        <w:rPr>
          <w:spacing w:val="26"/>
        </w:rPr>
        <w:t> </w:t>
      </w:r>
      <w:r>
        <w:rPr/>
        <w:t>from</w:t>
      </w:r>
      <w:r>
        <w:rPr>
          <w:spacing w:val="26"/>
        </w:rPr>
        <w:t> </w:t>
      </w:r>
      <w:r>
        <w:rPr/>
        <w:t>a</w:t>
      </w:r>
      <w:r>
        <w:rPr>
          <w:spacing w:val="26"/>
        </w:rPr>
        <w:t> </w:t>
      </w:r>
      <w:r>
        <w:rPr/>
        <w:t>pass by</w:t>
      </w:r>
      <w:r>
        <w:rPr>
          <w:spacing w:val="18"/>
        </w:rPr>
        <w:t> </w:t>
      </w:r>
      <w:r>
        <w:rPr/>
        <w:t>the</w:t>
      </w:r>
      <w:r>
        <w:rPr>
          <w:spacing w:val="19"/>
        </w:rPr>
        <w:t> </w:t>
      </w:r>
      <w:r>
        <w:rPr/>
        <w:t>attacking</w:t>
      </w:r>
      <w:r>
        <w:rPr>
          <w:spacing w:val="18"/>
        </w:rPr>
        <w:t> </w:t>
      </w:r>
      <w:r>
        <w:rPr/>
        <w:t>team</w:t>
      </w:r>
      <w:r>
        <w:rPr>
          <w:spacing w:val="18"/>
        </w:rPr>
        <w:t> </w:t>
      </w:r>
      <w:r>
        <w:rPr/>
        <w:t>were</w:t>
      </w:r>
      <w:r>
        <w:rPr>
          <w:spacing w:val="19"/>
        </w:rPr>
        <w:t> </w:t>
      </w:r>
      <w:r>
        <w:rPr/>
        <w:t>included</w:t>
      </w:r>
      <w:r>
        <w:rPr>
          <w:spacing w:val="18"/>
        </w:rPr>
        <w:t> </w:t>
      </w:r>
      <w:r>
        <w:rPr/>
        <w:t>as</w:t>
      </w:r>
      <w:r>
        <w:rPr>
          <w:spacing w:val="19"/>
        </w:rPr>
        <w:t> </w:t>
      </w:r>
      <w:r>
        <w:rPr/>
        <w:t>these</w:t>
      </w:r>
      <w:r>
        <w:rPr>
          <w:spacing w:val="18"/>
        </w:rPr>
        <w:t> </w:t>
      </w:r>
      <w:r>
        <w:rPr/>
        <w:t>actions</w:t>
      </w:r>
      <w:r>
        <w:rPr>
          <w:spacing w:val="19"/>
        </w:rPr>
        <w:t> </w:t>
      </w:r>
      <w:r>
        <w:rPr/>
        <w:t>resulted</w:t>
      </w:r>
      <w:r>
        <w:rPr>
          <w:spacing w:val="18"/>
        </w:rPr>
        <w:t> </w:t>
      </w:r>
      <w:r>
        <w:rPr/>
        <w:t>in</w:t>
      </w:r>
      <w:r>
        <w:rPr>
          <w:spacing w:val="19"/>
        </w:rPr>
        <w:t> </w:t>
      </w:r>
      <w:r>
        <w:rPr/>
        <w:t>a</w:t>
      </w:r>
      <w:r>
        <w:rPr>
          <w:spacing w:val="18"/>
        </w:rPr>
        <w:t> </w:t>
      </w:r>
      <w:r>
        <w:rPr/>
        <w:t>change</w:t>
      </w:r>
      <w:r>
        <w:rPr>
          <w:spacing w:val="19"/>
        </w:rPr>
        <w:t> </w:t>
      </w:r>
      <w:r>
        <w:rPr/>
        <w:t>in</w:t>
      </w:r>
      <w:r>
        <w:rPr>
          <w:spacing w:val="18"/>
        </w:rPr>
        <w:t> </w:t>
      </w:r>
      <w:r>
        <w:rPr/>
        <w:t>the</w:t>
      </w:r>
      <w:r>
        <w:rPr>
          <w:spacing w:val="19"/>
        </w:rPr>
        <w:t> </w:t>
      </w:r>
      <w:r>
        <w:rPr>
          <w:spacing w:val="-2"/>
        </w:rPr>
        <w:t>chain</w:t>
      </w:r>
    </w:p>
    <w:p>
      <w:pPr>
        <w:spacing w:after="0" w:line="312" w:lineRule="auto"/>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8"/>
        <w:rPr>
          <w:sz w:val="15"/>
        </w:rPr>
      </w:pPr>
    </w:p>
    <w:p>
      <w:pPr>
        <w:pStyle w:val="BodyText"/>
        <w:ind w:left="2736"/>
        <w:rPr>
          <w:sz w:val="20"/>
        </w:rPr>
      </w:pPr>
      <w:r>
        <w:rPr>
          <w:sz w:val="20"/>
        </w:rPr>
        <w:drawing>
          <wp:inline distT="0" distB="0" distL="0" distR="0">
            <wp:extent cx="2666999" cy="3627120"/>
            <wp:effectExtent l="0" t="0" r="0" b="0"/>
            <wp:docPr id="67" name="image34.jpeg"/>
            <wp:cNvGraphicFramePr>
              <a:graphicFrameLocks noChangeAspect="1"/>
            </wp:cNvGraphicFramePr>
            <a:graphic>
              <a:graphicData uri="http://schemas.openxmlformats.org/drawingml/2006/picture">
                <pic:pic>
                  <pic:nvPicPr>
                    <pic:cNvPr id="68" name="image34.jpeg"/>
                    <pic:cNvPicPr/>
                  </pic:nvPicPr>
                  <pic:blipFill>
                    <a:blip r:embed="rId102" cstate="print"/>
                    <a:stretch>
                      <a:fillRect/>
                    </a:stretch>
                  </pic:blipFill>
                  <pic:spPr>
                    <a:xfrm>
                      <a:off x="0" y="0"/>
                      <a:ext cx="2666999" cy="3627120"/>
                    </a:xfrm>
                    <a:prstGeom prst="rect">
                      <a:avLst/>
                    </a:prstGeom>
                  </pic:spPr>
                </pic:pic>
              </a:graphicData>
            </a:graphic>
          </wp:inline>
        </w:drawing>
      </w:r>
      <w:r>
        <w:rPr>
          <w:sz w:val="20"/>
        </w:rPr>
      </w:r>
    </w:p>
    <w:p>
      <w:pPr>
        <w:pStyle w:val="BodyText"/>
        <w:spacing w:before="8"/>
        <w:rPr>
          <w:sz w:val="14"/>
        </w:rPr>
      </w:pPr>
    </w:p>
    <w:p>
      <w:pPr>
        <w:pStyle w:val="BodyText"/>
        <w:spacing w:line="252" w:lineRule="auto" w:before="106"/>
        <w:ind w:left="610" w:right="389"/>
        <w:jc w:val="both"/>
      </w:pPr>
      <w:bookmarkStart w:name="_bookmark130" w:id="228"/>
      <w:bookmarkEnd w:id="228"/>
      <w:r>
        <w:rPr/>
      </w:r>
      <w:r>
        <w:rPr>
          <w:b/>
        </w:rPr>
        <w:t>Figure</w:t>
      </w:r>
      <w:r>
        <w:rPr>
          <w:b/>
          <w:spacing w:val="-9"/>
        </w:rPr>
        <w:t> </w:t>
      </w:r>
      <w:r>
        <w:rPr>
          <w:b/>
        </w:rPr>
        <w:t>5.2: </w:t>
      </w:r>
      <w:r>
        <w:rPr/>
        <w:t>Location</w:t>
      </w:r>
      <w:r>
        <w:rPr>
          <w:spacing w:val="-9"/>
        </w:rPr>
        <w:t> </w:t>
      </w:r>
      <w:r>
        <w:rPr/>
        <w:t>of</w:t>
      </w:r>
      <w:r>
        <w:rPr>
          <w:spacing w:val="-9"/>
        </w:rPr>
        <w:t> </w:t>
      </w:r>
      <w:r>
        <w:rPr/>
        <w:t>99,966</w:t>
      </w:r>
      <w:r>
        <w:rPr>
          <w:spacing w:val="-9"/>
        </w:rPr>
        <w:t> </w:t>
      </w:r>
      <w:r>
        <w:rPr/>
        <w:t>actions</w:t>
      </w:r>
      <w:r>
        <w:rPr>
          <w:spacing w:val="-9"/>
        </w:rPr>
        <w:t> </w:t>
      </w:r>
      <w:r>
        <w:rPr/>
        <w:t>used</w:t>
      </w:r>
      <w:r>
        <w:rPr>
          <w:spacing w:val="-9"/>
        </w:rPr>
        <w:t> </w:t>
      </w:r>
      <w:r>
        <w:rPr/>
        <w:t>in</w:t>
      </w:r>
      <w:r>
        <w:rPr>
          <w:spacing w:val="-9"/>
        </w:rPr>
        <w:t> </w:t>
      </w:r>
      <w:r>
        <w:rPr/>
        <w:t>this</w:t>
      </w:r>
      <w:r>
        <w:rPr>
          <w:spacing w:val="-9"/>
        </w:rPr>
        <w:t> </w:t>
      </w:r>
      <w:r>
        <w:rPr/>
        <w:t>study. Dots</w:t>
      </w:r>
      <w:r>
        <w:rPr>
          <w:spacing w:val="-9"/>
        </w:rPr>
        <w:t> </w:t>
      </w:r>
      <w:r>
        <w:rPr/>
        <w:t>representative</w:t>
      </w:r>
      <w:r>
        <w:rPr>
          <w:spacing w:val="-9"/>
        </w:rPr>
        <w:t> </w:t>
      </w:r>
      <w:r>
        <w:rPr/>
        <w:t>of</w:t>
      </w:r>
      <w:r>
        <w:rPr>
          <w:spacing w:val="-9"/>
        </w:rPr>
        <w:t> </w:t>
      </w:r>
      <w:r>
        <w:rPr/>
        <w:t>location only; quantity of actions at each location is not displayed in this plot.</w:t>
      </w:r>
    </w:p>
    <w:p>
      <w:pPr>
        <w:pStyle w:val="BodyText"/>
        <w:spacing w:before="8"/>
        <w:rPr>
          <w:sz w:val="37"/>
        </w:rPr>
      </w:pPr>
    </w:p>
    <w:p>
      <w:pPr>
        <w:pStyle w:val="BodyText"/>
        <w:spacing w:line="312" w:lineRule="auto"/>
        <w:ind w:left="610" w:right="389"/>
        <w:jc w:val="both"/>
      </w:pPr>
      <w:r>
        <w:rPr/>
        <w:pict>
          <v:line style="position:absolute;mso-position-horizontal-relative:page;mso-position-vertical-relative:paragraph;z-index:-21756928" from="421.097992pt,11.004122pt" to="424.684992pt,11.004122pt" stroked="true" strokeweight=".398pt" strokecolor="#000000">
            <v:stroke dashstyle="solid"/>
            <w10:wrap type="none"/>
          </v:line>
        </w:pict>
      </w:r>
      <w:r>
        <w:rPr/>
        <w:t>of possession.</w:t>
      </w:r>
      <w:r>
        <w:rPr>
          <w:spacing w:val="80"/>
        </w:rPr>
        <w:t> </w:t>
      </w:r>
      <w:r>
        <w:rPr/>
        <w:t>Incomplete actions were identified if the team id variable changed </w:t>
      </w:r>
      <w:r>
        <w:rPr/>
        <w:t>for</w:t>
      </w:r>
      <w:r>
        <w:rPr>
          <w:spacing w:val="40"/>
        </w:rPr>
        <w:t> </w:t>
      </w:r>
      <w:r>
        <w:rPr/>
        <w:t>the subsequent action.</w:t>
      </w:r>
      <w:r>
        <w:rPr>
          <w:spacing w:val="40"/>
        </w:rPr>
        <w:t> </w:t>
      </w:r>
      <w:r>
        <w:rPr/>
        <w:t>Their removal reduced the size of the dataset by 1122 actions to 127,594 observations.</w:t>
      </w:r>
    </w:p>
    <w:p>
      <w:pPr>
        <w:pStyle w:val="BodyText"/>
        <w:spacing w:line="312" w:lineRule="auto"/>
        <w:ind w:left="610" w:right="389" w:firstLine="351"/>
        <w:jc w:val="both"/>
      </w:pPr>
      <w:r>
        <w:rPr/>
        <w:t>Similar to multiple action codings, it was important for this location based analysis that locations were not coded on more than one occasion for different actions </w:t>
      </w:r>
      <w:r>
        <w:rPr/>
        <w:t>completed within the same sequence.</w:t>
      </w:r>
      <w:r>
        <w:rPr>
          <w:spacing w:val="23"/>
        </w:rPr>
        <w:t> </w:t>
      </w:r>
      <w:r>
        <w:rPr/>
        <w:t>For example, if a player caught the ball and decided to run in the same location, Opta would code each action as an individual observation.</w:t>
      </w:r>
      <w:r>
        <w:rPr>
          <w:spacing w:val="40"/>
        </w:rPr>
        <w:t> </w:t>
      </w:r>
      <w:r>
        <w:rPr/>
        <w:t>Multiple location codings were identified when the location and player variables were identical on consecutive rows.</w:t>
      </w:r>
      <w:r>
        <w:rPr>
          <w:spacing w:val="80"/>
        </w:rPr>
        <w:t> </w:t>
      </w:r>
      <w:r>
        <w:rPr/>
        <w:t>For this study,</w:t>
      </w:r>
      <w:r>
        <w:rPr>
          <w:spacing w:val="33"/>
        </w:rPr>
        <w:t> </w:t>
      </w:r>
      <w:r>
        <w:rPr/>
        <w:t>because the action chosen was not important to</w:t>
      </w:r>
      <w:r>
        <w:rPr>
          <w:spacing w:val="40"/>
        </w:rPr>
        <w:t> </w:t>
      </w:r>
      <w:r>
        <w:rPr/>
        <w:t>the</w:t>
      </w:r>
      <w:r>
        <w:rPr>
          <w:spacing w:val="-2"/>
        </w:rPr>
        <w:t> </w:t>
      </w:r>
      <w:r>
        <w:rPr/>
        <w:t>location</w:t>
      </w:r>
      <w:r>
        <w:rPr>
          <w:spacing w:val="-2"/>
        </w:rPr>
        <w:t> </w:t>
      </w:r>
      <w:r>
        <w:rPr/>
        <w:t>based</w:t>
      </w:r>
      <w:r>
        <w:rPr>
          <w:spacing w:val="-2"/>
        </w:rPr>
        <w:t> </w:t>
      </w:r>
      <w:r>
        <w:rPr/>
        <w:t>analysis,</w:t>
      </w:r>
      <w:r>
        <w:rPr>
          <w:spacing w:val="-1"/>
        </w:rPr>
        <w:t> </w:t>
      </w:r>
      <w:r>
        <w:rPr/>
        <w:t>the</w:t>
      </w:r>
      <w:r>
        <w:rPr>
          <w:spacing w:val="-2"/>
        </w:rPr>
        <w:t> </w:t>
      </w:r>
      <w:r>
        <w:rPr/>
        <w:t>second</w:t>
      </w:r>
      <w:r>
        <w:rPr>
          <w:spacing w:val="-2"/>
        </w:rPr>
        <w:t> </w:t>
      </w:r>
      <w:r>
        <w:rPr/>
        <w:t>observation</w:t>
      </w:r>
      <w:r>
        <w:rPr>
          <w:spacing w:val="-2"/>
        </w:rPr>
        <w:t> </w:t>
      </w:r>
      <w:r>
        <w:rPr/>
        <w:t>of</w:t>
      </w:r>
      <w:r>
        <w:rPr>
          <w:spacing w:val="-2"/>
        </w:rPr>
        <w:t> </w:t>
      </w:r>
      <w:r>
        <w:rPr/>
        <w:t>each</w:t>
      </w:r>
      <w:r>
        <w:rPr>
          <w:spacing w:val="-2"/>
        </w:rPr>
        <w:t> </w:t>
      </w:r>
      <w:r>
        <w:rPr/>
        <w:t>multiple</w:t>
      </w:r>
      <w:r>
        <w:rPr>
          <w:spacing w:val="-2"/>
        </w:rPr>
        <w:t> </w:t>
      </w:r>
      <w:r>
        <w:rPr/>
        <w:t>location</w:t>
      </w:r>
      <w:r>
        <w:rPr>
          <w:spacing w:val="-2"/>
        </w:rPr>
        <w:t> </w:t>
      </w:r>
      <w:r>
        <w:rPr/>
        <w:t>coding</w:t>
      </w:r>
      <w:r>
        <w:rPr>
          <w:spacing w:val="-2"/>
        </w:rPr>
        <w:t> </w:t>
      </w:r>
      <w:r>
        <w:rPr/>
        <w:t>was removed from the dataset indiscriminately.</w:t>
      </w:r>
      <w:r>
        <w:rPr>
          <w:spacing w:val="40"/>
        </w:rPr>
        <w:t> </w:t>
      </w:r>
      <w:r>
        <w:rPr/>
        <w:t>Removing these duplicate location actions resulted in a final dataset size of 99,966 actions.</w:t>
      </w:r>
    </w:p>
    <w:p>
      <w:pPr>
        <w:pStyle w:val="BodyText"/>
        <w:spacing w:line="275" w:lineRule="exact"/>
        <w:ind w:left="961"/>
        <w:jc w:val="both"/>
      </w:pPr>
      <w:r>
        <w:rPr/>
        <w:t>Unlike</w:t>
      </w:r>
      <w:r>
        <w:rPr>
          <w:spacing w:val="26"/>
        </w:rPr>
        <w:t> </w:t>
      </w:r>
      <w:r>
        <w:rPr/>
        <w:t>Chapters</w:t>
      </w:r>
      <w:r>
        <w:rPr>
          <w:color w:val="0000FF"/>
        </w:rPr>
        <w:t>3</w:t>
      </w:r>
      <w:r>
        <w:rPr/>
        <w:t>and</w:t>
      </w:r>
      <w:r>
        <w:rPr>
          <w:color w:val="0000FF"/>
        </w:rPr>
        <w:t>4</w:t>
      </w:r>
      <w:r>
        <w:rPr/>
        <w:t>,</w:t>
      </w:r>
      <w:r>
        <w:rPr>
          <w:spacing w:val="35"/>
        </w:rPr>
        <w:t> </w:t>
      </w:r>
      <w:hyperlink w:history="true" w:anchor="_bookmark92">
        <w:r>
          <w:rPr/>
          <w:t>which</w:t>
        </w:r>
      </w:hyperlink>
      <w:r>
        <w:rPr>
          <w:spacing w:val="27"/>
        </w:rPr>
        <w:t> </w:t>
      </w:r>
      <w:r>
        <w:rPr/>
        <w:t>used</w:t>
      </w:r>
      <w:r>
        <w:rPr>
          <w:spacing w:val="27"/>
        </w:rPr>
        <w:t> </w:t>
      </w:r>
      <w:r>
        <w:rPr/>
        <w:t>zone</w:t>
      </w:r>
      <w:r>
        <w:rPr>
          <w:spacing w:val="28"/>
        </w:rPr>
        <w:t> </w:t>
      </w:r>
      <w:r>
        <w:rPr/>
        <w:t>based</w:t>
      </w:r>
      <w:r>
        <w:rPr>
          <w:spacing w:val="27"/>
        </w:rPr>
        <w:t> </w:t>
      </w:r>
      <w:r>
        <w:rPr/>
        <w:t>approaches,</w:t>
      </w:r>
      <w:r>
        <w:rPr>
          <w:spacing w:val="35"/>
        </w:rPr>
        <w:t> </w:t>
      </w:r>
      <w:r>
        <w:rPr/>
        <w:t>the</w:t>
      </w:r>
      <w:r>
        <w:rPr>
          <w:spacing w:val="57"/>
        </w:rPr>
        <w:t>   </w:t>
      </w:r>
      <w:r>
        <w:rPr>
          <w:rFonts w:ascii="Cambria"/>
        </w:rPr>
        <w:t>x,</w:t>
      </w:r>
      <w:r>
        <w:rPr>
          <w:rFonts w:ascii="Cambria"/>
          <w:spacing w:val="-13"/>
        </w:rPr>
        <w:t> </w:t>
      </w:r>
      <w:r>
        <w:rPr>
          <w:rFonts w:ascii="Cambria"/>
        </w:rPr>
        <w:t>y</w:t>
      </w:r>
      <w:r>
        <w:rPr>
          <w:rFonts w:ascii="Cambria"/>
          <w:spacing w:val="42"/>
        </w:rPr>
        <w:t> </w:t>
      </w:r>
      <w:r>
        <w:rPr>
          <w:spacing w:val="-2"/>
        </w:rPr>
        <w:t>coordinates</w:t>
      </w:r>
    </w:p>
    <w:p>
      <w:pPr>
        <w:spacing w:after="0" w:line="275" w:lineRule="exact"/>
        <w:jc w:val="both"/>
        <w:sectPr>
          <w:pgSz w:w="11910" w:h="16840"/>
          <w:pgMar w:header="1961" w:footer="1428" w:top="2280" w:bottom="1620" w:left="1680" w:right="720"/>
        </w:sectPr>
      </w:pPr>
    </w:p>
    <w:p>
      <w:pPr>
        <w:pStyle w:val="BodyText"/>
        <w:rPr>
          <w:sz w:val="20"/>
        </w:rPr>
      </w:pPr>
    </w:p>
    <w:p>
      <w:pPr>
        <w:pStyle w:val="BodyText"/>
        <w:spacing w:before="4"/>
        <w:rPr>
          <w:sz w:val="17"/>
        </w:rPr>
      </w:pPr>
    </w:p>
    <w:p>
      <w:pPr>
        <w:spacing w:before="105"/>
        <w:ind w:left="757" w:right="538" w:firstLine="0"/>
        <w:jc w:val="center"/>
        <w:rPr>
          <w:sz w:val="24"/>
        </w:rPr>
      </w:pPr>
      <w:bookmarkStart w:name="_bookmark131" w:id="229"/>
      <w:bookmarkEnd w:id="229"/>
      <w:r>
        <w:rPr/>
      </w:r>
      <w:r>
        <w:rPr>
          <w:b/>
          <w:sz w:val="24"/>
        </w:rPr>
        <w:t>Table</w:t>
      </w:r>
      <w:r>
        <w:rPr>
          <w:b/>
          <w:spacing w:val="-11"/>
          <w:sz w:val="24"/>
        </w:rPr>
        <w:t> </w:t>
      </w:r>
      <w:r>
        <w:rPr>
          <w:b/>
          <w:sz w:val="24"/>
        </w:rPr>
        <w:t>5.3:</w:t>
      </w:r>
      <w:r>
        <w:rPr>
          <w:b/>
          <w:spacing w:val="3"/>
          <w:sz w:val="24"/>
        </w:rPr>
        <w:t> </w:t>
      </w:r>
      <w:r>
        <w:rPr>
          <w:sz w:val="24"/>
        </w:rPr>
        <w:t>Sample</w:t>
      </w:r>
      <w:r>
        <w:rPr>
          <w:spacing w:val="-11"/>
          <w:sz w:val="24"/>
        </w:rPr>
        <w:t> </w:t>
      </w:r>
      <w:r>
        <w:rPr>
          <w:sz w:val="24"/>
        </w:rPr>
        <w:t>possession</w:t>
      </w:r>
      <w:r>
        <w:rPr>
          <w:spacing w:val="-10"/>
          <w:sz w:val="24"/>
        </w:rPr>
        <w:t> </w:t>
      </w:r>
      <w:r>
        <w:rPr>
          <w:sz w:val="24"/>
        </w:rPr>
        <w:t>within</w:t>
      </w:r>
      <w:r>
        <w:rPr>
          <w:spacing w:val="-10"/>
          <w:sz w:val="24"/>
        </w:rPr>
        <w:t> </w:t>
      </w:r>
      <w:r>
        <w:rPr>
          <w:sz w:val="24"/>
        </w:rPr>
        <w:t>the</w:t>
      </w:r>
      <w:r>
        <w:rPr>
          <w:spacing w:val="-11"/>
          <w:sz w:val="24"/>
        </w:rPr>
        <w:t> </w:t>
      </w:r>
      <w:r>
        <w:rPr>
          <w:spacing w:val="-2"/>
          <w:sz w:val="24"/>
        </w:rPr>
        <w:t>dataset</w:t>
      </w:r>
    </w:p>
    <w:p>
      <w:pPr>
        <w:pStyle w:val="BodyText"/>
        <w:rPr>
          <w:sz w:val="20"/>
        </w:rPr>
      </w:pPr>
    </w:p>
    <w:p>
      <w:pPr>
        <w:pStyle w:val="BodyText"/>
        <w:spacing w:before="3"/>
        <w:rPr>
          <w:sz w:val="23"/>
        </w:rPr>
      </w:pPr>
    </w:p>
    <w:tbl>
      <w:tblPr>
        <w:tblW w:w="0" w:type="auto"/>
        <w:jc w:val="left"/>
        <w:tblInd w:w="25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770"/>
        <w:gridCol w:w="1836"/>
        <w:gridCol w:w="478"/>
        <w:gridCol w:w="478"/>
      </w:tblGrid>
      <w:tr>
        <w:trPr>
          <w:trHeight w:val="272" w:hRule="atLeast"/>
        </w:trPr>
        <w:tc>
          <w:tcPr>
            <w:tcW w:w="1770" w:type="dxa"/>
            <w:tcBorders>
              <w:top w:val="single" w:sz="4" w:space="0" w:color="000000"/>
              <w:bottom w:val="single" w:sz="4" w:space="0" w:color="000000"/>
            </w:tcBorders>
          </w:tcPr>
          <w:p>
            <w:pPr>
              <w:pStyle w:val="TableParagraph"/>
              <w:spacing w:line="253" w:lineRule="exact"/>
              <w:ind w:left="102" w:right="102"/>
              <w:rPr>
                <w:sz w:val="24"/>
              </w:rPr>
            </w:pPr>
            <w:r>
              <w:rPr>
                <w:sz w:val="24"/>
              </w:rPr>
              <w:t>Attacking</w:t>
            </w:r>
            <w:r>
              <w:rPr>
                <w:spacing w:val="-11"/>
                <w:sz w:val="24"/>
              </w:rPr>
              <w:t> </w:t>
            </w:r>
            <w:r>
              <w:rPr>
                <w:spacing w:val="-4"/>
                <w:sz w:val="24"/>
              </w:rPr>
              <w:t>Team</w:t>
            </w:r>
          </w:p>
        </w:tc>
        <w:tc>
          <w:tcPr>
            <w:tcW w:w="1836" w:type="dxa"/>
            <w:tcBorders>
              <w:top w:val="single" w:sz="4" w:space="0" w:color="000000"/>
              <w:bottom w:val="single" w:sz="4" w:space="0" w:color="000000"/>
            </w:tcBorders>
          </w:tcPr>
          <w:p>
            <w:pPr>
              <w:pStyle w:val="TableParagraph"/>
              <w:spacing w:line="253" w:lineRule="exact"/>
              <w:ind w:left="102" w:right="102"/>
              <w:rPr>
                <w:sz w:val="24"/>
              </w:rPr>
            </w:pPr>
            <w:r>
              <w:rPr>
                <w:sz w:val="24"/>
              </w:rPr>
              <w:t>Defending</w:t>
            </w:r>
            <w:r>
              <w:rPr>
                <w:spacing w:val="-12"/>
                <w:sz w:val="24"/>
              </w:rPr>
              <w:t> </w:t>
            </w:r>
            <w:r>
              <w:rPr>
                <w:spacing w:val="-4"/>
                <w:sz w:val="24"/>
              </w:rPr>
              <w:t>Team</w:t>
            </w:r>
          </w:p>
        </w:tc>
        <w:tc>
          <w:tcPr>
            <w:tcW w:w="478" w:type="dxa"/>
            <w:tcBorders>
              <w:top w:val="single" w:sz="4" w:space="0" w:color="000000"/>
              <w:bottom w:val="single" w:sz="4" w:space="0" w:color="000000"/>
            </w:tcBorders>
          </w:tcPr>
          <w:p>
            <w:pPr>
              <w:pStyle w:val="TableParagraph"/>
              <w:spacing w:line="255" w:lineRule="exact"/>
              <w:ind w:right="1"/>
              <w:rPr>
                <w:rFonts w:ascii="Cambria"/>
                <w:sz w:val="24"/>
              </w:rPr>
            </w:pPr>
            <w:r>
              <w:rPr>
                <w:rFonts w:ascii="Cambria"/>
                <w:w w:val="114"/>
                <w:sz w:val="24"/>
              </w:rPr>
              <w:t>x</w:t>
            </w:r>
          </w:p>
        </w:tc>
        <w:tc>
          <w:tcPr>
            <w:tcW w:w="478" w:type="dxa"/>
            <w:tcBorders>
              <w:top w:val="single" w:sz="4" w:space="0" w:color="000000"/>
              <w:bottom w:val="single" w:sz="4" w:space="0" w:color="000000"/>
            </w:tcBorders>
          </w:tcPr>
          <w:p>
            <w:pPr>
              <w:pStyle w:val="TableParagraph"/>
              <w:spacing w:line="255" w:lineRule="exact"/>
              <w:ind w:right="7"/>
              <w:rPr>
                <w:rFonts w:ascii="Cambria"/>
                <w:sz w:val="24"/>
              </w:rPr>
            </w:pPr>
            <w:r>
              <w:rPr>
                <w:rFonts w:ascii="Cambria"/>
                <w:w w:val="94"/>
                <w:sz w:val="24"/>
              </w:rPr>
              <w:t>y</w:t>
            </w:r>
          </w:p>
        </w:tc>
      </w:tr>
      <w:tr>
        <w:trPr>
          <w:trHeight w:val="283" w:hRule="atLeast"/>
        </w:trPr>
        <w:tc>
          <w:tcPr>
            <w:tcW w:w="1770" w:type="dxa"/>
            <w:tcBorders>
              <w:top w:val="single" w:sz="4" w:space="0" w:color="000000"/>
            </w:tcBorders>
          </w:tcPr>
          <w:p>
            <w:pPr>
              <w:pStyle w:val="TableParagraph"/>
              <w:spacing w:line="249" w:lineRule="exact"/>
              <w:ind w:left="102" w:right="102"/>
              <w:rPr>
                <w:sz w:val="24"/>
              </w:rPr>
            </w:pPr>
            <w:r>
              <w:rPr>
                <w:sz w:val="24"/>
              </w:rPr>
              <w:t>St</w:t>
            </w:r>
            <w:r>
              <w:rPr>
                <w:spacing w:val="-5"/>
                <w:sz w:val="24"/>
              </w:rPr>
              <w:t> </w:t>
            </w:r>
            <w:r>
              <w:rPr>
                <w:spacing w:val="-2"/>
                <w:sz w:val="24"/>
              </w:rPr>
              <w:t>Helens</w:t>
            </w:r>
          </w:p>
        </w:tc>
        <w:tc>
          <w:tcPr>
            <w:tcW w:w="1836" w:type="dxa"/>
            <w:tcBorders>
              <w:top w:val="single" w:sz="4" w:space="0" w:color="000000"/>
            </w:tcBorders>
          </w:tcPr>
          <w:p>
            <w:pPr>
              <w:pStyle w:val="TableParagraph"/>
              <w:spacing w:line="249" w:lineRule="exact"/>
              <w:ind w:left="102" w:right="102"/>
              <w:rPr>
                <w:sz w:val="24"/>
              </w:rPr>
            </w:pPr>
            <w:r>
              <w:rPr>
                <w:spacing w:val="-2"/>
                <w:sz w:val="24"/>
              </w:rPr>
              <w:t>Salford</w:t>
            </w:r>
          </w:p>
        </w:tc>
        <w:tc>
          <w:tcPr>
            <w:tcW w:w="478" w:type="dxa"/>
            <w:tcBorders>
              <w:top w:val="single" w:sz="4" w:space="0" w:color="000000"/>
            </w:tcBorders>
          </w:tcPr>
          <w:p>
            <w:pPr>
              <w:pStyle w:val="TableParagraph"/>
              <w:spacing w:line="249" w:lineRule="exact"/>
              <w:rPr>
                <w:sz w:val="24"/>
              </w:rPr>
            </w:pPr>
            <w:r>
              <w:rPr>
                <w:w w:val="99"/>
                <w:sz w:val="24"/>
              </w:rPr>
              <w:t>9</w:t>
            </w:r>
          </w:p>
        </w:tc>
        <w:tc>
          <w:tcPr>
            <w:tcW w:w="478" w:type="dxa"/>
            <w:tcBorders>
              <w:top w:val="single" w:sz="4" w:space="0" w:color="000000"/>
            </w:tcBorders>
          </w:tcPr>
          <w:p>
            <w:pPr>
              <w:pStyle w:val="TableParagraph"/>
              <w:spacing w:line="249" w:lineRule="exact"/>
              <w:rPr>
                <w:sz w:val="24"/>
              </w:rPr>
            </w:pPr>
            <w:r>
              <w:rPr>
                <w:w w:val="99"/>
                <w:sz w:val="24"/>
              </w:rPr>
              <w:t>4</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478" w:type="dxa"/>
          </w:tcPr>
          <w:p>
            <w:pPr>
              <w:pStyle w:val="TableParagraph"/>
              <w:rPr>
                <w:sz w:val="24"/>
              </w:rPr>
            </w:pPr>
            <w:r>
              <w:rPr>
                <w:w w:val="99"/>
                <w:sz w:val="24"/>
              </w:rPr>
              <w:t>9</w:t>
            </w:r>
          </w:p>
        </w:tc>
        <w:tc>
          <w:tcPr>
            <w:tcW w:w="478" w:type="dxa"/>
          </w:tcPr>
          <w:p>
            <w:pPr>
              <w:pStyle w:val="TableParagraph"/>
              <w:rPr>
                <w:sz w:val="24"/>
              </w:rPr>
            </w:pPr>
            <w:r>
              <w:rPr>
                <w:w w:val="99"/>
                <w:sz w:val="24"/>
              </w:rPr>
              <w:t>6</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478" w:type="dxa"/>
          </w:tcPr>
          <w:p>
            <w:pPr>
              <w:pStyle w:val="TableParagraph"/>
              <w:ind w:left="103" w:right="103"/>
              <w:rPr>
                <w:sz w:val="24"/>
              </w:rPr>
            </w:pPr>
            <w:r>
              <w:rPr>
                <w:spacing w:val="-5"/>
                <w:sz w:val="24"/>
              </w:rPr>
              <w:t>14</w:t>
            </w:r>
          </w:p>
        </w:tc>
        <w:tc>
          <w:tcPr>
            <w:tcW w:w="478" w:type="dxa"/>
          </w:tcPr>
          <w:p>
            <w:pPr>
              <w:pStyle w:val="TableParagraph"/>
              <w:ind w:left="103" w:right="103"/>
              <w:rPr>
                <w:sz w:val="24"/>
              </w:rPr>
            </w:pPr>
            <w:r>
              <w:rPr>
                <w:spacing w:val="-5"/>
                <w:sz w:val="24"/>
              </w:rPr>
              <w:t>11</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478" w:type="dxa"/>
          </w:tcPr>
          <w:p>
            <w:pPr>
              <w:pStyle w:val="TableParagraph"/>
              <w:ind w:left="103" w:right="103"/>
              <w:rPr>
                <w:sz w:val="24"/>
              </w:rPr>
            </w:pPr>
            <w:r>
              <w:rPr>
                <w:spacing w:val="-5"/>
                <w:sz w:val="24"/>
              </w:rPr>
              <w:t>22</w:t>
            </w:r>
          </w:p>
        </w:tc>
        <w:tc>
          <w:tcPr>
            <w:tcW w:w="478" w:type="dxa"/>
          </w:tcPr>
          <w:p>
            <w:pPr>
              <w:pStyle w:val="TableParagraph"/>
              <w:ind w:left="103" w:right="103"/>
              <w:rPr>
                <w:sz w:val="24"/>
              </w:rPr>
            </w:pPr>
            <w:r>
              <w:rPr>
                <w:spacing w:val="-5"/>
                <w:sz w:val="24"/>
              </w:rPr>
              <w:t>13</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478" w:type="dxa"/>
          </w:tcPr>
          <w:p>
            <w:pPr>
              <w:pStyle w:val="TableParagraph"/>
              <w:ind w:left="103" w:right="103"/>
              <w:rPr>
                <w:sz w:val="24"/>
              </w:rPr>
            </w:pPr>
            <w:r>
              <w:rPr>
                <w:spacing w:val="-5"/>
                <w:sz w:val="24"/>
              </w:rPr>
              <w:t>12</w:t>
            </w:r>
          </w:p>
        </w:tc>
        <w:tc>
          <w:tcPr>
            <w:tcW w:w="478" w:type="dxa"/>
          </w:tcPr>
          <w:p>
            <w:pPr>
              <w:pStyle w:val="TableParagraph"/>
              <w:ind w:left="103" w:right="103"/>
              <w:rPr>
                <w:sz w:val="24"/>
              </w:rPr>
            </w:pPr>
            <w:r>
              <w:rPr>
                <w:spacing w:val="-5"/>
                <w:sz w:val="24"/>
              </w:rPr>
              <w:t>12</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478" w:type="dxa"/>
          </w:tcPr>
          <w:p>
            <w:pPr>
              <w:pStyle w:val="TableParagraph"/>
              <w:ind w:left="103" w:right="103"/>
              <w:rPr>
                <w:sz w:val="24"/>
              </w:rPr>
            </w:pPr>
            <w:r>
              <w:rPr>
                <w:spacing w:val="-5"/>
                <w:sz w:val="24"/>
              </w:rPr>
              <w:t>37</w:t>
            </w:r>
          </w:p>
        </w:tc>
        <w:tc>
          <w:tcPr>
            <w:tcW w:w="478" w:type="dxa"/>
          </w:tcPr>
          <w:p>
            <w:pPr>
              <w:pStyle w:val="TableParagraph"/>
              <w:ind w:left="103" w:right="103"/>
              <w:rPr>
                <w:sz w:val="24"/>
              </w:rPr>
            </w:pPr>
            <w:r>
              <w:rPr>
                <w:spacing w:val="-5"/>
                <w:sz w:val="24"/>
              </w:rPr>
              <w:t>16</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478" w:type="dxa"/>
          </w:tcPr>
          <w:p>
            <w:pPr>
              <w:pStyle w:val="TableParagraph"/>
              <w:ind w:left="103" w:right="103"/>
              <w:rPr>
                <w:sz w:val="24"/>
              </w:rPr>
            </w:pPr>
            <w:r>
              <w:rPr>
                <w:spacing w:val="-5"/>
                <w:sz w:val="24"/>
              </w:rPr>
              <w:t>36</w:t>
            </w:r>
          </w:p>
        </w:tc>
        <w:tc>
          <w:tcPr>
            <w:tcW w:w="478" w:type="dxa"/>
          </w:tcPr>
          <w:p>
            <w:pPr>
              <w:pStyle w:val="TableParagraph"/>
              <w:ind w:left="103" w:right="103"/>
              <w:rPr>
                <w:sz w:val="24"/>
              </w:rPr>
            </w:pPr>
            <w:r>
              <w:rPr>
                <w:spacing w:val="-5"/>
                <w:sz w:val="24"/>
              </w:rPr>
              <w:t>24</w:t>
            </w:r>
          </w:p>
        </w:tc>
      </w:tr>
      <w:tr>
        <w:trPr>
          <w:trHeight w:val="306" w:hRule="atLeast"/>
        </w:trPr>
        <w:tc>
          <w:tcPr>
            <w:tcW w:w="1770" w:type="dxa"/>
            <w:tcBorders>
              <w:bottom w:val="single" w:sz="4" w:space="0" w:color="000000"/>
            </w:tcBorders>
          </w:tcPr>
          <w:p>
            <w:pPr>
              <w:pStyle w:val="TableParagraph"/>
              <w:spacing w:line="273" w:lineRule="exact"/>
              <w:ind w:left="102" w:right="102"/>
              <w:rPr>
                <w:sz w:val="24"/>
              </w:rPr>
            </w:pPr>
            <w:r>
              <w:rPr>
                <w:sz w:val="24"/>
              </w:rPr>
              <w:t>St</w:t>
            </w:r>
            <w:r>
              <w:rPr>
                <w:spacing w:val="-5"/>
                <w:sz w:val="24"/>
              </w:rPr>
              <w:t> </w:t>
            </w:r>
            <w:r>
              <w:rPr>
                <w:spacing w:val="-2"/>
                <w:sz w:val="24"/>
              </w:rPr>
              <w:t>Helens</w:t>
            </w:r>
          </w:p>
        </w:tc>
        <w:tc>
          <w:tcPr>
            <w:tcW w:w="1836" w:type="dxa"/>
            <w:tcBorders>
              <w:bottom w:val="single" w:sz="4" w:space="0" w:color="000000"/>
            </w:tcBorders>
          </w:tcPr>
          <w:p>
            <w:pPr>
              <w:pStyle w:val="TableParagraph"/>
              <w:spacing w:line="273" w:lineRule="exact"/>
              <w:ind w:left="102" w:right="102"/>
              <w:rPr>
                <w:sz w:val="24"/>
              </w:rPr>
            </w:pPr>
            <w:r>
              <w:rPr>
                <w:spacing w:val="-2"/>
                <w:sz w:val="24"/>
              </w:rPr>
              <w:t>Salford</w:t>
            </w:r>
          </w:p>
        </w:tc>
        <w:tc>
          <w:tcPr>
            <w:tcW w:w="478" w:type="dxa"/>
            <w:tcBorders>
              <w:bottom w:val="single" w:sz="4" w:space="0" w:color="000000"/>
            </w:tcBorders>
          </w:tcPr>
          <w:p>
            <w:pPr>
              <w:pStyle w:val="TableParagraph"/>
              <w:spacing w:line="273" w:lineRule="exact"/>
              <w:ind w:left="103" w:right="103"/>
              <w:rPr>
                <w:sz w:val="24"/>
              </w:rPr>
            </w:pPr>
            <w:r>
              <w:rPr>
                <w:spacing w:val="-5"/>
                <w:sz w:val="24"/>
              </w:rPr>
              <w:t>54</w:t>
            </w:r>
          </w:p>
        </w:tc>
        <w:tc>
          <w:tcPr>
            <w:tcW w:w="478" w:type="dxa"/>
            <w:tcBorders>
              <w:bottom w:val="single" w:sz="4" w:space="0" w:color="000000"/>
            </w:tcBorders>
          </w:tcPr>
          <w:p>
            <w:pPr>
              <w:pStyle w:val="TableParagraph"/>
              <w:spacing w:line="273" w:lineRule="exact"/>
              <w:ind w:left="103" w:right="103"/>
              <w:rPr>
                <w:sz w:val="24"/>
              </w:rPr>
            </w:pPr>
            <w:r>
              <w:rPr>
                <w:spacing w:val="-5"/>
                <w:sz w:val="24"/>
              </w:rPr>
              <w:t>35</w:t>
            </w:r>
          </w:p>
        </w:tc>
      </w:tr>
    </w:tbl>
    <w:p>
      <w:pPr>
        <w:pStyle w:val="BodyText"/>
        <w:rPr>
          <w:sz w:val="20"/>
        </w:rPr>
      </w:pPr>
    </w:p>
    <w:p>
      <w:pPr>
        <w:pStyle w:val="BodyText"/>
        <w:spacing w:line="252" w:lineRule="auto" w:before="247"/>
        <w:ind w:left="610" w:right="389"/>
      </w:pPr>
      <w:bookmarkStart w:name="_bookmark132" w:id="230"/>
      <w:bookmarkEnd w:id="230"/>
      <w:r>
        <w:rPr/>
      </w:r>
      <w:r>
        <w:rPr>
          <w:b/>
        </w:rPr>
        <w:t>Table 5.4:</w:t>
      </w:r>
      <w:r>
        <w:rPr>
          <w:b/>
          <w:spacing w:val="40"/>
        </w:rPr>
        <w:t> </w:t>
      </w:r>
      <w:r>
        <w:rPr/>
        <w:t>Descriptive data for action counts in the data subsets.</w:t>
      </w:r>
      <w:r>
        <w:rPr>
          <w:spacing w:val="80"/>
        </w:rPr>
        <w:t> </w:t>
      </w:r>
      <w:r>
        <w:rPr/>
        <w:t>IQR is </w:t>
      </w:r>
      <w:r>
        <w:rPr/>
        <w:t>interquartile</w:t>
      </w:r>
      <w:r>
        <w:rPr>
          <w:spacing w:val="40"/>
        </w:rPr>
        <w:t> </w:t>
      </w:r>
      <w:r>
        <w:rPr/>
        <w:t>range; Min/Max refers to minimum/maximum number of observations observed.</w:t>
      </w:r>
    </w:p>
    <w:p>
      <w:pPr>
        <w:pStyle w:val="BodyText"/>
        <w:rPr>
          <w:sz w:val="20"/>
        </w:rPr>
      </w:pPr>
    </w:p>
    <w:p>
      <w:pPr>
        <w:pStyle w:val="BodyText"/>
        <w:spacing w:before="11"/>
        <w:rPr>
          <w:sz w:val="21"/>
        </w:rPr>
      </w:pPr>
    </w:p>
    <w:tbl>
      <w:tblPr>
        <w:tblW w:w="0" w:type="auto"/>
        <w:jc w:val="left"/>
        <w:tblInd w:w="17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736"/>
        <w:gridCol w:w="969"/>
        <w:gridCol w:w="969"/>
        <w:gridCol w:w="1275"/>
        <w:gridCol w:w="1381"/>
      </w:tblGrid>
      <w:tr>
        <w:trPr>
          <w:trHeight w:val="272" w:hRule="atLeast"/>
        </w:trPr>
        <w:tc>
          <w:tcPr>
            <w:tcW w:w="1736" w:type="dxa"/>
            <w:tcBorders>
              <w:top w:val="single" w:sz="4" w:space="0" w:color="000000"/>
              <w:bottom w:val="single" w:sz="4" w:space="0" w:color="000000"/>
            </w:tcBorders>
          </w:tcPr>
          <w:p>
            <w:pPr>
              <w:pStyle w:val="TableParagraph"/>
              <w:spacing w:line="253" w:lineRule="exact"/>
              <w:ind w:left="111" w:right="111"/>
              <w:rPr>
                <w:sz w:val="24"/>
              </w:rPr>
            </w:pPr>
            <w:r>
              <w:rPr>
                <w:spacing w:val="-4"/>
                <w:sz w:val="24"/>
              </w:rPr>
              <w:t>Level</w:t>
            </w:r>
          </w:p>
        </w:tc>
        <w:tc>
          <w:tcPr>
            <w:tcW w:w="969" w:type="dxa"/>
            <w:tcBorders>
              <w:top w:val="single" w:sz="4" w:space="0" w:color="000000"/>
              <w:bottom w:val="single" w:sz="4" w:space="0" w:color="000000"/>
            </w:tcBorders>
          </w:tcPr>
          <w:p>
            <w:pPr>
              <w:pStyle w:val="TableParagraph"/>
              <w:spacing w:line="253" w:lineRule="exact"/>
              <w:ind w:left="103" w:right="102"/>
              <w:rPr>
                <w:sz w:val="24"/>
              </w:rPr>
            </w:pPr>
            <w:r>
              <w:rPr>
                <w:spacing w:val="-2"/>
                <w:sz w:val="24"/>
              </w:rPr>
              <w:t>Subsets</w:t>
            </w:r>
          </w:p>
        </w:tc>
        <w:tc>
          <w:tcPr>
            <w:tcW w:w="969" w:type="dxa"/>
            <w:tcBorders>
              <w:top w:val="single" w:sz="4" w:space="0" w:color="000000"/>
              <w:bottom w:val="single" w:sz="4" w:space="0" w:color="000000"/>
            </w:tcBorders>
          </w:tcPr>
          <w:p>
            <w:pPr>
              <w:pStyle w:val="TableParagraph"/>
              <w:spacing w:line="253" w:lineRule="exact"/>
              <w:ind w:left="104" w:right="102"/>
              <w:rPr>
                <w:sz w:val="24"/>
              </w:rPr>
            </w:pPr>
            <w:r>
              <w:rPr>
                <w:spacing w:val="-2"/>
                <w:sz w:val="24"/>
              </w:rPr>
              <w:t>Median</w:t>
            </w:r>
          </w:p>
        </w:tc>
        <w:tc>
          <w:tcPr>
            <w:tcW w:w="1275" w:type="dxa"/>
            <w:tcBorders>
              <w:top w:val="single" w:sz="4" w:space="0" w:color="000000"/>
              <w:bottom w:val="single" w:sz="4" w:space="0" w:color="000000"/>
            </w:tcBorders>
          </w:tcPr>
          <w:p>
            <w:pPr>
              <w:pStyle w:val="TableParagraph"/>
              <w:spacing w:line="253" w:lineRule="exact"/>
              <w:ind w:left="107" w:right="104"/>
              <w:rPr>
                <w:sz w:val="24"/>
              </w:rPr>
            </w:pPr>
            <w:r>
              <w:rPr>
                <w:spacing w:val="-5"/>
                <w:sz w:val="24"/>
              </w:rPr>
              <w:t>IQR</w:t>
            </w:r>
          </w:p>
        </w:tc>
        <w:tc>
          <w:tcPr>
            <w:tcW w:w="1381" w:type="dxa"/>
            <w:tcBorders>
              <w:top w:val="single" w:sz="4" w:space="0" w:color="000000"/>
              <w:bottom w:val="single" w:sz="4" w:space="0" w:color="000000"/>
            </w:tcBorders>
          </w:tcPr>
          <w:p>
            <w:pPr>
              <w:pStyle w:val="TableParagraph"/>
              <w:spacing w:line="253" w:lineRule="exact"/>
              <w:ind w:left="109" w:right="105"/>
              <w:rPr>
                <w:sz w:val="24"/>
              </w:rPr>
            </w:pPr>
            <w:r>
              <w:rPr>
                <w:spacing w:val="-2"/>
                <w:sz w:val="24"/>
              </w:rPr>
              <w:t>Min/Max</w:t>
            </w:r>
          </w:p>
        </w:tc>
      </w:tr>
      <w:tr>
        <w:trPr>
          <w:trHeight w:val="283" w:hRule="atLeast"/>
        </w:trPr>
        <w:tc>
          <w:tcPr>
            <w:tcW w:w="1736" w:type="dxa"/>
            <w:tcBorders>
              <w:top w:val="single" w:sz="4" w:space="0" w:color="000000"/>
            </w:tcBorders>
          </w:tcPr>
          <w:p>
            <w:pPr>
              <w:pStyle w:val="TableParagraph"/>
              <w:spacing w:line="249" w:lineRule="exact"/>
              <w:ind w:left="111" w:right="111"/>
              <w:rPr>
                <w:sz w:val="24"/>
              </w:rPr>
            </w:pPr>
            <w:r>
              <w:rPr>
                <w:sz w:val="24"/>
              </w:rPr>
              <w:t>Whole</w:t>
            </w:r>
            <w:r>
              <w:rPr>
                <w:spacing w:val="-8"/>
                <w:sz w:val="24"/>
              </w:rPr>
              <w:t> </w:t>
            </w:r>
            <w:r>
              <w:rPr>
                <w:spacing w:val="-2"/>
                <w:sz w:val="24"/>
              </w:rPr>
              <w:t>league</w:t>
            </w:r>
          </w:p>
        </w:tc>
        <w:tc>
          <w:tcPr>
            <w:tcW w:w="969" w:type="dxa"/>
            <w:tcBorders>
              <w:top w:val="single" w:sz="4" w:space="0" w:color="000000"/>
            </w:tcBorders>
          </w:tcPr>
          <w:p>
            <w:pPr>
              <w:pStyle w:val="TableParagraph"/>
              <w:spacing w:line="249" w:lineRule="exact"/>
              <w:ind w:left="1"/>
              <w:rPr>
                <w:sz w:val="24"/>
              </w:rPr>
            </w:pPr>
            <w:r>
              <w:rPr>
                <w:w w:val="99"/>
                <w:sz w:val="24"/>
              </w:rPr>
              <w:t>1</w:t>
            </w:r>
          </w:p>
        </w:tc>
        <w:tc>
          <w:tcPr>
            <w:tcW w:w="969" w:type="dxa"/>
            <w:tcBorders>
              <w:top w:val="single" w:sz="4" w:space="0" w:color="000000"/>
            </w:tcBorders>
          </w:tcPr>
          <w:p>
            <w:pPr>
              <w:pStyle w:val="TableParagraph"/>
              <w:spacing w:line="249" w:lineRule="exact"/>
              <w:ind w:left="104" w:right="102"/>
              <w:rPr>
                <w:sz w:val="24"/>
              </w:rPr>
            </w:pPr>
            <w:r>
              <w:rPr>
                <w:spacing w:val="-2"/>
                <w:sz w:val="24"/>
              </w:rPr>
              <w:t>99,966</w:t>
            </w:r>
          </w:p>
        </w:tc>
        <w:tc>
          <w:tcPr>
            <w:tcW w:w="1275" w:type="dxa"/>
            <w:tcBorders>
              <w:top w:val="single" w:sz="4" w:space="0" w:color="000000"/>
            </w:tcBorders>
          </w:tcPr>
          <w:p>
            <w:pPr>
              <w:pStyle w:val="TableParagraph"/>
              <w:spacing w:line="240" w:lineRule="auto"/>
              <w:jc w:val="left"/>
              <w:rPr>
                <w:sz w:val="18"/>
              </w:rPr>
            </w:pPr>
          </w:p>
        </w:tc>
        <w:tc>
          <w:tcPr>
            <w:tcW w:w="1381" w:type="dxa"/>
            <w:tcBorders>
              <w:top w:val="single" w:sz="4" w:space="0" w:color="000000"/>
            </w:tcBorders>
          </w:tcPr>
          <w:p>
            <w:pPr>
              <w:pStyle w:val="TableParagraph"/>
              <w:spacing w:line="240" w:lineRule="auto"/>
              <w:jc w:val="left"/>
              <w:rPr>
                <w:sz w:val="18"/>
              </w:rPr>
            </w:pPr>
          </w:p>
        </w:tc>
      </w:tr>
      <w:tr>
        <w:trPr>
          <w:trHeight w:val="288" w:hRule="atLeast"/>
        </w:trPr>
        <w:tc>
          <w:tcPr>
            <w:tcW w:w="1736" w:type="dxa"/>
          </w:tcPr>
          <w:p>
            <w:pPr>
              <w:pStyle w:val="TableParagraph"/>
              <w:ind w:left="111" w:right="111"/>
              <w:rPr>
                <w:sz w:val="24"/>
              </w:rPr>
            </w:pPr>
            <w:r>
              <w:rPr>
                <w:spacing w:val="-4"/>
                <w:sz w:val="24"/>
              </w:rPr>
              <w:t>Team</w:t>
            </w:r>
            <w:r>
              <w:rPr>
                <w:spacing w:val="-8"/>
                <w:sz w:val="24"/>
              </w:rPr>
              <w:t> </w:t>
            </w:r>
            <w:r>
              <w:rPr>
                <w:spacing w:val="-2"/>
                <w:sz w:val="24"/>
              </w:rPr>
              <w:t>overall</w:t>
            </w:r>
          </w:p>
        </w:tc>
        <w:tc>
          <w:tcPr>
            <w:tcW w:w="969" w:type="dxa"/>
          </w:tcPr>
          <w:p>
            <w:pPr>
              <w:pStyle w:val="TableParagraph"/>
              <w:ind w:left="103" w:right="102"/>
              <w:rPr>
                <w:sz w:val="24"/>
              </w:rPr>
            </w:pPr>
            <w:r>
              <w:rPr>
                <w:spacing w:val="-5"/>
                <w:sz w:val="24"/>
              </w:rPr>
              <w:t>12</w:t>
            </w:r>
          </w:p>
        </w:tc>
        <w:tc>
          <w:tcPr>
            <w:tcW w:w="969" w:type="dxa"/>
          </w:tcPr>
          <w:p>
            <w:pPr>
              <w:pStyle w:val="TableParagraph"/>
              <w:ind w:left="104" w:right="102"/>
              <w:rPr>
                <w:sz w:val="24"/>
              </w:rPr>
            </w:pPr>
            <w:r>
              <w:rPr>
                <w:spacing w:val="-4"/>
                <w:sz w:val="24"/>
              </w:rPr>
              <w:t>8105</w:t>
            </w:r>
          </w:p>
        </w:tc>
        <w:tc>
          <w:tcPr>
            <w:tcW w:w="1275" w:type="dxa"/>
          </w:tcPr>
          <w:p>
            <w:pPr>
              <w:pStyle w:val="TableParagraph"/>
              <w:ind w:left="107" w:right="104"/>
              <w:rPr>
                <w:sz w:val="24"/>
              </w:rPr>
            </w:pPr>
            <w:r>
              <w:rPr>
                <w:spacing w:val="-2"/>
                <w:sz w:val="24"/>
              </w:rPr>
              <w:t>7596-</w:t>
            </w:r>
            <w:r>
              <w:rPr>
                <w:spacing w:val="-4"/>
                <w:sz w:val="24"/>
              </w:rPr>
              <w:t>8937</w:t>
            </w:r>
          </w:p>
        </w:tc>
        <w:tc>
          <w:tcPr>
            <w:tcW w:w="1381" w:type="dxa"/>
          </w:tcPr>
          <w:p>
            <w:pPr>
              <w:pStyle w:val="TableParagraph"/>
              <w:ind w:left="109" w:right="105"/>
              <w:rPr>
                <w:sz w:val="24"/>
              </w:rPr>
            </w:pPr>
            <w:r>
              <w:rPr>
                <w:spacing w:val="-2"/>
                <w:sz w:val="24"/>
              </w:rPr>
              <w:t>7203/10324</w:t>
            </w:r>
          </w:p>
        </w:tc>
      </w:tr>
      <w:tr>
        <w:trPr>
          <w:trHeight w:val="306" w:hRule="atLeast"/>
        </w:trPr>
        <w:tc>
          <w:tcPr>
            <w:tcW w:w="1736" w:type="dxa"/>
            <w:tcBorders>
              <w:bottom w:val="single" w:sz="4" w:space="0" w:color="000000"/>
            </w:tcBorders>
          </w:tcPr>
          <w:p>
            <w:pPr>
              <w:pStyle w:val="TableParagraph"/>
              <w:spacing w:line="273" w:lineRule="exact"/>
              <w:ind w:left="111" w:right="111"/>
              <w:rPr>
                <w:sz w:val="24"/>
              </w:rPr>
            </w:pPr>
            <w:r>
              <w:rPr>
                <w:spacing w:val="-6"/>
                <w:sz w:val="24"/>
              </w:rPr>
              <w:t>Team-</w:t>
            </w:r>
            <w:r>
              <w:rPr>
                <w:spacing w:val="-2"/>
                <w:sz w:val="24"/>
              </w:rPr>
              <w:t>opponent</w:t>
            </w:r>
          </w:p>
        </w:tc>
        <w:tc>
          <w:tcPr>
            <w:tcW w:w="969" w:type="dxa"/>
            <w:tcBorders>
              <w:bottom w:val="single" w:sz="4" w:space="0" w:color="000000"/>
            </w:tcBorders>
          </w:tcPr>
          <w:p>
            <w:pPr>
              <w:pStyle w:val="TableParagraph"/>
              <w:spacing w:line="273" w:lineRule="exact"/>
              <w:ind w:left="103" w:right="102"/>
              <w:rPr>
                <w:sz w:val="24"/>
              </w:rPr>
            </w:pPr>
            <w:r>
              <w:rPr>
                <w:spacing w:val="-5"/>
                <w:sz w:val="24"/>
              </w:rPr>
              <w:t>132</w:t>
            </w:r>
          </w:p>
        </w:tc>
        <w:tc>
          <w:tcPr>
            <w:tcW w:w="969" w:type="dxa"/>
            <w:tcBorders>
              <w:bottom w:val="single" w:sz="4" w:space="0" w:color="000000"/>
            </w:tcBorders>
          </w:tcPr>
          <w:p>
            <w:pPr>
              <w:pStyle w:val="TableParagraph"/>
              <w:spacing w:line="273" w:lineRule="exact"/>
              <w:ind w:left="104" w:right="102"/>
              <w:rPr>
                <w:sz w:val="24"/>
              </w:rPr>
            </w:pPr>
            <w:r>
              <w:rPr>
                <w:spacing w:val="-5"/>
                <w:sz w:val="24"/>
              </w:rPr>
              <w:t>732</w:t>
            </w:r>
          </w:p>
        </w:tc>
        <w:tc>
          <w:tcPr>
            <w:tcW w:w="1275" w:type="dxa"/>
            <w:tcBorders>
              <w:bottom w:val="single" w:sz="4" w:space="0" w:color="000000"/>
            </w:tcBorders>
          </w:tcPr>
          <w:p>
            <w:pPr>
              <w:pStyle w:val="TableParagraph"/>
              <w:spacing w:line="273" w:lineRule="exact"/>
              <w:ind w:left="107" w:right="104"/>
              <w:rPr>
                <w:sz w:val="24"/>
              </w:rPr>
            </w:pPr>
            <w:r>
              <w:rPr>
                <w:spacing w:val="-2"/>
                <w:sz w:val="24"/>
              </w:rPr>
              <w:t>622-</w:t>
            </w:r>
            <w:r>
              <w:rPr>
                <w:spacing w:val="-5"/>
                <w:sz w:val="24"/>
              </w:rPr>
              <w:t>858</w:t>
            </w:r>
          </w:p>
        </w:tc>
        <w:tc>
          <w:tcPr>
            <w:tcW w:w="1381" w:type="dxa"/>
            <w:tcBorders>
              <w:bottom w:val="single" w:sz="4" w:space="0" w:color="000000"/>
            </w:tcBorders>
          </w:tcPr>
          <w:p>
            <w:pPr>
              <w:pStyle w:val="TableParagraph"/>
              <w:spacing w:line="273" w:lineRule="exact"/>
              <w:ind w:left="109" w:right="105"/>
              <w:rPr>
                <w:sz w:val="24"/>
              </w:rPr>
            </w:pPr>
            <w:r>
              <w:rPr>
                <w:spacing w:val="-2"/>
                <w:sz w:val="24"/>
              </w:rPr>
              <w:t>277/1551</w:t>
            </w:r>
          </w:p>
        </w:tc>
      </w:tr>
    </w:tbl>
    <w:p>
      <w:pPr>
        <w:pStyle w:val="BodyText"/>
        <w:rPr>
          <w:sz w:val="20"/>
        </w:rPr>
      </w:pPr>
    </w:p>
    <w:p>
      <w:pPr>
        <w:pStyle w:val="BodyText"/>
        <w:spacing w:before="8"/>
        <w:rPr>
          <w:sz w:val="29"/>
        </w:rPr>
      </w:pPr>
    </w:p>
    <w:p>
      <w:pPr>
        <w:pStyle w:val="BodyText"/>
        <w:spacing w:line="358" w:lineRule="exact" w:before="35"/>
        <w:ind w:left="610" w:right="389"/>
      </w:pPr>
      <w:r>
        <w:rPr/>
        <w:t>provided</w:t>
      </w:r>
      <w:r>
        <w:rPr>
          <w:spacing w:val="19"/>
        </w:rPr>
        <w:t> </w:t>
      </w:r>
      <w:r>
        <w:rPr/>
        <w:t>by</w:t>
      </w:r>
      <w:r>
        <w:rPr>
          <w:spacing w:val="21"/>
        </w:rPr>
        <w:t> </w:t>
      </w:r>
      <w:r>
        <w:rPr/>
        <w:t>Opta</w:t>
      </w:r>
      <w:r>
        <w:rPr>
          <w:spacing w:val="20"/>
        </w:rPr>
        <w:t> </w:t>
      </w:r>
      <w:r>
        <w:rPr/>
        <w:t>were</w:t>
      </w:r>
      <w:r>
        <w:rPr>
          <w:spacing w:val="20"/>
        </w:rPr>
        <w:t> </w:t>
      </w:r>
      <w:r>
        <w:rPr/>
        <w:t>directly</w:t>
      </w:r>
      <w:r>
        <w:rPr>
          <w:spacing w:val="21"/>
        </w:rPr>
        <w:t> </w:t>
      </w:r>
      <w:r>
        <w:rPr/>
        <w:t>modelled</w:t>
      </w:r>
      <w:r>
        <w:rPr>
          <w:spacing w:val="20"/>
        </w:rPr>
        <w:t> </w:t>
      </w:r>
      <w:r>
        <w:rPr/>
        <w:t>in</w:t>
      </w:r>
      <w:r>
        <w:rPr>
          <w:spacing w:val="20"/>
        </w:rPr>
        <w:t> </w:t>
      </w:r>
      <w:r>
        <w:rPr/>
        <w:t>this</w:t>
      </w:r>
      <w:r>
        <w:rPr>
          <w:spacing w:val="21"/>
        </w:rPr>
        <w:t> </w:t>
      </w:r>
      <w:r>
        <w:rPr/>
        <w:t>study.</w:t>
      </w:r>
      <w:r>
        <w:rPr>
          <w:spacing w:val="80"/>
        </w:rPr>
        <w:t> </w:t>
      </w:r>
      <w:r>
        <w:rPr/>
        <w:t>In</w:t>
      </w:r>
      <w:r>
        <w:rPr>
          <w:spacing w:val="20"/>
        </w:rPr>
        <w:t> </w:t>
      </w:r>
      <w:r>
        <w:rPr/>
        <w:t>2021,</w:t>
      </w:r>
      <w:r>
        <w:rPr>
          <w:spacing w:val="26"/>
        </w:rPr>
        <w:t> </w:t>
      </w:r>
      <w:r>
        <w:rPr/>
        <w:t>the</w:t>
      </w:r>
      <w:r>
        <w:rPr>
          <w:spacing w:val="20"/>
        </w:rPr>
        <w:t> </w:t>
      </w:r>
      <w:r>
        <w:rPr>
          <w:rFonts w:ascii="Cambria" w:hAnsi="Cambria"/>
        </w:rPr>
        <w:t>x,</w:t>
      </w:r>
      <w:r>
        <w:rPr>
          <w:rFonts w:ascii="Cambria" w:hAnsi="Cambria"/>
          <w:spacing w:val="-14"/>
        </w:rPr>
        <w:t> </w:t>
      </w:r>
      <w:r>
        <w:rPr>
          <w:rFonts w:ascii="Cambria" w:hAnsi="Cambria"/>
        </w:rPr>
        <w:t>y</w:t>
      </w:r>
      <w:r>
        <w:rPr>
          <w:rFonts w:ascii="Cambria" w:hAnsi="Cambria"/>
          <w:spacing w:val="35"/>
        </w:rPr>
        <w:t> </w:t>
      </w:r>
      <w:r>
        <w:rPr/>
        <w:t>location</w:t>
      </w:r>
      <w:r>
        <w:rPr>
          <w:spacing w:val="20"/>
        </w:rPr>
        <w:t> </w:t>
      </w:r>
      <w:r>
        <w:rPr/>
        <w:t>was denoted relative to a standardised 100m x 70m rugby league pitch, rather than the 100m x 68m pitch used in Chapters</w:t>
      </w:r>
      <w:r>
        <w:rPr>
          <w:color w:val="0000FF"/>
        </w:rPr>
        <w:t>3</w:t>
      </w:r>
      <w:r>
        <w:rPr/>
        <w:t>and</w:t>
      </w:r>
      <w:r>
        <w:rPr>
          <w:color w:val="0000FF"/>
        </w:rPr>
        <w:t>4</w:t>
      </w:r>
      <w:r>
        <w:rPr/>
        <w:t>.</w:t>
      </w:r>
      <w:r>
        <w:rPr>
          <w:spacing w:val="40"/>
        </w:rPr>
        <w:t> </w:t>
      </w:r>
      <w:r>
        <w:rPr/>
        <w:t>Actions occurring outside the 0-100m pitch are located in the possession team’s try area (0 to </w:t>
      </w:r>
      <w:r>
        <w:rPr>
          <w:rFonts w:ascii="Lucida Sans Unicode" w:hAnsi="Lucida Sans Unicode"/>
        </w:rPr>
        <w:t>−</w:t>
      </w:r>
      <w:r>
        <w:rPr>
          <w:rFonts w:ascii="Garamond" w:hAnsi="Garamond"/>
        </w:rPr>
        <w:t>10</w:t>
      </w:r>
      <w:r>
        <w:rPr/>
        <w:t>m) or the opposition team’s try area (100 to 110m). Figure</w:t>
      </w:r>
      <w:hyperlink w:history="true" w:anchor="_bookmark130">
        <w:r>
          <w:rPr>
            <w:color w:val="0000FF"/>
          </w:rPr>
          <w:t>5.2</w:t>
        </w:r>
      </w:hyperlink>
      <w:r>
        <w:rPr/>
        <w:t>shows the locations of the 99,966 actions used in this study.</w:t>
      </w:r>
    </w:p>
    <w:p>
      <w:pPr>
        <w:pStyle w:val="BodyText"/>
        <w:spacing w:line="312" w:lineRule="auto" w:before="65"/>
        <w:ind w:left="610" w:right="418" w:firstLine="351"/>
      </w:pPr>
      <w:r>
        <w:rPr/>
        <w:t>After completing the preprocessing steps, the dataset was filtered to include only the columns required for analysis.</w:t>
      </w:r>
      <w:r>
        <w:rPr>
          <w:spacing w:val="40"/>
        </w:rPr>
        <w:t> </w:t>
      </w:r>
      <w:r>
        <w:rPr/>
        <w:t>As such, the 138 individual xml files were </w:t>
      </w:r>
      <w:r>
        <w:rPr/>
        <w:t>preprocessed into a single dataframe of 99,966 rows and 4 columns.</w:t>
      </w:r>
      <w:r>
        <w:rPr>
          <w:spacing w:val="40"/>
        </w:rPr>
        <w:t> </w:t>
      </w:r>
      <w:r>
        <w:rPr/>
        <w:t>Table</w:t>
      </w:r>
      <w:hyperlink w:history="true" w:anchor="_bookmark131">
        <w:r>
          <w:rPr>
            <w:color w:val="0000FF"/>
          </w:rPr>
          <w:t>5.3</w:t>
        </w:r>
      </w:hyperlink>
      <w:r>
        <w:rPr/>
        <w:t>provides a sample of</w:t>
      </w:r>
      <w:r>
        <w:rPr>
          <w:spacing w:val="80"/>
        </w:rPr>
        <w:t> </w:t>
      </w:r>
      <w:r>
        <w:rPr/>
        <w:t>the</w:t>
      </w:r>
      <w:r>
        <w:rPr>
          <w:spacing w:val="24"/>
        </w:rPr>
        <w:t> </w:t>
      </w:r>
      <w:r>
        <w:rPr/>
        <w:t>data</w:t>
      </w:r>
      <w:r>
        <w:rPr>
          <w:spacing w:val="24"/>
        </w:rPr>
        <w:t> </w:t>
      </w:r>
      <w:r>
        <w:rPr/>
        <w:t>used</w:t>
      </w:r>
      <w:r>
        <w:rPr>
          <w:spacing w:val="24"/>
        </w:rPr>
        <w:t> </w:t>
      </w:r>
      <w:r>
        <w:rPr/>
        <w:t>for</w:t>
      </w:r>
      <w:r>
        <w:rPr>
          <w:spacing w:val="24"/>
        </w:rPr>
        <w:t> </w:t>
      </w:r>
      <w:r>
        <w:rPr/>
        <w:t>analysis.</w:t>
      </w:r>
      <w:r>
        <w:rPr>
          <w:spacing w:val="80"/>
        </w:rPr>
        <w:t> </w:t>
      </w:r>
      <w:r>
        <w:rPr/>
        <w:t>The</w:t>
      </w:r>
      <w:r>
        <w:rPr>
          <w:spacing w:val="24"/>
        </w:rPr>
        <w:t> </w:t>
      </w:r>
      <w:r>
        <w:rPr/>
        <w:t>inclusion</w:t>
      </w:r>
      <w:r>
        <w:rPr>
          <w:spacing w:val="24"/>
        </w:rPr>
        <w:t> </w:t>
      </w:r>
      <w:r>
        <w:rPr/>
        <w:t>of</w:t>
      </w:r>
      <w:r>
        <w:rPr>
          <w:spacing w:val="24"/>
        </w:rPr>
        <w:t> </w:t>
      </w:r>
      <w:r>
        <w:rPr/>
        <w:t>the</w:t>
      </w:r>
      <w:r>
        <w:rPr>
          <w:spacing w:val="24"/>
        </w:rPr>
        <w:t> </w:t>
      </w:r>
      <w:r>
        <w:rPr/>
        <w:t>attacking</w:t>
      </w:r>
      <w:r>
        <w:rPr>
          <w:spacing w:val="24"/>
        </w:rPr>
        <w:t> </w:t>
      </w:r>
      <w:r>
        <w:rPr/>
        <w:t>and</w:t>
      </w:r>
      <w:r>
        <w:rPr>
          <w:spacing w:val="24"/>
        </w:rPr>
        <w:t> </w:t>
      </w:r>
      <w:r>
        <w:rPr/>
        <w:t>defending</w:t>
      </w:r>
      <w:r>
        <w:rPr>
          <w:spacing w:val="24"/>
        </w:rPr>
        <w:t> </w:t>
      </w:r>
      <w:r>
        <w:rPr/>
        <w:t>teams</w:t>
      </w:r>
      <w:r>
        <w:rPr>
          <w:spacing w:val="24"/>
        </w:rPr>
        <w:t> </w:t>
      </w:r>
      <w:r>
        <w:rPr/>
        <w:t>in</w:t>
      </w:r>
      <w:r>
        <w:rPr>
          <w:spacing w:val="24"/>
        </w:rPr>
        <w:t> </w:t>
      </w:r>
      <w:r>
        <w:rPr/>
        <w:t>the final dataset was important to allow for comparisons in the spatial trends of attacking</w:t>
      </w:r>
      <w:r>
        <w:rPr>
          <w:spacing w:val="80"/>
          <w:w w:val="150"/>
        </w:rPr>
        <w:t> </w:t>
      </w:r>
      <w:r>
        <w:rPr/>
        <w:t>performances between and within teams to be made.</w:t>
      </w:r>
    </w:p>
    <w:p>
      <w:pPr>
        <w:pStyle w:val="BodyText"/>
        <w:spacing w:line="312" w:lineRule="auto"/>
        <w:ind w:left="610" w:right="389" w:firstLine="351"/>
        <w:jc w:val="both"/>
      </w:pPr>
      <w:r>
        <w:rPr/>
        <w:t>Three</w:t>
      </w:r>
      <w:r>
        <w:rPr>
          <w:spacing w:val="-9"/>
        </w:rPr>
        <w:t> </w:t>
      </w:r>
      <w:r>
        <w:rPr/>
        <w:t>levels</w:t>
      </w:r>
      <w:r>
        <w:rPr>
          <w:spacing w:val="-9"/>
        </w:rPr>
        <w:t> </w:t>
      </w:r>
      <w:r>
        <w:rPr/>
        <w:t>of</w:t>
      </w:r>
      <w:r>
        <w:rPr>
          <w:spacing w:val="-9"/>
        </w:rPr>
        <w:t> </w:t>
      </w:r>
      <w:r>
        <w:rPr/>
        <w:t>data</w:t>
      </w:r>
      <w:r>
        <w:rPr>
          <w:spacing w:val="-9"/>
        </w:rPr>
        <w:t> </w:t>
      </w:r>
      <w:r>
        <w:rPr/>
        <w:t>were</w:t>
      </w:r>
      <w:r>
        <w:rPr>
          <w:spacing w:val="-9"/>
        </w:rPr>
        <w:t> </w:t>
      </w:r>
      <w:r>
        <w:rPr/>
        <w:t>used</w:t>
      </w:r>
      <w:r>
        <w:rPr>
          <w:spacing w:val="-9"/>
        </w:rPr>
        <w:t> </w:t>
      </w:r>
      <w:r>
        <w:rPr/>
        <w:t>in</w:t>
      </w:r>
      <w:r>
        <w:rPr>
          <w:spacing w:val="-9"/>
        </w:rPr>
        <w:t> </w:t>
      </w:r>
      <w:r>
        <w:rPr/>
        <w:t>this</w:t>
      </w:r>
      <w:r>
        <w:rPr>
          <w:spacing w:val="-9"/>
        </w:rPr>
        <w:t> </w:t>
      </w:r>
      <w:r>
        <w:rPr/>
        <w:t>study. The</w:t>
      </w:r>
      <w:r>
        <w:rPr>
          <w:spacing w:val="-9"/>
        </w:rPr>
        <w:t> </w:t>
      </w:r>
      <w:r>
        <w:rPr/>
        <w:t>whole</w:t>
      </w:r>
      <w:r>
        <w:rPr>
          <w:spacing w:val="-9"/>
        </w:rPr>
        <w:t> </w:t>
      </w:r>
      <w:r>
        <w:rPr/>
        <w:t>league</w:t>
      </w:r>
      <w:r>
        <w:rPr>
          <w:spacing w:val="-9"/>
        </w:rPr>
        <w:t> </w:t>
      </w:r>
      <w:r>
        <w:rPr/>
        <w:t>data</w:t>
      </w:r>
      <w:r>
        <w:rPr>
          <w:spacing w:val="-9"/>
        </w:rPr>
        <w:t> </w:t>
      </w:r>
      <w:r>
        <w:rPr/>
        <w:t>used</w:t>
      </w:r>
      <w:r>
        <w:rPr>
          <w:spacing w:val="-9"/>
        </w:rPr>
        <w:t> </w:t>
      </w:r>
      <w:r>
        <w:rPr/>
        <w:t>the</w:t>
      </w:r>
      <w:r>
        <w:rPr>
          <w:spacing w:val="-9"/>
        </w:rPr>
        <w:t> </w:t>
      </w:r>
      <w:r>
        <w:rPr/>
        <w:t>complete set of data.</w:t>
      </w:r>
      <w:r>
        <w:rPr>
          <w:spacing w:val="33"/>
        </w:rPr>
        <w:t> </w:t>
      </w:r>
      <w:r>
        <w:rPr/>
        <w:t>The team overall data used a subset of data for a single team controlling the ball</w:t>
      </w:r>
      <w:r>
        <w:rPr>
          <w:spacing w:val="-4"/>
        </w:rPr>
        <w:t> </w:t>
      </w:r>
      <w:r>
        <w:rPr/>
        <w:t>against</w:t>
      </w:r>
      <w:r>
        <w:rPr>
          <w:spacing w:val="-4"/>
        </w:rPr>
        <w:t> </w:t>
      </w:r>
      <w:r>
        <w:rPr/>
        <w:t>any</w:t>
      </w:r>
      <w:r>
        <w:rPr>
          <w:spacing w:val="-4"/>
        </w:rPr>
        <w:t> </w:t>
      </w:r>
      <w:r>
        <w:rPr/>
        <w:t>opponent</w:t>
      </w:r>
      <w:r>
        <w:rPr>
          <w:spacing w:val="-4"/>
        </w:rPr>
        <w:t> </w:t>
      </w:r>
      <w:r>
        <w:rPr/>
        <w:t>(i.e.</w:t>
      </w:r>
      <w:r>
        <w:rPr>
          <w:spacing w:val="15"/>
        </w:rPr>
        <w:t> </w:t>
      </w:r>
      <w:r>
        <w:rPr/>
        <w:t>using</w:t>
      </w:r>
      <w:r>
        <w:rPr>
          <w:spacing w:val="-4"/>
        </w:rPr>
        <w:t> </w:t>
      </w:r>
      <w:r>
        <w:rPr/>
        <w:t>all</w:t>
      </w:r>
      <w:r>
        <w:rPr>
          <w:spacing w:val="-4"/>
        </w:rPr>
        <w:t> </w:t>
      </w:r>
      <w:r>
        <w:rPr/>
        <w:t>data</w:t>
      </w:r>
      <w:r>
        <w:rPr>
          <w:spacing w:val="-4"/>
        </w:rPr>
        <w:t> </w:t>
      </w:r>
      <w:r>
        <w:rPr/>
        <w:t>for</w:t>
      </w:r>
      <w:r>
        <w:rPr>
          <w:spacing w:val="-3"/>
        </w:rPr>
        <w:t> </w:t>
      </w:r>
      <w:r>
        <w:rPr/>
        <w:t>the</w:t>
      </w:r>
      <w:r>
        <w:rPr>
          <w:spacing w:val="-4"/>
        </w:rPr>
        <w:t> </w:t>
      </w:r>
      <w:r>
        <w:rPr/>
        <w:t>attacking</w:t>
      </w:r>
      <w:r>
        <w:rPr>
          <w:spacing w:val="-4"/>
        </w:rPr>
        <w:t> </w:t>
      </w:r>
      <w:r>
        <w:rPr/>
        <w:t>team).</w:t>
      </w:r>
      <w:r>
        <w:rPr>
          <w:spacing w:val="14"/>
        </w:rPr>
        <w:t> </w:t>
      </w:r>
      <w:r>
        <w:rPr/>
        <w:t>The</w:t>
      </w:r>
      <w:r>
        <w:rPr>
          <w:spacing w:val="-3"/>
        </w:rPr>
        <w:t> </w:t>
      </w:r>
      <w:r>
        <w:rPr/>
        <w:t>team-</w:t>
      </w:r>
      <w:r>
        <w:rPr>
          <w:spacing w:val="-2"/>
        </w:rPr>
        <w:t>opponent</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spacing w:before="4"/>
        <w:rPr>
          <w:sz w:val="15"/>
        </w:rPr>
      </w:pPr>
    </w:p>
    <w:p>
      <w:pPr>
        <w:pStyle w:val="BodyText"/>
        <w:ind w:left="2187"/>
        <w:rPr>
          <w:sz w:val="20"/>
        </w:rPr>
      </w:pPr>
      <w:r>
        <w:rPr>
          <w:sz w:val="20"/>
        </w:rPr>
        <w:drawing>
          <wp:inline distT="0" distB="0" distL="0" distR="0">
            <wp:extent cx="3399948" cy="3225736"/>
            <wp:effectExtent l="0" t="0" r="0" b="0"/>
            <wp:docPr id="69" name="image35.png"/>
            <wp:cNvGraphicFramePr>
              <a:graphicFrameLocks noChangeAspect="1"/>
            </wp:cNvGraphicFramePr>
            <a:graphic>
              <a:graphicData uri="http://schemas.openxmlformats.org/drawingml/2006/picture">
                <pic:pic>
                  <pic:nvPicPr>
                    <pic:cNvPr id="70" name="image35.png"/>
                    <pic:cNvPicPr/>
                  </pic:nvPicPr>
                  <pic:blipFill>
                    <a:blip r:embed="rId103" cstate="print"/>
                    <a:stretch>
                      <a:fillRect/>
                    </a:stretch>
                  </pic:blipFill>
                  <pic:spPr>
                    <a:xfrm>
                      <a:off x="0" y="0"/>
                      <a:ext cx="3399948" cy="3225736"/>
                    </a:xfrm>
                    <a:prstGeom prst="rect">
                      <a:avLst/>
                    </a:prstGeom>
                  </pic:spPr>
                </pic:pic>
              </a:graphicData>
            </a:graphic>
          </wp:inline>
        </w:drawing>
      </w:r>
      <w:r>
        <w:rPr>
          <w:sz w:val="20"/>
        </w:rPr>
      </w:r>
    </w:p>
    <w:p>
      <w:pPr>
        <w:pStyle w:val="BodyText"/>
        <w:rPr>
          <w:sz w:val="20"/>
        </w:rPr>
      </w:pPr>
    </w:p>
    <w:p>
      <w:pPr>
        <w:pStyle w:val="BodyText"/>
        <w:spacing w:before="227"/>
        <w:ind w:left="757" w:right="538"/>
        <w:jc w:val="center"/>
      </w:pPr>
      <w:bookmarkStart w:name="_bookmark133" w:id="231"/>
      <w:bookmarkEnd w:id="231"/>
      <w:r>
        <w:rPr/>
      </w:r>
      <w:r>
        <w:rPr>
          <w:b/>
        </w:rPr>
        <w:t>Figure</w:t>
      </w:r>
      <w:r>
        <w:rPr>
          <w:b/>
          <w:spacing w:val="-13"/>
        </w:rPr>
        <w:t> </w:t>
      </w:r>
      <w:r>
        <w:rPr>
          <w:b/>
        </w:rPr>
        <w:t>5.3: </w:t>
      </w:r>
      <w:r>
        <w:rPr/>
        <w:t>Workflow</w:t>
      </w:r>
      <w:r>
        <w:rPr>
          <w:spacing w:val="-12"/>
        </w:rPr>
        <w:t> </w:t>
      </w:r>
      <w:r>
        <w:rPr/>
        <w:t>of</w:t>
      </w:r>
      <w:r>
        <w:rPr>
          <w:spacing w:val="-12"/>
        </w:rPr>
        <w:t> </w:t>
      </w:r>
      <w:r>
        <w:rPr/>
        <w:t>analyses</w:t>
      </w:r>
      <w:r>
        <w:rPr>
          <w:spacing w:val="-13"/>
        </w:rPr>
        <w:t> </w:t>
      </w:r>
      <w:r>
        <w:rPr/>
        <w:t>conducted</w:t>
      </w:r>
      <w:r>
        <w:rPr>
          <w:spacing w:val="-12"/>
        </w:rPr>
        <w:t> </w:t>
      </w:r>
      <w:r>
        <w:rPr/>
        <w:t>within</w:t>
      </w:r>
      <w:r>
        <w:rPr>
          <w:spacing w:val="-12"/>
        </w:rPr>
        <w:t> </w:t>
      </w:r>
      <w:r>
        <w:rPr/>
        <w:t>this</w:t>
      </w:r>
      <w:r>
        <w:rPr>
          <w:spacing w:val="-12"/>
        </w:rPr>
        <w:t> </w:t>
      </w:r>
      <w:r>
        <w:rPr>
          <w:spacing w:val="-2"/>
        </w:rPr>
        <w:t>study</w:t>
      </w:r>
    </w:p>
    <w:p>
      <w:pPr>
        <w:pStyle w:val="BodyText"/>
        <w:spacing w:before="11"/>
        <w:rPr>
          <w:sz w:val="38"/>
        </w:rPr>
      </w:pPr>
    </w:p>
    <w:p>
      <w:pPr>
        <w:pStyle w:val="BodyText"/>
        <w:spacing w:line="312" w:lineRule="auto"/>
        <w:ind w:left="610" w:right="389"/>
        <w:jc w:val="both"/>
      </w:pPr>
      <w:r>
        <w:rPr/>
        <w:t>data used a subset of the data, which contained actions for a single team controlling </w:t>
      </w:r>
      <w:r>
        <w:rPr/>
        <w:t>the ball (i.e.</w:t>
      </w:r>
      <w:r>
        <w:rPr>
          <w:spacing w:val="40"/>
        </w:rPr>
        <w:t> </w:t>
      </w:r>
      <w:r>
        <w:rPr/>
        <w:t>attacking) against a specific opponent (identified using the attacking team and defending team columns).</w:t>
      </w:r>
      <w:r>
        <w:rPr>
          <w:spacing w:val="40"/>
        </w:rPr>
        <w:t> </w:t>
      </w:r>
      <w:r>
        <w:rPr/>
        <w:t>There were 12 team overall data subsets (one for each team) and 132 team-opponent data subsets (one for each team-opponent combination).</w:t>
      </w:r>
      <w:r>
        <w:rPr>
          <w:spacing w:val="40"/>
        </w:rPr>
        <w:t> </w:t>
      </w:r>
      <w:r>
        <w:rPr/>
        <w:t>Table </w:t>
      </w:r>
      <w:hyperlink w:history="true" w:anchor="_bookmark132">
        <w:r>
          <w:rPr>
            <w:color w:val="0000FF"/>
          </w:rPr>
          <w:t>5.4</w:t>
        </w:r>
      </w:hyperlink>
      <w:r>
        <w:rPr/>
        <w:t>provides descriptive data for the three levels of analysis. It shows that the greater the number of subsets produced, the smaller the number of actions included.</w:t>
      </w:r>
      <w:r>
        <w:rPr>
          <w:spacing w:val="40"/>
        </w:rPr>
        <w:t> </w:t>
      </w:r>
      <w:r>
        <w:rPr/>
        <w:t>Furthermore, there is greater variation in the size of the subsets when more are used, which can be attributed</w:t>
      </w:r>
      <w:r>
        <w:rPr>
          <w:spacing w:val="-10"/>
        </w:rPr>
        <w:t> </w:t>
      </w:r>
      <w:r>
        <w:rPr/>
        <w:t>to</w:t>
      </w:r>
      <w:r>
        <w:rPr>
          <w:spacing w:val="-10"/>
        </w:rPr>
        <w:t> </w:t>
      </w:r>
      <w:r>
        <w:rPr/>
        <w:t>the</w:t>
      </w:r>
      <w:r>
        <w:rPr>
          <w:spacing w:val="-10"/>
        </w:rPr>
        <w:t> </w:t>
      </w:r>
      <w:r>
        <w:rPr/>
        <w:t>varied</w:t>
      </w:r>
      <w:r>
        <w:rPr>
          <w:spacing w:val="-10"/>
        </w:rPr>
        <w:t> </w:t>
      </w:r>
      <w:r>
        <w:rPr/>
        <w:t>number</w:t>
      </w:r>
      <w:r>
        <w:rPr>
          <w:spacing w:val="-10"/>
        </w:rPr>
        <w:t> </w:t>
      </w:r>
      <w:r>
        <w:rPr/>
        <w:t>of</w:t>
      </w:r>
      <w:r>
        <w:rPr>
          <w:spacing w:val="-10"/>
        </w:rPr>
        <w:t> </w:t>
      </w:r>
      <w:r>
        <w:rPr/>
        <w:t>matches</w:t>
      </w:r>
      <w:r>
        <w:rPr>
          <w:spacing w:val="-10"/>
        </w:rPr>
        <w:t> </w:t>
      </w:r>
      <w:r>
        <w:rPr/>
        <w:t>played</w:t>
      </w:r>
      <w:r>
        <w:rPr>
          <w:spacing w:val="-10"/>
        </w:rPr>
        <w:t> </w:t>
      </w:r>
      <w:r>
        <w:rPr/>
        <w:t>against</w:t>
      </w:r>
      <w:r>
        <w:rPr>
          <w:spacing w:val="-10"/>
        </w:rPr>
        <w:t> </w:t>
      </w:r>
      <w:r>
        <w:rPr/>
        <w:t>different</w:t>
      </w:r>
      <w:r>
        <w:rPr>
          <w:spacing w:val="-10"/>
        </w:rPr>
        <w:t> </w:t>
      </w:r>
      <w:r>
        <w:rPr/>
        <w:t>opponents</w:t>
      </w:r>
      <w:r>
        <w:rPr>
          <w:spacing w:val="-10"/>
        </w:rPr>
        <w:t> </w:t>
      </w:r>
      <w:r>
        <w:rPr/>
        <w:t>in</w:t>
      </w:r>
      <w:r>
        <w:rPr>
          <w:spacing w:val="-10"/>
        </w:rPr>
        <w:t> </w:t>
      </w:r>
      <w:r>
        <w:rPr/>
        <w:t>the</w:t>
      </w:r>
      <w:r>
        <w:rPr>
          <w:spacing w:val="-10"/>
        </w:rPr>
        <w:t> </w:t>
      </w:r>
      <w:r>
        <w:rPr/>
        <w:t>2021 </w:t>
      </w:r>
      <w:r>
        <w:rPr>
          <w:spacing w:val="-2"/>
        </w:rPr>
        <w:t>season.</w:t>
      </w:r>
    </w:p>
    <w:p>
      <w:pPr>
        <w:pStyle w:val="BodyText"/>
        <w:spacing w:before="6"/>
        <w:rPr>
          <w:sz w:val="34"/>
        </w:rPr>
      </w:pPr>
    </w:p>
    <w:p>
      <w:pPr>
        <w:pStyle w:val="Heading3"/>
        <w:numPr>
          <w:ilvl w:val="2"/>
          <w:numId w:val="23"/>
        </w:numPr>
        <w:tabs>
          <w:tab w:pos="1471" w:val="left" w:leader="none"/>
          <w:tab w:pos="1472" w:val="left" w:leader="none"/>
        </w:tabs>
        <w:spacing w:line="240" w:lineRule="auto" w:before="0" w:after="0"/>
        <w:ind w:left="1471" w:right="0" w:hanging="862"/>
        <w:jc w:val="left"/>
      </w:pPr>
      <w:bookmarkStart w:name="_TOC_250025" w:id="232"/>
      <w:bookmarkStart w:name="5.2.3 Kernel Density Estimation" w:id="233"/>
      <w:r>
        <w:rPr>
          <w:b w:val="0"/>
        </w:rPr>
      </w:r>
      <w:bookmarkStart w:name="_bookmark134" w:id="234"/>
      <w:bookmarkEnd w:id="234"/>
      <w:r>
        <w:rPr/>
        <w:t>K</w:t>
      </w:r>
      <w:r>
        <w:rPr/>
        <w:t>ernel</w:t>
      </w:r>
      <w:r>
        <w:rPr>
          <w:spacing w:val="11"/>
        </w:rPr>
        <w:t> </w:t>
      </w:r>
      <w:r>
        <w:rPr/>
        <w:t>Density</w:t>
      </w:r>
      <w:r>
        <w:rPr>
          <w:spacing w:val="12"/>
        </w:rPr>
        <w:t> </w:t>
      </w:r>
      <w:bookmarkEnd w:id="232"/>
      <w:r>
        <w:rPr>
          <w:spacing w:val="-2"/>
        </w:rPr>
        <w:t>Estimation</w:t>
      </w:r>
    </w:p>
    <w:p>
      <w:pPr>
        <w:pStyle w:val="BodyText"/>
        <w:spacing w:line="312" w:lineRule="auto" w:before="235"/>
        <w:ind w:left="610" w:right="389"/>
        <w:jc w:val="both"/>
      </w:pPr>
      <w:r>
        <w:rPr/>
        <w:t>The aim of this study was to present a method of evaluating the differences in spatial trends of team attacking performances in rugby league by adapting, validating and </w:t>
      </w:r>
      <w:r>
        <w:rPr/>
        <w:t>ex- tending the methods used by</w:t>
      </w:r>
      <w:hyperlink w:history="true" w:anchor="_bookmark271">
        <w:r>
          <w:rPr>
            <w:color w:val="FF0000"/>
          </w:rPr>
          <w:t>Mallepalle et al.</w:t>
        </w:r>
        <w:r>
          <w:rPr/>
          <w:t>(</w:t>
        </w:r>
      </w:hyperlink>
      <w:r>
        <w:rPr>
          <w:color w:val="FF0000"/>
        </w:rPr>
        <w:t>2020</w:t>
      </w:r>
      <w:hyperlink w:history="true" w:anchor="_bookmark271">
        <w:r>
          <w:rPr/>
          <w:t>)</w:t>
        </w:r>
      </w:hyperlink>
      <w:r>
        <w:rPr/>
        <w:t> in American football.</w:t>
      </w:r>
      <w:r>
        <w:rPr>
          <w:spacing w:val="40"/>
        </w:rPr>
        <w:t> </w:t>
      </w:r>
      <w:r>
        <w:rPr/>
        <w:t>Figure</w:t>
      </w:r>
      <w:r>
        <w:rPr>
          <w:color w:val="0000FF"/>
        </w:rPr>
        <w:t>5.3</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before="97"/>
        <w:ind w:left="610"/>
      </w:pPr>
      <w:r>
        <w:rPr/>
        <w:t>provides</w:t>
      </w:r>
      <w:r>
        <w:rPr>
          <w:spacing w:val="-7"/>
        </w:rPr>
        <w:t> </w:t>
      </w:r>
      <w:r>
        <w:rPr/>
        <w:t>a</w:t>
      </w:r>
      <w:r>
        <w:rPr>
          <w:spacing w:val="-7"/>
        </w:rPr>
        <w:t> </w:t>
      </w:r>
      <w:r>
        <w:rPr/>
        <w:t>schematic</w:t>
      </w:r>
      <w:r>
        <w:rPr>
          <w:spacing w:val="-7"/>
        </w:rPr>
        <w:t> </w:t>
      </w:r>
      <w:r>
        <w:rPr/>
        <w:t>of</w:t>
      </w:r>
      <w:r>
        <w:rPr>
          <w:spacing w:val="-6"/>
        </w:rPr>
        <w:t> </w:t>
      </w:r>
      <w:r>
        <w:rPr/>
        <w:t>the</w:t>
      </w:r>
      <w:r>
        <w:rPr>
          <w:spacing w:val="-7"/>
        </w:rPr>
        <w:t> </w:t>
      </w:r>
      <w:r>
        <w:rPr/>
        <w:t>analyses</w:t>
      </w:r>
      <w:r>
        <w:rPr>
          <w:spacing w:val="-7"/>
        </w:rPr>
        <w:t> </w:t>
      </w:r>
      <w:r>
        <w:rPr/>
        <w:t>conducted</w:t>
      </w:r>
      <w:r>
        <w:rPr>
          <w:spacing w:val="-6"/>
        </w:rPr>
        <w:t> </w:t>
      </w:r>
      <w:r>
        <w:rPr/>
        <w:t>in</w:t>
      </w:r>
      <w:r>
        <w:rPr>
          <w:spacing w:val="-7"/>
        </w:rPr>
        <w:t> </w:t>
      </w:r>
      <w:r>
        <w:rPr/>
        <w:t>this</w:t>
      </w:r>
      <w:r>
        <w:rPr>
          <w:spacing w:val="-7"/>
        </w:rPr>
        <w:t> </w:t>
      </w:r>
      <w:r>
        <w:rPr>
          <w:spacing w:val="-2"/>
        </w:rPr>
        <w:t>study.</w:t>
      </w:r>
    </w:p>
    <w:p>
      <w:pPr>
        <w:pStyle w:val="BodyText"/>
        <w:spacing w:line="312" w:lineRule="auto" w:before="83"/>
        <w:ind w:left="610" w:right="389" w:firstLine="351"/>
      </w:pPr>
      <w:r>
        <w:rPr/>
        <w:t>Kernel Density Estimation (KDE), described in Definition</w:t>
      </w:r>
      <w:hyperlink w:history="true" w:anchor="_bookmark135">
        <w:r>
          <w:rPr>
            <w:color w:val="0000FF"/>
          </w:rPr>
          <w:t>5.2.1</w:t>
        </w:r>
        <w:r>
          <w:rPr/>
          <w:t>,</w:t>
        </w:r>
      </w:hyperlink>
      <w:r>
        <w:rPr/>
        <w:t> provides a method through which data can be smoothed using kernel smoothing.</w:t>
      </w:r>
      <w:r>
        <w:rPr>
          <w:spacing w:val="27"/>
        </w:rPr>
        <w:t> </w:t>
      </w:r>
      <w:r>
        <w:rPr/>
        <w:t>It allows inferences about the population to be made based on a finite data sample.</w:t>
      </w:r>
      <w:r>
        <w:rPr>
          <w:spacing w:val="28"/>
        </w:rPr>
        <w:t> </w:t>
      </w:r>
      <w:r>
        <w:rPr/>
        <w:t>KDEs were used by</w:t>
      </w:r>
      <w:hyperlink w:history="true" w:anchor="_bookmark271">
        <w:r>
          <w:rPr>
            <w:color w:val="FF0000"/>
          </w:rPr>
          <w:t>Mallepalle</w:t>
        </w:r>
      </w:hyperlink>
      <w:r>
        <w:rPr>
          <w:color w:val="FF0000"/>
        </w:rPr>
        <w:t> </w:t>
      </w:r>
      <w:hyperlink w:history="true" w:anchor="_bookmark271">
        <w:r>
          <w:rPr>
            <w:color w:val="FF0000"/>
          </w:rPr>
          <w:t>et al.</w:t>
        </w:r>
      </w:hyperlink>
      <w:r>
        <w:rPr/>
        <w:t>(</w:t>
      </w:r>
      <w:hyperlink w:history="true" w:anchor="_bookmark271">
        <w:r>
          <w:rPr>
            <w:color w:val="FF0000"/>
          </w:rPr>
          <w:t>2020</w:t>
        </w:r>
        <w:r>
          <w:rPr/>
          <w:t>)</w:t>
        </w:r>
      </w:hyperlink>
      <w:r>
        <w:rPr/>
        <w:t> to quantify pass probability distributions for quarterbacks in American foot- ball.</w:t>
      </w:r>
      <w:r>
        <w:rPr>
          <w:spacing w:val="19"/>
        </w:rPr>
        <w:t> </w:t>
      </w:r>
      <w:r>
        <w:rPr/>
        <w:t>In</w:t>
      </w:r>
      <w:r>
        <w:rPr>
          <w:spacing w:val="-2"/>
        </w:rPr>
        <w:t> </w:t>
      </w:r>
      <w:r>
        <w:rPr/>
        <w:t>this</w:t>
      </w:r>
      <w:r>
        <w:rPr>
          <w:spacing w:val="-2"/>
        </w:rPr>
        <w:t> </w:t>
      </w:r>
      <w:r>
        <w:rPr/>
        <w:t>study,</w:t>
      </w:r>
      <w:r>
        <w:rPr>
          <w:spacing w:val="-1"/>
        </w:rPr>
        <w:t> </w:t>
      </w:r>
      <w:r>
        <w:rPr/>
        <w:t>KDEs</w:t>
      </w:r>
      <w:r>
        <w:rPr>
          <w:spacing w:val="-2"/>
        </w:rPr>
        <w:t> </w:t>
      </w:r>
      <w:r>
        <w:rPr/>
        <w:t>are</w:t>
      </w:r>
      <w:r>
        <w:rPr>
          <w:spacing w:val="-2"/>
        </w:rPr>
        <w:t> </w:t>
      </w:r>
      <w:r>
        <w:rPr/>
        <w:t>used</w:t>
      </w:r>
      <w:r>
        <w:rPr>
          <w:spacing w:val="-2"/>
        </w:rPr>
        <w:t> </w:t>
      </w:r>
      <w:r>
        <w:rPr/>
        <w:t>to</w:t>
      </w:r>
      <w:r>
        <w:rPr>
          <w:spacing w:val="-2"/>
        </w:rPr>
        <w:t> </w:t>
      </w:r>
      <w:r>
        <w:rPr/>
        <w:t>quantify</w:t>
      </w:r>
      <w:r>
        <w:rPr>
          <w:spacing w:val="-2"/>
        </w:rPr>
        <w:t> </w:t>
      </w:r>
      <w:r>
        <w:rPr/>
        <w:t>the</w:t>
      </w:r>
      <w:r>
        <w:rPr>
          <w:spacing w:val="-2"/>
        </w:rPr>
        <w:t> </w:t>
      </w:r>
      <w:r>
        <w:rPr/>
        <w:t>spatial</w:t>
      </w:r>
      <w:r>
        <w:rPr>
          <w:spacing w:val="-2"/>
        </w:rPr>
        <w:t> </w:t>
      </w:r>
      <w:r>
        <w:rPr/>
        <w:t>trends</w:t>
      </w:r>
      <w:r>
        <w:rPr>
          <w:spacing w:val="-2"/>
        </w:rPr>
        <w:t> </w:t>
      </w:r>
      <w:r>
        <w:rPr/>
        <w:t>of</w:t>
      </w:r>
      <w:r>
        <w:rPr>
          <w:spacing w:val="-2"/>
        </w:rPr>
        <w:t> </w:t>
      </w:r>
      <w:r>
        <w:rPr/>
        <w:t>team</w:t>
      </w:r>
      <w:r>
        <w:rPr>
          <w:spacing w:val="-2"/>
        </w:rPr>
        <w:t> </w:t>
      </w:r>
      <w:r>
        <w:rPr/>
        <w:t>attacking</w:t>
      </w:r>
      <w:r>
        <w:rPr>
          <w:spacing w:val="-2"/>
        </w:rPr>
        <w:t> </w:t>
      </w:r>
      <w:r>
        <w:rPr/>
        <w:t>perfor- </w:t>
      </w:r>
      <w:r>
        <w:rPr>
          <w:spacing w:val="-2"/>
        </w:rPr>
        <w:t>mances.</w:t>
      </w:r>
    </w:p>
    <w:p>
      <w:pPr>
        <w:pStyle w:val="BodyText"/>
        <w:spacing w:line="312" w:lineRule="auto" w:before="78"/>
        <w:ind w:left="610" w:right="389"/>
      </w:pPr>
      <w:bookmarkStart w:name="_bookmark135" w:id="235"/>
      <w:bookmarkEnd w:id="235"/>
      <w:r>
        <w:rPr/>
      </w:r>
      <w:r>
        <w:rPr>
          <w:b/>
        </w:rPr>
        <w:t>Definition 5.2.1.</w:t>
      </w:r>
      <w:r>
        <w:rPr>
          <w:b/>
          <w:spacing w:val="40"/>
        </w:rPr>
        <w:t> </w:t>
      </w:r>
      <w:r>
        <w:rPr/>
        <w:t>Kernel Density Estimation (KDE) is a non-parametric method of </w:t>
      </w:r>
      <w:r>
        <w:rPr/>
        <w:t>es- timating the unknown probability density function of a dataset (</w:t>
      </w:r>
      <w:hyperlink w:history="true" w:anchor="_bookmark286">
        <w:r>
          <w:rPr>
            <w:color w:val="FF0000"/>
          </w:rPr>
          <w:t>Rosenblatt</w:t>
        </w:r>
      </w:hyperlink>
      <w:r>
        <w:rPr/>
        <w:t>,</w:t>
      </w:r>
      <w:hyperlink w:history="true" w:anchor="_bookmark286">
        <w:r>
          <w:rPr>
            <w:color w:val="FF0000"/>
          </w:rPr>
          <w:t>1956</w:t>
        </w:r>
      </w:hyperlink>
      <w:r>
        <w:rPr/>
        <w:t>).</w:t>
      </w:r>
      <w:r>
        <w:rPr>
          <w:spacing w:val="40"/>
        </w:rPr>
        <w:t> </w:t>
      </w:r>
      <w:r>
        <w:rPr/>
        <w:t>The</w:t>
      </w:r>
    </w:p>
    <w:p>
      <w:pPr>
        <w:spacing w:after="0" w:line="312" w:lineRule="auto"/>
        <w:sectPr>
          <w:pgSz w:w="11910" w:h="16840"/>
          <w:pgMar w:header="1961" w:footer="1428" w:top="2280" w:bottom="1620" w:left="1680" w:right="720"/>
        </w:sectPr>
      </w:pPr>
    </w:p>
    <w:p>
      <w:pPr>
        <w:pStyle w:val="BodyText"/>
        <w:spacing w:line="305" w:lineRule="exact"/>
        <w:ind w:left="610"/>
        <w:rPr>
          <w:rFonts w:ascii="Cambria" w:hAnsi="Cambria"/>
        </w:rPr>
      </w:pPr>
      <w:r>
        <w:rPr/>
        <w:pict>
          <v:shape style="position:absolute;margin-left:409.880005pt;margin-top:8.441787pt;width:13.75pt;height:8pt;mso-position-horizontal-relative:page;mso-position-vertical-relative:paragraph;z-index:-21755904" type="#_x0000_t202" id="docshape137" filled="false" stroked="false">
            <v:textbox inset="0,0,0,0">
              <w:txbxContent>
                <w:p>
                  <w:pPr>
                    <w:spacing w:line="155" w:lineRule="exact" w:before="0"/>
                    <w:ind w:left="0" w:right="0" w:firstLine="0"/>
                    <w:jc w:val="left"/>
                    <w:rPr>
                      <w:rFonts w:ascii="Georgia"/>
                      <w:sz w:val="16"/>
                    </w:rPr>
                  </w:pPr>
                  <w:r>
                    <w:rPr>
                      <w:rFonts w:ascii="Cambria"/>
                      <w:spacing w:val="-5"/>
                      <w:w w:val="125"/>
                      <w:sz w:val="16"/>
                    </w:rPr>
                    <w:t>i</w:t>
                  </w:r>
                  <w:r>
                    <w:rPr>
                      <w:rFonts w:ascii="Georgia"/>
                      <w:spacing w:val="-5"/>
                      <w:w w:val="125"/>
                      <w:sz w:val="16"/>
                    </w:rPr>
                    <w:t>=1</w:t>
                  </w:r>
                </w:p>
              </w:txbxContent>
            </v:textbox>
            <w10:wrap type="none"/>
          </v:shape>
        </w:pict>
      </w:r>
      <w:r>
        <w:rPr/>
        <w:t>bivariate</w:t>
      </w:r>
      <w:r>
        <w:rPr>
          <w:spacing w:val="-12"/>
        </w:rPr>
        <w:t> </w:t>
      </w:r>
      <w:r>
        <w:rPr/>
        <w:t>KDE</w:t>
      </w:r>
      <w:r>
        <w:rPr>
          <w:spacing w:val="-8"/>
        </w:rPr>
        <w:t> </w:t>
      </w:r>
      <w:r>
        <w:rPr/>
        <w:t>(</w:t>
      </w:r>
      <w:r>
        <w:rPr>
          <w:rFonts w:ascii="Cambria" w:hAnsi="Cambria"/>
        </w:rPr>
        <w:t>f</w:t>
      </w:r>
      <w:r>
        <w:rPr>
          <w:rFonts w:ascii="Garamond" w:hAnsi="Garamond"/>
          <w:position w:val="6"/>
        </w:rPr>
        <w:t>ˆ</w:t>
      </w:r>
      <w:r>
        <w:rPr>
          <w:rFonts w:ascii="Cambria" w:hAnsi="Cambria"/>
          <w:position w:val="-3"/>
          <w:sz w:val="16"/>
        </w:rPr>
        <w:t>H</w:t>
      </w:r>
      <w:r>
        <w:rPr>
          <w:rFonts w:ascii="Cambria" w:hAnsi="Cambria"/>
          <w:spacing w:val="-13"/>
          <w:position w:val="-3"/>
          <w:sz w:val="16"/>
        </w:rPr>
        <w:t> </w:t>
      </w:r>
      <w:r>
        <w:rPr/>
        <w:t>)</w:t>
      </w:r>
      <w:r>
        <w:rPr>
          <w:spacing w:val="-9"/>
        </w:rPr>
        <w:t> </w:t>
      </w:r>
      <w:r>
        <w:rPr/>
        <w:t>of</w:t>
      </w:r>
      <w:r>
        <w:rPr>
          <w:spacing w:val="-8"/>
        </w:rPr>
        <w:t> </w:t>
      </w:r>
      <w:r>
        <w:rPr/>
        <w:t>a</w:t>
      </w:r>
      <w:r>
        <w:rPr>
          <w:spacing w:val="-9"/>
        </w:rPr>
        <w:t> </w:t>
      </w:r>
      <w:r>
        <w:rPr/>
        <w:t>sample</w:t>
      </w:r>
      <w:r>
        <w:rPr>
          <w:spacing w:val="-8"/>
        </w:rPr>
        <w:t> </w:t>
      </w:r>
      <w:r>
        <w:rPr/>
        <w:t>of</w:t>
      </w:r>
      <w:r>
        <w:rPr>
          <w:spacing w:val="-9"/>
        </w:rPr>
        <w:t> </w:t>
      </w:r>
      <w:r>
        <w:rPr>
          <w:rFonts w:ascii="Garamond" w:hAnsi="Garamond"/>
        </w:rPr>
        <w:t>2</w:t>
      </w:r>
      <w:r>
        <w:rPr/>
        <w:t>-dimensional</w:t>
      </w:r>
      <w:r>
        <w:rPr>
          <w:spacing w:val="-8"/>
        </w:rPr>
        <w:t> </w:t>
      </w:r>
      <w:r>
        <w:rPr/>
        <w:t>vectors</w:t>
      </w:r>
      <w:r>
        <w:rPr>
          <w:spacing w:val="-9"/>
        </w:rPr>
        <w:t> </w:t>
      </w:r>
      <w:r>
        <w:rPr>
          <w:rFonts w:ascii="Garamond" w:hAnsi="Garamond"/>
          <w:spacing w:val="9"/>
          <w:w w:val="104"/>
        </w:rPr>
        <w:t>(</w:t>
      </w:r>
      <w:r>
        <w:rPr>
          <w:rFonts w:ascii="Cambria" w:hAnsi="Cambria"/>
          <w:spacing w:val="-100"/>
          <w:w w:val="107"/>
        </w:rPr>
        <w:t>⃗</w:t>
      </w:r>
      <w:r>
        <w:rPr>
          <w:rFonts w:ascii="Cambria" w:hAnsi="Cambria"/>
          <w:spacing w:val="13"/>
          <w:w w:val="89"/>
        </w:rPr>
        <w:t>x</w:t>
      </w:r>
      <w:r>
        <w:rPr>
          <w:rFonts w:ascii="Cambria" w:hAnsi="Cambria"/>
          <w:spacing w:val="23"/>
          <w:w w:val="103"/>
          <w:vertAlign w:val="subscript"/>
        </w:rPr>
        <w:t>i</w:t>
      </w:r>
      <w:r>
        <w:rPr>
          <w:rFonts w:ascii="Garamond" w:hAnsi="Garamond"/>
          <w:spacing w:val="13"/>
          <w:w w:val="104"/>
          <w:vertAlign w:val="baseline"/>
        </w:rPr>
        <w:t>)</w:t>
      </w:r>
      <w:r>
        <w:rPr>
          <w:rFonts w:ascii="Cambria" w:hAnsi="Cambria"/>
          <w:spacing w:val="13"/>
          <w:w w:val="89"/>
          <w:vertAlign w:val="superscript"/>
        </w:rPr>
        <w:t>n</w:t>
      </w:r>
    </w:p>
    <w:p>
      <w:pPr>
        <w:pStyle w:val="BodyText"/>
        <w:spacing w:before="5"/>
        <w:ind w:left="201"/>
      </w:pPr>
      <w:r>
        <w:rPr/>
        <w:br w:type="column"/>
      </w:r>
      <w:r>
        <w:rPr/>
        <w:t>is</w:t>
      </w:r>
      <w:r>
        <w:rPr>
          <w:spacing w:val="-13"/>
        </w:rPr>
        <w:t> </w:t>
      </w:r>
      <w:r>
        <w:rPr/>
        <w:t>defined</w:t>
      </w:r>
      <w:r>
        <w:rPr>
          <w:spacing w:val="-13"/>
        </w:rPr>
        <w:t> </w:t>
      </w:r>
      <w:r>
        <w:rPr>
          <w:spacing w:val="-5"/>
        </w:rPr>
        <w:t>as</w:t>
      </w:r>
    </w:p>
    <w:p>
      <w:pPr>
        <w:spacing w:after="0"/>
        <w:sectPr>
          <w:type w:val="continuous"/>
          <w:pgSz w:w="11910" w:h="16840"/>
          <w:pgMar w:header="1961" w:footer="1428" w:top="1920" w:bottom="280" w:left="1680" w:right="720"/>
          <w:cols w:num="2" w:equalWidth="0">
            <w:col w:w="6621" w:space="40"/>
            <w:col w:w="2849"/>
          </w:cols>
        </w:sectPr>
      </w:pPr>
    </w:p>
    <w:p>
      <w:pPr>
        <w:pStyle w:val="BodyText"/>
        <w:spacing w:before="1"/>
        <w:rPr>
          <w:sz w:val="15"/>
        </w:rPr>
      </w:pPr>
    </w:p>
    <w:p>
      <w:pPr>
        <w:spacing w:after="0"/>
        <w:rPr>
          <w:sz w:val="15"/>
        </w:rPr>
        <w:sectPr>
          <w:type w:val="continuous"/>
          <w:pgSz w:w="11910" w:h="16840"/>
          <w:pgMar w:header="1961" w:footer="1428" w:top="1920" w:bottom="280" w:left="1680" w:right="720"/>
        </w:sectPr>
      </w:pPr>
    </w:p>
    <w:p>
      <w:pPr>
        <w:spacing w:before="249"/>
        <w:ind w:left="0" w:right="0" w:firstLine="0"/>
        <w:jc w:val="right"/>
        <w:rPr>
          <w:rFonts w:ascii="Cambria" w:hAnsi="Cambria"/>
          <w:sz w:val="16"/>
        </w:rPr>
      </w:pPr>
      <w:r>
        <w:rPr>
          <w:rFonts w:ascii="Cambria" w:hAnsi="Cambria"/>
          <w:spacing w:val="-5"/>
          <w:w w:val="145"/>
          <w:position w:val="-5"/>
          <w:sz w:val="24"/>
        </w:rPr>
        <w:t>f</w:t>
      </w:r>
      <w:r>
        <w:rPr>
          <w:rFonts w:ascii="Garamond" w:hAnsi="Garamond"/>
          <w:spacing w:val="-5"/>
          <w:w w:val="145"/>
          <w:sz w:val="24"/>
        </w:rPr>
        <w:t>ˆ</w:t>
      </w:r>
      <w:r>
        <w:rPr>
          <w:rFonts w:ascii="Cambria" w:hAnsi="Cambria"/>
          <w:spacing w:val="-5"/>
          <w:w w:val="145"/>
          <w:position w:val="-9"/>
          <w:sz w:val="16"/>
        </w:rPr>
        <w:t>H</w:t>
      </w:r>
    </w:p>
    <w:p>
      <w:pPr>
        <w:spacing w:before="68"/>
        <w:ind w:left="961" w:right="0" w:firstLine="0"/>
        <w:jc w:val="left"/>
        <w:rPr>
          <w:rFonts w:ascii="Cambria"/>
          <w:sz w:val="16"/>
        </w:rPr>
      </w:pPr>
      <w:r>
        <w:rPr/>
        <w:br w:type="column"/>
      </w:r>
      <w:r>
        <w:rPr>
          <w:rFonts w:ascii="Cambria"/>
          <w:spacing w:val="-10"/>
          <w:w w:val="115"/>
          <w:sz w:val="16"/>
        </w:rPr>
        <w:t>n</w:t>
      </w:r>
    </w:p>
    <w:p>
      <w:pPr>
        <w:pStyle w:val="BodyText"/>
        <w:tabs>
          <w:tab w:pos="1224" w:val="left" w:leader="none"/>
        </w:tabs>
        <w:spacing w:line="228" w:lineRule="exact" w:before="35"/>
        <w:ind w:left="-18"/>
        <w:jc w:val="center"/>
        <w:rPr>
          <w:rFonts w:ascii="Cambria" w:hAnsi="Cambria"/>
        </w:rPr>
      </w:pPr>
      <w:r>
        <w:rPr/>
        <w:pict>
          <v:shape style="position:absolute;margin-left:305.394989pt;margin-top:-7.171072pt;width:26.9pt;height:44.4pt;mso-position-horizontal-relative:page;mso-position-vertical-relative:paragraph;z-index:-21755392" type="#_x0000_t202" id="docshape138" filled="false" stroked="false">
            <v:textbox inset="0,0,0,0">
              <w:txbxContent>
                <w:p>
                  <w:pPr>
                    <w:pStyle w:val="BodyText"/>
                    <w:spacing w:line="189" w:lineRule="auto"/>
                    <w:rPr>
                      <w:rFonts w:ascii="Arial"/>
                    </w:rPr>
                  </w:pPr>
                  <w:r>
                    <w:rPr>
                      <w:rFonts w:ascii="Garamond"/>
                      <w:w w:val="120"/>
                      <w:position w:val="-6"/>
                      <w:u w:val="single"/>
                    </w:rPr>
                    <w:t>1</w:t>
                  </w:r>
                  <w:r>
                    <w:rPr>
                      <w:rFonts w:ascii="Garamond"/>
                      <w:spacing w:val="-17"/>
                      <w:w w:val="120"/>
                      <w:position w:val="-6"/>
                    </w:rPr>
                    <w:t> </w:t>
                  </w:r>
                  <w:r>
                    <w:rPr>
                      <w:rFonts w:ascii="Arial"/>
                      <w:spacing w:val="-10"/>
                      <w:w w:val="240"/>
                    </w:rPr>
                    <w:t>L</w:t>
                  </w:r>
                </w:p>
              </w:txbxContent>
            </v:textbox>
            <w10:wrap type="none"/>
          </v:shape>
        </w:pict>
      </w:r>
      <w:r>
        <w:rPr>
          <w:rFonts w:ascii="Garamond" w:hAnsi="Garamond"/>
          <w:spacing w:val="-5"/>
          <w:w w:val="128"/>
        </w:rPr>
        <w:t>(</w:t>
      </w:r>
      <w:r>
        <w:rPr>
          <w:rFonts w:ascii="Cambria" w:hAnsi="Cambria"/>
          <w:spacing w:val="-114"/>
          <w:w w:val="131"/>
        </w:rPr>
        <w:t>⃗</w:t>
      </w:r>
      <w:r>
        <w:rPr>
          <w:rFonts w:ascii="Cambria" w:hAnsi="Cambria"/>
          <w:spacing w:val="-1"/>
          <w:w w:val="113"/>
        </w:rPr>
        <w:t>x</w:t>
      </w:r>
      <w:r>
        <w:rPr>
          <w:rFonts w:ascii="Garamond" w:hAnsi="Garamond"/>
          <w:spacing w:val="-1"/>
          <w:w w:val="128"/>
        </w:rPr>
        <w:t>)</w:t>
      </w:r>
      <w:r>
        <w:rPr>
          <w:rFonts w:ascii="Garamond" w:hAnsi="Garamond"/>
          <w:spacing w:val="-2"/>
          <w:w w:val="125"/>
        </w:rPr>
        <w:t> </w:t>
      </w:r>
      <w:r>
        <w:rPr>
          <w:rFonts w:ascii="Garamond" w:hAnsi="Garamond"/>
          <w:spacing w:val="-10"/>
          <w:w w:val="125"/>
        </w:rPr>
        <w:t>=</w:t>
      </w:r>
      <w:r>
        <w:rPr>
          <w:rFonts w:ascii="Garamond" w:hAnsi="Garamond"/>
        </w:rPr>
        <w:tab/>
      </w:r>
      <w:r>
        <w:rPr>
          <w:rFonts w:ascii="Cambria" w:hAnsi="Cambria"/>
          <w:spacing w:val="-5"/>
          <w:w w:val="125"/>
        </w:rPr>
        <w:t>K</w:t>
      </w:r>
      <w:r>
        <w:rPr>
          <w:rFonts w:ascii="Cambria" w:hAnsi="Cambria"/>
          <w:spacing w:val="-5"/>
          <w:w w:val="125"/>
          <w:vertAlign w:val="subscript"/>
        </w:rPr>
        <w:t>H</w:t>
      </w:r>
    </w:p>
    <w:p>
      <w:pPr>
        <w:pStyle w:val="BodyText"/>
        <w:spacing w:line="171" w:lineRule="exact"/>
        <w:ind w:right="148"/>
        <w:jc w:val="center"/>
        <w:rPr>
          <w:rFonts w:ascii="Cambria"/>
        </w:rPr>
      </w:pPr>
      <w:r>
        <w:rPr>
          <w:rFonts w:ascii="Cambria"/>
          <w:w w:val="104"/>
        </w:rPr>
        <w:t>n</w:t>
      </w:r>
    </w:p>
    <w:p>
      <w:pPr>
        <w:spacing w:line="141" w:lineRule="exact" w:before="0"/>
        <w:ind w:left="875" w:right="0" w:firstLine="0"/>
        <w:jc w:val="left"/>
        <w:rPr>
          <w:rFonts w:ascii="Georgia"/>
          <w:sz w:val="16"/>
        </w:rPr>
      </w:pPr>
      <w:r>
        <w:rPr>
          <w:rFonts w:ascii="Cambria"/>
          <w:spacing w:val="-5"/>
          <w:w w:val="125"/>
          <w:sz w:val="16"/>
        </w:rPr>
        <w:t>i</w:t>
      </w:r>
      <w:r>
        <w:rPr>
          <w:rFonts w:ascii="Georgia"/>
          <w:spacing w:val="-5"/>
          <w:w w:val="125"/>
          <w:sz w:val="16"/>
        </w:rPr>
        <w:t>=1</w:t>
      </w:r>
    </w:p>
    <w:p>
      <w:pPr>
        <w:pStyle w:val="BodyText"/>
        <w:tabs>
          <w:tab w:pos="3272" w:val="left" w:leader="none"/>
        </w:tabs>
        <w:spacing w:before="255"/>
        <w:ind w:left="-18"/>
      </w:pPr>
      <w:r>
        <w:rPr/>
        <w:br w:type="column"/>
      </w:r>
      <w:r>
        <w:rPr>
          <w:rFonts w:ascii="Garamond" w:hAnsi="Garamond"/>
          <w:spacing w:val="9"/>
          <w:w w:val="114"/>
        </w:rPr>
        <w:t>(</w:t>
      </w:r>
      <w:r>
        <w:rPr>
          <w:rFonts w:ascii="Cambria" w:hAnsi="Cambria"/>
          <w:spacing w:val="-100"/>
          <w:w w:val="117"/>
        </w:rPr>
        <w:t>⃗</w:t>
      </w:r>
      <w:r>
        <w:rPr>
          <w:rFonts w:ascii="Cambria" w:hAnsi="Cambria"/>
          <w:spacing w:val="13"/>
          <w:w w:val="99"/>
        </w:rPr>
        <w:t>x</w:t>
      </w:r>
      <w:r>
        <w:rPr>
          <w:rFonts w:ascii="Cambria" w:hAnsi="Cambria"/>
          <w:spacing w:val="-4"/>
          <w:w w:val="110"/>
        </w:rPr>
        <w:t> </w:t>
      </w:r>
      <w:r>
        <w:rPr>
          <w:rFonts w:ascii="Lucida Sans Unicode" w:hAnsi="Lucida Sans Unicode"/>
          <w:spacing w:val="-26"/>
          <w:w w:val="110"/>
        </w:rPr>
        <w:t>−</w:t>
      </w:r>
      <w:r>
        <w:rPr>
          <w:rFonts w:ascii="Lucida Sans Unicode" w:hAnsi="Lucida Sans Unicode"/>
          <w:spacing w:val="-33"/>
          <w:w w:val="110"/>
        </w:rPr>
        <w:t> </w:t>
      </w:r>
      <w:r>
        <w:rPr>
          <w:rFonts w:ascii="Cambria" w:hAnsi="Cambria"/>
          <w:spacing w:val="-119"/>
          <w:w w:val="115"/>
        </w:rPr>
        <w:t>⃗</w:t>
      </w:r>
      <w:r>
        <w:rPr>
          <w:rFonts w:ascii="Cambria" w:hAnsi="Cambria"/>
          <w:spacing w:val="-6"/>
          <w:w w:val="97"/>
        </w:rPr>
        <w:t>x</w:t>
      </w:r>
      <w:r>
        <w:rPr>
          <w:rFonts w:ascii="Cambria" w:hAnsi="Cambria"/>
          <w:spacing w:val="4"/>
          <w:w w:val="111"/>
          <w:vertAlign w:val="subscript"/>
        </w:rPr>
        <w:t>i</w:t>
      </w:r>
      <w:r>
        <w:rPr>
          <w:rFonts w:ascii="Garamond" w:hAnsi="Garamond"/>
          <w:spacing w:val="-6"/>
          <w:w w:val="112"/>
          <w:vertAlign w:val="baseline"/>
        </w:rPr>
        <w:t>)</w:t>
      </w:r>
      <w:r>
        <w:rPr>
          <w:rFonts w:ascii="Cambria" w:hAnsi="Cambria"/>
          <w:spacing w:val="-6"/>
          <w:w w:val="114"/>
          <w:vertAlign w:val="baseline"/>
        </w:rPr>
        <w:t>,</w:t>
      </w:r>
      <w:r>
        <w:rPr>
          <w:rFonts w:ascii="Cambria" w:hAnsi="Cambria"/>
          <w:vertAlign w:val="baseline"/>
        </w:rPr>
        <w:tab/>
      </w:r>
      <w:r>
        <w:rPr>
          <w:spacing w:val="-4"/>
          <w:w w:val="115"/>
          <w:vertAlign w:val="baseline"/>
        </w:rPr>
        <w:t>(5.1)</w:t>
      </w:r>
    </w:p>
    <w:p>
      <w:pPr>
        <w:spacing w:after="0"/>
        <w:sectPr>
          <w:type w:val="continuous"/>
          <w:pgSz w:w="11910" w:h="16840"/>
          <w:pgMar w:header="1961" w:footer="1428" w:top="1920" w:bottom="280" w:left="1680" w:right="720"/>
          <w:cols w:num="3" w:equalWidth="0">
            <w:col w:w="3741" w:space="40"/>
            <w:col w:w="1564" w:space="39"/>
            <w:col w:w="4126"/>
          </w:cols>
        </w:sectPr>
      </w:pPr>
    </w:p>
    <w:p>
      <w:pPr>
        <w:pStyle w:val="BodyText"/>
        <w:spacing w:before="2"/>
        <w:rPr>
          <w:sz w:val="14"/>
        </w:rPr>
      </w:pPr>
    </w:p>
    <w:p>
      <w:pPr>
        <w:pStyle w:val="BodyText"/>
        <w:tabs>
          <w:tab w:pos="7032" w:val="left" w:leader="none"/>
        </w:tabs>
        <w:spacing w:before="58"/>
        <w:ind w:left="610"/>
      </w:pPr>
      <w:r>
        <w:rPr/>
        <w:pict>
          <v:shape style="position:absolute;margin-left:419.062988pt;margin-top:13.038572pt;width:13.75pt;height:8pt;mso-position-horizontal-relative:page;mso-position-vertical-relative:paragraph;z-index:-21754880" type="#_x0000_t202" id="docshape139" filled="false" stroked="false">
            <v:textbox inset="0,0,0,0">
              <w:txbxContent>
                <w:p>
                  <w:pPr>
                    <w:spacing w:line="155" w:lineRule="exact" w:before="0"/>
                    <w:ind w:left="0" w:right="0" w:firstLine="0"/>
                    <w:jc w:val="left"/>
                    <w:rPr>
                      <w:rFonts w:ascii="Georgia"/>
                      <w:sz w:val="16"/>
                    </w:rPr>
                  </w:pPr>
                  <w:r>
                    <w:rPr>
                      <w:rFonts w:ascii="Cambria"/>
                      <w:spacing w:val="-5"/>
                      <w:w w:val="125"/>
                      <w:sz w:val="16"/>
                    </w:rPr>
                    <w:t>i</w:t>
                  </w:r>
                  <w:r>
                    <w:rPr>
                      <w:rFonts w:ascii="Georgia"/>
                      <w:spacing w:val="-5"/>
                      <w:w w:val="125"/>
                      <w:sz w:val="16"/>
                    </w:rPr>
                    <w:t>=1</w:t>
                  </w:r>
                </w:p>
              </w:txbxContent>
            </v:textbox>
            <w10:wrap type="none"/>
          </v:shape>
        </w:pict>
      </w:r>
      <w:r>
        <w:rPr/>
        <w:t>where</w:t>
      </w:r>
      <w:r>
        <w:rPr>
          <w:spacing w:val="-9"/>
        </w:rPr>
        <w:t> </w:t>
      </w:r>
      <w:r>
        <w:rPr>
          <w:rFonts w:ascii="Cambria" w:hAnsi="Cambria"/>
        </w:rPr>
        <w:t>K</w:t>
      </w:r>
      <w:r>
        <w:rPr>
          <w:rFonts w:ascii="Cambria" w:hAnsi="Cambria"/>
          <w:vertAlign w:val="subscript"/>
        </w:rPr>
        <w:t>H</w:t>
      </w:r>
      <w:r>
        <w:rPr>
          <w:rFonts w:ascii="Cambria" w:hAnsi="Cambria"/>
          <w:spacing w:val="24"/>
          <w:vertAlign w:val="baseline"/>
        </w:rPr>
        <w:t> </w:t>
      </w:r>
      <w:r>
        <w:rPr>
          <w:vertAlign w:val="baseline"/>
        </w:rPr>
        <w:t>is</w:t>
      </w:r>
      <w:r>
        <w:rPr>
          <w:spacing w:val="-9"/>
          <w:vertAlign w:val="baseline"/>
        </w:rPr>
        <w:t> </w:t>
      </w:r>
      <w:r>
        <w:rPr>
          <w:vertAlign w:val="baseline"/>
        </w:rPr>
        <w:t>the</w:t>
      </w:r>
      <w:r>
        <w:rPr>
          <w:spacing w:val="-8"/>
          <w:vertAlign w:val="baseline"/>
        </w:rPr>
        <w:t> </w:t>
      </w:r>
      <w:r>
        <w:rPr>
          <w:vertAlign w:val="baseline"/>
        </w:rPr>
        <w:t>kernel</w:t>
      </w:r>
      <w:r>
        <w:rPr>
          <w:spacing w:val="-9"/>
          <w:vertAlign w:val="baseline"/>
        </w:rPr>
        <w:t> </w:t>
      </w:r>
      <w:r>
        <w:rPr>
          <w:vertAlign w:val="baseline"/>
        </w:rPr>
        <w:t>with</w:t>
      </w:r>
      <w:r>
        <w:rPr>
          <w:spacing w:val="-8"/>
          <w:vertAlign w:val="baseline"/>
        </w:rPr>
        <w:t> </w:t>
      </w:r>
      <w:r>
        <w:rPr>
          <w:vertAlign w:val="baseline"/>
        </w:rPr>
        <w:t>a</w:t>
      </w:r>
      <w:r>
        <w:rPr>
          <w:spacing w:val="-9"/>
          <w:vertAlign w:val="baseline"/>
        </w:rPr>
        <w:t> </w:t>
      </w:r>
      <w:r>
        <w:rPr>
          <w:rFonts w:ascii="Garamond" w:hAnsi="Garamond"/>
          <w:vertAlign w:val="baseline"/>
        </w:rPr>
        <w:t>2</w:t>
      </w:r>
      <w:r>
        <w:rPr>
          <w:rFonts w:ascii="Lucida Sans Unicode" w:hAnsi="Lucida Sans Unicode"/>
          <w:vertAlign w:val="baseline"/>
        </w:rPr>
        <w:t>×</w:t>
      </w:r>
      <w:r>
        <w:rPr>
          <w:rFonts w:ascii="Garamond" w:hAnsi="Garamond"/>
          <w:vertAlign w:val="baseline"/>
        </w:rPr>
        <w:t>2</w:t>
      </w:r>
      <w:r>
        <w:rPr>
          <w:rFonts w:ascii="Garamond" w:hAnsi="Garamond"/>
          <w:spacing w:val="-7"/>
          <w:vertAlign w:val="baseline"/>
        </w:rPr>
        <w:t> </w:t>
      </w:r>
      <w:r>
        <w:rPr>
          <w:vertAlign w:val="baseline"/>
        </w:rPr>
        <w:t>smoothing</w:t>
      </w:r>
      <w:r>
        <w:rPr>
          <w:spacing w:val="-9"/>
          <w:vertAlign w:val="baseline"/>
        </w:rPr>
        <w:t> </w:t>
      </w:r>
      <w:r>
        <w:rPr>
          <w:vertAlign w:val="baseline"/>
        </w:rPr>
        <w:t>matrix</w:t>
      </w:r>
      <w:r>
        <w:rPr>
          <w:spacing w:val="-9"/>
          <w:vertAlign w:val="baseline"/>
        </w:rPr>
        <w:t> </w:t>
      </w:r>
      <w:r>
        <w:rPr>
          <w:rFonts w:ascii="Cambria" w:hAnsi="Cambria"/>
          <w:vertAlign w:val="baseline"/>
        </w:rPr>
        <w:t>H</w:t>
      </w:r>
      <w:r>
        <w:rPr>
          <w:rFonts w:ascii="Cambria" w:hAnsi="Cambria"/>
          <w:spacing w:val="20"/>
          <w:vertAlign w:val="baseline"/>
        </w:rPr>
        <w:t> </w:t>
      </w:r>
      <w:r>
        <w:rPr>
          <w:vertAlign w:val="baseline"/>
        </w:rPr>
        <w:t>and</w:t>
      </w:r>
      <w:r>
        <w:rPr>
          <w:spacing w:val="-9"/>
          <w:vertAlign w:val="baseline"/>
        </w:rPr>
        <w:t> </w:t>
      </w:r>
      <w:r>
        <w:rPr>
          <w:rFonts w:ascii="Garamond" w:hAnsi="Garamond"/>
          <w:spacing w:val="9"/>
          <w:w w:val="104"/>
          <w:vertAlign w:val="baseline"/>
        </w:rPr>
        <w:t>(</w:t>
      </w:r>
      <w:r>
        <w:rPr>
          <w:rFonts w:ascii="Cambria" w:hAnsi="Cambria"/>
          <w:spacing w:val="-100"/>
          <w:w w:val="107"/>
          <w:vertAlign w:val="baseline"/>
        </w:rPr>
        <w:t>⃗</w:t>
      </w:r>
      <w:r>
        <w:rPr>
          <w:rFonts w:ascii="Cambria" w:hAnsi="Cambria"/>
          <w:spacing w:val="13"/>
          <w:w w:val="89"/>
          <w:vertAlign w:val="baseline"/>
        </w:rPr>
        <w:t>x</w:t>
      </w:r>
      <w:r>
        <w:rPr>
          <w:rFonts w:ascii="Cambria" w:hAnsi="Cambria"/>
          <w:spacing w:val="23"/>
          <w:w w:val="103"/>
          <w:vertAlign w:val="subscript"/>
        </w:rPr>
        <w:t>i</w:t>
      </w:r>
      <w:r>
        <w:rPr>
          <w:rFonts w:ascii="Garamond" w:hAnsi="Garamond"/>
          <w:spacing w:val="13"/>
          <w:w w:val="104"/>
          <w:vertAlign w:val="baseline"/>
        </w:rPr>
        <w:t>)</w:t>
      </w:r>
      <w:r>
        <w:rPr>
          <w:rFonts w:ascii="Cambria" w:hAnsi="Cambria"/>
          <w:spacing w:val="13"/>
          <w:w w:val="89"/>
          <w:vertAlign w:val="superscript"/>
        </w:rPr>
        <w:t>n</w:t>
      </w:r>
      <w:r>
        <w:rPr>
          <w:rFonts w:ascii="Cambria" w:hAnsi="Cambria"/>
          <w:vertAlign w:val="baseline"/>
        </w:rPr>
        <w:tab/>
      </w:r>
      <w:r>
        <w:rPr>
          <w:spacing w:val="-2"/>
          <w:vertAlign w:val="baseline"/>
        </w:rPr>
        <w:t>are</w:t>
      </w:r>
      <w:r>
        <w:rPr>
          <w:spacing w:val="-11"/>
          <w:vertAlign w:val="baseline"/>
        </w:rPr>
        <w:t> </w:t>
      </w:r>
      <w:r>
        <w:rPr>
          <w:spacing w:val="-2"/>
          <w:vertAlign w:val="baseline"/>
        </w:rPr>
        <w:t>vectors</w:t>
      </w:r>
      <w:r>
        <w:rPr>
          <w:spacing w:val="-11"/>
          <w:vertAlign w:val="baseline"/>
        </w:rPr>
        <w:t> </w:t>
      </w:r>
      <w:r>
        <w:rPr>
          <w:spacing w:val="-2"/>
          <w:vertAlign w:val="baseline"/>
        </w:rPr>
        <w:t>containing</w:t>
      </w:r>
    </w:p>
    <w:p>
      <w:pPr>
        <w:pStyle w:val="BodyText"/>
        <w:spacing w:before="25"/>
        <w:ind w:left="610"/>
      </w:pPr>
      <w:r>
        <w:rPr/>
        <w:t>the</w:t>
      </w:r>
      <w:r>
        <w:rPr>
          <w:spacing w:val="-4"/>
        </w:rPr>
        <w:t> </w:t>
      </w:r>
      <w:r>
        <w:rPr>
          <w:rFonts w:ascii="Cambria"/>
        </w:rPr>
        <w:t>x</w:t>
      </w:r>
      <w:r>
        <w:rPr>
          <w:rFonts w:ascii="Cambria"/>
          <w:spacing w:val="5"/>
        </w:rPr>
        <w:t> </w:t>
      </w:r>
      <w:r>
        <w:rPr/>
        <w:t>and</w:t>
      </w:r>
      <w:r>
        <w:rPr>
          <w:spacing w:val="-4"/>
        </w:rPr>
        <w:t> </w:t>
      </w:r>
      <w:r>
        <w:rPr>
          <w:rFonts w:ascii="Cambria"/>
        </w:rPr>
        <w:t>y</w:t>
      </w:r>
      <w:r>
        <w:rPr>
          <w:rFonts w:ascii="Cambria"/>
          <w:spacing w:val="13"/>
        </w:rPr>
        <w:t> </w:t>
      </w:r>
      <w:r>
        <w:rPr/>
        <w:t>co-ordinates</w:t>
      </w:r>
      <w:r>
        <w:rPr>
          <w:spacing w:val="-4"/>
        </w:rPr>
        <w:t> </w:t>
      </w:r>
      <w:r>
        <w:rPr/>
        <w:t>of</w:t>
      </w:r>
      <w:r>
        <w:rPr>
          <w:spacing w:val="-3"/>
        </w:rPr>
        <w:t> </w:t>
      </w:r>
      <w:r>
        <w:rPr/>
        <w:t>action</w:t>
      </w:r>
      <w:r>
        <w:rPr>
          <w:spacing w:val="-4"/>
        </w:rPr>
        <w:t> </w:t>
      </w:r>
      <w:r>
        <w:rPr>
          <w:spacing w:val="-2"/>
        </w:rPr>
        <w:t>locations.</w:t>
      </w:r>
    </w:p>
    <w:p>
      <w:pPr>
        <w:pStyle w:val="BodyText"/>
        <w:spacing w:line="360" w:lineRule="atLeast" w:before="67"/>
        <w:ind w:left="610" w:right="381" w:firstLine="351"/>
      </w:pPr>
      <w:r>
        <w:rPr/>
        <w:pict>
          <v:shape style="position:absolute;margin-left:358.949005pt;margin-top:59.858002pt;width:19.6pt;height:10.2pt;mso-position-horizontal-relative:page;mso-position-vertical-relative:paragraph;z-index:-21754368" type="#_x0000_t202" id="docshape140" filled="false" stroked="false">
            <v:textbox inset="0,0,0,0">
              <w:txbxContent>
                <w:p>
                  <w:pPr>
                    <w:spacing w:line="122" w:lineRule="auto" w:before="22"/>
                    <w:ind w:left="0" w:right="0" w:firstLine="0"/>
                    <w:jc w:val="left"/>
                    <w:rPr>
                      <w:rFonts w:ascii="Cambria" w:hAnsi="Cambria"/>
                      <w:sz w:val="12"/>
                    </w:rPr>
                  </w:pPr>
                  <w:r>
                    <w:rPr>
                      <w:rFonts w:ascii="Lucida Sans Unicode" w:hAnsi="Lucida Sans Unicode"/>
                      <w:position w:val="-7"/>
                      <w:sz w:val="16"/>
                    </w:rPr>
                    <w:t>−</w:t>
                  </w:r>
                  <w:r>
                    <w:rPr>
                      <w:rFonts w:ascii="Lucida Sans Unicode" w:hAnsi="Lucida Sans Unicode"/>
                      <w:spacing w:val="-24"/>
                      <w:position w:val="-7"/>
                      <w:sz w:val="16"/>
                    </w:rPr>
                    <w:t> </w:t>
                  </w:r>
                  <w:r>
                    <w:rPr>
                      <w:rFonts w:ascii="Cambria" w:hAnsi="Cambria"/>
                      <w:spacing w:val="-14"/>
                      <w:w w:val="130"/>
                      <w:sz w:val="12"/>
                    </w:rPr>
                    <w:t>∥⃗x∥</w:t>
                  </w:r>
                </w:p>
              </w:txbxContent>
            </v:textbox>
            <w10:wrap type="none"/>
          </v:shape>
        </w:pict>
      </w:r>
      <w:r>
        <w:rPr/>
        <w:t>Multiple</w:t>
      </w:r>
      <w:r>
        <w:rPr>
          <w:spacing w:val="-15"/>
        </w:rPr>
        <w:t> </w:t>
      </w:r>
      <w:r>
        <w:rPr/>
        <w:t>kernel</w:t>
      </w:r>
      <w:r>
        <w:rPr>
          <w:spacing w:val="-15"/>
        </w:rPr>
        <w:t> </w:t>
      </w:r>
      <w:r>
        <w:rPr/>
        <w:t>options</w:t>
      </w:r>
      <w:r>
        <w:rPr>
          <w:spacing w:val="-15"/>
        </w:rPr>
        <w:t> </w:t>
      </w:r>
      <w:r>
        <w:rPr/>
        <w:t>are</w:t>
      </w:r>
      <w:r>
        <w:rPr>
          <w:spacing w:val="-15"/>
        </w:rPr>
        <w:t> </w:t>
      </w:r>
      <w:r>
        <w:rPr/>
        <w:t>available</w:t>
      </w:r>
      <w:r>
        <w:rPr>
          <w:spacing w:val="-15"/>
        </w:rPr>
        <w:t> </w:t>
      </w:r>
      <w:r>
        <w:rPr/>
        <w:t>for</w:t>
      </w:r>
      <w:r>
        <w:rPr>
          <w:spacing w:val="-15"/>
        </w:rPr>
        <w:t> </w:t>
      </w:r>
      <w:r>
        <w:rPr/>
        <w:t>KDEs</w:t>
      </w:r>
      <w:r>
        <w:rPr>
          <w:spacing w:val="-15"/>
        </w:rPr>
        <w:t> </w:t>
      </w:r>
      <w:r>
        <w:rPr/>
        <w:t>including:</w:t>
      </w:r>
      <w:r>
        <w:rPr>
          <w:spacing w:val="-15"/>
        </w:rPr>
        <w:t> </w:t>
      </w:r>
      <w:r>
        <w:rPr/>
        <w:t>uniform,</w:t>
      </w:r>
      <w:r>
        <w:rPr>
          <w:spacing w:val="-15"/>
        </w:rPr>
        <w:t> </w:t>
      </w:r>
      <w:r>
        <w:rPr/>
        <w:t>triangular,</w:t>
      </w:r>
      <w:r>
        <w:rPr>
          <w:spacing w:val="-15"/>
        </w:rPr>
        <w:t> </w:t>
      </w:r>
      <w:r>
        <w:rPr/>
        <w:t>normal, Epanechnikov and cosine</w:t>
      </w:r>
      <w:hyperlink w:history="true" w:anchor="_bookmark307">
        <w:r>
          <w:rPr>
            <w:color w:val="FF0000"/>
          </w:rPr>
          <w:t>Wand and Jones</w:t>
        </w:r>
        <w:r>
          <w:rPr/>
          <w:t>(</w:t>
        </w:r>
      </w:hyperlink>
      <w:hyperlink w:history="true" w:anchor="_bookmark307">
        <w:r>
          <w:rPr>
            <w:color w:val="FF0000"/>
          </w:rPr>
          <w:t>1995</w:t>
        </w:r>
        <w:r>
          <w:rPr/>
          <w:t>).</w:t>
        </w:r>
      </w:hyperlink>
      <w:r>
        <w:rPr>
          <w:spacing w:val="40"/>
        </w:rPr>
        <w:t> </w:t>
      </w:r>
      <w:r>
        <w:rPr/>
        <w:t>The standard bivariate normal kernel is used in this study:</w:t>
      </w:r>
    </w:p>
    <w:p>
      <w:pPr>
        <w:spacing w:after="0" w:line="360" w:lineRule="atLeast"/>
        <w:sectPr>
          <w:type w:val="continuous"/>
          <w:pgSz w:w="11910" w:h="16840"/>
          <w:pgMar w:header="1961" w:footer="1428" w:top="1920" w:bottom="280" w:left="1680" w:right="720"/>
        </w:sectPr>
      </w:pPr>
    </w:p>
    <w:p>
      <w:pPr>
        <w:pStyle w:val="BodyText"/>
        <w:spacing w:before="55"/>
        <w:ind w:left="3651"/>
        <w:rPr>
          <w:rFonts w:ascii="Cambria" w:hAnsi="Cambria"/>
        </w:rPr>
      </w:pPr>
      <w:r>
        <w:rPr>
          <w:rFonts w:ascii="Cambria" w:hAnsi="Cambria"/>
          <w:spacing w:val="13"/>
          <w:w w:val="121"/>
        </w:rPr>
        <w:t>K</w:t>
      </w:r>
      <w:r>
        <w:rPr>
          <w:rFonts w:ascii="Cambria" w:hAnsi="Cambria"/>
          <w:spacing w:val="23"/>
          <w:vertAlign w:val="subscript"/>
        </w:rPr>
        <w:t>h</w:t>
      </w:r>
      <w:r>
        <w:rPr>
          <w:rFonts w:ascii="Garamond" w:hAnsi="Garamond"/>
          <w:spacing w:val="9"/>
          <w:w w:val="119"/>
          <w:vertAlign w:val="baseline"/>
        </w:rPr>
        <w:t>(</w:t>
      </w:r>
      <w:r>
        <w:rPr>
          <w:rFonts w:ascii="Cambria" w:hAnsi="Cambria"/>
          <w:spacing w:val="-100"/>
          <w:w w:val="122"/>
          <w:vertAlign w:val="baseline"/>
        </w:rPr>
        <w:t>⃗</w:t>
      </w:r>
      <w:r>
        <w:rPr>
          <w:rFonts w:ascii="Cambria" w:hAnsi="Cambria"/>
          <w:spacing w:val="13"/>
          <w:w w:val="104"/>
          <w:vertAlign w:val="baseline"/>
        </w:rPr>
        <w:t>x</w:t>
      </w:r>
      <w:r>
        <w:rPr>
          <w:rFonts w:ascii="Garamond" w:hAnsi="Garamond"/>
          <w:spacing w:val="13"/>
          <w:w w:val="119"/>
          <w:vertAlign w:val="baseline"/>
        </w:rPr>
        <w:t>)</w:t>
      </w:r>
      <w:r>
        <w:rPr>
          <w:rFonts w:ascii="Garamond" w:hAnsi="Garamond"/>
          <w:spacing w:val="-12"/>
          <w:w w:val="114"/>
          <w:vertAlign w:val="baseline"/>
        </w:rPr>
        <w:t> </w:t>
      </w:r>
      <w:r>
        <w:rPr>
          <w:rFonts w:ascii="Garamond" w:hAnsi="Garamond"/>
          <w:spacing w:val="-4"/>
          <w:w w:val="115"/>
          <w:vertAlign w:val="baseline"/>
        </w:rPr>
        <w:t>=</w:t>
      </w:r>
      <w:r>
        <w:rPr>
          <w:rFonts w:ascii="Garamond" w:hAnsi="Garamond"/>
          <w:spacing w:val="-13"/>
          <w:w w:val="115"/>
          <w:vertAlign w:val="baseline"/>
        </w:rPr>
        <w:t> </w:t>
      </w:r>
      <w:r>
        <w:rPr>
          <w:rFonts w:ascii="Garamond" w:hAnsi="Garamond"/>
          <w:spacing w:val="-4"/>
          <w:w w:val="105"/>
          <w:vertAlign w:val="baseline"/>
        </w:rPr>
        <w:t>(2</w:t>
      </w:r>
      <w:r>
        <w:rPr>
          <w:rFonts w:ascii="Cambria" w:hAnsi="Cambria"/>
          <w:spacing w:val="-4"/>
          <w:w w:val="105"/>
          <w:vertAlign w:val="baseline"/>
        </w:rPr>
        <w:t>πh</w:t>
      </w:r>
      <w:r>
        <w:rPr>
          <w:rFonts w:ascii="Garamond" w:hAnsi="Garamond"/>
          <w:spacing w:val="-4"/>
          <w:w w:val="105"/>
          <w:vertAlign w:val="baseline"/>
        </w:rPr>
        <w:t>)</w:t>
      </w:r>
      <w:r>
        <w:rPr>
          <w:rFonts w:ascii="Lucida Sans Unicode" w:hAnsi="Lucida Sans Unicode"/>
          <w:spacing w:val="-4"/>
          <w:w w:val="105"/>
          <w:vertAlign w:val="superscript"/>
        </w:rPr>
        <w:t>−</w:t>
      </w:r>
      <w:r>
        <w:rPr>
          <w:rFonts w:ascii="Georgia" w:hAnsi="Georgia"/>
          <w:spacing w:val="-4"/>
          <w:w w:val="105"/>
          <w:vertAlign w:val="superscript"/>
        </w:rPr>
        <w:t>1</w:t>
      </w:r>
      <w:r>
        <w:rPr>
          <w:rFonts w:ascii="Cambria" w:hAnsi="Cambria"/>
          <w:spacing w:val="-4"/>
          <w:w w:val="105"/>
          <w:vertAlign w:val="baseline"/>
        </w:rPr>
        <w:t>e</w:t>
      </w:r>
    </w:p>
    <w:p>
      <w:pPr>
        <w:spacing w:line="104" w:lineRule="exact" w:before="0"/>
        <w:ind w:left="352" w:right="0" w:firstLine="0"/>
        <w:jc w:val="left"/>
        <w:rPr>
          <w:rFonts w:ascii="Bookman Old Style"/>
          <w:b w:val="0"/>
          <w:sz w:val="12"/>
        </w:rPr>
      </w:pPr>
      <w:r>
        <w:rPr/>
        <w:br w:type="column"/>
      </w:r>
      <w:r>
        <w:rPr>
          <w:rFonts w:ascii="Bookman Old Style"/>
          <w:b w:val="0"/>
          <w:spacing w:val="-10"/>
          <w:sz w:val="12"/>
        </w:rPr>
        <w:t>2</w:t>
      </w:r>
    </w:p>
    <w:p>
      <w:pPr>
        <w:tabs>
          <w:tab w:pos="3117" w:val="left" w:leader="none"/>
        </w:tabs>
        <w:spacing w:line="268" w:lineRule="exact" w:before="0"/>
        <w:ind w:left="195" w:right="0" w:firstLine="0"/>
        <w:jc w:val="left"/>
        <w:rPr>
          <w:sz w:val="24"/>
        </w:rPr>
      </w:pPr>
      <w:r>
        <w:rPr/>
        <w:pict>
          <v:line style="position:absolute;mso-position-horizontal-relative:page;mso-position-vertical-relative:paragraph;z-index:-21756416" from="366.730988pt,3.814808pt" to="382.691988pt,3.814808pt" stroked="true" strokeweight=".359pt" strokecolor="#000000">
            <v:stroke dashstyle="solid"/>
            <w10:wrap type="none"/>
          </v:line>
        </w:pict>
      </w:r>
      <w:r>
        <w:rPr>
          <w:rFonts w:ascii="Bookman Old Style"/>
          <w:b w:val="0"/>
          <w:w w:val="110"/>
          <w:position w:val="4"/>
          <w:sz w:val="12"/>
        </w:rPr>
        <w:t>2</w:t>
      </w:r>
      <w:r>
        <w:rPr>
          <w:rFonts w:ascii="Cambria"/>
          <w:w w:val="110"/>
          <w:position w:val="4"/>
          <w:sz w:val="12"/>
        </w:rPr>
        <w:t>h</w:t>
      </w:r>
      <w:r>
        <w:rPr>
          <w:rFonts w:ascii="Cambria"/>
          <w:spacing w:val="77"/>
          <w:w w:val="150"/>
          <w:position w:val="4"/>
          <w:sz w:val="12"/>
        </w:rPr>
        <w:t> </w:t>
      </w:r>
      <w:r>
        <w:rPr>
          <w:rFonts w:ascii="Cambria"/>
          <w:spacing w:val="-10"/>
          <w:w w:val="110"/>
          <w:sz w:val="24"/>
        </w:rPr>
        <w:t>,</w:t>
      </w:r>
      <w:r>
        <w:rPr>
          <w:rFonts w:ascii="Cambria"/>
          <w:sz w:val="24"/>
        </w:rPr>
        <w:tab/>
      </w:r>
      <w:r>
        <w:rPr>
          <w:spacing w:val="-2"/>
          <w:w w:val="110"/>
          <w:sz w:val="24"/>
        </w:rPr>
        <w:t>(5.2)</w:t>
      </w:r>
    </w:p>
    <w:p>
      <w:pPr>
        <w:spacing w:after="0" w:line="268" w:lineRule="exact"/>
        <w:jc w:val="left"/>
        <w:rPr>
          <w:sz w:val="24"/>
        </w:rPr>
        <w:sectPr>
          <w:type w:val="continuous"/>
          <w:pgSz w:w="11910" w:h="16840"/>
          <w:pgMar w:header="1961" w:footer="1428" w:top="1920" w:bottom="280" w:left="1680" w:right="720"/>
          <w:cols w:num="2" w:equalWidth="0">
            <w:col w:w="5499" w:space="40"/>
            <w:col w:w="3971"/>
          </w:cols>
        </w:sectPr>
      </w:pPr>
    </w:p>
    <w:p>
      <w:pPr>
        <w:pStyle w:val="BodyText"/>
        <w:spacing w:line="256" w:lineRule="auto" w:before="151"/>
        <w:ind w:left="610" w:right="389"/>
      </w:pPr>
      <w:r>
        <w:rPr/>
        <w:t>where</w:t>
      </w:r>
      <w:r>
        <w:rPr>
          <w:spacing w:val="-15"/>
        </w:rPr>
        <w:t> </w:t>
      </w:r>
      <w:r>
        <w:rPr>
          <w:rFonts w:ascii="Lucida Sans Unicode" w:hAnsi="Lucida Sans Unicode"/>
          <w:spacing w:val="25"/>
          <w:w w:val="81"/>
        </w:rPr>
        <w:t>∥</w:t>
      </w:r>
      <w:r>
        <w:rPr>
          <w:rFonts w:ascii="Cambria" w:hAnsi="Cambria"/>
          <w:spacing w:val="-84"/>
          <w:w w:val="127"/>
        </w:rPr>
        <w:t>⃗</w:t>
      </w:r>
      <w:r>
        <w:rPr>
          <w:rFonts w:ascii="Cambria" w:hAnsi="Cambria"/>
          <w:spacing w:val="29"/>
          <w:w w:val="109"/>
        </w:rPr>
        <w:t>x</w:t>
      </w:r>
      <w:r>
        <w:rPr>
          <w:rFonts w:ascii="Lucida Sans Unicode" w:hAnsi="Lucida Sans Unicode"/>
          <w:spacing w:val="29"/>
          <w:w w:val="81"/>
        </w:rPr>
        <w:t>∥</w:t>
      </w:r>
      <w:r>
        <w:rPr>
          <w:rFonts w:ascii="Lucida Sans Unicode" w:hAnsi="Lucida Sans Unicode"/>
          <w:spacing w:val="-18"/>
          <w:w w:val="99"/>
        </w:rPr>
        <w:t> </w:t>
      </w:r>
      <w:r>
        <w:rPr/>
        <w:t>is</w:t>
      </w:r>
      <w:r>
        <w:rPr>
          <w:spacing w:val="-15"/>
        </w:rPr>
        <w:t> </w:t>
      </w:r>
      <w:r>
        <w:rPr/>
        <w:t>the</w:t>
      </w:r>
      <w:r>
        <w:rPr>
          <w:spacing w:val="-14"/>
        </w:rPr>
        <w:t> </w:t>
      </w:r>
      <w:r>
        <w:rPr/>
        <w:t>Euclidean</w:t>
      </w:r>
      <w:r>
        <w:rPr>
          <w:spacing w:val="-12"/>
        </w:rPr>
        <w:t> </w:t>
      </w:r>
      <w:r>
        <w:rPr/>
        <w:t>norm</w:t>
      </w:r>
      <w:r>
        <w:rPr>
          <w:spacing w:val="-12"/>
        </w:rPr>
        <w:t> </w:t>
      </w:r>
      <w:r>
        <w:rPr/>
        <w:t>of</w:t>
      </w:r>
      <w:r>
        <w:rPr>
          <w:spacing w:val="-15"/>
        </w:rPr>
        <w:t> </w:t>
      </w:r>
      <w:r>
        <w:rPr>
          <w:rFonts w:ascii="Cambria" w:hAnsi="Cambria"/>
          <w:spacing w:val="-76"/>
          <w:w w:val="117"/>
        </w:rPr>
        <w:t>⃗</w:t>
      </w:r>
      <w:r>
        <w:rPr>
          <w:rFonts w:ascii="Cambria" w:hAnsi="Cambria"/>
          <w:spacing w:val="37"/>
          <w:w w:val="99"/>
        </w:rPr>
        <w:t>x</w:t>
      </w:r>
      <w:r>
        <w:rPr>
          <w:spacing w:val="37"/>
          <w:w w:val="84"/>
        </w:rPr>
        <w:t>.</w:t>
      </w:r>
      <w:r>
        <w:rPr>
          <w:spacing w:val="5"/>
        </w:rPr>
        <w:t> </w:t>
      </w:r>
      <w:r>
        <w:rPr/>
        <w:t>This</w:t>
      </w:r>
      <w:r>
        <w:rPr>
          <w:spacing w:val="-12"/>
        </w:rPr>
        <w:t> </w:t>
      </w:r>
      <w:r>
        <w:rPr/>
        <w:t>corresponds</w:t>
      </w:r>
      <w:r>
        <w:rPr>
          <w:spacing w:val="-12"/>
        </w:rPr>
        <w:t> </w:t>
      </w:r>
      <w:r>
        <w:rPr/>
        <w:t>to</w:t>
      </w:r>
      <w:r>
        <w:rPr>
          <w:spacing w:val="-12"/>
        </w:rPr>
        <w:t> </w:t>
      </w:r>
      <w:r>
        <w:rPr/>
        <w:t>a</w:t>
      </w:r>
      <w:r>
        <w:rPr>
          <w:spacing w:val="-12"/>
        </w:rPr>
        <w:t> </w:t>
      </w:r>
      <w:r>
        <w:rPr/>
        <w:t>diagonal</w:t>
      </w:r>
      <w:r>
        <w:rPr>
          <w:spacing w:val="-12"/>
        </w:rPr>
        <w:t> </w:t>
      </w:r>
      <w:r>
        <w:rPr/>
        <w:t>smoothing</w:t>
      </w:r>
      <w:r>
        <w:rPr>
          <w:spacing w:val="-12"/>
        </w:rPr>
        <w:t> </w:t>
      </w:r>
      <w:r>
        <w:rPr/>
        <w:t>matrix with the same smoothing constant </w:t>
      </w:r>
      <w:r>
        <w:rPr>
          <w:rFonts w:ascii="Cambria" w:hAnsi="Cambria"/>
        </w:rPr>
        <w:t>h </w:t>
      </w:r>
      <w:r>
        <w:rPr/>
        <w:t>(the bandwidth) in both directions.</w:t>
      </w:r>
    </w:p>
    <w:p>
      <w:pPr>
        <w:pStyle w:val="BodyText"/>
        <w:spacing w:line="312" w:lineRule="auto" w:before="61"/>
        <w:ind w:left="610" w:right="410" w:firstLine="351"/>
      </w:pPr>
      <w:r>
        <w:rPr/>
        <w:t>Previous</w:t>
      </w:r>
      <w:r>
        <w:rPr>
          <w:spacing w:val="-14"/>
        </w:rPr>
        <w:t> </w:t>
      </w:r>
      <w:r>
        <w:rPr/>
        <w:t>studies</w:t>
      </w:r>
      <w:r>
        <w:rPr>
          <w:spacing w:val="-14"/>
        </w:rPr>
        <w:t> </w:t>
      </w:r>
      <w:r>
        <w:rPr/>
        <w:t>have</w:t>
      </w:r>
      <w:r>
        <w:rPr>
          <w:spacing w:val="-14"/>
        </w:rPr>
        <w:t> </w:t>
      </w:r>
      <w:r>
        <w:rPr/>
        <w:t>considered</w:t>
      </w:r>
      <w:r>
        <w:rPr>
          <w:spacing w:val="-14"/>
        </w:rPr>
        <w:t> </w:t>
      </w:r>
      <w:r>
        <w:rPr/>
        <w:t>other</w:t>
      </w:r>
      <w:r>
        <w:rPr>
          <w:spacing w:val="-14"/>
        </w:rPr>
        <w:t> </w:t>
      </w:r>
      <w:r>
        <w:rPr/>
        <w:t>approaches</w:t>
      </w:r>
      <w:r>
        <w:rPr>
          <w:spacing w:val="-14"/>
        </w:rPr>
        <w:t> </w:t>
      </w:r>
      <w:r>
        <w:rPr/>
        <w:t>to</w:t>
      </w:r>
      <w:r>
        <w:rPr>
          <w:spacing w:val="-14"/>
        </w:rPr>
        <w:t> </w:t>
      </w:r>
      <w:r>
        <w:rPr/>
        <w:t>the</w:t>
      </w:r>
      <w:r>
        <w:rPr>
          <w:spacing w:val="-14"/>
        </w:rPr>
        <w:t> </w:t>
      </w:r>
      <w:r>
        <w:rPr/>
        <w:t>smoothing</w:t>
      </w:r>
      <w:r>
        <w:rPr>
          <w:spacing w:val="-14"/>
        </w:rPr>
        <w:t> </w:t>
      </w:r>
      <w:r>
        <w:rPr/>
        <w:t>matrix,</w:t>
      </w:r>
      <w:r>
        <w:rPr>
          <w:spacing w:val="-14"/>
        </w:rPr>
        <w:t> </w:t>
      </w:r>
      <w:r>
        <w:rPr/>
        <w:t>including adaptive values (</w:t>
      </w:r>
      <w:hyperlink w:history="true" w:anchor="_bookmark246">
        <w:r>
          <w:rPr>
            <w:color w:val="FF0000"/>
          </w:rPr>
          <w:t>Fleming et al.</w:t>
        </w:r>
      </w:hyperlink>
      <w:r>
        <w:rPr/>
        <w:t>,</w:t>
      </w:r>
      <w:hyperlink w:history="true" w:anchor="_bookmark246">
        <w:r>
          <w:rPr>
            <w:color w:val="FF0000"/>
          </w:rPr>
          <w:t>2015</w:t>
        </w:r>
      </w:hyperlink>
      <w:r>
        <w:rPr/>
        <w:t>), mixture values (</w:t>
      </w:r>
      <w:hyperlink w:history="true" w:anchor="_bookmark268">
        <w:r>
          <w:rPr>
            <w:color w:val="FF0000"/>
          </w:rPr>
          <w:t>Lichman and Smyth</w:t>
        </w:r>
        <w:r>
          <w:rPr/>
          <w:t>,</w:t>
        </w:r>
      </w:hyperlink>
      <w:r>
        <w:rPr>
          <w:color w:val="FF0000"/>
        </w:rPr>
        <w:t>2014</w:t>
      </w:r>
      <w:hyperlink w:history="true" w:anchor="_bookmark268">
        <w:r>
          <w:rPr/>
          <w:t>)</w:t>
        </w:r>
      </w:hyperlink>
      <w:r>
        <w:rPr/>
        <w:t> and self</w:t>
      </w:r>
      <w:r>
        <w:rPr>
          <w:spacing w:val="32"/>
        </w:rPr>
        <w:t> </w:t>
      </w:r>
      <w:r>
        <w:rPr/>
        <w:t>selected</w:t>
      </w:r>
      <w:r>
        <w:rPr>
          <w:spacing w:val="32"/>
        </w:rPr>
        <w:t> </w:t>
      </w:r>
      <w:r>
        <w:rPr/>
        <w:t>values</w:t>
      </w:r>
      <w:r>
        <w:rPr>
          <w:spacing w:val="32"/>
        </w:rPr>
        <w:t> </w:t>
      </w:r>
      <w:r>
        <w:rPr/>
        <w:t>based</w:t>
      </w:r>
      <w:r>
        <w:rPr>
          <w:spacing w:val="32"/>
        </w:rPr>
        <w:t> </w:t>
      </w:r>
      <w:r>
        <w:rPr/>
        <w:t>on</w:t>
      </w:r>
      <w:r>
        <w:rPr>
          <w:spacing w:val="32"/>
        </w:rPr>
        <w:t> </w:t>
      </w:r>
      <w:r>
        <w:rPr/>
        <w:t>neighbourhood</w:t>
      </w:r>
      <w:r>
        <w:rPr>
          <w:spacing w:val="32"/>
        </w:rPr>
        <w:t> </w:t>
      </w:r>
      <w:r>
        <w:rPr/>
        <w:t>service</w:t>
      </w:r>
      <w:r>
        <w:rPr>
          <w:spacing w:val="32"/>
        </w:rPr>
        <w:t> </w:t>
      </w:r>
      <w:r>
        <w:rPr/>
        <w:t>radii</w:t>
      </w:r>
      <w:r>
        <w:rPr>
          <w:spacing w:val="32"/>
        </w:rPr>
        <w:t> </w:t>
      </w:r>
      <w:r>
        <w:rPr/>
        <w:t>(</w:t>
      </w:r>
      <w:hyperlink w:history="true" w:anchor="_bookmark264">
        <w:r>
          <w:rPr>
            <w:color w:val="FF0000"/>
          </w:rPr>
          <w:t>King</w:t>
        </w:r>
        <w:r>
          <w:rPr>
            <w:color w:val="FF0000"/>
            <w:spacing w:val="32"/>
          </w:rPr>
          <w:t> </w:t>
        </w:r>
        <w:r>
          <w:rPr>
            <w:color w:val="FF0000"/>
          </w:rPr>
          <w:t>et</w:t>
        </w:r>
        <w:r>
          <w:rPr>
            <w:color w:val="FF0000"/>
            <w:spacing w:val="32"/>
          </w:rPr>
          <w:t> </w:t>
        </w:r>
        <w:r>
          <w:rPr>
            <w:color w:val="FF0000"/>
          </w:rPr>
          <w:t>al.</w:t>
        </w:r>
      </w:hyperlink>
      <w:r>
        <w:rPr/>
        <w:t>,</w:t>
      </w:r>
      <w:hyperlink w:history="true" w:anchor="_bookmark264">
        <w:r>
          <w:rPr>
            <w:color w:val="FF0000"/>
          </w:rPr>
          <w:t>2016</w:t>
        </w:r>
        <w:r>
          <w:rPr/>
          <w:t>).</w:t>
        </w:r>
      </w:hyperlink>
      <w:r>
        <w:rPr>
          <w:spacing w:val="80"/>
        </w:rPr>
        <w:t> </w:t>
      </w:r>
      <w:r>
        <w:rPr/>
        <w:t>In</w:t>
      </w:r>
      <w:r>
        <w:rPr>
          <w:spacing w:val="32"/>
        </w:rPr>
        <w:t> </w:t>
      </w:r>
      <w:r>
        <w:rPr/>
        <w:t>this exploratory study,</w:t>
      </w:r>
      <w:r>
        <w:rPr>
          <w:spacing w:val="21"/>
        </w:rPr>
        <w:t> </w:t>
      </w:r>
      <w:r>
        <w:rPr/>
        <w:t>a diagonal smoothing matrix was deemed to be most appropriate as</w:t>
      </w:r>
      <w:r>
        <w:rPr>
          <w:spacing w:val="80"/>
        </w:rPr>
        <w:t> </w:t>
      </w:r>
      <w:r>
        <w:rPr/>
        <w:t>it assumed that a location has an equal influence on all locations surrounding it.</w:t>
      </w:r>
      <w:r>
        <w:rPr>
          <w:spacing w:val="40"/>
        </w:rPr>
        <w:t> </w:t>
      </w:r>
      <w:r>
        <w:rPr/>
        <w:t>Given previous</w:t>
      </w:r>
      <w:r>
        <w:rPr>
          <w:spacing w:val="-5"/>
        </w:rPr>
        <w:t> </w:t>
      </w:r>
      <w:r>
        <w:rPr/>
        <w:t>zonal</w:t>
      </w:r>
      <w:r>
        <w:rPr>
          <w:spacing w:val="-4"/>
        </w:rPr>
        <w:t> </w:t>
      </w:r>
      <w:r>
        <w:rPr/>
        <w:t>approaches</w:t>
      </w:r>
      <w:r>
        <w:rPr>
          <w:spacing w:val="-5"/>
        </w:rPr>
        <w:t> </w:t>
      </w:r>
      <w:r>
        <w:rPr/>
        <w:t>in</w:t>
      </w:r>
      <w:r>
        <w:rPr>
          <w:spacing w:val="-5"/>
        </w:rPr>
        <w:t> </w:t>
      </w:r>
      <w:r>
        <w:rPr/>
        <w:t>sport</w:t>
      </w:r>
      <w:r>
        <w:rPr>
          <w:spacing w:val="-4"/>
        </w:rPr>
        <w:t> </w:t>
      </w:r>
      <w:r>
        <w:rPr/>
        <w:t>assume</w:t>
      </w:r>
      <w:r>
        <w:rPr>
          <w:spacing w:val="-4"/>
        </w:rPr>
        <w:t> </w:t>
      </w:r>
      <w:r>
        <w:rPr/>
        <w:t>that</w:t>
      </w:r>
      <w:r>
        <w:rPr>
          <w:spacing w:val="-5"/>
        </w:rPr>
        <w:t> </w:t>
      </w:r>
      <w:r>
        <w:rPr/>
        <w:t>all</w:t>
      </w:r>
      <w:r>
        <w:rPr>
          <w:spacing w:val="-5"/>
        </w:rPr>
        <w:t> </w:t>
      </w:r>
      <w:r>
        <w:rPr/>
        <w:t>locations</w:t>
      </w:r>
      <w:r>
        <w:rPr>
          <w:spacing w:val="-4"/>
        </w:rPr>
        <w:t> </w:t>
      </w:r>
      <w:r>
        <w:rPr/>
        <w:t>within</w:t>
      </w:r>
      <w:r>
        <w:rPr>
          <w:spacing w:val="-5"/>
        </w:rPr>
        <w:t> </w:t>
      </w:r>
      <w:r>
        <w:rPr/>
        <w:t>the</w:t>
      </w:r>
      <w:r>
        <w:rPr>
          <w:spacing w:val="-5"/>
        </w:rPr>
        <w:t> </w:t>
      </w:r>
      <w:r>
        <w:rPr/>
        <w:t>zone</w:t>
      </w:r>
      <w:r>
        <w:rPr>
          <w:spacing w:val="-4"/>
        </w:rPr>
        <w:t> </w:t>
      </w:r>
      <w:r>
        <w:rPr/>
        <w:t>are</w:t>
      </w:r>
      <w:r>
        <w:rPr>
          <w:spacing w:val="-5"/>
        </w:rPr>
        <w:t> </w:t>
      </w:r>
      <w:r>
        <w:rPr/>
        <w:t>identical (Chapters</w:t>
      </w:r>
      <w:r>
        <w:rPr>
          <w:color w:val="0000FF"/>
        </w:rPr>
        <w:t>3</w:t>
      </w:r>
      <w:r>
        <w:rPr/>
        <w:t>and</w:t>
      </w:r>
      <w:r>
        <w:rPr>
          <w:color w:val="0000FF"/>
        </w:rPr>
        <w:t>4</w:t>
      </w:r>
      <w:r>
        <w:rPr/>
        <w:t>;</w:t>
      </w:r>
      <w:hyperlink w:history="true" w:anchor="_bookmark92">
        <w:r>
          <w:rPr>
            <w:color w:val="FF0000"/>
          </w:rPr>
          <w:t>Cerv</w:t>
        </w:r>
      </w:hyperlink>
      <w:hyperlink w:history="true" w:anchor="_bookmark231">
        <w:r>
          <w:rPr>
            <w:color w:val="FF0000"/>
          </w:rPr>
          <w:t>one et al.</w:t>
        </w:r>
        <w:r>
          <w:rPr/>
          <w:t>(</w:t>
        </w:r>
      </w:hyperlink>
      <w:r>
        <w:rPr>
          <w:color w:val="FF0000"/>
        </w:rPr>
        <w:t>2016</w:t>
      </w:r>
      <w:hyperlink w:history="true" w:anchor="_bookmark231">
        <w:r>
          <w:rPr/>
          <w:t>);</w:t>
        </w:r>
        <w:r>
          <w:rPr>
            <w:color w:val="FF0000"/>
          </w:rPr>
          <w:t>K</w:t>
        </w:r>
      </w:hyperlink>
      <w:r>
        <w:rPr>
          <w:color w:val="FF0000"/>
        </w:rPr>
        <w:t>empton </w:t>
      </w:r>
      <w:hyperlink w:history="true" w:anchor="_bookmark263">
        <w:r>
          <w:rPr>
            <w:color w:val="FF0000"/>
          </w:rPr>
          <w:t>et al.</w:t>
        </w:r>
        <w:r>
          <w:rPr/>
          <w:t>(</w:t>
        </w:r>
      </w:hyperlink>
      <w:r>
        <w:rPr>
          <w:color w:val="FF0000"/>
        </w:rPr>
        <w:t>2016</w:t>
      </w:r>
      <w:hyperlink w:history="true" w:anchor="_bookmark263">
        <w:r>
          <w:rPr/>
          <w:t>)), it</w:t>
        </w:r>
      </w:hyperlink>
      <w:r>
        <w:rPr/>
        <w:t> is a logical next step</w:t>
      </w:r>
    </w:p>
    <w:p>
      <w:pPr>
        <w:pStyle w:val="BodyText"/>
        <w:spacing w:line="274" w:lineRule="exact"/>
        <w:ind w:left="610"/>
      </w:pPr>
      <w:r>
        <w:rPr/>
        <w:t>to</w:t>
      </w:r>
      <w:r>
        <w:rPr>
          <w:spacing w:val="-9"/>
        </w:rPr>
        <w:t> </w:t>
      </w:r>
      <w:r>
        <w:rPr/>
        <w:t>assume</w:t>
      </w:r>
      <w:r>
        <w:rPr>
          <w:spacing w:val="-8"/>
        </w:rPr>
        <w:t> </w:t>
      </w:r>
      <w:r>
        <w:rPr/>
        <w:t>that</w:t>
      </w:r>
      <w:r>
        <w:rPr>
          <w:spacing w:val="-8"/>
        </w:rPr>
        <w:t> </w:t>
      </w:r>
      <w:r>
        <w:rPr/>
        <w:t>a</w:t>
      </w:r>
      <w:r>
        <w:rPr>
          <w:spacing w:val="-8"/>
        </w:rPr>
        <w:t> </w:t>
      </w:r>
      <w:r>
        <w:rPr/>
        <w:t>specific</w:t>
      </w:r>
      <w:r>
        <w:rPr>
          <w:spacing w:val="-8"/>
        </w:rPr>
        <w:t> </w:t>
      </w:r>
      <w:r>
        <w:rPr/>
        <w:t>location</w:t>
      </w:r>
      <w:r>
        <w:rPr>
          <w:spacing w:val="-9"/>
        </w:rPr>
        <w:t> </w:t>
      </w:r>
      <w:r>
        <w:rPr/>
        <w:t>has</w:t>
      </w:r>
      <w:r>
        <w:rPr>
          <w:spacing w:val="-8"/>
        </w:rPr>
        <w:t> </w:t>
      </w:r>
      <w:r>
        <w:rPr/>
        <w:t>equal</w:t>
      </w:r>
      <w:r>
        <w:rPr>
          <w:spacing w:val="-8"/>
        </w:rPr>
        <w:t> </w:t>
      </w:r>
      <w:r>
        <w:rPr/>
        <w:t>influence</w:t>
      </w:r>
      <w:r>
        <w:rPr>
          <w:spacing w:val="-8"/>
        </w:rPr>
        <w:t> </w:t>
      </w:r>
      <w:r>
        <w:rPr/>
        <w:t>on</w:t>
      </w:r>
      <w:r>
        <w:rPr>
          <w:spacing w:val="-8"/>
        </w:rPr>
        <w:t> </w:t>
      </w:r>
      <w:r>
        <w:rPr/>
        <w:t>all</w:t>
      </w:r>
      <w:r>
        <w:rPr>
          <w:spacing w:val="-9"/>
        </w:rPr>
        <w:t> </w:t>
      </w:r>
      <w:r>
        <w:rPr/>
        <w:t>surrounding</w:t>
      </w:r>
      <w:r>
        <w:rPr>
          <w:spacing w:val="-8"/>
        </w:rPr>
        <w:t> </w:t>
      </w:r>
      <w:r>
        <w:rPr>
          <w:spacing w:val="-2"/>
        </w:rPr>
        <w:t>locations.</w:t>
      </w:r>
    </w:p>
    <w:p>
      <w:pPr>
        <w:pStyle w:val="BodyText"/>
        <w:spacing w:line="312" w:lineRule="auto" w:before="82"/>
        <w:ind w:left="610" w:right="389" w:firstLine="351"/>
      </w:pPr>
      <w:r>
        <w:rPr/>
        <w:t>The most important free parameter within KDE is the bandwidth (</w:t>
      </w:r>
      <w:hyperlink w:history="true" w:anchor="_bookmark233">
        <w:r>
          <w:rPr>
            <w:color w:val="FF0000"/>
          </w:rPr>
          <w:t>Chen</w:t>
        </w:r>
      </w:hyperlink>
      <w:r>
        <w:rPr/>
        <w:t>,</w:t>
      </w:r>
      <w:hyperlink w:history="true" w:anchor="_bookmark233">
        <w:r>
          <w:rPr>
            <w:color w:val="FF0000"/>
          </w:rPr>
          <w:t>2015</w:t>
        </w:r>
      </w:hyperlink>
      <w:r>
        <w:rPr/>
        <w:t>).</w:t>
      </w:r>
      <w:r>
        <w:rPr>
          <w:spacing w:val="40"/>
        </w:rPr>
        <w:t> </w:t>
      </w:r>
      <w:r>
        <w:rPr/>
        <w:t>The bandwidth parameter influences the smoothness of the KDE model and controls “over- fitting”</w:t>
      </w:r>
      <w:r>
        <w:rPr>
          <w:spacing w:val="4"/>
        </w:rPr>
        <w:t> </w:t>
      </w:r>
      <w:r>
        <w:rPr/>
        <w:t>by</w:t>
      </w:r>
      <w:r>
        <w:rPr>
          <w:spacing w:val="5"/>
        </w:rPr>
        <w:t> </w:t>
      </w:r>
      <w:r>
        <w:rPr/>
        <w:t>establishing</w:t>
      </w:r>
      <w:r>
        <w:rPr>
          <w:spacing w:val="5"/>
        </w:rPr>
        <w:t> </w:t>
      </w:r>
      <w:r>
        <w:rPr/>
        <w:t>the</w:t>
      </w:r>
      <w:r>
        <w:rPr>
          <w:spacing w:val="5"/>
        </w:rPr>
        <w:t> </w:t>
      </w:r>
      <w:r>
        <w:rPr/>
        <w:t>amount</w:t>
      </w:r>
      <w:r>
        <w:rPr>
          <w:spacing w:val="5"/>
        </w:rPr>
        <w:t> </w:t>
      </w:r>
      <w:r>
        <w:rPr/>
        <w:t>of</w:t>
      </w:r>
      <w:r>
        <w:rPr>
          <w:spacing w:val="4"/>
        </w:rPr>
        <w:t> </w:t>
      </w:r>
      <w:r>
        <w:rPr/>
        <w:t>data</w:t>
      </w:r>
      <w:r>
        <w:rPr>
          <w:spacing w:val="5"/>
        </w:rPr>
        <w:t> </w:t>
      </w:r>
      <w:r>
        <w:rPr/>
        <w:t>smoothed</w:t>
      </w:r>
      <w:r>
        <w:rPr>
          <w:spacing w:val="5"/>
        </w:rPr>
        <w:t> </w:t>
      </w:r>
      <w:r>
        <w:rPr/>
        <w:t>at</w:t>
      </w:r>
      <w:r>
        <w:rPr>
          <w:spacing w:val="5"/>
        </w:rPr>
        <w:t> </w:t>
      </w:r>
      <w:r>
        <w:rPr/>
        <w:t>every</w:t>
      </w:r>
      <w:r>
        <w:rPr>
          <w:spacing w:val="5"/>
        </w:rPr>
        <w:t> </w:t>
      </w:r>
      <w:r>
        <w:rPr/>
        <w:t>point.</w:t>
      </w:r>
      <w:r>
        <w:rPr>
          <w:spacing w:val="41"/>
        </w:rPr>
        <w:t> </w:t>
      </w:r>
      <w:r>
        <w:rPr/>
        <w:t>Smaller</w:t>
      </w:r>
      <w:r>
        <w:rPr>
          <w:spacing w:val="4"/>
        </w:rPr>
        <w:t> </w:t>
      </w:r>
      <w:r>
        <w:rPr>
          <w:spacing w:val="-2"/>
        </w:rPr>
        <w:t>bandwidth</w:t>
      </w:r>
    </w:p>
    <w:p>
      <w:pPr>
        <w:spacing w:after="0" w:line="312" w:lineRule="auto"/>
        <w:sectPr>
          <w:type w:val="continuous"/>
          <w:pgSz w:w="11910" w:h="16840"/>
          <w:pgMar w:header="1961" w:footer="1428" w:top="1920" w:bottom="28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values result in a more jagged appearance with larger peaks and troughs, whereas </w:t>
      </w:r>
      <w:r>
        <w:rPr/>
        <w:t>larger values result in a much smoother appearance with smaller peaks.</w:t>
      </w:r>
      <w:r>
        <w:rPr>
          <w:spacing w:val="40"/>
        </w:rPr>
        <w:t> </w:t>
      </w:r>
      <w:r>
        <w:rPr/>
        <w:t>Typically, as the size of the dataset increases, the optimal bandwidth size reduces (</w:t>
      </w:r>
      <w:hyperlink w:history="true" w:anchor="_bookmark314">
        <w:r>
          <w:rPr>
            <w:color w:val="FF0000"/>
          </w:rPr>
          <w:t>Zambom and Dias</w:t>
        </w:r>
      </w:hyperlink>
      <w:r>
        <w:rPr/>
        <w:t>,</w:t>
      </w:r>
      <w:hyperlink w:history="true" w:anchor="_bookmark314">
        <w:r>
          <w:rPr>
            <w:color w:val="FF0000"/>
          </w:rPr>
          <w:t>2012</w:t>
        </w:r>
      </w:hyperlink>
      <w:r>
        <w:rPr/>
        <w:t>). Consequently, bandwidths can be calculated individually for each subset of data to en- sure that the best possible fit to each subset’s data is obtained.</w:t>
      </w:r>
      <w:r>
        <w:rPr>
          <w:spacing w:val="76"/>
        </w:rPr>
        <w:t> </w:t>
      </w:r>
      <w:r>
        <w:rPr/>
        <w:t>This method was used</w:t>
      </w:r>
      <w:r>
        <w:rPr>
          <w:spacing w:val="80"/>
        </w:rPr>
        <w:t> </w:t>
      </w:r>
      <w:r>
        <w:rPr/>
        <w:t>by</w:t>
      </w:r>
      <w:hyperlink w:history="true" w:anchor="_bookmark271">
        <w:r>
          <w:rPr>
            <w:color w:val="FF0000"/>
          </w:rPr>
          <w:t>Mallepalle et al.</w:t>
        </w:r>
        <w:r>
          <w:rPr/>
          <w:t>(</w:t>
        </w:r>
      </w:hyperlink>
      <w:r>
        <w:rPr>
          <w:color w:val="FF0000"/>
        </w:rPr>
        <w:t>2020</w:t>
      </w:r>
      <w:hyperlink w:history="true" w:anchor="_bookmark271">
        <w:r>
          <w:rPr/>
          <w:t>)</w:t>
        </w:r>
      </w:hyperlink>
      <w:r>
        <w:rPr/>
        <w:t> when evaluating quarterback pass probability distributions. However,</w:t>
      </w:r>
      <w:r>
        <w:rPr>
          <w:spacing w:val="-5"/>
        </w:rPr>
        <w:t> </w:t>
      </w:r>
      <w:r>
        <w:rPr/>
        <w:t>individually</w:t>
      </w:r>
      <w:r>
        <w:rPr>
          <w:spacing w:val="-6"/>
        </w:rPr>
        <w:t> </w:t>
      </w:r>
      <w:r>
        <w:rPr/>
        <w:t>calculating</w:t>
      </w:r>
      <w:r>
        <w:rPr>
          <w:spacing w:val="-6"/>
        </w:rPr>
        <w:t> </w:t>
      </w:r>
      <w:r>
        <w:rPr/>
        <w:t>bandwidths</w:t>
      </w:r>
      <w:r>
        <w:rPr>
          <w:spacing w:val="-6"/>
        </w:rPr>
        <w:t> </w:t>
      </w:r>
      <w:r>
        <w:rPr/>
        <w:t>can</w:t>
      </w:r>
      <w:r>
        <w:rPr>
          <w:spacing w:val="-6"/>
        </w:rPr>
        <w:t> </w:t>
      </w:r>
      <w:r>
        <w:rPr/>
        <w:t>cause</w:t>
      </w:r>
      <w:r>
        <w:rPr>
          <w:spacing w:val="-7"/>
        </w:rPr>
        <w:t> </w:t>
      </w:r>
      <w:r>
        <w:rPr/>
        <w:t>issues</w:t>
      </w:r>
      <w:r>
        <w:rPr>
          <w:spacing w:val="-6"/>
        </w:rPr>
        <w:t> </w:t>
      </w:r>
      <w:r>
        <w:rPr/>
        <w:t>when</w:t>
      </w:r>
      <w:r>
        <w:rPr>
          <w:spacing w:val="-6"/>
        </w:rPr>
        <w:t> </w:t>
      </w:r>
      <w:r>
        <w:rPr/>
        <w:t>directly</w:t>
      </w:r>
      <w:r>
        <w:rPr>
          <w:spacing w:val="-6"/>
        </w:rPr>
        <w:t> </w:t>
      </w:r>
      <w:r>
        <w:rPr/>
        <w:t>comparing differences between KDEs as the use of different bandwidths can result in artificial dif- ferences</w:t>
      </w:r>
      <w:r>
        <w:rPr>
          <w:spacing w:val="-9"/>
        </w:rPr>
        <w:t> </w:t>
      </w:r>
      <w:r>
        <w:rPr/>
        <w:t>being</w:t>
      </w:r>
      <w:r>
        <w:rPr>
          <w:spacing w:val="-9"/>
        </w:rPr>
        <w:t> </w:t>
      </w:r>
      <w:r>
        <w:rPr/>
        <w:t>observed</w:t>
      </w:r>
      <w:r>
        <w:rPr>
          <w:spacing w:val="-9"/>
        </w:rPr>
        <w:t> </w:t>
      </w:r>
      <w:r>
        <w:rPr/>
        <w:t>(</w:t>
      </w:r>
      <w:hyperlink w:history="true" w:anchor="_bookmark227">
        <w:r>
          <w:rPr>
            <w:color w:val="FF0000"/>
          </w:rPr>
          <w:t>Bowman</w:t>
        </w:r>
      </w:hyperlink>
      <w:r>
        <w:rPr/>
        <w:t>,</w:t>
      </w:r>
      <w:hyperlink w:history="true" w:anchor="_bookmark227">
        <w:r>
          <w:rPr>
            <w:color w:val="FF0000"/>
          </w:rPr>
          <w:t>1984</w:t>
        </w:r>
      </w:hyperlink>
      <w:r>
        <w:rPr/>
        <w:t>). Therefore,</w:t>
      </w:r>
      <w:r>
        <w:rPr>
          <w:spacing w:val="-8"/>
        </w:rPr>
        <w:t> </w:t>
      </w:r>
      <w:r>
        <w:rPr/>
        <w:t>a</w:t>
      </w:r>
      <w:r>
        <w:rPr>
          <w:spacing w:val="-9"/>
        </w:rPr>
        <w:t> </w:t>
      </w:r>
      <w:r>
        <w:rPr/>
        <w:t>single</w:t>
      </w:r>
      <w:r>
        <w:rPr>
          <w:spacing w:val="-9"/>
        </w:rPr>
        <w:t> </w:t>
      </w:r>
      <w:r>
        <w:rPr/>
        <w:t>bandwidth</w:t>
      </w:r>
      <w:r>
        <w:rPr>
          <w:spacing w:val="-9"/>
        </w:rPr>
        <w:t> </w:t>
      </w:r>
      <w:r>
        <w:rPr/>
        <w:t>was</w:t>
      </w:r>
      <w:r>
        <w:rPr>
          <w:spacing w:val="-9"/>
        </w:rPr>
        <w:t> </w:t>
      </w:r>
      <w:r>
        <w:rPr/>
        <w:t>used</w:t>
      </w:r>
      <w:r>
        <w:rPr>
          <w:spacing w:val="-9"/>
        </w:rPr>
        <w:t> </w:t>
      </w:r>
      <w:r>
        <w:rPr/>
        <w:t>across all 145 data subsets in this study so that team KDEs could be compared directly.</w:t>
      </w:r>
    </w:p>
    <w:p>
      <w:pPr>
        <w:pStyle w:val="BodyText"/>
        <w:spacing w:line="312" w:lineRule="auto"/>
        <w:ind w:left="610" w:right="389" w:firstLine="351"/>
      </w:pPr>
      <w:r>
        <w:rPr/>
        <w:t>Given</w:t>
      </w:r>
      <w:r>
        <w:rPr>
          <w:spacing w:val="-15"/>
        </w:rPr>
        <w:t> </w:t>
      </w:r>
      <w:r>
        <w:rPr/>
        <w:t>its</w:t>
      </w:r>
      <w:r>
        <w:rPr>
          <w:spacing w:val="-15"/>
        </w:rPr>
        <w:t> </w:t>
      </w:r>
      <w:r>
        <w:rPr/>
        <w:t>importance</w:t>
      </w:r>
      <w:r>
        <w:rPr>
          <w:spacing w:val="-15"/>
        </w:rPr>
        <w:t> </w:t>
      </w:r>
      <w:r>
        <w:rPr/>
        <w:t>to</w:t>
      </w:r>
      <w:r>
        <w:rPr>
          <w:spacing w:val="-15"/>
        </w:rPr>
        <w:t> </w:t>
      </w:r>
      <w:r>
        <w:rPr/>
        <w:t>the</w:t>
      </w:r>
      <w:r>
        <w:rPr>
          <w:spacing w:val="-15"/>
        </w:rPr>
        <w:t> </w:t>
      </w:r>
      <w:r>
        <w:rPr/>
        <w:t>estimates</w:t>
      </w:r>
      <w:r>
        <w:rPr>
          <w:spacing w:val="-15"/>
        </w:rPr>
        <w:t> </w:t>
      </w:r>
      <w:r>
        <w:rPr/>
        <w:t>provided</w:t>
      </w:r>
      <w:r>
        <w:rPr>
          <w:spacing w:val="-15"/>
        </w:rPr>
        <w:t> </w:t>
      </w:r>
      <w:r>
        <w:rPr/>
        <w:t>by</w:t>
      </w:r>
      <w:r>
        <w:rPr>
          <w:spacing w:val="-14"/>
        </w:rPr>
        <w:t> </w:t>
      </w:r>
      <w:r>
        <w:rPr/>
        <w:t>KDE,</w:t>
      </w:r>
      <w:r>
        <w:rPr>
          <w:spacing w:val="-15"/>
        </w:rPr>
        <w:t> </w:t>
      </w:r>
      <w:r>
        <w:rPr/>
        <w:t>numerous</w:t>
      </w:r>
      <w:r>
        <w:rPr>
          <w:spacing w:val="-15"/>
        </w:rPr>
        <w:t> </w:t>
      </w:r>
      <w:r>
        <w:rPr/>
        <w:t>methods</w:t>
      </w:r>
      <w:r>
        <w:rPr>
          <w:spacing w:val="-15"/>
        </w:rPr>
        <w:t> </w:t>
      </w:r>
      <w:r>
        <w:rPr/>
        <w:t>have</w:t>
      </w:r>
      <w:r>
        <w:rPr>
          <w:spacing w:val="-15"/>
        </w:rPr>
        <w:t> </w:t>
      </w:r>
      <w:r>
        <w:rPr/>
        <w:t>been identified through which the optimal bandwidth can be selected,</w:t>
      </w:r>
      <w:r>
        <w:rPr>
          <w:spacing w:val="31"/>
        </w:rPr>
        <w:t> </w:t>
      </w:r>
      <w:r>
        <w:rPr/>
        <w:t>including:</w:t>
      </w:r>
      <w:r>
        <w:rPr>
          <w:spacing w:val="40"/>
        </w:rPr>
        <w:t> </w:t>
      </w:r>
      <w:r>
        <w:rPr/>
        <w:t>visual </w:t>
      </w:r>
      <w:r>
        <w:rPr/>
        <w:t>in-</w:t>
      </w:r>
      <w:r>
        <w:rPr>
          <w:spacing w:val="40"/>
        </w:rPr>
        <w:t> </w:t>
      </w:r>
      <w:r>
        <w:rPr/>
        <w:t>spection; fitting to a reference distribution (</w:t>
      </w:r>
      <w:hyperlink w:history="true" w:anchor="_bookmark290">
        <w:r>
          <w:rPr>
            <w:color w:val="FF0000"/>
          </w:rPr>
          <w:t>Scott</w:t>
        </w:r>
      </w:hyperlink>
      <w:r>
        <w:rPr/>
        <w:t>,</w:t>
      </w:r>
      <w:hyperlink w:history="true" w:anchor="_bookmark290">
        <w:r>
          <w:rPr>
            <w:color w:val="FF0000"/>
          </w:rPr>
          <w:t>2015</w:t>
        </w:r>
        <w:r>
          <w:rPr/>
          <w:t>;</w:t>
        </w:r>
      </w:hyperlink>
      <w:r>
        <w:rPr>
          <w:color w:val="FF0000"/>
        </w:rPr>
        <w:t>Silv</w:t>
      </w:r>
      <w:hyperlink w:history="true" w:anchor="_bookmark293">
        <w:r>
          <w:rPr>
            <w:color w:val="FF0000"/>
          </w:rPr>
          <w:t>erman</w:t>
        </w:r>
        <w:r>
          <w:rPr/>
          <w:t>,</w:t>
        </w:r>
      </w:hyperlink>
      <w:r>
        <w:rPr>
          <w:color w:val="FF0000"/>
        </w:rPr>
        <w:t>1986</w:t>
      </w:r>
      <w:hyperlink w:history="true" w:anchor="_bookmark293">
        <w:r>
          <w:rPr/>
          <w:t>);</w:t>
        </w:r>
      </w:hyperlink>
      <w:r>
        <w:rPr/>
        <w:t> estimation to minimise the mean integrated square error (</w:t>
      </w:r>
      <w:hyperlink w:history="true" w:anchor="_bookmark280">
        <w:r>
          <w:rPr>
            <w:color w:val="FF0000"/>
          </w:rPr>
          <w:t>Park and Marron</w:t>
        </w:r>
      </w:hyperlink>
      <w:r>
        <w:rPr/>
        <w:t>,</w:t>
      </w:r>
      <w:hyperlink w:history="true" w:anchor="_bookmark280">
        <w:r>
          <w:rPr>
            <w:color w:val="FF0000"/>
          </w:rPr>
          <w:t>1990</w:t>
        </w:r>
        <w:r>
          <w:rPr/>
          <w:t>;</w:t>
        </w:r>
      </w:hyperlink>
      <w:hyperlink w:history="true" w:anchor="_bookmark292">
        <w:r>
          <w:rPr>
            <w:color w:val="FF0000"/>
          </w:rPr>
          <w:t>Sheather and Jones</w:t>
        </w:r>
        <w:r>
          <w:rPr/>
          <w:t>,</w:t>
        </w:r>
      </w:hyperlink>
      <w:r>
        <w:rPr/>
        <w:t> </w:t>
      </w:r>
      <w:hyperlink w:history="true" w:anchor="_bookmark292">
        <w:r>
          <w:rPr>
            <w:color w:val="FF0000"/>
          </w:rPr>
          <w:t>1991</w:t>
        </w:r>
      </w:hyperlink>
      <w:r>
        <w:rPr/>
        <w:t>);</w:t>
      </w:r>
      <w:r>
        <w:rPr>
          <w:spacing w:val="40"/>
        </w:rPr>
        <w:t> </w:t>
      </w:r>
      <w:r>
        <w:rPr/>
        <w:t>and cross validation (</w:t>
      </w:r>
      <w:hyperlink w:history="true" w:anchor="_bookmark227">
        <w:r>
          <w:rPr>
            <w:color w:val="FF0000"/>
          </w:rPr>
          <w:t>Bowman</w:t>
        </w:r>
      </w:hyperlink>
      <w:r>
        <w:rPr/>
        <w:t>,</w:t>
      </w:r>
      <w:hyperlink w:history="true" w:anchor="_bookmark227">
        <w:r>
          <w:rPr>
            <w:color w:val="FF0000"/>
          </w:rPr>
          <w:t>1984</w:t>
        </w:r>
        <w:r>
          <w:rPr/>
          <w:t>;</w:t>
        </w:r>
      </w:hyperlink>
      <w:hyperlink w:history="true" w:anchor="_bookmark272">
        <w:r>
          <w:rPr>
            <w:color w:val="FF0000"/>
          </w:rPr>
          <w:t>Marron</w:t>
        </w:r>
        <w:r>
          <w:rPr/>
          <w:t>,</w:t>
        </w:r>
      </w:hyperlink>
      <w:r>
        <w:rPr>
          <w:color w:val="FF0000"/>
        </w:rPr>
        <w:t>1989</w:t>
      </w:r>
      <w:hyperlink w:history="true" w:anchor="_bookmark272">
        <w:r>
          <w:rPr/>
          <w:t>;</w:t>
        </w:r>
      </w:hyperlink>
      <w:r>
        <w:rPr>
          <w:color w:val="FF0000"/>
        </w:rPr>
        <w:t>Stone</w:t>
      </w:r>
      <w:hyperlink w:history="true" w:anchor="_bookmark300">
        <w:r>
          <w:rPr/>
          <w:t>,</w:t>
        </w:r>
      </w:hyperlink>
      <w:r>
        <w:rPr>
          <w:color w:val="FF0000"/>
        </w:rPr>
        <w:t>1984</w:t>
      </w:r>
      <w:hyperlink w:history="true" w:anchor="_bookmark300">
        <w:r>
          <w:rPr/>
          <w:t>).</w:t>
        </w:r>
      </w:hyperlink>
      <w:r>
        <w:rPr>
          <w:spacing w:val="40"/>
        </w:rPr>
        <w:t> </w:t>
      </w:r>
      <w:r>
        <w:rPr/>
        <w:t>Contrary to</w:t>
      </w:r>
    </w:p>
    <w:p>
      <w:pPr>
        <w:pStyle w:val="BodyText"/>
        <w:spacing w:line="312" w:lineRule="auto"/>
        <w:ind w:left="610" w:right="389"/>
      </w:pPr>
      <w:r>
        <w:rPr/>
        <w:t>the</w:t>
      </w:r>
      <w:r>
        <w:rPr>
          <w:spacing w:val="-2"/>
        </w:rPr>
        <w:t> </w:t>
      </w:r>
      <w:r>
        <w:rPr/>
        <w:t>assumptions</w:t>
      </w:r>
      <w:r>
        <w:rPr>
          <w:spacing w:val="-3"/>
        </w:rPr>
        <w:t> </w:t>
      </w:r>
      <w:r>
        <w:rPr/>
        <w:t>underlying</w:t>
      </w:r>
      <w:r>
        <w:rPr>
          <w:spacing w:val="-2"/>
        </w:rPr>
        <w:t> </w:t>
      </w:r>
      <w:r>
        <w:rPr/>
        <w:t>some</w:t>
      </w:r>
      <w:r>
        <w:rPr>
          <w:spacing w:val="-2"/>
        </w:rPr>
        <w:t> </w:t>
      </w:r>
      <w:r>
        <w:rPr/>
        <w:t>of</w:t>
      </w:r>
      <w:r>
        <w:rPr>
          <w:spacing w:val="-2"/>
        </w:rPr>
        <w:t> </w:t>
      </w:r>
      <w:r>
        <w:rPr/>
        <w:t>these</w:t>
      </w:r>
      <w:r>
        <w:rPr>
          <w:spacing w:val="-3"/>
        </w:rPr>
        <w:t> </w:t>
      </w:r>
      <w:r>
        <w:rPr/>
        <w:t>approaches,</w:t>
      </w:r>
      <w:r>
        <w:rPr>
          <w:spacing w:val="-2"/>
        </w:rPr>
        <w:t> </w:t>
      </w:r>
      <w:r>
        <w:rPr/>
        <w:t>the</w:t>
      </w:r>
      <w:r>
        <w:rPr>
          <w:spacing w:val="-2"/>
        </w:rPr>
        <w:t> </w:t>
      </w:r>
      <w:r>
        <w:rPr/>
        <w:t>rugby</w:t>
      </w:r>
      <w:r>
        <w:rPr>
          <w:spacing w:val="-2"/>
        </w:rPr>
        <w:t> </w:t>
      </w:r>
      <w:r>
        <w:rPr/>
        <w:t>league</w:t>
      </w:r>
      <w:r>
        <w:rPr>
          <w:spacing w:val="-2"/>
        </w:rPr>
        <w:t> </w:t>
      </w:r>
      <w:r>
        <w:rPr/>
        <w:t>data</w:t>
      </w:r>
      <w:r>
        <w:rPr>
          <w:spacing w:val="-3"/>
        </w:rPr>
        <w:t> </w:t>
      </w:r>
      <w:r>
        <w:rPr/>
        <w:t>used</w:t>
      </w:r>
      <w:r>
        <w:rPr>
          <w:spacing w:val="-2"/>
        </w:rPr>
        <w:t> </w:t>
      </w:r>
      <w:r>
        <w:rPr/>
        <w:t>in</w:t>
      </w:r>
      <w:r>
        <w:rPr>
          <w:spacing w:val="-2"/>
        </w:rPr>
        <w:t> </w:t>
      </w:r>
      <w:r>
        <w:rPr/>
        <w:t>this study</w:t>
      </w:r>
      <w:r>
        <w:rPr>
          <w:spacing w:val="-5"/>
        </w:rPr>
        <w:t> </w:t>
      </w:r>
      <w:r>
        <w:rPr/>
        <w:t>is</w:t>
      </w:r>
      <w:r>
        <w:rPr>
          <w:spacing w:val="-5"/>
        </w:rPr>
        <w:t> </w:t>
      </w:r>
      <w:r>
        <w:rPr/>
        <w:t>auto-correlated</w:t>
      </w:r>
      <w:r>
        <w:rPr>
          <w:spacing w:val="-5"/>
        </w:rPr>
        <w:t> </w:t>
      </w:r>
      <w:r>
        <w:rPr/>
        <w:t>as</w:t>
      </w:r>
      <w:r>
        <w:rPr>
          <w:spacing w:val="-5"/>
        </w:rPr>
        <w:t> </w:t>
      </w:r>
      <w:r>
        <w:rPr/>
        <w:t>locations</w:t>
      </w:r>
      <w:r>
        <w:rPr>
          <w:spacing w:val="-5"/>
        </w:rPr>
        <w:t> </w:t>
      </w:r>
      <w:r>
        <w:rPr/>
        <w:t>of</w:t>
      </w:r>
      <w:r>
        <w:rPr>
          <w:spacing w:val="-5"/>
        </w:rPr>
        <w:t> </w:t>
      </w:r>
      <w:r>
        <w:rPr/>
        <w:t>consecutive</w:t>
      </w:r>
      <w:r>
        <w:rPr>
          <w:spacing w:val="-5"/>
        </w:rPr>
        <w:t> </w:t>
      </w:r>
      <w:r>
        <w:rPr/>
        <w:t>actions</w:t>
      </w:r>
      <w:r>
        <w:rPr>
          <w:spacing w:val="-5"/>
        </w:rPr>
        <w:t> </w:t>
      </w:r>
      <w:r>
        <w:rPr/>
        <w:t>in</w:t>
      </w:r>
      <w:r>
        <w:rPr>
          <w:spacing w:val="-5"/>
        </w:rPr>
        <w:t> </w:t>
      </w:r>
      <w:r>
        <w:rPr/>
        <w:t>a</w:t>
      </w:r>
      <w:r>
        <w:rPr>
          <w:spacing w:val="-5"/>
        </w:rPr>
        <w:t> </w:t>
      </w:r>
      <w:r>
        <w:rPr/>
        <w:t>play</w:t>
      </w:r>
      <w:r>
        <w:rPr>
          <w:spacing w:val="-5"/>
        </w:rPr>
        <w:t> </w:t>
      </w:r>
      <w:r>
        <w:rPr/>
        <w:t>are</w:t>
      </w:r>
      <w:r>
        <w:rPr>
          <w:spacing w:val="-5"/>
        </w:rPr>
        <w:t> </w:t>
      </w:r>
      <w:r>
        <w:rPr/>
        <w:t>not</w:t>
      </w:r>
      <w:r>
        <w:rPr>
          <w:spacing w:val="-5"/>
        </w:rPr>
        <w:t> </w:t>
      </w:r>
      <w:r>
        <w:rPr/>
        <w:t>independent. The effect of auto-correlation on optimal bandwidth selection is shown by</w:t>
      </w:r>
      <w:hyperlink w:history="true" w:anchor="_bookmark246">
        <w:r>
          <w:rPr>
            <w:color w:val="FF0000"/>
          </w:rPr>
          <w:t>Fleming et al.</w:t>
        </w:r>
      </w:hyperlink>
      <w:r>
        <w:rPr>
          <w:color w:val="FF0000"/>
        </w:rPr>
        <w:t> </w:t>
      </w:r>
      <w:r>
        <w:rPr/>
        <w:t>(</w:t>
      </w:r>
      <w:hyperlink w:history="true" w:anchor="_bookmark246">
        <w:r>
          <w:rPr>
            <w:color w:val="FF0000"/>
          </w:rPr>
          <w:t>2015</w:t>
        </w:r>
      </w:hyperlink>
      <w:r>
        <w:rPr/>
        <w:t>)</w:t>
      </w:r>
      <w:r>
        <w:rPr>
          <w:spacing w:val="-5"/>
        </w:rPr>
        <w:t> </w:t>
      </w:r>
      <w:r>
        <w:rPr/>
        <w:t>in</w:t>
      </w:r>
      <w:r>
        <w:rPr>
          <w:spacing w:val="-5"/>
        </w:rPr>
        <w:t> </w:t>
      </w:r>
      <w:r>
        <w:rPr/>
        <w:t>their</w:t>
      </w:r>
      <w:r>
        <w:rPr>
          <w:spacing w:val="-5"/>
        </w:rPr>
        <w:t> </w:t>
      </w:r>
      <w:r>
        <w:rPr/>
        <w:t>framework</w:t>
      </w:r>
      <w:r>
        <w:rPr>
          <w:spacing w:val="-5"/>
        </w:rPr>
        <w:t> </w:t>
      </w:r>
      <w:r>
        <w:rPr/>
        <w:t>of</w:t>
      </w:r>
      <w:r>
        <w:rPr>
          <w:spacing w:val="-5"/>
        </w:rPr>
        <w:t> </w:t>
      </w:r>
      <w:r>
        <w:rPr/>
        <w:t>minimising</w:t>
      </w:r>
      <w:r>
        <w:rPr>
          <w:spacing w:val="-5"/>
        </w:rPr>
        <w:t> </w:t>
      </w:r>
      <w:r>
        <w:rPr/>
        <w:t>the</w:t>
      </w:r>
      <w:r>
        <w:rPr>
          <w:spacing w:val="-5"/>
        </w:rPr>
        <w:t> </w:t>
      </w:r>
      <w:r>
        <w:rPr/>
        <w:t>mean</w:t>
      </w:r>
      <w:r>
        <w:rPr>
          <w:spacing w:val="-5"/>
        </w:rPr>
        <w:t> </w:t>
      </w:r>
      <w:r>
        <w:rPr/>
        <w:t>integrated</w:t>
      </w:r>
      <w:r>
        <w:rPr>
          <w:spacing w:val="-5"/>
        </w:rPr>
        <w:t> </w:t>
      </w:r>
      <w:r>
        <w:rPr/>
        <w:t>square</w:t>
      </w:r>
      <w:r>
        <w:rPr>
          <w:spacing w:val="-5"/>
        </w:rPr>
        <w:t> </w:t>
      </w:r>
      <w:r>
        <w:rPr/>
        <w:t>error</w:t>
      </w:r>
      <w:r>
        <w:rPr>
          <w:spacing w:val="-5"/>
        </w:rPr>
        <w:t> </w:t>
      </w:r>
      <w:r>
        <w:rPr/>
        <w:t>for</w:t>
      </w:r>
      <w:r>
        <w:rPr>
          <w:spacing w:val="-5"/>
        </w:rPr>
        <w:t> </w:t>
      </w:r>
      <w:r>
        <w:rPr/>
        <w:t>a</w:t>
      </w:r>
      <w:r>
        <w:rPr>
          <w:spacing w:val="-5"/>
        </w:rPr>
        <w:t> </w:t>
      </w:r>
      <w:r>
        <w:rPr/>
        <w:t>Gaussian reference</w:t>
      </w:r>
      <w:r>
        <w:rPr>
          <w:spacing w:val="-13"/>
        </w:rPr>
        <w:t> </w:t>
      </w:r>
      <w:r>
        <w:rPr/>
        <w:t>distribution. Their</w:t>
      </w:r>
      <w:r>
        <w:rPr>
          <w:spacing w:val="-13"/>
        </w:rPr>
        <w:t> </w:t>
      </w:r>
      <w:r>
        <w:rPr/>
        <w:t>method</w:t>
      </w:r>
      <w:r>
        <w:rPr>
          <w:spacing w:val="-13"/>
        </w:rPr>
        <w:t> </w:t>
      </w:r>
      <w:r>
        <w:rPr/>
        <w:t>performs</w:t>
      </w:r>
      <w:r>
        <w:rPr>
          <w:spacing w:val="-13"/>
        </w:rPr>
        <w:t> </w:t>
      </w:r>
      <w:r>
        <w:rPr/>
        <w:t>particularly</w:t>
      </w:r>
      <w:r>
        <w:rPr>
          <w:spacing w:val="-13"/>
        </w:rPr>
        <w:t> </w:t>
      </w:r>
      <w:r>
        <w:rPr/>
        <w:t>well</w:t>
      </w:r>
      <w:r>
        <w:rPr>
          <w:spacing w:val="-13"/>
        </w:rPr>
        <w:t> </w:t>
      </w:r>
      <w:r>
        <w:rPr/>
        <w:t>in</w:t>
      </w:r>
      <w:r>
        <w:rPr>
          <w:spacing w:val="-13"/>
        </w:rPr>
        <w:t> </w:t>
      </w:r>
      <w:r>
        <w:rPr/>
        <w:t>the</w:t>
      </w:r>
      <w:r>
        <w:rPr>
          <w:spacing w:val="-13"/>
        </w:rPr>
        <w:t> </w:t>
      </w:r>
      <w:r>
        <w:rPr/>
        <w:t>study</w:t>
      </w:r>
      <w:r>
        <w:rPr>
          <w:spacing w:val="-13"/>
        </w:rPr>
        <w:t> </w:t>
      </w:r>
      <w:r>
        <w:rPr/>
        <w:t>of</w:t>
      </w:r>
      <w:r>
        <w:rPr>
          <w:spacing w:val="-13"/>
        </w:rPr>
        <w:t> </w:t>
      </w:r>
      <w:r>
        <w:rPr/>
        <w:t>highly</w:t>
      </w:r>
      <w:r>
        <w:rPr>
          <w:spacing w:val="-13"/>
        </w:rPr>
        <w:t> </w:t>
      </w:r>
      <w:r>
        <w:rPr/>
        <w:t>cor- related</w:t>
      </w:r>
      <w:r>
        <w:rPr>
          <w:spacing w:val="-1"/>
        </w:rPr>
        <w:t> </w:t>
      </w:r>
      <w:r>
        <w:rPr/>
        <w:t>animal</w:t>
      </w:r>
      <w:r>
        <w:rPr>
          <w:spacing w:val="-1"/>
        </w:rPr>
        <w:t> </w:t>
      </w:r>
      <w:r>
        <w:rPr/>
        <w:t>location</w:t>
      </w:r>
      <w:r>
        <w:rPr>
          <w:spacing w:val="-1"/>
        </w:rPr>
        <w:t> </w:t>
      </w:r>
      <w:r>
        <w:rPr/>
        <w:t>data.</w:t>
      </w:r>
      <w:r>
        <w:rPr>
          <w:spacing w:val="24"/>
        </w:rPr>
        <w:t> </w:t>
      </w:r>
      <w:r>
        <w:rPr/>
        <w:t>However, the</w:t>
      </w:r>
      <w:r>
        <w:rPr>
          <w:spacing w:val="-1"/>
        </w:rPr>
        <w:t> </w:t>
      </w:r>
      <w:r>
        <w:rPr/>
        <w:t>stretches</w:t>
      </w:r>
      <w:r>
        <w:rPr>
          <w:spacing w:val="-1"/>
        </w:rPr>
        <w:t> </w:t>
      </w:r>
      <w:r>
        <w:rPr/>
        <w:t>of</w:t>
      </w:r>
      <w:r>
        <w:rPr>
          <w:spacing w:val="-1"/>
        </w:rPr>
        <w:t> </w:t>
      </w:r>
      <w:r>
        <w:rPr/>
        <w:t>correlated</w:t>
      </w:r>
      <w:r>
        <w:rPr>
          <w:spacing w:val="-1"/>
        </w:rPr>
        <w:t> </w:t>
      </w:r>
      <w:r>
        <w:rPr/>
        <w:t>locations</w:t>
      </w:r>
      <w:r>
        <w:rPr>
          <w:spacing w:val="-1"/>
        </w:rPr>
        <w:t> </w:t>
      </w:r>
      <w:r>
        <w:rPr/>
        <w:t>in</w:t>
      </w:r>
      <w:r>
        <w:rPr>
          <w:spacing w:val="-1"/>
        </w:rPr>
        <w:t> </w:t>
      </w:r>
      <w:r>
        <w:rPr/>
        <w:t>this</w:t>
      </w:r>
      <w:r>
        <w:rPr>
          <w:spacing w:val="-1"/>
        </w:rPr>
        <w:t> </w:t>
      </w:r>
      <w:r>
        <w:rPr/>
        <w:t>rugby league</w:t>
      </w:r>
      <w:r>
        <w:rPr>
          <w:spacing w:val="-6"/>
        </w:rPr>
        <w:t> </w:t>
      </w:r>
      <w:r>
        <w:rPr/>
        <w:t>dataset</w:t>
      </w:r>
      <w:r>
        <w:rPr>
          <w:spacing w:val="-6"/>
        </w:rPr>
        <w:t> </w:t>
      </w:r>
      <w:r>
        <w:rPr/>
        <w:t>are</w:t>
      </w:r>
      <w:r>
        <w:rPr>
          <w:spacing w:val="-6"/>
        </w:rPr>
        <w:t> </w:t>
      </w:r>
      <w:r>
        <w:rPr/>
        <w:t>relatively</w:t>
      </w:r>
      <w:r>
        <w:rPr>
          <w:spacing w:val="-6"/>
        </w:rPr>
        <w:t> </w:t>
      </w:r>
      <w:r>
        <w:rPr/>
        <w:t>short</w:t>
      </w:r>
      <w:r>
        <w:rPr>
          <w:spacing w:val="-6"/>
        </w:rPr>
        <w:t> </w:t>
      </w:r>
      <w:r>
        <w:rPr/>
        <w:t>and</w:t>
      </w:r>
      <w:r>
        <w:rPr>
          <w:spacing w:val="-6"/>
        </w:rPr>
        <w:t> </w:t>
      </w:r>
      <w:r>
        <w:rPr/>
        <w:t>of</w:t>
      </w:r>
      <w:r>
        <w:rPr>
          <w:spacing w:val="-7"/>
        </w:rPr>
        <w:t> </w:t>
      </w:r>
      <w:r>
        <w:rPr/>
        <w:t>varying</w:t>
      </w:r>
      <w:r>
        <w:rPr>
          <w:spacing w:val="-6"/>
        </w:rPr>
        <w:t> </w:t>
      </w:r>
      <w:r>
        <w:rPr/>
        <w:t>length,</w:t>
      </w:r>
      <w:r>
        <w:rPr>
          <w:spacing w:val="-6"/>
        </w:rPr>
        <w:t> </w:t>
      </w:r>
      <w:r>
        <w:rPr/>
        <w:t>so</w:t>
      </w:r>
      <w:r>
        <w:rPr>
          <w:spacing w:val="-6"/>
        </w:rPr>
        <w:t> </w:t>
      </w:r>
      <w:r>
        <w:rPr/>
        <w:t>the</w:t>
      </w:r>
      <w:r>
        <w:rPr>
          <w:spacing w:val="-6"/>
        </w:rPr>
        <w:t> </w:t>
      </w:r>
      <w:r>
        <w:rPr/>
        <w:t>approach</w:t>
      </w:r>
      <w:r>
        <w:rPr>
          <w:spacing w:val="-6"/>
        </w:rPr>
        <w:t> </w:t>
      </w:r>
      <w:r>
        <w:rPr/>
        <w:t>of</w:t>
      </w:r>
      <w:hyperlink w:history="true" w:anchor="_bookmark246">
        <w:r>
          <w:rPr>
            <w:color w:val="FF0000"/>
          </w:rPr>
          <w:t>Fleming</w:t>
        </w:r>
        <w:r>
          <w:rPr>
            <w:color w:val="FF0000"/>
            <w:spacing w:val="-6"/>
          </w:rPr>
          <w:t> </w:t>
        </w:r>
        <w:r>
          <w:rPr>
            <w:color w:val="FF0000"/>
          </w:rPr>
          <w:t>et</w:t>
        </w:r>
        <w:r>
          <w:rPr>
            <w:color w:val="FF0000"/>
            <w:spacing w:val="-6"/>
          </w:rPr>
          <w:t> </w:t>
        </w:r>
        <w:r>
          <w:rPr>
            <w:color w:val="FF0000"/>
          </w:rPr>
          <w:t>al.</w:t>
        </w:r>
      </w:hyperlink>
      <w:r>
        <w:rPr>
          <w:color w:val="FF0000"/>
        </w:rPr>
        <w:t> </w:t>
      </w:r>
      <w:r>
        <w:rPr/>
        <w:t>(</w:t>
      </w:r>
      <w:hyperlink w:history="true" w:anchor="_bookmark246">
        <w:r>
          <w:rPr>
            <w:color w:val="FF0000"/>
          </w:rPr>
          <w:t>2015</w:t>
        </w:r>
      </w:hyperlink>
      <w:r>
        <w:rPr/>
        <w:t>) with a reference Gaussian distribution would not offer an improvement over a</w:t>
      </w:r>
      <w:r>
        <w:rPr>
          <w:spacing w:val="80"/>
          <w:w w:val="150"/>
        </w:rPr>
        <w:t> </w:t>
      </w:r>
      <w:r>
        <w:rPr/>
        <w:t>cross validation approach which is distribution-free.</w:t>
      </w:r>
      <w:r>
        <w:rPr>
          <w:spacing w:val="33"/>
        </w:rPr>
        <w:t> </w:t>
      </w:r>
      <w:r>
        <w:rPr/>
        <w:t>Furthermore, it has been suggested that</w:t>
      </w:r>
      <w:r>
        <w:rPr>
          <w:spacing w:val="-1"/>
        </w:rPr>
        <w:t> </w:t>
      </w:r>
      <w:r>
        <w:rPr/>
        <w:t>a</w:t>
      </w:r>
      <w:r>
        <w:rPr>
          <w:spacing w:val="-2"/>
        </w:rPr>
        <w:t> </w:t>
      </w:r>
      <w:r>
        <w:rPr/>
        <w:t>cross</w:t>
      </w:r>
      <w:r>
        <w:rPr>
          <w:spacing w:val="-1"/>
        </w:rPr>
        <w:t> </w:t>
      </w:r>
      <w:r>
        <w:rPr/>
        <w:t>validation</w:t>
      </w:r>
      <w:r>
        <w:rPr>
          <w:spacing w:val="-2"/>
        </w:rPr>
        <w:t> </w:t>
      </w:r>
      <w:r>
        <w:rPr/>
        <w:t>approach</w:t>
      </w:r>
      <w:r>
        <w:rPr>
          <w:spacing w:val="-1"/>
        </w:rPr>
        <w:t> </w:t>
      </w:r>
      <w:r>
        <w:rPr/>
        <w:t>is</w:t>
      </w:r>
      <w:r>
        <w:rPr>
          <w:spacing w:val="-2"/>
        </w:rPr>
        <w:t> </w:t>
      </w:r>
      <w:r>
        <w:rPr/>
        <w:t>more</w:t>
      </w:r>
      <w:r>
        <w:rPr>
          <w:spacing w:val="-1"/>
        </w:rPr>
        <w:t> </w:t>
      </w:r>
      <w:r>
        <w:rPr/>
        <w:t>responsive</w:t>
      </w:r>
      <w:r>
        <w:rPr>
          <w:spacing w:val="-2"/>
        </w:rPr>
        <w:t> </w:t>
      </w:r>
      <w:r>
        <w:rPr/>
        <w:t>to</w:t>
      </w:r>
      <w:r>
        <w:rPr>
          <w:spacing w:val="-1"/>
        </w:rPr>
        <w:t> </w:t>
      </w:r>
      <w:r>
        <w:rPr/>
        <w:t>the</w:t>
      </w:r>
      <w:r>
        <w:rPr>
          <w:spacing w:val="-2"/>
        </w:rPr>
        <w:t> </w:t>
      </w:r>
      <w:r>
        <w:rPr/>
        <w:t>different</w:t>
      </w:r>
      <w:r>
        <w:rPr>
          <w:spacing w:val="-1"/>
        </w:rPr>
        <w:t> </w:t>
      </w:r>
      <w:r>
        <w:rPr/>
        <w:t>sample</w:t>
      </w:r>
      <w:r>
        <w:rPr>
          <w:spacing w:val="-2"/>
        </w:rPr>
        <w:t> </w:t>
      </w:r>
      <w:r>
        <w:rPr/>
        <w:t>sizes</w:t>
      </w:r>
      <w:r>
        <w:rPr>
          <w:spacing w:val="-1"/>
        </w:rPr>
        <w:t> </w:t>
      </w:r>
      <w:r>
        <w:rPr/>
        <w:t>encoun- tered within this study (Table</w:t>
      </w:r>
      <w:hyperlink w:history="true" w:anchor="_bookmark132">
        <w:r>
          <w:rPr>
            <w:color w:val="0000FF"/>
          </w:rPr>
          <w:t>5.4</w:t>
        </w:r>
        <w:r>
          <w:rPr/>
          <w:t>;</w:t>
        </w:r>
      </w:hyperlink>
      <w:hyperlink w:history="true" w:anchor="_bookmark314">
        <w:r>
          <w:rPr>
            <w:color w:val="FF0000"/>
          </w:rPr>
          <w:t>Zambom and Dias</w:t>
        </w:r>
        <w:r>
          <w:rPr/>
          <w:t>(</w:t>
        </w:r>
      </w:hyperlink>
      <w:r>
        <w:rPr>
          <w:color w:val="FF0000"/>
        </w:rPr>
        <w:t>2012</w:t>
      </w:r>
      <w:hyperlink w:history="true" w:anchor="_bookmark314">
        <w:r>
          <w:rPr/>
          <w:t>)).</w:t>
        </w:r>
      </w:hyperlink>
      <w:r>
        <w:rPr/>
        <w:t> As such, a likelihood cross validation</w:t>
      </w:r>
      <w:r>
        <w:rPr>
          <w:spacing w:val="-4"/>
        </w:rPr>
        <w:t> </w:t>
      </w:r>
      <w:r>
        <w:rPr/>
        <w:t>approach</w:t>
      </w:r>
      <w:r>
        <w:rPr>
          <w:spacing w:val="-4"/>
        </w:rPr>
        <w:t> </w:t>
      </w:r>
      <w:r>
        <w:rPr/>
        <w:t>to</w:t>
      </w:r>
      <w:r>
        <w:rPr>
          <w:spacing w:val="-4"/>
        </w:rPr>
        <w:t> </w:t>
      </w:r>
      <w:r>
        <w:rPr/>
        <w:t>bandwidth</w:t>
      </w:r>
      <w:r>
        <w:rPr>
          <w:spacing w:val="-4"/>
        </w:rPr>
        <w:t> </w:t>
      </w:r>
      <w:r>
        <w:rPr/>
        <w:t>selection</w:t>
      </w:r>
      <w:r>
        <w:rPr>
          <w:spacing w:val="-4"/>
        </w:rPr>
        <w:t> </w:t>
      </w:r>
      <w:r>
        <w:rPr/>
        <w:t>was</w:t>
      </w:r>
      <w:r>
        <w:rPr>
          <w:spacing w:val="-4"/>
        </w:rPr>
        <w:t> </w:t>
      </w:r>
      <w:r>
        <w:rPr/>
        <w:t>utilised. Denoting</w:t>
      </w:r>
      <w:r>
        <w:rPr>
          <w:spacing w:val="-4"/>
        </w:rPr>
        <w:t> </w:t>
      </w:r>
      <w:r>
        <w:rPr/>
        <w:t>by</w:t>
      </w:r>
      <w:r>
        <w:rPr>
          <w:spacing w:val="-4"/>
        </w:rPr>
        <w:t> </w:t>
      </w:r>
      <w:r>
        <w:rPr>
          <w:rFonts w:ascii="Cambria"/>
          <w:w w:val="120"/>
        </w:rPr>
        <w:t>X</w:t>
      </w:r>
      <w:r>
        <w:rPr>
          <w:rFonts w:ascii="Cambria"/>
          <w:w w:val="120"/>
          <w:vertAlign w:val="subscript"/>
        </w:rPr>
        <w:t>j</w:t>
      </w:r>
      <w:r>
        <w:rPr>
          <w:rFonts w:ascii="Cambria"/>
          <w:w w:val="120"/>
          <w:vertAlign w:val="baseline"/>
        </w:rPr>
        <w:t> </w:t>
      </w:r>
      <w:r>
        <w:rPr>
          <w:vertAlign w:val="baseline"/>
        </w:rPr>
        <w:t>the</w:t>
      </w:r>
      <w:r>
        <w:rPr>
          <w:spacing w:val="-4"/>
          <w:vertAlign w:val="baseline"/>
        </w:rPr>
        <w:t> </w:t>
      </w:r>
      <w:r>
        <w:rPr>
          <w:vertAlign w:val="baseline"/>
        </w:rPr>
        <w:t>data</w:t>
      </w:r>
      <w:r>
        <w:rPr>
          <w:spacing w:val="-4"/>
          <w:vertAlign w:val="baseline"/>
        </w:rPr>
        <w:t> </w:t>
      </w:r>
      <w:r>
        <w:rPr>
          <w:vertAlign w:val="baseline"/>
        </w:rPr>
        <w:t>left</w:t>
      </w:r>
      <w:r>
        <w:rPr>
          <w:spacing w:val="-4"/>
          <w:vertAlign w:val="baseline"/>
        </w:rPr>
        <w:t> </w:t>
      </w:r>
      <w:r>
        <w:rPr>
          <w:vertAlign w:val="baseline"/>
        </w:rPr>
        <w:t>out in </w:t>
      </w:r>
      <w:r>
        <w:rPr>
          <w:rFonts w:ascii="Cambria"/>
          <w:vertAlign w:val="baseline"/>
        </w:rPr>
        <w:t>j</w:t>
      </w:r>
      <w:r>
        <w:rPr>
          <w:vertAlign w:val="baseline"/>
        </w:rPr>
        <w:t>-th fold, the likelihood cross-validation (CV) for a bandwidth </w:t>
      </w:r>
      <w:r>
        <w:rPr>
          <w:rFonts w:ascii="Cambria"/>
          <w:vertAlign w:val="baseline"/>
        </w:rPr>
        <w:t>h </w:t>
      </w:r>
      <w:r>
        <w:rPr>
          <w:vertAlign w:val="baseline"/>
        </w:rPr>
        <w:t>is calculated by</w:t>
      </w:r>
    </w:p>
    <w:p>
      <w:pPr>
        <w:pStyle w:val="BodyText"/>
        <w:spacing w:before="8"/>
        <w:rPr>
          <w:sz w:val="10"/>
        </w:rPr>
      </w:pPr>
    </w:p>
    <w:p>
      <w:pPr>
        <w:spacing w:before="68"/>
        <w:ind w:left="0" w:right="154" w:firstLine="0"/>
        <w:jc w:val="center"/>
        <w:rPr>
          <w:rFonts w:ascii="Cambria"/>
          <w:sz w:val="16"/>
        </w:rPr>
      </w:pPr>
      <w:r>
        <w:rPr/>
        <w:pict>
          <v:shape style="position:absolute;margin-left:309.31601pt;margin-top:6.109159pt;width:38.550pt;height:44.4pt;mso-position-horizontal-relative:page;mso-position-vertical-relative:paragraph;z-index:-21753856" type="#_x0000_t202" id="docshape141" filled="false" stroked="false">
            <v:textbox inset="0,0,0,0">
              <w:txbxContent>
                <w:p>
                  <w:pPr>
                    <w:pStyle w:val="BodyText"/>
                    <w:spacing w:line="230" w:lineRule="exact"/>
                    <w:rPr>
                      <w:rFonts w:ascii="Arial"/>
                    </w:rPr>
                  </w:pPr>
                  <w:r>
                    <w:rPr>
                      <w:rFonts w:ascii="Arial"/>
                      <w:w w:val="255"/>
                    </w:rPr>
                    <w:t>L</w:t>
                  </w:r>
                  <w:r>
                    <w:rPr>
                      <w:rFonts w:ascii="Arial"/>
                      <w:spacing w:val="-87"/>
                      <w:w w:val="255"/>
                    </w:rPr>
                    <w:t> </w:t>
                  </w:r>
                  <w:r>
                    <w:rPr>
                      <w:rFonts w:ascii="Arial"/>
                      <w:spacing w:val="-12"/>
                      <w:w w:val="260"/>
                    </w:rPr>
                    <w:t>L</w:t>
                  </w:r>
                </w:p>
              </w:txbxContent>
            </v:textbox>
            <w10:wrap type="none"/>
          </v:shape>
        </w:pict>
      </w:r>
      <w:r>
        <w:rPr>
          <w:rFonts w:ascii="Cambria"/>
          <w:w w:val="160"/>
          <w:sz w:val="16"/>
        </w:rPr>
        <w:t>j</w:t>
      </w:r>
    </w:p>
    <w:p>
      <w:pPr>
        <w:pStyle w:val="BodyText"/>
        <w:tabs>
          <w:tab w:pos="5356" w:val="left" w:leader="none"/>
          <w:tab w:pos="8656" w:val="left" w:leader="none"/>
        </w:tabs>
        <w:spacing w:before="6"/>
        <w:ind w:left="3165"/>
      </w:pPr>
      <w:r>
        <w:rPr>
          <w:w w:val="110"/>
        </w:rPr>
        <w:t>CV</w:t>
      </w:r>
      <w:r>
        <w:rPr>
          <w:rFonts w:ascii="Garamond" w:hAnsi="Garamond"/>
          <w:w w:val="110"/>
        </w:rPr>
        <w:t>(</w:t>
      </w:r>
      <w:r>
        <w:rPr>
          <w:rFonts w:ascii="Cambria" w:hAnsi="Cambria"/>
          <w:w w:val="110"/>
        </w:rPr>
        <w:t>h</w:t>
      </w:r>
      <w:r>
        <w:rPr>
          <w:rFonts w:ascii="Garamond" w:hAnsi="Garamond"/>
          <w:w w:val="110"/>
        </w:rPr>
        <w:t>)</w:t>
      </w:r>
      <w:r>
        <w:rPr>
          <w:rFonts w:ascii="Garamond" w:hAnsi="Garamond"/>
          <w:spacing w:val="-9"/>
          <w:w w:val="110"/>
        </w:rPr>
        <w:t> </w:t>
      </w:r>
      <w:r>
        <w:rPr>
          <w:rFonts w:ascii="Garamond" w:hAnsi="Garamond"/>
          <w:w w:val="110"/>
        </w:rPr>
        <w:t>=</w:t>
      </w:r>
      <w:r>
        <w:rPr>
          <w:rFonts w:ascii="Garamond" w:hAnsi="Garamond"/>
          <w:spacing w:val="-9"/>
          <w:w w:val="110"/>
        </w:rPr>
        <w:t> </w:t>
      </w:r>
      <w:r>
        <w:rPr>
          <w:rFonts w:ascii="Cambria" w:hAnsi="Cambria"/>
          <w:spacing w:val="-5"/>
          <w:w w:val="110"/>
        </w:rPr>
        <w:t>j</w:t>
      </w:r>
      <w:r>
        <w:rPr>
          <w:rFonts w:ascii="Lucida Sans Unicode" w:hAnsi="Lucida Sans Unicode"/>
          <w:spacing w:val="-5"/>
          <w:w w:val="110"/>
          <w:vertAlign w:val="superscript"/>
        </w:rPr>
        <w:t>−</w:t>
      </w:r>
      <w:r>
        <w:rPr>
          <w:rFonts w:ascii="Georgia" w:hAnsi="Georgia"/>
          <w:spacing w:val="-5"/>
          <w:w w:val="110"/>
          <w:vertAlign w:val="superscript"/>
        </w:rPr>
        <w:t>1</w:t>
      </w:r>
      <w:r>
        <w:rPr>
          <w:rFonts w:ascii="Georgia" w:hAnsi="Georgia"/>
          <w:vertAlign w:val="baseline"/>
        </w:rPr>
        <w:tab/>
      </w:r>
      <w:r>
        <w:rPr>
          <w:rFonts w:ascii="Garamond" w:hAnsi="Garamond"/>
          <w:spacing w:val="-10"/>
          <w:w w:val="115"/>
          <w:vertAlign w:val="baseline"/>
        </w:rPr>
        <w:t>log</w:t>
      </w:r>
      <w:r>
        <w:rPr>
          <w:rFonts w:ascii="Garamond" w:hAnsi="Garamond"/>
          <w:spacing w:val="-23"/>
          <w:w w:val="115"/>
          <w:vertAlign w:val="baseline"/>
        </w:rPr>
        <w:t> </w:t>
      </w:r>
      <w:r>
        <w:rPr>
          <w:rFonts w:ascii="Cambria" w:hAnsi="Cambria"/>
          <w:spacing w:val="-10"/>
          <w:w w:val="115"/>
          <w:vertAlign w:val="baseline"/>
        </w:rPr>
        <w:t>f</w:t>
      </w:r>
      <w:r>
        <w:rPr>
          <w:rFonts w:ascii="Garamond" w:hAnsi="Garamond"/>
          <w:spacing w:val="-10"/>
          <w:w w:val="115"/>
          <w:position w:val="6"/>
          <w:vertAlign w:val="baseline"/>
        </w:rPr>
        <w:t>ˆ</w:t>
      </w:r>
      <w:r>
        <w:rPr>
          <w:rFonts w:ascii="Cambria" w:hAnsi="Cambria"/>
          <w:spacing w:val="-10"/>
          <w:w w:val="115"/>
          <w:position w:val="-3"/>
          <w:sz w:val="16"/>
          <w:vertAlign w:val="baseline"/>
        </w:rPr>
        <w:t>h,</w:t>
      </w:r>
      <w:r>
        <w:rPr>
          <w:rFonts w:ascii="Lucida Sans Unicode" w:hAnsi="Lucida Sans Unicode"/>
          <w:spacing w:val="-10"/>
          <w:w w:val="115"/>
          <w:position w:val="-3"/>
          <w:sz w:val="16"/>
          <w:vertAlign w:val="baseline"/>
        </w:rPr>
        <w:t>−</w:t>
      </w:r>
      <w:r>
        <w:rPr>
          <w:rFonts w:ascii="Cambria" w:hAnsi="Cambria"/>
          <w:spacing w:val="-10"/>
          <w:w w:val="115"/>
          <w:position w:val="-3"/>
          <w:sz w:val="16"/>
          <w:vertAlign w:val="baseline"/>
        </w:rPr>
        <w:t>j</w:t>
      </w:r>
      <w:r>
        <w:rPr>
          <w:rFonts w:ascii="Cambria" w:hAnsi="Cambria"/>
          <w:spacing w:val="-19"/>
          <w:w w:val="115"/>
          <w:position w:val="-3"/>
          <w:sz w:val="16"/>
          <w:vertAlign w:val="baseline"/>
        </w:rPr>
        <w:t> </w:t>
      </w:r>
      <w:r>
        <w:rPr>
          <w:rFonts w:ascii="Garamond" w:hAnsi="Garamond"/>
          <w:spacing w:val="9"/>
          <w:w w:val="117"/>
          <w:vertAlign w:val="baseline"/>
        </w:rPr>
        <w:t>(</w:t>
      </w:r>
      <w:r>
        <w:rPr>
          <w:rFonts w:ascii="Cambria" w:hAnsi="Cambria"/>
          <w:spacing w:val="-100"/>
          <w:w w:val="120"/>
          <w:vertAlign w:val="baseline"/>
        </w:rPr>
        <w:t>⃗</w:t>
      </w:r>
      <w:r>
        <w:rPr>
          <w:rFonts w:ascii="Cambria" w:hAnsi="Cambria"/>
          <w:spacing w:val="13"/>
          <w:w w:val="102"/>
          <w:vertAlign w:val="baseline"/>
        </w:rPr>
        <w:t>x</w:t>
      </w:r>
      <w:r>
        <w:rPr>
          <w:rFonts w:ascii="Garamond" w:hAnsi="Garamond"/>
          <w:spacing w:val="13"/>
          <w:w w:val="117"/>
          <w:vertAlign w:val="baseline"/>
        </w:rPr>
        <w:t>)</w:t>
      </w:r>
      <w:r>
        <w:rPr>
          <w:rFonts w:ascii="Cambria" w:hAnsi="Cambria"/>
          <w:spacing w:val="13"/>
          <w:w w:val="119"/>
          <w:vertAlign w:val="baseline"/>
        </w:rPr>
        <w:t>,</w:t>
      </w:r>
      <w:r>
        <w:rPr>
          <w:rFonts w:ascii="Cambria" w:hAnsi="Cambria"/>
          <w:vertAlign w:val="baseline"/>
        </w:rPr>
        <w:tab/>
      </w:r>
      <w:r>
        <w:rPr>
          <w:spacing w:val="-2"/>
          <w:w w:val="120"/>
          <w:vertAlign w:val="baseline"/>
        </w:rPr>
        <w:t>(5.3)</w:t>
      </w:r>
    </w:p>
    <w:p>
      <w:pPr>
        <w:spacing w:before="0"/>
        <w:ind w:left="757" w:right="431" w:firstLine="0"/>
        <w:jc w:val="center"/>
        <w:rPr>
          <w:rFonts w:ascii="Cambria" w:hAnsi="Cambria"/>
          <w:sz w:val="16"/>
        </w:rPr>
      </w:pPr>
      <w:r>
        <w:rPr>
          <w:rFonts w:ascii="Cambria" w:hAnsi="Cambria"/>
          <w:w w:val="140"/>
          <w:position w:val="1"/>
          <w:sz w:val="16"/>
        </w:rPr>
        <w:t>j</w:t>
      </w:r>
      <w:r>
        <w:rPr>
          <w:rFonts w:ascii="Georgia" w:hAnsi="Georgia"/>
          <w:w w:val="140"/>
          <w:position w:val="1"/>
          <w:sz w:val="16"/>
        </w:rPr>
        <w:t>=1</w:t>
      </w:r>
      <w:r>
        <w:rPr>
          <w:rFonts w:ascii="Georgia" w:hAnsi="Georgia"/>
          <w:w w:val="144"/>
          <w:position w:val="1"/>
          <w:sz w:val="16"/>
        </w:rPr>
        <w:t> </w:t>
      </w:r>
      <w:r>
        <w:rPr>
          <w:rFonts w:ascii="Cambria" w:hAnsi="Cambria"/>
          <w:spacing w:val="-71"/>
          <w:w w:val="141"/>
          <w:sz w:val="16"/>
        </w:rPr>
        <w:t>⃗</w:t>
      </w:r>
      <w:r>
        <w:rPr>
          <w:rFonts w:ascii="Cambria" w:hAnsi="Cambria"/>
          <w:spacing w:val="11"/>
          <w:w w:val="121"/>
          <w:sz w:val="16"/>
        </w:rPr>
        <w:t>x</w:t>
      </w:r>
      <w:r>
        <w:rPr>
          <w:rFonts w:ascii="Lucida Sans Unicode" w:hAnsi="Lucida Sans Unicode"/>
          <w:spacing w:val="12"/>
          <w:w w:val="86"/>
          <w:sz w:val="16"/>
        </w:rPr>
        <w:t>∈</w:t>
      </w:r>
      <w:r>
        <w:rPr>
          <w:rFonts w:ascii="Cambria" w:hAnsi="Cambria"/>
          <w:spacing w:val="12"/>
          <w:w w:val="150"/>
          <w:sz w:val="16"/>
        </w:rPr>
        <w:t>X</w:t>
      </w:r>
      <w:r>
        <w:rPr>
          <w:rFonts w:ascii="Cambria" w:hAnsi="Cambria"/>
          <w:spacing w:val="12"/>
          <w:w w:val="226"/>
          <w:sz w:val="16"/>
          <w:vertAlign w:val="subscript"/>
        </w:rPr>
        <w:t>j</w:t>
      </w:r>
    </w:p>
    <w:p>
      <w:pPr>
        <w:pStyle w:val="BodyText"/>
        <w:spacing w:before="5"/>
        <w:rPr>
          <w:rFonts w:ascii="Cambria"/>
          <w:sz w:val="17"/>
        </w:rPr>
      </w:pPr>
    </w:p>
    <w:p>
      <w:pPr>
        <w:pStyle w:val="BodyText"/>
        <w:spacing w:before="76"/>
        <w:ind w:left="610"/>
      </w:pPr>
      <w:r>
        <w:rPr>
          <w:w w:val="105"/>
        </w:rPr>
        <w:t>where</w:t>
      </w:r>
      <w:r>
        <w:rPr>
          <w:spacing w:val="-1"/>
          <w:w w:val="105"/>
        </w:rPr>
        <w:t> </w:t>
      </w:r>
      <w:r>
        <w:rPr>
          <w:rFonts w:ascii="Cambria" w:hAnsi="Cambria"/>
          <w:w w:val="120"/>
        </w:rPr>
        <w:t>j</w:t>
      </w:r>
      <w:r>
        <w:rPr>
          <w:rFonts w:ascii="Cambria" w:hAnsi="Cambria"/>
          <w:spacing w:val="9"/>
          <w:w w:val="120"/>
        </w:rPr>
        <w:t> </w:t>
      </w:r>
      <w:r>
        <w:rPr>
          <w:w w:val="105"/>
        </w:rPr>
        <w:t>refers to</w:t>
      </w:r>
      <w:r>
        <w:rPr>
          <w:spacing w:val="-1"/>
          <w:w w:val="105"/>
        </w:rPr>
        <w:t> </w:t>
      </w:r>
      <w:r>
        <w:rPr>
          <w:w w:val="105"/>
        </w:rPr>
        <w:t>the number of</w:t>
      </w:r>
      <w:r>
        <w:rPr>
          <w:spacing w:val="-1"/>
          <w:w w:val="105"/>
        </w:rPr>
        <w:t> </w:t>
      </w:r>
      <w:r>
        <w:rPr>
          <w:w w:val="105"/>
        </w:rPr>
        <w:t>folds (10 in</w:t>
      </w:r>
      <w:r>
        <w:rPr>
          <w:spacing w:val="-1"/>
          <w:w w:val="105"/>
        </w:rPr>
        <w:t> </w:t>
      </w:r>
      <w:r>
        <w:rPr>
          <w:w w:val="105"/>
        </w:rPr>
        <w:t>this case) and</w:t>
      </w:r>
      <w:r>
        <w:rPr>
          <w:spacing w:val="-9"/>
          <w:w w:val="120"/>
        </w:rPr>
        <w:t> </w:t>
      </w:r>
      <w:r>
        <w:rPr>
          <w:rFonts w:ascii="Cambria" w:hAnsi="Cambria"/>
          <w:w w:val="120"/>
        </w:rPr>
        <w:t>f</w:t>
      </w:r>
      <w:r>
        <w:rPr>
          <w:rFonts w:ascii="Garamond" w:hAnsi="Garamond"/>
          <w:w w:val="120"/>
          <w:position w:val="6"/>
        </w:rPr>
        <w:t>ˆ</w:t>
      </w:r>
      <w:r>
        <w:rPr>
          <w:rFonts w:ascii="Cambria" w:hAnsi="Cambria"/>
          <w:w w:val="120"/>
          <w:position w:val="-3"/>
          <w:sz w:val="16"/>
        </w:rPr>
        <w:t>h,</w:t>
      </w:r>
      <w:r>
        <w:rPr>
          <w:rFonts w:ascii="Lucida Sans Unicode" w:hAnsi="Lucida Sans Unicode"/>
          <w:w w:val="120"/>
          <w:position w:val="-3"/>
          <w:sz w:val="16"/>
        </w:rPr>
        <w:t>−</w:t>
      </w:r>
      <w:r>
        <w:rPr>
          <w:rFonts w:ascii="Cambria" w:hAnsi="Cambria"/>
          <w:w w:val="120"/>
          <w:position w:val="-3"/>
          <w:sz w:val="16"/>
        </w:rPr>
        <w:t>j</w:t>
      </w:r>
      <w:r>
        <w:rPr>
          <w:rFonts w:ascii="Cambria" w:hAnsi="Cambria"/>
          <w:spacing w:val="34"/>
          <w:w w:val="120"/>
          <w:position w:val="-3"/>
          <w:sz w:val="16"/>
        </w:rPr>
        <w:t> </w:t>
      </w:r>
      <w:r>
        <w:rPr>
          <w:w w:val="105"/>
        </w:rPr>
        <w:t>is the kernel </w:t>
      </w:r>
      <w:r>
        <w:rPr>
          <w:spacing w:val="-2"/>
          <w:w w:val="105"/>
        </w:rPr>
        <w:t>density</w:t>
      </w:r>
    </w:p>
    <w:p>
      <w:pPr>
        <w:spacing w:after="0"/>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before="93"/>
        <w:ind w:left="610"/>
      </w:pPr>
      <w:r>
        <w:rPr/>
        <w:t>estimate</w:t>
      </w:r>
      <w:r>
        <w:rPr>
          <w:spacing w:val="-7"/>
        </w:rPr>
        <w:t> </w:t>
      </w:r>
      <w:r>
        <w:rPr/>
        <w:t>using</w:t>
      </w:r>
      <w:r>
        <w:rPr>
          <w:spacing w:val="-6"/>
        </w:rPr>
        <w:t> </w:t>
      </w:r>
      <w:r>
        <w:rPr/>
        <w:t>bandwidth</w:t>
      </w:r>
      <w:r>
        <w:rPr>
          <w:spacing w:val="-6"/>
        </w:rPr>
        <w:t> </w:t>
      </w:r>
      <w:r>
        <w:rPr>
          <w:rFonts w:ascii="Cambria"/>
        </w:rPr>
        <w:t>h</w:t>
      </w:r>
      <w:r>
        <w:rPr>
          <w:rFonts w:ascii="Cambria"/>
          <w:spacing w:val="1"/>
        </w:rPr>
        <w:t> </w:t>
      </w:r>
      <w:r>
        <w:rPr/>
        <w:t>and</w:t>
      </w:r>
      <w:r>
        <w:rPr>
          <w:spacing w:val="-6"/>
        </w:rPr>
        <w:t> </w:t>
      </w:r>
      <w:r>
        <w:rPr/>
        <w:t>without</w:t>
      </w:r>
      <w:r>
        <w:rPr>
          <w:spacing w:val="-6"/>
        </w:rPr>
        <w:t> </w:t>
      </w:r>
      <w:r>
        <w:rPr/>
        <w:t>data</w:t>
      </w:r>
      <w:r>
        <w:rPr>
          <w:spacing w:val="-6"/>
        </w:rPr>
        <w:t> </w:t>
      </w:r>
      <w:r>
        <w:rPr>
          <w:rFonts w:ascii="Cambria"/>
          <w:spacing w:val="-5"/>
        </w:rPr>
        <w:t>X</w:t>
      </w:r>
      <w:r>
        <w:rPr>
          <w:rFonts w:ascii="Cambria"/>
          <w:spacing w:val="-5"/>
          <w:vertAlign w:val="subscript"/>
        </w:rPr>
        <w:t>j</w:t>
      </w:r>
      <w:r>
        <w:rPr>
          <w:spacing w:val="-5"/>
          <w:vertAlign w:val="baseline"/>
        </w:rPr>
        <w:t>.</w:t>
      </w:r>
    </w:p>
    <w:p>
      <w:pPr>
        <w:pStyle w:val="BodyText"/>
        <w:spacing w:line="312" w:lineRule="auto" w:before="81"/>
        <w:ind w:left="610" w:right="389" w:firstLine="351"/>
      </w:pPr>
      <w:r>
        <w:rPr/>
        <w:t>The</w:t>
      </w:r>
      <w:r>
        <w:rPr>
          <w:spacing w:val="-13"/>
        </w:rPr>
        <w:t> </w:t>
      </w:r>
      <w:r>
        <w:rPr/>
        <w:t>bandwidth</w:t>
      </w:r>
      <w:r>
        <w:rPr>
          <w:spacing w:val="-13"/>
        </w:rPr>
        <w:t> </w:t>
      </w:r>
      <w:r>
        <w:rPr/>
        <w:t>for</w:t>
      </w:r>
      <w:r>
        <w:rPr>
          <w:spacing w:val="-13"/>
        </w:rPr>
        <w:t> </w:t>
      </w:r>
      <w:r>
        <w:rPr/>
        <w:t>the</w:t>
      </w:r>
      <w:r>
        <w:rPr>
          <w:spacing w:val="-13"/>
        </w:rPr>
        <w:t> </w:t>
      </w:r>
      <w:r>
        <w:rPr/>
        <w:t>KDEs</w:t>
      </w:r>
      <w:r>
        <w:rPr>
          <w:spacing w:val="-13"/>
        </w:rPr>
        <w:t> </w:t>
      </w:r>
      <w:r>
        <w:rPr/>
        <w:t>was</w:t>
      </w:r>
      <w:r>
        <w:rPr>
          <w:spacing w:val="-13"/>
        </w:rPr>
        <w:t> </w:t>
      </w:r>
      <w:r>
        <w:rPr/>
        <w:t>chosen</w:t>
      </w:r>
      <w:r>
        <w:rPr>
          <w:spacing w:val="-13"/>
        </w:rPr>
        <w:t> </w:t>
      </w:r>
      <w:r>
        <w:rPr/>
        <w:t>via</w:t>
      </w:r>
      <w:r>
        <w:rPr>
          <w:spacing w:val="-13"/>
        </w:rPr>
        <w:t> </w:t>
      </w:r>
      <w:r>
        <w:rPr/>
        <w:t>a</w:t>
      </w:r>
      <w:r>
        <w:rPr>
          <w:spacing w:val="-13"/>
        </w:rPr>
        <w:t> </w:t>
      </w:r>
      <w:r>
        <w:rPr/>
        <w:t>two</w:t>
      </w:r>
      <w:r>
        <w:rPr>
          <w:spacing w:val="-13"/>
        </w:rPr>
        <w:t> </w:t>
      </w:r>
      <w:r>
        <w:rPr/>
        <w:t>stage</w:t>
      </w:r>
      <w:r>
        <w:rPr>
          <w:spacing w:val="-13"/>
        </w:rPr>
        <w:t> </w:t>
      </w:r>
      <w:r>
        <w:rPr/>
        <w:t>process,</w:t>
      </w:r>
      <w:r>
        <w:rPr>
          <w:spacing w:val="-12"/>
        </w:rPr>
        <w:t> </w:t>
      </w:r>
      <w:r>
        <w:rPr/>
        <w:t>similar</w:t>
      </w:r>
      <w:r>
        <w:rPr>
          <w:spacing w:val="-13"/>
        </w:rPr>
        <w:t> </w:t>
      </w:r>
      <w:r>
        <w:rPr/>
        <w:t>to</w:t>
      </w:r>
      <w:r>
        <w:rPr>
          <w:spacing w:val="-13"/>
        </w:rPr>
        <w:t> </w:t>
      </w:r>
      <w:r>
        <w:rPr/>
        <w:t>a</w:t>
      </w:r>
      <w:r>
        <w:rPr>
          <w:spacing w:val="-13"/>
        </w:rPr>
        <w:t> </w:t>
      </w:r>
      <w:r>
        <w:rPr/>
        <w:t>previous study comparing the length frequencies of fish species (</w:t>
      </w:r>
      <w:hyperlink w:history="true" w:anchor="_bookmark266">
        <w:r>
          <w:rPr>
            <w:color w:val="FF0000"/>
          </w:rPr>
          <w:t>Langlois et al.</w:t>
        </w:r>
      </w:hyperlink>
      <w:r>
        <w:rPr/>
        <w:t>,</w:t>
      </w:r>
      <w:hyperlink w:history="true" w:anchor="_bookmark266">
        <w:r>
          <w:rPr>
            <w:color w:val="FF0000"/>
          </w:rPr>
          <w:t>2012</w:t>
        </w:r>
      </w:hyperlink>
      <w:r>
        <w:rPr/>
        <w:t>).</w:t>
      </w:r>
      <w:r>
        <w:rPr>
          <w:spacing w:val="40"/>
        </w:rPr>
        <w:t> </w:t>
      </w:r>
      <w:r>
        <w:rPr/>
        <w:t>First, the optimal</w:t>
      </w:r>
      <w:r>
        <w:rPr>
          <w:spacing w:val="-6"/>
        </w:rPr>
        <w:t> </w:t>
      </w:r>
      <w:r>
        <w:rPr/>
        <w:t>bandwidths</w:t>
      </w:r>
      <w:r>
        <w:rPr>
          <w:spacing w:val="-6"/>
        </w:rPr>
        <w:t> </w:t>
      </w:r>
      <w:r>
        <w:rPr/>
        <w:t>for</w:t>
      </w:r>
      <w:r>
        <w:rPr>
          <w:spacing w:val="-6"/>
        </w:rPr>
        <w:t> </w:t>
      </w:r>
      <w:r>
        <w:rPr/>
        <w:t>the</w:t>
      </w:r>
      <w:r>
        <w:rPr>
          <w:spacing w:val="-6"/>
        </w:rPr>
        <w:t> </w:t>
      </w:r>
      <w:r>
        <w:rPr/>
        <w:t>132</w:t>
      </w:r>
      <w:r>
        <w:rPr>
          <w:spacing w:val="-6"/>
        </w:rPr>
        <w:t> </w:t>
      </w:r>
      <w:r>
        <w:rPr/>
        <w:t>subsets</w:t>
      </w:r>
      <w:r>
        <w:rPr>
          <w:spacing w:val="-6"/>
        </w:rPr>
        <w:t> </w:t>
      </w:r>
      <w:r>
        <w:rPr/>
        <w:t>on</w:t>
      </w:r>
      <w:r>
        <w:rPr>
          <w:spacing w:val="-5"/>
        </w:rPr>
        <w:t> </w:t>
      </w:r>
      <w:r>
        <w:rPr/>
        <w:t>the</w:t>
      </w:r>
      <w:r>
        <w:rPr>
          <w:spacing w:val="-6"/>
        </w:rPr>
        <w:t> </w:t>
      </w:r>
      <w:r>
        <w:rPr/>
        <w:t>team-opponent</w:t>
      </w:r>
      <w:r>
        <w:rPr>
          <w:spacing w:val="-6"/>
        </w:rPr>
        <w:t> </w:t>
      </w:r>
      <w:r>
        <w:rPr/>
        <w:t>level</w:t>
      </w:r>
      <w:r>
        <w:rPr>
          <w:spacing w:val="-6"/>
        </w:rPr>
        <w:t> </w:t>
      </w:r>
      <w:r>
        <w:rPr/>
        <w:t>were</w:t>
      </w:r>
      <w:r>
        <w:rPr>
          <w:spacing w:val="-6"/>
        </w:rPr>
        <w:t> </w:t>
      </w:r>
      <w:r>
        <w:rPr/>
        <w:t>identified</w:t>
      </w:r>
      <w:r>
        <w:rPr>
          <w:spacing w:val="-6"/>
        </w:rPr>
        <w:t> </w:t>
      </w:r>
      <w:r>
        <w:rPr/>
        <w:t>using 10-fold cross validation.</w:t>
      </w:r>
      <w:r>
        <w:rPr>
          <w:spacing w:val="40"/>
        </w:rPr>
        <w:t> </w:t>
      </w:r>
      <w:r>
        <w:rPr/>
        <w:t>The team-opponent level was chosen for this stage because it represented</w:t>
      </w:r>
      <w:r>
        <w:rPr>
          <w:spacing w:val="-15"/>
        </w:rPr>
        <w:t> </w:t>
      </w:r>
      <w:r>
        <w:rPr/>
        <w:t>the</w:t>
      </w:r>
      <w:r>
        <w:rPr>
          <w:spacing w:val="-15"/>
        </w:rPr>
        <w:t> </w:t>
      </w:r>
      <w:r>
        <w:rPr/>
        <w:t>lowest</w:t>
      </w:r>
      <w:r>
        <w:rPr>
          <w:spacing w:val="-14"/>
        </w:rPr>
        <w:t> </w:t>
      </w:r>
      <w:r>
        <w:rPr/>
        <w:t>level</w:t>
      </w:r>
      <w:r>
        <w:rPr>
          <w:spacing w:val="-15"/>
        </w:rPr>
        <w:t> </w:t>
      </w:r>
      <w:r>
        <w:rPr/>
        <w:t>of</w:t>
      </w:r>
      <w:r>
        <w:rPr>
          <w:spacing w:val="-14"/>
        </w:rPr>
        <w:t> </w:t>
      </w:r>
      <w:r>
        <w:rPr/>
        <w:t>data</w:t>
      </w:r>
      <w:r>
        <w:rPr>
          <w:spacing w:val="-15"/>
        </w:rPr>
        <w:t> </w:t>
      </w:r>
      <w:r>
        <w:rPr/>
        <w:t>and</w:t>
      </w:r>
      <w:r>
        <w:rPr>
          <w:spacing w:val="-15"/>
        </w:rPr>
        <w:t> </w:t>
      </w:r>
      <w:r>
        <w:rPr/>
        <w:t>would</w:t>
      </w:r>
      <w:r>
        <w:rPr>
          <w:spacing w:val="-14"/>
        </w:rPr>
        <w:t> </w:t>
      </w:r>
      <w:r>
        <w:rPr/>
        <w:t>therefore</w:t>
      </w:r>
      <w:r>
        <w:rPr>
          <w:spacing w:val="-15"/>
        </w:rPr>
        <w:t> </w:t>
      </w:r>
      <w:r>
        <w:rPr/>
        <w:t>provide</w:t>
      </w:r>
      <w:r>
        <w:rPr>
          <w:spacing w:val="-14"/>
        </w:rPr>
        <w:t> </w:t>
      </w:r>
      <w:r>
        <w:rPr/>
        <w:t>a</w:t>
      </w:r>
      <w:r>
        <w:rPr>
          <w:spacing w:val="-15"/>
        </w:rPr>
        <w:t> </w:t>
      </w:r>
      <w:r>
        <w:rPr/>
        <w:t>bandwidth</w:t>
      </w:r>
      <w:r>
        <w:rPr>
          <w:spacing w:val="-15"/>
        </w:rPr>
        <w:t> </w:t>
      </w:r>
      <w:r>
        <w:rPr/>
        <w:t>which</w:t>
      </w:r>
      <w:r>
        <w:rPr>
          <w:spacing w:val="-14"/>
        </w:rPr>
        <w:t> </w:t>
      </w:r>
      <w:r>
        <w:rPr/>
        <w:t>could be used to generate smooth results for all higher levels of data.</w:t>
      </w:r>
      <w:r>
        <w:rPr>
          <w:spacing w:val="40"/>
        </w:rPr>
        <w:t> </w:t>
      </w:r>
      <w:r>
        <w:rPr/>
        <w:t>If the top level of data</w:t>
      </w:r>
      <w:r>
        <w:rPr>
          <w:spacing w:val="40"/>
        </w:rPr>
        <w:t> </w:t>
      </w:r>
      <w:r>
        <w:rPr/>
        <w:t>(i.e.,</w:t>
      </w:r>
      <w:r>
        <w:rPr>
          <w:spacing w:val="-11"/>
        </w:rPr>
        <w:t> </w:t>
      </w:r>
      <w:r>
        <w:rPr/>
        <w:t>the</w:t>
      </w:r>
      <w:r>
        <w:rPr>
          <w:spacing w:val="-12"/>
        </w:rPr>
        <w:t> </w:t>
      </w:r>
      <w:r>
        <w:rPr/>
        <w:t>whole</w:t>
      </w:r>
      <w:r>
        <w:rPr>
          <w:spacing w:val="-12"/>
        </w:rPr>
        <w:t> </w:t>
      </w:r>
      <w:r>
        <w:rPr/>
        <w:t>league)</w:t>
      </w:r>
      <w:r>
        <w:rPr>
          <w:spacing w:val="-12"/>
        </w:rPr>
        <w:t> </w:t>
      </w:r>
      <w:r>
        <w:rPr/>
        <w:t>had</w:t>
      </w:r>
      <w:r>
        <w:rPr>
          <w:spacing w:val="-12"/>
        </w:rPr>
        <w:t> </w:t>
      </w:r>
      <w:r>
        <w:rPr/>
        <w:t>been</w:t>
      </w:r>
      <w:r>
        <w:rPr>
          <w:spacing w:val="-12"/>
        </w:rPr>
        <w:t> </w:t>
      </w:r>
      <w:r>
        <w:rPr/>
        <w:t>used,</w:t>
      </w:r>
      <w:r>
        <w:rPr>
          <w:spacing w:val="-11"/>
        </w:rPr>
        <w:t> </w:t>
      </w:r>
      <w:r>
        <w:rPr/>
        <w:t>the</w:t>
      </w:r>
      <w:r>
        <w:rPr>
          <w:spacing w:val="-12"/>
        </w:rPr>
        <w:t> </w:t>
      </w:r>
      <w:r>
        <w:rPr/>
        <w:t>bandwidth</w:t>
      </w:r>
      <w:r>
        <w:rPr>
          <w:spacing w:val="-12"/>
        </w:rPr>
        <w:t> </w:t>
      </w:r>
      <w:r>
        <w:rPr/>
        <w:t>obtained</w:t>
      </w:r>
      <w:r>
        <w:rPr>
          <w:spacing w:val="-12"/>
        </w:rPr>
        <w:t> </w:t>
      </w:r>
      <w:r>
        <w:rPr/>
        <w:t>would</w:t>
      </w:r>
      <w:r>
        <w:rPr>
          <w:spacing w:val="-12"/>
        </w:rPr>
        <w:t> </w:t>
      </w:r>
      <w:r>
        <w:rPr/>
        <w:t>have</w:t>
      </w:r>
      <w:r>
        <w:rPr>
          <w:spacing w:val="-12"/>
        </w:rPr>
        <w:t> </w:t>
      </w:r>
      <w:r>
        <w:rPr/>
        <w:t>been</w:t>
      </w:r>
      <w:r>
        <w:rPr>
          <w:spacing w:val="-12"/>
        </w:rPr>
        <w:t> </w:t>
      </w:r>
      <w:r>
        <w:rPr/>
        <w:t>too</w:t>
      </w:r>
      <w:r>
        <w:rPr>
          <w:spacing w:val="-12"/>
        </w:rPr>
        <w:t> </w:t>
      </w:r>
      <w:r>
        <w:rPr/>
        <w:t>small for</w:t>
      </w:r>
      <w:r>
        <w:rPr>
          <w:spacing w:val="-5"/>
        </w:rPr>
        <w:t> </w:t>
      </w:r>
      <w:r>
        <w:rPr/>
        <w:t>other</w:t>
      </w:r>
      <w:r>
        <w:rPr>
          <w:spacing w:val="-5"/>
        </w:rPr>
        <w:t> </w:t>
      </w:r>
      <w:r>
        <w:rPr/>
        <w:t>levels</w:t>
      </w:r>
      <w:r>
        <w:rPr>
          <w:spacing w:val="-5"/>
        </w:rPr>
        <w:t> </w:t>
      </w:r>
      <w:r>
        <w:rPr/>
        <w:t>to</w:t>
      </w:r>
      <w:r>
        <w:rPr>
          <w:spacing w:val="-5"/>
        </w:rPr>
        <w:t> </w:t>
      </w:r>
      <w:r>
        <w:rPr/>
        <w:t>obtain</w:t>
      </w:r>
      <w:r>
        <w:rPr>
          <w:spacing w:val="-5"/>
        </w:rPr>
        <w:t> </w:t>
      </w:r>
      <w:r>
        <w:rPr/>
        <w:t>usable</w:t>
      </w:r>
      <w:r>
        <w:rPr>
          <w:spacing w:val="-5"/>
        </w:rPr>
        <w:t> </w:t>
      </w:r>
      <w:r>
        <w:rPr/>
        <w:t>results</w:t>
      </w:r>
      <w:r>
        <w:rPr>
          <w:spacing w:val="-5"/>
        </w:rPr>
        <w:t> </w:t>
      </w:r>
      <w:r>
        <w:rPr/>
        <w:t>(</w:t>
      </w:r>
      <w:hyperlink w:history="true" w:anchor="_bookmark314">
        <w:r>
          <w:rPr>
            <w:color w:val="FF0000"/>
          </w:rPr>
          <w:t>Zambom</w:t>
        </w:r>
        <w:r>
          <w:rPr>
            <w:color w:val="FF0000"/>
            <w:spacing w:val="-5"/>
          </w:rPr>
          <w:t> </w:t>
        </w:r>
        <w:r>
          <w:rPr>
            <w:color w:val="FF0000"/>
          </w:rPr>
          <w:t>and</w:t>
        </w:r>
        <w:r>
          <w:rPr>
            <w:color w:val="FF0000"/>
            <w:spacing w:val="-5"/>
          </w:rPr>
          <w:t> </w:t>
        </w:r>
        <w:r>
          <w:rPr>
            <w:color w:val="FF0000"/>
          </w:rPr>
          <w:t>Dias</w:t>
        </w:r>
      </w:hyperlink>
      <w:r>
        <w:rPr/>
        <w:t>,</w:t>
      </w:r>
      <w:hyperlink w:history="true" w:anchor="_bookmark314">
        <w:r>
          <w:rPr>
            <w:color w:val="FF0000"/>
          </w:rPr>
          <w:t>2012</w:t>
        </w:r>
      </w:hyperlink>
      <w:r>
        <w:rPr/>
        <w:t>). Second,</w:t>
      </w:r>
      <w:r>
        <w:rPr>
          <w:spacing w:val="-4"/>
        </w:rPr>
        <w:t> </w:t>
      </w:r>
      <w:r>
        <w:rPr/>
        <w:t>the</w:t>
      </w:r>
      <w:r>
        <w:rPr>
          <w:spacing w:val="-5"/>
        </w:rPr>
        <w:t> </w:t>
      </w:r>
      <w:r>
        <w:rPr/>
        <w:t>geometric mean of the 132 team-opponent bandwidths was calculated; this resulted in a bandwidth equal</w:t>
      </w:r>
      <w:r>
        <w:rPr>
          <w:spacing w:val="-1"/>
        </w:rPr>
        <w:t> </w:t>
      </w:r>
      <w:r>
        <w:rPr/>
        <w:t>to</w:t>
      </w:r>
      <w:r>
        <w:rPr>
          <w:spacing w:val="-1"/>
        </w:rPr>
        <w:t> </w:t>
      </w:r>
      <w:r>
        <w:rPr/>
        <w:t>4.10.</w:t>
      </w:r>
      <w:r>
        <w:rPr>
          <w:spacing w:val="21"/>
        </w:rPr>
        <w:t> </w:t>
      </w:r>
      <w:r>
        <w:rPr/>
        <w:t>A</w:t>
      </w:r>
      <w:r>
        <w:rPr>
          <w:spacing w:val="-1"/>
        </w:rPr>
        <w:t> </w:t>
      </w:r>
      <w:r>
        <w:rPr/>
        <w:t>bandwidth</w:t>
      </w:r>
      <w:r>
        <w:rPr>
          <w:spacing w:val="-1"/>
        </w:rPr>
        <w:t> </w:t>
      </w:r>
      <w:r>
        <w:rPr/>
        <w:t>of</w:t>
      </w:r>
      <w:r>
        <w:rPr>
          <w:spacing w:val="-1"/>
        </w:rPr>
        <w:t> </w:t>
      </w:r>
      <w:r>
        <w:rPr/>
        <w:t>4.10</w:t>
      </w:r>
      <w:r>
        <w:rPr>
          <w:spacing w:val="-1"/>
        </w:rPr>
        <w:t> </w:t>
      </w:r>
      <w:r>
        <w:rPr/>
        <w:t>suggests</w:t>
      </w:r>
      <w:r>
        <w:rPr>
          <w:spacing w:val="-1"/>
        </w:rPr>
        <w:t> </w:t>
      </w:r>
      <w:r>
        <w:rPr/>
        <w:t>that</w:t>
      </w:r>
      <w:r>
        <w:rPr>
          <w:spacing w:val="-1"/>
        </w:rPr>
        <w:t> </w:t>
      </w:r>
      <w:r>
        <w:rPr/>
        <w:t>locations</w:t>
      </w:r>
      <w:r>
        <w:rPr>
          <w:spacing w:val="-1"/>
        </w:rPr>
        <w:t> </w:t>
      </w:r>
      <w:r>
        <w:rPr/>
        <w:t>are</w:t>
      </w:r>
      <w:r>
        <w:rPr>
          <w:spacing w:val="-1"/>
        </w:rPr>
        <w:t> </w:t>
      </w:r>
      <w:r>
        <w:rPr/>
        <w:t>predominantly</w:t>
      </w:r>
      <w:r>
        <w:rPr>
          <w:spacing w:val="-1"/>
        </w:rPr>
        <w:t> </w:t>
      </w:r>
      <w:r>
        <w:rPr/>
        <w:t>influenced by areas within 10m of them, which is congruent with the zone sizes initially suggested in the rugby league literature (</w:t>
      </w:r>
      <w:hyperlink w:history="true" w:anchor="_bookmark263">
        <w:r>
          <w:rPr>
            <w:color w:val="FF0000"/>
          </w:rPr>
          <w:t>Kempton et al.</w:t>
        </w:r>
      </w:hyperlink>
      <w:r>
        <w:rPr/>
        <w:t>,</w:t>
      </w:r>
      <w:hyperlink w:history="true" w:anchor="_bookmark263">
        <w:r>
          <w:rPr>
            <w:color w:val="FF0000"/>
          </w:rPr>
          <w:t>2016</w:t>
        </w:r>
      </w:hyperlink>
      <w:r>
        <w:rPr/>
        <w:t>).</w:t>
      </w:r>
      <w:r>
        <w:rPr>
          <w:spacing w:val="40"/>
        </w:rPr>
        <w:t> </w:t>
      </w:r>
      <w:r>
        <w:rPr/>
        <w:t>All 145 KDEs were re-run at this </w:t>
      </w:r>
      <w:r>
        <w:rPr>
          <w:spacing w:val="-2"/>
        </w:rPr>
        <w:t>empirically</w:t>
      </w:r>
      <w:r>
        <w:rPr>
          <w:spacing w:val="-8"/>
        </w:rPr>
        <w:t> </w:t>
      </w:r>
      <w:r>
        <w:rPr>
          <w:spacing w:val="-2"/>
        </w:rPr>
        <w:t>identified</w:t>
      </w:r>
      <w:r>
        <w:rPr>
          <w:spacing w:val="-8"/>
        </w:rPr>
        <w:t> </w:t>
      </w:r>
      <w:r>
        <w:rPr>
          <w:spacing w:val="-2"/>
        </w:rPr>
        <w:t>bandwidth</w:t>
      </w:r>
      <w:r>
        <w:rPr>
          <w:spacing w:val="-8"/>
        </w:rPr>
        <w:t> </w:t>
      </w:r>
      <w:r>
        <w:rPr>
          <w:spacing w:val="-2"/>
        </w:rPr>
        <w:t>4.10,</w:t>
      </w:r>
      <w:r>
        <w:rPr>
          <w:spacing w:val="-5"/>
        </w:rPr>
        <w:t> </w:t>
      </w:r>
      <w:r>
        <w:rPr>
          <w:spacing w:val="-2"/>
        </w:rPr>
        <w:t>ensuring</w:t>
      </w:r>
      <w:r>
        <w:rPr>
          <w:spacing w:val="-8"/>
        </w:rPr>
        <w:t> </w:t>
      </w:r>
      <w:r>
        <w:rPr>
          <w:spacing w:val="-2"/>
        </w:rPr>
        <w:t>that</w:t>
      </w:r>
      <w:r>
        <w:rPr>
          <w:spacing w:val="-8"/>
        </w:rPr>
        <w:t> </w:t>
      </w:r>
      <w:r>
        <w:rPr>
          <w:spacing w:val="-2"/>
        </w:rPr>
        <w:t>the</w:t>
      </w:r>
      <w:r>
        <w:rPr>
          <w:spacing w:val="-8"/>
        </w:rPr>
        <w:t> </w:t>
      </w:r>
      <w:r>
        <w:rPr>
          <w:spacing w:val="-2"/>
        </w:rPr>
        <w:t>under</w:t>
      </w:r>
      <w:r>
        <w:rPr>
          <w:spacing w:val="-8"/>
        </w:rPr>
        <w:t> </w:t>
      </w:r>
      <w:r>
        <w:rPr>
          <w:spacing w:val="-2"/>
        </w:rPr>
        <w:t>and</w:t>
      </w:r>
      <w:r>
        <w:rPr>
          <w:spacing w:val="-8"/>
        </w:rPr>
        <w:t> </w:t>
      </w:r>
      <w:r>
        <w:rPr>
          <w:spacing w:val="-2"/>
        </w:rPr>
        <w:t>overfitting</w:t>
      </w:r>
      <w:r>
        <w:rPr>
          <w:spacing w:val="-8"/>
        </w:rPr>
        <w:t> </w:t>
      </w:r>
      <w:r>
        <w:rPr>
          <w:spacing w:val="-2"/>
        </w:rPr>
        <w:t>issues</w:t>
      </w:r>
      <w:r>
        <w:rPr>
          <w:spacing w:val="-8"/>
        </w:rPr>
        <w:t> </w:t>
      </w:r>
      <w:r>
        <w:rPr>
          <w:spacing w:val="-2"/>
        </w:rPr>
        <w:t>which </w:t>
      </w:r>
      <w:r>
        <w:rPr/>
        <w:t>could</w:t>
      </w:r>
      <w:r>
        <w:rPr>
          <w:spacing w:val="-7"/>
        </w:rPr>
        <w:t> </w:t>
      </w:r>
      <w:r>
        <w:rPr/>
        <w:t>be</w:t>
      </w:r>
      <w:r>
        <w:rPr>
          <w:spacing w:val="-7"/>
        </w:rPr>
        <w:t> </w:t>
      </w:r>
      <w:r>
        <w:rPr/>
        <w:t>present</w:t>
      </w:r>
      <w:r>
        <w:rPr>
          <w:spacing w:val="-7"/>
        </w:rPr>
        <w:t> </w:t>
      </w:r>
      <w:r>
        <w:rPr/>
        <w:t>due</w:t>
      </w:r>
      <w:r>
        <w:rPr>
          <w:spacing w:val="-7"/>
        </w:rPr>
        <w:t> </w:t>
      </w:r>
      <w:r>
        <w:rPr/>
        <w:t>to</w:t>
      </w:r>
      <w:r>
        <w:rPr>
          <w:spacing w:val="-7"/>
        </w:rPr>
        <w:t> </w:t>
      </w:r>
      <w:r>
        <w:rPr/>
        <w:t>using</w:t>
      </w:r>
      <w:r>
        <w:rPr>
          <w:spacing w:val="-7"/>
        </w:rPr>
        <w:t> </w:t>
      </w:r>
      <w:r>
        <w:rPr/>
        <w:t>the</w:t>
      </w:r>
      <w:r>
        <w:rPr>
          <w:spacing w:val="-7"/>
        </w:rPr>
        <w:t> </w:t>
      </w:r>
      <w:r>
        <w:rPr/>
        <w:t>same</w:t>
      </w:r>
      <w:r>
        <w:rPr>
          <w:spacing w:val="-7"/>
        </w:rPr>
        <w:t> </w:t>
      </w:r>
      <w:r>
        <w:rPr/>
        <w:t>bandwidth</w:t>
      </w:r>
      <w:r>
        <w:rPr>
          <w:spacing w:val="-7"/>
        </w:rPr>
        <w:t> </w:t>
      </w:r>
      <w:r>
        <w:rPr/>
        <w:t>for</w:t>
      </w:r>
      <w:r>
        <w:rPr>
          <w:spacing w:val="-7"/>
        </w:rPr>
        <w:t> </w:t>
      </w:r>
      <w:r>
        <w:rPr/>
        <w:t>all</w:t>
      </w:r>
      <w:r>
        <w:rPr>
          <w:spacing w:val="-7"/>
        </w:rPr>
        <w:t> </w:t>
      </w:r>
      <w:r>
        <w:rPr/>
        <w:t>analyses</w:t>
      </w:r>
      <w:r>
        <w:rPr>
          <w:spacing w:val="-7"/>
        </w:rPr>
        <w:t> </w:t>
      </w:r>
      <w:r>
        <w:rPr/>
        <w:t>were</w:t>
      </w:r>
      <w:r>
        <w:rPr>
          <w:spacing w:val="-7"/>
        </w:rPr>
        <w:t> </w:t>
      </w:r>
      <w:r>
        <w:rPr/>
        <w:t>minimised</w:t>
      </w:r>
      <w:r>
        <w:rPr>
          <w:spacing w:val="-7"/>
        </w:rPr>
        <w:t> </w:t>
      </w:r>
      <w:r>
        <w:rPr/>
        <w:t>across all subsets of data (</w:t>
      </w:r>
      <w:hyperlink w:history="true" w:anchor="_bookmark227">
        <w:r>
          <w:rPr>
            <w:color w:val="FF0000"/>
          </w:rPr>
          <w:t>Bowman</w:t>
        </w:r>
      </w:hyperlink>
      <w:r>
        <w:rPr/>
        <w:t>,</w:t>
      </w:r>
      <w:hyperlink w:history="true" w:anchor="_bookmark227">
        <w:r>
          <w:rPr>
            <w:color w:val="FF0000"/>
          </w:rPr>
          <w:t>1984</w:t>
        </w:r>
      </w:hyperlink>
      <w:r>
        <w:rPr/>
        <w:t>).</w:t>
      </w:r>
    </w:p>
    <w:p>
      <w:pPr>
        <w:pStyle w:val="BodyText"/>
        <w:spacing w:before="5"/>
        <w:rPr>
          <w:sz w:val="34"/>
        </w:rPr>
      </w:pPr>
    </w:p>
    <w:p>
      <w:pPr>
        <w:pStyle w:val="Heading3"/>
        <w:numPr>
          <w:ilvl w:val="2"/>
          <w:numId w:val="23"/>
        </w:numPr>
        <w:tabs>
          <w:tab w:pos="1471" w:val="left" w:leader="none"/>
          <w:tab w:pos="1472" w:val="left" w:leader="none"/>
        </w:tabs>
        <w:spacing w:line="240" w:lineRule="auto" w:before="0" w:after="0"/>
        <w:ind w:left="1471" w:right="0" w:hanging="862"/>
        <w:jc w:val="left"/>
      </w:pPr>
      <w:bookmarkStart w:name="_TOC_250024" w:id="236"/>
      <w:bookmarkStart w:name="5.2.4 Wasserstein Distance" w:id="237"/>
      <w:r>
        <w:rPr>
          <w:b w:val="0"/>
        </w:rPr>
      </w:r>
      <w:bookmarkStart w:name="_bookmark136" w:id="238"/>
      <w:bookmarkEnd w:id="238"/>
      <w:r>
        <w:rPr/>
        <w:t>W</w:t>
      </w:r>
      <w:r>
        <w:rPr/>
        <w:t>asserstein</w:t>
      </w:r>
      <w:r>
        <w:rPr>
          <w:spacing w:val="10"/>
        </w:rPr>
        <w:t> </w:t>
      </w:r>
      <w:bookmarkEnd w:id="236"/>
      <w:r>
        <w:rPr>
          <w:spacing w:val="-2"/>
        </w:rPr>
        <w:t>Distance</w:t>
      </w:r>
    </w:p>
    <w:p>
      <w:pPr>
        <w:pStyle w:val="BodyText"/>
        <w:spacing w:line="309" w:lineRule="auto" w:before="235"/>
        <w:ind w:left="610" w:right="389"/>
      </w:pPr>
      <w:r>
        <w:rPr/>
        <w:t>To extend the work of</w:t>
      </w:r>
      <w:hyperlink w:history="true" w:anchor="_bookmark271">
        <w:r>
          <w:rPr>
            <w:color w:val="FF0000"/>
          </w:rPr>
          <w:t>Mallepalle et al.</w:t>
        </w:r>
        <w:r>
          <w:rPr/>
          <w:t>(</w:t>
        </w:r>
      </w:hyperlink>
      <w:r>
        <w:rPr>
          <w:color w:val="FF0000"/>
        </w:rPr>
        <w:t>2020</w:t>
      </w:r>
      <w:hyperlink w:history="true" w:anchor="_bookmark271">
        <w:r>
          <w:rPr/>
          <w:t>),</w:t>
        </w:r>
      </w:hyperlink>
      <w:r>
        <w:rPr>
          <w:spacing w:val="40"/>
        </w:rPr>
        <w:t> </w:t>
      </w:r>
      <w:r>
        <w:rPr/>
        <w:t>two novel metrics of quantifying dif-</w:t>
      </w:r>
      <w:r>
        <w:rPr>
          <w:spacing w:val="80"/>
        </w:rPr>
        <w:t> </w:t>
      </w:r>
      <w:r>
        <w:rPr/>
        <w:t>ferences in the spatial trends of attacking performances between and within teams </w:t>
      </w:r>
      <w:r>
        <w:rPr/>
        <w:t>were produced. In</w:t>
      </w:r>
      <w:r>
        <w:rPr>
          <w:spacing w:val="-1"/>
        </w:rPr>
        <w:t> </w:t>
      </w:r>
      <w:r>
        <w:rPr/>
        <w:t>Section</w:t>
      </w:r>
      <w:hyperlink w:history="true" w:anchor="_bookmark66">
        <w:r>
          <w:rPr>
            <w:color w:val="0000FF"/>
          </w:rPr>
          <w:t>3.2.4.1</w:t>
        </w:r>
        <w:r>
          <w:rPr/>
          <w:t>,</w:t>
        </w:r>
      </w:hyperlink>
      <w:r>
        <w:rPr>
          <w:spacing w:val="-1"/>
        </w:rPr>
        <w:t> </w:t>
      </w:r>
      <w:r>
        <w:rPr/>
        <w:t>the</w:t>
      </w:r>
      <w:r>
        <w:rPr>
          <w:spacing w:val="-1"/>
        </w:rPr>
        <w:t> </w:t>
      </w:r>
      <w:r>
        <w:rPr/>
        <w:t>differences</w:t>
      </w:r>
      <w:r>
        <w:rPr>
          <w:spacing w:val="-1"/>
        </w:rPr>
        <w:t> </w:t>
      </w:r>
      <w:r>
        <w:rPr/>
        <w:t>in</w:t>
      </w:r>
      <w:r>
        <w:rPr>
          <w:spacing w:val="-1"/>
        </w:rPr>
        <w:t> </w:t>
      </w:r>
      <w:r>
        <w:rPr/>
        <w:t>the</w:t>
      </w:r>
      <w:r>
        <w:rPr>
          <w:spacing w:val="-1"/>
        </w:rPr>
        <w:t> </w:t>
      </w:r>
      <w:r>
        <w:rPr/>
        <w:t>discrete</w:t>
      </w:r>
      <w:r>
        <w:rPr>
          <w:spacing w:val="-1"/>
        </w:rPr>
        <w:t> </w:t>
      </w:r>
      <w:r>
        <w:rPr/>
        <w:t>EPV</w:t>
      </w:r>
      <w:r>
        <w:rPr>
          <w:spacing w:val="-1"/>
        </w:rPr>
        <w:t> </w:t>
      </w:r>
      <w:r>
        <w:rPr/>
        <w:t>distributions</w:t>
      </w:r>
      <w:r>
        <w:rPr>
          <w:spacing w:val="-1"/>
        </w:rPr>
        <w:t> </w:t>
      </w:r>
      <w:r>
        <w:rPr/>
        <w:t>for</w:t>
      </w:r>
      <w:r>
        <w:rPr>
          <w:spacing w:val="-1"/>
        </w:rPr>
        <w:t> </w:t>
      </w:r>
      <w:r>
        <w:rPr/>
        <w:t>a</w:t>
      </w:r>
      <w:r>
        <w:rPr>
          <w:spacing w:val="-1"/>
        </w:rPr>
        <w:t> </w:t>
      </w:r>
      <w:r>
        <w:rPr/>
        <w:t>set</w:t>
      </w:r>
      <w:r>
        <w:rPr>
          <w:spacing w:val="-1"/>
        </w:rPr>
        <w:t> </w:t>
      </w:r>
      <w:r>
        <w:rPr/>
        <w:t>of previous</w:t>
      </w:r>
      <w:r>
        <w:rPr>
          <w:spacing w:val="-15"/>
        </w:rPr>
        <w:t> </w:t>
      </w:r>
      <w:r>
        <w:rPr/>
        <w:t>matches</w:t>
      </w:r>
      <w:r>
        <w:rPr>
          <w:spacing w:val="-15"/>
        </w:rPr>
        <w:t> </w:t>
      </w:r>
      <w:r>
        <w:rPr/>
        <w:t>and</w:t>
      </w:r>
      <w:r>
        <w:rPr>
          <w:spacing w:val="-15"/>
        </w:rPr>
        <w:t> </w:t>
      </w:r>
      <w:r>
        <w:rPr/>
        <w:t>the</w:t>
      </w:r>
      <w:r>
        <w:rPr>
          <w:spacing w:val="-15"/>
        </w:rPr>
        <w:t> </w:t>
      </w:r>
      <w:r>
        <w:rPr/>
        <w:t>subsequent</w:t>
      </w:r>
      <w:r>
        <w:rPr>
          <w:spacing w:val="-15"/>
        </w:rPr>
        <w:t> </w:t>
      </w:r>
      <w:r>
        <w:rPr/>
        <w:t>match</w:t>
      </w:r>
      <w:r>
        <w:rPr>
          <w:spacing w:val="-15"/>
        </w:rPr>
        <w:t> </w:t>
      </w:r>
      <w:r>
        <w:rPr/>
        <w:t>were</w:t>
      </w:r>
      <w:r>
        <w:rPr>
          <w:spacing w:val="-15"/>
        </w:rPr>
        <w:t> </w:t>
      </w:r>
      <w:r>
        <w:rPr/>
        <w:t>calculated</w:t>
      </w:r>
      <w:r>
        <w:rPr>
          <w:spacing w:val="-15"/>
        </w:rPr>
        <w:t> </w:t>
      </w:r>
      <w:r>
        <w:rPr/>
        <w:t>using</w:t>
      </w:r>
      <w:r>
        <w:rPr>
          <w:spacing w:val="-15"/>
        </w:rPr>
        <w:t> </w:t>
      </w:r>
      <w:r>
        <w:rPr/>
        <w:t>the</w:t>
      </w:r>
      <w:r>
        <w:rPr>
          <w:spacing w:val="-15"/>
        </w:rPr>
        <w:t> </w:t>
      </w:r>
      <w:r>
        <w:rPr/>
        <w:t>KL</w:t>
      </w:r>
      <w:r>
        <w:rPr>
          <w:spacing w:val="-15"/>
        </w:rPr>
        <w:t> </w:t>
      </w:r>
      <w:r>
        <w:rPr/>
        <w:t>Divergence.</w:t>
      </w:r>
      <w:r>
        <w:rPr>
          <w:spacing w:val="-8"/>
        </w:rPr>
        <w:t> </w:t>
      </w:r>
      <w:r>
        <w:rPr/>
        <w:t>By considering</w:t>
      </w:r>
      <w:r>
        <w:rPr>
          <w:spacing w:val="-8"/>
        </w:rPr>
        <w:t> </w:t>
      </w:r>
      <w:r>
        <w:rPr/>
        <w:t>the</w:t>
      </w:r>
      <w:r>
        <w:rPr>
          <w:spacing w:val="-6"/>
        </w:rPr>
        <w:t> </w:t>
      </w:r>
      <w:r>
        <w:rPr>
          <w:rFonts w:ascii="Cambria"/>
        </w:rPr>
        <w:t>x,</w:t>
      </w:r>
      <w:r>
        <w:rPr>
          <w:rFonts w:ascii="Cambria"/>
          <w:spacing w:val="-14"/>
        </w:rPr>
        <w:t> </w:t>
      </w:r>
      <w:r>
        <w:rPr>
          <w:rFonts w:ascii="Cambria"/>
        </w:rPr>
        <w:t>y </w:t>
      </w:r>
      <w:r>
        <w:rPr/>
        <w:t>pitch</w:t>
      </w:r>
      <w:r>
        <w:rPr>
          <w:spacing w:val="-6"/>
        </w:rPr>
        <w:t> </w:t>
      </w:r>
      <w:r>
        <w:rPr/>
        <w:t>coordinates</w:t>
      </w:r>
      <w:r>
        <w:rPr>
          <w:spacing w:val="-6"/>
        </w:rPr>
        <w:t> </w:t>
      </w:r>
      <w:r>
        <w:rPr/>
        <w:t>in</w:t>
      </w:r>
      <w:r>
        <w:rPr>
          <w:spacing w:val="-6"/>
        </w:rPr>
        <w:t> </w:t>
      </w:r>
      <w:r>
        <w:rPr/>
        <w:t>a</w:t>
      </w:r>
      <w:r>
        <w:rPr>
          <w:spacing w:val="-6"/>
        </w:rPr>
        <w:t> </w:t>
      </w:r>
      <w:r>
        <w:rPr/>
        <w:t>smooth</w:t>
      </w:r>
      <w:r>
        <w:rPr>
          <w:spacing w:val="-6"/>
        </w:rPr>
        <w:t> </w:t>
      </w:r>
      <w:r>
        <w:rPr/>
        <w:t>manner</w:t>
      </w:r>
      <w:r>
        <w:rPr>
          <w:spacing w:val="-6"/>
        </w:rPr>
        <w:t> </w:t>
      </w:r>
      <w:r>
        <w:rPr/>
        <w:t>in</w:t>
      </w:r>
      <w:r>
        <w:rPr>
          <w:spacing w:val="-6"/>
        </w:rPr>
        <w:t> </w:t>
      </w:r>
      <w:r>
        <w:rPr/>
        <w:t>this</w:t>
      </w:r>
      <w:r>
        <w:rPr>
          <w:spacing w:val="-6"/>
        </w:rPr>
        <w:t> </w:t>
      </w:r>
      <w:r>
        <w:rPr/>
        <w:t>study,</w:t>
      </w:r>
      <w:r>
        <w:rPr>
          <w:spacing w:val="-5"/>
        </w:rPr>
        <w:t> </w:t>
      </w:r>
      <w:r>
        <w:rPr/>
        <w:t>it</w:t>
      </w:r>
      <w:r>
        <w:rPr>
          <w:spacing w:val="-6"/>
        </w:rPr>
        <w:t> </w:t>
      </w:r>
      <w:r>
        <w:rPr/>
        <w:t>is</w:t>
      </w:r>
      <w:r>
        <w:rPr>
          <w:spacing w:val="-6"/>
        </w:rPr>
        <w:t> </w:t>
      </w:r>
      <w:r>
        <w:rPr/>
        <w:t>now</w:t>
      </w:r>
      <w:r>
        <w:rPr>
          <w:spacing w:val="-6"/>
        </w:rPr>
        <w:t> </w:t>
      </w:r>
      <w:r>
        <w:rPr/>
        <w:t>possible to</w:t>
      </w:r>
      <w:r>
        <w:rPr>
          <w:spacing w:val="-2"/>
        </w:rPr>
        <w:t> </w:t>
      </w:r>
      <w:r>
        <w:rPr/>
        <w:t>use</w:t>
      </w:r>
      <w:r>
        <w:rPr>
          <w:spacing w:val="-2"/>
        </w:rPr>
        <w:t> </w:t>
      </w:r>
      <w:r>
        <w:rPr/>
        <w:t>the</w:t>
      </w:r>
      <w:r>
        <w:rPr>
          <w:spacing w:val="-2"/>
        </w:rPr>
        <w:t> </w:t>
      </w:r>
      <w:r>
        <w:rPr/>
        <w:t>Wasserstein</w:t>
      </w:r>
      <w:r>
        <w:rPr>
          <w:spacing w:val="-2"/>
        </w:rPr>
        <w:t> </w:t>
      </w:r>
      <w:r>
        <w:rPr/>
        <w:t>distance</w:t>
      </w:r>
      <w:r>
        <w:rPr>
          <w:spacing w:val="-2"/>
        </w:rPr>
        <w:t> </w:t>
      </w:r>
      <w:r>
        <w:rPr/>
        <w:t>(</w:t>
      </w:r>
      <w:hyperlink w:history="true" w:anchor="_bookmark240">
        <w:r>
          <w:rPr>
            <w:color w:val="FF0000"/>
          </w:rPr>
          <w:t>Dobrushin</w:t>
        </w:r>
      </w:hyperlink>
      <w:r>
        <w:rPr/>
        <w:t>,</w:t>
      </w:r>
      <w:hyperlink w:history="true" w:anchor="_bookmark240">
        <w:r>
          <w:rPr>
            <w:color w:val="FF0000"/>
          </w:rPr>
          <w:t>1970</w:t>
        </w:r>
        <w:r>
          <w:rPr/>
          <w:t>;</w:t>
        </w:r>
      </w:hyperlink>
      <w:r>
        <w:rPr>
          <w:color w:val="FF0000"/>
        </w:rPr>
        <w:t>P</w:t>
      </w:r>
      <w:hyperlink w:history="true" w:anchor="_bookmark278">
        <w:r>
          <w:rPr>
            <w:color w:val="FF0000"/>
          </w:rPr>
          <w:t>anaretos</w:t>
        </w:r>
        <w:r>
          <w:rPr>
            <w:color w:val="FF0000"/>
            <w:spacing w:val="-2"/>
          </w:rPr>
          <w:t> </w:t>
        </w:r>
        <w:r>
          <w:rPr>
            <w:color w:val="FF0000"/>
          </w:rPr>
          <w:t>and</w:t>
        </w:r>
        <w:r>
          <w:rPr>
            <w:color w:val="FF0000"/>
            <w:spacing w:val="-2"/>
          </w:rPr>
          <w:t> </w:t>
        </w:r>
        <w:r>
          <w:rPr>
            <w:color w:val="FF0000"/>
          </w:rPr>
          <w:t>Zemel</w:t>
        </w:r>
        <w:r>
          <w:rPr/>
          <w:t>,</w:t>
        </w:r>
      </w:hyperlink>
      <w:r>
        <w:rPr>
          <w:color w:val="FF0000"/>
        </w:rPr>
        <w:t>2019</w:t>
      </w:r>
      <w:hyperlink w:history="true" w:anchor="_bookmark278">
        <w:r>
          <w:rPr/>
          <w:t>)</w:t>
        </w:r>
      </w:hyperlink>
      <w:r>
        <w:rPr>
          <w:spacing w:val="-2"/>
        </w:rPr>
        <w:t> </w:t>
      </w:r>
      <w:r>
        <w:rPr/>
        <w:t>to</w:t>
      </w:r>
      <w:r>
        <w:rPr>
          <w:spacing w:val="-2"/>
        </w:rPr>
        <w:t> </w:t>
      </w:r>
      <w:r>
        <w:rPr/>
        <w:t>quantify differences in the spatial trends of attacking performances between and within teams.</w:t>
      </w:r>
    </w:p>
    <w:p>
      <w:pPr>
        <w:pStyle w:val="BodyText"/>
        <w:spacing w:line="312" w:lineRule="auto" w:before="11"/>
        <w:ind w:left="610" w:right="389" w:firstLine="351"/>
        <w:jc w:val="both"/>
      </w:pPr>
      <w:r>
        <w:rPr/>
        <w:t>The Wasserstein distance is a more appropriate measure than the KL Divergence because it considers the size </w:t>
      </w:r>
      <w:r>
        <w:rPr>
          <w:i/>
        </w:rPr>
        <w:t>and </w:t>
      </w:r>
      <w:r>
        <w:rPr/>
        <w:t>distance of differences between the two distributions, whereas the KL Divergence only considers the size of the differences.</w:t>
      </w:r>
      <w:r>
        <w:rPr>
          <w:spacing w:val="40"/>
        </w:rPr>
        <w:t> </w:t>
      </w:r>
      <w:r>
        <w:rPr/>
        <w:t>In practice, this means that if an equal mass difference is distanced 10m or 100m apart, the KL Diver- gence will return the same value.</w:t>
      </w:r>
      <w:r>
        <w:rPr>
          <w:spacing w:val="40"/>
        </w:rPr>
        <w:t> </w:t>
      </w:r>
      <w:r>
        <w:rPr/>
        <w:t>Conversely, a much larger value is provided by the Wasserstein distance for the 100m movement of mass compared to the 10m </w:t>
      </w:r>
      <w:r>
        <w:rPr/>
        <w:t>movement. The</w:t>
      </w:r>
      <w:r>
        <w:rPr>
          <w:spacing w:val="1"/>
        </w:rPr>
        <w:t> </w:t>
      </w:r>
      <w:r>
        <w:rPr/>
        <w:t>difference</w:t>
      </w:r>
      <w:r>
        <w:rPr>
          <w:spacing w:val="1"/>
        </w:rPr>
        <w:t> </w:t>
      </w:r>
      <w:r>
        <w:rPr/>
        <w:t>in</w:t>
      </w:r>
      <w:r>
        <w:rPr>
          <w:spacing w:val="2"/>
        </w:rPr>
        <w:t> </w:t>
      </w:r>
      <w:r>
        <w:rPr/>
        <w:t>the</w:t>
      </w:r>
      <w:r>
        <w:rPr>
          <w:spacing w:val="1"/>
        </w:rPr>
        <w:t> </w:t>
      </w:r>
      <w:r>
        <w:rPr/>
        <w:t>Wasserstein</w:t>
      </w:r>
      <w:r>
        <w:rPr>
          <w:spacing w:val="1"/>
        </w:rPr>
        <w:t> </w:t>
      </w:r>
      <w:r>
        <w:rPr/>
        <w:t>distance</w:t>
      </w:r>
      <w:r>
        <w:rPr>
          <w:spacing w:val="2"/>
        </w:rPr>
        <w:t> </w:t>
      </w:r>
      <w:r>
        <w:rPr/>
        <w:t>for</w:t>
      </w:r>
      <w:r>
        <w:rPr>
          <w:spacing w:val="1"/>
        </w:rPr>
        <w:t> </w:t>
      </w:r>
      <w:r>
        <w:rPr/>
        <w:t>these</w:t>
      </w:r>
      <w:r>
        <w:rPr>
          <w:spacing w:val="2"/>
        </w:rPr>
        <w:t> </w:t>
      </w:r>
      <w:r>
        <w:rPr/>
        <w:t>two</w:t>
      </w:r>
      <w:r>
        <w:rPr>
          <w:spacing w:val="1"/>
        </w:rPr>
        <w:t> </w:t>
      </w:r>
      <w:r>
        <w:rPr/>
        <w:t>mass</w:t>
      </w:r>
      <w:r>
        <w:rPr>
          <w:spacing w:val="1"/>
        </w:rPr>
        <w:t> </w:t>
      </w:r>
      <w:r>
        <w:rPr/>
        <w:t>movements</w:t>
      </w:r>
      <w:r>
        <w:rPr>
          <w:spacing w:val="2"/>
        </w:rPr>
        <w:t> </w:t>
      </w:r>
      <w:r>
        <w:rPr/>
        <w:t>is</w:t>
      </w:r>
      <w:r>
        <w:rPr>
          <w:spacing w:val="1"/>
        </w:rPr>
        <w:t> </w:t>
      </w:r>
      <w:r>
        <w:rPr/>
        <w:t>dictated</w:t>
      </w:r>
      <w:r>
        <w:rPr>
          <w:spacing w:val="1"/>
        </w:rPr>
        <w:t> </w:t>
      </w:r>
      <w:r>
        <w:rPr>
          <w:spacing w:val="-5"/>
        </w:rPr>
        <w:t>by</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before="97"/>
        <w:ind w:left="610"/>
      </w:pPr>
      <w:r>
        <w:rPr/>
        <w:t>the</w:t>
      </w:r>
      <w:r>
        <w:rPr>
          <w:spacing w:val="-5"/>
        </w:rPr>
        <w:t> </w:t>
      </w:r>
      <w:r>
        <w:rPr/>
        <w:t>cost</w:t>
      </w:r>
      <w:r>
        <w:rPr>
          <w:spacing w:val="-4"/>
        </w:rPr>
        <w:t> </w:t>
      </w:r>
      <w:r>
        <w:rPr>
          <w:spacing w:val="-2"/>
        </w:rPr>
        <w:t>function.</w:t>
      </w:r>
    </w:p>
    <w:p>
      <w:pPr>
        <w:pStyle w:val="BodyText"/>
        <w:spacing w:before="79"/>
        <w:ind w:left="961"/>
      </w:pPr>
      <w:r>
        <w:rPr/>
        <w:t>The</w:t>
      </w:r>
      <w:r>
        <w:rPr>
          <w:spacing w:val="-12"/>
        </w:rPr>
        <w:t> </w:t>
      </w:r>
      <w:r>
        <w:rPr>
          <w:rFonts w:ascii="Cambria" w:hAnsi="Cambria"/>
        </w:rPr>
        <w:t>p</w:t>
      </w:r>
      <w:r>
        <w:rPr/>
        <w:t>-Wasserstein</w:t>
      </w:r>
      <w:r>
        <w:rPr>
          <w:spacing w:val="-9"/>
        </w:rPr>
        <w:t> </w:t>
      </w:r>
      <w:r>
        <w:rPr/>
        <w:t>distance</w:t>
      </w:r>
      <w:r>
        <w:rPr>
          <w:spacing w:val="-9"/>
        </w:rPr>
        <w:t> </w:t>
      </w:r>
      <w:r>
        <w:rPr/>
        <w:t>(</w:t>
      </w:r>
      <w:r>
        <w:rPr>
          <w:rFonts w:ascii="Cambria" w:hAnsi="Cambria"/>
        </w:rPr>
        <w:t>W</w:t>
      </w:r>
      <w:r>
        <w:rPr>
          <w:rFonts w:ascii="Cambria" w:hAnsi="Cambria"/>
          <w:vertAlign w:val="subscript"/>
        </w:rPr>
        <w:t>p</w:t>
      </w:r>
      <w:r>
        <w:rPr>
          <w:vertAlign w:val="baseline"/>
        </w:rPr>
        <w:t>)</w:t>
      </w:r>
      <w:r>
        <w:rPr>
          <w:spacing w:val="-9"/>
          <w:vertAlign w:val="baseline"/>
        </w:rPr>
        <w:t> </w:t>
      </w:r>
      <w:r>
        <w:rPr>
          <w:vertAlign w:val="baseline"/>
        </w:rPr>
        <w:t>between</w:t>
      </w:r>
      <w:r>
        <w:rPr>
          <w:spacing w:val="-9"/>
          <w:vertAlign w:val="baseline"/>
        </w:rPr>
        <w:t> </w:t>
      </w:r>
      <w:r>
        <w:rPr>
          <w:vertAlign w:val="baseline"/>
        </w:rPr>
        <w:t>two</w:t>
      </w:r>
      <w:r>
        <w:rPr>
          <w:spacing w:val="-9"/>
          <w:vertAlign w:val="baseline"/>
        </w:rPr>
        <w:t> </w:t>
      </w:r>
      <w:r>
        <w:rPr>
          <w:vertAlign w:val="baseline"/>
        </w:rPr>
        <w:t>distributions</w:t>
      </w:r>
      <w:r>
        <w:rPr>
          <w:spacing w:val="-9"/>
          <w:vertAlign w:val="baseline"/>
        </w:rPr>
        <w:t> </w:t>
      </w:r>
      <w:r>
        <w:rPr>
          <w:rFonts w:ascii="Cambria" w:hAnsi="Cambria"/>
          <w:vertAlign w:val="baseline"/>
        </w:rPr>
        <w:t>µ</w:t>
      </w:r>
      <w:r>
        <w:rPr>
          <w:rFonts w:ascii="Cambria" w:hAnsi="Cambria"/>
          <w:spacing w:val="-2"/>
          <w:vertAlign w:val="baseline"/>
        </w:rPr>
        <w:t> </w:t>
      </w:r>
      <w:r>
        <w:rPr>
          <w:vertAlign w:val="baseline"/>
        </w:rPr>
        <w:t>and</w:t>
      </w:r>
      <w:r>
        <w:rPr>
          <w:spacing w:val="-9"/>
          <w:vertAlign w:val="baseline"/>
        </w:rPr>
        <w:t> </w:t>
      </w:r>
      <w:r>
        <w:rPr>
          <w:rFonts w:ascii="Cambria" w:hAnsi="Cambria"/>
          <w:vertAlign w:val="baseline"/>
        </w:rPr>
        <w:t>ν</w:t>
      </w:r>
      <w:r>
        <w:rPr>
          <w:rFonts w:ascii="Cambria" w:hAnsi="Cambria"/>
          <w:spacing w:val="12"/>
          <w:vertAlign w:val="baseline"/>
        </w:rPr>
        <w:t> </w:t>
      </w:r>
      <w:r>
        <w:rPr>
          <w:vertAlign w:val="baseline"/>
        </w:rPr>
        <w:t>is</w:t>
      </w:r>
      <w:r>
        <w:rPr>
          <w:spacing w:val="-9"/>
          <w:vertAlign w:val="baseline"/>
        </w:rPr>
        <w:t> </w:t>
      </w:r>
      <w:r>
        <w:rPr>
          <w:vertAlign w:val="baseline"/>
        </w:rPr>
        <w:t>calculated</w:t>
      </w:r>
      <w:r>
        <w:rPr>
          <w:spacing w:val="-9"/>
          <w:vertAlign w:val="baseline"/>
        </w:rPr>
        <w:t> </w:t>
      </w:r>
      <w:r>
        <w:rPr>
          <w:spacing w:val="-5"/>
          <w:vertAlign w:val="baseline"/>
        </w:rPr>
        <w:t>as</w:t>
      </w:r>
    </w:p>
    <w:p>
      <w:pPr>
        <w:spacing w:after="0"/>
        <w:sectPr>
          <w:pgSz w:w="11910" w:h="16840"/>
          <w:pgMar w:header="1961" w:footer="1428" w:top="2280" w:bottom="1620" w:left="1680" w:right="720"/>
        </w:sectPr>
      </w:pPr>
    </w:p>
    <w:p>
      <w:pPr>
        <w:pStyle w:val="BodyText"/>
        <w:rPr>
          <w:sz w:val="26"/>
        </w:rPr>
      </w:pPr>
    </w:p>
    <w:p>
      <w:pPr>
        <w:pStyle w:val="BodyText"/>
        <w:spacing w:before="157"/>
        <w:jc w:val="right"/>
        <w:rPr>
          <w:rFonts w:ascii="Garamond" w:hAnsi="Garamond"/>
        </w:rPr>
      </w:pPr>
      <w:bookmarkStart w:name="_bookmark137" w:id="239"/>
      <w:bookmarkEnd w:id="239"/>
      <w:r>
        <w:rPr/>
      </w:r>
      <w:r>
        <w:rPr>
          <w:rFonts w:ascii="Cambria" w:hAnsi="Cambria"/>
        </w:rPr>
        <w:t>W</w:t>
      </w:r>
      <w:r>
        <w:rPr>
          <w:rFonts w:ascii="Cambria" w:hAnsi="Cambria"/>
          <w:vertAlign w:val="subscript"/>
        </w:rPr>
        <w:t>p</w:t>
      </w:r>
      <w:r>
        <w:rPr>
          <w:rFonts w:ascii="Garamond" w:hAnsi="Garamond"/>
          <w:vertAlign w:val="baseline"/>
        </w:rPr>
        <w:t>(</w:t>
      </w:r>
      <w:r>
        <w:rPr>
          <w:rFonts w:ascii="Cambria" w:hAnsi="Cambria"/>
          <w:vertAlign w:val="baseline"/>
        </w:rPr>
        <w:t>µ,</w:t>
      </w:r>
      <w:r>
        <w:rPr>
          <w:rFonts w:ascii="Cambria" w:hAnsi="Cambria"/>
          <w:spacing w:val="17"/>
          <w:vertAlign w:val="baseline"/>
        </w:rPr>
        <w:t> </w:t>
      </w:r>
      <w:r>
        <w:rPr>
          <w:rFonts w:ascii="Cambria" w:hAnsi="Cambria"/>
          <w:vertAlign w:val="baseline"/>
        </w:rPr>
        <w:t>ν</w:t>
      </w:r>
      <w:r>
        <w:rPr>
          <w:rFonts w:ascii="Garamond" w:hAnsi="Garamond"/>
          <w:vertAlign w:val="baseline"/>
        </w:rPr>
        <w:t>)</w:t>
      </w:r>
      <w:r>
        <w:rPr>
          <w:rFonts w:ascii="Garamond" w:hAnsi="Garamond"/>
          <w:spacing w:val="58"/>
          <w:vertAlign w:val="baseline"/>
        </w:rPr>
        <w:t> </w:t>
      </w:r>
      <w:r>
        <w:rPr>
          <w:rFonts w:ascii="Garamond" w:hAnsi="Garamond"/>
          <w:spacing w:val="-10"/>
          <w:vertAlign w:val="baseline"/>
        </w:rPr>
        <w:t>=</w:t>
      </w:r>
    </w:p>
    <w:p>
      <w:pPr>
        <w:spacing w:line="240" w:lineRule="auto" w:before="0"/>
        <w:rPr>
          <w:rFonts w:ascii="Garamond"/>
          <w:sz w:val="24"/>
        </w:rPr>
      </w:pPr>
      <w:r>
        <w:rPr/>
        <w:br w:type="column"/>
      </w:r>
      <w:r>
        <w:rPr>
          <w:rFonts w:ascii="Garamond"/>
          <w:sz w:val="24"/>
        </w:rPr>
      </w:r>
    </w:p>
    <w:p>
      <w:pPr>
        <w:pStyle w:val="BodyText"/>
        <w:spacing w:line="230" w:lineRule="exact" w:before="207"/>
        <w:ind w:left="399" w:right="207"/>
        <w:jc w:val="center"/>
        <w:rPr>
          <w:rFonts w:ascii="Garamond"/>
        </w:rPr>
      </w:pPr>
      <w:r>
        <w:rPr>
          <w:rFonts w:ascii="Garamond"/>
          <w:spacing w:val="-5"/>
          <w:w w:val="105"/>
        </w:rPr>
        <w:t>inf</w:t>
      </w:r>
    </w:p>
    <w:p>
      <w:pPr>
        <w:spacing w:line="206" w:lineRule="exact" w:before="0"/>
        <w:ind w:left="232" w:right="23" w:firstLine="0"/>
        <w:jc w:val="center"/>
        <w:rPr>
          <w:rFonts w:ascii="Georgia" w:hAnsi="Georgia"/>
          <w:sz w:val="16"/>
        </w:rPr>
      </w:pPr>
      <w:r>
        <w:rPr>
          <w:rFonts w:ascii="Cambria" w:hAnsi="Cambria"/>
          <w:spacing w:val="-2"/>
          <w:sz w:val="16"/>
        </w:rPr>
        <w:t>γ</w:t>
      </w:r>
      <w:r>
        <w:rPr>
          <w:rFonts w:ascii="Lucida Sans Unicode" w:hAnsi="Lucida Sans Unicode"/>
          <w:spacing w:val="-2"/>
          <w:sz w:val="16"/>
        </w:rPr>
        <w:t>∈</w:t>
      </w:r>
      <w:r>
        <w:rPr>
          <w:rFonts w:ascii="Georgia" w:hAnsi="Georgia"/>
          <w:spacing w:val="-2"/>
          <w:sz w:val="16"/>
        </w:rPr>
        <w:t>Γ(</w:t>
      </w:r>
      <w:r>
        <w:rPr>
          <w:rFonts w:ascii="Cambria" w:hAnsi="Cambria"/>
          <w:spacing w:val="-2"/>
          <w:sz w:val="16"/>
        </w:rPr>
        <w:t>µ,ν</w:t>
      </w:r>
      <w:r>
        <w:rPr>
          <w:rFonts w:ascii="Georgia" w:hAnsi="Georgia"/>
          <w:spacing w:val="-2"/>
          <w:sz w:val="16"/>
        </w:rPr>
        <w:t>)</w:t>
      </w:r>
    </w:p>
    <w:p>
      <w:pPr>
        <w:spacing w:before="135"/>
        <w:ind w:left="-1" w:right="0" w:firstLine="0"/>
        <w:jc w:val="left"/>
        <w:rPr>
          <w:rFonts w:ascii="Cambria" w:hAnsi="Cambria"/>
          <w:sz w:val="16"/>
        </w:rPr>
      </w:pPr>
      <w:r>
        <w:rPr/>
        <w:br w:type="column"/>
      </w:r>
      <w:r>
        <w:rPr>
          <w:rFonts w:ascii="Arial" w:hAnsi="Arial"/>
          <w:spacing w:val="-4"/>
          <w:w w:val="110"/>
          <w:position w:val="54"/>
          <w:sz w:val="24"/>
        </w:rPr>
        <w:t>Z</w:t>
      </w:r>
      <w:r>
        <w:rPr>
          <w:rFonts w:ascii="Cambria" w:hAnsi="Cambria"/>
          <w:spacing w:val="-4"/>
          <w:w w:val="110"/>
          <w:sz w:val="16"/>
        </w:rPr>
        <w:t>M</w:t>
      </w:r>
      <w:r>
        <w:rPr>
          <w:rFonts w:ascii="Lucida Sans Unicode" w:hAnsi="Lucida Sans Unicode"/>
          <w:spacing w:val="-4"/>
          <w:w w:val="110"/>
          <w:sz w:val="16"/>
        </w:rPr>
        <w:t>×</w:t>
      </w:r>
      <w:r>
        <w:rPr>
          <w:rFonts w:ascii="Cambria" w:hAnsi="Cambria"/>
          <w:spacing w:val="-4"/>
          <w:w w:val="110"/>
          <w:sz w:val="16"/>
        </w:rPr>
        <w:t>M</w:t>
      </w:r>
    </w:p>
    <w:p>
      <w:pPr>
        <w:spacing w:line="240" w:lineRule="auto" w:before="10"/>
        <w:rPr>
          <w:rFonts w:ascii="Cambria"/>
          <w:sz w:val="35"/>
        </w:rPr>
      </w:pPr>
      <w:r>
        <w:rPr/>
        <w:br w:type="column"/>
      </w:r>
      <w:r>
        <w:rPr>
          <w:rFonts w:ascii="Cambria"/>
          <w:sz w:val="35"/>
        </w:rPr>
      </w:r>
    </w:p>
    <w:p>
      <w:pPr>
        <w:spacing w:before="1"/>
        <w:ind w:left="26" w:right="0" w:firstLine="0"/>
        <w:jc w:val="left"/>
        <w:rPr>
          <w:rFonts w:ascii="Garamond" w:hAnsi="Garamond"/>
          <w:sz w:val="24"/>
        </w:rPr>
      </w:pPr>
      <w:r>
        <w:rPr/>
        <w:pict>
          <v:shape style="position:absolute;margin-left:382.231995pt;margin-top:10.188554pt;width:4.3pt;height:8pt;mso-position-horizontal-relative:page;mso-position-vertical-relative:paragraph;z-index:-21752320" type="#_x0000_t202" id="docshape142" filled="false" stroked="false">
            <v:textbox inset="0,0,0,0">
              <w:txbxContent>
                <w:p>
                  <w:pPr>
                    <w:spacing w:line="155" w:lineRule="exact" w:before="0"/>
                    <w:ind w:left="0" w:right="0" w:firstLine="0"/>
                    <w:jc w:val="left"/>
                    <w:rPr>
                      <w:rFonts w:ascii="Cambria"/>
                      <w:sz w:val="16"/>
                    </w:rPr>
                  </w:pPr>
                  <w:r>
                    <w:rPr>
                      <w:rFonts w:ascii="Cambria"/>
                      <w:w w:val="95"/>
                      <w:sz w:val="16"/>
                    </w:rPr>
                    <w:t>p</w:t>
                  </w:r>
                </w:p>
              </w:txbxContent>
            </v:textbox>
            <w10:wrap type="none"/>
          </v:shape>
        </w:pict>
      </w:r>
      <w:r>
        <w:rPr>
          <w:rFonts w:ascii="Lucida Sans Unicode" w:hAnsi="Lucida Sans Unicode"/>
          <w:spacing w:val="-2"/>
          <w:sz w:val="24"/>
        </w:rPr>
        <w:t>∥</w:t>
      </w:r>
      <w:r>
        <w:rPr>
          <w:rFonts w:ascii="Georgia" w:hAnsi="Georgia"/>
          <w:b/>
          <w:spacing w:val="-2"/>
          <w:sz w:val="24"/>
        </w:rPr>
        <w:t>z</w:t>
      </w:r>
      <w:r>
        <w:rPr>
          <w:rFonts w:ascii="Georgia" w:hAnsi="Georgia"/>
          <w:b/>
          <w:spacing w:val="-10"/>
          <w:sz w:val="24"/>
        </w:rPr>
        <w:t> </w:t>
      </w:r>
      <w:r>
        <w:rPr>
          <w:rFonts w:ascii="Lucida Sans Unicode" w:hAnsi="Lucida Sans Unicode"/>
          <w:spacing w:val="-2"/>
          <w:sz w:val="24"/>
        </w:rPr>
        <w:t>−</w:t>
      </w:r>
      <w:r>
        <w:rPr>
          <w:rFonts w:ascii="Lucida Sans Unicode" w:hAnsi="Lucida Sans Unicode"/>
          <w:spacing w:val="-23"/>
          <w:sz w:val="24"/>
        </w:rPr>
        <w:t> </w:t>
      </w:r>
      <w:r>
        <w:rPr>
          <w:rFonts w:ascii="Georgia" w:hAnsi="Georgia"/>
          <w:b/>
          <w:spacing w:val="-2"/>
          <w:sz w:val="24"/>
        </w:rPr>
        <w:t>z</w:t>
      </w:r>
      <w:r>
        <w:rPr>
          <w:rFonts w:ascii="Lucida Sans Unicode" w:hAnsi="Lucida Sans Unicode"/>
          <w:spacing w:val="-2"/>
          <w:sz w:val="24"/>
          <w:vertAlign w:val="superscript"/>
        </w:rPr>
        <w:t>′</w:t>
      </w:r>
      <w:r>
        <w:rPr>
          <w:rFonts w:ascii="Lucida Sans Unicode" w:hAnsi="Lucida Sans Unicode"/>
          <w:spacing w:val="-2"/>
          <w:sz w:val="24"/>
          <w:vertAlign w:val="baseline"/>
        </w:rPr>
        <w:t>∥</w:t>
      </w:r>
      <w:r>
        <w:rPr>
          <w:rFonts w:ascii="Cambria" w:hAnsi="Cambria"/>
          <w:spacing w:val="-2"/>
          <w:sz w:val="24"/>
          <w:vertAlign w:val="superscript"/>
        </w:rPr>
        <w:t>p</w:t>
      </w:r>
      <w:r>
        <w:rPr>
          <w:rFonts w:ascii="Cambria" w:hAnsi="Cambria"/>
          <w:spacing w:val="-2"/>
          <w:sz w:val="24"/>
          <w:vertAlign w:val="baseline"/>
        </w:rPr>
        <w:t>γ</w:t>
      </w:r>
      <w:r>
        <w:rPr>
          <w:rFonts w:ascii="Garamond" w:hAnsi="Garamond"/>
          <w:spacing w:val="-2"/>
          <w:sz w:val="24"/>
          <w:vertAlign w:val="baseline"/>
        </w:rPr>
        <w:t>(</w:t>
      </w:r>
      <w:r>
        <w:rPr>
          <w:rFonts w:ascii="Cambria" w:hAnsi="Cambria"/>
          <w:spacing w:val="-2"/>
          <w:sz w:val="24"/>
          <w:vertAlign w:val="baseline"/>
        </w:rPr>
        <w:t>d</w:t>
      </w:r>
      <w:r>
        <w:rPr>
          <w:rFonts w:ascii="Georgia" w:hAnsi="Georgia"/>
          <w:b/>
          <w:spacing w:val="-2"/>
          <w:sz w:val="24"/>
          <w:vertAlign w:val="baseline"/>
        </w:rPr>
        <w:t>z</w:t>
      </w:r>
      <w:r>
        <w:rPr>
          <w:rFonts w:ascii="Cambria" w:hAnsi="Cambria"/>
          <w:spacing w:val="-2"/>
          <w:sz w:val="24"/>
          <w:vertAlign w:val="baseline"/>
        </w:rPr>
        <w:t>,</w:t>
      </w:r>
      <w:r>
        <w:rPr>
          <w:rFonts w:ascii="Cambria" w:hAnsi="Cambria"/>
          <w:spacing w:val="-13"/>
          <w:sz w:val="24"/>
          <w:vertAlign w:val="baseline"/>
        </w:rPr>
        <w:t> </w:t>
      </w:r>
      <w:r>
        <w:rPr>
          <w:rFonts w:ascii="Cambria" w:hAnsi="Cambria"/>
          <w:spacing w:val="-4"/>
          <w:sz w:val="24"/>
          <w:vertAlign w:val="baseline"/>
        </w:rPr>
        <w:t>d</w:t>
      </w:r>
      <w:r>
        <w:rPr>
          <w:rFonts w:ascii="Georgia" w:hAnsi="Georgia"/>
          <w:b/>
          <w:spacing w:val="-4"/>
          <w:sz w:val="24"/>
          <w:vertAlign w:val="baseline"/>
        </w:rPr>
        <w:t>z</w:t>
      </w:r>
      <w:r>
        <w:rPr>
          <w:rFonts w:ascii="Lucida Sans Unicode" w:hAnsi="Lucida Sans Unicode"/>
          <w:spacing w:val="-4"/>
          <w:sz w:val="24"/>
          <w:vertAlign w:val="superscript"/>
        </w:rPr>
        <w:t>′</w:t>
      </w:r>
      <w:r>
        <w:rPr>
          <w:rFonts w:ascii="Garamond" w:hAnsi="Garamond"/>
          <w:spacing w:val="-4"/>
          <w:sz w:val="24"/>
          <w:vertAlign w:val="baseline"/>
        </w:rPr>
        <w:t>)</w:t>
      </w:r>
    </w:p>
    <w:p>
      <w:pPr>
        <w:spacing w:line="240" w:lineRule="auto" w:before="0"/>
        <w:rPr>
          <w:rFonts w:ascii="Garamond"/>
          <w:sz w:val="12"/>
        </w:rPr>
      </w:pPr>
      <w:r>
        <w:rPr/>
        <w:br w:type="column"/>
      </w:r>
      <w:r>
        <w:rPr>
          <w:rFonts w:ascii="Garamond"/>
          <w:sz w:val="12"/>
        </w:rPr>
      </w:r>
    </w:p>
    <w:p>
      <w:pPr>
        <w:pStyle w:val="BodyText"/>
        <w:spacing w:before="1"/>
        <w:rPr>
          <w:rFonts w:ascii="Garamond"/>
          <w:sz w:val="14"/>
        </w:rPr>
      </w:pPr>
    </w:p>
    <w:p>
      <w:pPr>
        <w:spacing w:before="0"/>
        <w:ind w:left="128" w:right="0" w:firstLine="0"/>
        <w:jc w:val="left"/>
        <w:rPr>
          <w:rFonts w:ascii="Bookman Old Style"/>
          <w:b w:val="0"/>
          <w:sz w:val="12"/>
        </w:rPr>
      </w:pPr>
      <w:r>
        <w:rPr>
          <w:rFonts w:ascii="Bookman Old Style"/>
          <w:b w:val="0"/>
          <w:w w:val="98"/>
          <w:sz w:val="12"/>
        </w:rPr>
        <w:t>1</w:t>
      </w:r>
    </w:p>
    <w:p>
      <w:pPr>
        <w:pStyle w:val="BodyText"/>
        <w:spacing w:line="20" w:lineRule="exact"/>
        <w:ind w:left="126"/>
        <w:rPr>
          <w:rFonts w:ascii="Bookman Old Style"/>
          <w:sz w:val="2"/>
        </w:rPr>
      </w:pPr>
      <w:r>
        <w:rPr>
          <w:rFonts w:ascii="Bookman Old Style"/>
          <w:sz w:val="2"/>
        </w:rPr>
        <w:pict>
          <v:group style="width:3.85pt;height:.4pt;mso-position-horizontal-relative:char;mso-position-vertical-relative:line" id="docshapegroup143" coordorigin="0,0" coordsize="77,8">
            <v:line style="position:absolute" from="0,4" to="77,4" stroked="true" strokeweight=".359pt" strokecolor="#000000">
              <v:stroke dashstyle="solid"/>
            </v:line>
          </v:group>
        </w:pict>
      </w:r>
      <w:r>
        <w:rPr>
          <w:rFonts w:ascii="Bookman Old Style"/>
          <w:sz w:val="2"/>
        </w:rPr>
      </w:r>
    </w:p>
    <w:p>
      <w:pPr>
        <w:pStyle w:val="BodyText"/>
        <w:tabs>
          <w:tab w:pos="1596" w:val="left" w:leader="none"/>
        </w:tabs>
        <w:spacing w:before="2"/>
        <w:ind w:left="237"/>
      </w:pPr>
      <w:r>
        <w:rPr/>
        <w:pict>
          <v:shape style="position:absolute;margin-left:434.979004pt;margin-top:-10.734083pt;width:7.15pt;height:44.4pt;mso-position-horizontal-relative:page;mso-position-vertical-relative:paragraph;z-index:15793152" type="#_x0000_t202" id="docshape144" filled="false" stroked="false">
            <v:textbox inset="0,0,0,0">
              <w:txbxContent>
                <w:p>
                  <w:pPr>
                    <w:spacing w:line="230" w:lineRule="exact" w:before="0"/>
                    <w:ind w:left="0" w:right="0" w:firstLine="0"/>
                    <w:jc w:val="left"/>
                    <w:rPr>
                      <w:rFonts w:ascii="Arial"/>
                      <w:sz w:val="24"/>
                    </w:rPr>
                  </w:pPr>
                  <w:r>
                    <w:rPr>
                      <w:rFonts w:ascii="Arial"/>
                      <w:w w:val="214"/>
                      <w:sz w:val="24"/>
                    </w:rPr>
                    <w:t> </w:t>
                  </w:r>
                </w:p>
              </w:txbxContent>
            </v:textbox>
            <w10:wrap type="none"/>
          </v:shape>
        </w:pict>
      </w:r>
      <w:r>
        <w:rPr/>
        <w:pict>
          <v:shape style="position:absolute;margin-left:443.315002pt;margin-top:-.448884pt;width:3.85pt;height:6pt;mso-position-horizontal-relative:page;mso-position-vertical-relative:paragraph;z-index:15793664" type="#_x0000_t202" id="docshape145" filled="false" stroked="false">
            <v:textbox inset="0,0,0,0">
              <w:txbxContent>
                <w:p>
                  <w:pPr>
                    <w:spacing w:line="116" w:lineRule="exact" w:before="0"/>
                    <w:ind w:left="0" w:right="0" w:firstLine="0"/>
                    <w:jc w:val="left"/>
                    <w:rPr>
                      <w:rFonts w:ascii="Cambria"/>
                      <w:sz w:val="12"/>
                    </w:rPr>
                  </w:pPr>
                  <w:r>
                    <w:rPr>
                      <w:rFonts w:ascii="Cambria"/>
                      <w:w w:val="115"/>
                      <w:sz w:val="12"/>
                    </w:rPr>
                    <w:t>p</w:t>
                  </w:r>
                </w:p>
              </w:txbxContent>
            </v:textbox>
            <w10:wrap type="none"/>
          </v:shape>
        </w:pict>
      </w:r>
      <w:r>
        <w:rPr>
          <w:rFonts w:ascii="Cambria"/>
          <w:spacing w:val="-10"/>
          <w:w w:val="110"/>
        </w:rPr>
        <w:t>,</w:t>
      </w:r>
      <w:r>
        <w:rPr>
          <w:rFonts w:ascii="Cambria"/>
        </w:rPr>
        <w:tab/>
      </w:r>
      <w:r>
        <w:rPr>
          <w:spacing w:val="-2"/>
          <w:w w:val="110"/>
        </w:rPr>
        <w:t>(5.4)</w:t>
      </w:r>
    </w:p>
    <w:p>
      <w:pPr>
        <w:spacing w:after="0"/>
        <w:sectPr>
          <w:type w:val="continuous"/>
          <w:pgSz w:w="11910" w:h="16840"/>
          <w:pgMar w:header="1961" w:footer="1428" w:top="1920" w:bottom="280" w:left="1680" w:right="720"/>
          <w:cols w:num="5" w:equalWidth="0">
            <w:col w:w="3486" w:space="40"/>
            <w:col w:w="899" w:space="39"/>
            <w:col w:w="607" w:space="40"/>
            <w:col w:w="1908" w:space="40"/>
            <w:col w:w="2451"/>
          </w:cols>
        </w:sectPr>
      </w:pPr>
    </w:p>
    <w:p>
      <w:pPr>
        <w:pStyle w:val="BodyText"/>
        <w:spacing w:before="6"/>
        <w:rPr>
          <w:sz w:val="10"/>
        </w:rPr>
      </w:pPr>
    </w:p>
    <w:p>
      <w:pPr>
        <w:pStyle w:val="BodyText"/>
        <w:spacing w:line="364" w:lineRule="exact" w:before="58"/>
        <w:ind w:left="610"/>
        <w:jc w:val="both"/>
        <w:rPr>
          <w:rFonts w:ascii="Garamond" w:hAnsi="Garamond"/>
        </w:rPr>
      </w:pPr>
      <w:r>
        <w:rPr/>
        <w:t>where</w:t>
      </w:r>
      <w:r>
        <w:rPr>
          <w:spacing w:val="-7"/>
        </w:rPr>
        <w:t> </w:t>
      </w:r>
      <w:r>
        <w:rPr>
          <w:rFonts w:ascii="Cambria" w:hAnsi="Cambria"/>
        </w:rPr>
        <w:t>M</w:t>
      </w:r>
      <w:r>
        <w:rPr>
          <w:rFonts w:ascii="Cambria" w:hAnsi="Cambria"/>
          <w:spacing w:val="25"/>
        </w:rPr>
        <w:t> </w:t>
      </w:r>
      <w:r>
        <w:rPr/>
        <w:t>is</w:t>
      </w:r>
      <w:r>
        <w:rPr>
          <w:spacing w:val="-7"/>
        </w:rPr>
        <w:t> </w:t>
      </w:r>
      <w:r>
        <w:rPr/>
        <w:t>a</w:t>
      </w:r>
      <w:r>
        <w:rPr>
          <w:spacing w:val="-6"/>
        </w:rPr>
        <w:t> </w:t>
      </w:r>
      <w:r>
        <w:rPr/>
        <w:t>2-dimensional</w:t>
      </w:r>
      <w:r>
        <w:rPr>
          <w:spacing w:val="-7"/>
        </w:rPr>
        <w:t> </w:t>
      </w:r>
      <w:r>
        <w:rPr/>
        <w:t>space</w:t>
      </w:r>
      <w:r>
        <w:rPr>
          <w:spacing w:val="-6"/>
        </w:rPr>
        <w:t> </w:t>
      </w:r>
      <w:r>
        <w:rPr/>
        <w:t>of</w:t>
      </w:r>
      <w:r>
        <w:rPr>
          <w:spacing w:val="-7"/>
        </w:rPr>
        <w:t> </w:t>
      </w:r>
      <w:r>
        <w:rPr/>
        <w:t>coordinates</w:t>
      </w:r>
      <w:r>
        <w:rPr>
          <w:spacing w:val="-6"/>
        </w:rPr>
        <w:t> </w:t>
      </w:r>
      <w:r>
        <w:rPr/>
        <w:t>on</w:t>
      </w:r>
      <w:r>
        <w:rPr>
          <w:spacing w:val="-7"/>
        </w:rPr>
        <w:t> </w:t>
      </w:r>
      <w:r>
        <w:rPr/>
        <w:t>the</w:t>
      </w:r>
      <w:r>
        <w:rPr>
          <w:spacing w:val="-6"/>
        </w:rPr>
        <w:t> </w:t>
      </w:r>
      <w:r>
        <w:rPr/>
        <w:t>pitch,</w:t>
      </w:r>
      <w:r>
        <w:rPr>
          <w:spacing w:val="-6"/>
        </w:rPr>
        <w:t> </w:t>
      </w:r>
      <w:r>
        <w:rPr>
          <w:rFonts w:ascii="Cambria" w:hAnsi="Cambria"/>
        </w:rPr>
        <w:t>p</w:t>
      </w:r>
      <w:r>
        <w:rPr>
          <w:rFonts w:ascii="Cambria" w:hAnsi="Cambria"/>
          <w:spacing w:val="12"/>
        </w:rPr>
        <w:t> </w:t>
      </w:r>
      <w:r>
        <w:rPr>
          <w:rFonts w:ascii="Lucida Sans Unicode" w:hAnsi="Lucida Sans Unicode"/>
        </w:rPr>
        <w:t>≥</w:t>
      </w:r>
      <w:r>
        <w:rPr>
          <w:rFonts w:ascii="Lucida Sans Unicode" w:hAnsi="Lucida Sans Unicode"/>
          <w:spacing w:val="-10"/>
        </w:rPr>
        <w:t> </w:t>
      </w:r>
      <w:r>
        <w:rPr>
          <w:rFonts w:ascii="Garamond" w:hAnsi="Garamond"/>
        </w:rPr>
        <w:t>1</w:t>
      </w:r>
      <w:r>
        <w:rPr/>
        <w:t>,</w:t>
      </w:r>
      <w:r>
        <w:rPr>
          <w:spacing w:val="-6"/>
        </w:rPr>
        <w:t> </w:t>
      </w:r>
      <w:r>
        <w:rPr>
          <w:rFonts w:ascii="Lucida Sans Unicode" w:hAnsi="Lucida Sans Unicode"/>
        </w:rPr>
        <w:t>∥</w:t>
      </w:r>
      <w:r>
        <w:rPr>
          <w:rFonts w:ascii="Garamond" w:hAnsi="Garamond"/>
        </w:rPr>
        <w:t>(</w:t>
      </w:r>
      <w:r>
        <w:rPr>
          <w:rFonts w:ascii="Cambria" w:hAnsi="Cambria"/>
        </w:rPr>
        <w:t>x,</w:t>
      </w:r>
      <w:r>
        <w:rPr>
          <w:rFonts w:ascii="Cambria" w:hAnsi="Cambria"/>
          <w:spacing w:val="-13"/>
        </w:rPr>
        <w:t> </w:t>
      </w:r>
      <w:r>
        <w:rPr>
          <w:rFonts w:ascii="Cambria" w:hAnsi="Cambria"/>
        </w:rPr>
        <w:t>y</w:t>
      </w:r>
      <w:r>
        <w:rPr>
          <w:rFonts w:ascii="Garamond" w:hAnsi="Garamond"/>
        </w:rPr>
        <w:t>)</w:t>
      </w:r>
      <w:r>
        <w:rPr>
          <w:rFonts w:ascii="Lucida Sans Unicode" w:hAnsi="Lucida Sans Unicode"/>
        </w:rPr>
        <w:t>∥</w:t>
      </w:r>
      <w:r>
        <w:rPr>
          <w:rFonts w:ascii="Cambria" w:hAnsi="Cambria"/>
          <w:vertAlign w:val="subscript"/>
        </w:rPr>
        <w:t>p</w:t>
      </w:r>
      <w:r>
        <w:rPr>
          <w:rFonts w:ascii="Cambria" w:hAnsi="Cambria"/>
          <w:spacing w:val="22"/>
          <w:vertAlign w:val="baseline"/>
        </w:rPr>
        <w:t> </w:t>
      </w:r>
      <w:r>
        <w:rPr>
          <w:rFonts w:ascii="Garamond" w:hAnsi="Garamond"/>
          <w:vertAlign w:val="baseline"/>
        </w:rPr>
        <w:t>=</w:t>
      </w:r>
      <w:r>
        <w:rPr>
          <w:rFonts w:ascii="Garamond" w:hAnsi="Garamond"/>
          <w:spacing w:val="6"/>
          <w:vertAlign w:val="baseline"/>
        </w:rPr>
        <w:t> </w:t>
      </w:r>
      <w:r>
        <w:rPr>
          <w:rFonts w:ascii="Garamond" w:hAnsi="Garamond"/>
          <w:vertAlign w:val="baseline"/>
        </w:rPr>
        <w:t>(</w:t>
      </w:r>
      <w:r>
        <w:rPr>
          <w:rFonts w:ascii="Lucida Sans Unicode" w:hAnsi="Lucida Sans Unicode"/>
          <w:vertAlign w:val="baseline"/>
        </w:rPr>
        <w:t>|</w:t>
      </w:r>
      <w:r>
        <w:rPr>
          <w:rFonts w:ascii="Cambria" w:hAnsi="Cambria"/>
          <w:vertAlign w:val="baseline"/>
        </w:rPr>
        <w:t>x</w:t>
      </w:r>
      <w:r>
        <w:rPr>
          <w:rFonts w:ascii="Lucida Sans Unicode" w:hAnsi="Lucida Sans Unicode"/>
          <w:vertAlign w:val="baseline"/>
        </w:rPr>
        <w:t>|</w:t>
      </w:r>
      <w:r>
        <w:rPr>
          <w:rFonts w:ascii="Cambria" w:hAnsi="Cambria"/>
          <w:vertAlign w:val="superscript"/>
        </w:rPr>
        <w:t>p</w:t>
      </w:r>
      <w:r>
        <w:rPr>
          <w:rFonts w:ascii="Cambria" w:hAnsi="Cambria"/>
          <w:spacing w:val="-10"/>
          <w:vertAlign w:val="baseline"/>
        </w:rPr>
        <w:t> </w:t>
      </w:r>
      <w:r>
        <w:rPr>
          <w:rFonts w:ascii="Garamond" w:hAnsi="Garamond"/>
          <w:spacing w:val="-10"/>
          <w:vertAlign w:val="baseline"/>
        </w:rPr>
        <w:t>+</w:t>
      </w:r>
    </w:p>
    <w:p>
      <w:pPr>
        <w:pStyle w:val="BodyText"/>
        <w:spacing w:line="244" w:lineRule="auto"/>
        <w:ind w:left="610" w:right="389"/>
        <w:jc w:val="both"/>
      </w:pPr>
      <w:r>
        <w:rPr>
          <w:rFonts w:ascii="Lucida Sans Unicode" w:hAnsi="Lucida Sans Unicode"/>
        </w:rPr>
        <w:t>|</w:t>
      </w:r>
      <w:r>
        <w:rPr>
          <w:rFonts w:ascii="Cambria" w:hAnsi="Cambria"/>
        </w:rPr>
        <w:t>y</w:t>
      </w:r>
      <w:r>
        <w:rPr>
          <w:rFonts w:ascii="Lucida Sans Unicode" w:hAnsi="Lucida Sans Unicode"/>
        </w:rPr>
        <w:t>|</w:t>
      </w:r>
      <w:r>
        <w:rPr>
          <w:rFonts w:ascii="Cambria" w:hAnsi="Cambria"/>
          <w:vertAlign w:val="superscript"/>
        </w:rPr>
        <w:t>p</w:t>
      </w:r>
      <w:r>
        <w:rPr>
          <w:rFonts w:ascii="Garamond" w:hAnsi="Garamond"/>
          <w:vertAlign w:val="baseline"/>
        </w:rPr>
        <w:t>)</w:t>
      </w:r>
      <w:r>
        <w:rPr>
          <w:rFonts w:ascii="Georgia" w:hAnsi="Georgia"/>
          <w:vertAlign w:val="superscript"/>
        </w:rPr>
        <w:t>1</w:t>
      </w:r>
      <w:r>
        <w:rPr>
          <w:rFonts w:ascii="Cambria" w:hAnsi="Cambria"/>
          <w:vertAlign w:val="superscript"/>
        </w:rPr>
        <w:t>/p</w:t>
      </w:r>
      <w:r>
        <w:rPr>
          <w:rFonts w:ascii="Cambria" w:hAnsi="Cambria"/>
          <w:vertAlign w:val="baseline"/>
        </w:rPr>
        <w:t> </w:t>
      </w:r>
      <w:r>
        <w:rPr>
          <w:vertAlign w:val="baseline"/>
        </w:rPr>
        <w:t>is the </w:t>
      </w:r>
      <w:r>
        <w:rPr>
          <w:rFonts w:ascii="Cambria" w:hAnsi="Cambria"/>
          <w:vertAlign w:val="baseline"/>
        </w:rPr>
        <w:t>L</w:t>
      </w:r>
      <w:r>
        <w:rPr>
          <w:rFonts w:ascii="Cambria" w:hAnsi="Cambria"/>
          <w:vertAlign w:val="subscript"/>
        </w:rPr>
        <w:t>p</w:t>
      </w:r>
      <w:r>
        <w:rPr>
          <w:rFonts w:ascii="Cambria" w:hAnsi="Cambria"/>
          <w:vertAlign w:val="baseline"/>
        </w:rPr>
        <w:t> </w:t>
      </w:r>
      <w:r>
        <w:rPr>
          <w:vertAlign w:val="baseline"/>
        </w:rPr>
        <w:t>norm</w:t>
      </w:r>
      <w:hyperlink w:history="true" w:anchor="_bookmark0">
        <w:r>
          <w:rPr>
            <w:color w:val="0000FF"/>
            <w:vertAlign w:val="superscript"/>
          </w:rPr>
          <w:t>1</w:t>
        </w:r>
      </w:hyperlink>
      <w:r>
        <w:rPr>
          <w:color w:val="0000FF"/>
          <w:vertAlign w:val="baseline"/>
        </w:rPr>
        <w:t> </w:t>
      </w:r>
      <w:r>
        <w:rPr>
          <w:vertAlign w:val="baseline"/>
        </w:rPr>
        <w:t>(the cost function) and </w:t>
      </w:r>
      <w:r>
        <w:rPr>
          <w:rFonts w:ascii="Garamond" w:hAnsi="Garamond"/>
          <w:vertAlign w:val="baseline"/>
        </w:rPr>
        <w:t>Γ(</w:t>
      </w:r>
      <w:r>
        <w:rPr>
          <w:rFonts w:ascii="Cambria" w:hAnsi="Cambria"/>
          <w:vertAlign w:val="baseline"/>
        </w:rPr>
        <w:t>µ,</w:t>
      </w:r>
      <w:r>
        <w:rPr>
          <w:rFonts w:ascii="Cambria" w:hAnsi="Cambria"/>
          <w:spacing w:val="-12"/>
          <w:vertAlign w:val="baseline"/>
        </w:rPr>
        <w:t> </w:t>
      </w:r>
      <w:r>
        <w:rPr>
          <w:rFonts w:ascii="Cambria" w:hAnsi="Cambria"/>
          <w:vertAlign w:val="baseline"/>
        </w:rPr>
        <w:t>ν</w:t>
      </w:r>
      <w:r>
        <w:rPr>
          <w:rFonts w:ascii="Garamond" w:hAnsi="Garamond"/>
          <w:vertAlign w:val="baseline"/>
        </w:rPr>
        <w:t>) </w:t>
      </w:r>
      <w:r>
        <w:rPr>
          <w:vertAlign w:val="baseline"/>
        </w:rPr>
        <w:t>is the set of all couplings of distributions </w:t>
      </w:r>
      <w:r>
        <w:rPr>
          <w:rFonts w:ascii="Cambria" w:hAnsi="Cambria"/>
          <w:vertAlign w:val="baseline"/>
        </w:rPr>
        <w:t>µ </w:t>
      </w:r>
      <w:r>
        <w:rPr>
          <w:vertAlign w:val="baseline"/>
        </w:rPr>
        <w:t>and </w:t>
      </w:r>
      <w:r>
        <w:rPr>
          <w:rFonts w:ascii="Cambria" w:hAnsi="Cambria"/>
          <w:vertAlign w:val="baseline"/>
        </w:rPr>
        <w:t>ν</w:t>
      </w:r>
      <w:r>
        <w:rPr>
          <w:vertAlign w:val="baseline"/>
        </w:rPr>
        <w:t>, i.e., the set of all joint probability distributions on </w:t>
      </w:r>
      <w:r>
        <w:rPr>
          <w:rFonts w:ascii="Cambria" w:hAnsi="Cambria"/>
          <w:vertAlign w:val="baseline"/>
        </w:rPr>
        <w:t>M </w:t>
      </w:r>
      <w:r>
        <w:rPr>
          <w:rFonts w:ascii="Lucida Sans Unicode" w:hAnsi="Lucida Sans Unicode"/>
          <w:vertAlign w:val="baseline"/>
        </w:rPr>
        <w:t>×</w:t>
      </w:r>
      <w:r>
        <w:rPr>
          <w:rFonts w:ascii="Lucida Sans Unicode" w:hAnsi="Lucida Sans Unicode"/>
          <w:spacing w:val="-8"/>
          <w:vertAlign w:val="baseline"/>
        </w:rPr>
        <w:t> </w:t>
      </w:r>
      <w:r>
        <w:rPr>
          <w:rFonts w:ascii="Cambria" w:hAnsi="Cambria"/>
          <w:vertAlign w:val="baseline"/>
        </w:rPr>
        <w:t>M</w:t>
      </w:r>
      <w:r>
        <w:rPr>
          <w:rFonts w:ascii="Cambria" w:hAnsi="Cambria"/>
          <w:spacing w:val="40"/>
          <w:vertAlign w:val="baseline"/>
        </w:rPr>
        <w:t> </w:t>
      </w:r>
      <w:r>
        <w:rPr>
          <w:vertAlign w:val="baseline"/>
        </w:rPr>
        <w:t>with marginals </w:t>
      </w:r>
      <w:r>
        <w:rPr>
          <w:rFonts w:ascii="Cambria" w:hAnsi="Cambria"/>
          <w:vertAlign w:val="baseline"/>
        </w:rPr>
        <w:t>µ </w:t>
      </w:r>
      <w:r>
        <w:rPr>
          <w:vertAlign w:val="baseline"/>
        </w:rPr>
        <w:t>and </w:t>
      </w:r>
      <w:r>
        <w:rPr>
          <w:rFonts w:ascii="Cambria" w:hAnsi="Cambria"/>
          <w:vertAlign w:val="baseline"/>
        </w:rPr>
        <w:t>ν</w:t>
      </w:r>
      <w:r>
        <w:rPr>
          <w:vertAlign w:val="baseline"/>
        </w:rPr>
        <w:t>.</w:t>
      </w:r>
    </w:p>
    <w:p>
      <w:pPr>
        <w:pStyle w:val="BodyText"/>
        <w:spacing w:line="358" w:lineRule="exact" w:before="8"/>
        <w:ind w:left="610" w:right="389" w:firstLine="351"/>
        <w:jc w:val="both"/>
      </w:pPr>
      <w:r>
        <w:rPr/>
        <w:t>The </w:t>
      </w:r>
      <w:r>
        <w:rPr>
          <w:rFonts w:ascii="Cambria" w:hAnsi="Cambria"/>
        </w:rPr>
        <w:t>p</w:t>
      </w:r>
      <w:r>
        <w:rPr/>
        <w:t>-Wasserstein distance is closely related to optimal transport planning </w:t>
      </w:r>
      <w:r>
        <w:rPr/>
        <w:t>(</w:t>
      </w:r>
      <w:hyperlink w:history="true" w:anchor="_bookmark306">
        <w:r>
          <w:rPr>
            <w:color w:val="FF0000"/>
          </w:rPr>
          <w:t>Villani</w:t>
        </w:r>
      </w:hyperlink>
      <w:r>
        <w:rPr/>
        <w:t>, </w:t>
      </w:r>
      <w:hyperlink w:history="true" w:anchor="_bookmark306">
        <w:r>
          <w:rPr>
            <w:color w:val="FF0000"/>
          </w:rPr>
          <w:t>2003</w:t>
        </w:r>
      </w:hyperlink>
      <w:r>
        <w:rPr/>
        <w:t>). The</w:t>
      </w:r>
      <w:r>
        <w:rPr>
          <w:spacing w:val="-7"/>
        </w:rPr>
        <w:t> </w:t>
      </w:r>
      <w:r>
        <w:rPr/>
        <w:t>optimal</w:t>
      </w:r>
      <w:r>
        <w:rPr>
          <w:spacing w:val="-7"/>
        </w:rPr>
        <w:t> </w:t>
      </w:r>
      <w:r>
        <w:rPr/>
        <w:t>transport</w:t>
      </w:r>
      <w:r>
        <w:rPr>
          <w:spacing w:val="-7"/>
        </w:rPr>
        <w:t> </w:t>
      </w:r>
      <w:r>
        <w:rPr/>
        <w:t>plan</w:t>
      </w:r>
      <w:r>
        <w:rPr>
          <w:spacing w:val="-7"/>
        </w:rPr>
        <w:t> </w:t>
      </w:r>
      <w:r>
        <w:rPr/>
        <w:t>describes</w:t>
      </w:r>
      <w:r>
        <w:rPr>
          <w:spacing w:val="-7"/>
        </w:rPr>
        <w:t> </w:t>
      </w:r>
      <w:r>
        <w:rPr/>
        <w:t>the</w:t>
      </w:r>
      <w:r>
        <w:rPr>
          <w:spacing w:val="-7"/>
        </w:rPr>
        <w:t> </w:t>
      </w:r>
      <w:r>
        <w:rPr/>
        <w:t>movement</w:t>
      </w:r>
      <w:r>
        <w:rPr>
          <w:spacing w:val="-7"/>
        </w:rPr>
        <w:t> </w:t>
      </w:r>
      <w:r>
        <w:rPr/>
        <w:t>of</w:t>
      </w:r>
      <w:r>
        <w:rPr>
          <w:spacing w:val="-7"/>
        </w:rPr>
        <w:t> </w:t>
      </w:r>
      <w:r>
        <w:rPr/>
        <w:t>mass</w:t>
      </w:r>
      <w:r>
        <w:rPr>
          <w:spacing w:val="-7"/>
        </w:rPr>
        <w:t> </w:t>
      </w:r>
      <w:r>
        <w:rPr/>
        <w:t>from</w:t>
      </w:r>
      <w:r>
        <w:rPr>
          <w:spacing w:val="-7"/>
        </w:rPr>
        <w:t> </w:t>
      </w:r>
      <w:r>
        <w:rPr/>
        <w:t>distribution</w:t>
      </w:r>
      <w:r>
        <w:rPr>
          <w:spacing w:val="-7"/>
        </w:rPr>
        <w:t> </w:t>
      </w:r>
      <w:r>
        <w:rPr>
          <w:rFonts w:ascii="Cambria" w:hAnsi="Cambria"/>
        </w:rPr>
        <w:t>µ </w:t>
      </w:r>
      <w:r>
        <w:rPr/>
        <w:t>to distribution </w:t>
      </w:r>
      <w:r>
        <w:rPr>
          <w:rFonts w:ascii="Cambria" w:hAnsi="Cambria"/>
        </w:rPr>
        <w:t>ν </w:t>
      </w:r>
      <w:r>
        <w:rPr/>
        <w:t>with minimal cost, subject to a cost function, </w:t>
      </w:r>
      <w:r>
        <w:rPr>
          <w:rFonts w:ascii="Cambria" w:hAnsi="Cambria"/>
        </w:rPr>
        <w:t>c</w:t>
      </w:r>
      <w:r>
        <w:rPr>
          <w:rFonts w:ascii="Garamond" w:hAnsi="Garamond"/>
        </w:rPr>
        <w:t>(</w:t>
      </w:r>
      <w:r>
        <w:rPr>
          <w:rFonts w:ascii="Georgia" w:hAnsi="Georgia"/>
          <w:b/>
        </w:rPr>
        <w:t>z</w:t>
      </w:r>
      <w:r>
        <w:rPr>
          <w:rFonts w:ascii="Cambria" w:hAnsi="Cambria"/>
        </w:rPr>
        <w:t>,</w:t>
      </w:r>
      <w:r>
        <w:rPr>
          <w:rFonts w:ascii="Cambria" w:hAnsi="Cambria"/>
          <w:spacing w:val="-14"/>
        </w:rPr>
        <w:t> </w:t>
      </w:r>
      <w:r>
        <w:rPr>
          <w:rFonts w:ascii="Georgia" w:hAnsi="Georgia"/>
          <w:b/>
        </w:rPr>
        <w:t>z</w:t>
      </w:r>
      <w:r>
        <w:rPr>
          <w:rFonts w:ascii="Lucida Sans Unicode" w:hAnsi="Lucida Sans Unicode"/>
          <w:vertAlign w:val="superscript"/>
        </w:rPr>
        <w:t>′</w:t>
      </w:r>
      <w:r>
        <w:rPr>
          <w:rFonts w:ascii="Garamond" w:hAnsi="Garamond"/>
          <w:vertAlign w:val="baseline"/>
        </w:rPr>
        <w:t>) </w:t>
      </w:r>
      <w:r>
        <w:rPr>
          <w:rFonts w:ascii="Lucida Sans Unicode" w:hAnsi="Lucida Sans Unicode"/>
          <w:vertAlign w:val="baseline"/>
        </w:rPr>
        <w:t>1→ </w:t>
      </w:r>
      <w:r>
        <w:rPr>
          <w:rFonts w:ascii="Garamond" w:hAnsi="Garamond"/>
          <w:vertAlign w:val="baseline"/>
        </w:rPr>
        <w:t>[0</w:t>
      </w:r>
      <w:r>
        <w:rPr>
          <w:rFonts w:ascii="Cambria" w:hAnsi="Cambria"/>
          <w:vertAlign w:val="baseline"/>
        </w:rPr>
        <w:t>,</w:t>
      </w:r>
      <w:r>
        <w:rPr>
          <w:rFonts w:ascii="Cambria" w:hAnsi="Cambria"/>
          <w:spacing w:val="-14"/>
          <w:vertAlign w:val="baseline"/>
        </w:rPr>
        <w:t> </w:t>
      </w:r>
      <w:r>
        <w:rPr>
          <w:rFonts w:ascii="Lucida Sans Unicode" w:hAnsi="Lucida Sans Unicode"/>
          <w:vertAlign w:val="baseline"/>
        </w:rPr>
        <w:t>∞</w:t>
      </w:r>
      <w:r>
        <w:rPr>
          <w:rFonts w:ascii="Garamond" w:hAnsi="Garamond"/>
          <w:vertAlign w:val="baseline"/>
        </w:rPr>
        <w:t>)</w:t>
      </w:r>
      <w:r>
        <w:rPr>
          <w:vertAlign w:val="baseline"/>
        </w:rPr>
        <w:t>.</w:t>
      </w:r>
      <w:r>
        <w:rPr>
          <w:spacing w:val="40"/>
          <w:vertAlign w:val="baseline"/>
        </w:rPr>
        <w:t> </w:t>
      </w:r>
      <w:r>
        <w:rPr>
          <w:vertAlign w:val="baseline"/>
        </w:rPr>
        <w:t>The </w:t>
      </w:r>
      <w:r>
        <w:rPr>
          <w:rFonts w:ascii="Cambria" w:hAnsi="Cambria"/>
          <w:vertAlign w:val="baseline"/>
        </w:rPr>
        <w:t>W</w:t>
      </w:r>
      <w:r>
        <w:rPr>
          <w:rFonts w:ascii="Cambria" w:hAnsi="Cambria"/>
          <w:vertAlign w:val="subscript"/>
        </w:rPr>
        <w:t>p</w:t>
      </w:r>
      <w:r>
        <w:rPr>
          <w:rFonts w:ascii="Cambria" w:hAnsi="Cambria"/>
          <w:vertAlign w:val="baseline"/>
        </w:rPr>
        <w:t> </w:t>
      </w:r>
      <w:r>
        <w:rPr>
          <w:vertAlign w:val="baseline"/>
        </w:rPr>
        <w:t>Wasserstein distance is the total cost of all mass movements described by this transport plan, subject to the </w:t>
      </w:r>
      <w:r>
        <w:rPr>
          <w:rFonts w:ascii="Cambria" w:hAnsi="Cambria"/>
          <w:vertAlign w:val="baseline"/>
        </w:rPr>
        <w:t>L</w:t>
      </w:r>
      <w:r>
        <w:rPr>
          <w:rFonts w:ascii="Cambria" w:hAnsi="Cambria"/>
          <w:vertAlign w:val="subscript"/>
        </w:rPr>
        <w:t>p</w:t>
      </w:r>
      <w:r>
        <w:rPr>
          <w:rFonts w:ascii="Cambria" w:hAnsi="Cambria"/>
          <w:vertAlign w:val="baseline"/>
        </w:rPr>
        <w:t> </w:t>
      </w:r>
      <w:r>
        <w:rPr>
          <w:vertAlign w:val="baseline"/>
        </w:rPr>
        <w:t>norm cost function.</w:t>
      </w:r>
      <w:r>
        <w:rPr>
          <w:spacing w:val="40"/>
          <w:vertAlign w:val="baseline"/>
        </w:rPr>
        <w:t> </w:t>
      </w:r>
      <w:r>
        <w:rPr>
          <w:vertAlign w:val="baseline"/>
        </w:rPr>
        <w:t>This relationship between the Wasserstein distance, cost function and transport plan means that axis (e.g.</w:t>
      </w:r>
      <w:r>
        <w:rPr>
          <w:spacing w:val="24"/>
          <w:vertAlign w:val="baseline"/>
        </w:rPr>
        <w:t> </w:t>
      </w:r>
      <w:r>
        <w:rPr>
          <w:rFonts w:ascii="Cambria" w:hAnsi="Cambria"/>
          <w:vertAlign w:val="baseline"/>
        </w:rPr>
        <w:t>x,</w:t>
      </w:r>
      <w:r>
        <w:rPr>
          <w:rFonts w:ascii="Cambria" w:hAnsi="Cambria"/>
          <w:spacing w:val="-14"/>
          <w:vertAlign w:val="baseline"/>
        </w:rPr>
        <w:t> </w:t>
      </w:r>
      <w:r>
        <w:rPr>
          <w:rFonts w:ascii="Cambria" w:hAnsi="Cambria"/>
          <w:vertAlign w:val="baseline"/>
        </w:rPr>
        <w:t>y</w:t>
      </w:r>
      <w:r>
        <w:rPr>
          <w:vertAlign w:val="baseline"/>
        </w:rPr>
        <w:t>) and directional (e.g. left,</w:t>
      </w:r>
      <w:r>
        <w:rPr>
          <w:spacing w:val="-13"/>
          <w:vertAlign w:val="baseline"/>
        </w:rPr>
        <w:t> </w:t>
      </w:r>
      <w:r>
        <w:rPr>
          <w:vertAlign w:val="baseline"/>
        </w:rPr>
        <w:t>right</w:t>
      </w:r>
      <w:r>
        <w:rPr>
          <w:spacing w:val="-15"/>
          <w:vertAlign w:val="baseline"/>
        </w:rPr>
        <w:t> </w:t>
      </w:r>
      <w:r>
        <w:rPr>
          <w:vertAlign w:val="baseline"/>
        </w:rPr>
        <w:t>and</w:t>
      </w:r>
      <w:r>
        <w:rPr>
          <w:spacing w:val="-15"/>
          <w:vertAlign w:val="baseline"/>
        </w:rPr>
        <w:t> </w:t>
      </w:r>
      <w:r>
        <w:rPr>
          <w:vertAlign w:val="baseline"/>
        </w:rPr>
        <w:t>up,</w:t>
      </w:r>
      <w:r>
        <w:rPr>
          <w:spacing w:val="-13"/>
          <w:vertAlign w:val="baseline"/>
        </w:rPr>
        <w:t> </w:t>
      </w:r>
      <w:r>
        <w:rPr>
          <w:vertAlign w:val="baseline"/>
        </w:rPr>
        <w:t>down)</w:t>
      </w:r>
      <w:r>
        <w:rPr>
          <w:spacing w:val="-15"/>
          <w:vertAlign w:val="baseline"/>
        </w:rPr>
        <w:t> </w:t>
      </w:r>
      <w:r>
        <w:rPr>
          <w:vertAlign w:val="baseline"/>
        </w:rPr>
        <w:t>mass</w:t>
      </w:r>
      <w:r>
        <w:rPr>
          <w:spacing w:val="-15"/>
          <w:vertAlign w:val="baseline"/>
        </w:rPr>
        <w:t> </w:t>
      </w:r>
      <w:r>
        <w:rPr>
          <w:vertAlign w:val="baseline"/>
        </w:rPr>
        <w:t>transport</w:t>
      </w:r>
      <w:r>
        <w:rPr>
          <w:spacing w:val="-15"/>
          <w:vertAlign w:val="baseline"/>
        </w:rPr>
        <w:t> </w:t>
      </w:r>
      <w:r>
        <w:rPr>
          <w:vertAlign w:val="baseline"/>
        </w:rPr>
        <w:t>measurements</w:t>
      </w:r>
      <w:r>
        <w:rPr>
          <w:spacing w:val="-15"/>
          <w:vertAlign w:val="baseline"/>
        </w:rPr>
        <w:t> </w:t>
      </w:r>
      <w:r>
        <w:rPr>
          <w:vertAlign w:val="baseline"/>
        </w:rPr>
        <w:t>could</w:t>
      </w:r>
      <w:r>
        <w:rPr>
          <w:spacing w:val="-15"/>
          <w:vertAlign w:val="baseline"/>
        </w:rPr>
        <w:t> </w:t>
      </w:r>
      <w:r>
        <w:rPr>
          <w:vertAlign w:val="baseline"/>
        </w:rPr>
        <w:t>be</w:t>
      </w:r>
      <w:r>
        <w:rPr>
          <w:spacing w:val="-15"/>
          <w:vertAlign w:val="baseline"/>
        </w:rPr>
        <w:t> </w:t>
      </w:r>
      <w:r>
        <w:rPr>
          <w:vertAlign w:val="baseline"/>
        </w:rPr>
        <w:t>provided</w:t>
      </w:r>
      <w:r>
        <w:rPr>
          <w:spacing w:val="-15"/>
          <w:vertAlign w:val="baseline"/>
        </w:rPr>
        <w:t> </w:t>
      </w:r>
      <w:r>
        <w:rPr>
          <w:vertAlign w:val="baseline"/>
        </w:rPr>
        <w:t>by</w:t>
      </w:r>
      <w:r>
        <w:rPr>
          <w:spacing w:val="-15"/>
          <w:vertAlign w:val="baseline"/>
        </w:rPr>
        <w:t> </w:t>
      </w:r>
      <w:r>
        <w:rPr>
          <w:vertAlign w:val="baseline"/>
        </w:rPr>
        <w:t>manipulating the cost function or extracting information from the transport plan;</w:t>
      </w:r>
      <w:r>
        <w:rPr>
          <w:spacing w:val="25"/>
          <w:vertAlign w:val="baseline"/>
        </w:rPr>
        <w:t> </w:t>
      </w:r>
      <w:r>
        <w:rPr>
          <w:vertAlign w:val="baseline"/>
        </w:rPr>
        <w:t>with a slight abuse</w:t>
      </w:r>
      <w:r>
        <w:rPr>
          <w:spacing w:val="40"/>
          <w:vertAlign w:val="baseline"/>
        </w:rPr>
        <w:t> </w:t>
      </w:r>
      <w:r>
        <w:rPr>
          <w:vertAlign w:val="baseline"/>
        </w:rPr>
        <w:t>of terminology, these measurements will be termed Wasserstein distances in this study. These</w:t>
      </w:r>
      <w:r>
        <w:rPr>
          <w:spacing w:val="-8"/>
          <w:vertAlign w:val="baseline"/>
        </w:rPr>
        <w:t> </w:t>
      </w:r>
      <w:r>
        <w:rPr>
          <w:vertAlign w:val="baseline"/>
        </w:rPr>
        <w:t>variations</w:t>
      </w:r>
      <w:r>
        <w:rPr>
          <w:spacing w:val="-8"/>
          <w:vertAlign w:val="baseline"/>
        </w:rPr>
        <w:t> </w:t>
      </w:r>
      <w:r>
        <w:rPr>
          <w:vertAlign w:val="baseline"/>
        </w:rPr>
        <w:t>of</w:t>
      </w:r>
      <w:r>
        <w:rPr>
          <w:spacing w:val="-8"/>
          <w:vertAlign w:val="baseline"/>
        </w:rPr>
        <w:t> </w:t>
      </w:r>
      <w:r>
        <w:rPr>
          <w:vertAlign w:val="baseline"/>
        </w:rPr>
        <w:t>the</w:t>
      </w:r>
      <w:r>
        <w:rPr>
          <w:spacing w:val="-8"/>
          <w:vertAlign w:val="baseline"/>
        </w:rPr>
        <w:t> </w:t>
      </w:r>
      <w:r>
        <w:rPr>
          <w:vertAlign w:val="baseline"/>
        </w:rPr>
        <w:t>Wasserstein</w:t>
      </w:r>
      <w:r>
        <w:rPr>
          <w:spacing w:val="-8"/>
          <w:vertAlign w:val="baseline"/>
        </w:rPr>
        <w:t> </w:t>
      </w:r>
      <w:r>
        <w:rPr>
          <w:vertAlign w:val="baseline"/>
        </w:rPr>
        <w:t>distance</w:t>
      </w:r>
      <w:r>
        <w:rPr>
          <w:spacing w:val="-8"/>
          <w:vertAlign w:val="baseline"/>
        </w:rPr>
        <w:t> </w:t>
      </w:r>
      <w:r>
        <w:rPr>
          <w:vertAlign w:val="baseline"/>
        </w:rPr>
        <w:t>could</w:t>
      </w:r>
      <w:r>
        <w:rPr>
          <w:spacing w:val="-8"/>
          <w:vertAlign w:val="baseline"/>
        </w:rPr>
        <w:t> </w:t>
      </w:r>
      <w:r>
        <w:rPr>
          <w:vertAlign w:val="baseline"/>
        </w:rPr>
        <w:t>provide</w:t>
      </w:r>
      <w:r>
        <w:rPr>
          <w:spacing w:val="-8"/>
          <w:vertAlign w:val="baseline"/>
        </w:rPr>
        <w:t> </w:t>
      </w:r>
      <w:r>
        <w:rPr>
          <w:vertAlign w:val="baseline"/>
        </w:rPr>
        <w:t>much</w:t>
      </w:r>
      <w:r>
        <w:rPr>
          <w:spacing w:val="-8"/>
          <w:vertAlign w:val="baseline"/>
        </w:rPr>
        <w:t> </w:t>
      </w:r>
      <w:r>
        <w:rPr>
          <w:vertAlign w:val="baseline"/>
        </w:rPr>
        <w:t>greater</w:t>
      </w:r>
      <w:r>
        <w:rPr>
          <w:spacing w:val="-8"/>
          <w:vertAlign w:val="baseline"/>
        </w:rPr>
        <w:t> </w:t>
      </w:r>
      <w:r>
        <w:rPr>
          <w:vertAlign w:val="baseline"/>
        </w:rPr>
        <w:t>insights</w:t>
      </w:r>
      <w:r>
        <w:rPr>
          <w:spacing w:val="-8"/>
          <w:vertAlign w:val="baseline"/>
        </w:rPr>
        <w:t> </w:t>
      </w:r>
      <w:r>
        <w:rPr>
          <w:vertAlign w:val="baseline"/>
        </w:rPr>
        <w:t>into</w:t>
      </w:r>
      <w:r>
        <w:rPr>
          <w:spacing w:val="-8"/>
          <w:vertAlign w:val="baseline"/>
        </w:rPr>
        <w:t> </w:t>
      </w:r>
      <w:r>
        <w:rPr>
          <w:vertAlign w:val="baseline"/>
        </w:rPr>
        <w:t>the spatial trends of attacking performances in rugby league than using a standard </w:t>
      </w:r>
      <w:r>
        <w:rPr>
          <w:rFonts w:ascii="Cambria" w:hAnsi="Cambria"/>
          <w:vertAlign w:val="baseline"/>
        </w:rPr>
        <w:t>L</w:t>
      </w:r>
      <w:r>
        <w:rPr>
          <w:rFonts w:ascii="Cambria" w:hAnsi="Cambria"/>
          <w:vertAlign w:val="subscript"/>
        </w:rPr>
        <w:t>p</w:t>
      </w:r>
      <w:r>
        <w:rPr>
          <w:rFonts w:ascii="Cambria" w:hAnsi="Cambria"/>
          <w:vertAlign w:val="baseline"/>
        </w:rPr>
        <w:t> </w:t>
      </w:r>
      <w:r>
        <w:rPr>
          <w:vertAlign w:val="baseline"/>
        </w:rPr>
        <w:t>norm cost function.</w:t>
      </w:r>
    </w:p>
    <w:p>
      <w:pPr>
        <w:pStyle w:val="BodyText"/>
        <w:spacing w:line="312" w:lineRule="auto" w:before="69"/>
        <w:ind w:left="610" w:right="389" w:firstLine="351"/>
        <w:jc w:val="both"/>
      </w:pPr>
      <w:r>
        <w:rPr/>
        <w:t>To</w:t>
      </w:r>
      <w:r>
        <w:rPr>
          <w:spacing w:val="-15"/>
        </w:rPr>
        <w:t> </w:t>
      </w:r>
      <w:r>
        <w:rPr/>
        <w:t>evaluate</w:t>
      </w:r>
      <w:r>
        <w:rPr>
          <w:spacing w:val="-15"/>
        </w:rPr>
        <w:t> </w:t>
      </w:r>
      <w:r>
        <w:rPr/>
        <w:t>differences</w:t>
      </w:r>
      <w:r>
        <w:rPr>
          <w:spacing w:val="-15"/>
        </w:rPr>
        <w:t> </w:t>
      </w:r>
      <w:r>
        <w:rPr/>
        <w:t>in</w:t>
      </w:r>
      <w:r>
        <w:rPr>
          <w:spacing w:val="-15"/>
        </w:rPr>
        <w:t> </w:t>
      </w:r>
      <w:r>
        <w:rPr/>
        <w:t>the</w:t>
      </w:r>
      <w:r>
        <w:rPr>
          <w:spacing w:val="-15"/>
        </w:rPr>
        <w:t> </w:t>
      </w:r>
      <w:r>
        <w:rPr/>
        <w:t>spatial</w:t>
      </w:r>
      <w:r>
        <w:rPr>
          <w:spacing w:val="-15"/>
        </w:rPr>
        <w:t> </w:t>
      </w:r>
      <w:r>
        <w:rPr/>
        <w:t>trends</w:t>
      </w:r>
      <w:r>
        <w:rPr>
          <w:spacing w:val="-15"/>
        </w:rPr>
        <w:t> </w:t>
      </w:r>
      <w:r>
        <w:rPr/>
        <w:t>of</w:t>
      </w:r>
      <w:r>
        <w:rPr>
          <w:spacing w:val="-15"/>
        </w:rPr>
        <w:t> </w:t>
      </w:r>
      <w:r>
        <w:rPr/>
        <w:t>attacking</w:t>
      </w:r>
      <w:r>
        <w:rPr>
          <w:spacing w:val="-15"/>
        </w:rPr>
        <w:t> </w:t>
      </w:r>
      <w:r>
        <w:rPr/>
        <w:t>performances</w:t>
      </w:r>
      <w:r>
        <w:rPr>
          <w:spacing w:val="-15"/>
        </w:rPr>
        <w:t> </w:t>
      </w:r>
      <w:r>
        <w:rPr/>
        <w:t>between</w:t>
      </w:r>
      <w:r>
        <w:rPr>
          <w:spacing w:val="-15"/>
        </w:rPr>
        <w:t> </w:t>
      </w:r>
      <w:r>
        <w:rPr/>
        <w:t>teams, team overall KDEs were compared to the whole league KDE. This analysis evaluated how similar or dissimilar the team’s overall distribution of actions was to the league av- erage distribution.</w:t>
      </w:r>
      <w:r>
        <w:rPr>
          <w:spacing w:val="36"/>
        </w:rPr>
        <w:t> </w:t>
      </w:r>
      <w:r>
        <w:rPr/>
        <w:t>Larger Wasserstein distance values denoted larger differences, either due to the size of the difference, the distance involved in the difference or both factors. The</w:t>
      </w:r>
      <w:r>
        <w:rPr>
          <w:spacing w:val="-8"/>
        </w:rPr>
        <w:t> </w:t>
      </w:r>
      <w:r>
        <w:rPr/>
        <w:t>within</w:t>
      </w:r>
      <w:r>
        <w:rPr>
          <w:spacing w:val="-8"/>
        </w:rPr>
        <w:t> </w:t>
      </w:r>
      <w:r>
        <w:rPr/>
        <w:t>team</w:t>
      </w:r>
      <w:r>
        <w:rPr>
          <w:spacing w:val="-8"/>
        </w:rPr>
        <w:t> </w:t>
      </w:r>
      <w:r>
        <w:rPr/>
        <w:t>analysis</w:t>
      </w:r>
      <w:r>
        <w:rPr>
          <w:spacing w:val="-8"/>
        </w:rPr>
        <w:t> </w:t>
      </w:r>
      <w:r>
        <w:rPr/>
        <w:t>was</w:t>
      </w:r>
      <w:r>
        <w:rPr>
          <w:spacing w:val="-8"/>
        </w:rPr>
        <w:t> </w:t>
      </w:r>
      <w:r>
        <w:rPr/>
        <w:t>completed</w:t>
      </w:r>
      <w:r>
        <w:rPr>
          <w:spacing w:val="-8"/>
        </w:rPr>
        <w:t> </w:t>
      </w:r>
      <w:r>
        <w:rPr/>
        <w:t>by</w:t>
      </w:r>
      <w:r>
        <w:rPr>
          <w:spacing w:val="-8"/>
        </w:rPr>
        <w:t> </w:t>
      </w:r>
      <w:r>
        <w:rPr/>
        <w:t>comparing</w:t>
      </w:r>
      <w:r>
        <w:rPr>
          <w:spacing w:val="-8"/>
        </w:rPr>
        <w:t> </w:t>
      </w:r>
      <w:r>
        <w:rPr/>
        <w:t>team-opponent</w:t>
      </w:r>
      <w:r>
        <w:rPr>
          <w:spacing w:val="-8"/>
        </w:rPr>
        <w:t> </w:t>
      </w:r>
      <w:r>
        <w:rPr/>
        <w:t>KDEs</w:t>
      </w:r>
      <w:r>
        <w:rPr>
          <w:spacing w:val="-8"/>
        </w:rPr>
        <w:t> </w:t>
      </w:r>
      <w:r>
        <w:rPr/>
        <w:t>to</w:t>
      </w:r>
      <w:r>
        <w:rPr>
          <w:spacing w:val="-8"/>
        </w:rPr>
        <w:t> </w:t>
      </w:r>
      <w:r>
        <w:rPr/>
        <w:t>the</w:t>
      </w:r>
      <w:r>
        <w:rPr>
          <w:spacing w:val="-8"/>
        </w:rPr>
        <w:t> </w:t>
      </w:r>
      <w:r>
        <w:rPr/>
        <w:t>team overall KDEs (e.g.</w:t>
      </w:r>
      <w:r>
        <w:rPr>
          <w:spacing w:val="40"/>
        </w:rPr>
        <w:t> </w:t>
      </w:r>
      <w:r>
        <w:rPr/>
        <w:t>Wigan vs St Helens would be compared to Wigan’s team overall KDE;</w:t>
      </w:r>
      <w:r>
        <w:rPr>
          <w:spacing w:val="-11"/>
        </w:rPr>
        <w:t> </w:t>
      </w:r>
      <w:r>
        <w:rPr/>
        <w:t>Catalans</w:t>
      </w:r>
      <w:r>
        <w:rPr>
          <w:spacing w:val="-11"/>
        </w:rPr>
        <w:t> </w:t>
      </w:r>
      <w:r>
        <w:rPr/>
        <w:t>vs</w:t>
      </w:r>
      <w:r>
        <w:rPr>
          <w:spacing w:val="-11"/>
        </w:rPr>
        <w:t> </w:t>
      </w:r>
      <w:r>
        <w:rPr/>
        <w:t>Leeds</w:t>
      </w:r>
      <w:r>
        <w:rPr>
          <w:spacing w:val="-11"/>
        </w:rPr>
        <w:t> </w:t>
      </w:r>
      <w:r>
        <w:rPr/>
        <w:t>would</w:t>
      </w:r>
      <w:r>
        <w:rPr>
          <w:spacing w:val="-11"/>
        </w:rPr>
        <w:t> </w:t>
      </w:r>
      <w:r>
        <w:rPr/>
        <w:t>be</w:t>
      </w:r>
      <w:r>
        <w:rPr>
          <w:spacing w:val="-11"/>
        </w:rPr>
        <w:t> </w:t>
      </w:r>
      <w:r>
        <w:rPr/>
        <w:t>compared</w:t>
      </w:r>
      <w:r>
        <w:rPr>
          <w:spacing w:val="-11"/>
        </w:rPr>
        <w:t> </w:t>
      </w:r>
      <w:r>
        <w:rPr/>
        <w:t>to</w:t>
      </w:r>
      <w:r>
        <w:rPr>
          <w:spacing w:val="-11"/>
        </w:rPr>
        <w:t> </w:t>
      </w:r>
      <w:r>
        <w:rPr/>
        <w:t>Catalans’</w:t>
      </w:r>
      <w:r>
        <w:rPr>
          <w:spacing w:val="-11"/>
        </w:rPr>
        <w:t> </w:t>
      </w:r>
      <w:r>
        <w:rPr/>
        <w:t>team</w:t>
      </w:r>
      <w:r>
        <w:rPr>
          <w:spacing w:val="-11"/>
        </w:rPr>
        <w:t> </w:t>
      </w:r>
      <w:r>
        <w:rPr/>
        <w:t>overall</w:t>
      </w:r>
      <w:r>
        <w:rPr>
          <w:spacing w:val="-11"/>
        </w:rPr>
        <w:t> </w:t>
      </w:r>
      <w:r>
        <w:rPr/>
        <w:t>KDE).</w:t>
      </w:r>
      <w:r>
        <w:rPr>
          <w:spacing w:val="-11"/>
        </w:rPr>
        <w:t> </w:t>
      </w:r>
      <w:r>
        <w:rPr/>
        <w:t>This</w:t>
      </w:r>
      <w:r>
        <w:rPr>
          <w:spacing w:val="-11"/>
        </w:rPr>
        <w:t> </w:t>
      </w:r>
      <w:r>
        <w:rPr/>
        <w:t>analy- sis</w:t>
      </w:r>
      <w:r>
        <w:rPr>
          <w:spacing w:val="-14"/>
        </w:rPr>
        <w:t> </w:t>
      </w:r>
      <w:r>
        <w:rPr/>
        <w:t>evaluated</w:t>
      </w:r>
      <w:r>
        <w:rPr>
          <w:spacing w:val="-14"/>
        </w:rPr>
        <w:t> </w:t>
      </w:r>
      <w:r>
        <w:rPr/>
        <w:t>the</w:t>
      </w:r>
      <w:r>
        <w:rPr>
          <w:spacing w:val="-14"/>
        </w:rPr>
        <w:t> </w:t>
      </w:r>
      <w:r>
        <w:rPr/>
        <w:t>similarity</w:t>
      </w:r>
      <w:r>
        <w:rPr>
          <w:spacing w:val="-14"/>
        </w:rPr>
        <w:t> </w:t>
      </w:r>
      <w:r>
        <w:rPr/>
        <w:t>between</w:t>
      </w:r>
      <w:r>
        <w:rPr>
          <w:spacing w:val="-14"/>
        </w:rPr>
        <w:t> </w:t>
      </w:r>
      <w:r>
        <w:rPr/>
        <w:t>the</w:t>
      </w:r>
      <w:r>
        <w:rPr>
          <w:spacing w:val="-14"/>
        </w:rPr>
        <w:t> </w:t>
      </w:r>
      <w:r>
        <w:rPr/>
        <w:t>distribution</w:t>
      </w:r>
      <w:r>
        <w:rPr>
          <w:spacing w:val="-14"/>
        </w:rPr>
        <w:t> </w:t>
      </w:r>
      <w:r>
        <w:rPr/>
        <w:t>for</w:t>
      </w:r>
      <w:r>
        <w:rPr>
          <w:spacing w:val="-14"/>
        </w:rPr>
        <w:t> </w:t>
      </w:r>
      <w:r>
        <w:rPr/>
        <w:t>the</w:t>
      </w:r>
      <w:r>
        <w:rPr>
          <w:spacing w:val="-14"/>
        </w:rPr>
        <w:t> </w:t>
      </w:r>
      <w:r>
        <w:rPr/>
        <w:t>attacking</w:t>
      </w:r>
      <w:r>
        <w:rPr>
          <w:spacing w:val="-14"/>
        </w:rPr>
        <w:t> </w:t>
      </w:r>
      <w:r>
        <w:rPr/>
        <w:t>team</w:t>
      </w:r>
      <w:r>
        <w:rPr>
          <w:spacing w:val="-14"/>
        </w:rPr>
        <w:t> </w:t>
      </w:r>
      <w:r>
        <w:rPr/>
        <w:t>against</w:t>
      </w:r>
      <w:r>
        <w:rPr>
          <w:spacing w:val="-14"/>
        </w:rPr>
        <w:t> </w:t>
      </w:r>
      <w:r>
        <w:rPr/>
        <w:t>a</w:t>
      </w:r>
      <w:r>
        <w:rPr>
          <w:spacing w:val="-14"/>
        </w:rPr>
        <w:t> </w:t>
      </w:r>
      <w:r>
        <w:rPr/>
        <w:t>single opponent and the distribution for the attacking team against all opponents.</w:t>
      </w:r>
    </w:p>
    <w:p>
      <w:pPr>
        <w:pStyle w:val="BodyText"/>
        <w:spacing w:line="274" w:lineRule="exact"/>
        <w:ind w:left="961"/>
        <w:jc w:val="both"/>
      </w:pPr>
      <w:r>
        <w:rPr/>
        <w:t>As</w:t>
      </w:r>
      <w:r>
        <w:rPr>
          <w:spacing w:val="9"/>
        </w:rPr>
        <w:t> </w:t>
      </w:r>
      <w:r>
        <w:rPr/>
        <w:t>with</w:t>
      </w:r>
      <w:r>
        <w:rPr>
          <w:spacing w:val="10"/>
        </w:rPr>
        <w:t> </w:t>
      </w:r>
      <w:r>
        <w:rPr/>
        <w:t>KDE</w:t>
      </w:r>
      <w:r>
        <w:rPr>
          <w:spacing w:val="9"/>
        </w:rPr>
        <w:t> </w:t>
      </w:r>
      <w:r>
        <w:rPr/>
        <w:t>bandwidth</w:t>
      </w:r>
      <w:r>
        <w:rPr>
          <w:spacing w:val="10"/>
        </w:rPr>
        <w:t> </w:t>
      </w:r>
      <w:r>
        <w:rPr/>
        <w:t>selection</w:t>
      </w:r>
      <w:r>
        <w:rPr>
          <w:spacing w:val="9"/>
        </w:rPr>
        <w:t> </w:t>
      </w:r>
      <w:r>
        <w:rPr/>
        <w:t>in</w:t>
      </w:r>
      <w:r>
        <w:rPr>
          <w:spacing w:val="10"/>
        </w:rPr>
        <w:t> </w:t>
      </w:r>
      <w:r>
        <w:rPr/>
        <w:t>Section</w:t>
      </w:r>
      <w:hyperlink w:history="true" w:anchor="_bookmark134">
        <w:r>
          <w:rPr>
            <w:color w:val="0000FF"/>
          </w:rPr>
          <w:t>5.2.3</w:t>
        </w:r>
        <w:r>
          <w:rPr/>
          <w:t>,</w:t>
        </w:r>
      </w:hyperlink>
      <w:r>
        <w:rPr>
          <w:spacing w:val="13"/>
        </w:rPr>
        <w:t> </w:t>
      </w:r>
      <w:r>
        <w:rPr/>
        <w:t>an</w:t>
      </w:r>
      <w:r>
        <w:rPr>
          <w:spacing w:val="9"/>
        </w:rPr>
        <w:t> </w:t>
      </w:r>
      <w:r>
        <w:rPr/>
        <w:t>empirical</w:t>
      </w:r>
      <w:r>
        <w:rPr>
          <w:spacing w:val="10"/>
        </w:rPr>
        <w:t> </w:t>
      </w:r>
      <w:r>
        <w:rPr/>
        <w:t>approach</w:t>
      </w:r>
      <w:r>
        <w:rPr>
          <w:spacing w:val="9"/>
        </w:rPr>
        <w:t> </w:t>
      </w:r>
      <w:r>
        <w:rPr/>
        <w:t>was</w:t>
      </w:r>
      <w:r>
        <w:rPr>
          <w:spacing w:val="10"/>
        </w:rPr>
        <w:t> </w:t>
      </w:r>
      <w:r>
        <w:rPr>
          <w:spacing w:val="-5"/>
        </w:rPr>
        <w:t>em-</w:t>
      </w:r>
    </w:p>
    <w:p>
      <w:pPr>
        <w:pStyle w:val="BodyText"/>
        <w:spacing w:before="3"/>
        <w:rPr>
          <w:sz w:val="11"/>
        </w:rPr>
      </w:pPr>
      <w:r>
        <w:rPr/>
        <w:pict>
          <v:shape style="position:absolute;margin-left:114.519997pt;margin-top:7.692642pt;width:170.1pt;height:.1pt;mso-position-horizontal-relative:page;mso-position-vertical-relative:paragraph;z-index:-15665152;mso-wrap-distance-left:0;mso-wrap-distance-right:0" id="docshape146" coordorigin="2290,154" coordsize="3402,0" path="m2290,154l5692,154e" filled="false" stroked="true" strokeweight=".398pt" strokecolor="#000000">
            <v:path arrowok="t"/>
            <v:stroke dashstyle="solid"/>
            <w10:wrap type="topAndBottom"/>
          </v:shape>
        </w:pict>
      </w:r>
    </w:p>
    <w:p>
      <w:pPr>
        <w:spacing w:before="18"/>
        <w:ind w:left="952" w:right="0" w:firstLine="0"/>
        <w:jc w:val="both"/>
        <w:rPr>
          <w:sz w:val="20"/>
        </w:rPr>
      </w:pPr>
      <w:r>
        <w:rPr>
          <w:position w:val="7"/>
          <w:sz w:val="14"/>
        </w:rPr>
        <w:t>1</w:t>
      </w:r>
      <w:r>
        <w:rPr>
          <w:rFonts w:ascii="Bookman Old Style"/>
          <w:b w:val="0"/>
          <w:i/>
          <w:sz w:val="20"/>
        </w:rPr>
        <w:t>L</w:t>
      </w:r>
      <w:r>
        <w:rPr>
          <w:rFonts w:ascii="Eras Medium ITC"/>
          <w:sz w:val="20"/>
          <w:vertAlign w:val="subscript"/>
        </w:rPr>
        <w:t>1</w:t>
      </w:r>
      <w:r>
        <w:rPr>
          <w:rFonts w:ascii="Eras Medium ITC"/>
          <w:spacing w:val="9"/>
          <w:sz w:val="20"/>
          <w:vertAlign w:val="baseline"/>
        </w:rPr>
        <w:t> </w:t>
      </w:r>
      <w:r>
        <w:rPr>
          <w:sz w:val="20"/>
          <w:vertAlign w:val="baseline"/>
        </w:rPr>
        <w:t>norm</w:t>
      </w:r>
      <w:r>
        <w:rPr>
          <w:spacing w:val="-1"/>
          <w:sz w:val="20"/>
          <w:vertAlign w:val="baseline"/>
        </w:rPr>
        <w:t> </w:t>
      </w:r>
      <w:r>
        <w:rPr>
          <w:sz w:val="20"/>
          <w:vertAlign w:val="baseline"/>
        </w:rPr>
        <w:t>is</w:t>
      </w:r>
      <w:r>
        <w:rPr>
          <w:spacing w:val="-1"/>
          <w:sz w:val="20"/>
          <w:vertAlign w:val="baseline"/>
        </w:rPr>
        <w:t> </w:t>
      </w:r>
      <w:r>
        <w:rPr>
          <w:sz w:val="20"/>
          <w:vertAlign w:val="baseline"/>
        </w:rPr>
        <w:t>sometimes called</w:t>
      </w:r>
      <w:r>
        <w:rPr>
          <w:spacing w:val="-1"/>
          <w:sz w:val="20"/>
          <w:vertAlign w:val="baseline"/>
        </w:rPr>
        <w:t> </w:t>
      </w:r>
      <w:r>
        <w:rPr>
          <w:sz w:val="20"/>
          <w:vertAlign w:val="baseline"/>
        </w:rPr>
        <w:t>Manhattan</w:t>
      </w:r>
      <w:r>
        <w:rPr>
          <w:spacing w:val="-1"/>
          <w:sz w:val="20"/>
          <w:vertAlign w:val="baseline"/>
        </w:rPr>
        <w:t> </w:t>
      </w:r>
      <w:r>
        <w:rPr>
          <w:sz w:val="20"/>
          <w:vertAlign w:val="baseline"/>
        </w:rPr>
        <w:t>norm and</w:t>
      </w:r>
      <w:r>
        <w:rPr>
          <w:spacing w:val="-1"/>
          <w:sz w:val="20"/>
          <w:vertAlign w:val="baseline"/>
        </w:rPr>
        <w:t> </w:t>
      </w:r>
      <w:r>
        <w:rPr>
          <w:rFonts w:ascii="Bookman Old Style"/>
          <w:b w:val="0"/>
          <w:i/>
          <w:sz w:val="20"/>
          <w:vertAlign w:val="baseline"/>
        </w:rPr>
        <w:t>L</w:t>
      </w:r>
      <w:r>
        <w:rPr>
          <w:rFonts w:ascii="Eras Medium ITC"/>
          <w:sz w:val="20"/>
          <w:vertAlign w:val="subscript"/>
        </w:rPr>
        <w:t>2</w:t>
      </w:r>
      <w:r>
        <w:rPr>
          <w:rFonts w:ascii="Eras Medium ITC"/>
          <w:spacing w:val="9"/>
          <w:sz w:val="20"/>
          <w:vertAlign w:val="baseline"/>
        </w:rPr>
        <w:t> </w:t>
      </w:r>
      <w:r>
        <w:rPr>
          <w:sz w:val="20"/>
          <w:vertAlign w:val="baseline"/>
        </w:rPr>
        <w:t>norm</w:t>
      </w:r>
      <w:r>
        <w:rPr>
          <w:spacing w:val="-1"/>
          <w:sz w:val="20"/>
          <w:vertAlign w:val="baseline"/>
        </w:rPr>
        <w:t> </w:t>
      </w:r>
      <w:r>
        <w:rPr>
          <w:sz w:val="20"/>
          <w:vertAlign w:val="baseline"/>
        </w:rPr>
        <w:t>is the</w:t>
      </w:r>
      <w:r>
        <w:rPr>
          <w:spacing w:val="-1"/>
          <w:sz w:val="20"/>
          <w:vertAlign w:val="baseline"/>
        </w:rPr>
        <w:t> </w:t>
      </w:r>
      <w:r>
        <w:rPr>
          <w:sz w:val="20"/>
          <w:vertAlign w:val="baseline"/>
        </w:rPr>
        <w:t>Euclidean</w:t>
      </w:r>
      <w:r>
        <w:rPr>
          <w:spacing w:val="-1"/>
          <w:sz w:val="20"/>
          <w:vertAlign w:val="baseline"/>
        </w:rPr>
        <w:t> </w:t>
      </w:r>
      <w:r>
        <w:rPr>
          <w:spacing w:val="-2"/>
          <w:sz w:val="20"/>
          <w:vertAlign w:val="baseline"/>
        </w:rPr>
        <w:t>norm.</w:t>
      </w:r>
    </w:p>
    <w:p>
      <w:pPr>
        <w:spacing w:after="0"/>
        <w:jc w:val="both"/>
        <w:rPr>
          <w:sz w:val="20"/>
        </w:rPr>
        <w:sectPr>
          <w:type w:val="continuous"/>
          <w:pgSz w:w="11910" w:h="16840"/>
          <w:pgMar w:header="1961" w:footer="1428" w:top="1920" w:bottom="280" w:left="1680" w:right="720"/>
        </w:sectPr>
      </w:pPr>
    </w:p>
    <w:p>
      <w:pPr>
        <w:pStyle w:val="BodyText"/>
        <w:rPr>
          <w:sz w:val="20"/>
        </w:rPr>
      </w:pPr>
    </w:p>
    <w:p>
      <w:pPr>
        <w:pStyle w:val="BodyText"/>
        <w:spacing w:before="4" w:after="1"/>
        <w:rPr>
          <w:sz w:val="28"/>
        </w:rPr>
      </w:pPr>
    </w:p>
    <w:p>
      <w:pPr>
        <w:pStyle w:val="BodyText"/>
        <w:ind w:left="1460"/>
        <w:rPr>
          <w:sz w:val="20"/>
        </w:rPr>
      </w:pPr>
      <w:r>
        <w:rPr>
          <w:sz w:val="20"/>
        </w:rPr>
        <w:drawing>
          <wp:inline distT="0" distB="0" distL="0" distR="0">
            <wp:extent cx="4321589" cy="1493520"/>
            <wp:effectExtent l="0" t="0" r="0" b="0"/>
            <wp:docPr id="71" name="image36.jpeg"/>
            <wp:cNvGraphicFramePr>
              <a:graphicFrameLocks noChangeAspect="1"/>
            </wp:cNvGraphicFramePr>
            <a:graphic>
              <a:graphicData uri="http://schemas.openxmlformats.org/drawingml/2006/picture">
                <pic:pic>
                  <pic:nvPicPr>
                    <pic:cNvPr id="72" name="image36.jpeg"/>
                    <pic:cNvPicPr/>
                  </pic:nvPicPr>
                  <pic:blipFill>
                    <a:blip r:embed="rId104" cstate="print"/>
                    <a:stretch>
                      <a:fillRect/>
                    </a:stretch>
                  </pic:blipFill>
                  <pic:spPr>
                    <a:xfrm>
                      <a:off x="0" y="0"/>
                      <a:ext cx="4321589" cy="1493520"/>
                    </a:xfrm>
                    <a:prstGeom prst="rect">
                      <a:avLst/>
                    </a:prstGeom>
                  </pic:spPr>
                </pic:pic>
              </a:graphicData>
            </a:graphic>
          </wp:inline>
        </w:drawing>
      </w:r>
      <w:r>
        <w:rPr>
          <w:sz w:val="20"/>
        </w:rPr>
      </w:r>
    </w:p>
    <w:p>
      <w:pPr>
        <w:pStyle w:val="BodyText"/>
        <w:spacing w:before="2"/>
        <w:rPr>
          <w:sz w:val="6"/>
        </w:rPr>
      </w:pPr>
    </w:p>
    <w:p>
      <w:pPr>
        <w:pStyle w:val="BodyText"/>
        <w:spacing w:line="237" w:lineRule="auto" w:before="104"/>
        <w:ind w:left="610" w:right="389"/>
      </w:pPr>
      <w:bookmarkStart w:name="_bookmark138" w:id="240"/>
      <w:bookmarkEnd w:id="240"/>
      <w:r>
        <w:rPr/>
      </w:r>
      <w:r>
        <w:rPr>
          <w:b/>
        </w:rPr>
        <w:t>Figure</w:t>
      </w:r>
      <w:r>
        <w:rPr>
          <w:b/>
          <w:spacing w:val="-12"/>
        </w:rPr>
        <w:t> </w:t>
      </w:r>
      <w:r>
        <w:rPr>
          <w:b/>
        </w:rPr>
        <w:t>5.4: </w:t>
      </w:r>
      <w:r>
        <w:rPr/>
        <w:t>Standardised,</w:t>
      </w:r>
      <w:r>
        <w:rPr>
          <w:spacing w:val="-11"/>
        </w:rPr>
        <w:t> </w:t>
      </w:r>
      <w:r>
        <w:rPr/>
        <w:t>unweighted</w:t>
      </w:r>
      <w:r>
        <w:rPr>
          <w:spacing w:val="-12"/>
        </w:rPr>
        <w:t> </w:t>
      </w:r>
      <w:r>
        <w:rPr/>
        <w:t>Wasserstein</w:t>
      </w:r>
      <w:r>
        <w:rPr>
          <w:spacing w:val="-12"/>
        </w:rPr>
        <w:t> </w:t>
      </w:r>
      <w:r>
        <w:rPr/>
        <w:t>metrics</w:t>
      </w:r>
      <w:r>
        <w:rPr>
          <w:spacing w:val="-12"/>
        </w:rPr>
        <w:t> </w:t>
      </w:r>
      <w:r>
        <w:rPr/>
        <w:t>for</w:t>
      </w:r>
      <w:r>
        <w:rPr>
          <w:spacing w:val="-12"/>
        </w:rPr>
        <w:t> </w:t>
      </w:r>
      <w:r>
        <w:rPr>
          <w:rFonts w:ascii="Cambria"/>
        </w:rPr>
        <w:t>p </w:t>
      </w:r>
      <w:r>
        <w:rPr>
          <w:rFonts w:ascii="Garamond"/>
        </w:rPr>
        <w:t>= 1</w:t>
      </w:r>
      <w:r>
        <w:rPr>
          <w:rFonts w:ascii="Garamond"/>
          <w:spacing w:val="-12"/>
        </w:rPr>
        <w:t> </w:t>
      </w:r>
      <w:r>
        <w:rPr/>
        <w:t>(left),</w:t>
      </w:r>
      <w:r>
        <w:rPr>
          <w:spacing w:val="-11"/>
        </w:rPr>
        <w:t> </w:t>
      </w:r>
      <w:r>
        <w:rPr>
          <w:rFonts w:ascii="Cambria"/>
        </w:rPr>
        <w:t>p </w:t>
      </w:r>
      <w:r>
        <w:rPr>
          <w:rFonts w:ascii="Garamond"/>
        </w:rPr>
        <w:t>= 2</w:t>
      </w:r>
      <w:r>
        <w:rPr>
          <w:rFonts w:ascii="Garamond"/>
          <w:spacing w:val="-12"/>
        </w:rPr>
        <w:t> </w:t>
      </w:r>
      <w:r>
        <w:rPr/>
        <w:t>(centre) and </w:t>
      </w:r>
      <w:r>
        <w:rPr>
          <w:rFonts w:ascii="Cambria"/>
        </w:rPr>
        <w:t>p </w:t>
      </w:r>
      <w:r>
        <w:rPr>
          <w:rFonts w:ascii="Garamond"/>
        </w:rPr>
        <w:t>= 3 </w:t>
      </w:r>
      <w:r>
        <w:rPr/>
        <w:t>(right). Distances are calculated from central point.</w:t>
      </w:r>
    </w:p>
    <w:p>
      <w:pPr>
        <w:pStyle w:val="BodyText"/>
        <w:spacing w:before="8"/>
        <w:rPr>
          <w:sz w:val="37"/>
        </w:rPr>
      </w:pPr>
    </w:p>
    <w:p>
      <w:pPr>
        <w:pStyle w:val="BodyText"/>
        <w:spacing w:line="304" w:lineRule="auto"/>
        <w:ind w:left="610" w:right="389"/>
      </w:pPr>
      <w:r>
        <w:rPr/>
        <w:t>ployed</w:t>
      </w:r>
      <w:r>
        <w:rPr>
          <w:spacing w:val="23"/>
        </w:rPr>
        <w:t> </w:t>
      </w:r>
      <w:r>
        <w:rPr/>
        <w:t>to</w:t>
      </w:r>
      <w:r>
        <w:rPr>
          <w:spacing w:val="23"/>
        </w:rPr>
        <w:t> </w:t>
      </w:r>
      <w:r>
        <w:rPr/>
        <w:t>select</w:t>
      </w:r>
      <w:r>
        <w:rPr>
          <w:spacing w:val="23"/>
        </w:rPr>
        <w:t> </w:t>
      </w:r>
      <w:r>
        <w:rPr/>
        <w:t>the</w:t>
      </w:r>
      <w:r>
        <w:rPr>
          <w:spacing w:val="23"/>
        </w:rPr>
        <w:t> </w:t>
      </w:r>
      <w:r>
        <w:rPr/>
        <w:t>Wasserstein</w:t>
      </w:r>
      <w:r>
        <w:rPr>
          <w:spacing w:val="23"/>
        </w:rPr>
        <w:t> </w:t>
      </w:r>
      <w:r>
        <w:rPr/>
        <w:t>distance</w:t>
      </w:r>
      <w:r>
        <w:rPr>
          <w:spacing w:val="23"/>
        </w:rPr>
        <w:t> </w:t>
      </w:r>
      <w:r>
        <w:rPr/>
        <w:t>cost</w:t>
      </w:r>
      <w:r>
        <w:rPr>
          <w:spacing w:val="23"/>
        </w:rPr>
        <w:t> </w:t>
      </w:r>
      <w:r>
        <w:rPr/>
        <w:t>function.</w:t>
      </w:r>
      <w:r>
        <w:rPr>
          <w:spacing w:val="80"/>
        </w:rPr>
        <w:t> </w:t>
      </w:r>
      <w:r>
        <w:rPr/>
        <w:t>Three</w:t>
      </w:r>
      <w:r>
        <w:rPr>
          <w:spacing w:val="23"/>
        </w:rPr>
        <w:t> </w:t>
      </w:r>
      <w:r>
        <w:rPr/>
        <w:t>cost</w:t>
      </w:r>
      <w:r>
        <w:rPr>
          <w:spacing w:val="23"/>
        </w:rPr>
        <w:t> </w:t>
      </w:r>
      <w:r>
        <w:rPr/>
        <w:t>functions</w:t>
      </w:r>
      <w:r>
        <w:rPr>
          <w:spacing w:val="23"/>
        </w:rPr>
        <w:t> </w:t>
      </w:r>
      <w:r>
        <w:rPr/>
        <w:t>(</w:t>
      </w:r>
      <w:r>
        <w:rPr>
          <w:rFonts w:ascii="Cambria"/>
        </w:rPr>
        <w:t>p</w:t>
      </w:r>
      <w:r>
        <w:rPr>
          <w:rFonts w:ascii="Cambria"/>
          <w:spacing w:val="40"/>
        </w:rPr>
        <w:t> </w:t>
      </w:r>
      <w:r>
        <w:rPr>
          <w:rFonts w:ascii="Garamond"/>
        </w:rPr>
        <w:t>=</w:t>
      </w:r>
      <w:r>
        <w:rPr>
          <w:rFonts w:ascii="Garamond"/>
          <w:spacing w:val="40"/>
        </w:rPr>
        <w:t> </w:t>
      </w:r>
      <w:r>
        <w:rPr>
          <w:rFonts w:ascii="Garamond"/>
        </w:rPr>
        <w:t>1</w:t>
      </w:r>
      <w:r>
        <w:rPr/>
        <w:t>, </w:t>
      </w:r>
      <w:r>
        <w:rPr>
          <w:rFonts w:ascii="Cambria"/>
        </w:rPr>
        <w:t>p</w:t>
      </w:r>
      <w:r>
        <w:rPr>
          <w:rFonts w:ascii="Cambria"/>
          <w:spacing w:val="40"/>
        </w:rPr>
        <w:t> </w:t>
      </w:r>
      <w:r>
        <w:rPr>
          <w:rFonts w:ascii="Garamond"/>
        </w:rPr>
        <w:t>=</w:t>
      </w:r>
      <w:r>
        <w:rPr>
          <w:rFonts w:ascii="Garamond"/>
          <w:spacing w:val="34"/>
        </w:rPr>
        <w:t> </w:t>
      </w:r>
      <w:r>
        <w:rPr>
          <w:rFonts w:ascii="Garamond"/>
        </w:rPr>
        <w:t>2 </w:t>
      </w:r>
      <w:r>
        <w:rPr/>
        <w:t>and </w:t>
      </w:r>
      <w:r>
        <w:rPr>
          <w:rFonts w:ascii="Cambria"/>
        </w:rPr>
        <w:t>p</w:t>
      </w:r>
      <w:r>
        <w:rPr>
          <w:rFonts w:ascii="Cambria"/>
          <w:spacing w:val="40"/>
        </w:rPr>
        <w:t> </w:t>
      </w:r>
      <w:r>
        <w:rPr>
          <w:rFonts w:ascii="Garamond"/>
        </w:rPr>
        <w:t>=</w:t>
      </w:r>
      <w:r>
        <w:rPr>
          <w:rFonts w:ascii="Garamond"/>
          <w:spacing w:val="34"/>
        </w:rPr>
        <w:t> </w:t>
      </w:r>
      <w:r>
        <w:rPr>
          <w:rFonts w:ascii="Garamond"/>
        </w:rPr>
        <w:t>3 </w:t>
      </w:r>
      <w:r>
        <w:rPr/>
        <w:t>in Equation</w:t>
      </w:r>
      <w:hyperlink w:history="true" w:anchor="_bookmark137">
        <w:r>
          <w:rPr>
            <w:color w:val="0000FF"/>
          </w:rPr>
          <w:t>5.4</w:t>
        </w:r>
        <w:r>
          <w:rPr/>
          <w:t>;</w:t>
        </w:r>
      </w:hyperlink>
      <w:r>
        <w:rPr/>
        <w:t> Figure</w:t>
      </w:r>
      <w:r>
        <w:rPr>
          <w:color w:val="0000FF"/>
        </w:rPr>
        <w:t>5.4</w:t>
      </w:r>
      <w:hyperlink w:history="true" w:anchor="_bookmark138">
        <w:r>
          <w:rPr/>
          <w:t>)</w:t>
        </w:r>
      </w:hyperlink>
      <w:r>
        <w:rPr/>
        <w:t> were evaluated at the between team level (i.e. using</w:t>
      </w:r>
      <w:r>
        <w:rPr>
          <w:spacing w:val="-10"/>
        </w:rPr>
        <w:t> </w:t>
      </w:r>
      <w:r>
        <w:rPr/>
        <w:t>the</w:t>
      </w:r>
      <w:r>
        <w:rPr>
          <w:spacing w:val="-10"/>
        </w:rPr>
        <w:t> </w:t>
      </w:r>
      <w:r>
        <w:rPr/>
        <w:t>team</w:t>
      </w:r>
      <w:r>
        <w:rPr>
          <w:spacing w:val="-10"/>
        </w:rPr>
        <w:t> </w:t>
      </w:r>
      <w:r>
        <w:rPr/>
        <w:t>overall</w:t>
      </w:r>
      <w:r>
        <w:rPr>
          <w:spacing w:val="-10"/>
        </w:rPr>
        <w:t> </w:t>
      </w:r>
      <w:r>
        <w:rPr/>
        <w:t>KDEs),</w:t>
      </w:r>
      <w:r>
        <w:rPr>
          <w:spacing w:val="-9"/>
        </w:rPr>
        <w:t> </w:t>
      </w:r>
      <w:r>
        <w:rPr/>
        <w:t>providing</w:t>
      </w:r>
      <w:r>
        <w:rPr>
          <w:spacing w:val="-10"/>
        </w:rPr>
        <w:t> </w:t>
      </w:r>
      <w:r>
        <w:rPr>
          <w:rFonts w:ascii="Cambria"/>
        </w:rPr>
        <w:t>W</w:t>
      </w:r>
      <w:r>
        <w:rPr>
          <w:rFonts w:ascii="Georgia"/>
          <w:vertAlign w:val="subscript"/>
        </w:rPr>
        <w:t>1</w:t>
      </w:r>
      <w:r>
        <w:rPr>
          <w:vertAlign w:val="baseline"/>
        </w:rPr>
        <w:t>,</w:t>
      </w:r>
      <w:r>
        <w:rPr>
          <w:spacing w:val="-9"/>
          <w:vertAlign w:val="baseline"/>
        </w:rPr>
        <w:t> </w:t>
      </w:r>
      <w:r>
        <w:rPr>
          <w:rFonts w:ascii="Cambria"/>
          <w:vertAlign w:val="baseline"/>
        </w:rPr>
        <w:t>W</w:t>
      </w:r>
      <w:r>
        <w:rPr>
          <w:rFonts w:ascii="Georgia"/>
          <w:vertAlign w:val="subscript"/>
        </w:rPr>
        <w:t>2</w:t>
      </w:r>
      <w:r>
        <w:rPr>
          <w:rFonts w:ascii="Georgia"/>
          <w:vertAlign w:val="baseline"/>
        </w:rPr>
        <w:t> </w:t>
      </w:r>
      <w:r>
        <w:rPr>
          <w:vertAlign w:val="baseline"/>
        </w:rPr>
        <w:t>and</w:t>
      </w:r>
      <w:r>
        <w:rPr>
          <w:spacing w:val="-10"/>
          <w:vertAlign w:val="baseline"/>
        </w:rPr>
        <w:t> </w:t>
      </w:r>
      <w:r>
        <w:rPr>
          <w:rFonts w:ascii="Cambria"/>
          <w:vertAlign w:val="baseline"/>
        </w:rPr>
        <w:t>W</w:t>
      </w:r>
      <w:r>
        <w:rPr>
          <w:rFonts w:ascii="Georgia"/>
          <w:vertAlign w:val="subscript"/>
        </w:rPr>
        <w:t>3</w:t>
      </w:r>
      <w:r>
        <w:rPr>
          <w:rFonts w:ascii="Georgia"/>
          <w:vertAlign w:val="baseline"/>
        </w:rPr>
        <w:t> </w:t>
      </w:r>
      <w:r>
        <w:rPr>
          <w:vertAlign w:val="baseline"/>
        </w:rPr>
        <w:t>values. The</w:t>
      </w:r>
      <w:r>
        <w:rPr>
          <w:spacing w:val="-10"/>
          <w:vertAlign w:val="baseline"/>
        </w:rPr>
        <w:t> </w:t>
      </w:r>
      <w:r>
        <w:rPr>
          <w:vertAlign w:val="baseline"/>
        </w:rPr>
        <w:t>cost</w:t>
      </w:r>
      <w:r>
        <w:rPr>
          <w:spacing w:val="-10"/>
          <w:vertAlign w:val="baseline"/>
        </w:rPr>
        <w:t> </w:t>
      </w:r>
      <w:r>
        <w:rPr>
          <w:vertAlign w:val="baseline"/>
        </w:rPr>
        <w:t>of</w:t>
      </w:r>
      <w:r>
        <w:rPr>
          <w:spacing w:val="-10"/>
          <w:vertAlign w:val="baseline"/>
        </w:rPr>
        <w:t> </w:t>
      </w:r>
      <w:r>
        <w:rPr>
          <w:vertAlign w:val="baseline"/>
        </w:rPr>
        <w:t>moving one</w:t>
      </w:r>
      <w:r>
        <w:rPr>
          <w:spacing w:val="-13"/>
          <w:vertAlign w:val="baseline"/>
        </w:rPr>
        <w:t> </w:t>
      </w:r>
      <w:r>
        <w:rPr>
          <w:vertAlign w:val="baseline"/>
        </w:rPr>
        <w:t>unit</w:t>
      </w:r>
      <w:r>
        <w:rPr>
          <w:spacing w:val="-13"/>
          <w:vertAlign w:val="baseline"/>
        </w:rPr>
        <w:t> </w:t>
      </w:r>
      <w:r>
        <w:rPr>
          <w:vertAlign w:val="baseline"/>
        </w:rPr>
        <w:t>in</w:t>
      </w:r>
      <w:r>
        <w:rPr>
          <w:spacing w:val="-13"/>
          <w:vertAlign w:val="baseline"/>
        </w:rPr>
        <w:t> </w:t>
      </w:r>
      <w:r>
        <w:rPr>
          <w:vertAlign w:val="baseline"/>
        </w:rPr>
        <w:t>the</w:t>
      </w:r>
      <w:r>
        <w:rPr>
          <w:spacing w:val="-13"/>
          <w:vertAlign w:val="baseline"/>
        </w:rPr>
        <w:t> </w:t>
      </w:r>
      <w:r>
        <w:rPr>
          <w:vertAlign w:val="baseline"/>
        </w:rPr>
        <w:t>horizontal</w:t>
      </w:r>
      <w:r>
        <w:rPr>
          <w:spacing w:val="-13"/>
          <w:vertAlign w:val="baseline"/>
        </w:rPr>
        <w:t> </w:t>
      </w:r>
      <w:r>
        <w:rPr>
          <w:vertAlign w:val="baseline"/>
        </w:rPr>
        <w:t>and</w:t>
      </w:r>
      <w:r>
        <w:rPr>
          <w:spacing w:val="-13"/>
          <w:vertAlign w:val="baseline"/>
        </w:rPr>
        <w:t> </w:t>
      </w:r>
      <w:r>
        <w:rPr>
          <w:vertAlign w:val="baseline"/>
        </w:rPr>
        <w:t>vertical</w:t>
      </w:r>
      <w:r>
        <w:rPr>
          <w:spacing w:val="-13"/>
          <w:vertAlign w:val="baseline"/>
        </w:rPr>
        <w:t> </w:t>
      </w:r>
      <w:r>
        <w:rPr>
          <w:vertAlign w:val="baseline"/>
        </w:rPr>
        <w:t>directions</w:t>
      </w:r>
      <w:r>
        <w:rPr>
          <w:spacing w:val="-13"/>
          <w:vertAlign w:val="baseline"/>
        </w:rPr>
        <w:t> </w:t>
      </w:r>
      <w:r>
        <w:rPr>
          <w:vertAlign w:val="baseline"/>
        </w:rPr>
        <w:t>is</w:t>
      </w:r>
      <w:r>
        <w:rPr>
          <w:spacing w:val="-13"/>
          <w:vertAlign w:val="baseline"/>
        </w:rPr>
        <w:t> </w:t>
      </w:r>
      <w:r>
        <w:rPr>
          <w:vertAlign w:val="baseline"/>
        </w:rPr>
        <w:t>identical</w:t>
      </w:r>
      <w:r>
        <w:rPr>
          <w:spacing w:val="-13"/>
          <w:vertAlign w:val="baseline"/>
        </w:rPr>
        <w:t> </w:t>
      </w:r>
      <w:r>
        <w:rPr>
          <w:vertAlign w:val="baseline"/>
        </w:rPr>
        <w:t>for</w:t>
      </w:r>
      <w:r>
        <w:rPr>
          <w:spacing w:val="-13"/>
          <w:vertAlign w:val="baseline"/>
        </w:rPr>
        <w:t> </w:t>
      </w:r>
      <w:r>
        <w:rPr>
          <w:vertAlign w:val="baseline"/>
        </w:rPr>
        <w:t>all</w:t>
      </w:r>
      <w:r>
        <w:rPr>
          <w:spacing w:val="-13"/>
          <w:vertAlign w:val="baseline"/>
        </w:rPr>
        <w:t> </w:t>
      </w:r>
      <w:r>
        <w:rPr>
          <w:vertAlign w:val="baseline"/>
        </w:rPr>
        <w:t>three</w:t>
      </w:r>
      <w:r>
        <w:rPr>
          <w:spacing w:val="-13"/>
          <w:vertAlign w:val="baseline"/>
        </w:rPr>
        <w:t> </w:t>
      </w:r>
      <w:r>
        <w:rPr>
          <w:vertAlign w:val="baseline"/>
        </w:rPr>
        <w:t>cost</w:t>
      </w:r>
      <w:r>
        <w:rPr>
          <w:spacing w:val="-13"/>
          <w:vertAlign w:val="baseline"/>
        </w:rPr>
        <w:t> </w:t>
      </w:r>
      <w:r>
        <w:rPr>
          <w:vertAlign w:val="baseline"/>
        </w:rPr>
        <w:t>functions</w:t>
      </w:r>
      <w:r>
        <w:rPr>
          <w:spacing w:val="-13"/>
          <w:vertAlign w:val="baseline"/>
        </w:rPr>
        <w:t> </w:t>
      </w:r>
      <w:r>
        <w:rPr>
          <w:vertAlign w:val="baseline"/>
        </w:rPr>
        <w:t>but the</w:t>
      </w:r>
      <w:r>
        <w:rPr>
          <w:spacing w:val="-12"/>
          <w:vertAlign w:val="baseline"/>
        </w:rPr>
        <w:t> </w:t>
      </w:r>
      <w:r>
        <w:rPr>
          <w:vertAlign w:val="baseline"/>
        </w:rPr>
        <w:t>diagonal</w:t>
      </w:r>
      <w:r>
        <w:rPr>
          <w:spacing w:val="-12"/>
          <w:vertAlign w:val="baseline"/>
        </w:rPr>
        <w:t> </w:t>
      </w:r>
      <w:r>
        <w:rPr>
          <w:vertAlign w:val="baseline"/>
        </w:rPr>
        <w:t>cost</w:t>
      </w:r>
      <w:r>
        <w:rPr>
          <w:spacing w:val="-12"/>
          <w:vertAlign w:val="baseline"/>
        </w:rPr>
        <w:t> </w:t>
      </w:r>
      <w:r>
        <w:rPr>
          <w:vertAlign w:val="baseline"/>
        </w:rPr>
        <w:t>differs</w:t>
      </w:r>
      <w:r>
        <w:rPr>
          <w:spacing w:val="-12"/>
          <w:vertAlign w:val="baseline"/>
        </w:rPr>
        <w:t> </w:t>
      </w:r>
      <w:r>
        <w:rPr>
          <w:vertAlign w:val="baseline"/>
        </w:rPr>
        <w:t>based</w:t>
      </w:r>
      <w:r>
        <w:rPr>
          <w:spacing w:val="-12"/>
          <w:vertAlign w:val="baseline"/>
        </w:rPr>
        <w:t> </w:t>
      </w:r>
      <w:r>
        <w:rPr>
          <w:vertAlign w:val="baseline"/>
        </w:rPr>
        <w:t>on</w:t>
      </w:r>
      <w:r>
        <w:rPr>
          <w:spacing w:val="-12"/>
          <w:vertAlign w:val="baseline"/>
        </w:rPr>
        <w:t> </w:t>
      </w:r>
      <w:r>
        <w:rPr>
          <w:vertAlign w:val="baseline"/>
        </w:rPr>
        <w:t>the</w:t>
      </w:r>
      <w:r>
        <w:rPr>
          <w:spacing w:val="-12"/>
          <w:vertAlign w:val="baseline"/>
        </w:rPr>
        <w:t> </w:t>
      </w:r>
      <w:r>
        <w:rPr>
          <w:rFonts w:ascii="Cambria"/>
          <w:vertAlign w:val="baseline"/>
        </w:rPr>
        <w:t>p</w:t>
      </w:r>
      <w:r>
        <w:rPr>
          <w:vertAlign w:val="baseline"/>
        </w:rPr>
        <w:t>-norm</w:t>
      </w:r>
      <w:r>
        <w:rPr>
          <w:spacing w:val="-12"/>
          <w:vertAlign w:val="baseline"/>
        </w:rPr>
        <w:t> </w:t>
      </w:r>
      <w:r>
        <w:rPr>
          <w:vertAlign w:val="baseline"/>
        </w:rPr>
        <w:t>used. The</w:t>
      </w:r>
      <w:r>
        <w:rPr>
          <w:spacing w:val="-12"/>
          <w:vertAlign w:val="baseline"/>
        </w:rPr>
        <w:t> </w:t>
      </w:r>
      <w:r>
        <w:rPr>
          <w:vertAlign w:val="baseline"/>
        </w:rPr>
        <w:t>diagonal</w:t>
      </w:r>
      <w:r>
        <w:rPr>
          <w:spacing w:val="-12"/>
          <w:vertAlign w:val="baseline"/>
        </w:rPr>
        <w:t> </w:t>
      </w:r>
      <w:r>
        <w:rPr>
          <w:vertAlign w:val="baseline"/>
        </w:rPr>
        <w:t>cost</w:t>
      </w:r>
      <w:r>
        <w:rPr>
          <w:spacing w:val="-12"/>
          <w:vertAlign w:val="baseline"/>
        </w:rPr>
        <w:t> </w:t>
      </w:r>
      <w:r>
        <w:rPr>
          <w:vertAlign w:val="baseline"/>
        </w:rPr>
        <w:t>of</w:t>
      </w:r>
      <w:r>
        <w:rPr>
          <w:spacing w:val="-12"/>
          <w:vertAlign w:val="baseline"/>
        </w:rPr>
        <w:t> </w:t>
      </w:r>
      <w:r>
        <w:rPr>
          <w:vertAlign w:val="baseline"/>
        </w:rPr>
        <w:t>mass</w:t>
      </w:r>
      <w:r>
        <w:rPr>
          <w:spacing w:val="-12"/>
          <w:vertAlign w:val="baseline"/>
        </w:rPr>
        <w:t> </w:t>
      </w:r>
      <w:r>
        <w:rPr>
          <w:vertAlign w:val="baseline"/>
        </w:rPr>
        <w:t>movement, imposed</w:t>
      </w:r>
      <w:r>
        <w:rPr>
          <w:spacing w:val="-11"/>
          <w:vertAlign w:val="baseline"/>
        </w:rPr>
        <w:t> </w:t>
      </w:r>
      <w:r>
        <w:rPr>
          <w:vertAlign w:val="baseline"/>
        </w:rPr>
        <w:t>by</w:t>
      </w:r>
      <w:r>
        <w:rPr>
          <w:spacing w:val="-12"/>
          <w:vertAlign w:val="baseline"/>
        </w:rPr>
        <w:t> </w:t>
      </w:r>
      <w:r>
        <w:rPr>
          <w:vertAlign w:val="baseline"/>
        </w:rPr>
        <w:t>the</w:t>
      </w:r>
      <w:r>
        <w:rPr>
          <w:spacing w:val="-11"/>
          <w:vertAlign w:val="baseline"/>
        </w:rPr>
        <w:t> </w:t>
      </w:r>
      <w:r>
        <w:rPr>
          <w:rFonts w:ascii="Cambria"/>
          <w:vertAlign w:val="baseline"/>
        </w:rPr>
        <w:t>L</w:t>
      </w:r>
      <w:r>
        <w:rPr>
          <w:rFonts w:ascii="Cambria"/>
          <w:vertAlign w:val="subscript"/>
        </w:rPr>
        <w:t>p</w:t>
      </w:r>
      <w:r>
        <w:rPr>
          <w:rFonts w:ascii="Cambria"/>
          <w:vertAlign w:val="baseline"/>
        </w:rPr>
        <w:t> </w:t>
      </w:r>
      <w:r>
        <w:rPr>
          <w:vertAlign w:val="baseline"/>
        </w:rPr>
        <w:t>norm</w:t>
      </w:r>
      <w:r>
        <w:rPr>
          <w:spacing w:val="-11"/>
          <w:vertAlign w:val="baseline"/>
        </w:rPr>
        <w:t> </w:t>
      </w:r>
      <w:r>
        <w:rPr>
          <w:vertAlign w:val="baseline"/>
        </w:rPr>
        <w:t>cost</w:t>
      </w:r>
      <w:r>
        <w:rPr>
          <w:spacing w:val="-11"/>
          <w:vertAlign w:val="baseline"/>
        </w:rPr>
        <w:t> </w:t>
      </w:r>
      <w:r>
        <w:rPr>
          <w:vertAlign w:val="baseline"/>
        </w:rPr>
        <w:t>function,</w:t>
      </w:r>
      <w:r>
        <w:rPr>
          <w:spacing w:val="-10"/>
          <w:vertAlign w:val="baseline"/>
        </w:rPr>
        <w:t> </w:t>
      </w:r>
      <w:r>
        <w:rPr>
          <w:vertAlign w:val="baseline"/>
        </w:rPr>
        <w:t>was</w:t>
      </w:r>
      <w:r>
        <w:rPr>
          <w:spacing w:val="-11"/>
          <w:vertAlign w:val="baseline"/>
        </w:rPr>
        <w:t> </w:t>
      </w:r>
      <w:r>
        <w:rPr>
          <w:vertAlign w:val="baseline"/>
        </w:rPr>
        <w:t>greater</w:t>
      </w:r>
      <w:r>
        <w:rPr>
          <w:spacing w:val="-11"/>
          <w:vertAlign w:val="baseline"/>
        </w:rPr>
        <w:t> </w:t>
      </w:r>
      <w:r>
        <w:rPr>
          <w:vertAlign w:val="baseline"/>
        </w:rPr>
        <w:t>in</w:t>
      </w:r>
      <w:r>
        <w:rPr>
          <w:spacing w:val="-11"/>
          <w:vertAlign w:val="baseline"/>
        </w:rPr>
        <w:t> </w:t>
      </w:r>
      <w:r>
        <w:rPr>
          <w:rFonts w:ascii="Cambria"/>
          <w:vertAlign w:val="baseline"/>
        </w:rPr>
        <w:t>W</w:t>
      </w:r>
      <w:r>
        <w:rPr>
          <w:rFonts w:ascii="Georgia"/>
          <w:vertAlign w:val="subscript"/>
        </w:rPr>
        <w:t>1</w:t>
      </w:r>
      <w:r>
        <w:rPr>
          <w:rFonts w:ascii="Georgia"/>
          <w:vertAlign w:val="baseline"/>
        </w:rPr>
        <w:t> </w:t>
      </w:r>
      <w:r>
        <w:rPr>
          <w:vertAlign w:val="baseline"/>
        </w:rPr>
        <w:t>than</w:t>
      </w:r>
      <w:r>
        <w:rPr>
          <w:spacing w:val="-11"/>
          <w:vertAlign w:val="baseline"/>
        </w:rPr>
        <w:t> </w:t>
      </w:r>
      <w:r>
        <w:rPr>
          <w:rFonts w:ascii="Cambria"/>
          <w:vertAlign w:val="baseline"/>
        </w:rPr>
        <w:t>W</w:t>
      </w:r>
      <w:r>
        <w:rPr>
          <w:rFonts w:ascii="Georgia"/>
          <w:vertAlign w:val="subscript"/>
        </w:rPr>
        <w:t>2</w:t>
      </w:r>
      <w:r>
        <w:rPr>
          <w:rFonts w:ascii="Georgia"/>
          <w:vertAlign w:val="baseline"/>
        </w:rPr>
        <w:t> </w:t>
      </w:r>
      <w:r>
        <w:rPr>
          <w:vertAlign w:val="baseline"/>
        </w:rPr>
        <w:t>(by</w:t>
      </w:r>
      <w:r>
        <w:rPr>
          <w:spacing w:val="-11"/>
          <w:vertAlign w:val="baseline"/>
        </w:rPr>
        <w:t> </w:t>
      </w:r>
      <w:r>
        <w:rPr>
          <w:vertAlign w:val="baseline"/>
        </w:rPr>
        <w:t>the</w:t>
      </w:r>
      <w:r>
        <w:rPr>
          <w:spacing w:val="-12"/>
          <w:vertAlign w:val="baseline"/>
        </w:rPr>
        <w:t> </w:t>
      </w:r>
      <w:r>
        <w:rPr>
          <w:vertAlign w:val="baseline"/>
        </w:rPr>
        <w:t>exponent</w:t>
      </w:r>
      <w:r>
        <w:rPr>
          <w:spacing w:val="-11"/>
          <w:vertAlign w:val="baseline"/>
        </w:rPr>
        <w:t> </w:t>
      </w:r>
      <w:r>
        <w:rPr>
          <w:vertAlign w:val="baseline"/>
        </w:rPr>
        <w:t>2)</w:t>
      </w:r>
      <w:r>
        <w:rPr>
          <w:spacing w:val="-11"/>
          <w:vertAlign w:val="baseline"/>
        </w:rPr>
        <w:t> </w:t>
      </w:r>
      <w:r>
        <w:rPr>
          <w:vertAlign w:val="baseline"/>
        </w:rPr>
        <w:t>and </w:t>
      </w:r>
      <w:r>
        <w:rPr>
          <w:rFonts w:ascii="Cambria"/>
          <w:vertAlign w:val="baseline"/>
        </w:rPr>
        <w:t>W</w:t>
      </w:r>
      <w:r>
        <w:rPr>
          <w:rFonts w:ascii="Georgia"/>
          <w:vertAlign w:val="subscript"/>
        </w:rPr>
        <w:t>3</w:t>
      </w:r>
      <w:r>
        <w:rPr>
          <w:rFonts w:ascii="Georgia"/>
          <w:vertAlign w:val="baseline"/>
        </w:rPr>
        <w:t> </w:t>
      </w:r>
      <w:r>
        <w:rPr>
          <w:vertAlign w:val="baseline"/>
        </w:rPr>
        <w:t>(by the exponent 3).</w:t>
      </w:r>
      <w:r>
        <w:rPr>
          <w:spacing w:val="25"/>
          <w:vertAlign w:val="baseline"/>
        </w:rPr>
        <w:t> </w:t>
      </w:r>
      <w:r>
        <w:rPr>
          <w:vertAlign w:val="baseline"/>
        </w:rPr>
        <w:t>The between team analysis compared the mathematical proper- ties</w:t>
      </w:r>
      <w:r>
        <w:rPr>
          <w:spacing w:val="-7"/>
          <w:vertAlign w:val="baseline"/>
        </w:rPr>
        <w:t> </w:t>
      </w:r>
      <w:r>
        <w:rPr>
          <w:vertAlign w:val="baseline"/>
        </w:rPr>
        <w:t>of</w:t>
      </w:r>
      <w:r>
        <w:rPr>
          <w:spacing w:val="-7"/>
          <w:vertAlign w:val="baseline"/>
        </w:rPr>
        <w:t> </w:t>
      </w:r>
      <w:r>
        <w:rPr>
          <w:vertAlign w:val="baseline"/>
        </w:rPr>
        <w:t>each</w:t>
      </w:r>
      <w:r>
        <w:rPr>
          <w:spacing w:val="-6"/>
          <w:vertAlign w:val="baseline"/>
        </w:rPr>
        <w:t> </w:t>
      </w:r>
      <w:r>
        <w:rPr>
          <w:vertAlign w:val="baseline"/>
        </w:rPr>
        <w:t>cost</w:t>
      </w:r>
      <w:r>
        <w:rPr>
          <w:spacing w:val="-7"/>
          <w:vertAlign w:val="baseline"/>
        </w:rPr>
        <w:t> </w:t>
      </w:r>
      <w:r>
        <w:rPr>
          <w:vertAlign w:val="baseline"/>
        </w:rPr>
        <w:t>function</w:t>
      </w:r>
      <w:r>
        <w:rPr>
          <w:spacing w:val="-7"/>
          <w:vertAlign w:val="baseline"/>
        </w:rPr>
        <w:t> </w:t>
      </w:r>
      <w:r>
        <w:rPr>
          <w:vertAlign w:val="baseline"/>
        </w:rPr>
        <w:t>to</w:t>
      </w:r>
      <w:r>
        <w:rPr>
          <w:spacing w:val="-7"/>
          <w:vertAlign w:val="baseline"/>
        </w:rPr>
        <w:t> </w:t>
      </w:r>
      <w:r>
        <w:rPr>
          <w:vertAlign w:val="baseline"/>
        </w:rPr>
        <w:t>the</w:t>
      </w:r>
      <w:r>
        <w:rPr>
          <w:spacing w:val="-6"/>
          <w:vertAlign w:val="baseline"/>
        </w:rPr>
        <w:t> </w:t>
      </w:r>
      <w:r>
        <w:rPr>
          <w:vertAlign w:val="baseline"/>
        </w:rPr>
        <w:t>visual</w:t>
      </w:r>
      <w:r>
        <w:rPr>
          <w:spacing w:val="-7"/>
          <w:vertAlign w:val="baseline"/>
        </w:rPr>
        <w:t> </w:t>
      </w:r>
      <w:r>
        <w:rPr>
          <w:vertAlign w:val="baseline"/>
        </w:rPr>
        <w:t>differences</w:t>
      </w:r>
      <w:r>
        <w:rPr>
          <w:spacing w:val="-7"/>
          <w:vertAlign w:val="baseline"/>
        </w:rPr>
        <w:t> </w:t>
      </w:r>
      <w:r>
        <w:rPr>
          <w:vertAlign w:val="baseline"/>
        </w:rPr>
        <w:t>identified</w:t>
      </w:r>
      <w:r>
        <w:rPr>
          <w:spacing w:val="-7"/>
          <w:vertAlign w:val="baseline"/>
        </w:rPr>
        <w:t> </w:t>
      </w:r>
      <w:r>
        <w:rPr>
          <w:vertAlign w:val="baseline"/>
        </w:rPr>
        <w:t>in</w:t>
      </w:r>
      <w:r>
        <w:rPr>
          <w:spacing w:val="-6"/>
          <w:vertAlign w:val="baseline"/>
        </w:rPr>
        <w:t> </w:t>
      </w:r>
      <w:r>
        <w:rPr>
          <w:vertAlign w:val="baseline"/>
        </w:rPr>
        <w:t>the</w:t>
      </w:r>
      <w:r>
        <w:rPr>
          <w:spacing w:val="-7"/>
          <w:vertAlign w:val="baseline"/>
        </w:rPr>
        <w:t> </w:t>
      </w:r>
      <w:r>
        <w:rPr>
          <w:vertAlign w:val="baseline"/>
        </w:rPr>
        <w:t>KDEs</w:t>
      </w:r>
      <w:r>
        <w:rPr>
          <w:spacing w:val="-7"/>
          <w:vertAlign w:val="baseline"/>
        </w:rPr>
        <w:t> </w:t>
      </w:r>
      <w:r>
        <w:rPr>
          <w:vertAlign w:val="baseline"/>
        </w:rPr>
        <w:t>and</w:t>
      </w:r>
      <w:r>
        <w:rPr>
          <w:spacing w:val="-7"/>
          <w:vertAlign w:val="baseline"/>
        </w:rPr>
        <w:t> </w:t>
      </w:r>
      <w:r>
        <w:rPr>
          <w:vertAlign w:val="baseline"/>
        </w:rPr>
        <w:t>was</w:t>
      </w:r>
      <w:r>
        <w:rPr>
          <w:spacing w:val="-6"/>
          <w:vertAlign w:val="baseline"/>
        </w:rPr>
        <w:t> </w:t>
      </w:r>
      <w:r>
        <w:rPr>
          <w:vertAlign w:val="baseline"/>
        </w:rPr>
        <w:t>used</w:t>
      </w:r>
      <w:r>
        <w:rPr>
          <w:spacing w:val="-7"/>
          <w:vertAlign w:val="baseline"/>
        </w:rPr>
        <w:t> </w:t>
      </w:r>
      <w:r>
        <w:rPr>
          <w:vertAlign w:val="baseline"/>
        </w:rPr>
        <w:t>to identify</w:t>
      </w:r>
      <w:r>
        <w:rPr>
          <w:spacing w:val="-11"/>
          <w:vertAlign w:val="baseline"/>
        </w:rPr>
        <w:t> </w:t>
      </w:r>
      <w:r>
        <w:rPr>
          <w:vertAlign w:val="baseline"/>
        </w:rPr>
        <w:t>the</w:t>
      </w:r>
      <w:r>
        <w:rPr>
          <w:spacing w:val="-12"/>
          <w:vertAlign w:val="baseline"/>
        </w:rPr>
        <w:t> </w:t>
      </w:r>
      <w:r>
        <w:rPr>
          <w:vertAlign w:val="baseline"/>
        </w:rPr>
        <w:t>most</w:t>
      </w:r>
      <w:r>
        <w:rPr>
          <w:spacing w:val="-11"/>
          <w:vertAlign w:val="baseline"/>
        </w:rPr>
        <w:t> </w:t>
      </w:r>
      <w:r>
        <w:rPr>
          <w:vertAlign w:val="baseline"/>
        </w:rPr>
        <w:t>appropriate</w:t>
      </w:r>
      <w:r>
        <w:rPr>
          <w:spacing w:val="-12"/>
          <w:vertAlign w:val="baseline"/>
        </w:rPr>
        <w:t> </w:t>
      </w:r>
      <w:r>
        <w:rPr>
          <w:vertAlign w:val="baseline"/>
        </w:rPr>
        <w:t>cost</w:t>
      </w:r>
      <w:r>
        <w:rPr>
          <w:spacing w:val="-11"/>
          <w:vertAlign w:val="baseline"/>
        </w:rPr>
        <w:t> </w:t>
      </w:r>
      <w:r>
        <w:rPr>
          <w:vertAlign w:val="baseline"/>
        </w:rPr>
        <w:t>function</w:t>
      </w:r>
      <w:r>
        <w:rPr>
          <w:spacing w:val="-11"/>
          <w:vertAlign w:val="baseline"/>
        </w:rPr>
        <w:t> </w:t>
      </w:r>
      <w:r>
        <w:rPr>
          <w:vertAlign w:val="baseline"/>
        </w:rPr>
        <w:t>for</w:t>
      </w:r>
      <w:r>
        <w:rPr>
          <w:spacing w:val="-12"/>
          <w:vertAlign w:val="baseline"/>
        </w:rPr>
        <w:t> </w:t>
      </w:r>
      <w:r>
        <w:rPr>
          <w:vertAlign w:val="baseline"/>
        </w:rPr>
        <w:t>use</w:t>
      </w:r>
      <w:r>
        <w:rPr>
          <w:spacing w:val="-11"/>
          <w:vertAlign w:val="baseline"/>
        </w:rPr>
        <w:t> </w:t>
      </w:r>
      <w:r>
        <w:rPr>
          <w:vertAlign w:val="baseline"/>
        </w:rPr>
        <w:t>in</w:t>
      </w:r>
      <w:r>
        <w:rPr>
          <w:spacing w:val="-12"/>
          <w:vertAlign w:val="baseline"/>
        </w:rPr>
        <w:t> </w:t>
      </w:r>
      <w:r>
        <w:rPr>
          <w:vertAlign w:val="baseline"/>
        </w:rPr>
        <w:t>rugby</w:t>
      </w:r>
      <w:r>
        <w:rPr>
          <w:spacing w:val="-11"/>
          <w:vertAlign w:val="baseline"/>
        </w:rPr>
        <w:t> </w:t>
      </w:r>
      <w:r>
        <w:rPr>
          <w:vertAlign w:val="baseline"/>
        </w:rPr>
        <w:t>league</w:t>
      </w:r>
      <w:r>
        <w:rPr>
          <w:spacing w:val="-11"/>
          <w:vertAlign w:val="baseline"/>
        </w:rPr>
        <w:t> </w:t>
      </w:r>
      <w:r>
        <w:rPr>
          <w:vertAlign w:val="baseline"/>
        </w:rPr>
        <w:t>from</w:t>
      </w:r>
      <w:r>
        <w:rPr>
          <w:spacing w:val="-12"/>
          <w:vertAlign w:val="baseline"/>
        </w:rPr>
        <w:t> </w:t>
      </w:r>
      <w:r>
        <w:rPr>
          <w:vertAlign w:val="baseline"/>
        </w:rPr>
        <w:t>those</w:t>
      </w:r>
      <w:r>
        <w:rPr>
          <w:spacing w:val="-11"/>
          <w:vertAlign w:val="baseline"/>
        </w:rPr>
        <w:t> </w:t>
      </w:r>
      <w:r>
        <w:rPr>
          <w:vertAlign w:val="baseline"/>
        </w:rPr>
        <w:t>considered. From this analysis, the Minkowski distance (</w:t>
      </w:r>
      <w:r>
        <w:rPr>
          <w:rFonts w:ascii="Cambria"/>
          <w:vertAlign w:val="baseline"/>
        </w:rPr>
        <w:t>p</w:t>
      </w:r>
      <w:r>
        <w:rPr>
          <w:rFonts w:ascii="Cambria"/>
          <w:spacing w:val="22"/>
          <w:vertAlign w:val="baseline"/>
        </w:rPr>
        <w:t> </w:t>
      </w:r>
      <w:r>
        <w:rPr>
          <w:rFonts w:ascii="Garamond"/>
          <w:vertAlign w:val="baseline"/>
        </w:rPr>
        <w:t>= 3</w:t>
      </w:r>
      <w:r>
        <w:rPr>
          <w:vertAlign w:val="baseline"/>
        </w:rPr>
        <w:t>) cost function was selected and used for all further analyses in the study.</w:t>
      </w:r>
    </w:p>
    <w:p>
      <w:pPr>
        <w:pStyle w:val="BodyText"/>
        <w:spacing w:before="8"/>
        <w:rPr>
          <w:sz w:val="31"/>
        </w:rPr>
      </w:pPr>
    </w:p>
    <w:p>
      <w:pPr>
        <w:pStyle w:val="Heading4"/>
        <w:numPr>
          <w:ilvl w:val="3"/>
          <w:numId w:val="23"/>
        </w:numPr>
        <w:tabs>
          <w:tab w:pos="1506" w:val="left" w:leader="none"/>
          <w:tab w:pos="1508" w:val="left" w:leader="none"/>
        </w:tabs>
        <w:spacing w:line="240" w:lineRule="auto" w:before="1" w:after="0"/>
        <w:ind w:left="1507" w:right="0" w:hanging="898"/>
        <w:jc w:val="left"/>
      </w:pPr>
      <w:bookmarkStart w:name="_TOC_250023" w:id="241"/>
      <w:bookmarkStart w:name="5.2.4.1 Normalised Axis Wasserstein Dist" w:id="242"/>
      <w:r>
        <w:rPr>
          <w:b w:val="0"/>
        </w:rPr>
      </w:r>
      <w:bookmarkStart w:name="_bookmark139" w:id="243"/>
      <w:bookmarkEnd w:id="243"/>
      <w:r>
        <w:rPr>
          <w:spacing w:val="-2"/>
        </w:rPr>
        <w:t>Normalised</w:t>
      </w:r>
      <w:r>
        <w:rPr/>
        <w:t> </w:t>
      </w:r>
      <w:r>
        <w:rPr>
          <w:spacing w:val="-2"/>
        </w:rPr>
        <w:t>Axis</w:t>
      </w:r>
      <w:r>
        <w:rPr>
          <w:spacing w:val="1"/>
        </w:rPr>
        <w:t> </w:t>
      </w:r>
      <w:r>
        <w:rPr>
          <w:spacing w:val="-2"/>
        </w:rPr>
        <w:t>Wasserstein</w:t>
      </w:r>
      <w:r>
        <w:rPr>
          <w:spacing w:val="1"/>
        </w:rPr>
        <w:t> </w:t>
      </w:r>
      <w:bookmarkEnd w:id="241"/>
      <w:r>
        <w:rPr>
          <w:spacing w:val="-2"/>
        </w:rPr>
        <w:t>Distance</w:t>
      </w:r>
    </w:p>
    <w:p>
      <w:pPr>
        <w:pStyle w:val="BodyText"/>
        <w:spacing w:line="307" w:lineRule="auto" w:before="244"/>
        <w:ind w:left="610" w:right="389"/>
        <w:jc w:val="both"/>
      </w:pPr>
      <w:r>
        <w:rPr/>
        <w:t>To</w:t>
      </w:r>
      <w:r>
        <w:rPr>
          <w:spacing w:val="-8"/>
        </w:rPr>
        <w:t> </w:t>
      </w:r>
      <w:r>
        <w:rPr/>
        <w:t>understand</w:t>
      </w:r>
      <w:r>
        <w:rPr>
          <w:spacing w:val="-8"/>
        </w:rPr>
        <w:t> </w:t>
      </w:r>
      <w:r>
        <w:rPr/>
        <w:t>axis</w:t>
      </w:r>
      <w:r>
        <w:rPr>
          <w:spacing w:val="-8"/>
        </w:rPr>
        <w:t> </w:t>
      </w:r>
      <w:r>
        <w:rPr/>
        <w:t>level</w:t>
      </w:r>
      <w:r>
        <w:rPr>
          <w:spacing w:val="-8"/>
        </w:rPr>
        <w:t> </w:t>
      </w:r>
      <w:r>
        <w:rPr/>
        <w:t>differences</w:t>
      </w:r>
      <w:r>
        <w:rPr>
          <w:spacing w:val="-8"/>
        </w:rPr>
        <w:t> </w:t>
      </w:r>
      <w:r>
        <w:rPr/>
        <w:t>in</w:t>
      </w:r>
      <w:r>
        <w:rPr>
          <w:spacing w:val="-8"/>
        </w:rPr>
        <w:t> </w:t>
      </w:r>
      <w:r>
        <w:rPr/>
        <w:t>the</w:t>
      </w:r>
      <w:r>
        <w:rPr>
          <w:spacing w:val="-8"/>
        </w:rPr>
        <w:t> </w:t>
      </w:r>
      <w:r>
        <w:rPr/>
        <w:t>spatial</w:t>
      </w:r>
      <w:r>
        <w:rPr>
          <w:spacing w:val="-8"/>
        </w:rPr>
        <w:t> </w:t>
      </w:r>
      <w:r>
        <w:rPr/>
        <w:t>trends</w:t>
      </w:r>
      <w:r>
        <w:rPr>
          <w:spacing w:val="-8"/>
        </w:rPr>
        <w:t> </w:t>
      </w:r>
      <w:r>
        <w:rPr/>
        <w:t>of</w:t>
      </w:r>
      <w:r>
        <w:rPr>
          <w:spacing w:val="-8"/>
        </w:rPr>
        <w:t> </w:t>
      </w:r>
      <w:r>
        <w:rPr/>
        <w:t>team</w:t>
      </w:r>
      <w:r>
        <w:rPr>
          <w:spacing w:val="-8"/>
        </w:rPr>
        <w:t> </w:t>
      </w:r>
      <w:r>
        <w:rPr/>
        <w:t>attacking</w:t>
      </w:r>
      <w:r>
        <w:rPr>
          <w:spacing w:val="-8"/>
        </w:rPr>
        <w:t> </w:t>
      </w:r>
      <w:r>
        <w:rPr/>
        <w:t>performances, the</w:t>
      </w:r>
      <w:r>
        <w:rPr>
          <w:spacing w:val="-15"/>
        </w:rPr>
        <w:t> </w:t>
      </w:r>
      <w:r>
        <w:rPr/>
        <w:t>cost</w:t>
      </w:r>
      <w:r>
        <w:rPr>
          <w:spacing w:val="-15"/>
        </w:rPr>
        <w:t> </w:t>
      </w:r>
      <w:r>
        <w:rPr/>
        <w:t>function</w:t>
      </w:r>
      <w:r>
        <w:rPr>
          <w:spacing w:val="-14"/>
        </w:rPr>
        <w:t> </w:t>
      </w:r>
      <w:r>
        <w:rPr/>
        <w:t>was</w:t>
      </w:r>
      <w:r>
        <w:rPr>
          <w:spacing w:val="-15"/>
        </w:rPr>
        <w:t> </w:t>
      </w:r>
      <w:r>
        <w:rPr/>
        <w:t>manipulated</w:t>
      </w:r>
      <w:r>
        <w:rPr>
          <w:spacing w:val="-15"/>
        </w:rPr>
        <w:t> </w:t>
      </w:r>
      <w:r>
        <w:rPr/>
        <w:t>and</w:t>
      </w:r>
      <w:r>
        <w:rPr>
          <w:spacing w:val="-14"/>
        </w:rPr>
        <w:t> </w:t>
      </w:r>
      <w:r>
        <w:rPr/>
        <w:t>compared</w:t>
      </w:r>
      <w:r>
        <w:rPr>
          <w:spacing w:val="-15"/>
        </w:rPr>
        <w:t> </w:t>
      </w:r>
      <w:r>
        <w:rPr/>
        <w:t>to</w:t>
      </w:r>
      <w:r>
        <w:rPr>
          <w:spacing w:val="-15"/>
        </w:rPr>
        <w:t> </w:t>
      </w:r>
      <w:r>
        <w:rPr/>
        <w:t>the</w:t>
      </w:r>
      <w:r>
        <w:rPr>
          <w:spacing w:val="-14"/>
        </w:rPr>
        <w:t> </w:t>
      </w:r>
      <w:r>
        <w:rPr/>
        <w:t>results</w:t>
      </w:r>
      <w:r>
        <w:rPr>
          <w:spacing w:val="-15"/>
        </w:rPr>
        <w:t> </w:t>
      </w:r>
      <w:r>
        <w:rPr/>
        <w:t>of</w:t>
      </w:r>
      <w:r>
        <w:rPr>
          <w:spacing w:val="-14"/>
        </w:rPr>
        <w:t> </w:t>
      </w:r>
      <w:r>
        <w:rPr/>
        <w:t>the</w:t>
      </w:r>
      <w:r>
        <w:rPr>
          <w:spacing w:val="-15"/>
        </w:rPr>
        <w:t> </w:t>
      </w:r>
      <w:r>
        <w:rPr/>
        <w:t>Wasserstein</w:t>
      </w:r>
      <w:r>
        <w:rPr>
          <w:spacing w:val="-15"/>
        </w:rPr>
        <w:t> </w:t>
      </w:r>
      <w:r>
        <w:rPr/>
        <w:t>distance calculated using the unweighted </w:t>
      </w:r>
      <w:r>
        <w:rPr>
          <w:rFonts w:ascii="Cambria"/>
        </w:rPr>
        <w:t>p </w:t>
      </w:r>
      <w:r>
        <w:rPr>
          <w:rFonts w:ascii="Garamond"/>
        </w:rPr>
        <w:t>= 3 </w:t>
      </w:r>
      <w:r>
        <w:rPr/>
        <w:t>cost function (</w:t>
      </w:r>
      <w:r>
        <w:rPr>
          <w:rFonts w:ascii="Cambria"/>
        </w:rPr>
        <w:t>W</w:t>
      </w:r>
      <w:r>
        <w:rPr>
          <w:rFonts w:ascii="Georgia"/>
          <w:vertAlign w:val="subscript"/>
        </w:rPr>
        <w:t>3</w:t>
      </w:r>
      <w:r>
        <w:rPr>
          <w:vertAlign w:val="baseline"/>
        </w:rPr>
        <w:t>, described above).</w:t>
      </w:r>
      <w:r>
        <w:rPr>
          <w:spacing w:val="40"/>
          <w:vertAlign w:val="baseline"/>
        </w:rPr>
        <w:t> </w:t>
      </w:r>
      <w:r>
        <w:rPr>
          <w:vertAlign w:val="baseline"/>
        </w:rPr>
        <w:t>Equal and unequal weightings of the </w:t>
      </w:r>
      <w:r>
        <w:rPr>
          <w:rFonts w:ascii="Cambria"/>
          <w:vertAlign w:val="baseline"/>
        </w:rPr>
        <w:t>W</w:t>
      </w:r>
      <w:r>
        <w:rPr>
          <w:rFonts w:ascii="Georgia"/>
          <w:vertAlign w:val="subscript"/>
        </w:rPr>
        <w:t>3</w:t>
      </w:r>
      <w:r>
        <w:rPr>
          <w:rFonts w:ascii="Georgia"/>
          <w:vertAlign w:val="baseline"/>
        </w:rPr>
        <w:t> </w:t>
      </w:r>
      <w:r>
        <w:rPr>
          <w:vertAlign w:val="baseline"/>
        </w:rPr>
        <w:t>cost function were considered (Table</w:t>
      </w:r>
      <w:hyperlink w:history="true" w:anchor="_bookmark141">
        <w:r>
          <w:rPr>
            <w:color w:val="0000FF"/>
            <w:vertAlign w:val="baseline"/>
          </w:rPr>
          <w:t>5.5</w:t>
        </w:r>
      </w:hyperlink>
      <w:r>
        <w:rPr>
          <w:vertAlign w:val="baseline"/>
        </w:rPr>
        <w:t>).</w:t>
      </w:r>
      <w:r>
        <w:rPr>
          <w:spacing w:val="40"/>
          <w:vertAlign w:val="baseline"/>
        </w:rPr>
        <w:t> </w:t>
      </w:r>
      <w:r>
        <w:rPr>
          <w:vertAlign w:val="baseline"/>
        </w:rPr>
        <w:t>Equal weight- ings</w:t>
      </w:r>
      <w:r>
        <w:rPr>
          <w:spacing w:val="17"/>
          <w:vertAlign w:val="baseline"/>
        </w:rPr>
        <w:t> </w:t>
      </w:r>
      <w:r>
        <w:rPr>
          <w:vertAlign w:val="baseline"/>
        </w:rPr>
        <w:t>multiplied</w:t>
      </w:r>
      <w:r>
        <w:rPr>
          <w:spacing w:val="17"/>
          <w:vertAlign w:val="baseline"/>
        </w:rPr>
        <w:t> </w:t>
      </w:r>
      <w:r>
        <w:rPr>
          <w:vertAlign w:val="baseline"/>
        </w:rPr>
        <w:t>the </w:t>
      </w:r>
      <w:r>
        <w:rPr>
          <w:rFonts w:ascii="Cambria"/>
          <w:vertAlign w:val="baseline"/>
        </w:rPr>
        <w:t>x</w:t>
      </w:r>
      <w:r>
        <w:rPr>
          <w:rFonts w:ascii="Cambria"/>
          <w:spacing w:val="23"/>
          <w:vertAlign w:val="baseline"/>
        </w:rPr>
        <w:t> </w:t>
      </w:r>
      <w:r>
        <w:rPr>
          <w:vertAlign w:val="baseline"/>
        </w:rPr>
        <w:t>and</w:t>
      </w:r>
      <w:r>
        <w:rPr>
          <w:spacing w:val="17"/>
          <w:vertAlign w:val="baseline"/>
        </w:rPr>
        <w:t> </w:t>
      </w:r>
      <w:r>
        <w:rPr>
          <w:rFonts w:ascii="Cambria"/>
          <w:vertAlign w:val="baseline"/>
        </w:rPr>
        <w:t>y</w:t>
      </w:r>
      <w:r>
        <w:rPr>
          <w:rFonts w:ascii="Cambria"/>
          <w:spacing w:val="31"/>
          <w:vertAlign w:val="baseline"/>
        </w:rPr>
        <w:t> </w:t>
      </w:r>
      <w:r>
        <w:rPr>
          <w:vertAlign w:val="baseline"/>
        </w:rPr>
        <w:t>components</w:t>
      </w:r>
      <w:r>
        <w:rPr>
          <w:spacing w:val="17"/>
          <w:vertAlign w:val="baseline"/>
        </w:rPr>
        <w:t> </w:t>
      </w:r>
      <w:r>
        <w:rPr>
          <w:vertAlign w:val="baseline"/>
        </w:rPr>
        <w:t>by</w:t>
      </w:r>
      <w:r>
        <w:rPr>
          <w:spacing w:val="17"/>
          <w:vertAlign w:val="baseline"/>
        </w:rPr>
        <w:t> </w:t>
      </w:r>
      <w:r>
        <w:rPr>
          <w:vertAlign w:val="baseline"/>
        </w:rPr>
        <w:t>an equivalent</w:t>
      </w:r>
      <w:r>
        <w:rPr>
          <w:spacing w:val="17"/>
          <w:vertAlign w:val="baseline"/>
        </w:rPr>
        <w:t> </w:t>
      </w:r>
      <w:r>
        <w:rPr>
          <w:vertAlign w:val="baseline"/>
        </w:rPr>
        <w:t>factor</w:t>
      </w:r>
      <w:r>
        <w:rPr>
          <w:spacing w:val="17"/>
          <w:vertAlign w:val="baseline"/>
        </w:rPr>
        <w:t> </w:t>
      </w:r>
      <w:r>
        <w:rPr>
          <w:vertAlign w:val="baseline"/>
        </w:rPr>
        <w:t>(</w:t>
      </w:r>
      <w:r>
        <w:rPr>
          <w:rFonts w:ascii="Garamond"/>
          <w:vertAlign w:val="baseline"/>
        </w:rPr>
        <w:t>2</w:t>
      </w:r>
      <w:r>
        <w:rPr>
          <w:rFonts w:ascii="Garamond"/>
          <w:spacing w:val="17"/>
          <w:vertAlign w:val="baseline"/>
        </w:rPr>
        <w:t> </w:t>
      </w:r>
      <w:r>
        <w:rPr>
          <w:vertAlign w:val="baseline"/>
        </w:rPr>
        <w:t>and</w:t>
      </w:r>
      <w:r>
        <w:rPr>
          <w:spacing w:val="17"/>
          <w:vertAlign w:val="baseline"/>
        </w:rPr>
        <w:t> </w:t>
      </w:r>
      <w:r>
        <w:rPr>
          <w:rFonts w:ascii="Garamond"/>
          <w:vertAlign w:val="baseline"/>
        </w:rPr>
        <w:t>3</w:t>
      </w:r>
      <w:r>
        <w:rPr>
          <w:rFonts w:ascii="Garamond"/>
          <w:spacing w:val="17"/>
          <w:vertAlign w:val="baseline"/>
        </w:rPr>
        <w:t> </w:t>
      </w:r>
      <w:r>
        <w:rPr>
          <w:vertAlign w:val="baseline"/>
        </w:rPr>
        <w:t>in</w:t>
      </w:r>
      <w:r>
        <w:rPr>
          <w:spacing w:val="17"/>
          <w:vertAlign w:val="baseline"/>
        </w:rPr>
        <w:t> </w:t>
      </w:r>
      <w:r>
        <w:rPr>
          <w:vertAlign w:val="baseline"/>
        </w:rPr>
        <w:t>this</w:t>
      </w:r>
      <w:r>
        <w:rPr>
          <w:spacing w:val="17"/>
          <w:vertAlign w:val="baseline"/>
        </w:rPr>
        <w:t> </w:t>
      </w:r>
      <w:r>
        <w:rPr>
          <w:vertAlign w:val="baseline"/>
        </w:rPr>
        <w:t>study) to</w:t>
      </w:r>
      <w:r>
        <w:rPr>
          <w:spacing w:val="-4"/>
          <w:vertAlign w:val="baseline"/>
        </w:rPr>
        <w:t> </w:t>
      </w:r>
      <w:r>
        <w:rPr>
          <w:vertAlign w:val="baseline"/>
        </w:rPr>
        <w:t>identify</w:t>
      </w:r>
      <w:r>
        <w:rPr>
          <w:spacing w:val="-4"/>
          <w:vertAlign w:val="baseline"/>
        </w:rPr>
        <w:t> </w:t>
      </w:r>
      <w:r>
        <w:rPr>
          <w:vertAlign w:val="baseline"/>
        </w:rPr>
        <w:t>whether</w:t>
      </w:r>
      <w:r>
        <w:rPr>
          <w:spacing w:val="-4"/>
          <w:vertAlign w:val="baseline"/>
        </w:rPr>
        <w:t> </w:t>
      </w:r>
      <w:r>
        <w:rPr>
          <w:vertAlign w:val="baseline"/>
        </w:rPr>
        <w:t>further</w:t>
      </w:r>
      <w:r>
        <w:rPr>
          <w:spacing w:val="-4"/>
          <w:vertAlign w:val="baseline"/>
        </w:rPr>
        <w:t> </w:t>
      </w:r>
      <w:r>
        <w:rPr>
          <w:vertAlign w:val="baseline"/>
        </w:rPr>
        <w:t>insights</w:t>
      </w:r>
      <w:r>
        <w:rPr>
          <w:spacing w:val="-4"/>
          <w:vertAlign w:val="baseline"/>
        </w:rPr>
        <w:t> </w:t>
      </w:r>
      <w:r>
        <w:rPr>
          <w:vertAlign w:val="baseline"/>
        </w:rPr>
        <w:t>could</w:t>
      </w:r>
      <w:r>
        <w:rPr>
          <w:spacing w:val="-4"/>
          <w:vertAlign w:val="baseline"/>
        </w:rPr>
        <w:t> </w:t>
      </w:r>
      <w:r>
        <w:rPr>
          <w:vertAlign w:val="baseline"/>
        </w:rPr>
        <w:t>be</w:t>
      </w:r>
      <w:r>
        <w:rPr>
          <w:spacing w:val="-4"/>
          <w:vertAlign w:val="baseline"/>
        </w:rPr>
        <w:t> </w:t>
      </w:r>
      <w:r>
        <w:rPr>
          <w:vertAlign w:val="baseline"/>
        </w:rPr>
        <w:t>gleaned</w:t>
      </w:r>
      <w:r>
        <w:rPr>
          <w:spacing w:val="-4"/>
          <w:vertAlign w:val="baseline"/>
        </w:rPr>
        <w:t> </w:t>
      </w:r>
      <w:r>
        <w:rPr>
          <w:vertAlign w:val="baseline"/>
        </w:rPr>
        <w:t>by</w:t>
      </w:r>
      <w:r>
        <w:rPr>
          <w:spacing w:val="-4"/>
          <w:vertAlign w:val="baseline"/>
        </w:rPr>
        <w:t> </w:t>
      </w:r>
      <w:r>
        <w:rPr>
          <w:vertAlign w:val="baseline"/>
        </w:rPr>
        <w:t>increasing</w:t>
      </w:r>
      <w:r>
        <w:rPr>
          <w:spacing w:val="-4"/>
          <w:vertAlign w:val="baseline"/>
        </w:rPr>
        <w:t> </w:t>
      </w:r>
      <w:r>
        <w:rPr>
          <w:vertAlign w:val="baseline"/>
        </w:rPr>
        <w:t>the</w:t>
      </w:r>
      <w:r>
        <w:rPr>
          <w:spacing w:val="-4"/>
          <w:vertAlign w:val="baseline"/>
        </w:rPr>
        <w:t> </w:t>
      </w:r>
      <w:r>
        <w:rPr>
          <w:vertAlign w:val="baseline"/>
        </w:rPr>
        <w:t>cost</w:t>
      </w:r>
      <w:r>
        <w:rPr>
          <w:spacing w:val="-4"/>
          <w:vertAlign w:val="baseline"/>
        </w:rPr>
        <w:t> </w:t>
      </w:r>
      <w:r>
        <w:rPr>
          <w:vertAlign w:val="baseline"/>
        </w:rPr>
        <w:t>of</w:t>
      </w:r>
      <w:r>
        <w:rPr>
          <w:spacing w:val="-4"/>
          <w:vertAlign w:val="baseline"/>
        </w:rPr>
        <w:t> </w:t>
      </w:r>
      <w:r>
        <w:rPr>
          <w:vertAlign w:val="baseline"/>
        </w:rPr>
        <w:t>movement along</w:t>
      </w:r>
      <w:r>
        <w:rPr>
          <w:spacing w:val="-10"/>
          <w:vertAlign w:val="baseline"/>
        </w:rPr>
        <w:t> </w:t>
      </w:r>
      <w:r>
        <w:rPr>
          <w:vertAlign w:val="baseline"/>
        </w:rPr>
        <w:t>both</w:t>
      </w:r>
      <w:r>
        <w:rPr>
          <w:spacing w:val="-11"/>
          <w:vertAlign w:val="baseline"/>
        </w:rPr>
        <w:t> </w:t>
      </w:r>
      <w:r>
        <w:rPr>
          <w:vertAlign w:val="baseline"/>
        </w:rPr>
        <w:t>axes. Unequal</w:t>
      </w:r>
      <w:r>
        <w:rPr>
          <w:spacing w:val="-10"/>
          <w:vertAlign w:val="baseline"/>
        </w:rPr>
        <w:t> </w:t>
      </w:r>
      <w:r>
        <w:rPr>
          <w:vertAlign w:val="baseline"/>
        </w:rPr>
        <w:t>weightings</w:t>
      </w:r>
      <w:r>
        <w:rPr>
          <w:spacing w:val="-10"/>
          <w:vertAlign w:val="baseline"/>
        </w:rPr>
        <w:t> </w:t>
      </w:r>
      <w:r>
        <w:rPr>
          <w:vertAlign w:val="baseline"/>
        </w:rPr>
        <w:t>were</w:t>
      </w:r>
      <w:r>
        <w:rPr>
          <w:spacing w:val="-11"/>
          <w:vertAlign w:val="baseline"/>
        </w:rPr>
        <w:t> </w:t>
      </w:r>
      <w:r>
        <w:rPr>
          <w:vertAlign w:val="baseline"/>
        </w:rPr>
        <w:t>considered</w:t>
      </w:r>
      <w:r>
        <w:rPr>
          <w:spacing w:val="-10"/>
          <w:vertAlign w:val="baseline"/>
        </w:rPr>
        <w:t> </w:t>
      </w:r>
      <w:r>
        <w:rPr>
          <w:vertAlign w:val="baseline"/>
        </w:rPr>
        <w:t>due</w:t>
      </w:r>
      <w:r>
        <w:rPr>
          <w:spacing w:val="-10"/>
          <w:vertAlign w:val="baseline"/>
        </w:rPr>
        <w:t> </w:t>
      </w:r>
      <w:r>
        <w:rPr>
          <w:vertAlign w:val="baseline"/>
        </w:rPr>
        <w:t>to</w:t>
      </w:r>
      <w:r>
        <w:rPr>
          <w:spacing w:val="-11"/>
          <w:vertAlign w:val="baseline"/>
        </w:rPr>
        <w:t> </w:t>
      </w:r>
      <w:r>
        <w:rPr>
          <w:vertAlign w:val="baseline"/>
        </w:rPr>
        <w:t>the</w:t>
      </w:r>
      <w:r>
        <w:rPr>
          <w:spacing w:val="-10"/>
          <w:vertAlign w:val="baseline"/>
        </w:rPr>
        <w:t> </w:t>
      </w:r>
      <w:r>
        <w:rPr>
          <w:vertAlign w:val="baseline"/>
        </w:rPr>
        <w:t>non-square</w:t>
      </w:r>
      <w:r>
        <w:rPr>
          <w:spacing w:val="-10"/>
          <w:vertAlign w:val="baseline"/>
        </w:rPr>
        <w:t> </w:t>
      </w:r>
      <w:r>
        <w:rPr>
          <w:vertAlign w:val="baseline"/>
        </w:rPr>
        <w:t>70m</w:t>
      </w:r>
      <w:r>
        <w:rPr>
          <w:spacing w:val="-11"/>
          <w:vertAlign w:val="baseline"/>
        </w:rPr>
        <w:t> </w:t>
      </w:r>
      <w:r>
        <w:rPr>
          <w:vertAlign w:val="baseline"/>
        </w:rPr>
        <w:t>x</w:t>
      </w:r>
      <w:r>
        <w:rPr>
          <w:spacing w:val="-10"/>
          <w:vertAlign w:val="baseline"/>
        </w:rPr>
        <w:t> </w:t>
      </w:r>
      <w:r>
        <w:rPr>
          <w:vertAlign w:val="baseline"/>
        </w:rPr>
        <w:t>120m dimensions of a rugby league pitch.</w:t>
      </w:r>
      <w:r>
        <w:rPr>
          <w:spacing w:val="40"/>
          <w:vertAlign w:val="baseline"/>
        </w:rPr>
        <w:t> </w:t>
      </w:r>
      <w:r>
        <w:rPr>
          <w:vertAlign w:val="baseline"/>
        </w:rPr>
        <w:t>With an equally weighted cost function, it was hy- pothesized</w:t>
      </w:r>
      <w:r>
        <w:rPr>
          <w:spacing w:val="-8"/>
          <w:vertAlign w:val="baseline"/>
        </w:rPr>
        <w:t> </w:t>
      </w:r>
      <w:r>
        <w:rPr>
          <w:vertAlign w:val="baseline"/>
        </w:rPr>
        <w:t>that</w:t>
      </w:r>
      <w:r>
        <w:rPr>
          <w:spacing w:val="-8"/>
          <w:vertAlign w:val="baseline"/>
        </w:rPr>
        <w:t> </w:t>
      </w:r>
      <w:r>
        <w:rPr>
          <w:vertAlign w:val="baseline"/>
        </w:rPr>
        <w:t>movements</w:t>
      </w:r>
      <w:r>
        <w:rPr>
          <w:spacing w:val="-8"/>
          <w:vertAlign w:val="baseline"/>
        </w:rPr>
        <w:t> </w:t>
      </w:r>
      <w:r>
        <w:rPr>
          <w:vertAlign w:val="baseline"/>
        </w:rPr>
        <w:t>along</w:t>
      </w:r>
      <w:r>
        <w:rPr>
          <w:spacing w:val="-8"/>
          <w:vertAlign w:val="baseline"/>
        </w:rPr>
        <w:t> </w:t>
      </w:r>
      <w:r>
        <w:rPr>
          <w:vertAlign w:val="baseline"/>
        </w:rPr>
        <w:t>the</w:t>
      </w:r>
      <w:r>
        <w:rPr>
          <w:spacing w:val="-9"/>
          <w:vertAlign w:val="baseline"/>
        </w:rPr>
        <w:t> </w:t>
      </w:r>
      <w:r>
        <w:rPr>
          <w:rFonts w:ascii="Cambria"/>
          <w:vertAlign w:val="baseline"/>
        </w:rPr>
        <w:t>y</w:t>
      </w:r>
      <w:r>
        <w:rPr>
          <w:vertAlign w:val="baseline"/>
        </w:rPr>
        <w:t>-axis</w:t>
      </w:r>
      <w:r>
        <w:rPr>
          <w:spacing w:val="-8"/>
          <w:vertAlign w:val="baseline"/>
        </w:rPr>
        <w:t> </w:t>
      </w:r>
      <w:r>
        <w:rPr>
          <w:vertAlign w:val="baseline"/>
        </w:rPr>
        <w:t>could</w:t>
      </w:r>
      <w:r>
        <w:rPr>
          <w:spacing w:val="-8"/>
          <w:vertAlign w:val="baseline"/>
        </w:rPr>
        <w:t> </w:t>
      </w:r>
      <w:r>
        <w:rPr>
          <w:vertAlign w:val="baseline"/>
        </w:rPr>
        <w:t>have</w:t>
      </w:r>
      <w:r>
        <w:rPr>
          <w:spacing w:val="-8"/>
          <w:vertAlign w:val="baseline"/>
        </w:rPr>
        <w:t> </w:t>
      </w:r>
      <w:r>
        <w:rPr>
          <w:vertAlign w:val="baseline"/>
        </w:rPr>
        <w:t>an</w:t>
      </w:r>
      <w:r>
        <w:rPr>
          <w:spacing w:val="-8"/>
          <w:vertAlign w:val="baseline"/>
        </w:rPr>
        <w:t> </w:t>
      </w:r>
      <w:r>
        <w:rPr>
          <w:vertAlign w:val="baseline"/>
        </w:rPr>
        <w:t>unfairly</w:t>
      </w:r>
      <w:r>
        <w:rPr>
          <w:spacing w:val="-8"/>
          <w:vertAlign w:val="baseline"/>
        </w:rPr>
        <w:t> </w:t>
      </w:r>
      <w:r>
        <w:rPr>
          <w:vertAlign w:val="baseline"/>
        </w:rPr>
        <w:t>large</w:t>
      </w:r>
      <w:r>
        <w:rPr>
          <w:spacing w:val="-8"/>
          <w:vertAlign w:val="baseline"/>
        </w:rPr>
        <w:t> </w:t>
      </w:r>
      <w:r>
        <w:rPr>
          <w:vertAlign w:val="baseline"/>
        </w:rPr>
        <w:t>influence</w:t>
      </w:r>
      <w:r>
        <w:rPr>
          <w:spacing w:val="-8"/>
          <w:vertAlign w:val="baseline"/>
        </w:rPr>
        <w:t> </w:t>
      </w:r>
      <w:r>
        <w:rPr>
          <w:vertAlign w:val="baseline"/>
        </w:rPr>
        <w:t>on</w:t>
      </w:r>
      <w:r>
        <w:rPr>
          <w:spacing w:val="-8"/>
          <w:vertAlign w:val="baseline"/>
        </w:rPr>
        <w:t> </w:t>
      </w:r>
      <w:r>
        <w:rPr>
          <w:vertAlign w:val="baseline"/>
        </w:rPr>
        <w:t>the </w:t>
      </w:r>
      <w:r>
        <w:rPr>
          <w:spacing w:val="-2"/>
          <w:vertAlign w:val="baseline"/>
        </w:rPr>
        <w:t>Wasserstein</w:t>
      </w:r>
      <w:r>
        <w:rPr>
          <w:spacing w:val="-9"/>
          <w:vertAlign w:val="baseline"/>
        </w:rPr>
        <w:t> </w:t>
      </w:r>
      <w:r>
        <w:rPr>
          <w:spacing w:val="-2"/>
          <w:vertAlign w:val="baseline"/>
        </w:rPr>
        <w:t>distance</w:t>
      </w:r>
      <w:r>
        <w:rPr>
          <w:spacing w:val="-8"/>
          <w:vertAlign w:val="baseline"/>
        </w:rPr>
        <w:t> </w:t>
      </w:r>
      <w:r>
        <w:rPr>
          <w:spacing w:val="-2"/>
          <w:vertAlign w:val="baseline"/>
        </w:rPr>
        <w:t>as</w:t>
      </w:r>
      <w:r>
        <w:rPr>
          <w:spacing w:val="-8"/>
          <w:vertAlign w:val="baseline"/>
        </w:rPr>
        <w:t> </w:t>
      </w:r>
      <w:r>
        <w:rPr>
          <w:spacing w:val="-2"/>
          <w:vertAlign w:val="baseline"/>
        </w:rPr>
        <w:t>the</w:t>
      </w:r>
      <w:r>
        <w:rPr>
          <w:spacing w:val="-8"/>
          <w:vertAlign w:val="baseline"/>
        </w:rPr>
        <w:t> </w:t>
      </w:r>
      <w:r>
        <w:rPr>
          <w:spacing w:val="-2"/>
          <w:vertAlign w:val="baseline"/>
        </w:rPr>
        <w:t>cost</w:t>
      </w:r>
      <w:r>
        <w:rPr>
          <w:spacing w:val="-8"/>
          <w:vertAlign w:val="baseline"/>
        </w:rPr>
        <w:t> </w:t>
      </w:r>
      <w:r>
        <w:rPr>
          <w:spacing w:val="-2"/>
          <w:vertAlign w:val="baseline"/>
        </w:rPr>
        <w:t>of</w:t>
      </w:r>
      <w:r>
        <w:rPr>
          <w:spacing w:val="-8"/>
          <w:vertAlign w:val="baseline"/>
        </w:rPr>
        <w:t> </w:t>
      </w:r>
      <w:r>
        <w:rPr>
          <w:spacing w:val="-2"/>
          <w:vertAlign w:val="baseline"/>
        </w:rPr>
        <w:t>moving</w:t>
      </w:r>
      <w:r>
        <w:rPr>
          <w:spacing w:val="-8"/>
          <w:vertAlign w:val="baseline"/>
        </w:rPr>
        <w:t> </w:t>
      </w:r>
      <w:r>
        <w:rPr>
          <w:spacing w:val="-2"/>
          <w:vertAlign w:val="baseline"/>
        </w:rPr>
        <w:t>the</w:t>
      </w:r>
      <w:r>
        <w:rPr>
          <w:spacing w:val="-8"/>
          <w:vertAlign w:val="baseline"/>
        </w:rPr>
        <w:t> </w:t>
      </w:r>
      <w:r>
        <w:rPr>
          <w:spacing w:val="-2"/>
          <w:vertAlign w:val="baseline"/>
        </w:rPr>
        <w:t>full</w:t>
      </w:r>
      <w:r>
        <w:rPr>
          <w:spacing w:val="-8"/>
          <w:vertAlign w:val="baseline"/>
        </w:rPr>
        <w:t> </w:t>
      </w:r>
      <w:r>
        <w:rPr>
          <w:spacing w:val="-2"/>
          <w:vertAlign w:val="baseline"/>
        </w:rPr>
        <w:t>distance</w:t>
      </w:r>
      <w:r>
        <w:rPr>
          <w:spacing w:val="-8"/>
          <w:vertAlign w:val="baseline"/>
        </w:rPr>
        <w:t> </w:t>
      </w:r>
      <w:r>
        <w:rPr>
          <w:spacing w:val="-2"/>
          <w:vertAlign w:val="baseline"/>
        </w:rPr>
        <w:t>of</w:t>
      </w:r>
      <w:r>
        <w:rPr>
          <w:spacing w:val="-9"/>
          <w:vertAlign w:val="baseline"/>
        </w:rPr>
        <w:t> </w:t>
      </w:r>
      <w:r>
        <w:rPr>
          <w:spacing w:val="-2"/>
          <w:vertAlign w:val="baseline"/>
        </w:rPr>
        <w:t>the</w:t>
      </w:r>
      <w:r>
        <w:rPr>
          <w:spacing w:val="-8"/>
          <w:vertAlign w:val="baseline"/>
        </w:rPr>
        <w:t> </w:t>
      </w:r>
      <w:r>
        <w:rPr>
          <w:rFonts w:ascii="Cambria"/>
          <w:spacing w:val="-2"/>
          <w:vertAlign w:val="baseline"/>
        </w:rPr>
        <w:t>y</w:t>
      </w:r>
      <w:r>
        <w:rPr>
          <w:spacing w:val="-2"/>
          <w:vertAlign w:val="baseline"/>
        </w:rPr>
        <w:t>-axis</w:t>
      </w:r>
      <w:r>
        <w:rPr>
          <w:spacing w:val="-8"/>
          <w:vertAlign w:val="baseline"/>
        </w:rPr>
        <w:t> </w:t>
      </w:r>
      <w:r>
        <w:rPr>
          <w:spacing w:val="-2"/>
          <w:vertAlign w:val="baseline"/>
        </w:rPr>
        <w:t>(120)</w:t>
      </w:r>
      <w:r>
        <w:rPr>
          <w:spacing w:val="-8"/>
          <w:vertAlign w:val="baseline"/>
        </w:rPr>
        <w:t> </w:t>
      </w:r>
      <w:r>
        <w:rPr>
          <w:spacing w:val="-2"/>
          <w:vertAlign w:val="baseline"/>
        </w:rPr>
        <w:t>was</w:t>
      </w:r>
      <w:r>
        <w:rPr>
          <w:spacing w:val="-8"/>
          <w:vertAlign w:val="baseline"/>
        </w:rPr>
        <w:t> </w:t>
      </w:r>
      <w:r>
        <w:rPr>
          <w:spacing w:val="-2"/>
          <w:vertAlign w:val="baseline"/>
        </w:rPr>
        <w:t>greater</w:t>
      </w:r>
    </w:p>
    <w:p>
      <w:pPr>
        <w:spacing w:after="0" w:line="307"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02" w:lineRule="auto" w:before="93"/>
        <w:ind w:left="610" w:right="389"/>
        <w:jc w:val="both"/>
      </w:pPr>
      <w:r>
        <w:rPr/>
        <w:t>than the cost of moving the full distance of the </w:t>
      </w:r>
      <w:r>
        <w:rPr>
          <w:rFonts w:ascii="Cambria"/>
        </w:rPr>
        <w:t>x</w:t>
      </w:r>
      <w:r>
        <w:rPr/>
        <w:t>-axis (70).</w:t>
      </w:r>
      <w:r>
        <w:rPr>
          <w:spacing w:val="40"/>
        </w:rPr>
        <w:t> </w:t>
      </w:r>
      <w:r>
        <w:rPr/>
        <w:t>Using unequal </w:t>
      </w:r>
      <w:r>
        <w:rPr/>
        <w:t>weightings, the cost of moving a single unit along the </w:t>
      </w:r>
      <w:r>
        <w:rPr>
          <w:rFonts w:ascii="Cambria"/>
        </w:rPr>
        <w:t>x</w:t>
      </w:r>
      <w:r>
        <w:rPr>
          <w:rFonts w:ascii="Cambria"/>
          <w:spacing w:val="13"/>
        </w:rPr>
        <w:t> </w:t>
      </w:r>
      <w:r>
        <w:rPr/>
        <w:t>axis was manipulated to be greater than the</w:t>
      </w:r>
      <w:r>
        <w:rPr>
          <w:spacing w:val="40"/>
        </w:rPr>
        <w:t> </w:t>
      </w:r>
      <w:r>
        <w:rPr>
          <w:rFonts w:ascii="Cambria"/>
        </w:rPr>
        <w:t>y </w:t>
      </w:r>
      <w:r>
        <w:rPr/>
        <w:t>axis</w:t>
      </w:r>
      <w:r>
        <w:rPr>
          <w:spacing w:val="-3"/>
        </w:rPr>
        <w:t> </w:t>
      </w:r>
      <w:r>
        <w:rPr/>
        <w:t>by</w:t>
      </w:r>
      <w:r>
        <w:rPr>
          <w:spacing w:val="-3"/>
        </w:rPr>
        <w:t> </w:t>
      </w:r>
      <w:r>
        <w:rPr/>
        <w:t>a</w:t>
      </w:r>
      <w:r>
        <w:rPr>
          <w:spacing w:val="-3"/>
        </w:rPr>
        <w:t> </w:t>
      </w:r>
      <w:r>
        <w:rPr/>
        <w:t>factor</w:t>
      </w:r>
      <w:r>
        <w:rPr>
          <w:spacing w:val="-3"/>
        </w:rPr>
        <w:t> </w:t>
      </w:r>
      <w:r>
        <w:rPr/>
        <w:t>of</w:t>
      </w:r>
      <w:r>
        <w:rPr>
          <w:spacing w:val="-3"/>
        </w:rPr>
        <w:t> </w:t>
      </w:r>
      <w:r>
        <w:rPr/>
        <w:t>12/7. This</w:t>
      </w:r>
      <w:r>
        <w:rPr>
          <w:spacing w:val="-3"/>
        </w:rPr>
        <w:t> </w:t>
      </w:r>
      <w:r>
        <w:rPr/>
        <w:t>normalised</w:t>
      </w:r>
      <w:r>
        <w:rPr>
          <w:spacing w:val="-3"/>
        </w:rPr>
        <w:t> </w:t>
      </w:r>
      <w:r>
        <w:rPr/>
        <w:t>the</w:t>
      </w:r>
      <w:r>
        <w:rPr>
          <w:spacing w:val="-3"/>
        </w:rPr>
        <w:t> </w:t>
      </w:r>
      <w:r>
        <w:rPr/>
        <w:t>cost</w:t>
      </w:r>
      <w:r>
        <w:rPr>
          <w:spacing w:val="-3"/>
        </w:rPr>
        <w:t> </w:t>
      </w:r>
      <w:r>
        <w:rPr/>
        <w:t>of</w:t>
      </w:r>
      <w:r>
        <w:rPr>
          <w:spacing w:val="-3"/>
        </w:rPr>
        <w:t> </w:t>
      </w:r>
      <w:r>
        <w:rPr/>
        <w:t>moving</w:t>
      </w:r>
      <w:r>
        <w:rPr>
          <w:spacing w:val="-3"/>
        </w:rPr>
        <w:t> </w:t>
      </w:r>
      <w:r>
        <w:rPr/>
        <w:t>the</w:t>
      </w:r>
      <w:r>
        <w:rPr>
          <w:spacing w:val="-3"/>
        </w:rPr>
        <w:t> </w:t>
      </w:r>
      <w:r>
        <w:rPr/>
        <w:t>complete</w:t>
      </w:r>
      <w:r>
        <w:rPr>
          <w:spacing w:val="-3"/>
        </w:rPr>
        <w:t> </w:t>
      </w:r>
      <w:r>
        <w:rPr/>
        <w:t>length</w:t>
      </w:r>
      <w:r>
        <w:rPr>
          <w:spacing w:val="-3"/>
        </w:rPr>
        <w:t> </w:t>
      </w:r>
      <w:r>
        <w:rPr/>
        <w:t>of</w:t>
      </w:r>
      <w:r>
        <w:rPr>
          <w:spacing w:val="-3"/>
        </w:rPr>
        <w:t> </w:t>
      </w:r>
      <w:r>
        <w:rPr/>
        <w:t>the </w:t>
      </w:r>
      <w:r>
        <w:rPr>
          <w:rFonts w:ascii="Cambria"/>
        </w:rPr>
        <w:t>x </w:t>
      </w:r>
      <w:r>
        <w:rPr/>
        <w:t>and </w:t>
      </w:r>
      <w:r>
        <w:rPr>
          <w:rFonts w:ascii="Cambria"/>
        </w:rPr>
        <w:t>y </w:t>
      </w:r>
      <w:r>
        <w:rPr/>
        <w:t>axes. Four variations of the unequal weighting were used: </w:t>
      </w:r>
      <w:r>
        <w:rPr>
          <w:rFonts w:ascii="Garamond"/>
        </w:rPr>
        <w:t>2</w:t>
      </w:r>
      <w:r>
        <w:rPr>
          <w:rFonts w:ascii="Cambria"/>
        </w:rPr>
        <w:t>.</w:t>
      </w:r>
      <w:r>
        <w:rPr>
          <w:rFonts w:ascii="Garamond"/>
        </w:rPr>
        <w:t>4</w:t>
      </w:r>
      <w:r>
        <w:rPr>
          <w:rFonts w:ascii="Cambria"/>
        </w:rPr>
        <w:t>x,</w:t>
      </w:r>
      <w:r>
        <w:rPr>
          <w:rFonts w:ascii="Cambria"/>
          <w:spacing w:val="-8"/>
        </w:rPr>
        <w:t> </w:t>
      </w:r>
      <w:r>
        <w:rPr>
          <w:rFonts w:ascii="Garamond"/>
        </w:rPr>
        <w:t>1</w:t>
      </w:r>
      <w:r>
        <w:rPr>
          <w:rFonts w:ascii="Cambria"/>
        </w:rPr>
        <w:t>.</w:t>
      </w:r>
      <w:r>
        <w:rPr>
          <w:rFonts w:ascii="Garamond"/>
        </w:rPr>
        <w:t>4</w:t>
      </w:r>
      <w:r>
        <w:rPr>
          <w:rFonts w:ascii="Cambria"/>
        </w:rPr>
        <w:t>y</w:t>
      </w:r>
      <w:r>
        <w:rPr/>
        <w:t>; </w:t>
      </w:r>
      <w:r>
        <w:rPr>
          <w:rFonts w:ascii="Garamond"/>
        </w:rPr>
        <w:t>3</w:t>
      </w:r>
      <w:r>
        <w:rPr>
          <w:rFonts w:ascii="Cambria"/>
        </w:rPr>
        <w:t>.</w:t>
      </w:r>
      <w:r>
        <w:rPr>
          <w:rFonts w:ascii="Garamond"/>
        </w:rPr>
        <w:t>6</w:t>
      </w:r>
      <w:r>
        <w:rPr>
          <w:rFonts w:ascii="Cambria"/>
        </w:rPr>
        <w:t>x,</w:t>
      </w:r>
      <w:r>
        <w:rPr>
          <w:rFonts w:ascii="Cambria"/>
          <w:spacing w:val="-8"/>
        </w:rPr>
        <w:t> </w:t>
      </w:r>
      <w:r>
        <w:rPr>
          <w:rFonts w:ascii="Garamond"/>
        </w:rPr>
        <w:t>2</w:t>
      </w:r>
      <w:r>
        <w:rPr>
          <w:rFonts w:ascii="Cambria"/>
        </w:rPr>
        <w:t>.</w:t>
      </w:r>
      <w:r>
        <w:rPr>
          <w:rFonts w:ascii="Garamond"/>
        </w:rPr>
        <w:t>1</w:t>
      </w:r>
      <w:r>
        <w:rPr>
          <w:rFonts w:ascii="Cambria"/>
        </w:rPr>
        <w:t>y</w:t>
      </w:r>
      <w:r>
        <w:rPr/>
        <w:t>; </w:t>
      </w:r>
      <w:r>
        <w:rPr>
          <w:rFonts w:ascii="Garamond"/>
        </w:rPr>
        <w:t>4</w:t>
      </w:r>
      <w:r>
        <w:rPr>
          <w:rFonts w:ascii="Cambria"/>
        </w:rPr>
        <w:t>.</w:t>
      </w:r>
      <w:r>
        <w:rPr>
          <w:rFonts w:ascii="Garamond"/>
        </w:rPr>
        <w:t>8</w:t>
      </w:r>
      <w:r>
        <w:rPr>
          <w:rFonts w:ascii="Cambria"/>
        </w:rPr>
        <w:t>x,</w:t>
      </w:r>
      <w:r>
        <w:rPr>
          <w:rFonts w:ascii="Cambria"/>
          <w:spacing w:val="-8"/>
        </w:rPr>
        <w:t> </w:t>
      </w:r>
      <w:r>
        <w:rPr>
          <w:rFonts w:ascii="Garamond"/>
        </w:rPr>
        <w:t>2</w:t>
      </w:r>
      <w:r>
        <w:rPr>
          <w:rFonts w:ascii="Cambria"/>
        </w:rPr>
        <w:t>.</w:t>
      </w:r>
      <w:r>
        <w:rPr>
          <w:rFonts w:ascii="Garamond"/>
        </w:rPr>
        <w:t>8</w:t>
      </w:r>
      <w:r>
        <w:rPr>
          <w:rFonts w:ascii="Cambria"/>
        </w:rPr>
        <w:t>y</w:t>
      </w:r>
      <w:r>
        <w:rPr/>
        <w:t>; and </w:t>
      </w:r>
      <w:r>
        <w:rPr>
          <w:rFonts w:ascii="Garamond"/>
        </w:rPr>
        <w:t>6</w:t>
      </w:r>
      <w:r>
        <w:rPr>
          <w:rFonts w:ascii="Cambria"/>
        </w:rPr>
        <w:t>.</w:t>
      </w:r>
      <w:r>
        <w:rPr>
          <w:rFonts w:ascii="Garamond"/>
        </w:rPr>
        <w:t>0</w:t>
      </w:r>
      <w:r>
        <w:rPr>
          <w:rFonts w:ascii="Cambria"/>
        </w:rPr>
        <w:t>x,</w:t>
      </w:r>
      <w:r>
        <w:rPr>
          <w:rFonts w:ascii="Cambria"/>
          <w:spacing w:val="-8"/>
        </w:rPr>
        <w:t> </w:t>
      </w:r>
      <w:r>
        <w:rPr>
          <w:rFonts w:ascii="Garamond"/>
        </w:rPr>
        <w:t>3</w:t>
      </w:r>
      <w:r>
        <w:rPr>
          <w:rFonts w:ascii="Cambria"/>
        </w:rPr>
        <w:t>.</w:t>
      </w:r>
      <w:r>
        <w:rPr>
          <w:rFonts w:ascii="Garamond"/>
        </w:rPr>
        <w:t>5</w:t>
      </w:r>
      <w:r>
        <w:rPr>
          <w:rFonts w:ascii="Cambria"/>
        </w:rPr>
        <w:t>y</w:t>
      </w:r>
      <w:r>
        <w:rPr/>
        <w:t>. It was hypothesized that levelling the cost of movement in this manner would enhance the insights provided at an axis level.</w:t>
      </w:r>
    </w:p>
    <w:p>
      <w:pPr>
        <w:pStyle w:val="BodyText"/>
        <w:spacing w:line="304" w:lineRule="auto" w:before="12"/>
        <w:ind w:left="610" w:right="389" w:firstLine="351"/>
        <w:jc w:val="both"/>
      </w:pPr>
      <w:r>
        <w:rPr/>
        <w:t>For</w:t>
      </w:r>
      <w:r>
        <w:rPr>
          <w:spacing w:val="-6"/>
        </w:rPr>
        <w:t> </w:t>
      </w:r>
      <w:r>
        <w:rPr/>
        <w:t>all</w:t>
      </w:r>
      <w:r>
        <w:rPr>
          <w:spacing w:val="-6"/>
        </w:rPr>
        <w:t> </w:t>
      </w:r>
      <w:r>
        <w:rPr/>
        <w:t>weighted</w:t>
      </w:r>
      <w:r>
        <w:rPr>
          <w:spacing w:val="-6"/>
        </w:rPr>
        <w:t> </w:t>
      </w:r>
      <w:r>
        <w:rPr/>
        <w:t>cost</w:t>
      </w:r>
      <w:r>
        <w:rPr>
          <w:spacing w:val="-6"/>
        </w:rPr>
        <w:t> </w:t>
      </w:r>
      <w:r>
        <w:rPr/>
        <w:t>functions,</w:t>
      </w:r>
      <w:r>
        <w:rPr>
          <w:spacing w:val="-6"/>
        </w:rPr>
        <w:t> </w:t>
      </w:r>
      <w:r>
        <w:rPr/>
        <w:t>the</w:t>
      </w:r>
      <w:r>
        <w:rPr>
          <w:spacing w:val="-6"/>
        </w:rPr>
        <w:t> </w:t>
      </w:r>
      <w:r>
        <w:rPr/>
        <w:t>Wasserstein</w:t>
      </w:r>
      <w:r>
        <w:rPr>
          <w:spacing w:val="-6"/>
        </w:rPr>
        <w:t> </w:t>
      </w:r>
      <w:r>
        <w:rPr/>
        <w:t>distance</w:t>
      </w:r>
      <w:r>
        <w:rPr>
          <w:spacing w:val="-6"/>
        </w:rPr>
        <w:t> </w:t>
      </w:r>
      <w:r>
        <w:rPr/>
        <w:t>was</w:t>
      </w:r>
      <w:r>
        <w:rPr>
          <w:spacing w:val="-6"/>
        </w:rPr>
        <w:t> </w:t>
      </w:r>
      <w:r>
        <w:rPr/>
        <w:t>calculated</w:t>
      </w:r>
      <w:r>
        <w:rPr>
          <w:spacing w:val="-6"/>
        </w:rPr>
        <w:t> </w:t>
      </w:r>
      <w:r>
        <w:rPr/>
        <w:t>for</w:t>
      </w:r>
      <w:r>
        <w:rPr>
          <w:spacing w:val="-6"/>
        </w:rPr>
        <w:t> </w:t>
      </w:r>
      <w:r>
        <w:rPr/>
        <w:t>the</w:t>
      </w:r>
      <w:r>
        <w:rPr>
          <w:spacing w:val="-6"/>
        </w:rPr>
        <w:t> </w:t>
      </w:r>
      <w:r>
        <w:rPr>
          <w:rFonts w:ascii="Cambria"/>
        </w:rPr>
        <w:t>x </w:t>
      </w:r>
      <w:r>
        <w:rPr/>
        <w:t>and </w:t>
      </w:r>
      <w:r>
        <w:rPr>
          <w:rFonts w:ascii="Cambria"/>
        </w:rPr>
        <w:t>y </w:t>
      </w:r>
      <w:r>
        <w:rPr/>
        <w:t>axes independently.</w:t>
      </w:r>
      <w:r>
        <w:rPr>
          <w:spacing w:val="28"/>
        </w:rPr>
        <w:t> </w:t>
      </w:r>
      <w:r>
        <w:rPr/>
        <w:t>To achieve this, the unit cost of moving along the </w:t>
      </w:r>
      <w:r>
        <w:rPr>
          <w:rFonts w:ascii="Cambria"/>
        </w:rPr>
        <w:t>x </w:t>
      </w:r>
      <w:r>
        <w:rPr/>
        <w:t>or </w:t>
      </w:r>
      <w:r>
        <w:rPr>
          <w:rFonts w:ascii="Cambria"/>
        </w:rPr>
        <w:t>y </w:t>
      </w:r>
      <w:r>
        <w:rPr/>
        <w:t>axis was multiplied by the given factor, while the other axis maintained the standardised </w:t>
      </w:r>
      <w:r>
        <w:rPr>
          <w:rFonts w:ascii="Cambria"/>
        </w:rPr>
        <w:t>p</w:t>
      </w:r>
      <w:r>
        <w:rPr>
          <w:rFonts w:ascii="Cambria"/>
          <w:spacing w:val="40"/>
        </w:rPr>
        <w:t> </w:t>
      </w:r>
      <w:r>
        <w:rPr>
          <w:rFonts w:ascii="Garamond"/>
        </w:rPr>
        <w:t>= 3 </w:t>
      </w:r>
      <w:r>
        <w:rPr/>
        <w:t>movement cost of one unit (e.g.</w:t>
      </w:r>
      <w:r>
        <w:rPr>
          <w:spacing w:val="40"/>
        </w:rPr>
        <w:t> </w:t>
      </w:r>
      <w:r>
        <w:rPr/>
        <w:t>for the equally weighted </w:t>
      </w:r>
      <w:r>
        <w:rPr>
          <w:rFonts w:ascii="Garamond"/>
        </w:rPr>
        <w:t>2</w:t>
      </w:r>
      <w:r>
        <w:rPr>
          <w:rFonts w:ascii="Cambria"/>
        </w:rPr>
        <w:t>x,</w:t>
      </w:r>
      <w:r>
        <w:rPr>
          <w:rFonts w:ascii="Cambria"/>
          <w:spacing w:val="-14"/>
        </w:rPr>
        <w:t> </w:t>
      </w:r>
      <w:r>
        <w:rPr>
          <w:rFonts w:ascii="Garamond"/>
        </w:rPr>
        <w:t>2</w:t>
      </w:r>
      <w:r>
        <w:rPr>
          <w:rFonts w:ascii="Cambria"/>
        </w:rPr>
        <w:t>y </w:t>
      </w:r>
      <w:r>
        <w:rPr/>
        <w:t>analysis, one distance measure</w:t>
      </w:r>
      <w:r>
        <w:rPr>
          <w:spacing w:val="-6"/>
        </w:rPr>
        <w:t> </w:t>
      </w:r>
      <w:r>
        <w:rPr/>
        <w:t>was</w:t>
      </w:r>
      <w:r>
        <w:rPr>
          <w:spacing w:val="-6"/>
        </w:rPr>
        <w:t> </w:t>
      </w:r>
      <w:r>
        <w:rPr/>
        <w:t>produced</w:t>
      </w:r>
      <w:r>
        <w:rPr>
          <w:spacing w:val="-6"/>
        </w:rPr>
        <w:t> </w:t>
      </w:r>
      <w:r>
        <w:rPr/>
        <w:t>for</w:t>
      </w:r>
      <w:r>
        <w:rPr>
          <w:spacing w:val="-6"/>
        </w:rPr>
        <w:t> </w:t>
      </w:r>
      <w:r>
        <w:rPr/>
        <w:t>the</w:t>
      </w:r>
      <w:r>
        <w:rPr>
          <w:spacing w:val="-6"/>
        </w:rPr>
        <w:t> </w:t>
      </w:r>
      <w:r>
        <w:rPr>
          <w:rFonts w:ascii="Garamond"/>
        </w:rPr>
        <w:t>2</w:t>
      </w:r>
      <w:r>
        <w:rPr>
          <w:rFonts w:ascii="Cambria"/>
        </w:rPr>
        <w:t>x,</w:t>
      </w:r>
      <w:r>
        <w:rPr>
          <w:rFonts w:ascii="Cambria"/>
          <w:spacing w:val="-14"/>
        </w:rPr>
        <w:t> </w:t>
      </w:r>
      <w:r>
        <w:rPr>
          <w:rFonts w:ascii="Garamond"/>
        </w:rPr>
        <w:t>1</w:t>
      </w:r>
      <w:r>
        <w:rPr>
          <w:rFonts w:ascii="Cambria"/>
        </w:rPr>
        <w:t>y </w:t>
      </w:r>
      <w:r>
        <w:rPr/>
        <w:t>weighted</w:t>
      </w:r>
      <w:r>
        <w:rPr>
          <w:spacing w:val="-6"/>
        </w:rPr>
        <w:t> </w:t>
      </w:r>
      <w:r>
        <w:rPr>
          <w:rFonts w:ascii="Cambria"/>
        </w:rPr>
        <w:t>p </w:t>
      </w:r>
      <w:r>
        <w:rPr>
          <w:rFonts w:ascii="Garamond"/>
        </w:rPr>
        <w:t>= 3</w:t>
      </w:r>
      <w:r>
        <w:rPr>
          <w:rFonts w:ascii="Garamond"/>
          <w:spacing w:val="-6"/>
        </w:rPr>
        <w:t> </w:t>
      </w:r>
      <w:r>
        <w:rPr/>
        <w:t>cost</w:t>
      </w:r>
      <w:r>
        <w:rPr>
          <w:spacing w:val="-6"/>
        </w:rPr>
        <w:t> </w:t>
      </w:r>
      <w:r>
        <w:rPr/>
        <w:t>function</w:t>
      </w:r>
      <w:r>
        <w:rPr>
          <w:spacing w:val="-6"/>
        </w:rPr>
        <w:t> </w:t>
      </w:r>
      <w:r>
        <w:rPr/>
        <w:t>and</w:t>
      </w:r>
      <w:r>
        <w:rPr>
          <w:spacing w:val="-6"/>
        </w:rPr>
        <w:t> </w:t>
      </w:r>
      <w:r>
        <w:rPr/>
        <w:t>one</w:t>
      </w:r>
      <w:r>
        <w:rPr>
          <w:spacing w:val="-6"/>
        </w:rPr>
        <w:t> </w:t>
      </w:r>
      <w:r>
        <w:rPr/>
        <w:t>was</w:t>
      </w:r>
      <w:r>
        <w:rPr>
          <w:spacing w:val="-6"/>
        </w:rPr>
        <w:t> </w:t>
      </w:r>
      <w:r>
        <w:rPr/>
        <w:t>produced for the </w:t>
      </w:r>
      <w:r>
        <w:rPr>
          <w:rFonts w:ascii="Garamond"/>
        </w:rPr>
        <w:t>1</w:t>
      </w:r>
      <w:r>
        <w:rPr>
          <w:rFonts w:ascii="Cambria"/>
        </w:rPr>
        <w:t>x,</w:t>
      </w:r>
      <w:r>
        <w:rPr>
          <w:rFonts w:ascii="Cambria"/>
          <w:spacing w:val="-14"/>
        </w:rPr>
        <w:t> </w:t>
      </w:r>
      <w:r>
        <w:rPr>
          <w:rFonts w:ascii="Garamond"/>
        </w:rPr>
        <w:t>2</w:t>
      </w:r>
      <w:r>
        <w:rPr>
          <w:rFonts w:ascii="Cambria"/>
        </w:rPr>
        <w:t>y </w:t>
      </w:r>
      <w:r>
        <w:rPr/>
        <w:t>weighted </w:t>
      </w:r>
      <w:r>
        <w:rPr>
          <w:rFonts w:ascii="Cambria"/>
        </w:rPr>
        <w:t>p </w:t>
      </w:r>
      <w:r>
        <w:rPr>
          <w:rFonts w:ascii="Garamond"/>
        </w:rPr>
        <w:t>= 3 </w:t>
      </w:r>
      <w:r>
        <w:rPr/>
        <w:t>cost function).</w:t>
      </w:r>
      <w:r>
        <w:rPr>
          <w:spacing w:val="40"/>
        </w:rPr>
        <w:t> </w:t>
      </w:r>
      <w:r>
        <w:rPr/>
        <w:t>The increased movement cost for the fac- tored</w:t>
      </w:r>
      <w:r>
        <w:rPr>
          <w:spacing w:val="-10"/>
        </w:rPr>
        <w:t> </w:t>
      </w:r>
      <w:r>
        <w:rPr/>
        <w:t>axis</w:t>
      </w:r>
      <w:r>
        <w:rPr>
          <w:spacing w:val="-10"/>
        </w:rPr>
        <w:t> </w:t>
      </w:r>
      <w:r>
        <w:rPr/>
        <w:t>ensured</w:t>
      </w:r>
      <w:r>
        <w:rPr>
          <w:spacing w:val="-10"/>
        </w:rPr>
        <w:t> </w:t>
      </w:r>
      <w:r>
        <w:rPr/>
        <w:t>that</w:t>
      </w:r>
      <w:r>
        <w:rPr>
          <w:spacing w:val="-10"/>
        </w:rPr>
        <w:t> </w:t>
      </w:r>
      <w:r>
        <w:rPr/>
        <w:t>the</w:t>
      </w:r>
      <w:r>
        <w:rPr>
          <w:spacing w:val="-10"/>
        </w:rPr>
        <w:t> </w:t>
      </w:r>
      <w:r>
        <w:rPr/>
        <w:t>optimisation</w:t>
      </w:r>
      <w:r>
        <w:rPr>
          <w:spacing w:val="-10"/>
        </w:rPr>
        <w:t> </w:t>
      </w:r>
      <w:r>
        <w:rPr/>
        <w:t>procedure</w:t>
      </w:r>
      <w:r>
        <w:rPr>
          <w:spacing w:val="-10"/>
        </w:rPr>
        <w:t> </w:t>
      </w:r>
      <w:r>
        <w:rPr/>
        <w:t>only</w:t>
      </w:r>
      <w:r>
        <w:rPr>
          <w:spacing w:val="-10"/>
        </w:rPr>
        <w:t> </w:t>
      </w:r>
      <w:r>
        <w:rPr/>
        <w:t>included</w:t>
      </w:r>
      <w:r>
        <w:rPr>
          <w:spacing w:val="-10"/>
        </w:rPr>
        <w:t> </w:t>
      </w:r>
      <w:r>
        <w:rPr/>
        <w:t>the</w:t>
      </w:r>
      <w:r>
        <w:rPr>
          <w:spacing w:val="-10"/>
        </w:rPr>
        <w:t> </w:t>
      </w:r>
      <w:r>
        <w:rPr/>
        <w:t>most</w:t>
      </w:r>
      <w:r>
        <w:rPr>
          <w:spacing w:val="-10"/>
        </w:rPr>
        <w:t> </w:t>
      </w:r>
      <w:r>
        <w:rPr/>
        <w:t>important</w:t>
      </w:r>
      <w:r>
        <w:rPr>
          <w:spacing w:val="-10"/>
        </w:rPr>
        <w:t> </w:t>
      </w:r>
      <w:r>
        <w:rPr/>
        <w:t>mass movements along the factored axis when calculating the optimal transport plan and al- lowed</w:t>
      </w:r>
      <w:r>
        <w:rPr>
          <w:spacing w:val="-14"/>
        </w:rPr>
        <w:t> </w:t>
      </w:r>
      <w:r>
        <w:rPr/>
        <w:t>the</w:t>
      </w:r>
      <w:r>
        <w:rPr>
          <w:spacing w:val="-14"/>
        </w:rPr>
        <w:t> </w:t>
      </w:r>
      <w:r>
        <w:rPr/>
        <w:t>influence</w:t>
      </w:r>
      <w:r>
        <w:rPr>
          <w:spacing w:val="-14"/>
        </w:rPr>
        <w:t> </w:t>
      </w:r>
      <w:r>
        <w:rPr/>
        <w:t>of</w:t>
      </w:r>
      <w:r>
        <w:rPr>
          <w:spacing w:val="-14"/>
        </w:rPr>
        <w:t> </w:t>
      </w:r>
      <w:r>
        <w:rPr/>
        <w:t>the</w:t>
      </w:r>
      <w:r>
        <w:rPr>
          <w:spacing w:val="-14"/>
        </w:rPr>
        <w:t> </w:t>
      </w:r>
      <w:r>
        <w:rPr/>
        <w:t>weight</w:t>
      </w:r>
      <w:r>
        <w:rPr>
          <w:spacing w:val="-14"/>
        </w:rPr>
        <w:t> </w:t>
      </w:r>
      <w:r>
        <w:rPr/>
        <w:t>on</w:t>
      </w:r>
      <w:r>
        <w:rPr>
          <w:spacing w:val="-14"/>
        </w:rPr>
        <w:t> </w:t>
      </w:r>
      <w:r>
        <w:rPr/>
        <w:t>each</w:t>
      </w:r>
      <w:r>
        <w:rPr>
          <w:spacing w:val="-14"/>
        </w:rPr>
        <w:t> </w:t>
      </w:r>
      <w:r>
        <w:rPr/>
        <w:t>axis</w:t>
      </w:r>
      <w:r>
        <w:rPr>
          <w:spacing w:val="-14"/>
        </w:rPr>
        <w:t> </w:t>
      </w:r>
      <w:r>
        <w:rPr/>
        <w:t>to</w:t>
      </w:r>
      <w:r>
        <w:rPr>
          <w:spacing w:val="-14"/>
        </w:rPr>
        <w:t> </w:t>
      </w:r>
      <w:r>
        <w:rPr/>
        <w:t>be</w:t>
      </w:r>
      <w:r>
        <w:rPr>
          <w:spacing w:val="-14"/>
        </w:rPr>
        <w:t> </w:t>
      </w:r>
      <w:r>
        <w:rPr/>
        <w:t>considered</w:t>
      </w:r>
      <w:r>
        <w:rPr>
          <w:spacing w:val="-14"/>
        </w:rPr>
        <w:t> </w:t>
      </w:r>
      <w:r>
        <w:rPr/>
        <w:t>individually. This</w:t>
      </w:r>
      <w:r>
        <w:rPr>
          <w:spacing w:val="-14"/>
        </w:rPr>
        <w:t> </w:t>
      </w:r>
      <w:r>
        <w:rPr/>
        <w:t>process ensured that three Wasserstein distance values were obtained for each comparison:</w:t>
      </w:r>
      <w:r>
        <w:rPr>
          <w:spacing w:val="35"/>
        </w:rPr>
        <w:t> </w:t>
      </w:r>
      <w:r>
        <w:rPr/>
        <w:t>one using the standardised, unweighted </w:t>
      </w:r>
      <w:r>
        <w:rPr>
          <w:rFonts w:ascii="Cambria"/>
        </w:rPr>
        <w:t>p </w:t>
      </w:r>
      <w:r>
        <w:rPr>
          <w:rFonts w:ascii="Garamond"/>
        </w:rPr>
        <w:t>= 3 </w:t>
      </w:r>
      <w:r>
        <w:rPr/>
        <w:t>cost function; one weighted with an increased </w:t>
      </w:r>
      <w:r>
        <w:rPr>
          <w:rFonts w:ascii="Cambria"/>
        </w:rPr>
        <w:t>x</w:t>
      </w:r>
      <w:r>
        <w:rPr/>
        <w:t>-factor;</w:t>
      </w:r>
      <w:r>
        <w:rPr>
          <w:spacing w:val="-15"/>
        </w:rPr>
        <w:t> </w:t>
      </w:r>
      <w:r>
        <w:rPr/>
        <w:t>and</w:t>
      </w:r>
      <w:r>
        <w:rPr>
          <w:spacing w:val="-15"/>
        </w:rPr>
        <w:t> </w:t>
      </w:r>
      <w:r>
        <w:rPr/>
        <w:t>one</w:t>
      </w:r>
      <w:r>
        <w:rPr>
          <w:spacing w:val="-15"/>
        </w:rPr>
        <w:t> </w:t>
      </w:r>
      <w:r>
        <w:rPr/>
        <w:t>weighted</w:t>
      </w:r>
      <w:r>
        <w:rPr>
          <w:spacing w:val="-15"/>
        </w:rPr>
        <w:t> </w:t>
      </w:r>
      <w:r>
        <w:rPr/>
        <w:t>with</w:t>
      </w:r>
      <w:r>
        <w:rPr>
          <w:spacing w:val="-15"/>
        </w:rPr>
        <w:t> </w:t>
      </w:r>
      <w:r>
        <w:rPr/>
        <w:t>an</w:t>
      </w:r>
      <w:r>
        <w:rPr>
          <w:spacing w:val="-15"/>
        </w:rPr>
        <w:t> </w:t>
      </w:r>
      <w:r>
        <w:rPr/>
        <w:t>increased</w:t>
      </w:r>
      <w:r>
        <w:rPr>
          <w:spacing w:val="-15"/>
        </w:rPr>
        <w:t> </w:t>
      </w:r>
      <w:r>
        <w:rPr>
          <w:rFonts w:ascii="Cambria"/>
        </w:rPr>
        <w:t>y</w:t>
      </w:r>
      <w:r>
        <w:rPr/>
        <w:t>-factor.</w:t>
      </w:r>
      <w:r>
        <w:rPr>
          <w:spacing w:val="-5"/>
        </w:rPr>
        <w:t> </w:t>
      </w:r>
      <w:r>
        <w:rPr/>
        <w:t>The</w:t>
      </w:r>
      <w:r>
        <w:rPr>
          <w:spacing w:val="-15"/>
        </w:rPr>
        <w:t> </w:t>
      </w:r>
      <w:r>
        <w:rPr/>
        <w:t>importance</w:t>
      </w:r>
      <w:r>
        <w:rPr>
          <w:spacing w:val="-15"/>
        </w:rPr>
        <w:t> </w:t>
      </w:r>
      <w:r>
        <w:rPr/>
        <w:t>of</w:t>
      </w:r>
      <w:r>
        <w:rPr>
          <w:spacing w:val="-15"/>
        </w:rPr>
        <w:t> </w:t>
      </w:r>
      <w:r>
        <w:rPr/>
        <w:t>mass</w:t>
      </w:r>
      <w:r>
        <w:rPr>
          <w:spacing w:val="-15"/>
        </w:rPr>
        <w:t> </w:t>
      </w:r>
      <w:r>
        <w:rPr/>
        <w:t>movement along the factored axis to the Wasserstein distance was evaluated by comparing the nor- malised axis</w:t>
      </w:r>
      <w:r>
        <w:rPr>
          <w:spacing w:val="1"/>
        </w:rPr>
        <w:t> </w:t>
      </w:r>
      <w:r>
        <w:rPr/>
        <w:t>Wasserstein</w:t>
      </w:r>
      <w:r>
        <w:rPr>
          <w:spacing w:val="1"/>
        </w:rPr>
        <w:t> </w:t>
      </w:r>
      <w:r>
        <w:rPr/>
        <w:t>distance to</w:t>
      </w:r>
      <w:r>
        <w:rPr>
          <w:spacing w:val="1"/>
        </w:rPr>
        <w:t> </w:t>
      </w:r>
      <w:r>
        <w:rPr/>
        <w:t>the</w:t>
      </w:r>
      <w:r>
        <w:rPr>
          <w:spacing w:val="1"/>
        </w:rPr>
        <w:t> </w:t>
      </w:r>
      <w:r>
        <w:rPr/>
        <w:t>standard Wasserstein</w:t>
      </w:r>
      <w:r>
        <w:rPr>
          <w:spacing w:val="1"/>
        </w:rPr>
        <w:t> </w:t>
      </w:r>
      <w:r>
        <w:rPr/>
        <w:t>distance.</w:t>
      </w:r>
      <w:r>
        <w:rPr>
          <w:spacing w:val="33"/>
        </w:rPr>
        <w:t> </w:t>
      </w:r>
      <w:r>
        <w:rPr/>
        <w:t>The</w:t>
      </w:r>
      <w:r>
        <w:rPr>
          <w:spacing w:val="1"/>
        </w:rPr>
        <w:t> </w:t>
      </w:r>
      <w:r>
        <w:rPr>
          <w:spacing w:val="-2"/>
        </w:rPr>
        <w:t>normalised</w:t>
      </w:r>
    </w:p>
    <w:p>
      <w:pPr>
        <w:pStyle w:val="BodyText"/>
        <w:spacing w:line="290" w:lineRule="exact"/>
        <w:ind w:left="610"/>
        <w:jc w:val="both"/>
      </w:pPr>
      <w:r>
        <w:rPr/>
        <w:pict>
          <v:shape style="position:absolute;margin-left:249.783997pt;margin-top:8.819221pt;width:4.3pt;height:8pt;mso-position-horizontal-relative:page;mso-position-vertical-relative:paragraph;z-index:-21750784" type="#_x0000_t202" id="docshape147" filled="false" stroked="false">
            <v:textbox inset="0,0,0,0">
              <w:txbxContent>
                <w:p>
                  <w:pPr>
                    <w:spacing w:line="155" w:lineRule="exact" w:before="0"/>
                    <w:ind w:left="0" w:right="0" w:firstLine="0"/>
                    <w:jc w:val="left"/>
                    <w:rPr>
                      <w:rFonts w:ascii="Cambria"/>
                      <w:sz w:val="16"/>
                    </w:rPr>
                  </w:pPr>
                  <w:r>
                    <w:rPr>
                      <w:rFonts w:ascii="Cambria"/>
                      <w:w w:val="95"/>
                      <w:sz w:val="16"/>
                    </w:rPr>
                    <w:t>p</w:t>
                  </w:r>
                </w:p>
              </w:txbxContent>
            </v:textbox>
            <w10:wrap type="none"/>
          </v:shape>
        </w:pict>
      </w:r>
      <w:r>
        <w:rPr>
          <w:spacing w:val="-2"/>
        </w:rPr>
        <w:t>axis</w:t>
      </w:r>
      <w:r>
        <w:rPr>
          <w:spacing w:val="-9"/>
        </w:rPr>
        <w:t> </w:t>
      </w:r>
      <w:r>
        <w:rPr>
          <w:spacing w:val="-2"/>
        </w:rPr>
        <w:t>Wasserstein</w:t>
      </w:r>
      <w:r>
        <w:rPr>
          <w:spacing w:val="-9"/>
        </w:rPr>
        <w:t> </w:t>
      </w:r>
      <w:r>
        <w:rPr>
          <w:spacing w:val="-2"/>
        </w:rPr>
        <w:t>distance</w:t>
      </w:r>
      <w:r>
        <w:rPr>
          <w:spacing w:val="-9"/>
        </w:rPr>
        <w:t> </w:t>
      </w:r>
      <w:r>
        <w:rPr>
          <w:rFonts w:ascii="Cambria" w:hAnsi="Cambria"/>
          <w:spacing w:val="-77"/>
          <w:w w:val="95"/>
        </w:rPr>
        <w:t>W</w:t>
      </w:r>
      <w:r>
        <w:rPr>
          <w:rFonts w:ascii="Garamond" w:hAnsi="Garamond"/>
          <w:spacing w:val="44"/>
          <w:w w:val="93"/>
          <w:position w:val="6"/>
        </w:rPr>
        <w:t>¯</w:t>
      </w:r>
      <w:r>
        <w:rPr>
          <w:rFonts w:ascii="Cambria" w:hAnsi="Cambria"/>
          <w:spacing w:val="26"/>
          <w:w w:val="111"/>
          <w:position w:val="7"/>
          <w:sz w:val="16"/>
        </w:rPr>
        <w:t>a</w:t>
      </w:r>
      <w:r>
        <w:rPr>
          <w:rFonts w:ascii="Cambria" w:hAnsi="Cambria"/>
          <w:spacing w:val="24"/>
          <w:position w:val="7"/>
          <w:sz w:val="16"/>
        </w:rPr>
        <w:t> </w:t>
      </w:r>
      <w:r>
        <w:rPr>
          <w:spacing w:val="-2"/>
        </w:rPr>
        <w:t>was</w:t>
      </w:r>
      <w:r>
        <w:rPr>
          <w:spacing w:val="-9"/>
        </w:rPr>
        <w:t> </w:t>
      </w:r>
      <w:r>
        <w:rPr>
          <w:spacing w:val="-2"/>
        </w:rPr>
        <w:t>calculated</w:t>
      </w:r>
      <w:r>
        <w:rPr>
          <w:spacing w:val="-9"/>
        </w:rPr>
        <w:t> </w:t>
      </w:r>
      <w:r>
        <w:rPr>
          <w:spacing w:val="-5"/>
        </w:rPr>
        <w:t>as</w:t>
      </w:r>
    </w:p>
    <w:p>
      <w:pPr>
        <w:pStyle w:val="BodyText"/>
        <w:spacing w:before="3"/>
        <w:rPr>
          <w:sz w:val="18"/>
        </w:rPr>
      </w:pPr>
    </w:p>
    <w:p>
      <w:pPr>
        <w:pStyle w:val="BodyText"/>
        <w:spacing w:line="294" w:lineRule="exact" w:before="43"/>
        <w:ind w:left="812"/>
        <w:jc w:val="center"/>
        <w:rPr>
          <w:rFonts w:ascii="Cambria" w:hAnsi="Cambria"/>
        </w:rPr>
      </w:pPr>
      <w:r>
        <w:rPr/>
        <w:pict>
          <v:shape style="position:absolute;margin-left:289.449005pt;margin-top:12.287589pt;width:76.850pt;height:12.2pt;mso-position-horizontal-relative:page;mso-position-vertical-relative:paragraph;z-index:-21750272" type="#_x0000_t202" id="docshape148" filled="false" stroked="false">
            <v:textbox inset="0,0,0,0">
              <w:txbxContent>
                <w:p>
                  <w:pPr>
                    <w:tabs>
                      <w:tab w:pos="795" w:val="left" w:leader="none"/>
                      <w:tab w:pos="1535" w:val="left" w:leader="none"/>
                    </w:tabs>
                    <w:spacing w:line="243" w:lineRule="exact" w:before="0"/>
                    <w:ind w:left="0" w:right="0" w:firstLine="0"/>
                    <w:jc w:val="left"/>
                    <w:rPr>
                      <w:rFonts w:ascii="Cambria" w:hAnsi="Cambria"/>
                      <w:sz w:val="16"/>
                    </w:rPr>
                  </w:pPr>
                  <w:r>
                    <w:rPr>
                      <w:rFonts w:ascii="Garamond" w:hAnsi="Garamond"/>
                      <w:spacing w:val="-5"/>
                      <w:w w:val="105"/>
                      <w:sz w:val="24"/>
                    </w:rPr>
                    <w:t>¯</w:t>
                  </w:r>
                  <w:r>
                    <w:rPr>
                      <w:rFonts w:ascii="Cambria" w:hAnsi="Cambria"/>
                      <w:spacing w:val="-5"/>
                      <w:w w:val="105"/>
                      <w:position w:val="1"/>
                      <w:sz w:val="16"/>
                    </w:rPr>
                    <w:t>a</w:t>
                  </w:r>
                  <w:r>
                    <w:rPr>
                      <w:rFonts w:ascii="Cambria" w:hAnsi="Cambria"/>
                      <w:position w:val="1"/>
                      <w:sz w:val="16"/>
                    </w:rPr>
                    <w:tab/>
                  </w:r>
                  <w:r>
                    <w:rPr>
                      <w:rFonts w:ascii="Cambria" w:hAnsi="Cambria"/>
                      <w:spacing w:val="-10"/>
                      <w:w w:val="105"/>
                      <w:position w:val="6"/>
                      <w:sz w:val="16"/>
                      <w:u w:val="single"/>
                    </w:rPr>
                    <w:t>p</w:t>
                  </w:r>
                  <w:r>
                    <w:rPr>
                      <w:rFonts w:ascii="Cambria" w:hAnsi="Cambria"/>
                      <w:position w:val="6"/>
                      <w:sz w:val="16"/>
                      <w:u w:val="single"/>
                    </w:rPr>
                    <w:tab/>
                  </w:r>
                </w:p>
              </w:txbxContent>
            </v:textbox>
            <w10:wrap type="none"/>
          </v:shape>
        </w:pict>
      </w:r>
      <w:bookmarkStart w:name="_bookmark140" w:id="244"/>
      <w:bookmarkEnd w:id="244"/>
      <w:r>
        <w:rPr/>
      </w:r>
      <w:r>
        <w:rPr>
          <w:spacing w:val="-40"/>
          <w:u w:val="single"/>
          <w:vertAlign w:val="subscript"/>
        </w:rPr>
        <w:t> </w:t>
      </w:r>
      <w:r>
        <w:rPr>
          <w:rFonts w:ascii="Cambria" w:hAnsi="Cambria"/>
          <w:vertAlign w:val="baseline"/>
        </w:rPr>
        <w:t>W</w:t>
      </w:r>
      <w:r>
        <w:rPr>
          <w:rFonts w:ascii="Cambria" w:hAnsi="Cambria"/>
          <w:spacing w:val="-21"/>
          <w:vertAlign w:val="baseline"/>
        </w:rPr>
        <w:t> </w:t>
      </w:r>
      <w:r>
        <w:rPr>
          <w:rFonts w:ascii="Cambria" w:hAnsi="Cambria"/>
          <w:vertAlign w:val="superscript"/>
        </w:rPr>
        <w:t>a</w:t>
      </w:r>
      <w:r>
        <w:rPr>
          <w:rFonts w:ascii="Cambria" w:hAnsi="Cambria"/>
          <w:spacing w:val="11"/>
          <w:vertAlign w:val="baseline"/>
        </w:rPr>
        <w:t> </w:t>
      </w:r>
      <w:r>
        <w:rPr>
          <w:rFonts w:ascii="Lucida Sans Unicode" w:hAnsi="Lucida Sans Unicode"/>
          <w:vertAlign w:val="baseline"/>
        </w:rPr>
        <w:t>−</w:t>
      </w:r>
      <w:r>
        <w:rPr>
          <w:rFonts w:ascii="Lucida Sans Unicode" w:hAnsi="Lucida Sans Unicode"/>
          <w:spacing w:val="-21"/>
          <w:vertAlign w:val="baseline"/>
        </w:rPr>
        <w:t> </w:t>
      </w:r>
      <w:r>
        <w:rPr>
          <w:rFonts w:ascii="Cambria" w:hAnsi="Cambria"/>
          <w:spacing w:val="-5"/>
          <w:vertAlign w:val="baseline"/>
        </w:rPr>
        <w:t>W</w:t>
      </w:r>
      <w:r>
        <w:rPr>
          <w:rFonts w:ascii="Cambria" w:hAnsi="Cambria"/>
          <w:spacing w:val="-5"/>
          <w:vertAlign w:val="subscript"/>
        </w:rPr>
        <w:t>p</w:t>
      </w:r>
    </w:p>
    <w:p>
      <w:pPr>
        <w:pStyle w:val="BodyText"/>
        <w:tabs>
          <w:tab w:pos="5668" w:val="left" w:leader="none"/>
          <w:tab w:pos="8656" w:val="left" w:leader="none"/>
        </w:tabs>
        <w:spacing w:line="92" w:lineRule="exact"/>
        <w:ind w:left="3990"/>
      </w:pPr>
      <w:r>
        <w:rPr>
          <w:rFonts w:ascii="Cambria"/>
          <w:w w:val="110"/>
        </w:rPr>
        <w:t>W</w:t>
      </w:r>
      <w:r>
        <w:rPr>
          <w:rFonts w:ascii="Cambria"/>
          <w:spacing w:val="28"/>
          <w:w w:val="110"/>
        </w:rPr>
        <w:t>  </w:t>
      </w:r>
      <w:r>
        <w:rPr>
          <w:rFonts w:ascii="Garamond"/>
          <w:spacing w:val="-12"/>
          <w:w w:val="110"/>
        </w:rPr>
        <w:t>=</w:t>
      </w:r>
      <w:r>
        <w:rPr>
          <w:rFonts w:ascii="Garamond"/>
        </w:rPr>
        <w:tab/>
      </w:r>
      <w:r>
        <w:rPr>
          <w:rFonts w:ascii="Cambria"/>
          <w:spacing w:val="-10"/>
          <w:w w:val="110"/>
        </w:rPr>
        <w:t>,</w:t>
      </w:r>
      <w:r>
        <w:rPr>
          <w:rFonts w:ascii="Cambria"/>
        </w:rPr>
        <w:tab/>
      </w:r>
      <w:r>
        <w:rPr>
          <w:spacing w:val="-4"/>
          <w:w w:val="110"/>
        </w:rPr>
        <w:t>(5.5)</w:t>
      </w:r>
    </w:p>
    <w:p>
      <w:pPr>
        <w:tabs>
          <w:tab w:pos="812" w:val="left" w:leader="none"/>
        </w:tabs>
        <w:spacing w:line="124" w:lineRule="auto" w:before="17"/>
        <w:ind w:left="18" w:right="0" w:firstLine="0"/>
        <w:jc w:val="center"/>
        <w:rPr>
          <w:rFonts w:ascii="Cambria"/>
          <w:sz w:val="16"/>
        </w:rPr>
      </w:pPr>
      <w:r>
        <w:rPr>
          <w:rFonts w:ascii="Cambria"/>
          <w:spacing w:val="-10"/>
          <w:sz w:val="16"/>
        </w:rPr>
        <w:t>p</w:t>
      </w:r>
      <w:r>
        <w:rPr>
          <w:rFonts w:ascii="Cambria"/>
          <w:sz w:val="16"/>
        </w:rPr>
        <w:tab/>
      </w:r>
      <w:r>
        <w:rPr>
          <w:rFonts w:ascii="Cambria"/>
          <w:spacing w:val="-5"/>
          <w:position w:val="-9"/>
          <w:sz w:val="24"/>
        </w:rPr>
        <w:t>W</w:t>
      </w:r>
      <w:r>
        <w:rPr>
          <w:rFonts w:ascii="Cambria"/>
          <w:spacing w:val="-5"/>
          <w:position w:val="-13"/>
          <w:sz w:val="16"/>
        </w:rPr>
        <w:t>p</w:t>
      </w:r>
    </w:p>
    <w:p>
      <w:pPr>
        <w:pStyle w:val="BodyText"/>
        <w:spacing w:before="8"/>
        <w:rPr>
          <w:rFonts w:ascii="Cambria"/>
          <w:sz w:val="21"/>
        </w:rPr>
      </w:pPr>
    </w:p>
    <w:p>
      <w:pPr>
        <w:pStyle w:val="BodyText"/>
        <w:spacing w:line="256" w:lineRule="auto" w:before="58"/>
        <w:ind w:left="610" w:right="389"/>
      </w:pPr>
      <w:r>
        <w:rPr/>
        <w:pict>
          <v:shape style="position:absolute;margin-left:158.856003pt;margin-top:13.03858pt;width:4.3pt;height:8pt;mso-position-horizontal-relative:page;mso-position-vertical-relative:paragraph;z-index:-21749760" type="#_x0000_t202" id="docshape149" filled="false" stroked="false">
            <v:textbox inset="0,0,0,0">
              <w:txbxContent>
                <w:p>
                  <w:pPr>
                    <w:spacing w:line="155" w:lineRule="exact" w:before="0"/>
                    <w:ind w:left="0" w:right="0" w:firstLine="0"/>
                    <w:jc w:val="left"/>
                    <w:rPr>
                      <w:rFonts w:ascii="Cambria"/>
                      <w:sz w:val="16"/>
                    </w:rPr>
                  </w:pPr>
                  <w:r>
                    <w:rPr>
                      <w:rFonts w:ascii="Cambria"/>
                      <w:w w:val="95"/>
                      <w:sz w:val="16"/>
                    </w:rPr>
                    <w:t>p</w:t>
                  </w:r>
                </w:p>
              </w:txbxContent>
            </v:textbox>
            <w10:wrap type="none"/>
          </v:shape>
        </w:pict>
      </w:r>
      <w:r>
        <w:rPr/>
        <w:t>where</w:t>
      </w:r>
      <w:r>
        <w:rPr>
          <w:spacing w:val="23"/>
        </w:rPr>
        <w:t> </w:t>
      </w:r>
      <w:r>
        <w:rPr>
          <w:rFonts w:ascii="Cambria" w:hAnsi="Cambria"/>
        </w:rPr>
        <w:t>W</w:t>
      </w:r>
      <w:r>
        <w:rPr>
          <w:rFonts w:ascii="Cambria" w:hAnsi="Cambria"/>
          <w:spacing w:val="-21"/>
        </w:rPr>
        <w:t> </w:t>
      </w:r>
      <w:r>
        <w:rPr>
          <w:rFonts w:ascii="Cambria" w:hAnsi="Cambria"/>
          <w:vertAlign w:val="superscript"/>
        </w:rPr>
        <w:t>a</w:t>
      </w:r>
      <w:r>
        <w:rPr>
          <w:rFonts w:ascii="Cambria" w:hAnsi="Cambria"/>
          <w:spacing w:val="39"/>
          <w:vertAlign w:val="baseline"/>
        </w:rPr>
        <w:t> </w:t>
      </w:r>
      <w:r>
        <w:rPr>
          <w:vertAlign w:val="baseline"/>
        </w:rPr>
        <w:t>is</w:t>
      </w:r>
      <w:r>
        <w:rPr>
          <w:spacing w:val="23"/>
          <w:vertAlign w:val="baseline"/>
        </w:rPr>
        <w:t> </w:t>
      </w:r>
      <w:r>
        <w:rPr>
          <w:vertAlign w:val="baseline"/>
        </w:rPr>
        <w:t>the</w:t>
      </w:r>
      <w:r>
        <w:rPr>
          <w:spacing w:val="23"/>
          <w:vertAlign w:val="baseline"/>
        </w:rPr>
        <w:t> </w:t>
      </w:r>
      <w:r>
        <w:rPr>
          <w:vertAlign w:val="baseline"/>
        </w:rPr>
        <w:t>Wasserstein</w:t>
      </w:r>
      <w:r>
        <w:rPr>
          <w:spacing w:val="23"/>
          <w:vertAlign w:val="baseline"/>
        </w:rPr>
        <w:t> </w:t>
      </w:r>
      <w:r>
        <w:rPr>
          <w:vertAlign w:val="baseline"/>
        </w:rPr>
        <w:t>distance</w:t>
      </w:r>
      <w:r>
        <w:rPr>
          <w:spacing w:val="23"/>
          <w:vertAlign w:val="baseline"/>
        </w:rPr>
        <w:t> </w:t>
      </w:r>
      <w:r>
        <w:rPr>
          <w:vertAlign w:val="baseline"/>
        </w:rPr>
        <w:t>weighted</w:t>
      </w:r>
      <w:r>
        <w:rPr>
          <w:spacing w:val="23"/>
          <w:vertAlign w:val="baseline"/>
        </w:rPr>
        <w:t> </w:t>
      </w:r>
      <w:r>
        <w:rPr>
          <w:vertAlign w:val="baseline"/>
        </w:rPr>
        <w:t>by</w:t>
      </w:r>
      <w:r>
        <w:rPr>
          <w:spacing w:val="23"/>
          <w:vertAlign w:val="baseline"/>
        </w:rPr>
        <w:t> </w:t>
      </w:r>
      <w:r>
        <w:rPr>
          <w:rFonts w:ascii="Cambria" w:hAnsi="Cambria"/>
          <w:vertAlign w:val="baseline"/>
        </w:rPr>
        <w:t>a</w:t>
      </w:r>
      <w:r>
        <w:rPr>
          <w:rFonts w:ascii="Cambria" w:hAnsi="Cambria"/>
          <w:spacing w:val="40"/>
          <w:vertAlign w:val="baseline"/>
        </w:rPr>
        <w:t> </w:t>
      </w:r>
      <w:r>
        <w:rPr>
          <w:rFonts w:ascii="Lucida Sans Unicode" w:hAnsi="Lucida Sans Unicode"/>
          <w:vertAlign w:val="baseline"/>
        </w:rPr>
        <w:t>∈</w:t>
      </w:r>
      <w:r>
        <w:rPr>
          <w:rFonts w:ascii="Lucida Sans Unicode" w:hAnsi="Lucida Sans Unicode"/>
          <w:spacing w:val="34"/>
          <w:vertAlign w:val="baseline"/>
        </w:rPr>
        <w:t> </w:t>
      </w:r>
      <w:r>
        <w:rPr>
          <w:rFonts w:ascii="Lucida Sans Unicode" w:hAnsi="Lucida Sans Unicode"/>
          <w:vertAlign w:val="baseline"/>
        </w:rPr>
        <w:t>{</w:t>
      </w:r>
      <w:r>
        <w:rPr>
          <w:rFonts w:ascii="Cambria" w:hAnsi="Cambria"/>
          <w:vertAlign w:val="baseline"/>
        </w:rPr>
        <w:t>x,</w:t>
      </w:r>
      <w:r>
        <w:rPr>
          <w:rFonts w:ascii="Cambria" w:hAnsi="Cambria"/>
          <w:spacing w:val="-12"/>
          <w:vertAlign w:val="baseline"/>
        </w:rPr>
        <w:t> </w:t>
      </w:r>
      <w:r>
        <w:rPr>
          <w:rFonts w:ascii="Cambria" w:hAnsi="Cambria"/>
          <w:vertAlign w:val="baseline"/>
        </w:rPr>
        <w:t>y</w:t>
      </w:r>
      <w:r>
        <w:rPr>
          <w:rFonts w:ascii="Lucida Sans Unicode" w:hAnsi="Lucida Sans Unicode"/>
          <w:vertAlign w:val="baseline"/>
        </w:rPr>
        <w:t>} </w:t>
      </w:r>
      <w:r>
        <w:rPr>
          <w:vertAlign w:val="baseline"/>
        </w:rPr>
        <w:t>and</w:t>
      </w:r>
      <w:r>
        <w:rPr>
          <w:spacing w:val="23"/>
          <w:vertAlign w:val="baseline"/>
        </w:rPr>
        <w:t> </w:t>
      </w:r>
      <w:r>
        <w:rPr>
          <w:rFonts w:ascii="Cambria" w:hAnsi="Cambria"/>
          <w:vertAlign w:val="baseline"/>
        </w:rPr>
        <w:t>W</w:t>
      </w:r>
      <w:r>
        <w:rPr>
          <w:rFonts w:ascii="Cambria" w:hAnsi="Cambria"/>
          <w:vertAlign w:val="subscript"/>
        </w:rPr>
        <w:t>p</w:t>
      </w:r>
      <w:r>
        <w:rPr>
          <w:rFonts w:ascii="Cambria" w:hAnsi="Cambria"/>
          <w:spacing w:val="39"/>
          <w:vertAlign w:val="baseline"/>
        </w:rPr>
        <w:t> </w:t>
      </w:r>
      <w:r>
        <w:rPr>
          <w:vertAlign w:val="baseline"/>
        </w:rPr>
        <w:t>is</w:t>
      </w:r>
      <w:r>
        <w:rPr>
          <w:spacing w:val="23"/>
          <w:vertAlign w:val="baseline"/>
        </w:rPr>
        <w:t> </w:t>
      </w:r>
      <w:r>
        <w:rPr>
          <w:vertAlign w:val="baseline"/>
        </w:rPr>
        <w:t>the</w:t>
      </w:r>
      <w:r>
        <w:rPr>
          <w:spacing w:val="23"/>
          <w:vertAlign w:val="baseline"/>
        </w:rPr>
        <w:t> </w:t>
      </w:r>
      <w:r>
        <w:rPr>
          <w:vertAlign w:val="baseline"/>
        </w:rPr>
        <w:t>standard Wasserstein distance for norm </w:t>
      </w:r>
      <w:r>
        <w:rPr>
          <w:rFonts w:ascii="Cambria" w:hAnsi="Cambria"/>
          <w:vertAlign w:val="baseline"/>
        </w:rPr>
        <w:t>p</w:t>
      </w:r>
      <w:r>
        <w:rPr>
          <w:vertAlign w:val="baseline"/>
        </w:rPr>
        <w:t>.</w:t>
      </w:r>
    </w:p>
    <w:p>
      <w:pPr>
        <w:pStyle w:val="BodyText"/>
        <w:spacing w:before="60"/>
        <w:ind w:left="961"/>
      </w:pPr>
      <w:r>
        <w:rPr/>
        <w:t>The</w:t>
      </w:r>
      <w:r>
        <w:rPr>
          <w:spacing w:val="-3"/>
        </w:rPr>
        <w:t> </w:t>
      </w:r>
      <w:r>
        <w:rPr/>
        <w:t>comparison</w:t>
      </w:r>
      <w:r>
        <w:rPr>
          <w:spacing w:val="-3"/>
        </w:rPr>
        <w:t> </w:t>
      </w:r>
      <w:r>
        <w:rPr/>
        <w:t>of</w:t>
      </w:r>
      <w:r>
        <w:rPr>
          <w:spacing w:val="-3"/>
        </w:rPr>
        <w:t> </w:t>
      </w:r>
      <w:r>
        <w:rPr/>
        <w:t>normalised</w:t>
      </w:r>
      <w:r>
        <w:rPr>
          <w:spacing w:val="-4"/>
        </w:rPr>
        <w:t> </w:t>
      </w:r>
      <w:r>
        <w:rPr/>
        <w:t>axis</w:t>
      </w:r>
      <w:r>
        <w:rPr>
          <w:spacing w:val="-2"/>
        </w:rPr>
        <w:t> </w:t>
      </w:r>
      <w:r>
        <w:rPr/>
        <w:t>Wasserstein</w:t>
      </w:r>
      <w:r>
        <w:rPr>
          <w:spacing w:val="-4"/>
        </w:rPr>
        <w:t> </w:t>
      </w:r>
      <w:r>
        <w:rPr/>
        <w:t>distance</w:t>
      </w:r>
      <w:r>
        <w:rPr>
          <w:spacing w:val="-3"/>
        </w:rPr>
        <w:t> </w:t>
      </w:r>
      <w:r>
        <w:rPr/>
        <w:t>measures</w:t>
      </w:r>
      <w:r>
        <w:rPr>
          <w:spacing w:val="-4"/>
        </w:rPr>
        <w:t> </w:t>
      </w:r>
      <w:r>
        <w:rPr/>
        <w:t>was</w:t>
      </w:r>
      <w:r>
        <w:rPr>
          <w:spacing w:val="-2"/>
        </w:rPr>
        <w:t> </w:t>
      </w:r>
      <w:r>
        <w:rPr/>
        <w:t>completed</w:t>
      </w:r>
      <w:r>
        <w:rPr>
          <w:spacing w:val="-4"/>
        </w:rPr>
        <w:t> </w:t>
      </w:r>
      <w:r>
        <w:rPr>
          <w:spacing w:val="-5"/>
        </w:rPr>
        <w:t>at</w:t>
      </w:r>
    </w:p>
    <w:p>
      <w:pPr>
        <w:pStyle w:val="BodyText"/>
        <w:spacing w:before="40"/>
        <w:ind w:left="610"/>
      </w:pPr>
      <w:r>
        <w:rPr/>
        <w:pict>
          <v:shape style="position:absolute;margin-left:248.692001pt;margin-top:12.319222pt;width:4.3pt;height:8pt;mso-position-horizontal-relative:page;mso-position-vertical-relative:paragraph;z-index:-21749248" type="#_x0000_t202" id="docshape150" filled="false" stroked="false">
            <v:textbox inset="0,0,0,0">
              <w:txbxContent>
                <w:p>
                  <w:pPr>
                    <w:spacing w:line="155" w:lineRule="exact" w:before="0"/>
                    <w:ind w:left="0" w:right="0" w:firstLine="0"/>
                    <w:jc w:val="left"/>
                    <w:rPr>
                      <w:rFonts w:ascii="Cambria"/>
                      <w:sz w:val="16"/>
                    </w:rPr>
                  </w:pPr>
                  <w:r>
                    <w:rPr>
                      <w:rFonts w:ascii="Cambria"/>
                      <w:w w:val="95"/>
                      <w:sz w:val="16"/>
                    </w:rPr>
                    <w:t>p</w:t>
                  </w:r>
                </w:p>
              </w:txbxContent>
            </v:textbox>
            <w10:wrap type="none"/>
          </v:shape>
        </w:pict>
      </w:r>
      <w:r>
        <w:rPr/>
        <w:t>the</w:t>
      </w:r>
      <w:r>
        <w:rPr>
          <w:spacing w:val="11"/>
        </w:rPr>
        <w:t> </w:t>
      </w:r>
      <w:r>
        <w:rPr/>
        <w:t>between</w:t>
      </w:r>
      <w:r>
        <w:rPr>
          <w:spacing w:val="10"/>
        </w:rPr>
        <w:t> </w:t>
      </w:r>
      <w:r>
        <w:rPr/>
        <w:t>team</w:t>
      </w:r>
      <w:r>
        <w:rPr>
          <w:spacing w:val="12"/>
        </w:rPr>
        <w:t> </w:t>
      </w:r>
      <w:r>
        <w:rPr/>
        <w:t>level.</w:t>
      </w:r>
      <w:r>
        <w:rPr>
          <w:spacing w:val="63"/>
        </w:rPr>
        <w:t> </w:t>
      </w:r>
      <w:r>
        <w:rPr>
          <w:rFonts w:ascii="Cambria" w:hAnsi="Cambria"/>
          <w:spacing w:val="-75"/>
          <w:w w:val="95"/>
        </w:rPr>
        <w:t>W</w:t>
      </w:r>
      <w:r>
        <w:rPr>
          <w:rFonts w:ascii="Garamond" w:hAnsi="Garamond"/>
          <w:spacing w:val="46"/>
          <w:w w:val="93"/>
          <w:position w:val="6"/>
        </w:rPr>
        <w:t>¯</w:t>
      </w:r>
      <w:r>
        <w:rPr>
          <w:rFonts w:ascii="Cambria" w:hAnsi="Cambria"/>
          <w:spacing w:val="28"/>
          <w:w w:val="111"/>
          <w:position w:val="7"/>
          <w:sz w:val="16"/>
        </w:rPr>
        <w:t>a</w:t>
      </w:r>
      <w:r>
        <w:rPr>
          <w:rFonts w:ascii="Cambria" w:hAnsi="Cambria"/>
          <w:spacing w:val="44"/>
          <w:position w:val="7"/>
          <w:sz w:val="16"/>
        </w:rPr>
        <w:t> </w:t>
      </w:r>
      <w:r>
        <w:rPr/>
        <w:t>distances</w:t>
      </w:r>
      <w:r>
        <w:rPr>
          <w:spacing w:val="11"/>
        </w:rPr>
        <w:t> </w:t>
      </w:r>
      <w:r>
        <w:rPr/>
        <w:t>represent</w:t>
      </w:r>
      <w:r>
        <w:rPr>
          <w:spacing w:val="11"/>
        </w:rPr>
        <w:t> </w:t>
      </w:r>
      <w:r>
        <w:rPr/>
        <w:t>the</w:t>
      </w:r>
      <w:r>
        <w:rPr>
          <w:spacing w:val="11"/>
        </w:rPr>
        <w:t> </w:t>
      </w:r>
      <w:r>
        <w:rPr/>
        <w:t>importance</w:t>
      </w:r>
      <w:r>
        <w:rPr>
          <w:spacing w:val="11"/>
        </w:rPr>
        <w:t> </w:t>
      </w:r>
      <w:r>
        <w:rPr/>
        <w:t>of</w:t>
      </w:r>
      <w:r>
        <w:rPr>
          <w:spacing w:val="12"/>
        </w:rPr>
        <w:t> </w:t>
      </w:r>
      <w:r>
        <w:rPr/>
        <w:t>density</w:t>
      </w:r>
      <w:r>
        <w:rPr>
          <w:spacing w:val="10"/>
        </w:rPr>
        <w:t> </w:t>
      </w:r>
      <w:r>
        <w:rPr>
          <w:spacing w:val="-2"/>
        </w:rPr>
        <w:t>movements</w:t>
      </w:r>
    </w:p>
    <w:p>
      <w:pPr>
        <w:pStyle w:val="BodyText"/>
        <w:spacing w:line="304" w:lineRule="auto" w:before="77"/>
        <w:ind w:left="610" w:right="389"/>
        <w:jc w:val="both"/>
      </w:pPr>
      <w:r>
        <w:rPr/>
        <w:pict>
          <v:shape style="position:absolute;margin-left:231.886993pt;margin-top:48.084766pt;width:4.3pt;height:8pt;mso-position-horizontal-relative:page;mso-position-vertical-relative:paragraph;z-index:-21748736" type="#_x0000_t202" id="docshape151" filled="false" stroked="false">
            <v:textbox inset="0,0,0,0">
              <w:txbxContent>
                <w:p>
                  <w:pPr>
                    <w:spacing w:line="155" w:lineRule="exact" w:before="0"/>
                    <w:ind w:left="0" w:right="0" w:firstLine="0"/>
                    <w:jc w:val="left"/>
                    <w:rPr>
                      <w:rFonts w:ascii="Cambria"/>
                      <w:sz w:val="16"/>
                    </w:rPr>
                  </w:pPr>
                  <w:r>
                    <w:rPr>
                      <w:rFonts w:ascii="Cambria"/>
                      <w:w w:val="95"/>
                      <w:sz w:val="16"/>
                    </w:rPr>
                    <w:t>p</w:t>
                  </w:r>
                </w:p>
              </w:txbxContent>
            </v:textbox>
            <w10:wrap type="none"/>
          </v:shape>
        </w:pict>
      </w:r>
      <w:r>
        <w:rPr/>
        <w:t>along axis </w:t>
      </w:r>
      <w:r>
        <w:rPr>
          <w:rFonts w:ascii="Cambria"/>
        </w:rPr>
        <w:t>a </w:t>
      </w:r>
      <w:r>
        <w:rPr/>
        <w:t>relative to </w:t>
      </w:r>
      <w:r>
        <w:rPr>
          <w:rFonts w:ascii="Cambria"/>
        </w:rPr>
        <w:t>W</w:t>
      </w:r>
      <w:r>
        <w:rPr>
          <w:rFonts w:ascii="Cambria"/>
          <w:vertAlign w:val="subscript"/>
        </w:rPr>
        <w:t>p</w:t>
      </w:r>
      <w:r>
        <w:rPr>
          <w:vertAlign w:val="baseline"/>
        </w:rPr>
        <w:t>.</w:t>
      </w:r>
      <w:r>
        <w:rPr>
          <w:spacing w:val="33"/>
          <w:vertAlign w:val="baseline"/>
        </w:rPr>
        <w:t> </w:t>
      </w:r>
      <w:r>
        <w:rPr>
          <w:vertAlign w:val="baseline"/>
        </w:rPr>
        <w:t>A larger value indicates a greater cost of density movement along axis </w:t>
      </w:r>
      <w:r>
        <w:rPr>
          <w:rFonts w:ascii="Cambria"/>
          <w:vertAlign w:val="baseline"/>
        </w:rPr>
        <w:t>a </w:t>
      </w:r>
      <w:r>
        <w:rPr>
          <w:vertAlign w:val="baseline"/>
        </w:rPr>
        <w:t>relative to the unit density movement cost.</w:t>
      </w:r>
      <w:r>
        <w:rPr>
          <w:spacing w:val="40"/>
          <w:vertAlign w:val="baseline"/>
        </w:rPr>
        <w:t> </w:t>
      </w:r>
      <w:r>
        <w:rPr>
          <w:vertAlign w:val="baseline"/>
        </w:rPr>
        <w:t>Quadrant plots were used </w:t>
      </w:r>
      <w:r>
        <w:rPr>
          <w:vertAlign w:val="baseline"/>
        </w:rPr>
        <w:t>to evaluate the ability of </w:t>
      </w:r>
      <w:r>
        <w:rPr>
          <w:rFonts w:ascii="Cambria"/>
          <w:vertAlign w:val="baseline"/>
        </w:rPr>
        <w:t>W</w:t>
      </w:r>
      <w:r>
        <w:rPr>
          <w:rFonts w:ascii="Cambria"/>
          <w:spacing w:val="-15"/>
          <w:vertAlign w:val="baseline"/>
        </w:rPr>
        <w:t> </w:t>
      </w:r>
      <w:r>
        <w:rPr>
          <w:rFonts w:ascii="Cambria"/>
          <w:vertAlign w:val="superscript"/>
        </w:rPr>
        <w:t>a</w:t>
      </w:r>
      <w:r>
        <w:rPr>
          <w:rFonts w:ascii="Cambria"/>
          <w:vertAlign w:val="baseline"/>
        </w:rPr>
        <w:t> </w:t>
      </w:r>
      <w:r>
        <w:rPr>
          <w:vertAlign w:val="baseline"/>
        </w:rPr>
        <w:t>measures to identify differences between teams.</w:t>
      </w:r>
    </w:p>
    <w:p>
      <w:pPr>
        <w:spacing w:after="0" w:line="304"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before="105"/>
        <w:ind w:left="757" w:right="538"/>
        <w:jc w:val="center"/>
      </w:pPr>
      <w:bookmarkStart w:name="_bookmark141" w:id="245"/>
      <w:bookmarkEnd w:id="245"/>
      <w:r>
        <w:rPr/>
      </w:r>
      <w:r>
        <w:rPr>
          <w:b/>
        </w:rPr>
        <w:t>Table</w:t>
      </w:r>
      <w:r>
        <w:rPr>
          <w:b/>
          <w:spacing w:val="-15"/>
        </w:rPr>
        <w:t> </w:t>
      </w:r>
      <w:r>
        <w:rPr>
          <w:b/>
        </w:rPr>
        <w:t>5.5:</w:t>
      </w:r>
      <w:r>
        <w:rPr>
          <w:b/>
          <w:spacing w:val="-3"/>
        </w:rPr>
        <w:t> </w:t>
      </w:r>
      <w:r>
        <w:rPr/>
        <w:t>Weighted</w:t>
      </w:r>
      <w:r>
        <w:rPr>
          <w:spacing w:val="-14"/>
        </w:rPr>
        <w:t> </w:t>
      </w:r>
      <w:r>
        <w:rPr/>
        <w:t>Wasserstein</w:t>
      </w:r>
      <w:r>
        <w:rPr>
          <w:spacing w:val="-14"/>
        </w:rPr>
        <w:t> </w:t>
      </w:r>
      <w:r>
        <w:rPr/>
        <w:t>distance</w:t>
      </w:r>
      <w:r>
        <w:rPr>
          <w:spacing w:val="-14"/>
        </w:rPr>
        <w:t> </w:t>
      </w:r>
      <w:r>
        <w:rPr/>
        <w:t>metrics</w:t>
      </w:r>
      <w:r>
        <w:rPr>
          <w:spacing w:val="-15"/>
        </w:rPr>
        <w:t> </w:t>
      </w:r>
      <w:r>
        <w:rPr/>
        <w:t>considered</w:t>
      </w:r>
      <w:r>
        <w:rPr>
          <w:spacing w:val="-14"/>
        </w:rPr>
        <w:t> </w:t>
      </w:r>
      <w:r>
        <w:rPr/>
        <w:t>in</w:t>
      </w:r>
      <w:r>
        <w:rPr>
          <w:spacing w:val="-14"/>
        </w:rPr>
        <w:t> </w:t>
      </w:r>
      <w:r>
        <w:rPr/>
        <w:t>this</w:t>
      </w:r>
      <w:r>
        <w:rPr>
          <w:spacing w:val="-15"/>
        </w:rPr>
        <w:t> </w:t>
      </w:r>
      <w:r>
        <w:rPr>
          <w:spacing w:val="-2"/>
        </w:rPr>
        <w:t>study</w:t>
      </w:r>
    </w:p>
    <w:p>
      <w:pPr>
        <w:pStyle w:val="BodyText"/>
        <w:rPr>
          <w:sz w:val="20"/>
        </w:rPr>
      </w:pPr>
    </w:p>
    <w:p>
      <w:pPr>
        <w:pStyle w:val="BodyText"/>
        <w:spacing w:before="2"/>
        <w:rPr>
          <w:sz w:val="21"/>
        </w:rPr>
      </w:pPr>
      <w:r>
        <w:rPr/>
        <w:pict>
          <v:shape style="position:absolute;margin-left:277.028015pt;margin-top:13.373975pt;width:100.2pt;height:.1pt;mso-position-horizontal-relative:page;mso-position-vertical-relative:paragraph;z-index:-15660544;mso-wrap-distance-left:0;mso-wrap-distance-right:0" id="docshape152" coordorigin="5541,267" coordsize="2004,0" path="m5541,267l7544,267e" filled="false" stroked="true" strokeweight=".398pt" strokecolor="#000000">
            <v:path arrowok="t"/>
            <v:stroke dashstyle="solid"/>
            <w10:wrap type="topAndBottom"/>
          </v:shape>
        </w:pict>
      </w:r>
    </w:p>
    <w:p>
      <w:pPr>
        <w:pStyle w:val="BodyText"/>
        <w:tabs>
          <w:tab w:pos="1226" w:val="left" w:leader="none"/>
        </w:tabs>
        <w:spacing w:line="256" w:lineRule="exact" w:after="37"/>
        <w:ind w:left="219"/>
        <w:jc w:val="center"/>
      </w:pPr>
      <w:r>
        <w:rPr>
          <w:rFonts w:ascii="Cambria"/>
        </w:rPr>
        <w:t>x</w:t>
      </w:r>
      <w:r>
        <w:rPr/>
        <w:t>-</w:t>
      </w:r>
      <w:r>
        <w:rPr>
          <w:spacing w:val="-2"/>
        </w:rPr>
        <w:t>factor</w:t>
      </w:r>
      <w:r>
        <w:rPr/>
        <w:tab/>
      </w:r>
      <w:r>
        <w:rPr>
          <w:rFonts w:ascii="Cambria"/>
          <w:spacing w:val="-2"/>
        </w:rPr>
        <w:t>y</w:t>
      </w:r>
      <w:r>
        <w:rPr>
          <w:spacing w:val="-2"/>
        </w:rPr>
        <w:t>-factor</w:t>
      </w:r>
    </w:p>
    <w:tbl>
      <w:tblPr>
        <w:tblW w:w="0" w:type="auto"/>
        <w:jc w:val="left"/>
        <w:tblInd w:w="38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004"/>
        <w:gridCol w:w="999"/>
      </w:tblGrid>
      <w:tr>
        <w:trPr>
          <w:trHeight w:val="268" w:hRule="atLeast"/>
        </w:trPr>
        <w:tc>
          <w:tcPr>
            <w:tcW w:w="1004" w:type="dxa"/>
            <w:tcBorders>
              <w:top w:val="single" w:sz="4" w:space="0" w:color="000000"/>
            </w:tcBorders>
          </w:tcPr>
          <w:p>
            <w:pPr>
              <w:pStyle w:val="TableParagraph"/>
              <w:spacing w:line="249" w:lineRule="exact"/>
              <w:ind w:left="340" w:right="338"/>
              <w:rPr>
                <w:sz w:val="24"/>
              </w:rPr>
            </w:pPr>
            <w:r>
              <w:rPr>
                <w:spacing w:val="-5"/>
                <w:sz w:val="24"/>
              </w:rPr>
              <w:t>2.0</w:t>
            </w:r>
          </w:p>
        </w:tc>
        <w:tc>
          <w:tcPr>
            <w:tcW w:w="999" w:type="dxa"/>
            <w:tcBorders>
              <w:top w:val="single" w:sz="4" w:space="0" w:color="000000"/>
            </w:tcBorders>
          </w:tcPr>
          <w:p>
            <w:pPr>
              <w:pStyle w:val="TableParagraph"/>
              <w:spacing w:line="249" w:lineRule="exact"/>
              <w:ind w:left="338" w:right="335"/>
              <w:rPr>
                <w:sz w:val="24"/>
              </w:rPr>
            </w:pPr>
            <w:r>
              <w:rPr>
                <w:spacing w:val="-5"/>
                <w:sz w:val="24"/>
              </w:rPr>
              <w:t>2.0</w:t>
            </w:r>
          </w:p>
        </w:tc>
      </w:tr>
      <w:tr>
        <w:trPr>
          <w:trHeight w:val="288" w:hRule="atLeast"/>
        </w:trPr>
        <w:tc>
          <w:tcPr>
            <w:tcW w:w="1004" w:type="dxa"/>
          </w:tcPr>
          <w:p>
            <w:pPr>
              <w:pStyle w:val="TableParagraph"/>
              <w:ind w:left="340" w:right="338"/>
              <w:rPr>
                <w:sz w:val="24"/>
              </w:rPr>
            </w:pPr>
            <w:r>
              <w:rPr>
                <w:spacing w:val="-5"/>
                <w:sz w:val="24"/>
              </w:rPr>
              <w:t>3.0</w:t>
            </w:r>
          </w:p>
        </w:tc>
        <w:tc>
          <w:tcPr>
            <w:tcW w:w="999" w:type="dxa"/>
          </w:tcPr>
          <w:p>
            <w:pPr>
              <w:pStyle w:val="TableParagraph"/>
              <w:ind w:left="338" w:right="335"/>
              <w:rPr>
                <w:sz w:val="24"/>
              </w:rPr>
            </w:pPr>
            <w:r>
              <w:rPr>
                <w:spacing w:val="-5"/>
                <w:sz w:val="24"/>
              </w:rPr>
              <w:t>3.0</w:t>
            </w:r>
          </w:p>
        </w:tc>
      </w:tr>
      <w:tr>
        <w:trPr>
          <w:trHeight w:val="288" w:hRule="atLeast"/>
        </w:trPr>
        <w:tc>
          <w:tcPr>
            <w:tcW w:w="1004" w:type="dxa"/>
          </w:tcPr>
          <w:p>
            <w:pPr>
              <w:pStyle w:val="TableParagraph"/>
              <w:ind w:left="340" w:right="338"/>
              <w:rPr>
                <w:sz w:val="24"/>
              </w:rPr>
            </w:pPr>
            <w:r>
              <w:rPr>
                <w:spacing w:val="-5"/>
                <w:sz w:val="24"/>
              </w:rPr>
              <w:t>2.4</w:t>
            </w:r>
          </w:p>
        </w:tc>
        <w:tc>
          <w:tcPr>
            <w:tcW w:w="999" w:type="dxa"/>
          </w:tcPr>
          <w:p>
            <w:pPr>
              <w:pStyle w:val="TableParagraph"/>
              <w:ind w:left="338" w:right="335"/>
              <w:rPr>
                <w:sz w:val="24"/>
              </w:rPr>
            </w:pPr>
            <w:r>
              <w:rPr>
                <w:spacing w:val="-5"/>
                <w:sz w:val="24"/>
              </w:rPr>
              <w:t>1.4</w:t>
            </w:r>
          </w:p>
        </w:tc>
      </w:tr>
      <w:tr>
        <w:trPr>
          <w:trHeight w:val="288" w:hRule="atLeast"/>
        </w:trPr>
        <w:tc>
          <w:tcPr>
            <w:tcW w:w="1004" w:type="dxa"/>
          </w:tcPr>
          <w:p>
            <w:pPr>
              <w:pStyle w:val="TableParagraph"/>
              <w:ind w:left="340" w:right="338"/>
              <w:rPr>
                <w:sz w:val="24"/>
              </w:rPr>
            </w:pPr>
            <w:r>
              <w:rPr>
                <w:spacing w:val="-5"/>
                <w:sz w:val="24"/>
              </w:rPr>
              <w:t>3.6</w:t>
            </w:r>
          </w:p>
        </w:tc>
        <w:tc>
          <w:tcPr>
            <w:tcW w:w="999" w:type="dxa"/>
          </w:tcPr>
          <w:p>
            <w:pPr>
              <w:pStyle w:val="TableParagraph"/>
              <w:ind w:left="338" w:right="335"/>
              <w:rPr>
                <w:sz w:val="24"/>
              </w:rPr>
            </w:pPr>
            <w:r>
              <w:rPr>
                <w:spacing w:val="-5"/>
                <w:sz w:val="24"/>
              </w:rPr>
              <w:t>2.1</w:t>
            </w:r>
          </w:p>
        </w:tc>
      </w:tr>
      <w:tr>
        <w:trPr>
          <w:trHeight w:val="288" w:hRule="atLeast"/>
        </w:trPr>
        <w:tc>
          <w:tcPr>
            <w:tcW w:w="1004" w:type="dxa"/>
          </w:tcPr>
          <w:p>
            <w:pPr>
              <w:pStyle w:val="TableParagraph"/>
              <w:ind w:left="340" w:right="338"/>
              <w:rPr>
                <w:sz w:val="24"/>
              </w:rPr>
            </w:pPr>
            <w:r>
              <w:rPr>
                <w:spacing w:val="-5"/>
                <w:sz w:val="24"/>
              </w:rPr>
              <w:t>4.8</w:t>
            </w:r>
          </w:p>
        </w:tc>
        <w:tc>
          <w:tcPr>
            <w:tcW w:w="999" w:type="dxa"/>
          </w:tcPr>
          <w:p>
            <w:pPr>
              <w:pStyle w:val="TableParagraph"/>
              <w:ind w:left="338" w:right="335"/>
              <w:rPr>
                <w:sz w:val="24"/>
              </w:rPr>
            </w:pPr>
            <w:r>
              <w:rPr>
                <w:spacing w:val="-5"/>
                <w:sz w:val="24"/>
              </w:rPr>
              <w:t>2.8</w:t>
            </w:r>
          </w:p>
        </w:tc>
      </w:tr>
      <w:tr>
        <w:trPr>
          <w:trHeight w:val="306" w:hRule="atLeast"/>
        </w:trPr>
        <w:tc>
          <w:tcPr>
            <w:tcW w:w="1004" w:type="dxa"/>
            <w:tcBorders>
              <w:bottom w:val="single" w:sz="4" w:space="0" w:color="000000"/>
            </w:tcBorders>
          </w:tcPr>
          <w:p>
            <w:pPr>
              <w:pStyle w:val="TableParagraph"/>
              <w:spacing w:line="273" w:lineRule="exact"/>
              <w:ind w:left="340" w:right="338"/>
              <w:rPr>
                <w:sz w:val="24"/>
              </w:rPr>
            </w:pPr>
            <w:r>
              <w:rPr>
                <w:spacing w:val="-5"/>
                <w:sz w:val="24"/>
              </w:rPr>
              <w:t>6.0</w:t>
            </w:r>
          </w:p>
        </w:tc>
        <w:tc>
          <w:tcPr>
            <w:tcW w:w="999" w:type="dxa"/>
            <w:tcBorders>
              <w:bottom w:val="single" w:sz="4" w:space="0" w:color="000000"/>
            </w:tcBorders>
          </w:tcPr>
          <w:p>
            <w:pPr>
              <w:pStyle w:val="TableParagraph"/>
              <w:spacing w:line="273" w:lineRule="exact"/>
              <w:ind w:left="338" w:right="335"/>
              <w:rPr>
                <w:sz w:val="24"/>
              </w:rPr>
            </w:pPr>
            <w:r>
              <w:rPr>
                <w:spacing w:val="-5"/>
                <w:sz w:val="24"/>
              </w:rPr>
              <w:t>3.5</w:t>
            </w:r>
          </w:p>
        </w:tc>
      </w:tr>
    </w:tbl>
    <w:p>
      <w:pPr>
        <w:pStyle w:val="BodyText"/>
        <w:rPr>
          <w:sz w:val="28"/>
        </w:rPr>
      </w:pPr>
    </w:p>
    <w:p>
      <w:pPr>
        <w:pStyle w:val="BodyText"/>
        <w:spacing w:before="5"/>
        <w:rPr>
          <w:sz w:val="30"/>
        </w:rPr>
      </w:pPr>
    </w:p>
    <w:p>
      <w:pPr>
        <w:pStyle w:val="Heading4"/>
        <w:numPr>
          <w:ilvl w:val="3"/>
          <w:numId w:val="23"/>
        </w:numPr>
        <w:tabs>
          <w:tab w:pos="1506" w:val="left" w:leader="none"/>
          <w:tab w:pos="1508" w:val="left" w:leader="none"/>
        </w:tabs>
        <w:spacing w:line="240" w:lineRule="auto" w:before="0" w:after="0"/>
        <w:ind w:left="1507" w:right="0" w:hanging="898"/>
        <w:jc w:val="left"/>
      </w:pPr>
      <w:bookmarkStart w:name="_TOC_250022" w:id="246"/>
      <w:bookmarkStart w:name="5.2.4.2 Directional Wasserstein Distance" w:id="247"/>
      <w:r>
        <w:rPr>
          <w:b w:val="0"/>
        </w:rPr>
      </w:r>
      <w:bookmarkStart w:name="_bookmark142" w:id="248"/>
      <w:bookmarkEnd w:id="248"/>
      <w:r>
        <w:rPr>
          <w:spacing w:val="-2"/>
        </w:rPr>
        <w:t>Di</w:t>
      </w:r>
      <w:r>
        <w:rPr>
          <w:spacing w:val="-2"/>
        </w:rPr>
        <w:t>rectional Wasserstein</w:t>
      </w:r>
      <w:r>
        <w:rPr>
          <w:spacing w:val="-1"/>
        </w:rPr>
        <w:t> </w:t>
      </w:r>
      <w:bookmarkEnd w:id="246"/>
      <w:r>
        <w:rPr>
          <w:spacing w:val="-2"/>
        </w:rPr>
        <w:t>Distance</w:t>
      </w:r>
    </w:p>
    <w:p>
      <w:pPr>
        <w:pStyle w:val="BodyText"/>
        <w:spacing w:line="309" w:lineRule="auto" w:before="244"/>
        <w:ind w:left="610" w:right="389"/>
        <w:jc w:val="both"/>
      </w:pPr>
      <w:r>
        <w:rPr/>
        <w:t>To provide directional insights with respect to the spatial trends of attacking </w:t>
      </w:r>
      <w:r>
        <w:rPr/>
        <w:t>perfor- mances between teams (i.e.</w:t>
      </w:r>
      <w:r>
        <w:rPr>
          <w:spacing w:val="80"/>
        </w:rPr>
        <w:t> </w:t>
      </w:r>
      <w:r>
        <w:rPr/>
        <w:t>understanding left/right directional differences compared</w:t>
      </w:r>
      <w:r>
        <w:rPr>
          <w:spacing w:val="80"/>
        </w:rPr>
        <w:t> </w:t>
      </w:r>
      <w:r>
        <w:rPr/>
        <w:t>to</w:t>
      </w:r>
      <w:r>
        <w:rPr>
          <w:spacing w:val="32"/>
        </w:rPr>
        <w:t> </w:t>
      </w:r>
      <w:r>
        <w:rPr>
          <w:rFonts w:ascii="Cambria"/>
        </w:rPr>
        <w:t>x</w:t>
      </w:r>
      <w:r>
        <w:rPr>
          <w:rFonts w:ascii="Cambria"/>
          <w:spacing w:val="38"/>
        </w:rPr>
        <w:t> </w:t>
      </w:r>
      <w:r>
        <w:rPr/>
        <w:t>or</w:t>
      </w:r>
      <w:r>
        <w:rPr>
          <w:spacing w:val="32"/>
        </w:rPr>
        <w:t> </w:t>
      </w:r>
      <w:r>
        <w:rPr>
          <w:rFonts w:ascii="Cambria"/>
        </w:rPr>
        <w:t>y</w:t>
      </w:r>
      <w:r>
        <w:rPr>
          <w:rFonts w:ascii="Cambria"/>
          <w:spacing w:val="40"/>
        </w:rPr>
        <w:t> </w:t>
      </w:r>
      <w:r>
        <w:rPr/>
        <w:t>axis</w:t>
      </w:r>
      <w:r>
        <w:rPr>
          <w:spacing w:val="32"/>
        </w:rPr>
        <w:t> </w:t>
      </w:r>
      <w:r>
        <w:rPr/>
        <w:t>differences),</w:t>
      </w:r>
      <w:r>
        <w:rPr>
          <w:spacing w:val="40"/>
        </w:rPr>
        <w:t> </w:t>
      </w:r>
      <w:r>
        <w:rPr/>
        <w:t>the</w:t>
      </w:r>
      <w:r>
        <w:rPr>
          <w:spacing w:val="32"/>
        </w:rPr>
        <w:t> </w:t>
      </w:r>
      <w:r>
        <w:rPr/>
        <w:t>directional</w:t>
      </w:r>
      <w:r>
        <w:rPr>
          <w:spacing w:val="32"/>
        </w:rPr>
        <w:t> </w:t>
      </w:r>
      <w:r>
        <w:rPr/>
        <w:t>Wasserstein</w:t>
      </w:r>
      <w:r>
        <w:rPr>
          <w:spacing w:val="32"/>
        </w:rPr>
        <w:t> </w:t>
      </w:r>
      <w:r>
        <w:rPr/>
        <w:t>distance</w:t>
      </w:r>
      <w:r>
        <w:rPr>
          <w:spacing w:val="32"/>
        </w:rPr>
        <w:t> </w:t>
      </w:r>
      <w:r>
        <w:rPr/>
        <w:t>was</w:t>
      </w:r>
      <w:r>
        <w:rPr>
          <w:spacing w:val="32"/>
        </w:rPr>
        <w:t> </w:t>
      </w:r>
      <w:r>
        <w:rPr/>
        <w:t>calculated</w:t>
      </w:r>
      <w:r>
        <w:rPr>
          <w:spacing w:val="32"/>
        </w:rPr>
        <w:t> </w:t>
      </w:r>
      <w:r>
        <w:rPr/>
        <w:t>using the</w:t>
      </w:r>
      <w:r>
        <w:rPr>
          <w:spacing w:val="11"/>
        </w:rPr>
        <w:t> </w:t>
      </w:r>
      <w:r>
        <w:rPr/>
        <w:t>transport</w:t>
      </w:r>
      <w:r>
        <w:rPr>
          <w:spacing w:val="12"/>
        </w:rPr>
        <w:t> </w:t>
      </w:r>
      <w:r>
        <w:rPr/>
        <w:t>matrix</w:t>
      </w:r>
      <w:r>
        <w:rPr>
          <w:spacing w:val="12"/>
        </w:rPr>
        <w:t> </w:t>
      </w:r>
      <w:r>
        <w:rPr/>
        <w:t>from</w:t>
      </w:r>
      <w:r>
        <w:rPr>
          <w:spacing w:val="12"/>
        </w:rPr>
        <w:t> </w:t>
      </w:r>
      <w:r>
        <w:rPr/>
        <w:t>the</w:t>
      </w:r>
      <w:r>
        <w:rPr>
          <w:spacing w:val="11"/>
        </w:rPr>
        <w:t> </w:t>
      </w:r>
      <w:r>
        <w:rPr/>
        <w:t>optimal</w:t>
      </w:r>
      <w:r>
        <w:rPr>
          <w:spacing w:val="12"/>
        </w:rPr>
        <w:t> </w:t>
      </w:r>
      <w:r>
        <w:rPr/>
        <w:t>transport</w:t>
      </w:r>
      <w:r>
        <w:rPr>
          <w:spacing w:val="12"/>
        </w:rPr>
        <w:t> </w:t>
      </w:r>
      <w:r>
        <w:rPr/>
        <w:t>plan.</w:t>
      </w:r>
      <w:r>
        <w:rPr>
          <w:spacing w:val="58"/>
        </w:rPr>
        <w:t> </w:t>
      </w:r>
      <w:r>
        <w:rPr/>
        <w:t>The</w:t>
      </w:r>
      <w:r>
        <w:rPr>
          <w:spacing w:val="12"/>
        </w:rPr>
        <w:t> </w:t>
      </w:r>
      <w:r>
        <w:rPr/>
        <w:t>transport</w:t>
      </w:r>
      <w:r>
        <w:rPr>
          <w:spacing w:val="12"/>
        </w:rPr>
        <w:t> </w:t>
      </w:r>
      <w:r>
        <w:rPr/>
        <w:t>matrix</w:t>
      </w:r>
      <w:r>
        <w:rPr>
          <w:spacing w:val="12"/>
        </w:rPr>
        <w:t> </w:t>
      </w:r>
      <w:r>
        <w:rPr/>
        <w:t>is</w:t>
      </w:r>
      <w:r>
        <w:rPr>
          <w:spacing w:val="11"/>
        </w:rPr>
        <w:t> </w:t>
      </w:r>
      <w:r>
        <w:rPr>
          <w:spacing w:val="-2"/>
        </w:rPr>
        <w:t>computed</w:t>
      </w:r>
    </w:p>
    <w:p>
      <w:pPr>
        <w:pStyle w:val="BodyText"/>
        <w:tabs>
          <w:tab w:pos="4171" w:val="left" w:leader="none"/>
        </w:tabs>
        <w:spacing w:line="290" w:lineRule="exact"/>
        <w:ind w:left="610"/>
      </w:pPr>
      <w:r>
        <w:rPr/>
        <w:pict>
          <v:shape style="position:absolute;margin-left:271.778992pt;margin-top:8.496780pt;width:15.45pt;height:8pt;mso-position-horizontal-relative:page;mso-position-vertical-relative:paragraph;z-index:-21747712" type="#_x0000_t202" id="docshape153" filled="false" stroked="false">
            <v:textbox inset="0,0,0,0">
              <w:txbxContent>
                <w:p>
                  <w:pPr>
                    <w:spacing w:line="155" w:lineRule="exact" w:before="0"/>
                    <w:ind w:left="0" w:right="0" w:firstLine="0"/>
                    <w:jc w:val="left"/>
                    <w:rPr>
                      <w:rFonts w:ascii="Georgia"/>
                      <w:sz w:val="16"/>
                    </w:rPr>
                  </w:pPr>
                  <w:r>
                    <w:rPr>
                      <w:rFonts w:ascii="Cambria"/>
                      <w:spacing w:val="-5"/>
                      <w:w w:val="115"/>
                      <w:sz w:val="16"/>
                    </w:rPr>
                    <w:t>k</w:t>
                  </w:r>
                  <w:r>
                    <w:rPr>
                      <w:rFonts w:ascii="Georgia"/>
                      <w:spacing w:val="-5"/>
                      <w:w w:val="115"/>
                      <w:sz w:val="16"/>
                    </w:rPr>
                    <w:t>=1</w:t>
                  </w:r>
                </w:p>
              </w:txbxContent>
            </v:textbox>
            <w10:wrap type="none"/>
          </v:shape>
        </w:pict>
      </w:r>
      <w:r>
        <w:rPr/>
        <w:t>for</w:t>
      </w:r>
      <w:r>
        <w:rPr>
          <w:spacing w:val="44"/>
        </w:rPr>
        <w:t> </w:t>
      </w:r>
      <w:r>
        <w:rPr/>
        <w:t>a</w:t>
      </w:r>
      <w:r>
        <w:rPr>
          <w:spacing w:val="45"/>
        </w:rPr>
        <w:t> </w:t>
      </w:r>
      <w:r>
        <w:rPr/>
        <w:t>fine</w:t>
      </w:r>
      <w:r>
        <w:rPr>
          <w:spacing w:val="44"/>
        </w:rPr>
        <w:t> </w:t>
      </w:r>
      <w:r>
        <w:rPr/>
        <w:t>discretisation</w:t>
      </w:r>
      <w:r>
        <w:rPr>
          <w:spacing w:val="45"/>
        </w:rPr>
        <w:t> </w:t>
      </w:r>
      <w:r>
        <w:rPr>
          <w:rFonts w:ascii="Garamond"/>
        </w:rPr>
        <w:t>(</w:t>
      </w:r>
      <w:r>
        <w:rPr>
          <w:rFonts w:ascii="Cambria"/>
        </w:rPr>
        <w:t>x</w:t>
      </w:r>
      <w:r>
        <w:rPr>
          <w:rFonts w:ascii="Cambria"/>
          <w:vertAlign w:val="subscript"/>
        </w:rPr>
        <w:t>k</w:t>
      </w:r>
      <w:r>
        <w:rPr>
          <w:rFonts w:ascii="Cambria"/>
          <w:vertAlign w:val="baseline"/>
        </w:rPr>
        <w:t>,</w:t>
      </w:r>
      <w:r>
        <w:rPr>
          <w:rFonts w:ascii="Cambria"/>
          <w:spacing w:val="-10"/>
          <w:vertAlign w:val="baseline"/>
        </w:rPr>
        <w:t> </w:t>
      </w:r>
      <w:r>
        <w:rPr>
          <w:rFonts w:ascii="Cambria"/>
          <w:spacing w:val="-4"/>
          <w:vertAlign w:val="baseline"/>
        </w:rPr>
        <w:t>y</w:t>
      </w:r>
      <w:r>
        <w:rPr>
          <w:rFonts w:ascii="Cambria"/>
          <w:spacing w:val="-4"/>
          <w:vertAlign w:val="subscript"/>
        </w:rPr>
        <w:t>k</w:t>
      </w:r>
      <w:r>
        <w:rPr>
          <w:rFonts w:ascii="Garamond"/>
          <w:spacing w:val="-4"/>
          <w:vertAlign w:val="baseline"/>
        </w:rPr>
        <w:t>)</w:t>
      </w:r>
      <w:r>
        <w:rPr>
          <w:rFonts w:ascii="Cambria"/>
          <w:spacing w:val="-4"/>
          <w:vertAlign w:val="superscript"/>
        </w:rPr>
        <w:t>K</w:t>
      </w:r>
      <w:r>
        <w:rPr>
          <w:rFonts w:ascii="Cambria"/>
          <w:vertAlign w:val="baseline"/>
        </w:rPr>
        <w:tab/>
      </w:r>
      <w:r>
        <w:rPr>
          <w:vertAlign w:val="baseline"/>
        </w:rPr>
        <w:t>of</w:t>
      </w:r>
      <w:r>
        <w:rPr>
          <w:spacing w:val="41"/>
          <w:vertAlign w:val="baseline"/>
        </w:rPr>
        <w:t> </w:t>
      </w:r>
      <w:r>
        <w:rPr>
          <w:vertAlign w:val="baseline"/>
        </w:rPr>
        <w:t>the</w:t>
      </w:r>
      <w:r>
        <w:rPr>
          <w:spacing w:val="41"/>
          <w:vertAlign w:val="baseline"/>
        </w:rPr>
        <w:t> </w:t>
      </w:r>
      <w:r>
        <w:rPr>
          <w:vertAlign w:val="baseline"/>
        </w:rPr>
        <w:t>field.</w:t>
      </w:r>
      <w:r>
        <w:rPr>
          <w:spacing w:val="38"/>
          <w:vertAlign w:val="baseline"/>
        </w:rPr>
        <w:t>  </w:t>
      </w:r>
      <w:r>
        <w:rPr>
          <w:vertAlign w:val="baseline"/>
        </w:rPr>
        <w:t>For</w:t>
      </w:r>
      <w:r>
        <w:rPr>
          <w:spacing w:val="41"/>
          <w:vertAlign w:val="baseline"/>
        </w:rPr>
        <w:t> </w:t>
      </w:r>
      <w:r>
        <w:rPr>
          <w:vertAlign w:val="baseline"/>
        </w:rPr>
        <w:t>each</w:t>
      </w:r>
      <w:r>
        <w:rPr>
          <w:spacing w:val="42"/>
          <w:vertAlign w:val="baseline"/>
        </w:rPr>
        <w:t> </w:t>
      </w:r>
      <w:r>
        <w:rPr>
          <w:vertAlign w:val="baseline"/>
        </w:rPr>
        <w:t>pair</w:t>
      </w:r>
      <w:r>
        <w:rPr>
          <w:spacing w:val="41"/>
          <w:vertAlign w:val="baseline"/>
        </w:rPr>
        <w:t> </w:t>
      </w:r>
      <w:r>
        <w:rPr>
          <w:vertAlign w:val="baseline"/>
        </w:rPr>
        <w:t>of</w:t>
      </w:r>
      <w:r>
        <w:rPr>
          <w:spacing w:val="42"/>
          <w:vertAlign w:val="baseline"/>
        </w:rPr>
        <w:t> </w:t>
      </w:r>
      <w:r>
        <w:rPr>
          <w:vertAlign w:val="baseline"/>
        </w:rPr>
        <w:t>points</w:t>
      </w:r>
      <w:r>
        <w:rPr>
          <w:spacing w:val="41"/>
          <w:vertAlign w:val="baseline"/>
        </w:rPr>
        <w:t> </w:t>
      </w:r>
      <w:r>
        <w:rPr>
          <w:rFonts w:ascii="Garamond"/>
          <w:vertAlign w:val="baseline"/>
        </w:rPr>
        <w:t>(</w:t>
      </w:r>
      <w:r>
        <w:rPr>
          <w:rFonts w:ascii="Cambria"/>
          <w:vertAlign w:val="baseline"/>
        </w:rPr>
        <w:t>x</w:t>
      </w:r>
      <w:r>
        <w:rPr>
          <w:rFonts w:ascii="Cambria"/>
          <w:vertAlign w:val="subscript"/>
        </w:rPr>
        <w:t>k</w:t>
      </w:r>
      <w:r>
        <w:rPr>
          <w:rFonts w:ascii="Cambria"/>
          <w:vertAlign w:val="baseline"/>
        </w:rPr>
        <w:t>,</w:t>
      </w:r>
      <w:r>
        <w:rPr>
          <w:rFonts w:ascii="Cambria"/>
          <w:spacing w:val="-11"/>
          <w:vertAlign w:val="baseline"/>
        </w:rPr>
        <w:t> </w:t>
      </w:r>
      <w:r>
        <w:rPr>
          <w:rFonts w:ascii="Cambria"/>
          <w:vertAlign w:val="baseline"/>
        </w:rPr>
        <w:t>y</w:t>
      </w:r>
      <w:r>
        <w:rPr>
          <w:rFonts w:ascii="Cambria"/>
          <w:vertAlign w:val="subscript"/>
        </w:rPr>
        <w:t>k</w:t>
      </w:r>
      <w:r>
        <w:rPr>
          <w:rFonts w:ascii="Garamond"/>
          <w:vertAlign w:val="baseline"/>
        </w:rPr>
        <w:t>)</w:t>
      </w:r>
      <w:r>
        <w:rPr>
          <w:rFonts w:ascii="Garamond"/>
          <w:spacing w:val="43"/>
          <w:vertAlign w:val="baseline"/>
        </w:rPr>
        <w:t> </w:t>
      </w:r>
      <w:r>
        <w:rPr>
          <w:spacing w:val="-5"/>
          <w:vertAlign w:val="baseline"/>
        </w:rPr>
        <w:t>and</w:t>
      </w:r>
    </w:p>
    <w:p>
      <w:pPr>
        <w:pStyle w:val="BodyText"/>
        <w:spacing w:line="300" w:lineRule="auto" w:before="67"/>
        <w:ind w:left="610" w:right="389"/>
        <w:jc w:val="both"/>
      </w:pPr>
      <w:r>
        <w:rPr/>
        <w:pict>
          <v:shape style="position:absolute;margin-left:123.005997pt;margin-top:14.028949pt;width:95.5pt;height:44.4pt;mso-position-horizontal-relative:page;mso-position-vertical-relative:paragraph;z-index:-21747200" type="#_x0000_t202" id="docshape154" filled="false" stroked="false">
            <v:textbox inset="0,0,0,0">
              <w:txbxContent>
                <w:p>
                  <w:pPr>
                    <w:tabs>
                      <w:tab w:pos="1799" w:val="left" w:leader="none"/>
                    </w:tabs>
                    <w:spacing w:line="230" w:lineRule="exact" w:before="0"/>
                    <w:ind w:left="0" w:right="0" w:firstLine="0"/>
                    <w:jc w:val="left"/>
                    <w:rPr>
                      <w:rFonts w:ascii="Arial"/>
                      <w:sz w:val="24"/>
                    </w:rPr>
                  </w:pPr>
                  <w:r>
                    <w:rPr>
                      <w:rFonts w:ascii="Arial"/>
                      <w:spacing w:val="-10"/>
                      <w:w w:val="135"/>
                      <w:sz w:val="24"/>
                    </w:rPr>
                    <w:t>(</w:t>
                  </w:r>
                  <w:r>
                    <w:rPr>
                      <w:rFonts w:ascii="Arial"/>
                      <w:sz w:val="24"/>
                    </w:rPr>
                    <w:tab/>
                  </w:r>
                  <w:r>
                    <w:rPr>
                      <w:rFonts w:ascii="Arial"/>
                      <w:spacing w:val="-10"/>
                      <w:w w:val="135"/>
                      <w:sz w:val="24"/>
                    </w:rPr>
                    <w:t>)</w:t>
                  </w:r>
                </w:p>
              </w:txbxContent>
            </v:textbox>
            <w10:wrap type="none"/>
          </v:shape>
        </w:pict>
      </w:r>
      <w:r>
        <w:rPr>
          <w:rFonts w:ascii="Garamond" w:hAnsi="Garamond"/>
          <w:w w:val="105"/>
        </w:rPr>
        <w:t>(</w:t>
      </w:r>
      <w:r>
        <w:rPr>
          <w:rFonts w:ascii="Cambria" w:hAnsi="Cambria"/>
          <w:w w:val="105"/>
        </w:rPr>
        <w:t>x</w:t>
      </w:r>
      <w:r>
        <w:rPr>
          <w:rFonts w:ascii="Cambria" w:hAnsi="Cambria"/>
          <w:w w:val="105"/>
          <w:vertAlign w:val="subscript"/>
        </w:rPr>
        <w:t>k</w:t>
      </w:r>
      <w:r>
        <w:rPr>
          <w:rFonts w:ascii="Cambria" w:hAnsi="Cambria"/>
          <w:w w:val="105"/>
          <w:position w:val="1"/>
          <w:sz w:val="12"/>
          <w:vertAlign w:val="baseline"/>
        </w:rPr>
        <w:t>′</w:t>
      </w:r>
      <w:r>
        <w:rPr>
          <w:rFonts w:ascii="Cambria" w:hAnsi="Cambria"/>
          <w:spacing w:val="-7"/>
          <w:w w:val="105"/>
          <w:position w:val="1"/>
          <w:sz w:val="12"/>
          <w:vertAlign w:val="baseline"/>
        </w:rPr>
        <w:t> </w:t>
      </w:r>
      <w:r>
        <w:rPr>
          <w:rFonts w:ascii="Cambria" w:hAnsi="Cambria"/>
          <w:w w:val="105"/>
          <w:vertAlign w:val="baseline"/>
        </w:rPr>
        <w:t>,</w:t>
      </w:r>
      <w:r>
        <w:rPr>
          <w:rFonts w:ascii="Cambria" w:hAnsi="Cambria"/>
          <w:spacing w:val="-14"/>
          <w:w w:val="105"/>
          <w:vertAlign w:val="baseline"/>
        </w:rPr>
        <w:t> </w:t>
      </w:r>
      <w:r>
        <w:rPr>
          <w:rFonts w:ascii="Cambria" w:hAnsi="Cambria"/>
          <w:w w:val="105"/>
          <w:vertAlign w:val="baseline"/>
        </w:rPr>
        <w:t>y</w:t>
      </w:r>
      <w:r>
        <w:rPr>
          <w:rFonts w:ascii="Cambria" w:hAnsi="Cambria"/>
          <w:w w:val="105"/>
          <w:vertAlign w:val="subscript"/>
        </w:rPr>
        <w:t>k</w:t>
      </w:r>
      <w:r>
        <w:rPr>
          <w:rFonts w:ascii="Cambria" w:hAnsi="Cambria"/>
          <w:w w:val="105"/>
          <w:position w:val="1"/>
          <w:sz w:val="12"/>
          <w:vertAlign w:val="baseline"/>
        </w:rPr>
        <w:t>′</w:t>
      </w:r>
      <w:r>
        <w:rPr>
          <w:rFonts w:ascii="Cambria" w:hAnsi="Cambria"/>
          <w:spacing w:val="-7"/>
          <w:w w:val="105"/>
          <w:position w:val="1"/>
          <w:sz w:val="12"/>
          <w:vertAlign w:val="baseline"/>
        </w:rPr>
        <w:t> </w:t>
      </w:r>
      <w:r>
        <w:rPr>
          <w:rFonts w:ascii="Garamond" w:hAnsi="Garamond"/>
          <w:w w:val="105"/>
          <w:vertAlign w:val="baseline"/>
        </w:rPr>
        <w:t>)</w:t>
      </w:r>
      <w:r>
        <w:rPr>
          <w:w w:val="105"/>
          <w:vertAlign w:val="baseline"/>
        </w:rPr>
        <w:t>,</w:t>
      </w:r>
      <w:r>
        <w:rPr>
          <w:spacing w:val="-2"/>
          <w:w w:val="105"/>
          <w:vertAlign w:val="baseline"/>
        </w:rPr>
        <w:t> </w:t>
      </w:r>
      <w:r>
        <w:rPr>
          <w:w w:val="105"/>
          <w:vertAlign w:val="baseline"/>
        </w:rPr>
        <w:t>it</w:t>
      </w:r>
      <w:r>
        <w:rPr>
          <w:spacing w:val="18"/>
          <w:w w:val="105"/>
          <w:vertAlign w:val="baseline"/>
        </w:rPr>
        <w:t> </w:t>
      </w:r>
      <w:r>
        <w:rPr>
          <w:w w:val="105"/>
          <w:vertAlign w:val="baseline"/>
        </w:rPr>
        <w:t>specifies</w:t>
      </w:r>
      <w:r>
        <w:rPr>
          <w:spacing w:val="16"/>
          <w:w w:val="105"/>
          <w:vertAlign w:val="baseline"/>
        </w:rPr>
        <w:t> </w:t>
      </w:r>
      <w:r>
        <w:rPr>
          <w:w w:val="105"/>
          <w:vertAlign w:val="baseline"/>
        </w:rPr>
        <w:t>how</w:t>
      </w:r>
      <w:r>
        <w:rPr>
          <w:spacing w:val="17"/>
          <w:w w:val="105"/>
          <w:vertAlign w:val="baseline"/>
        </w:rPr>
        <w:t> </w:t>
      </w:r>
      <w:r>
        <w:rPr>
          <w:w w:val="105"/>
          <w:vertAlign w:val="baseline"/>
        </w:rPr>
        <w:t>much</w:t>
      </w:r>
      <w:r>
        <w:rPr>
          <w:spacing w:val="17"/>
          <w:w w:val="105"/>
          <w:vertAlign w:val="baseline"/>
        </w:rPr>
        <w:t> </w:t>
      </w:r>
      <w:r>
        <w:rPr>
          <w:w w:val="105"/>
          <w:vertAlign w:val="baseline"/>
        </w:rPr>
        <w:t>mass</w:t>
      </w:r>
      <w:r>
        <w:rPr>
          <w:spacing w:val="16"/>
          <w:w w:val="105"/>
          <w:vertAlign w:val="baseline"/>
        </w:rPr>
        <w:t> </w:t>
      </w:r>
      <w:r>
        <w:rPr>
          <w:w w:val="105"/>
          <w:vertAlign w:val="baseline"/>
        </w:rPr>
        <w:t>is</w:t>
      </w:r>
      <w:r>
        <w:rPr>
          <w:spacing w:val="17"/>
          <w:w w:val="105"/>
          <w:vertAlign w:val="baseline"/>
        </w:rPr>
        <w:t> </w:t>
      </w:r>
      <w:r>
        <w:rPr>
          <w:w w:val="105"/>
          <w:vertAlign w:val="baseline"/>
        </w:rPr>
        <w:t>moved</w:t>
      </w:r>
      <w:r>
        <w:rPr>
          <w:spacing w:val="17"/>
          <w:w w:val="105"/>
          <w:vertAlign w:val="baseline"/>
        </w:rPr>
        <w:t> </w:t>
      </w:r>
      <w:r>
        <w:rPr>
          <w:w w:val="105"/>
          <w:vertAlign w:val="baseline"/>
        </w:rPr>
        <w:t>from</w:t>
      </w:r>
      <w:r>
        <w:rPr>
          <w:spacing w:val="16"/>
          <w:w w:val="105"/>
          <w:vertAlign w:val="baseline"/>
        </w:rPr>
        <w:t> </w:t>
      </w:r>
      <w:r>
        <w:rPr>
          <w:rFonts w:ascii="Garamond" w:hAnsi="Garamond"/>
          <w:w w:val="105"/>
          <w:vertAlign w:val="baseline"/>
        </w:rPr>
        <w:t>(</w:t>
      </w:r>
      <w:r>
        <w:rPr>
          <w:rFonts w:ascii="Cambria" w:hAnsi="Cambria"/>
          <w:w w:val="105"/>
          <w:vertAlign w:val="baseline"/>
        </w:rPr>
        <w:t>x</w:t>
      </w:r>
      <w:r>
        <w:rPr>
          <w:rFonts w:ascii="Cambria" w:hAnsi="Cambria"/>
          <w:w w:val="105"/>
          <w:vertAlign w:val="subscript"/>
        </w:rPr>
        <w:t>k</w:t>
      </w:r>
      <w:r>
        <w:rPr>
          <w:rFonts w:ascii="Cambria" w:hAnsi="Cambria"/>
          <w:w w:val="105"/>
          <w:vertAlign w:val="baseline"/>
        </w:rPr>
        <w:t>,</w:t>
      </w:r>
      <w:r>
        <w:rPr>
          <w:rFonts w:ascii="Cambria" w:hAnsi="Cambria"/>
          <w:spacing w:val="-14"/>
          <w:w w:val="105"/>
          <w:vertAlign w:val="baseline"/>
        </w:rPr>
        <w:t> </w:t>
      </w:r>
      <w:r>
        <w:rPr>
          <w:rFonts w:ascii="Cambria" w:hAnsi="Cambria"/>
          <w:w w:val="105"/>
          <w:vertAlign w:val="baseline"/>
        </w:rPr>
        <w:t>y</w:t>
      </w:r>
      <w:r>
        <w:rPr>
          <w:rFonts w:ascii="Cambria" w:hAnsi="Cambria"/>
          <w:w w:val="105"/>
          <w:vertAlign w:val="subscript"/>
        </w:rPr>
        <w:t>k</w:t>
      </w:r>
      <w:r>
        <w:rPr>
          <w:rFonts w:ascii="Garamond" w:hAnsi="Garamond"/>
          <w:w w:val="105"/>
          <w:vertAlign w:val="baseline"/>
        </w:rPr>
        <w:t>)</w:t>
      </w:r>
      <w:r>
        <w:rPr>
          <w:rFonts w:ascii="Garamond" w:hAnsi="Garamond"/>
          <w:spacing w:val="17"/>
          <w:w w:val="105"/>
          <w:vertAlign w:val="baseline"/>
        </w:rPr>
        <w:t> </w:t>
      </w:r>
      <w:r>
        <w:rPr>
          <w:w w:val="105"/>
          <w:vertAlign w:val="baseline"/>
        </w:rPr>
        <w:t>to</w:t>
      </w:r>
      <w:r>
        <w:rPr>
          <w:spacing w:val="17"/>
          <w:w w:val="105"/>
          <w:vertAlign w:val="baseline"/>
        </w:rPr>
        <w:t> </w:t>
      </w:r>
      <w:r>
        <w:rPr>
          <w:rFonts w:ascii="Garamond" w:hAnsi="Garamond"/>
          <w:w w:val="105"/>
          <w:vertAlign w:val="baseline"/>
        </w:rPr>
        <w:t>(</w:t>
      </w:r>
      <w:r>
        <w:rPr>
          <w:rFonts w:ascii="Cambria" w:hAnsi="Cambria"/>
          <w:w w:val="105"/>
          <w:vertAlign w:val="baseline"/>
        </w:rPr>
        <w:t>x</w:t>
      </w:r>
      <w:r>
        <w:rPr>
          <w:rFonts w:ascii="Cambria" w:hAnsi="Cambria"/>
          <w:w w:val="105"/>
          <w:vertAlign w:val="subscript"/>
        </w:rPr>
        <w:t>k</w:t>
      </w:r>
      <w:r>
        <w:rPr>
          <w:rFonts w:ascii="Cambria" w:hAnsi="Cambria"/>
          <w:w w:val="105"/>
          <w:position w:val="1"/>
          <w:sz w:val="12"/>
          <w:vertAlign w:val="baseline"/>
        </w:rPr>
        <w:t>′</w:t>
      </w:r>
      <w:r>
        <w:rPr>
          <w:rFonts w:ascii="Cambria" w:hAnsi="Cambria"/>
          <w:spacing w:val="-7"/>
          <w:w w:val="105"/>
          <w:position w:val="1"/>
          <w:sz w:val="12"/>
          <w:vertAlign w:val="baseline"/>
        </w:rPr>
        <w:t> </w:t>
      </w:r>
      <w:r>
        <w:rPr>
          <w:rFonts w:ascii="Cambria" w:hAnsi="Cambria"/>
          <w:w w:val="105"/>
          <w:vertAlign w:val="baseline"/>
        </w:rPr>
        <w:t>,</w:t>
      </w:r>
      <w:r>
        <w:rPr>
          <w:rFonts w:ascii="Cambria" w:hAnsi="Cambria"/>
          <w:spacing w:val="-14"/>
          <w:w w:val="105"/>
          <w:vertAlign w:val="baseline"/>
        </w:rPr>
        <w:t> </w:t>
      </w:r>
      <w:r>
        <w:rPr>
          <w:rFonts w:ascii="Cambria" w:hAnsi="Cambria"/>
          <w:w w:val="105"/>
          <w:vertAlign w:val="baseline"/>
        </w:rPr>
        <w:t>y</w:t>
      </w:r>
      <w:r>
        <w:rPr>
          <w:rFonts w:ascii="Cambria" w:hAnsi="Cambria"/>
          <w:w w:val="105"/>
          <w:vertAlign w:val="subscript"/>
        </w:rPr>
        <w:t>k</w:t>
      </w:r>
      <w:r>
        <w:rPr>
          <w:rFonts w:ascii="Cambria" w:hAnsi="Cambria"/>
          <w:w w:val="105"/>
          <w:position w:val="1"/>
          <w:sz w:val="12"/>
          <w:vertAlign w:val="baseline"/>
        </w:rPr>
        <w:t>′</w:t>
      </w:r>
      <w:r>
        <w:rPr>
          <w:rFonts w:ascii="Cambria" w:hAnsi="Cambria"/>
          <w:spacing w:val="-7"/>
          <w:w w:val="105"/>
          <w:position w:val="1"/>
          <w:sz w:val="12"/>
          <w:vertAlign w:val="baseline"/>
        </w:rPr>
        <w:t> </w:t>
      </w:r>
      <w:r>
        <w:rPr>
          <w:rFonts w:ascii="Garamond" w:hAnsi="Garamond"/>
          <w:w w:val="105"/>
          <w:vertAlign w:val="baseline"/>
        </w:rPr>
        <w:t>)</w:t>
      </w:r>
      <w:r>
        <w:rPr>
          <w:w w:val="105"/>
          <w:vertAlign w:val="baseline"/>
        </w:rPr>
        <w:t>,</w:t>
      </w:r>
      <w:r>
        <w:rPr>
          <w:spacing w:val="23"/>
          <w:w w:val="105"/>
          <w:vertAlign w:val="baseline"/>
        </w:rPr>
        <w:t> </w:t>
      </w:r>
      <w:r>
        <w:rPr>
          <w:w w:val="105"/>
          <w:vertAlign w:val="baseline"/>
        </w:rPr>
        <w:t>denoted</w:t>
      </w:r>
      <w:r>
        <w:rPr>
          <w:spacing w:val="17"/>
          <w:w w:val="105"/>
          <w:vertAlign w:val="baseline"/>
        </w:rPr>
        <w:t> </w:t>
      </w:r>
      <w:r>
        <w:rPr>
          <w:w w:val="105"/>
          <w:vertAlign w:val="baseline"/>
        </w:rPr>
        <w:t>by </w:t>
      </w:r>
      <w:r>
        <w:rPr>
          <w:rFonts w:ascii="Cambria" w:hAnsi="Cambria"/>
          <w:w w:val="105"/>
          <w:vertAlign w:val="baseline"/>
        </w:rPr>
        <w:t>T</w:t>
      </w:r>
      <w:r>
        <w:rPr>
          <w:rFonts w:ascii="Cambria" w:hAnsi="Cambria"/>
          <w:spacing w:val="32"/>
          <w:w w:val="105"/>
          <w:vertAlign w:val="baseline"/>
        </w:rPr>
        <w:t> </w:t>
      </w:r>
      <w:r>
        <w:rPr>
          <w:rFonts w:ascii="Garamond" w:hAnsi="Garamond"/>
          <w:w w:val="105"/>
          <w:vertAlign w:val="baseline"/>
        </w:rPr>
        <w:t>(</w:t>
      </w:r>
      <w:r>
        <w:rPr>
          <w:rFonts w:ascii="Cambria" w:hAnsi="Cambria"/>
          <w:w w:val="105"/>
          <w:vertAlign w:val="baseline"/>
        </w:rPr>
        <w:t>x</w:t>
      </w:r>
      <w:r>
        <w:rPr>
          <w:rFonts w:ascii="Cambria" w:hAnsi="Cambria"/>
          <w:w w:val="105"/>
          <w:vertAlign w:val="subscript"/>
        </w:rPr>
        <w:t>k</w:t>
      </w:r>
      <w:r>
        <w:rPr>
          <w:rFonts w:ascii="Cambria" w:hAnsi="Cambria"/>
          <w:w w:val="105"/>
          <w:vertAlign w:val="baseline"/>
        </w:rPr>
        <w:t>,</w:t>
      </w:r>
      <w:r>
        <w:rPr>
          <w:rFonts w:ascii="Cambria" w:hAnsi="Cambria"/>
          <w:spacing w:val="-14"/>
          <w:w w:val="105"/>
          <w:vertAlign w:val="baseline"/>
        </w:rPr>
        <w:t> </w:t>
      </w:r>
      <w:r>
        <w:rPr>
          <w:rFonts w:ascii="Cambria" w:hAnsi="Cambria"/>
          <w:w w:val="105"/>
          <w:vertAlign w:val="baseline"/>
        </w:rPr>
        <w:t>y</w:t>
      </w:r>
      <w:r>
        <w:rPr>
          <w:rFonts w:ascii="Cambria" w:hAnsi="Cambria"/>
          <w:w w:val="105"/>
          <w:vertAlign w:val="subscript"/>
        </w:rPr>
        <w:t>k</w:t>
      </w:r>
      <w:r>
        <w:rPr>
          <w:rFonts w:ascii="Garamond" w:hAnsi="Garamond"/>
          <w:w w:val="105"/>
          <w:vertAlign w:val="baseline"/>
        </w:rPr>
        <w:t>);</w:t>
      </w:r>
      <w:r>
        <w:rPr>
          <w:rFonts w:ascii="Garamond" w:hAnsi="Garamond"/>
          <w:spacing w:val="-16"/>
          <w:w w:val="105"/>
          <w:vertAlign w:val="baseline"/>
        </w:rPr>
        <w:t> </w:t>
      </w:r>
      <w:r>
        <w:rPr>
          <w:rFonts w:ascii="Garamond" w:hAnsi="Garamond"/>
          <w:w w:val="105"/>
          <w:vertAlign w:val="baseline"/>
        </w:rPr>
        <w:t>(</w:t>
      </w:r>
      <w:r>
        <w:rPr>
          <w:rFonts w:ascii="Cambria" w:hAnsi="Cambria"/>
          <w:w w:val="105"/>
          <w:vertAlign w:val="baseline"/>
        </w:rPr>
        <w:t>x</w:t>
      </w:r>
      <w:r>
        <w:rPr>
          <w:rFonts w:ascii="Cambria" w:hAnsi="Cambria"/>
          <w:w w:val="105"/>
          <w:vertAlign w:val="subscript"/>
        </w:rPr>
        <w:t>k</w:t>
      </w:r>
      <w:r>
        <w:rPr>
          <w:rFonts w:ascii="Cambria" w:hAnsi="Cambria"/>
          <w:w w:val="105"/>
          <w:position w:val="1"/>
          <w:sz w:val="12"/>
          <w:vertAlign w:val="baseline"/>
        </w:rPr>
        <w:t>′</w:t>
      </w:r>
      <w:r>
        <w:rPr>
          <w:rFonts w:ascii="Cambria" w:hAnsi="Cambria"/>
          <w:spacing w:val="-7"/>
          <w:w w:val="105"/>
          <w:position w:val="1"/>
          <w:sz w:val="12"/>
          <w:vertAlign w:val="baseline"/>
        </w:rPr>
        <w:t> </w:t>
      </w:r>
      <w:r>
        <w:rPr>
          <w:rFonts w:ascii="Cambria" w:hAnsi="Cambria"/>
          <w:w w:val="105"/>
          <w:vertAlign w:val="baseline"/>
        </w:rPr>
        <w:t>,</w:t>
      </w:r>
      <w:r>
        <w:rPr>
          <w:rFonts w:ascii="Cambria" w:hAnsi="Cambria"/>
          <w:spacing w:val="-14"/>
          <w:w w:val="105"/>
          <w:vertAlign w:val="baseline"/>
        </w:rPr>
        <w:t> </w:t>
      </w:r>
      <w:r>
        <w:rPr>
          <w:rFonts w:ascii="Cambria" w:hAnsi="Cambria"/>
          <w:w w:val="105"/>
          <w:vertAlign w:val="baseline"/>
        </w:rPr>
        <w:t>y</w:t>
      </w:r>
      <w:r>
        <w:rPr>
          <w:rFonts w:ascii="Cambria" w:hAnsi="Cambria"/>
          <w:w w:val="105"/>
          <w:vertAlign w:val="subscript"/>
        </w:rPr>
        <w:t>k</w:t>
      </w:r>
      <w:r>
        <w:rPr>
          <w:rFonts w:ascii="Cambria" w:hAnsi="Cambria"/>
          <w:w w:val="105"/>
          <w:position w:val="1"/>
          <w:sz w:val="12"/>
          <w:vertAlign w:val="baseline"/>
        </w:rPr>
        <w:t>′</w:t>
      </w:r>
      <w:r>
        <w:rPr>
          <w:rFonts w:ascii="Cambria" w:hAnsi="Cambria"/>
          <w:spacing w:val="-7"/>
          <w:w w:val="105"/>
          <w:position w:val="1"/>
          <w:sz w:val="12"/>
          <w:vertAlign w:val="baseline"/>
        </w:rPr>
        <w:t> </w:t>
      </w:r>
      <w:r>
        <w:rPr>
          <w:rFonts w:ascii="Garamond" w:hAnsi="Garamond"/>
          <w:w w:val="105"/>
          <w:vertAlign w:val="baseline"/>
        </w:rPr>
        <w:t>)</w:t>
      </w:r>
      <w:r>
        <w:rPr>
          <w:rFonts w:ascii="Garamond" w:hAnsi="Garamond"/>
          <w:spacing w:val="32"/>
          <w:w w:val="105"/>
          <w:vertAlign w:val="baseline"/>
        </w:rPr>
        <w:t> </w:t>
      </w:r>
      <w:r>
        <w:rPr>
          <w:w w:val="105"/>
          <w:vertAlign w:val="baseline"/>
        </w:rPr>
        <w:t>.</w:t>
      </w:r>
      <w:r>
        <w:rPr>
          <w:spacing w:val="40"/>
          <w:w w:val="105"/>
          <w:vertAlign w:val="baseline"/>
        </w:rPr>
        <w:t> </w:t>
      </w:r>
      <w:r>
        <w:rPr>
          <w:w w:val="105"/>
          <w:vertAlign w:val="baseline"/>
        </w:rPr>
        <w:t>As there is a different solution to the transport matrix for every </w:t>
      </w:r>
      <w:r>
        <w:rPr>
          <w:vertAlign w:val="baseline"/>
        </w:rPr>
        <w:t>cost function employed, the unweighted Minkowski distance (</w:t>
      </w:r>
      <w:r>
        <w:rPr>
          <w:rFonts w:ascii="Cambria" w:hAnsi="Cambria"/>
          <w:vertAlign w:val="baseline"/>
        </w:rPr>
        <w:t>p</w:t>
      </w:r>
      <w:r>
        <w:rPr>
          <w:rFonts w:ascii="Cambria" w:hAnsi="Cambria"/>
          <w:spacing w:val="32"/>
          <w:vertAlign w:val="baseline"/>
        </w:rPr>
        <w:t> </w:t>
      </w:r>
      <w:r>
        <w:rPr>
          <w:rFonts w:ascii="Garamond" w:hAnsi="Garamond"/>
          <w:vertAlign w:val="baseline"/>
        </w:rPr>
        <w:t>= 3</w:t>
      </w:r>
      <w:r>
        <w:rPr>
          <w:vertAlign w:val="baseline"/>
        </w:rPr>
        <w:t>) cost function was used</w:t>
      </w:r>
      <w:r>
        <w:rPr>
          <w:spacing w:val="-9"/>
          <w:vertAlign w:val="baseline"/>
        </w:rPr>
        <w:t> </w:t>
      </w:r>
      <w:r>
        <w:rPr>
          <w:vertAlign w:val="baseline"/>
        </w:rPr>
        <w:t>to</w:t>
      </w:r>
      <w:r>
        <w:rPr>
          <w:spacing w:val="-9"/>
          <w:vertAlign w:val="baseline"/>
        </w:rPr>
        <w:t> </w:t>
      </w:r>
      <w:r>
        <w:rPr>
          <w:vertAlign w:val="baseline"/>
        </w:rPr>
        <w:t>calculate</w:t>
      </w:r>
      <w:r>
        <w:rPr>
          <w:spacing w:val="-9"/>
          <w:vertAlign w:val="baseline"/>
        </w:rPr>
        <w:t> </w:t>
      </w:r>
      <w:r>
        <w:rPr>
          <w:vertAlign w:val="baseline"/>
        </w:rPr>
        <w:t>the</w:t>
      </w:r>
      <w:r>
        <w:rPr>
          <w:spacing w:val="-9"/>
          <w:vertAlign w:val="baseline"/>
        </w:rPr>
        <w:t> </w:t>
      </w:r>
      <w:r>
        <w:rPr>
          <w:vertAlign w:val="baseline"/>
        </w:rPr>
        <w:t>transport</w:t>
      </w:r>
      <w:r>
        <w:rPr>
          <w:spacing w:val="-9"/>
          <w:vertAlign w:val="baseline"/>
        </w:rPr>
        <w:t> </w:t>
      </w:r>
      <w:r>
        <w:rPr>
          <w:vertAlign w:val="baseline"/>
        </w:rPr>
        <w:t>matrix. The</w:t>
      </w:r>
      <w:r>
        <w:rPr>
          <w:spacing w:val="-9"/>
          <w:vertAlign w:val="baseline"/>
        </w:rPr>
        <w:t> </w:t>
      </w:r>
      <w:r>
        <w:rPr>
          <w:vertAlign w:val="baseline"/>
        </w:rPr>
        <w:t>transport</w:t>
      </w:r>
      <w:r>
        <w:rPr>
          <w:spacing w:val="-9"/>
          <w:vertAlign w:val="baseline"/>
        </w:rPr>
        <w:t> </w:t>
      </w:r>
      <w:r>
        <w:rPr>
          <w:vertAlign w:val="baseline"/>
        </w:rPr>
        <w:t>matrix</w:t>
      </w:r>
      <w:r>
        <w:rPr>
          <w:spacing w:val="-9"/>
          <w:vertAlign w:val="baseline"/>
        </w:rPr>
        <w:t> </w:t>
      </w:r>
      <w:r>
        <w:rPr>
          <w:vertAlign w:val="baseline"/>
        </w:rPr>
        <w:t>was</w:t>
      </w:r>
      <w:r>
        <w:rPr>
          <w:spacing w:val="-9"/>
          <w:vertAlign w:val="baseline"/>
        </w:rPr>
        <w:t> </w:t>
      </w:r>
      <w:r>
        <w:rPr>
          <w:vertAlign w:val="baseline"/>
        </w:rPr>
        <w:t>used</w:t>
      </w:r>
      <w:r>
        <w:rPr>
          <w:spacing w:val="-9"/>
          <w:vertAlign w:val="baseline"/>
        </w:rPr>
        <w:t> </w:t>
      </w:r>
      <w:r>
        <w:rPr>
          <w:vertAlign w:val="baseline"/>
        </w:rPr>
        <w:t>to</w:t>
      </w:r>
      <w:r>
        <w:rPr>
          <w:spacing w:val="-9"/>
          <w:vertAlign w:val="baseline"/>
        </w:rPr>
        <w:t> </w:t>
      </w:r>
      <w:r>
        <w:rPr>
          <w:vertAlign w:val="baseline"/>
        </w:rPr>
        <w:t>obtain</w:t>
      </w:r>
      <w:r>
        <w:rPr>
          <w:spacing w:val="-9"/>
          <w:vertAlign w:val="baseline"/>
        </w:rPr>
        <w:t> </w:t>
      </w:r>
      <w:r>
        <w:rPr>
          <w:vertAlign w:val="baseline"/>
        </w:rPr>
        <w:t>directional Wasserstein distances for left (</w:t>
      </w:r>
      <w:r>
        <w:rPr>
          <w:rFonts w:ascii="Cambria" w:hAnsi="Cambria"/>
          <w:vertAlign w:val="baseline"/>
        </w:rPr>
        <w:t>W</w:t>
      </w:r>
      <w:r>
        <w:rPr>
          <w:vertAlign w:val="subscript"/>
        </w:rPr>
        <w:t>left</w:t>
      </w:r>
      <w:r>
        <w:rPr>
          <w:vertAlign w:val="baseline"/>
        </w:rPr>
        <w:t>; Equation</w:t>
      </w:r>
      <w:hyperlink w:history="true" w:anchor="_bookmark143">
        <w:r>
          <w:rPr>
            <w:color w:val="0000FF"/>
            <w:vertAlign w:val="baseline"/>
          </w:rPr>
          <w:t>5.6</w:t>
        </w:r>
      </w:hyperlink>
      <w:r>
        <w:rPr>
          <w:vertAlign w:val="baseline"/>
        </w:rPr>
        <w:t>), right ( </w:t>
      </w:r>
      <w:r>
        <w:rPr>
          <w:rFonts w:ascii="Cambria" w:hAnsi="Cambria"/>
          <w:vertAlign w:val="baseline"/>
        </w:rPr>
        <w:t>W</w:t>
      </w:r>
      <w:r>
        <w:rPr>
          <w:vertAlign w:val="subscript"/>
        </w:rPr>
        <w:t>right</w:t>
      </w:r>
      <w:r>
        <w:rPr>
          <w:vertAlign w:val="baseline"/>
        </w:rPr>
        <w:t>, Equation</w:t>
      </w:r>
      <w:hyperlink w:history="true" w:anchor="_bookmark143">
        <w:r>
          <w:rPr>
            <w:color w:val="0000FF"/>
            <w:vertAlign w:val="baseline"/>
          </w:rPr>
          <w:t>5.6</w:t>
        </w:r>
      </w:hyperlink>
      <w:r>
        <w:rPr>
          <w:vertAlign w:val="baseline"/>
        </w:rPr>
        <w:t>), up ( </w:t>
      </w:r>
      <w:r>
        <w:rPr>
          <w:rFonts w:ascii="Cambria" w:hAnsi="Cambria"/>
          <w:vertAlign w:val="baseline"/>
        </w:rPr>
        <w:t>W</w:t>
      </w:r>
      <w:r>
        <w:rPr>
          <w:vertAlign w:val="subscript"/>
        </w:rPr>
        <w:t>up</w:t>
      </w:r>
      <w:r>
        <w:rPr>
          <w:vertAlign w:val="baseline"/>
        </w:rPr>
        <w:t>, </w:t>
      </w:r>
      <w:r>
        <w:rPr>
          <w:w w:val="105"/>
          <w:vertAlign w:val="baseline"/>
        </w:rPr>
        <w:t>Equation</w:t>
      </w:r>
      <w:hyperlink w:history="true" w:anchor="_bookmark145">
        <w:r>
          <w:rPr>
            <w:color w:val="0000FF"/>
            <w:w w:val="105"/>
            <w:vertAlign w:val="baseline"/>
          </w:rPr>
          <w:t>5.8</w:t>
        </w:r>
        <w:r>
          <w:rPr>
            <w:w w:val="105"/>
            <w:vertAlign w:val="baseline"/>
          </w:rPr>
          <w:t>)</w:t>
        </w:r>
      </w:hyperlink>
      <w:r>
        <w:rPr>
          <w:spacing w:val="-16"/>
          <w:w w:val="105"/>
          <w:vertAlign w:val="baseline"/>
        </w:rPr>
        <w:t> </w:t>
      </w:r>
      <w:r>
        <w:rPr>
          <w:w w:val="105"/>
          <w:vertAlign w:val="baseline"/>
        </w:rPr>
        <w:t>and</w:t>
      </w:r>
      <w:r>
        <w:rPr>
          <w:spacing w:val="-16"/>
          <w:w w:val="105"/>
          <w:vertAlign w:val="baseline"/>
        </w:rPr>
        <w:t> </w:t>
      </w:r>
      <w:r>
        <w:rPr>
          <w:w w:val="105"/>
          <w:vertAlign w:val="baseline"/>
        </w:rPr>
        <w:t>down</w:t>
      </w:r>
      <w:r>
        <w:rPr>
          <w:spacing w:val="-16"/>
          <w:w w:val="105"/>
          <w:vertAlign w:val="baseline"/>
        </w:rPr>
        <w:t> </w:t>
      </w:r>
      <w:r>
        <w:rPr>
          <w:w w:val="105"/>
          <w:vertAlign w:val="baseline"/>
        </w:rPr>
        <w:t>(</w:t>
      </w:r>
      <w:r>
        <w:rPr>
          <w:spacing w:val="-15"/>
          <w:w w:val="105"/>
          <w:vertAlign w:val="baseline"/>
        </w:rPr>
        <w:t> </w:t>
      </w:r>
      <w:r>
        <w:rPr>
          <w:rFonts w:ascii="Cambria" w:hAnsi="Cambria"/>
          <w:w w:val="105"/>
          <w:vertAlign w:val="baseline"/>
        </w:rPr>
        <w:t>W</w:t>
      </w:r>
      <w:r>
        <w:rPr>
          <w:w w:val="105"/>
          <w:vertAlign w:val="subscript"/>
        </w:rPr>
        <w:t>down</w:t>
      </w:r>
      <w:r>
        <w:rPr>
          <w:w w:val="105"/>
          <w:vertAlign w:val="baseline"/>
        </w:rPr>
        <w:t>,</w:t>
      </w:r>
      <w:r>
        <w:rPr>
          <w:spacing w:val="-16"/>
          <w:w w:val="105"/>
          <w:vertAlign w:val="baseline"/>
        </w:rPr>
        <w:t> </w:t>
      </w:r>
      <w:r>
        <w:rPr>
          <w:w w:val="105"/>
          <w:vertAlign w:val="baseline"/>
        </w:rPr>
        <w:t>Equation</w:t>
      </w:r>
      <w:hyperlink w:history="true" w:anchor="_bookmark146">
        <w:r>
          <w:rPr>
            <w:color w:val="0000FF"/>
            <w:w w:val="105"/>
            <w:vertAlign w:val="baseline"/>
          </w:rPr>
          <w:t>5.9</w:t>
        </w:r>
      </w:hyperlink>
      <w:r>
        <w:rPr>
          <w:w w:val="105"/>
          <w:vertAlign w:val="baseline"/>
        </w:rPr>
        <w:t>):</w:t>
      </w:r>
    </w:p>
    <w:p>
      <w:pPr>
        <w:pStyle w:val="BodyText"/>
        <w:spacing w:before="8"/>
        <w:rPr>
          <w:sz w:val="14"/>
        </w:rPr>
      </w:pPr>
    </w:p>
    <w:p>
      <w:pPr>
        <w:tabs>
          <w:tab w:pos="3447" w:val="left" w:leader="none"/>
        </w:tabs>
        <w:spacing w:before="68"/>
        <w:ind w:left="3053" w:right="0" w:firstLine="0"/>
        <w:jc w:val="left"/>
        <w:rPr>
          <w:rFonts w:ascii="Cambria"/>
          <w:sz w:val="16"/>
        </w:rPr>
      </w:pPr>
      <w:r>
        <w:rPr/>
        <w:pict>
          <v:shape style="position:absolute;margin-left:231.893005pt;margin-top:5.621163pt;width:177.65pt;height:46.05pt;mso-position-horizontal-relative:page;mso-position-vertical-relative:paragraph;z-index:-21746176" type="#_x0000_t202" id="docshape155" filled="false" stroked="false">
            <v:textbox inset="0,0,0,0">
              <w:txbxContent>
                <w:p>
                  <w:pPr>
                    <w:pStyle w:val="BodyText"/>
                    <w:tabs>
                      <w:tab w:pos="1643" w:val="left" w:leader="none"/>
                      <w:tab w:pos="3443" w:val="left" w:leader="none"/>
                    </w:tabs>
                    <w:spacing w:line="260" w:lineRule="exact"/>
                    <w:rPr>
                      <w:rFonts w:ascii="Arial"/>
                    </w:rPr>
                  </w:pPr>
                  <w:r>
                    <w:rPr>
                      <w:rFonts w:ascii="Arial"/>
                      <w:w w:val="240"/>
                    </w:rPr>
                    <w:t>L</w:t>
                  </w:r>
                  <w:r>
                    <w:rPr>
                      <w:rFonts w:ascii="Arial"/>
                      <w:spacing w:val="-89"/>
                      <w:w w:val="240"/>
                    </w:rPr>
                    <w:t> </w:t>
                  </w:r>
                  <w:r>
                    <w:rPr>
                      <w:rFonts w:ascii="Arial"/>
                      <w:spacing w:val="-10"/>
                      <w:w w:val="240"/>
                    </w:rPr>
                    <w:t>L</w:t>
                  </w:r>
                  <w:r>
                    <w:rPr>
                      <w:rFonts w:ascii="Arial"/>
                    </w:rPr>
                    <w:tab/>
                  </w:r>
                  <w:r>
                    <w:rPr>
                      <w:rFonts w:ascii="Arial"/>
                      <w:spacing w:val="-10"/>
                      <w:w w:val="160"/>
                      <w:position w:val="-2"/>
                    </w:rPr>
                    <w:t>(</w:t>
                  </w:r>
                  <w:r>
                    <w:rPr>
                      <w:rFonts w:ascii="Arial"/>
                      <w:position w:val="-2"/>
                    </w:rPr>
                    <w:tab/>
                  </w:r>
                  <w:r>
                    <w:rPr>
                      <w:rFonts w:ascii="Arial"/>
                      <w:spacing w:val="-29"/>
                      <w:w w:val="160"/>
                      <w:position w:val="-2"/>
                    </w:rPr>
                    <w:t>)</w:t>
                  </w:r>
                </w:p>
              </w:txbxContent>
            </v:textbox>
            <w10:wrap type="none"/>
          </v:shape>
        </w:pict>
      </w:r>
      <w:bookmarkStart w:name="_bookmark143" w:id="249"/>
      <w:bookmarkEnd w:id="249"/>
      <w:r>
        <w:rPr/>
      </w:r>
      <w:r>
        <w:rPr>
          <w:rFonts w:ascii="Cambria"/>
          <w:spacing w:val="-10"/>
          <w:w w:val="140"/>
          <w:sz w:val="16"/>
        </w:rPr>
        <w:t>K</w:t>
      </w:r>
      <w:r>
        <w:rPr>
          <w:rFonts w:ascii="Cambria"/>
          <w:sz w:val="16"/>
        </w:rPr>
        <w:tab/>
      </w:r>
      <w:r>
        <w:rPr>
          <w:rFonts w:ascii="Cambria"/>
          <w:spacing w:val="-10"/>
          <w:w w:val="140"/>
          <w:sz w:val="16"/>
        </w:rPr>
        <w:t>K</w:t>
      </w:r>
    </w:p>
    <w:p>
      <w:pPr>
        <w:tabs>
          <w:tab w:pos="3745" w:val="left" w:leader="none"/>
          <w:tab w:pos="8656" w:val="left" w:leader="none"/>
        </w:tabs>
        <w:spacing w:before="0"/>
        <w:ind w:left="2199" w:right="0" w:firstLine="0"/>
        <w:jc w:val="left"/>
        <w:rPr>
          <w:sz w:val="24"/>
        </w:rPr>
      </w:pPr>
      <w:r>
        <w:rPr>
          <w:rFonts w:ascii="Cambria" w:hAnsi="Cambria"/>
          <w:w w:val="105"/>
          <w:sz w:val="24"/>
        </w:rPr>
        <w:t>W</w:t>
      </w:r>
      <w:r>
        <w:rPr>
          <w:w w:val="105"/>
          <w:sz w:val="24"/>
          <w:vertAlign w:val="subscript"/>
        </w:rPr>
        <w:t>left</w:t>
      </w:r>
      <w:r>
        <w:rPr>
          <w:spacing w:val="-14"/>
          <w:w w:val="105"/>
          <w:sz w:val="24"/>
          <w:vertAlign w:val="baseline"/>
        </w:rPr>
        <w:t> </w:t>
      </w:r>
      <w:r>
        <w:rPr>
          <w:rFonts w:ascii="Garamond" w:hAnsi="Garamond"/>
          <w:spacing w:val="-10"/>
          <w:w w:val="110"/>
          <w:sz w:val="24"/>
          <w:vertAlign w:val="baseline"/>
        </w:rPr>
        <w:t>=</w:t>
      </w:r>
      <w:r>
        <w:rPr>
          <w:rFonts w:ascii="Garamond" w:hAnsi="Garamond"/>
          <w:sz w:val="24"/>
          <w:vertAlign w:val="baseline"/>
        </w:rPr>
        <w:tab/>
      </w:r>
      <w:r>
        <w:rPr>
          <w:rFonts w:ascii="Garamond" w:hAnsi="Garamond"/>
          <w:w w:val="110"/>
          <w:sz w:val="24"/>
          <w:vertAlign w:val="baseline"/>
        </w:rPr>
        <w:t>1</w:t>
      </w:r>
      <w:r>
        <w:rPr>
          <w:rFonts w:ascii="Cambria" w:hAnsi="Cambria"/>
          <w:w w:val="110"/>
          <w:sz w:val="24"/>
          <w:vertAlign w:val="subscript"/>
        </w:rPr>
        <w:t>x</w:t>
      </w:r>
      <w:r>
        <w:rPr>
          <w:rFonts w:ascii="Cambria" w:hAnsi="Cambria"/>
          <w:w w:val="110"/>
          <w:position w:val="-7"/>
          <w:sz w:val="12"/>
          <w:vertAlign w:val="baseline"/>
        </w:rPr>
        <w:t>k</w:t>
      </w:r>
      <w:r>
        <w:rPr>
          <w:rFonts w:ascii="Cambria" w:hAnsi="Cambria"/>
          <w:w w:val="110"/>
          <w:position w:val="-4"/>
          <w:sz w:val="12"/>
          <w:vertAlign w:val="baseline"/>
        </w:rPr>
        <w:t>′</w:t>
      </w:r>
      <w:r>
        <w:rPr>
          <w:rFonts w:ascii="Cambria" w:hAnsi="Cambria"/>
          <w:spacing w:val="-7"/>
          <w:w w:val="110"/>
          <w:position w:val="-4"/>
          <w:sz w:val="12"/>
          <w:vertAlign w:val="baseline"/>
        </w:rPr>
        <w:t> </w:t>
      </w:r>
      <w:r>
        <w:rPr>
          <w:rFonts w:ascii="Cambria" w:hAnsi="Cambria"/>
          <w:w w:val="110"/>
          <w:position w:val="-3"/>
          <w:sz w:val="16"/>
          <w:vertAlign w:val="baseline"/>
        </w:rPr>
        <w:t>&lt;x</w:t>
      </w:r>
      <w:r>
        <w:rPr>
          <w:rFonts w:ascii="Cambria" w:hAnsi="Cambria"/>
          <w:w w:val="110"/>
          <w:position w:val="-5"/>
          <w:sz w:val="12"/>
          <w:vertAlign w:val="baseline"/>
        </w:rPr>
        <w:t>k</w:t>
      </w:r>
      <w:r>
        <w:rPr>
          <w:rFonts w:ascii="Cambria" w:hAnsi="Cambria"/>
          <w:spacing w:val="-3"/>
          <w:w w:val="110"/>
          <w:position w:val="-5"/>
          <w:sz w:val="12"/>
          <w:vertAlign w:val="baseline"/>
        </w:rPr>
        <w:t> </w:t>
      </w:r>
      <w:r>
        <w:rPr>
          <w:rFonts w:ascii="Cambria" w:hAnsi="Cambria"/>
          <w:w w:val="110"/>
          <w:sz w:val="24"/>
          <w:vertAlign w:val="baseline"/>
        </w:rPr>
        <w:t>T</w:t>
      </w:r>
      <w:r>
        <w:rPr>
          <w:rFonts w:ascii="Cambria" w:hAnsi="Cambria"/>
          <w:spacing w:val="23"/>
          <w:w w:val="110"/>
          <w:sz w:val="24"/>
          <w:vertAlign w:val="baseline"/>
        </w:rPr>
        <w:t>  </w:t>
      </w:r>
      <w:r>
        <w:rPr>
          <w:rFonts w:ascii="Garamond" w:hAnsi="Garamond"/>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w w:val="110"/>
          <w:sz w:val="24"/>
          <w:vertAlign w:val="baseline"/>
        </w:rPr>
        <w:t>,</w:t>
      </w:r>
      <w:r>
        <w:rPr>
          <w:rFonts w:ascii="Cambria" w:hAnsi="Cambria"/>
          <w:spacing w:val="-10"/>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Garamond" w:hAnsi="Garamond"/>
          <w:w w:val="110"/>
          <w:sz w:val="24"/>
          <w:vertAlign w:val="baseline"/>
        </w:rPr>
        <w:t>);</w:t>
      </w:r>
      <w:r>
        <w:rPr>
          <w:rFonts w:ascii="Garamond" w:hAnsi="Garamond"/>
          <w:spacing w:val="-20"/>
          <w:w w:val="110"/>
          <w:sz w:val="24"/>
          <w:vertAlign w:val="baseline"/>
        </w:rPr>
        <w:t> </w:t>
      </w:r>
      <w:r>
        <w:rPr>
          <w:rFonts w:ascii="Garamond" w:hAnsi="Garamond"/>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6"/>
          <w:w w:val="110"/>
          <w:position w:val="1"/>
          <w:sz w:val="12"/>
          <w:vertAlign w:val="baseline"/>
        </w:rPr>
        <w:t> </w:t>
      </w:r>
      <w:r>
        <w:rPr>
          <w:rFonts w:ascii="Cambria" w:hAnsi="Cambria"/>
          <w:w w:val="110"/>
          <w:sz w:val="24"/>
          <w:vertAlign w:val="baseline"/>
        </w:rPr>
        <w:t>,</w:t>
      </w:r>
      <w:r>
        <w:rPr>
          <w:rFonts w:ascii="Cambria" w:hAnsi="Cambria"/>
          <w:spacing w:val="-12"/>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7"/>
          <w:w w:val="110"/>
          <w:position w:val="1"/>
          <w:sz w:val="12"/>
          <w:vertAlign w:val="baseline"/>
        </w:rPr>
        <w:t> </w:t>
      </w:r>
      <w:r>
        <w:rPr>
          <w:rFonts w:ascii="Garamond" w:hAnsi="Garamond"/>
          <w:w w:val="110"/>
          <w:sz w:val="24"/>
          <w:vertAlign w:val="baseline"/>
        </w:rPr>
        <w:t>)</w:t>
      </w:r>
      <w:r>
        <w:rPr>
          <w:rFonts w:ascii="Garamond" w:hAnsi="Garamond"/>
          <w:spacing w:val="61"/>
          <w:w w:val="110"/>
          <w:sz w:val="24"/>
          <w:vertAlign w:val="baseline"/>
        </w:rPr>
        <w:t> </w:t>
      </w:r>
      <w:r>
        <w:rPr>
          <w:rFonts w:ascii="Lucida Sans Unicode" w:hAnsi="Lucida Sans Unicode"/>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spacing w:val="20"/>
          <w:w w:val="110"/>
          <w:sz w:val="24"/>
          <w:vertAlign w:val="baseline"/>
        </w:rPr>
        <w:t> </w:t>
      </w:r>
      <w:r>
        <w:rPr>
          <w:rFonts w:ascii="Lucida Sans Unicode" w:hAnsi="Lucida Sans Unicode"/>
          <w:w w:val="110"/>
          <w:sz w:val="24"/>
          <w:vertAlign w:val="baseline"/>
        </w:rPr>
        <w:t>−</w:t>
      </w:r>
      <w:r>
        <w:rPr>
          <w:rFonts w:ascii="Lucida Sans Unicode" w:hAnsi="Lucida Sans Unicode"/>
          <w:spacing w:val="-22"/>
          <w:w w:val="110"/>
          <w:sz w:val="24"/>
          <w:vertAlign w:val="baseline"/>
        </w:rPr>
        <w:t> </w:t>
      </w:r>
      <w:r>
        <w:rPr>
          <w:rFonts w:ascii="Cambria" w:hAnsi="Cambria"/>
          <w:w w:val="110"/>
          <w:sz w:val="24"/>
          <w:vertAlign w:val="baseline"/>
        </w:rPr>
        <w:t>x</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7"/>
          <w:w w:val="110"/>
          <w:position w:val="1"/>
          <w:sz w:val="12"/>
          <w:vertAlign w:val="baseline"/>
        </w:rPr>
        <w:t> </w:t>
      </w:r>
      <w:r>
        <w:rPr>
          <w:rFonts w:ascii="Lucida Sans Unicode" w:hAnsi="Lucida Sans Unicode"/>
          <w:spacing w:val="-5"/>
          <w:w w:val="110"/>
          <w:sz w:val="24"/>
          <w:vertAlign w:val="baseline"/>
        </w:rPr>
        <w:t>|</w:t>
      </w:r>
      <w:r>
        <w:rPr>
          <w:rFonts w:ascii="Cambria" w:hAnsi="Cambria"/>
          <w:spacing w:val="-5"/>
          <w:w w:val="110"/>
          <w:sz w:val="24"/>
          <w:vertAlign w:val="baseline"/>
        </w:rPr>
        <w:t>,</w:t>
      </w:r>
      <w:r>
        <w:rPr>
          <w:rFonts w:ascii="Cambria" w:hAnsi="Cambria"/>
          <w:sz w:val="24"/>
          <w:vertAlign w:val="baseline"/>
        </w:rPr>
        <w:tab/>
      </w:r>
      <w:r>
        <w:rPr>
          <w:spacing w:val="-2"/>
          <w:w w:val="110"/>
          <w:sz w:val="24"/>
          <w:vertAlign w:val="baseline"/>
        </w:rPr>
        <w:t>(5.6)</w:t>
      </w:r>
    </w:p>
    <w:p>
      <w:pPr>
        <w:spacing w:before="13"/>
        <w:ind w:left="594" w:right="3415" w:firstLine="0"/>
        <w:jc w:val="center"/>
        <w:rPr>
          <w:rFonts w:ascii="Georgia" w:hAnsi="Georgia"/>
          <w:sz w:val="16"/>
        </w:rPr>
      </w:pPr>
      <w:r>
        <w:rPr>
          <w:rFonts w:ascii="Cambria" w:hAnsi="Cambria"/>
          <w:w w:val="120"/>
          <w:sz w:val="16"/>
        </w:rPr>
        <w:t>k</w:t>
      </w:r>
      <w:r>
        <w:rPr>
          <w:rFonts w:ascii="Georgia" w:hAnsi="Georgia"/>
          <w:w w:val="120"/>
          <w:sz w:val="16"/>
        </w:rPr>
        <w:t>=1</w:t>
      </w:r>
      <w:r>
        <w:rPr>
          <w:rFonts w:ascii="Georgia" w:hAnsi="Georgia"/>
          <w:spacing w:val="10"/>
          <w:w w:val="120"/>
          <w:sz w:val="16"/>
        </w:rPr>
        <w:t> </w:t>
      </w:r>
      <w:r>
        <w:rPr>
          <w:rFonts w:ascii="Cambria" w:hAnsi="Cambria"/>
          <w:spacing w:val="-4"/>
          <w:w w:val="120"/>
          <w:sz w:val="16"/>
        </w:rPr>
        <w:t>k</w:t>
      </w:r>
      <w:r>
        <w:rPr>
          <w:rFonts w:ascii="Cambria" w:hAnsi="Cambria"/>
          <w:spacing w:val="-4"/>
          <w:w w:val="120"/>
          <w:position w:val="5"/>
          <w:sz w:val="12"/>
        </w:rPr>
        <w:t>′</w:t>
      </w:r>
      <w:r>
        <w:rPr>
          <w:rFonts w:ascii="Georgia" w:hAnsi="Georgia"/>
          <w:spacing w:val="-4"/>
          <w:w w:val="120"/>
          <w:sz w:val="16"/>
        </w:rPr>
        <w:t>=1</w:t>
      </w:r>
    </w:p>
    <w:p>
      <w:pPr>
        <w:pStyle w:val="BodyText"/>
        <w:spacing w:before="1"/>
        <w:rPr>
          <w:rFonts w:ascii="Georgia"/>
          <w:sz w:val="21"/>
        </w:rPr>
      </w:pPr>
    </w:p>
    <w:p>
      <w:pPr>
        <w:pStyle w:val="BodyText"/>
        <w:ind w:left="494" w:right="3340"/>
        <w:jc w:val="center"/>
      </w:pPr>
      <w:r>
        <w:rPr/>
        <w:pict>
          <v:shape style="position:absolute;margin-left:157.335007pt;margin-top:11.004139pt;width:3.95pt;height:6pt;mso-position-horizontal-relative:page;mso-position-vertical-relative:paragraph;z-index:-21746688" type="#_x0000_t202" id="docshape156" filled="false" stroked="false">
            <v:textbox inset="0,0,0,0">
              <w:txbxContent>
                <w:p>
                  <w:pPr>
                    <w:spacing w:line="116" w:lineRule="exact" w:before="0"/>
                    <w:ind w:left="0" w:right="0" w:firstLine="0"/>
                    <w:jc w:val="left"/>
                    <w:rPr>
                      <w:rFonts w:ascii="Cambria"/>
                      <w:sz w:val="12"/>
                    </w:rPr>
                  </w:pPr>
                  <w:r>
                    <w:rPr>
                      <w:rFonts w:ascii="Cambria"/>
                      <w:w w:val="125"/>
                      <w:sz w:val="12"/>
                    </w:rPr>
                    <w:t>k</w:t>
                  </w:r>
                </w:p>
              </w:txbxContent>
            </v:textbox>
            <w10:wrap type="none"/>
          </v:shape>
        </w:pict>
      </w:r>
      <w:r>
        <w:rPr>
          <w:w w:val="110"/>
        </w:rPr>
        <w:t>where</w:t>
      </w:r>
      <w:r>
        <w:rPr>
          <w:spacing w:val="-17"/>
          <w:w w:val="110"/>
        </w:rPr>
        <w:t> </w:t>
      </w:r>
      <w:r>
        <w:rPr>
          <w:rFonts w:ascii="Garamond" w:hAnsi="Garamond"/>
          <w:w w:val="110"/>
        </w:rPr>
        <w:t>1</w:t>
      </w:r>
      <w:r>
        <w:rPr>
          <w:rFonts w:ascii="Cambria" w:hAnsi="Cambria"/>
          <w:w w:val="110"/>
          <w:vertAlign w:val="subscript"/>
        </w:rPr>
        <w:t>x</w:t>
      </w:r>
      <w:r>
        <w:rPr>
          <w:rFonts w:ascii="Cambria" w:hAnsi="Cambria"/>
          <w:spacing w:val="-6"/>
          <w:w w:val="110"/>
          <w:vertAlign w:val="baseline"/>
        </w:rPr>
        <w:t> </w:t>
      </w:r>
      <w:r>
        <w:rPr>
          <w:rFonts w:ascii="Cambria" w:hAnsi="Cambria"/>
          <w:w w:val="110"/>
          <w:position w:val="-4"/>
          <w:sz w:val="12"/>
          <w:vertAlign w:val="baseline"/>
        </w:rPr>
        <w:t>′</w:t>
      </w:r>
      <w:r>
        <w:rPr>
          <w:rFonts w:ascii="Cambria" w:hAnsi="Cambria"/>
          <w:spacing w:val="-10"/>
          <w:w w:val="110"/>
          <w:position w:val="-4"/>
          <w:sz w:val="12"/>
          <w:vertAlign w:val="baseline"/>
        </w:rPr>
        <w:t> </w:t>
      </w:r>
      <w:r>
        <w:rPr>
          <w:rFonts w:ascii="Cambria" w:hAnsi="Cambria"/>
          <w:w w:val="115"/>
          <w:position w:val="-3"/>
          <w:sz w:val="16"/>
          <w:vertAlign w:val="baseline"/>
        </w:rPr>
        <w:t>&lt;x</w:t>
      </w:r>
      <w:r>
        <w:rPr>
          <w:rFonts w:ascii="Cambria" w:hAnsi="Cambria"/>
          <w:w w:val="115"/>
          <w:position w:val="-5"/>
          <w:sz w:val="12"/>
          <w:vertAlign w:val="baseline"/>
        </w:rPr>
        <w:t>k</w:t>
      </w:r>
      <w:r>
        <w:rPr>
          <w:rFonts w:ascii="Cambria" w:hAnsi="Cambria"/>
          <w:spacing w:val="23"/>
          <w:w w:val="115"/>
          <w:position w:val="-5"/>
          <w:sz w:val="12"/>
          <w:vertAlign w:val="baseline"/>
        </w:rPr>
        <w:t> </w:t>
      </w:r>
      <w:r>
        <w:rPr>
          <w:w w:val="110"/>
          <w:vertAlign w:val="baseline"/>
        </w:rPr>
        <w:t>equals</w:t>
      </w:r>
      <w:r>
        <w:rPr>
          <w:spacing w:val="-17"/>
          <w:w w:val="110"/>
          <w:vertAlign w:val="baseline"/>
        </w:rPr>
        <w:t> </w:t>
      </w:r>
      <w:r>
        <w:rPr>
          <w:w w:val="110"/>
          <w:vertAlign w:val="baseline"/>
        </w:rPr>
        <w:t>one</w:t>
      </w:r>
      <w:r>
        <w:rPr>
          <w:spacing w:val="-16"/>
          <w:w w:val="110"/>
          <w:vertAlign w:val="baseline"/>
        </w:rPr>
        <w:t> </w:t>
      </w:r>
      <w:r>
        <w:rPr>
          <w:w w:val="110"/>
          <w:vertAlign w:val="baseline"/>
        </w:rPr>
        <w:t>if</w:t>
      </w:r>
      <w:r>
        <w:rPr>
          <w:spacing w:val="-17"/>
          <w:w w:val="110"/>
          <w:vertAlign w:val="baseline"/>
        </w:rPr>
        <w:t> </w:t>
      </w:r>
      <w:r>
        <w:rPr>
          <w:rFonts w:ascii="Cambria" w:hAnsi="Cambria"/>
          <w:w w:val="110"/>
          <w:vertAlign w:val="baseline"/>
        </w:rPr>
        <w:t>x</w:t>
      </w:r>
      <w:r>
        <w:rPr>
          <w:rFonts w:ascii="Cambria" w:hAnsi="Cambria"/>
          <w:w w:val="110"/>
          <w:vertAlign w:val="subscript"/>
        </w:rPr>
        <w:t>k</w:t>
      </w:r>
      <w:r>
        <w:rPr>
          <w:rFonts w:ascii="Cambria" w:hAnsi="Cambria"/>
          <w:w w:val="110"/>
          <w:position w:val="1"/>
          <w:sz w:val="12"/>
          <w:vertAlign w:val="baseline"/>
        </w:rPr>
        <w:t>′</w:t>
      </w:r>
      <w:r>
        <w:rPr>
          <w:rFonts w:ascii="Cambria" w:hAnsi="Cambria"/>
          <w:spacing w:val="25"/>
          <w:w w:val="115"/>
          <w:position w:val="1"/>
          <w:sz w:val="12"/>
          <w:vertAlign w:val="baseline"/>
        </w:rPr>
        <w:t> </w:t>
      </w:r>
      <w:r>
        <w:rPr>
          <w:rFonts w:ascii="Cambria" w:hAnsi="Cambria"/>
          <w:w w:val="115"/>
          <w:vertAlign w:val="baseline"/>
        </w:rPr>
        <w:t>&lt;</w:t>
      </w:r>
      <w:r>
        <w:rPr>
          <w:rFonts w:ascii="Cambria" w:hAnsi="Cambria"/>
          <w:spacing w:val="-11"/>
          <w:w w:val="115"/>
          <w:vertAlign w:val="baseline"/>
        </w:rPr>
        <w:t> </w:t>
      </w:r>
      <w:r>
        <w:rPr>
          <w:rFonts w:ascii="Cambria" w:hAnsi="Cambria"/>
          <w:w w:val="110"/>
          <w:vertAlign w:val="baseline"/>
        </w:rPr>
        <w:t>x</w:t>
      </w:r>
      <w:r>
        <w:rPr>
          <w:rFonts w:ascii="Cambria" w:hAnsi="Cambria"/>
          <w:w w:val="110"/>
          <w:vertAlign w:val="subscript"/>
        </w:rPr>
        <w:t>k</w:t>
      </w:r>
      <w:r>
        <w:rPr>
          <w:rFonts w:ascii="Cambria" w:hAnsi="Cambria"/>
          <w:spacing w:val="-2"/>
          <w:w w:val="110"/>
          <w:vertAlign w:val="baseline"/>
        </w:rPr>
        <w:t> </w:t>
      </w:r>
      <w:r>
        <w:rPr>
          <w:w w:val="110"/>
          <w:vertAlign w:val="baseline"/>
        </w:rPr>
        <w:t>and</w:t>
      </w:r>
      <w:r>
        <w:rPr>
          <w:spacing w:val="-17"/>
          <w:w w:val="110"/>
          <w:vertAlign w:val="baseline"/>
        </w:rPr>
        <w:t> </w:t>
      </w:r>
      <w:r>
        <w:rPr>
          <w:w w:val="110"/>
          <w:vertAlign w:val="baseline"/>
        </w:rPr>
        <w:t>zero</w:t>
      </w:r>
      <w:r>
        <w:rPr>
          <w:spacing w:val="-16"/>
          <w:w w:val="110"/>
          <w:vertAlign w:val="baseline"/>
        </w:rPr>
        <w:t> </w:t>
      </w:r>
      <w:r>
        <w:rPr>
          <w:spacing w:val="-2"/>
          <w:w w:val="110"/>
          <w:vertAlign w:val="baseline"/>
        </w:rPr>
        <w:t>otherwise.</w:t>
      </w:r>
    </w:p>
    <w:p>
      <w:pPr>
        <w:pStyle w:val="BodyText"/>
        <w:spacing w:before="6"/>
        <w:rPr>
          <w:sz w:val="19"/>
        </w:rPr>
      </w:pPr>
    </w:p>
    <w:p>
      <w:pPr>
        <w:tabs>
          <w:tab w:pos="3491" w:val="left" w:leader="none"/>
        </w:tabs>
        <w:spacing w:before="68"/>
        <w:ind w:left="3097" w:right="0" w:firstLine="0"/>
        <w:jc w:val="left"/>
        <w:rPr>
          <w:rFonts w:ascii="Cambria"/>
          <w:sz w:val="16"/>
        </w:rPr>
      </w:pPr>
      <w:r>
        <w:rPr/>
        <w:pict>
          <v:shape style="position:absolute;margin-left:234.108994pt;margin-top:5.622168pt;width:177.65pt;height:46.05pt;mso-position-horizontal-relative:page;mso-position-vertical-relative:paragraph;z-index:-21745664" type="#_x0000_t202" id="docshape157" filled="false" stroked="false">
            <v:textbox inset="0,0,0,0">
              <w:txbxContent>
                <w:p>
                  <w:pPr>
                    <w:pStyle w:val="BodyText"/>
                    <w:tabs>
                      <w:tab w:pos="1643" w:val="left" w:leader="none"/>
                      <w:tab w:pos="3443" w:val="left" w:leader="none"/>
                    </w:tabs>
                    <w:spacing w:line="260" w:lineRule="exact"/>
                    <w:rPr>
                      <w:rFonts w:ascii="Arial"/>
                    </w:rPr>
                  </w:pPr>
                  <w:r>
                    <w:rPr>
                      <w:rFonts w:ascii="Arial"/>
                      <w:w w:val="240"/>
                    </w:rPr>
                    <w:t>L</w:t>
                  </w:r>
                  <w:r>
                    <w:rPr>
                      <w:rFonts w:ascii="Arial"/>
                      <w:spacing w:val="-89"/>
                      <w:w w:val="240"/>
                    </w:rPr>
                    <w:t> </w:t>
                  </w:r>
                  <w:r>
                    <w:rPr>
                      <w:rFonts w:ascii="Arial"/>
                      <w:spacing w:val="-10"/>
                      <w:w w:val="240"/>
                    </w:rPr>
                    <w:t>L</w:t>
                  </w:r>
                  <w:r>
                    <w:rPr>
                      <w:rFonts w:ascii="Arial"/>
                    </w:rPr>
                    <w:tab/>
                  </w:r>
                  <w:r>
                    <w:rPr>
                      <w:rFonts w:ascii="Arial"/>
                      <w:spacing w:val="-10"/>
                      <w:w w:val="160"/>
                      <w:position w:val="-2"/>
                    </w:rPr>
                    <w:t>(</w:t>
                  </w:r>
                  <w:r>
                    <w:rPr>
                      <w:rFonts w:ascii="Arial"/>
                      <w:position w:val="-2"/>
                    </w:rPr>
                    <w:tab/>
                  </w:r>
                  <w:r>
                    <w:rPr>
                      <w:rFonts w:ascii="Arial"/>
                      <w:spacing w:val="-29"/>
                      <w:w w:val="160"/>
                      <w:position w:val="-2"/>
                    </w:rPr>
                    <w:t>)</w:t>
                  </w:r>
                </w:p>
              </w:txbxContent>
            </v:textbox>
            <w10:wrap type="none"/>
          </v:shape>
        </w:pict>
      </w:r>
      <w:bookmarkStart w:name="_bookmark144" w:id="250"/>
      <w:bookmarkEnd w:id="250"/>
      <w:r>
        <w:rPr/>
      </w:r>
      <w:r>
        <w:rPr>
          <w:rFonts w:ascii="Cambria"/>
          <w:spacing w:val="-10"/>
          <w:w w:val="140"/>
          <w:sz w:val="16"/>
        </w:rPr>
        <w:t>K</w:t>
      </w:r>
      <w:r>
        <w:rPr>
          <w:rFonts w:ascii="Cambria"/>
          <w:sz w:val="16"/>
        </w:rPr>
        <w:tab/>
      </w:r>
      <w:r>
        <w:rPr>
          <w:rFonts w:ascii="Cambria"/>
          <w:spacing w:val="-10"/>
          <w:w w:val="140"/>
          <w:sz w:val="16"/>
        </w:rPr>
        <w:t>K</w:t>
      </w:r>
    </w:p>
    <w:p>
      <w:pPr>
        <w:tabs>
          <w:tab w:pos="3789" w:val="left" w:leader="none"/>
          <w:tab w:pos="8656" w:val="left" w:leader="none"/>
        </w:tabs>
        <w:spacing w:before="0"/>
        <w:ind w:left="2155" w:right="0" w:firstLine="0"/>
        <w:jc w:val="left"/>
        <w:rPr>
          <w:sz w:val="24"/>
        </w:rPr>
      </w:pPr>
      <w:r>
        <w:rPr>
          <w:rFonts w:ascii="Cambria" w:hAnsi="Cambria"/>
          <w:sz w:val="24"/>
        </w:rPr>
        <w:t>W</w:t>
      </w:r>
      <w:r>
        <w:rPr>
          <w:sz w:val="24"/>
          <w:vertAlign w:val="subscript"/>
        </w:rPr>
        <w:t>right</w:t>
      </w:r>
      <w:r>
        <w:rPr>
          <w:spacing w:val="4"/>
          <w:w w:val="110"/>
          <w:sz w:val="24"/>
          <w:vertAlign w:val="baseline"/>
        </w:rPr>
        <w:t> </w:t>
      </w:r>
      <w:r>
        <w:rPr>
          <w:rFonts w:ascii="Garamond" w:hAnsi="Garamond"/>
          <w:spacing w:val="-10"/>
          <w:w w:val="110"/>
          <w:sz w:val="24"/>
          <w:vertAlign w:val="baseline"/>
        </w:rPr>
        <w:t>=</w:t>
      </w:r>
      <w:r>
        <w:rPr>
          <w:rFonts w:ascii="Garamond" w:hAnsi="Garamond"/>
          <w:sz w:val="24"/>
          <w:vertAlign w:val="baseline"/>
        </w:rPr>
        <w:tab/>
      </w:r>
      <w:r>
        <w:rPr>
          <w:rFonts w:ascii="Garamond" w:hAnsi="Garamond"/>
          <w:w w:val="110"/>
          <w:sz w:val="24"/>
          <w:vertAlign w:val="baseline"/>
        </w:rPr>
        <w:t>1</w:t>
      </w:r>
      <w:r>
        <w:rPr>
          <w:rFonts w:ascii="Cambria" w:hAnsi="Cambria"/>
          <w:w w:val="110"/>
          <w:sz w:val="24"/>
          <w:vertAlign w:val="subscript"/>
        </w:rPr>
        <w:t>x</w:t>
      </w:r>
      <w:r>
        <w:rPr>
          <w:rFonts w:ascii="Cambria" w:hAnsi="Cambria"/>
          <w:w w:val="110"/>
          <w:position w:val="-7"/>
          <w:sz w:val="12"/>
          <w:vertAlign w:val="baseline"/>
        </w:rPr>
        <w:t>k</w:t>
      </w:r>
      <w:r>
        <w:rPr>
          <w:rFonts w:ascii="Cambria" w:hAnsi="Cambria"/>
          <w:w w:val="110"/>
          <w:position w:val="-4"/>
          <w:sz w:val="12"/>
          <w:vertAlign w:val="baseline"/>
        </w:rPr>
        <w:t>′</w:t>
      </w:r>
      <w:r>
        <w:rPr>
          <w:rFonts w:ascii="Cambria" w:hAnsi="Cambria"/>
          <w:spacing w:val="-7"/>
          <w:w w:val="110"/>
          <w:position w:val="-4"/>
          <w:sz w:val="12"/>
          <w:vertAlign w:val="baseline"/>
        </w:rPr>
        <w:t> </w:t>
      </w:r>
      <w:r>
        <w:rPr>
          <w:rFonts w:ascii="Cambria" w:hAnsi="Cambria"/>
          <w:w w:val="110"/>
          <w:position w:val="-3"/>
          <w:sz w:val="16"/>
          <w:vertAlign w:val="baseline"/>
        </w:rPr>
        <w:t>&gt;x</w:t>
      </w:r>
      <w:r>
        <w:rPr>
          <w:rFonts w:ascii="Cambria" w:hAnsi="Cambria"/>
          <w:w w:val="110"/>
          <w:position w:val="-5"/>
          <w:sz w:val="12"/>
          <w:vertAlign w:val="baseline"/>
        </w:rPr>
        <w:t>k</w:t>
      </w:r>
      <w:r>
        <w:rPr>
          <w:rFonts w:ascii="Cambria" w:hAnsi="Cambria"/>
          <w:spacing w:val="-3"/>
          <w:w w:val="110"/>
          <w:position w:val="-5"/>
          <w:sz w:val="12"/>
          <w:vertAlign w:val="baseline"/>
        </w:rPr>
        <w:t> </w:t>
      </w:r>
      <w:r>
        <w:rPr>
          <w:rFonts w:ascii="Cambria" w:hAnsi="Cambria"/>
          <w:w w:val="110"/>
          <w:sz w:val="24"/>
          <w:vertAlign w:val="baseline"/>
        </w:rPr>
        <w:t>T</w:t>
      </w:r>
      <w:r>
        <w:rPr>
          <w:rFonts w:ascii="Cambria" w:hAnsi="Cambria"/>
          <w:spacing w:val="23"/>
          <w:w w:val="110"/>
          <w:sz w:val="24"/>
          <w:vertAlign w:val="baseline"/>
        </w:rPr>
        <w:t>  </w:t>
      </w:r>
      <w:r>
        <w:rPr>
          <w:rFonts w:ascii="Garamond" w:hAnsi="Garamond"/>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w w:val="110"/>
          <w:sz w:val="24"/>
          <w:vertAlign w:val="baseline"/>
        </w:rPr>
        <w:t>,</w:t>
      </w:r>
      <w:r>
        <w:rPr>
          <w:rFonts w:ascii="Cambria" w:hAnsi="Cambria"/>
          <w:spacing w:val="-10"/>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Garamond" w:hAnsi="Garamond"/>
          <w:w w:val="110"/>
          <w:sz w:val="24"/>
          <w:vertAlign w:val="baseline"/>
        </w:rPr>
        <w:t>);</w:t>
      </w:r>
      <w:r>
        <w:rPr>
          <w:rFonts w:ascii="Garamond" w:hAnsi="Garamond"/>
          <w:spacing w:val="-20"/>
          <w:w w:val="110"/>
          <w:sz w:val="24"/>
          <w:vertAlign w:val="baseline"/>
        </w:rPr>
        <w:t> </w:t>
      </w:r>
      <w:r>
        <w:rPr>
          <w:rFonts w:ascii="Garamond" w:hAnsi="Garamond"/>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6"/>
          <w:w w:val="110"/>
          <w:position w:val="1"/>
          <w:sz w:val="12"/>
          <w:vertAlign w:val="baseline"/>
        </w:rPr>
        <w:t> </w:t>
      </w:r>
      <w:r>
        <w:rPr>
          <w:rFonts w:ascii="Cambria" w:hAnsi="Cambria"/>
          <w:w w:val="110"/>
          <w:sz w:val="24"/>
          <w:vertAlign w:val="baseline"/>
        </w:rPr>
        <w:t>,</w:t>
      </w:r>
      <w:r>
        <w:rPr>
          <w:rFonts w:ascii="Cambria" w:hAnsi="Cambria"/>
          <w:spacing w:val="-12"/>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7"/>
          <w:w w:val="110"/>
          <w:position w:val="1"/>
          <w:sz w:val="12"/>
          <w:vertAlign w:val="baseline"/>
        </w:rPr>
        <w:t> </w:t>
      </w:r>
      <w:r>
        <w:rPr>
          <w:rFonts w:ascii="Garamond" w:hAnsi="Garamond"/>
          <w:w w:val="110"/>
          <w:sz w:val="24"/>
          <w:vertAlign w:val="baseline"/>
        </w:rPr>
        <w:t>)</w:t>
      </w:r>
      <w:r>
        <w:rPr>
          <w:rFonts w:ascii="Garamond" w:hAnsi="Garamond"/>
          <w:spacing w:val="61"/>
          <w:w w:val="110"/>
          <w:sz w:val="24"/>
          <w:vertAlign w:val="baseline"/>
        </w:rPr>
        <w:t> </w:t>
      </w:r>
      <w:r>
        <w:rPr>
          <w:rFonts w:ascii="Lucida Sans Unicode" w:hAnsi="Lucida Sans Unicode"/>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spacing w:val="20"/>
          <w:w w:val="110"/>
          <w:sz w:val="24"/>
          <w:vertAlign w:val="baseline"/>
        </w:rPr>
        <w:t> </w:t>
      </w:r>
      <w:r>
        <w:rPr>
          <w:rFonts w:ascii="Lucida Sans Unicode" w:hAnsi="Lucida Sans Unicode"/>
          <w:w w:val="110"/>
          <w:sz w:val="24"/>
          <w:vertAlign w:val="baseline"/>
        </w:rPr>
        <w:t>−</w:t>
      </w:r>
      <w:r>
        <w:rPr>
          <w:rFonts w:ascii="Lucida Sans Unicode" w:hAnsi="Lucida Sans Unicode"/>
          <w:spacing w:val="-22"/>
          <w:w w:val="110"/>
          <w:sz w:val="24"/>
          <w:vertAlign w:val="baseline"/>
        </w:rPr>
        <w:t> </w:t>
      </w:r>
      <w:r>
        <w:rPr>
          <w:rFonts w:ascii="Cambria" w:hAnsi="Cambria"/>
          <w:w w:val="110"/>
          <w:sz w:val="24"/>
          <w:vertAlign w:val="baseline"/>
        </w:rPr>
        <w:t>x</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7"/>
          <w:w w:val="110"/>
          <w:position w:val="1"/>
          <w:sz w:val="12"/>
          <w:vertAlign w:val="baseline"/>
        </w:rPr>
        <w:t> </w:t>
      </w:r>
      <w:r>
        <w:rPr>
          <w:rFonts w:ascii="Lucida Sans Unicode" w:hAnsi="Lucida Sans Unicode"/>
          <w:spacing w:val="-5"/>
          <w:w w:val="110"/>
          <w:sz w:val="24"/>
          <w:vertAlign w:val="baseline"/>
        </w:rPr>
        <w:t>|</w:t>
      </w:r>
      <w:r>
        <w:rPr>
          <w:rFonts w:ascii="Cambria" w:hAnsi="Cambria"/>
          <w:spacing w:val="-5"/>
          <w:w w:val="110"/>
          <w:sz w:val="24"/>
          <w:vertAlign w:val="baseline"/>
        </w:rPr>
        <w:t>,</w:t>
      </w:r>
      <w:r>
        <w:rPr>
          <w:rFonts w:ascii="Cambria" w:hAnsi="Cambria"/>
          <w:sz w:val="24"/>
          <w:vertAlign w:val="baseline"/>
        </w:rPr>
        <w:tab/>
      </w:r>
      <w:r>
        <w:rPr>
          <w:spacing w:val="-2"/>
          <w:w w:val="110"/>
          <w:sz w:val="24"/>
          <w:vertAlign w:val="baseline"/>
        </w:rPr>
        <w:t>(5.7)</w:t>
      </w:r>
    </w:p>
    <w:p>
      <w:pPr>
        <w:spacing w:before="13"/>
        <w:ind w:left="3020" w:right="0" w:firstLine="0"/>
        <w:jc w:val="left"/>
        <w:rPr>
          <w:rFonts w:ascii="Georgia" w:hAnsi="Georgia"/>
          <w:sz w:val="16"/>
        </w:rPr>
      </w:pPr>
      <w:r>
        <w:rPr>
          <w:rFonts w:ascii="Cambria" w:hAnsi="Cambria"/>
          <w:w w:val="120"/>
          <w:sz w:val="16"/>
        </w:rPr>
        <w:t>k</w:t>
      </w:r>
      <w:r>
        <w:rPr>
          <w:rFonts w:ascii="Georgia" w:hAnsi="Georgia"/>
          <w:w w:val="120"/>
          <w:sz w:val="16"/>
        </w:rPr>
        <w:t>=1</w:t>
      </w:r>
      <w:r>
        <w:rPr>
          <w:rFonts w:ascii="Georgia" w:hAnsi="Georgia"/>
          <w:spacing w:val="10"/>
          <w:w w:val="120"/>
          <w:sz w:val="16"/>
        </w:rPr>
        <w:t> </w:t>
      </w:r>
      <w:r>
        <w:rPr>
          <w:rFonts w:ascii="Cambria" w:hAnsi="Cambria"/>
          <w:spacing w:val="-4"/>
          <w:w w:val="120"/>
          <w:sz w:val="16"/>
        </w:rPr>
        <w:t>k</w:t>
      </w:r>
      <w:r>
        <w:rPr>
          <w:rFonts w:ascii="Cambria" w:hAnsi="Cambria"/>
          <w:spacing w:val="-4"/>
          <w:w w:val="120"/>
          <w:position w:val="5"/>
          <w:sz w:val="12"/>
        </w:rPr>
        <w:t>′</w:t>
      </w:r>
      <w:r>
        <w:rPr>
          <w:rFonts w:ascii="Georgia" w:hAnsi="Georgia"/>
          <w:spacing w:val="-4"/>
          <w:w w:val="120"/>
          <w:sz w:val="16"/>
        </w:rPr>
        <w:t>=1</w:t>
      </w:r>
    </w:p>
    <w:p>
      <w:pPr>
        <w:spacing w:after="0"/>
        <w:jc w:val="left"/>
        <w:rPr>
          <w:rFonts w:ascii="Georgia" w:hAnsi="Georgia"/>
          <w:sz w:val="16"/>
        </w:rPr>
        <w:sectPr>
          <w:pgSz w:w="11910" w:h="16840"/>
          <w:pgMar w:header="1961" w:footer="1428" w:top="2280" w:bottom="1620" w:left="1680" w:right="720"/>
        </w:sectPr>
      </w:pPr>
    </w:p>
    <w:p>
      <w:pPr>
        <w:pStyle w:val="BodyText"/>
        <w:rPr>
          <w:rFonts w:ascii="Georgia"/>
          <w:sz w:val="20"/>
        </w:rPr>
      </w:pPr>
    </w:p>
    <w:p>
      <w:pPr>
        <w:pStyle w:val="BodyText"/>
        <w:spacing w:before="9"/>
        <w:rPr>
          <w:rFonts w:ascii="Georgia"/>
          <w:sz w:val="21"/>
        </w:rPr>
      </w:pPr>
    </w:p>
    <w:p>
      <w:pPr>
        <w:pStyle w:val="BodyText"/>
        <w:spacing w:before="93"/>
        <w:ind w:left="610"/>
      </w:pPr>
      <w:r>
        <w:rPr/>
        <w:pict>
          <v:shape style="position:absolute;margin-left:157.335007pt;margin-top:15.653123pt;width:3.95pt;height:6pt;mso-position-horizontal-relative:page;mso-position-vertical-relative:paragraph;z-index:-21745152" type="#_x0000_t202" id="docshape160" filled="false" stroked="false">
            <v:textbox inset="0,0,0,0">
              <w:txbxContent>
                <w:p>
                  <w:pPr>
                    <w:spacing w:line="116" w:lineRule="exact" w:before="0"/>
                    <w:ind w:left="0" w:right="0" w:firstLine="0"/>
                    <w:jc w:val="left"/>
                    <w:rPr>
                      <w:rFonts w:ascii="Cambria"/>
                      <w:sz w:val="12"/>
                    </w:rPr>
                  </w:pPr>
                  <w:r>
                    <w:rPr>
                      <w:rFonts w:ascii="Cambria"/>
                      <w:w w:val="125"/>
                      <w:sz w:val="12"/>
                    </w:rPr>
                    <w:t>k</w:t>
                  </w:r>
                </w:p>
              </w:txbxContent>
            </v:textbox>
            <w10:wrap type="none"/>
          </v:shape>
        </w:pict>
      </w:r>
      <w:r>
        <w:rPr>
          <w:w w:val="110"/>
        </w:rPr>
        <w:t>where</w:t>
      </w:r>
      <w:r>
        <w:rPr>
          <w:spacing w:val="-17"/>
          <w:w w:val="110"/>
        </w:rPr>
        <w:t> </w:t>
      </w:r>
      <w:r>
        <w:rPr>
          <w:rFonts w:ascii="Garamond" w:hAnsi="Garamond"/>
          <w:w w:val="110"/>
        </w:rPr>
        <w:t>1</w:t>
      </w:r>
      <w:r>
        <w:rPr>
          <w:rFonts w:ascii="Cambria" w:hAnsi="Cambria"/>
          <w:w w:val="110"/>
          <w:vertAlign w:val="subscript"/>
        </w:rPr>
        <w:t>x</w:t>
      </w:r>
      <w:r>
        <w:rPr>
          <w:rFonts w:ascii="Cambria" w:hAnsi="Cambria"/>
          <w:spacing w:val="-6"/>
          <w:w w:val="110"/>
          <w:vertAlign w:val="baseline"/>
        </w:rPr>
        <w:t> </w:t>
      </w:r>
      <w:r>
        <w:rPr>
          <w:rFonts w:ascii="Cambria" w:hAnsi="Cambria"/>
          <w:w w:val="110"/>
          <w:position w:val="-4"/>
          <w:sz w:val="12"/>
          <w:vertAlign w:val="baseline"/>
        </w:rPr>
        <w:t>′</w:t>
      </w:r>
      <w:r>
        <w:rPr>
          <w:rFonts w:ascii="Cambria" w:hAnsi="Cambria"/>
          <w:spacing w:val="-10"/>
          <w:w w:val="110"/>
          <w:position w:val="-4"/>
          <w:sz w:val="12"/>
          <w:vertAlign w:val="baseline"/>
        </w:rPr>
        <w:t> </w:t>
      </w:r>
      <w:r>
        <w:rPr>
          <w:rFonts w:ascii="Cambria" w:hAnsi="Cambria"/>
          <w:w w:val="115"/>
          <w:position w:val="-3"/>
          <w:sz w:val="16"/>
          <w:vertAlign w:val="baseline"/>
        </w:rPr>
        <w:t>&gt;x</w:t>
      </w:r>
      <w:r>
        <w:rPr>
          <w:rFonts w:ascii="Cambria" w:hAnsi="Cambria"/>
          <w:w w:val="115"/>
          <w:position w:val="-5"/>
          <w:sz w:val="12"/>
          <w:vertAlign w:val="baseline"/>
        </w:rPr>
        <w:t>k</w:t>
      </w:r>
      <w:r>
        <w:rPr>
          <w:rFonts w:ascii="Cambria" w:hAnsi="Cambria"/>
          <w:spacing w:val="23"/>
          <w:w w:val="115"/>
          <w:position w:val="-5"/>
          <w:sz w:val="12"/>
          <w:vertAlign w:val="baseline"/>
        </w:rPr>
        <w:t> </w:t>
      </w:r>
      <w:r>
        <w:rPr>
          <w:w w:val="110"/>
          <w:vertAlign w:val="baseline"/>
        </w:rPr>
        <w:t>equals</w:t>
      </w:r>
      <w:r>
        <w:rPr>
          <w:spacing w:val="-17"/>
          <w:w w:val="110"/>
          <w:vertAlign w:val="baseline"/>
        </w:rPr>
        <w:t> </w:t>
      </w:r>
      <w:r>
        <w:rPr>
          <w:w w:val="110"/>
          <w:vertAlign w:val="baseline"/>
        </w:rPr>
        <w:t>one</w:t>
      </w:r>
      <w:r>
        <w:rPr>
          <w:spacing w:val="-16"/>
          <w:w w:val="110"/>
          <w:vertAlign w:val="baseline"/>
        </w:rPr>
        <w:t> </w:t>
      </w:r>
      <w:r>
        <w:rPr>
          <w:w w:val="110"/>
          <w:vertAlign w:val="baseline"/>
        </w:rPr>
        <w:t>if</w:t>
      </w:r>
      <w:r>
        <w:rPr>
          <w:spacing w:val="-17"/>
          <w:w w:val="110"/>
          <w:vertAlign w:val="baseline"/>
        </w:rPr>
        <w:t> </w:t>
      </w:r>
      <w:r>
        <w:rPr>
          <w:rFonts w:ascii="Cambria" w:hAnsi="Cambria"/>
          <w:w w:val="110"/>
          <w:vertAlign w:val="baseline"/>
        </w:rPr>
        <w:t>x</w:t>
      </w:r>
      <w:r>
        <w:rPr>
          <w:rFonts w:ascii="Cambria" w:hAnsi="Cambria"/>
          <w:w w:val="110"/>
          <w:vertAlign w:val="subscript"/>
        </w:rPr>
        <w:t>k</w:t>
      </w:r>
      <w:r>
        <w:rPr>
          <w:rFonts w:ascii="Cambria" w:hAnsi="Cambria"/>
          <w:w w:val="110"/>
          <w:position w:val="1"/>
          <w:sz w:val="12"/>
          <w:vertAlign w:val="baseline"/>
        </w:rPr>
        <w:t>′</w:t>
      </w:r>
      <w:r>
        <w:rPr>
          <w:rFonts w:ascii="Cambria" w:hAnsi="Cambria"/>
          <w:spacing w:val="25"/>
          <w:w w:val="115"/>
          <w:position w:val="1"/>
          <w:sz w:val="12"/>
          <w:vertAlign w:val="baseline"/>
        </w:rPr>
        <w:t> </w:t>
      </w:r>
      <w:r>
        <w:rPr>
          <w:rFonts w:ascii="Cambria" w:hAnsi="Cambria"/>
          <w:w w:val="115"/>
          <w:vertAlign w:val="baseline"/>
        </w:rPr>
        <w:t>&gt;</w:t>
      </w:r>
      <w:r>
        <w:rPr>
          <w:rFonts w:ascii="Cambria" w:hAnsi="Cambria"/>
          <w:spacing w:val="-11"/>
          <w:w w:val="115"/>
          <w:vertAlign w:val="baseline"/>
        </w:rPr>
        <w:t> </w:t>
      </w:r>
      <w:r>
        <w:rPr>
          <w:rFonts w:ascii="Cambria" w:hAnsi="Cambria"/>
          <w:w w:val="110"/>
          <w:vertAlign w:val="baseline"/>
        </w:rPr>
        <w:t>x</w:t>
      </w:r>
      <w:r>
        <w:rPr>
          <w:rFonts w:ascii="Cambria" w:hAnsi="Cambria"/>
          <w:w w:val="110"/>
          <w:vertAlign w:val="subscript"/>
        </w:rPr>
        <w:t>k</w:t>
      </w:r>
      <w:r>
        <w:rPr>
          <w:rFonts w:ascii="Cambria" w:hAnsi="Cambria"/>
          <w:spacing w:val="-2"/>
          <w:w w:val="110"/>
          <w:vertAlign w:val="baseline"/>
        </w:rPr>
        <w:t> </w:t>
      </w:r>
      <w:r>
        <w:rPr>
          <w:w w:val="110"/>
          <w:vertAlign w:val="baseline"/>
        </w:rPr>
        <w:t>and</w:t>
      </w:r>
      <w:r>
        <w:rPr>
          <w:spacing w:val="-17"/>
          <w:w w:val="110"/>
          <w:vertAlign w:val="baseline"/>
        </w:rPr>
        <w:t> </w:t>
      </w:r>
      <w:r>
        <w:rPr>
          <w:w w:val="110"/>
          <w:vertAlign w:val="baseline"/>
        </w:rPr>
        <w:t>zero</w:t>
      </w:r>
      <w:r>
        <w:rPr>
          <w:spacing w:val="-16"/>
          <w:w w:val="110"/>
          <w:vertAlign w:val="baseline"/>
        </w:rPr>
        <w:t> </w:t>
      </w:r>
      <w:r>
        <w:rPr>
          <w:spacing w:val="-2"/>
          <w:w w:val="110"/>
          <w:vertAlign w:val="baseline"/>
        </w:rPr>
        <w:t>otherwise.</w:t>
      </w:r>
    </w:p>
    <w:p>
      <w:pPr>
        <w:pStyle w:val="BodyText"/>
        <w:spacing w:before="6"/>
        <w:rPr>
          <w:sz w:val="19"/>
        </w:rPr>
      </w:pPr>
    </w:p>
    <w:p>
      <w:pPr>
        <w:tabs>
          <w:tab w:pos="3451" w:val="left" w:leader="none"/>
        </w:tabs>
        <w:spacing w:before="68"/>
        <w:ind w:left="3057" w:right="0" w:firstLine="0"/>
        <w:jc w:val="left"/>
        <w:rPr>
          <w:rFonts w:ascii="Cambria"/>
          <w:sz w:val="16"/>
        </w:rPr>
      </w:pPr>
      <w:r>
        <w:rPr/>
        <w:pict>
          <v:shape style="position:absolute;margin-left:232.091003pt;margin-top:5.621182pt;width:176.5pt;height:46.05pt;mso-position-horizontal-relative:page;mso-position-vertical-relative:paragraph;z-index:-21744128" type="#_x0000_t202" id="docshape161" filled="false" stroked="false">
            <v:textbox inset="0,0,0,0">
              <w:txbxContent>
                <w:p>
                  <w:pPr>
                    <w:pStyle w:val="BodyText"/>
                    <w:tabs>
                      <w:tab w:pos="1620" w:val="left" w:leader="none"/>
                      <w:tab w:pos="3419" w:val="left" w:leader="none"/>
                    </w:tabs>
                    <w:spacing w:line="260" w:lineRule="exact"/>
                    <w:rPr>
                      <w:rFonts w:ascii="Arial"/>
                    </w:rPr>
                  </w:pPr>
                  <w:r>
                    <w:rPr>
                      <w:rFonts w:ascii="Arial"/>
                      <w:w w:val="240"/>
                    </w:rPr>
                    <w:t>L</w:t>
                  </w:r>
                  <w:r>
                    <w:rPr>
                      <w:rFonts w:ascii="Arial"/>
                      <w:spacing w:val="-89"/>
                      <w:w w:val="240"/>
                    </w:rPr>
                    <w:t> </w:t>
                  </w:r>
                  <w:r>
                    <w:rPr>
                      <w:rFonts w:ascii="Arial"/>
                      <w:spacing w:val="-10"/>
                      <w:w w:val="240"/>
                    </w:rPr>
                    <w:t>L</w:t>
                  </w:r>
                  <w:r>
                    <w:rPr>
                      <w:rFonts w:ascii="Arial"/>
                    </w:rPr>
                    <w:tab/>
                  </w:r>
                  <w:r>
                    <w:rPr>
                      <w:rFonts w:ascii="Arial"/>
                      <w:spacing w:val="-10"/>
                      <w:w w:val="160"/>
                      <w:position w:val="-2"/>
                    </w:rPr>
                    <w:t>(</w:t>
                  </w:r>
                  <w:r>
                    <w:rPr>
                      <w:rFonts w:ascii="Arial"/>
                      <w:position w:val="-2"/>
                    </w:rPr>
                    <w:tab/>
                  </w:r>
                  <w:r>
                    <w:rPr>
                      <w:rFonts w:ascii="Arial"/>
                      <w:spacing w:val="-28"/>
                      <w:w w:val="160"/>
                      <w:position w:val="-2"/>
                    </w:rPr>
                    <w:t>)</w:t>
                  </w:r>
                </w:p>
              </w:txbxContent>
            </v:textbox>
            <w10:wrap type="none"/>
          </v:shape>
        </w:pict>
      </w:r>
      <w:bookmarkStart w:name="_bookmark145" w:id="251"/>
      <w:bookmarkEnd w:id="251"/>
      <w:r>
        <w:rPr/>
      </w:r>
      <w:r>
        <w:rPr>
          <w:rFonts w:ascii="Cambria"/>
          <w:spacing w:val="-10"/>
          <w:w w:val="140"/>
          <w:sz w:val="16"/>
        </w:rPr>
        <w:t>K</w:t>
      </w:r>
      <w:r>
        <w:rPr>
          <w:rFonts w:ascii="Cambria"/>
          <w:sz w:val="16"/>
        </w:rPr>
        <w:tab/>
      </w:r>
      <w:r>
        <w:rPr>
          <w:rFonts w:ascii="Cambria"/>
          <w:spacing w:val="-10"/>
          <w:w w:val="140"/>
          <w:sz w:val="16"/>
        </w:rPr>
        <w:t>K</w:t>
      </w:r>
    </w:p>
    <w:p>
      <w:pPr>
        <w:tabs>
          <w:tab w:pos="3749" w:val="left" w:leader="none"/>
          <w:tab w:pos="8656" w:val="left" w:leader="none"/>
        </w:tabs>
        <w:spacing w:before="0"/>
        <w:ind w:left="2256" w:right="0" w:firstLine="0"/>
        <w:jc w:val="left"/>
        <w:rPr>
          <w:sz w:val="24"/>
        </w:rPr>
      </w:pPr>
      <w:r>
        <w:rPr>
          <w:rFonts w:ascii="Cambria" w:hAnsi="Cambria"/>
          <w:w w:val="105"/>
          <w:sz w:val="24"/>
        </w:rPr>
        <w:t>W</w:t>
      </w:r>
      <w:r>
        <w:rPr>
          <w:w w:val="105"/>
          <w:sz w:val="24"/>
          <w:vertAlign w:val="subscript"/>
        </w:rPr>
        <w:t>up</w:t>
      </w:r>
      <w:r>
        <w:rPr>
          <w:spacing w:val="-10"/>
          <w:w w:val="105"/>
          <w:sz w:val="24"/>
          <w:vertAlign w:val="baseline"/>
        </w:rPr>
        <w:t> </w:t>
      </w:r>
      <w:r>
        <w:rPr>
          <w:rFonts w:ascii="Garamond" w:hAnsi="Garamond"/>
          <w:spacing w:val="-10"/>
          <w:w w:val="110"/>
          <w:sz w:val="24"/>
          <w:vertAlign w:val="baseline"/>
        </w:rPr>
        <w:t>=</w:t>
      </w:r>
      <w:r>
        <w:rPr>
          <w:rFonts w:ascii="Garamond" w:hAnsi="Garamond"/>
          <w:sz w:val="24"/>
          <w:vertAlign w:val="baseline"/>
        </w:rPr>
        <w:tab/>
      </w:r>
      <w:r>
        <w:rPr>
          <w:rFonts w:ascii="Garamond" w:hAnsi="Garamond"/>
          <w:w w:val="110"/>
          <w:sz w:val="24"/>
          <w:vertAlign w:val="baseline"/>
        </w:rPr>
        <w:t>1</w:t>
      </w:r>
      <w:r>
        <w:rPr>
          <w:rFonts w:ascii="Cambria" w:hAnsi="Cambria"/>
          <w:w w:val="110"/>
          <w:sz w:val="24"/>
          <w:vertAlign w:val="subscript"/>
        </w:rPr>
        <w:t>y</w:t>
      </w:r>
      <w:r>
        <w:rPr>
          <w:rFonts w:ascii="Cambria" w:hAnsi="Cambria"/>
          <w:w w:val="110"/>
          <w:position w:val="-7"/>
          <w:sz w:val="12"/>
          <w:vertAlign w:val="baseline"/>
        </w:rPr>
        <w:t>k</w:t>
      </w:r>
      <w:r>
        <w:rPr>
          <w:rFonts w:ascii="Cambria" w:hAnsi="Cambria"/>
          <w:w w:val="110"/>
          <w:position w:val="-4"/>
          <w:sz w:val="12"/>
          <w:vertAlign w:val="baseline"/>
        </w:rPr>
        <w:t>′</w:t>
      </w:r>
      <w:r>
        <w:rPr>
          <w:rFonts w:ascii="Cambria" w:hAnsi="Cambria"/>
          <w:spacing w:val="-10"/>
          <w:w w:val="110"/>
          <w:position w:val="-4"/>
          <w:sz w:val="12"/>
          <w:vertAlign w:val="baseline"/>
        </w:rPr>
        <w:t> </w:t>
      </w:r>
      <w:r>
        <w:rPr>
          <w:rFonts w:ascii="Cambria" w:hAnsi="Cambria"/>
          <w:w w:val="110"/>
          <w:position w:val="-3"/>
          <w:sz w:val="16"/>
          <w:vertAlign w:val="baseline"/>
        </w:rPr>
        <w:t>&gt;y</w:t>
      </w:r>
      <w:r>
        <w:rPr>
          <w:rFonts w:ascii="Cambria" w:hAnsi="Cambria"/>
          <w:w w:val="110"/>
          <w:position w:val="-5"/>
          <w:sz w:val="12"/>
          <w:vertAlign w:val="baseline"/>
        </w:rPr>
        <w:t>k</w:t>
      </w:r>
      <w:r>
        <w:rPr>
          <w:rFonts w:ascii="Cambria" w:hAnsi="Cambria"/>
          <w:spacing w:val="-5"/>
          <w:w w:val="110"/>
          <w:position w:val="-5"/>
          <w:sz w:val="12"/>
          <w:vertAlign w:val="baseline"/>
        </w:rPr>
        <w:t> </w:t>
      </w:r>
      <w:r>
        <w:rPr>
          <w:rFonts w:ascii="Cambria" w:hAnsi="Cambria"/>
          <w:w w:val="110"/>
          <w:sz w:val="24"/>
          <w:vertAlign w:val="baseline"/>
        </w:rPr>
        <w:t>T</w:t>
      </w:r>
      <w:r>
        <w:rPr>
          <w:rFonts w:ascii="Cambria" w:hAnsi="Cambria"/>
          <w:spacing w:val="66"/>
          <w:w w:val="150"/>
          <w:sz w:val="24"/>
          <w:vertAlign w:val="baseline"/>
        </w:rPr>
        <w:t> </w:t>
      </w:r>
      <w:r>
        <w:rPr>
          <w:rFonts w:ascii="Garamond" w:hAnsi="Garamond"/>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w w:val="110"/>
          <w:sz w:val="24"/>
          <w:vertAlign w:val="baseline"/>
        </w:rPr>
        <w:t>,</w:t>
      </w:r>
      <w:r>
        <w:rPr>
          <w:rFonts w:ascii="Cambria" w:hAnsi="Cambria"/>
          <w:spacing w:val="-18"/>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Garamond" w:hAnsi="Garamond"/>
          <w:w w:val="110"/>
          <w:sz w:val="24"/>
          <w:vertAlign w:val="baseline"/>
        </w:rPr>
        <w:t>);</w:t>
      </w:r>
      <w:r>
        <w:rPr>
          <w:rFonts w:ascii="Garamond" w:hAnsi="Garamond"/>
          <w:spacing w:val="-24"/>
          <w:w w:val="110"/>
          <w:sz w:val="24"/>
          <w:vertAlign w:val="baseline"/>
        </w:rPr>
        <w:t> </w:t>
      </w:r>
      <w:r>
        <w:rPr>
          <w:rFonts w:ascii="Garamond" w:hAnsi="Garamond"/>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9"/>
          <w:w w:val="110"/>
          <w:position w:val="1"/>
          <w:sz w:val="12"/>
          <w:vertAlign w:val="baseline"/>
        </w:rPr>
        <w:t> </w:t>
      </w:r>
      <w:r>
        <w:rPr>
          <w:rFonts w:ascii="Cambria" w:hAnsi="Cambria"/>
          <w:w w:val="110"/>
          <w:sz w:val="24"/>
          <w:vertAlign w:val="baseline"/>
        </w:rPr>
        <w:t>,</w:t>
      </w:r>
      <w:r>
        <w:rPr>
          <w:rFonts w:ascii="Cambria" w:hAnsi="Cambria"/>
          <w:spacing w:val="-17"/>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9"/>
          <w:w w:val="110"/>
          <w:position w:val="1"/>
          <w:sz w:val="12"/>
          <w:vertAlign w:val="baseline"/>
        </w:rPr>
        <w:t> </w:t>
      </w:r>
      <w:r>
        <w:rPr>
          <w:rFonts w:ascii="Garamond" w:hAnsi="Garamond"/>
          <w:w w:val="110"/>
          <w:sz w:val="24"/>
          <w:vertAlign w:val="baseline"/>
        </w:rPr>
        <w:t>)</w:t>
      </w:r>
      <w:r>
        <w:rPr>
          <w:rFonts w:ascii="Garamond" w:hAnsi="Garamond"/>
          <w:spacing w:val="46"/>
          <w:w w:val="110"/>
          <w:sz w:val="24"/>
          <w:vertAlign w:val="baseline"/>
        </w:rPr>
        <w:t> </w:t>
      </w:r>
      <w:r>
        <w:rPr>
          <w:rFonts w:ascii="Lucida Sans Unicode" w:hAnsi="Lucida Sans Unicode"/>
          <w:w w:val="110"/>
          <w:sz w:val="24"/>
          <w:vertAlign w:val="baseline"/>
        </w:rPr>
        <w:t>|</w:t>
      </w:r>
      <w:r>
        <w:rPr>
          <w:rFonts w:ascii="Cambria" w:hAnsi="Cambria"/>
          <w:w w:val="110"/>
          <w:sz w:val="24"/>
          <w:vertAlign w:val="baseline"/>
        </w:rPr>
        <w:t>y</w:t>
      </w:r>
      <w:r>
        <w:rPr>
          <w:rFonts w:ascii="Cambria" w:hAnsi="Cambria"/>
          <w:w w:val="110"/>
          <w:sz w:val="24"/>
          <w:vertAlign w:val="subscript"/>
        </w:rPr>
        <w:t>k</w:t>
      </w:r>
      <w:r>
        <w:rPr>
          <w:rFonts w:ascii="Cambria" w:hAnsi="Cambria"/>
          <w:spacing w:val="11"/>
          <w:w w:val="110"/>
          <w:sz w:val="24"/>
          <w:vertAlign w:val="baseline"/>
        </w:rPr>
        <w:t> </w:t>
      </w:r>
      <w:r>
        <w:rPr>
          <w:rFonts w:ascii="Lucida Sans Unicode" w:hAnsi="Lucida Sans Unicode"/>
          <w:w w:val="110"/>
          <w:sz w:val="24"/>
          <w:vertAlign w:val="baseline"/>
        </w:rPr>
        <w:t>−</w:t>
      </w:r>
      <w:r>
        <w:rPr>
          <w:rFonts w:ascii="Lucida Sans Unicode" w:hAnsi="Lucida Sans Unicode"/>
          <w:spacing w:val="-29"/>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9"/>
          <w:w w:val="110"/>
          <w:position w:val="1"/>
          <w:sz w:val="12"/>
          <w:vertAlign w:val="baseline"/>
        </w:rPr>
        <w:t> </w:t>
      </w:r>
      <w:r>
        <w:rPr>
          <w:rFonts w:ascii="Lucida Sans Unicode" w:hAnsi="Lucida Sans Unicode"/>
          <w:spacing w:val="-5"/>
          <w:w w:val="110"/>
          <w:sz w:val="24"/>
          <w:vertAlign w:val="baseline"/>
        </w:rPr>
        <w:t>|</w:t>
      </w:r>
      <w:r>
        <w:rPr>
          <w:rFonts w:ascii="Cambria" w:hAnsi="Cambria"/>
          <w:spacing w:val="-5"/>
          <w:w w:val="110"/>
          <w:sz w:val="24"/>
          <w:vertAlign w:val="baseline"/>
        </w:rPr>
        <w:t>,</w:t>
      </w:r>
      <w:r>
        <w:rPr>
          <w:rFonts w:ascii="Cambria" w:hAnsi="Cambria"/>
          <w:sz w:val="24"/>
          <w:vertAlign w:val="baseline"/>
        </w:rPr>
        <w:tab/>
      </w:r>
      <w:r>
        <w:rPr>
          <w:spacing w:val="-2"/>
          <w:w w:val="110"/>
          <w:sz w:val="24"/>
          <w:vertAlign w:val="baseline"/>
        </w:rPr>
        <w:t>(5.8)</w:t>
      </w:r>
    </w:p>
    <w:p>
      <w:pPr>
        <w:spacing w:before="12"/>
        <w:ind w:left="602" w:right="3415" w:firstLine="0"/>
        <w:jc w:val="center"/>
        <w:rPr>
          <w:rFonts w:ascii="Georgia" w:hAnsi="Georgia"/>
          <w:sz w:val="16"/>
        </w:rPr>
      </w:pPr>
      <w:r>
        <w:rPr>
          <w:rFonts w:ascii="Cambria" w:hAnsi="Cambria"/>
          <w:w w:val="120"/>
          <w:sz w:val="16"/>
        </w:rPr>
        <w:t>k</w:t>
      </w:r>
      <w:r>
        <w:rPr>
          <w:rFonts w:ascii="Georgia" w:hAnsi="Georgia"/>
          <w:w w:val="120"/>
          <w:sz w:val="16"/>
        </w:rPr>
        <w:t>=1</w:t>
      </w:r>
      <w:r>
        <w:rPr>
          <w:rFonts w:ascii="Georgia" w:hAnsi="Georgia"/>
          <w:spacing w:val="10"/>
          <w:w w:val="120"/>
          <w:sz w:val="16"/>
        </w:rPr>
        <w:t> </w:t>
      </w:r>
      <w:r>
        <w:rPr>
          <w:rFonts w:ascii="Cambria" w:hAnsi="Cambria"/>
          <w:spacing w:val="-4"/>
          <w:w w:val="120"/>
          <w:sz w:val="16"/>
        </w:rPr>
        <w:t>k</w:t>
      </w:r>
      <w:r>
        <w:rPr>
          <w:rFonts w:ascii="Cambria" w:hAnsi="Cambria"/>
          <w:spacing w:val="-4"/>
          <w:w w:val="120"/>
          <w:position w:val="5"/>
          <w:sz w:val="12"/>
        </w:rPr>
        <w:t>′</w:t>
      </w:r>
      <w:r>
        <w:rPr>
          <w:rFonts w:ascii="Georgia" w:hAnsi="Georgia"/>
          <w:spacing w:val="-4"/>
          <w:w w:val="120"/>
          <w:sz w:val="16"/>
        </w:rPr>
        <w:t>=1</w:t>
      </w:r>
    </w:p>
    <w:p>
      <w:pPr>
        <w:pStyle w:val="BodyText"/>
        <w:spacing w:before="2"/>
        <w:rPr>
          <w:rFonts w:ascii="Georgia"/>
          <w:sz w:val="21"/>
        </w:rPr>
      </w:pPr>
    </w:p>
    <w:p>
      <w:pPr>
        <w:pStyle w:val="BodyText"/>
        <w:ind w:left="494" w:right="3401"/>
        <w:jc w:val="center"/>
      </w:pPr>
      <w:r>
        <w:rPr/>
        <w:pict>
          <v:shape style="position:absolute;margin-left:156.753998pt;margin-top:11.004144pt;width:3.95pt;height:6pt;mso-position-horizontal-relative:page;mso-position-vertical-relative:paragraph;z-index:-21744640" type="#_x0000_t202" id="docshape162" filled="false" stroked="false">
            <v:textbox inset="0,0,0,0">
              <w:txbxContent>
                <w:p>
                  <w:pPr>
                    <w:spacing w:line="116" w:lineRule="exact" w:before="0"/>
                    <w:ind w:left="0" w:right="0" w:firstLine="0"/>
                    <w:jc w:val="left"/>
                    <w:rPr>
                      <w:rFonts w:ascii="Cambria"/>
                      <w:sz w:val="12"/>
                    </w:rPr>
                  </w:pPr>
                  <w:r>
                    <w:rPr>
                      <w:rFonts w:ascii="Cambria"/>
                      <w:w w:val="125"/>
                      <w:sz w:val="12"/>
                    </w:rPr>
                    <w:t>k</w:t>
                  </w:r>
                </w:p>
              </w:txbxContent>
            </v:textbox>
            <w10:wrap type="none"/>
          </v:shape>
        </w:pict>
      </w:r>
      <w:r>
        <w:rPr/>
        <w:t>where</w:t>
      </w:r>
      <w:r>
        <w:rPr>
          <w:spacing w:val="7"/>
        </w:rPr>
        <w:t> </w:t>
      </w:r>
      <w:r>
        <w:rPr>
          <w:rFonts w:ascii="Garamond" w:hAnsi="Garamond"/>
        </w:rPr>
        <w:t>1</w:t>
      </w:r>
      <w:r>
        <w:rPr>
          <w:rFonts w:ascii="Cambria" w:hAnsi="Cambria"/>
          <w:vertAlign w:val="subscript"/>
        </w:rPr>
        <w:t>y</w:t>
      </w:r>
      <w:r>
        <w:rPr>
          <w:rFonts w:ascii="Cambria" w:hAnsi="Cambria"/>
          <w:spacing w:val="39"/>
          <w:vertAlign w:val="baseline"/>
        </w:rPr>
        <w:t> </w:t>
      </w:r>
      <w:r>
        <w:rPr>
          <w:rFonts w:ascii="Cambria" w:hAnsi="Cambria"/>
          <w:position w:val="-4"/>
          <w:sz w:val="12"/>
          <w:vertAlign w:val="baseline"/>
        </w:rPr>
        <w:t>′</w:t>
      </w:r>
      <w:r>
        <w:rPr>
          <w:rFonts w:ascii="Cambria" w:hAnsi="Cambria"/>
          <w:spacing w:val="-4"/>
          <w:position w:val="-4"/>
          <w:sz w:val="12"/>
          <w:vertAlign w:val="baseline"/>
        </w:rPr>
        <w:t> </w:t>
      </w:r>
      <w:r>
        <w:rPr>
          <w:rFonts w:ascii="Cambria" w:hAnsi="Cambria"/>
          <w:position w:val="-3"/>
          <w:sz w:val="16"/>
          <w:vertAlign w:val="baseline"/>
        </w:rPr>
        <w:t>&gt;y</w:t>
      </w:r>
      <w:r>
        <w:rPr>
          <w:rFonts w:ascii="Cambria" w:hAnsi="Cambria"/>
          <w:position w:val="-5"/>
          <w:sz w:val="12"/>
          <w:vertAlign w:val="baseline"/>
        </w:rPr>
        <w:t>k</w:t>
      </w:r>
      <w:r>
        <w:rPr>
          <w:rFonts w:ascii="Cambria" w:hAnsi="Cambria"/>
          <w:spacing w:val="67"/>
          <w:position w:val="-5"/>
          <w:sz w:val="12"/>
          <w:vertAlign w:val="baseline"/>
        </w:rPr>
        <w:t> </w:t>
      </w:r>
      <w:r>
        <w:rPr>
          <w:vertAlign w:val="baseline"/>
        </w:rPr>
        <w:t>equals</w:t>
      </w:r>
      <w:r>
        <w:rPr>
          <w:spacing w:val="7"/>
          <w:vertAlign w:val="baseline"/>
        </w:rPr>
        <w:t> </w:t>
      </w:r>
      <w:r>
        <w:rPr>
          <w:vertAlign w:val="baseline"/>
        </w:rPr>
        <w:t>one</w:t>
      </w:r>
      <w:r>
        <w:rPr>
          <w:spacing w:val="8"/>
          <w:vertAlign w:val="baseline"/>
        </w:rPr>
        <w:t> </w:t>
      </w:r>
      <w:r>
        <w:rPr>
          <w:vertAlign w:val="baseline"/>
        </w:rPr>
        <w:t>if</w:t>
      </w:r>
      <w:r>
        <w:rPr>
          <w:spacing w:val="8"/>
          <w:vertAlign w:val="baseline"/>
        </w:rPr>
        <w:t> </w:t>
      </w:r>
      <w:r>
        <w:rPr>
          <w:rFonts w:ascii="Cambria" w:hAnsi="Cambria"/>
          <w:vertAlign w:val="baseline"/>
        </w:rPr>
        <w:t>y</w:t>
      </w:r>
      <w:r>
        <w:rPr>
          <w:rFonts w:ascii="Cambria" w:hAnsi="Cambria"/>
          <w:vertAlign w:val="subscript"/>
        </w:rPr>
        <w:t>k</w:t>
      </w:r>
      <w:r>
        <w:rPr>
          <w:rFonts w:ascii="Cambria" w:hAnsi="Cambria"/>
          <w:position w:val="1"/>
          <w:sz w:val="12"/>
          <w:vertAlign w:val="baseline"/>
        </w:rPr>
        <w:t>′</w:t>
      </w:r>
      <w:r>
        <w:rPr>
          <w:rFonts w:ascii="Cambria" w:hAnsi="Cambria"/>
          <w:spacing w:val="71"/>
          <w:position w:val="1"/>
          <w:sz w:val="12"/>
          <w:vertAlign w:val="baseline"/>
        </w:rPr>
        <w:t> </w:t>
      </w:r>
      <w:r>
        <w:rPr>
          <w:rFonts w:ascii="Cambria" w:hAnsi="Cambria"/>
          <w:vertAlign w:val="baseline"/>
        </w:rPr>
        <w:t>&gt;</w:t>
      </w:r>
      <w:r>
        <w:rPr>
          <w:rFonts w:ascii="Cambria" w:hAnsi="Cambria"/>
          <w:spacing w:val="23"/>
          <w:vertAlign w:val="baseline"/>
        </w:rPr>
        <w:t> </w:t>
      </w:r>
      <w:r>
        <w:rPr>
          <w:rFonts w:ascii="Cambria" w:hAnsi="Cambria"/>
          <w:vertAlign w:val="baseline"/>
        </w:rPr>
        <w:t>y</w:t>
      </w:r>
      <w:r>
        <w:rPr>
          <w:rFonts w:ascii="Cambria" w:hAnsi="Cambria"/>
          <w:vertAlign w:val="subscript"/>
        </w:rPr>
        <w:t>k</w:t>
      </w:r>
      <w:r>
        <w:rPr>
          <w:rFonts w:ascii="Cambria" w:hAnsi="Cambria"/>
          <w:spacing w:val="32"/>
          <w:vertAlign w:val="baseline"/>
        </w:rPr>
        <w:t> </w:t>
      </w:r>
      <w:r>
        <w:rPr>
          <w:vertAlign w:val="baseline"/>
        </w:rPr>
        <w:t>and</w:t>
      </w:r>
      <w:r>
        <w:rPr>
          <w:spacing w:val="7"/>
          <w:vertAlign w:val="baseline"/>
        </w:rPr>
        <w:t> </w:t>
      </w:r>
      <w:r>
        <w:rPr>
          <w:vertAlign w:val="baseline"/>
        </w:rPr>
        <w:t>zero</w:t>
      </w:r>
      <w:r>
        <w:rPr>
          <w:spacing w:val="8"/>
          <w:vertAlign w:val="baseline"/>
        </w:rPr>
        <w:t> </w:t>
      </w:r>
      <w:r>
        <w:rPr>
          <w:spacing w:val="-2"/>
          <w:vertAlign w:val="baseline"/>
        </w:rPr>
        <w:t>otherwise.</w:t>
      </w:r>
    </w:p>
    <w:p>
      <w:pPr>
        <w:pStyle w:val="BodyText"/>
        <w:spacing w:before="6"/>
        <w:rPr>
          <w:sz w:val="19"/>
        </w:rPr>
      </w:pPr>
    </w:p>
    <w:p>
      <w:pPr>
        <w:tabs>
          <w:tab w:pos="3546" w:val="left" w:leader="none"/>
        </w:tabs>
        <w:spacing w:before="68"/>
        <w:ind w:left="3152" w:right="0" w:firstLine="0"/>
        <w:jc w:val="left"/>
        <w:rPr>
          <w:rFonts w:ascii="Cambria"/>
          <w:sz w:val="16"/>
        </w:rPr>
      </w:pPr>
      <w:r>
        <w:rPr/>
        <w:pict>
          <v:shape style="position:absolute;margin-left:236.862pt;margin-top:5.622141pt;width:176.5pt;height:46.05pt;mso-position-horizontal-relative:page;mso-position-vertical-relative:paragraph;z-index:-21743104" type="#_x0000_t202" id="docshape163" filled="false" stroked="false">
            <v:textbox inset="0,0,0,0">
              <w:txbxContent>
                <w:p>
                  <w:pPr>
                    <w:pStyle w:val="BodyText"/>
                    <w:tabs>
                      <w:tab w:pos="1620" w:val="left" w:leader="none"/>
                      <w:tab w:pos="3419" w:val="left" w:leader="none"/>
                    </w:tabs>
                    <w:spacing w:line="260" w:lineRule="exact"/>
                    <w:rPr>
                      <w:rFonts w:ascii="Arial"/>
                    </w:rPr>
                  </w:pPr>
                  <w:r>
                    <w:rPr>
                      <w:rFonts w:ascii="Arial"/>
                      <w:w w:val="240"/>
                    </w:rPr>
                    <w:t>L</w:t>
                  </w:r>
                  <w:r>
                    <w:rPr>
                      <w:rFonts w:ascii="Arial"/>
                      <w:spacing w:val="-89"/>
                      <w:w w:val="240"/>
                    </w:rPr>
                    <w:t> </w:t>
                  </w:r>
                  <w:r>
                    <w:rPr>
                      <w:rFonts w:ascii="Arial"/>
                      <w:spacing w:val="-10"/>
                      <w:w w:val="240"/>
                    </w:rPr>
                    <w:t>L</w:t>
                  </w:r>
                  <w:r>
                    <w:rPr>
                      <w:rFonts w:ascii="Arial"/>
                    </w:rPr>
                    <w:tab/>
                  </w:r>
                  <w:r>
                    <w:rPr>
                      <w:rFonts w:ascii="Arial"/>
                      <w:spacing w:val="-10"/>
                      <w:w w:val="160"/>
                      <w:position w:val="-2"/>
                    </w:rPr>
                    <w:t>(</w:t>
                  </w:r>
                  <w:r>
                    <w:rPr>
                      <w:rFonts w:ascii="Arial"/>
                      <w:position w:val="-2"/>
                    </w:rPr>
                    <w:tab/>
                  </w:r>
                  <w:r>
                    <w:rPr>
                      <w:rFonts w:ascii="Arial"/>
                      <w:spacing w:val="-28"/>
                      <w:w w:val="160"/>
                      <w:position w:val="-2"/>
                    </w:rPr>
                    <w:t>)</w:t>
                  </w:r>
                </w:p>
              </w:txbxContent>
            </v:textbox>
            <w10:wrap type="none"/>
          </v:shape>
        </w:pict>
      </w:r>
      <w:bookmarkStart w:name="_bookmark146" w:id="252"/>
      <w:bookmarkEnd w:id="252"/>
      <w:r>
        <w:rPr/>
      </w:r>
      <w:r>
        <w:rPr>
          <w:rFonts w:ascii="Cambria"/>
          <w:spacing w:val="-10"/>
          <w:w w:val="140"/>
          <w:sz w:val="16"/>
        </w:rPr>
        <w:t>K</w:t>
      </w:r>
      <w:r>
        <w:rPr>
          <w:rFonts w:ascii="Cambria"/>
          <w:sz w:val="16"/>
        </w:rPr>
        <w:tab/>
      </w:r>
      <w:r>
        <w:rPr>
          <w:rFonts w:ascii="Cambria"/>
          <w:spacing w:val="-10"/>
          <w:w w:val="140"/>
          <w:sz w:val="16"/>
        </w:rPr>
        <w:t>K</w:t>
      </w:r>
    </w:p>
    <w:p>
      <w:pPr>
        <w:tabs>
          <w:tab w:pos="3844" w:val="left" w:leader="none"/>
          <w:tab w:pos="8656" w:val="left" w:leader="none"/>
        </w:tabs>
        <w:spacing w:before="0"/>
        <w:ind w:left="2161" w:right="0" w:firstLine="0"/>
        <w:jc w:val="left"/>
        <w:rPr>
          <w:sz w:val="24"/>
        </w:rPr>
      </w:pPr>
      <w:r>
        <w:rPr>
          <w:rFonts w:ascii="Cambria" w:hAnsi="Cambria"/>
          <w:sz w:val="24"/>
        </w:rPr>
        <w:t>W</w:t>
      </w:r>
      <w:r>
        <w:rPr>
          <w:sz w:val="24"/>
          <w:vertAlign w:val="subscript"/>
        </w:rPr>
        <w:t>down</w:t>
      </w:r>
      <w:r>
        <w:rPr>
          <w:w w:val="110"/>
          <w:sz w:val="24"/>
          <w:vertAlign w:val="baseline"/>
        </w:rPr>
        <w:t> </w:t>
      </w:r>
      <w:r>
        <w:rPr>
          <w:rFonts w:ascii="Garamond" w:hAnsi="Garamond"/>
          <w:spacing w:val="-10"/>
          <w:w w:val="110"/>
          <w:sz w:val="24"/>
          <w:vertAlign w:val="baseline"/>
        </w:rPr>
        <w:t>=</w:t>
      </w:r>
      <w:r>
        <w:rPr>
          <w:rFonts w:ascii="Garamond" w:hAnsi="Garamond"/>
          <w:sz w:val="24"/>
          <w:vertAlign w:val="baseline"/>
        </w:rPr>
        <w:tab/>
      </w:r>
      <w:r>
        <w:rPr>
          <w:rFonts w:ascii="Garamond" w:hAnsi="Garamond"/>
          <w:w w:val="110"/>
          <w:sz w:val="24"/>
          <w:vertAlign w:val="baseline"/>
        </w:rPr>
        <w:t>1</w:t>
      </w:r>
      <w:r>
        <w:rPr>
          <w:rFonts w:ascii="Cambria" w:hAnsi="Cambria"/>
          <w:w w:val="110"/>
          <w:sz w:val="24"/>
          <w:vertAlign w:val="subscript"/>
        </w:rPr>
        <w:t>y</w:t>
      </w:r>
      <w:r>
        <w:rPr>
          <w:rFonts w:ascii="Cambria" w:hAnsi="Cambria"/>
          <w:w w:val="110"/>
          <w:position w:val="-7"/>
          <w:sz w:val="12"/>
          <w:vertAlign w:val="baseline"/>
        </w:rPr>
        <w:t>k</w:t>
      </w:r>
      <w:r>
        <w:rPr>
          <w:rFonts w:ascii="Cambria" w:hAnsi="Cambria"/>
          <w:w w:val="110"/>
          <w:position w:val="-4"/>
          <w:sz w:val="12"/>
          <w:vertAlign w:val="baseline"/>
        </w:rPr>
        <w:t>′</w:t>
      </w:r>
      <w:r>
        <w:rPr>
          <w:rFonts w:ascii="Cambria" w:hAnsi="Cambria"/>
          <w:spacing w:val="-10"/>
          <w:w w:val="110"/>
          <w:position w:val="-4"/>
          <w:sz w:val="12"/>
          <w:vertAlign w:val="baseline"/>
        </w:rPr>
        <w:t> </w:t>
      </w:r>
      <w:r>
        <w:rPr>
          <w:rFonts w:ascii="Cambria" w:hAnsi="Cambria"/>
          <w:w w:val="110"/>
          <w:position w:val="-3"/>
          <w:sz w:val="16"/>
          <w:vertAlign w:val="baseline"/>
        </w:rPr>
        <w:t>&lt;y</w:t>
      </w:r>
      <w:r>
        <w:rPr>
          <w:rFonts w:ascii="Cambria" w:hAnsi="Cambria"/>
          <w:w w:val="110"/>
          <w:position w:val="-5"/>
          <w:sz w:val="12"/>
          <w:vertAlign w:val="baseline"/>
        </w:rPr>
        <w:t>k</w:t>
      </w:r>
      <w:r>
        <w:rPr>
          <w:rFonts w:ascii="Cambria" w:hAnsi="Cambria"/>
          <w:spacing w:val="-5"/>
          <w:w w:val="110"/>
          <w:position w:val="-5"/>
          <w:sz w:val="12"/>
          <w:vertAlign w:val="baseline"/>
        </w:rPr>
        <w:t> </w:t>
      </w:r>
      <w:r>
        <w:rPr>
          <w:rFonts w:ascii="Cambria" w:hAnsi="Cambria"/>
          <w:w w:val="110"/>
          <w:sz w:val="24"/>
          <w:vertAlign w:val="baseline"/>
        </w:rPr>
        <w:t>T</w:t>
      </w:r>
      <w:r>
        <w:rPr>
          <w:rFonts w:ascii="Cambria" w:hAnsi="Cambria"/>
          <w:spacing w:val="66"/>
          <w:w w:val="150"/>
          <w:sz w:val="24"/>
          <w:vertAlign w:val="baseline"/>
        </w:rPr>
        <w:t> </w:t>
      </w:r>
      <w:r>
        <w:rPr>
          <w:rFonts w:ascii="Garamond" w:hAnsi="Garamond"/>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w w:val="110"/>
          <w:sz w:val="24"/>
          <w:vertAlign w:val="baseline"/>
        </w:rPr>
        <w:t>,</w:t>
      </w:r>
      <w:r>
        <w:rPr>
          <w:rFonts w:ascii="Cambria" w:hAnsi="Cambria"/>
          <w:spacing w:val="-18"/>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Garamond" w:hAnsi="Garamond"/>
          <w:w w:val="110"/>
          <w:sz w:val="24"/>
          <w:vertAlign w:val="baseline"/>
        </w:rPr>
        <w:t>);</w:t>
      </w:r>
      <w:r>
        <w:rPr>
          <w:rFonts w:ascii="Garamond" w:hAnsi="Garamond"/>
          <w:spacing w:val="-24"/>
          <w:w w:val="110"/>
          <w:sz w:val="24"/>
          <w:vertAlign w:val="baseline"/>
        </w:rPr>
        <w:t> </w:t>
      </w:r>
      <w:r>
        <w:rPr>
          <w:rFonts w:ascii="Garamond" w:hAnsi="Garamond"/>
          <w:w w:val="110"/>
          <w:sz w:val="24"/>
          <w:vertAlign w:val="baseline"/>
        </w:rPr>
        <w:t>(</w:t>
      </w:r>
      <w:r>
        <w:rPr>
          <w:rFonts w:ascii="Cambria" w:hAnsi="Cambria"/>
          <w:w w:val="110"/>
          <w:sz w:val="24"/>
          <w:vertAlign w:val="baseline"/>
        </w:rPr>
        <w:t>x</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9"/>
          <w:w w:val="110"/>
          <w:position w:val="1"/>
          <w:sz w:val="12"/>
          <w:vertAlign w:val="baseline"/>
        </w:rPr>
        <w:t> </w:t>
      </w:r>
      <w:r>
        <w:rPr>
          <w:rFonts w:ascii="Cambria" w:hAnsi="Cambria"/>
          <w:w w:val="110"/>
          <w:sz w:val="24"/>
          <w:vertAlign w:val="baseline"/>
        </w:rPr>
        <w:t>,</w:t>
      </w:r>
      <w:r>
        <w:rPr>
          <w:rFonts w:ascii="Cambria" w:hAnsi="Cambria"/>
          <w:spacing w:val="-17"/>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9"/>
          <w:w w:val="110"/>
          <w:position w:val="1"/>
          <w:sz w:val="12"/>
          <w:vertAlign w:val="baseline"/>
        </w:rPr>
        <w:t> </w:t>
      </w:r>
      <w:r>
        <w:rPr>
          <w:rFonts w:ascii="Garamond" w:hAnsi="Garamond"/>
          <w:w w:val="110"/>
          <w:sz w:val="24"/>
          <w:vertAlign w:val="baseline"/>
        </w:rPr>
        <w:t>)</w:t>
      </w:r>
      <w:r>
        <w:rPr>
          <w:rFonts w:ascii="Garamond" w:hAnsi="Garamond"/>
          <w:spacing w:val="46"/>
          <w:w w:val="110"/>
          <w:sz w:val="24"/>
          <w:vertAlign w:val="baseline"/>
        </w:rPr>
        <w:t> </w:t>
      </w:r>
      <w:r>
        <w:rPr>
          <w:rFonts w:ascii="Lucida Sans Unicode" w:hAnsi="Lucida Sans Unicode"/>
          <w:w w:val="110"/>
          <w:sz w:val="24"/>
          <w:vertAlign w:val="baseline"/>
        </w:rPr>
        <w:t>|</w:t>
      </w:r>
      <w:r>
        <w:rPr>
          <w:rFonts w:ascii="Cambria" w:hAnsi="Cambria"/>
          <w:w w:val="110"/>
          <w:sz w:val="24"/>
          <w:vertAlign w:val="baseline"/>
        </w:rPr>
        <w:t>y</w:t>
      </w:r>
      <w:r>
        <w:rPr>
          <w:rFonts w:ascii="Cambria" w:hAnsi="Cambria"/>
          <w:w w:val="110"/>
          <w:sz w:val="24"/>
          <w:vertAlign w:val="subscript"/>
        </w:rPr>
        <w:t>k</w:t>
      </w:r>
      <w:r>
        <w:rPr>
          <w:rFonts w:ascii="Cambria" w:hAnsi="Cambria"/>
          <w:spacing w:val="11"/>
          <w:w w:val="110"/>
          <w:sz w:val="24"/>
          <w:vertAlign w:val="baseline"/>
        </w:rPr>
        <w:t> </w:t>
      </w:r>
      <w:r>
        <w:rPr>
          <w:rFonts w:ascii="Lucida Sans Unicode" w:hAnsi="Lucida Sans Unicode"/>
          <w:w w:val="110"/>
          <w:sz w:val="24"/>
          <w:vertAlign w:val="baseline"/>
        </w:rPr>
        <w:t>−</w:t>
      </w:r>
      <w:r>
        <w:rPr>
          <w:rFonts w:ascii="Lucida Sans Unicode" w:hAnsi="Lucida Sans Unicode"/>
          <w:spacing w:val="-29"/>
          <w:w w:val="110"/>
          <w:sz w:val="24"/>
          <w:vertAlign w:val="baseline"/>
        </w:rPr>
        <w:t> </w:t>
      </w:r>
      <w:r>
        <w:rPr>
          <w:rFonts w:ascii="Cambria" w:hAnsi="Cambria"/>
          <w:w w:val="110"/>
          <w:sz w:val="24"/>
          <w:vertAlign w:val="baseline"/>
        </w:rPr>
        <w:t>y</w:t>
      </w:r>
      <w:r>
        <w:rPr>
          <w:rFonts w:ascii="Cambria" w:hAnsi="Cambria"/>
          <w:w w:val="110"/>
          <w:sz w:val="24"/>
          <w:vertAlign w:val="subscript"/>
        </w:rPr>
        <w:t>k</w:t>
      </w:r>
      <w:r>
        <w:rPr>
          <w:rFonts w:ascii="Cambria" w:hAnsi="Cambria"/>
          <w:w w:val="110"/>
          <w:position w:val="1"/>
          <w:sz w:val="12"/>
          <w:vertAlign w:val="baseline"/>
        </w:rPr>
        <w:t>′</w:t>
      </w:r>
      <w:r>
        <w:rPr>
          <w:rFonts w:ascii="Cambria" w:hAnsi="Cambria"/>
          <w:spacing w:val="-9"/>
          <w:w w:val="110"/>
          <w:position w:val="1"/>
          <w:sz w:val="12"/>
          <w:vertAlign w:val="baseline"/>
        </w:rPr>
        <w:t> </w:t>
      </w:r>
      <w:r>
        <w:rPr>
          <w:rFonts w:ascii="Lucida Sans Unicode" w:hAnsi="Lucida Sans Unicode"/>
          <w:spacing w:val="-7"/>
          <w:w w:val="110"/>
          <w:sz w:val="24"/>
          <w:vertAlign w:val="baseline"/>
        </w:rPr>
        <w:t>|</w:t>
      </w:r>
      <w:r>
        <w:rPr>
          <w:rFonts w:ascii="Cambria" w:hAnsi="Cambria"/>
          <w:spacing w:val="-7"/>
          <w:w w:val="110"/>
          <w:sz w:val="24"/>
          <w:vertAlign w:val="baseline"/>
        </w:rPr>
        <w:t>,</w:t>
      </w:r>
      <w:r>
        <w:rPr>
          <w:rFonts w:ascii="Cambria" w:hAnsi="Cambria"/>
          <w:sz w:val="24"/>
          <w:vertAlign w:val="baseline"/>
        </w:rPr>
        <w:tab/>
      </w:r>
      <w:r>
        <w:rPr>
          <w:spacing w:val="-2"/>
          <w:w w:val="110"/>
          <w:sz w:val="24"/>
          <w:vertAlign w:val="baseline"/>
        </w:rPr>
        <w:t>(5.9)</w:t>
      </w:r>
    </w:p>
    <w:p>
      <w:pPr>
        <w:spacing w:before="13"/>
        <w:ind w:left="3075" w:right="0" w:firstLine="0"/>
        <w:jc w:val="left"/>
        <w:rPr>
          <w:rFonts w:ascii="Georgia" w:hAnsi="Georgia"/>
          <w:sz w:val="16"/>
        </w:rPr>
      </w:pPr>
      <w:r>
        <w:rPr>
          <w:rFonts w:ascii="Cambria" w:hAnsi="Cambria"/>
          <w:w w:val="120"/>
          <w:sz w:val="16"/>
        </w:rPr>
        <w:t>k</w:t>
      </w:r>
      <w:r>
        <w:rPr>
          <w:rFonts w:ascii="Georgia" w:hAnsi="Georgia"/>
          <w:w w:val="120"/>
          <w:sz w:val="16"/>
        </w:rPr>
        <w:t>=1</w:t>
      </w:r>
      <w:r>
        <w:rPr>
          <w:rFonts w:ascii="Georgia" w:hAnsi="Georgia"/>
          <w:spacing w:val="10"/>
          <w:w w:val="120"/>
          <w:sz w:val="16"/>
        </w:rPr>
        <w:t> </w:t>
      </w:r>
      <w:r>
        <w:rPr>
          <w:rFonts w:ascii="Cambria" w:hAnsi="Cambria"/>
          <w:spacing w:val="-4"/>
          <w:w w:val="120"/>
          <w:sz w:val="16"/>
        </w:rPr>
        <w:t>k</w:t>
      </w:r>
      <w:r>
        <w:rPr>
          <w:rFonts w:ascii="Cambria" w:hAnsi="Cambria"/>
          <w:spacing w:val="-4"/>
          <w:w w:val="120"/>
          <w:position w:val="5"/>
          <w:sz w:val="12"/>
        </w:rPr>
        <w:t>′</w:t>
      </w:r>
      <w:r>
        <w:rPr>
          <w:rFonts w:ascii="Georgia" w:hAnsi="Georgia"/>
          <w:spacing w:val="-4"/>
          <w:w w:val="120"/>
          <w:sz w:val="16"/>
        </w:rPr>
        <w:t>=1</w:t>
      </w:r>
    </w:p>
    <w:p>
      <w:pPr>
        <w:pStyle w:val="BodyText"/>
        <w:spacing w:before="1"/>
        <w:rPr>
          <w:rFonts w:ascii="Georgia"/>
          <w:sz w:val="21"/>
        </w:rPr>
      </w:pPr>
    </w:p>
    <w:p>
      <w:pPr>
        <w:pStyle w:val="BodyText"/>
        <w:ind w:left="610"/>
        <w:jc w:val="both"/>
      </w:pPr>
      <w:r>
        <w:rPr/>
        <w:pict>
          <v:shape style="position:absolute;margin-left:156.753998pt;margin-top:11.003126pt;width:3.95pt;height:6pt;mso-position-horizontal-relative:page;mso-position-vertical-relative:paragraph;z-index:-21743616" type="#_x0000_t202" id="docshape164" filled="false" stroked="false">
            <v:textbox inset="0,0,0,0">
              <w:txbxContent>
                <w:p>
                  <w:pPr>
                    <w:spacing w:line="116" w:lineRule="exact" w:before="0"/>
                    <w:ind w:left="0" w:right="0" w:firstLine="0"/>
                    <w:jc w:val="left"/>
                    <w:rPr>
                      <w:rFonts w:ascii="Cambria"/>
                      <w:sz w:val="12"/>
                    </w:rPr>
                  </w:pPr>
                  <w:r>
                    <w:rPr>
                      <w:rFonts w:ascii="Cambria"/>
                      <w:w w:val="125"/>
                      <w:sz w:val="12"/>
                    </w:rPr>
                    <w:t>k</w:t>
                  </w:r>
                </w:p>
              </w:txbxContent>
            </v:textbox>
            <w10:wrap type="none"/>
          </v:shape>
        </w:pict>
      </w:r>
      <w:r>
        <w:rPr/>
        <w:t>where</w:t>
      </w:r>
      <w:r>
        <w:rPr>
          <w:spacing w:val="7"/>
        </w:rPr>
        <w:t> </w:t>
      </w:r>
      <w:r>
        <w:rPr>
          <w:rFonts w:ascii="Garamond" w:hAnsi="Garamond"/>
        </w:rPr>
        <w:t>1</w:t>
      </w:r>
      <w:r>
        <w:rPr>
          <w:rFonts w:ascii="Cambria" w:hAnsi="Cambria"/>
          <w:vertAlign w:val="subscript"/>
        </w:rPr>
        <w:t>y</w:t>
      </w:r>
      <w:r>
        <w:rPr>
          <w:rFonts w:ascii="Cambria" w:hAnsi="Cambria"/>
          <w:spacing w:val="39"/>
          <w:vertAlign w:val="baseline"/>
        </w:rPr>
        <w:t> </w:t>
      </w:r>
      <w:r>
        <w:rPr>
          <w:rFonts w:ascii="Cambria" w:hAnsi="Cambria"/>
          <w:position w:val="-4"/>
          <w:sz w:val="12"/>
          <w:vertAlign w:val="baseline"/>
        </w:rPr>
        <w:t>′</w:t>
      </w:r>
      <w:r>
        <w:rPr>
          <w:rFonts w:ascii="Cambria" w:hAnsi="Cambria"/>
          <w:spacing w:val="-4"/>
          <w:position w:val="-4"/>
          <w:sz w:val="12"/>
          <w:vertAlign w:val="baseline"/>
        </w:rPr>
        <w:t> </w:t>
      </w:r>
      <w:r>
        <w:rPr>
          <w:rFonts w:ascii="Cambria" w:hAnsi="Cambria"/>
          <w:position w:val="-3"/>
          <w:sz w:val="16"/>
          <w:vertAlign w:val="baseline"/>
        </w:rPr>
        <w:t>&lt;y</w:t>
      </w:r>
      <w:r>
        <w:rPr>
          <w:rFonts w:ascii="Cambria" w:hAnsi="Cambria"/>
          <w:position w:val="-5"/>
          <w:sz w:val="12"/>
          <w:vertAlign w:val="baseline"/>
        </w:rPr>
        <w:t>k</w:t>
      </w:r>
      <w:r>
        <w:rPr>
          <w:rFonts w:ascii="Cambria" w:hAnsi="Cambria"/>
          <w:spacing w:val="67"/>
          <w:position w:val="-5"/>
          <w:sz w:val="12"/>
          <w:vertAlign w:val="baseline"/>
        </w:rPr>
        <w:t> </w:t>
      </w:r>
      <w:r>
        <w:rPr>
          <w:vertAlign w:val="baseline"/>
        </w:rPr>
        <w:t>equals</w:t>
      </w:r>
      <w:r>
        <w:rPr>
          <w:spacing w:val="7"/>
          <w:vertAlign w:val="baseline"/>
        </w:rPr>
        <w:t> </w:t>
      </w:r>
      <w:r>
        <w:rPr>
          <w:vertAlign w:val="baseline"/>
        </w:rPr>
        <w:t>one</w:t>
      </w:r>
      <w:r>
        <w:rPr>
          <w:spacing w:val="8"/>
          <w:vertAlign w:val="baseline"/>
        </w:rPr>
        <w:t> </w:t>
      </w:r>
      <w:r>
        <w:rPr>
          <w:vertAlign w:val="baseline"/>
        </w:rPr>
        <w:t>if</w:t>
      </w:r>
      <w:r>
        <w:rPr>
          <w:spacing w:val="8"/>
          <w:vertAlign w:val="baseline"/>
        </w:rPr>
        <w:t> </w:t>
      </w:r>
      <w:r>
        <w:rPr>
          <w:rFonts w:ascii="Cambria" w:hAnsi="Cambria"/>
          <w:vertAlign w:val="baseline"/>
        </w:rPr>
        <w:t>y</w:t>
      </w:r>
      <w:r>
        <w:rPr>
          <w:rFonts w:ascii="Cambria" w:hAnsi="Cambria"/>
          <w:vertAlign w:val="subscript"/>
        </w:rPr>
        <w:t>k</w:t>
      </w:r>
      <w:r>
        <w:rPr>
          <w:rFonts w:ascii="Cambria" w:hAnsi="Cambria"/>
          <w:position w:val="1"/>
          <w:sz w:val="12"/>
          <w:vertAlign w:val="baseline"/>
        </w:rPr>
        <w:t>′</w:t>
      </w:r>
      <w:r>
        <w:rPr>
          <w:rFonts w:ascii="Cambria" w:hAnsi="Cambria"/>
          <w:spacing w:val="71"/>
          <w:position w:val="1"/>
          <w:sz w:val="12"/>
          <w:vertAlign w:val="baseline"/>
        </w:rPr>
        <w:t> </w:t>
      </w:r>
      <w:r>
        <w:rPr>
          <w:rFonts w:ascii="Cambria" w:hAnsi="Cambria"/>
          <w:vertAlign w:val="baseline"/>
        </w:rPr>
        <w:t>&lt;</w:t>
      </w:r>
      <w:r>
        <w:rPr>
          <w:rFonts w:ascii="Cambria" w:hAnsi="Cambria"/>
          <w:spacing w:val="23"/>
          <w:vertAlign w:val="baseline"/>
        </w:rPr>
        <w:t> </w:t>
      </w:r>
      <w:r>
        <w:rPr>
          <w:rFonts w:ascii="Cambria" w:hAnsi="Cambria"/>
          <w:vertAlign w:val="baseline"/>
        </w:rPr>
        <w:t>y</w:t>
      </w:r>
      <w:r>
        <w:rPr>
          <w:rFonts w:ascii="Cambria" w:hAnsi="Cambria"/>
          <w:vertAlign w:val="subscript"/>
        </w:rPr>
        <w:t>k</w:t>
      </w:r>
      <w:r>
        <w:rPr>
          <w:rFonts w:ascii="Cambria" w:hAnsi="Cambria"/>
          <w:spacing w:val="32"/>
          <w:vertAlign w:val="baseline"/>
        </w:rPr>
        <w:t> </w:t>
      </w:r>
      <w:r>
        <w:rPr>
          <w:vertAlign w:val="baseline"/>
        </w:rPr>
        <w:t>and</w:t>
      </w:r>
      <w:r>
        <w:rPr>
          <w:spacing w:val="7"/>
          <w:vertAlign w:val="baseline"/>
        </w:rPr>
        <w:t> </w:t>
      </w:r>
      <w:r>
        <w:rPr>
          <w:vertAlign w:val="baseline"/>
        </w:rPr>
        <w:t>zero</w:t>
      </w:r>
      <w:r>
        <w:rPr>
          <w:spacing w:val="8"/>
          <w:vertAlign w:val="baseline"/>
        </w:rPr>
        <w:t> </w:t>
      </w:r>
      <w:r>
        <w:rPr>
          <w:spacing w:val="-2"/>
          <w:vertAlign w:val="baseline"/>
        </w:rPr>
        <w:t>otherwise.</w:t>
      </w:r>
    </w:p>
    <w:p>
      <w:pPr>
        <w:pStyle w:val="BodyText"/>
        <w:spacing w:line="309" w:lineRule="auto" w:before="44"/>
        <w:ind w:left="610" w:right="389" w:firstLine="351"/>
        <w:jc w:val="both"/>
      </w:pPr>
      <w:r>
        <w:rPr/>
        <w:t>The</w:t>
      </w:r>
      <w:r>
        <w:rPr>
          <w:spacing w:val="-5"/>
        </w:rPr>
        <w:t> </w:t>
      </w:r>
      <w:r>
        <w:rPr/>
        <w:t>difference</w:t>
      </w:r>
      <w:r>
        <w:rPr>
          <w:spacing w:val="-4"/>
        </w:rPr>
        <w:t> </w:t>
      </w:r>
      <w:r>
        <w:rPr/>
        <w:t>between</w:t>
      </w:r>
      <w:r>
        <w:rPr>
          <w:spacing w:val="-4"/>
        </w:rPr>
        <w:t> </w:t>
      </w:r>
      <w:r>
        <w:rPr>
          <w:rFonts w:ascii="Cambria" w:hAnsi="Cambria"/>
        </w:rPr>
        <w:t>W</w:t>
      </w:r>
      <w:r>
        <w:rPr>
          <w:vertAlign w:val="subscript"/>
        </w:rPr>
        <w:t>left</w:t>
      </w:r>
      <w:r>
        <w:rPr>
          <w:vertAlign w:val="baseline"/>
        </w:rPr>
        <w:t> and</w:t>
      </w:r>
      <w:r>
        <w:rPr>
          <w:spacing w:val="-4"/>
          <w:vertAlign w:val="baseline"/>
        </w:rPr>
        <w:t> </w:t>
      </w:r>
      <w:r>
        <w:rPr>
          <w:rFonts w:ascii="Cambria" w:hAnsi="Cambria"/>
          <w:vertAlign w:val="baseline"/>
        </w:rPr>
        <w:t>W</w:t>
      </w:r>
      <w:r>
        <w:rPr>
          <w:vertAlign w:val="subscript"/>
        </w:rPr>
        <w:t>right</w:t>
      </w:r>
      <w:r>
        <w:rPr>
          <w:vertAlign w:val="baseline"/>
        </w:rPr>
        <w:t> was</w:t>
      </w:r>
      <w:r>
        <w:rPr>
          <w:spacing w:val="-5"/>
          <w:vertAlign w:val="baseline"/>
        </w:rPr>
        <w:t> </w:t>
      </w:r>
      <w:r>
        <w:rPr>
          <w:vertAlign w:val="baseline"/>
        </w:rPr>
        <w:t>calculated</w:t>
      </w:r>
      <w:r>
        <w:rPr>
          <w:spacing w:val="-4"/>
          <w:vertAlign w:val="baseline"/>
        </w:rPr>
        <w:t> </w:t>
      </w:r>
      <w:r>
        <w:rPr>
          <w:vertAlign w:val="baseline"/>
        </w:rPr>
        <w:t>to</w:t>
      </w:r>
      <w:r>
        <w:rPr>
          <w:spacing w:val="-5"/>
          <w:vertAlign w:val="baseline"/>
        </w:rPr>
        <w:t> </w:t>
      </w:r>
      <w:r>
        <w:rPr>
          <w:vertAlign w:val="baseline"/>
        </w:rPr>
        <w:t>provide</w:t>
      </w:r>
      <w:r>
        <w:rPr>
          <w:spacing w:val="-5"/>
          <w:vertAlign w:val="baseline"/>
        </w:rPr>
        <w:t> </w:t>
      </w:r>
      <w:r>
        <w:rPr>
          <w:vertAlign w:val="baseline"/>
        </w:rPr>
        <w:t>directional</w:t>
      </w:r>
      <w:r>
        <w:rPr>
          <w:spacing w:val="-5"/>
          <w:vertAlign w:val="baseline"/>
        </w:rPr>
        <w:t> </w:t>
      </w:r>
      <w:r>
        <w:rPr>
          <w:vertAlign w:val="baseline"/>
        </w:rPr>
        <w:t>insights along</w:t>
      </w:r>
      <w:r>
        <w:rPr>
          <w:spacing w:val="-7"/>
          <w:vertAlign w:val="baseline"/>
        </w:rPr>
        <w:t> </w:t>
      </w:r>
      <w:r>
        <w:rPr>
          <w:vertAlign w:val="baseline"/>
        </w:rPr>
        <w:t>the</w:t>
      </w:r>
      <w:r>
        <w:rPr>
          <w:spacing w:val="-7"/>
          <w:vertAlign w:val="baseline"/>
        </w:rPr>
        <w:t> </w:t>
      </w:r>
      <w:r>
        <w:rPr>
          <w:rFonts w:ascii="Cambria" w:hAnsi="Cambria"/>
          <w:vertAlign w:val="baseline"/>
        </w:rPr>
        <w:t>x </w:t>
      </w:r>
      <w:r>
        <w:rPr>
          <w:vertAlign w:val="baseline"/>
        </w:rPr>
        <w:t>axis. Positive</w:t>
      </w:r>
      <w:r>
        <w:rPr>
          <w:spacing w:val="-7"/>
          <w:vertAlign w:val="baseline"/>
        </w:rPr>
        <w:t> </w:t>
      </w:r>
      <w:r>
        <w:rPr>
          <w:vertAlign w:val="baseline"/>
        </w:rPr>
        <w:t>values</w:t>
      </w:r>
      <w:r>
        <w:rPr>
          <w:spacing w:val="-7"/>
          <w:vertAlign w:val="baseline"/>
        </w:rPr>
        <w:t> </w:t>
      </w:r>
      <w:r>
        <w:rPr>
          <w:vertAlign w:val="baseline"/>
        </w:rPr>
        <w:t>were</w:t>
      </w:r>
      <w:r>
        <w:rPr>
          <w:spacing w:val="-7"/>
          <w:vertAlign w:val="baseline"/>
        </w:rPr>
        <w:t> </w:t>
      </w:r>
      <w:r>
        <w:rPr>
          <w:vertAlign w:val="baseline"/>
        </w:rPr>
        <w:t>indicative</w:t>
      </w:r>
      <w:r>
        <w:rPr>
          <w:spacing w:val="-7"/>
          <w:vertAlign w:val="baseline"/>
        </w:rPr>
        <w:t> </w:t>
      </w:r>
      <w:r>
        <w:rPr>
          <w:vertAlign w:val="baseline"/>
        </w:rPr>
        <w:t>of</w:t>
      </w:r>
      <w:r>
        <w:rPr>
          <w:spacing w:val="-7"/>
          <w:vertAlign w:val="baseline"/>
        </w:rPr>
        <w:t> </w:t>
      </w:r>
      <w:r>
        <w:rPr>
          <w:vertAlign w:val="baseline"/>
        </w:rPr>
        <w:t>a</w:t>
      </w:r>
      <w:r>
        <w:rPr>
          <w:spacing w:val="-7"/>
          <w:vertAlign w:val="baseline"/>
        </w:rPr>
        <w:t> </w:t>
      </w:r>
      <w:r>
        <w:rPr>
          <w:vertAlign w:val="baseline"/>
        </w:rPr>
        <w:t>greater</w:t>
      </w:r>
      <w:r>
        <w:rPr>
          <w:spacing w:val="-7"/>
          <w:vertAlign w:val="baseline"/>
        </w:rPr>
        <w:t> </w:t>
      </w:r>
      <w:r>
        <w:rPr>
          <w:vertAlign w:val="baseline"/>
        </w:rPr>
        <w:t>mass</w:t>
      </w:r>
      <w:r>
        <w:rPr>
          <w:spacing w:val="-7"/>
          <w:vertAlign w:val="baseline"/>
        </w:rPr>
        <w:t> </w:t>
      </w:r>
      <w:r>
        <w:rPr>
          <w:vertAlign w:val="baseline"/>
        </w:rPr>
        <w:t>movement</w:t>
      </w:r>
      <w:r>
        <w:rPr>
          <w:spacing w:val="-7"/>
          <w:vertAlign w:val="baseline"/>
        </w:rPr>
        <w:t> </w:t>
      </w:r>
      <w:r>
        <w:rPr>
          <w:vertAlign w:val="baseline"/>
        </w:rPr>
        <w:t>towards</w:t>
      </w:r>
      <w:r>
        <w:rPr>
          <w:spacing w:val="-7"/>
          <w:vertAlign w:val="baseline"/>
        </w:rPr>
        <w:t> </w:t>
      </w:r>
      <w:r>
        <w:rPr>
          <w:vertAlign w:val="baseline"/>
        </w:rPr>
        <w:t>the left side of the pitch or away from the right side of the pitch, negative values indicated greater mass movement towards the right side of the pitch or away from the left side of the pitch.</w:t>
      </w:r>
      <w:r>
        <w:rPr>
          <w:spacing w:val="40"/>
          <w:vertAlign w:val="baseline"/>
        </w:rPr>
        <w:t> </w:t>
      </w:r>
      <w:r>
        <w:rPr>
          <w:vertAlign w:val="baseline"/>
        </w:rPr>
        <w:t>The difference between </w:t>
      </w:r>
      <w:r>
        <w:rPr>
          <w:rFonts w:ascii="Cambria" w:hAnsi="Cambria"/>
          <w:vertAlign w:val="baseline"/>
        </w:rPr>
        <w:t>W</w:t>
      </w:r>
      <w:r>
        <w:rPr>
          <w:vertAlign w:val="subscript"/>
        </w:rPr>
        <w:t>up</w:t>
      </w:r>
      <w:r>
        <w:rPr>
          <w:vertAlign w:val="baseline"/>
        </w:rPr>
        <w:t> and </w:t>
      </w:r>
      <w:r>
        <w:rPr>
          <w:rFonts w:ascii="Cambria" w:hAnsi="Cambria"/>
          <w:vertAlign w:val="baseline"/>
        </w:rPr>
        <w:t>W</w:t>
      </w:r>
      <w:r>
        <w:rPr>
          <w:vertAlign w:val="subscript"/>
        </w:rPr>
        <w:t>down</w:t>
      </w:r>
      <w:r>
        <w:rPr>
          <w:vertAlign w:val="baseline"/>
        </w:rPr>
        <w:t> was calculated to provide directional insights along the </w:t>
      </w:r>
      <w:r>
        <w:rPr>
          <w:rFonts w:ascii="Cambria" w:hAnsi="Cambria"/>
          <w:vertAlign w:val="baseline"/>
        </w:rPr>
        <w:t>y </w:t>
      </w:r>
      <w:r>
        <w:rPr>
          <w:vertAlign w:val="baseline"/>
        </w:rPr>
        <w:t>axis.</w:t>
      </w:r>
      <w:r>
        <w:rPr>
          <w:spacing w:val="40"/>
          <w:vertAlign w:val="baseline"/>
        </w:rPr>
        <w:t> </w:t>
      </w:r>
      <w:r>
        <w:rPr>
          <w:vertAlign w:val="baseline"/>
        </w:rPr>
        <w:t>Positive values were indicative of a greater mass movement towards</w:t>
      </w:r>
      <w:r>
        <w:rPr>
          <w:spacing w:val="-15"/>
          <w:vertAlign w:val="baseline"/>
        </w:rPr>
        <w:t> </w:t>
      </w:r>
      <w:r>
        <w:rPr>
          <w:vertAlign w:val="baseline"/>
        </w:rPr>
        <w:t>the</w:t>
      </w:r>
      <w:r>
        <w:rPr>
          <w:spacing w:val="-15"/>
          <w:vertAlign w:val="baseline"/>
        </w:rPr>
        <w:t> </w:t>
      </w:r>
      <w:r>
        <w:rPr>
          <w:vertAlign w:val="baseline"/>
        </w:rPr>
        <w:t>opponent’s</w:t>
      </w:r>
      <w:r>
        <w:rPr>
          <w:spacing w:val="-15"/>
          <w:vertAlign w:val="baseline"/>
        </w:rPr>
        <w:t> </w:t>
      </w:r>
      <w:r>
        <w:rPr>
          <w:vertAlign w:val="baseline"/>
        </w:rPr>
        <w:t>try</w:t>
      </w:r>
      <w:r>
        <w:rPr>
          <w:spacing w:val="-15"/>
          <w:vertAlign w:val="baseline"/>
        </w:rPr>
        <w:t> </w:t>
      </w:r>
      <w:r>
        <w:rPr>
          <w:vertAlign w:val="baseline"/>
        </w:rPr>
        <w:t>area</w:t>
      </w:r>
      <w:r>
        <w:rPr>
          <w:spacing w:val="-15"/>
          <w:vertAlign w:val="baseline"/>
        </w:rPr>
        <w:t> </w:t>
      </w:r>
      <w:r>
        <w:rPr>
          <w:vertAlign w:val="baseline"/>
        </w:rPr>
        <w:t>or</w:t>
      </w:r>
      <w:r>
        <w:rPr>
          <w:spacing w:val="-15"/>
          <w:vertAlign w:val="baseline"/>
        </w:rPr>
        <w:t> </w:t>
      </w:r>
      <w:r>
        <w:rPr>
          <w:vertAlign w:val="baseline"/>
        </w:rPr>
        <w:t>away</w:t>
      </w:r>
      <w:r>
        <w:rPr>
          <w:spacing w:val="-15"/>
          <w:vertAlign w:val="baseline"/>
        </w:rPr>
        <w:t> </w:t>
      </w:r>
      <w:r>
        <w:rPr>
          <w:vertAlign w:val="baseline"/>
        </w:rPr>
        <w:t>from</w:t>
      </w:r>
      <w:r>
        <w:rPr>
          <w:spacing w:val="-15"/>
          <w:vertAlign w:val="baseline"/>
        </w:rPr>
        <w:t> </w:t>
      </w:r>
      <w:r>
        <w:rPr>
          <w:vertAlign w:val="baseline"/>
        </w:rPr>
        <w:t>the</w:t>
      </w:r>
      <w:r>
        <w:rPr>
          <w:spacing w:val="-15"/>
          <w:vertAlign w:val="baseline"/>
        </w:rPr>
        <w:t> </w:t>
      </w:r>
      <w:r>
        <w:rPr>
          <w:vertAlign w:val="baseline"/>
        </w:rPr>
        <w:t>possession</w:t>
      </w:r>
      <w:r>
        <w:rPr>
          <w:spacing w:val="-15"/>
          <w:vertAlign w:val="baseline"/>
        </w:rPr>
        <w:t> </w:t>
      </w:r>
      <w:r>
        <w:rPr>
          <w:vertAlign w:val="baseline"/>
        </w:rPr>
        <w:t>team’s</w:t>
      </w:r>
      <w:r>
        <w:rPr>
          <w:spacing w:val="-15"/>
          <w:vertAlign w:val="baseline"/>
        </w:rPr>
        <w:t> </w:t>
      </w:r>
      <w:r>
        <w:rPr>
          <w:vertAlign w:val="baseline"/>
        </w:rPr>
        <w:t>try</w:t>
      </w:r>
      <w:r>
        <w:rPr>
          <w:spacing w:val="-15"/>
          <w:vertAlign w:val="baseline"/>
        </w:rPr>
        <w:t> </w:t>
      </w:r>
      <w:r>
        <w:rPr>
          <w:vertAlign w:val="baseline"/>
        </w:rPr>
        <w:t>area,</w:t>
      </w:r>
      <w:r>
        <w:rPr>
          <w:spacing w:val="-14"/>
          <w:vertAlign w:val="baseline"/>
        </w:rPr>
        <w:t> </w:t>
      </w:r>
      <w:r>
        <w:rPr>
          <w:vertAlign w:val="baseline"/>
        </w:rPr>
        <w:t>negative</w:t>
      </w:r>
      <w:r>
        <w:rPr>
          <w:spacing w:val="-15"/>
          <w:vertAlign w:val="baseline"/>
        </w:rPr>
        <w:t> </w:t>
      </w:r>
      <w:r>
        <w:rPr>
          <w:vertAlign w:val="baseline"/>
        </w:rPr>
        <w:t>val- </w:t>
      </w:r>
      <w:r>
        <w:rPr>
          <w:spacing w:val="-2"/>
          <w:vertAlign w:val="baseline"/>
        </w:rPr>
        <w:t>ues</w:t>
      </w:r>
      <w:r>
        <w:rPr>
          <w:spacing w:val="-7"/>
          <w:vertAlign w:val="baseline"/>
        </w:rPr>
        <w:t> </w:t>
      </w:r>
      <w:r>
        <w:rPr>
          <w:spacing w:val="-2"/>
          <w:vertAlign w:val="baseline"/>
        </w:rPr>
        <w:t>indicated</w:t>
      </w:r>
      <w:r>
        <w:rPr>
          <w:spacing w:val="-7"/>
          <w:vertAlign w:val="baseline"/>
        </w:rPr>
        <w:t> </w:t>
      </w:r>
      <w:r>
        <w:rPr>
          <w:spacing w:val="-2"/>
          <w:vertAlign w:val="baseline"/>
        </w:rPr>
        <w:t>greater</w:t>
      </w:r>
      <w:r>
        <w:rPr>
          <w:spacing w:val="-7"/>
          <w:vertAlign w:val="baseline"/>
        </w:rPr>
        <w:t> </w:t>
      </w:r>
      <w:r>
        <w:rPr>
          <w:spacing w:val="-2"/>
          <w:vertAlign w:val="baseline"/>
        </w:rPr>
        <w:t>mass</w:t>
      </w:r>
      <w:r>
        <w:rPr>
          <w:spacing w:val="-6"/>
          <w:vertAlign w:val="baseline"/>
        </w:rPr>
        <w:t> </w:t>
      </w:r>
      <w:r>
        <w:rPr>
          <w:spacing w:val="-2"/>
          <w:vertAlign w:val="baseline"/>
        </w:rPr>
        <w:t>movement</w:t>
      </w:r>
      <w:r>
        <w:rPr>
          <w:spacing w:val="-7"/>
          <w:vertAlign w:val="baseline"/>
        </w:rPr>
        <w:t> </w:t>
      </w:r>
      <w:r>
        <w:rPr>
          <w:spacing w:val="-2"/>
          <w:vertAlign w:val="baseline"/>
        </w:rPr>
        <w:t>towards</w:t>
      </w:r>
      <w:r>
        <w:rPr>
          <w:spacing w:val="-7"/>
          <w:vertAlign w:val="baseline"/>
        </w:rPr>
        <w:t> </w:t>
      </w:r>
      <w:r>
        <w:rPr>
          <w:spacing w:val="-2"/>
          <w:vertAlign w:val="baseline"/>
        </w:rPr>
        <w:t>the</w:t>
      </w:r>
      <w:r>
        <w:rPr>
          <w:spacing w:val="-7"/>
          <w:vertAlign w:val="baseline"/>
        </w:rPr>
        <w:t> </w:t>
      </w:r>
      <w:r>
        <w:rPr>
          <w:spacing w:val="-2"/>
          <w:vertAlign w:val="baseline"/>
        </w:rPr>
        <w:t>possession</w:t>
      </w:r>
      <w:r>
        <w:rPr>
          <w:spacing w:val="-7"/>
          <w:vertAlign w:val="baseline"/>
        </w:rPr>
        <w:t> </w:t>
      </w:r>
      <w:r>
        <w:rPr>
          <w:spacing w:val="-2"/>
          <w:vertAlign w:val="baseline"/>
        </w:rPr>
        <w:t>team’s</w:t>
      </w:r>
      <w:r>
        <w:rPr>
          <w:spacing w:val="-7"/>
          <w:vertAlign w:val="baseline"/>
        </w:rPr>
        <w:t> </w:t>
      </w:r>
      <w:r>
        <w:rPr>
          <w:spacing w:val="-2"/>
          <w:vertAlign w:val="baseline"/>
        </w:rPr>
        <w:t>try</w:t>
      </w:r>
      <w:r>
        <w:rPr>
          <w:spacing w:val="-7"/>
          <w:vertAlign w:val="baseline"/>
        </w:rPr>
        <w:t> </w:t>
      </w:r>
      <w:r>
        <w:rPr>
          <w:spacing w:val="-2"/>
          <w:vertAlign w:val="baseline"/>
        </w:rPr>
        <w:t>area</w:t>
      </w:r>
      <w:r>
        <w:rPr>
          <w:spacing w:val="-6"/>
          <w:vertAlign w:val="baseline"/>
        </w:rPr>
        <w:t> </w:t>
      </w:r>
      <w:r>
        <w:rPr>
          <w:spacing w:val="-2"/>
          <w:vertAlign w:val="baseline"/>
        </w:rPr>
        <w:t>or</w:t>
      </w:r>
      <w:r>
        <w:rPr>
          <w:spacing w:val="-7"/>
          <w:vertAlign w:val="baseline"/>
        </w:rPr>
        <w:t> </w:t>
      </w:r>
      <w:r>
        <w:rPr>
          <w:spacing w:val="-2"/>
          <w:vertAlign w:val="baseline"/>
        </w:rPr>
        <w:t>away</w:t>
      </w:r>
      <w:r>
        <w:rPr>
          <w:spacing w:val="-7"/>
          <w:vertAlign w:val="baseline"/>
        </w:rPr>
        <w:t> </w:t>
      </w:r>
      <w:r>
        <w:rPr>
          <w:spacing w:val="-2"/>
          <w:vertAlign w:val="baseline"/>
        </w:rPr>
        <w:t>from </w:t>
      </w:r>
      <w:r>
        <w:rPr>
          <w:vertAlign w:val="baseline"/>
        </w:rPr>
        <w:t>the</w:t>
      </w:r>
      <w:r>
        <w:rPr>
          <w:spacing w:val="-9"/>
          <w:vertAlign w:val="baseline"/>
        </w:rPr>
        <w:t> </w:t>
      </w:r>
      <w:r>
        <w:rPr>
          <w:vertAlign w:val="baseline"/>
        </w:rPr>
        <w:t>opponent’s</w:t>
      </w:r>
      <w:r>
        <w:rPr>
          <w:spacing w:val="-9"/>
          <w:vertAlign w:val="baseline"/>
        </w:rPr>
        <w:t> </w:t>
      </w:r>
      <w:r>
        <w:rPr>
          <w:vertAlign w:val="baseline"/>
        </w:rPr>
        <w:t>try</w:t>
      </w:r>
      <w:r>
        <w:rPr>
          <w:spacing w:val="-9"/>
          <w:vertAlign w:val="baseline"/>
        </w:rPr>
        <w:t> </w:t>
      </w:r>
      <w:r>
        <w:rPr>
          <w:vertAlign w:val="baseline"/>
        </w:rPr>
        <w:t>area. Quadrant</w:t>
      </w:r>
      <w:r>
        <w:rPr>
          <w:spacing w:val="-9"/>
          <w:vertAlign w:val="baseline"/>
        </w:rPr>
        <w:t> </w:t>
      </w:r>
      <w:r>
        <w:rPr>
          <w:vertAlign w:val="baseline"/>
        </w:rPr>
        <w:t>plots</w:t>
      </w:r>
      <w:r>
        <w:rPr>
          <w:spacing w:val="-9"/>
          <w:vertAlign w:val="baseline"/>
        </w:rPr>
        <w:t> </w:t>
      </w:r>
      <w:r>
        <w:rPr>
          <w:vertAlign w:val="baseline"/>
        </w:rPr>
        <w:t>were</w:t>
      </w:r>
      <w:r>
        <w:rPr>
          <w:spacing w:val="-9"/>
          <w:vertAlign w:val="baseline"/>
        </w:rPr>
        <w:t> </w:t>
      </w:r>
      <w:r>
        <w:rPr>
          <w:vertAlign w:val="baseline"/>
        </w:rPr>
        <w:t>used</w:t>
      </w:r>
      <w:r>
        <w:rPr>
          <w:spacing w:val="-9"/>
          <w:vertAlign w:val="baseline"/>
        </w:rPr>
        <w:t> </w:t>
      </w:r>
      <w:r>
        <w:rPr>
          <w:vertAlign w:val="baseline"/>
        </w:rPr>
        <w:t>to</w:t>
      </w:r>
      <w:r>
        <w:rPr>
          <w:spacing w:val="-9"/>
          <w:vertAlign w:val="baseline"/>
        </w:rPr>
        <w:t> </w:t>
      </w:r>
      <w:r>
        <w:rPr>
          <w:vertAlign w:val="baseline"/>
        </w:rPr>
        <w:t>compare</w:t>
      </w:r>
      <w:r>
        <w:rPr>
          <w:spacing w:val="-9"/>
          <w:vertAlign w:val="baseline"/>
        </w:rPr>
        <w:t> </w:t>
      </w:r>
      <w:r>
        <w:rPr>
          <w:vertAlign w:val="baseline"/>
        </w:rPr>
        <w:t>the</w:t>
      </w:r>
      <w:r>
        <w:rPr>
          <w:spacing w:val="-9"/>
          <w:vertAlign w:val="baseline"/>
        </w:rPr>
        <w:t> </w:t>
      </w:r>
      <w:r>
        <w:rPr>
          <w:vertAlign w:val="baseline"/>
        </w:rPr>
        <w:t>directional</w:t>
      </w:r>
      <w:r>
        <w:rPr>
          <w:spacing w:val="-9"/>
          <w:vertAlign w:val="baseline"/>
        </w:rPr>
        <w:t> </w:t>
      </w:r>
      <w:r>
        <w:rPr>
          <w:vertAlign w:val="baseline"/>
        </w:rPr>
        <w:t>Wasserstein distances to the </w:t>
      </w:r>
      <w:r>
        <w:rPr>
          <w:rFonts w:ascii="Cambria" w:hAnsi="Cambria"/>
          <w:vertAlign w:val="baseline"/>
        </w:rPr>
        <w:t>W</w:t>
      </w:r>
      <w:r>
        <w:rPr>
          <w:rFonts w:ascii="Georgia" w:hAnsi="Georgia"/>
          <w:vertAlign w:val="subscript"/>
        </w:rPr>
        <w:t>3</w:t>
      </w:r>
      <w:r>
        <w:rPr>
          <w:rFonts w:ascii="Georgia" w:hAnsi="Georgia"/>
          <w:vertAlign w:val="baseline"/>
        </w:rPr>
        <w:t> </w:t>
      </w:r>
      <w:r>
        <w:rPr>
          <w:vertAlign w:val="baseline"/>
        </w:rPr>
        <w:t>distance.</w:t>
      </w:r>
    </w:p>
    <w:p>
      <w:pPr>
        <w:pStyle w:val="BodyText"/>
        <w:spacing w:line="312" w:lineRule="auto"/>
        <w:ind w:left="610" w:right="389" w:firstLine="351"/>
      </w:pPr>
      <w:r>
        <w:rPr/>
        <w:t>After comparing the normalised axis Wasserstein distance (Equation</w:t>
      </w:r>
      <w:hyperlink w:history="true" w:anchor="_bookmark140">
        <w:r>
          <w:rPr>
            <w:color w:val="0000FF"/>
          </w:rPr>
          <w:t>5.5</w:t>
        </w:r>
        <w:r>
          <w:rPr/>
          <w:t>)</w:t>
        </w:r>
      </w:hyperlink>
      <w:r>
        <w:rPr/>
        <w:t> and the di- rectional Wasserstein distance (Equations</w:t>
      </w:r>
      <w:hyperlink w:history="true" w:anchor="_bookmark143">
        <w:r>
          <w:rPr>
            <w:color w:val="0000FF"/>
          </w:rPr>
          <w:t>5.6</w:t>
        </w:r>
      </w:hyperlink>
      <w:r>
        <w:rPr/>
        <w:t>to</w:t>
      </w:r>
      <w:r>
        <w:rPr>
          <w:color w:val="0000FF"/>
        </w:rPr>
        <w:t>5.9</w:t>
      </w:r>
      <w:hyperlink w:history="true" w:anchor="_bookmark146">
        <w:r>
          <w:rPr/>
          <w:t>),</w:t>
        </w:r>
      </w:hyperlink>
      <w:r>
        <w:rPr>
          <w:spacing w:val="40"/>
        </w:rPr>
        <w:t> </w:t>
      </w:r>
      <w:r>
        <w:rPr/>
        <w:t>with respect to the insights they provide regarding differences in the spatial trends of team attacking performances at a</w:t>
      </w:r>
      <w:r>
        <w:rPr>
          <w:spacing w:val="40"/>
        </w:rPr>
        <w:t> </w:t>
      </w:r>
      <w:r>
        <w:rPr/>
        <w:t>between team level, a within team analysis was performed for two clubs.</w:t>
      </w:r>
      <w:r>
        <w:rPr>
          <w:spacing w:val="40"/>
        </w:rPr>
        <w:t> </w:t>
      </w:r>
      <w:r>
        <w:rPr/>
        <w:t>This </w:t>
      </w:r>
      <w:r>
        <w:rPr/>
        <w:t>analysis used the directional Wasserstein distances described above to show how a performance analyst may use quadrant plots to evaluate the spatial trends of attacking performances for</w:t>
      </w:r>
      <w:r>
        <w:rPr>
          <w:spacing w:val="-11"/>
        </w:rPr>
        <w:t> </w:t>
      </w:r>
      <w:r>
        <w:rPr/>
        <w:t>a</w:t>
      </w:r>
      <w:r>
        <w:rPr>
          <w:spacing w:val="-11"/>
        </w:rPr>
        <w:t> </w:t>
      </w:r>
      <w:r>
        <w:rPr/>
        <w:t>given</w:t>
      </w:r>
      <w:r>
        <w:rPr>
          <w:spacing w:val="-11"/>
        </w:rPr>
        <w:t> </w:t>
      </w:r>
      <w:r>
        <w:rPr/>
        <w:t>team</w:t>
      </w:r>
      <w:r>
        <w:rPr>
          <w:spacing w:val="-11"/>
        </w:rPr>
        <w:t> </w:t>
      </w:r>
      <w:r>
        <w:rPr/>
        <w:t>when</w:t>
      </w:r>
      <w:r>
        <w:rPr>
          <w:spacing w:val="-11"/>
        </w:rPr>
        <w:t> </w:t>
      </w:r>
      <w:r>
        <w:rPr/>
        <w:t>facing</w:t>
      </w:r>
      <w:r>
        <w:rPr>
          <w:spacing w:val="-11"/>
        </w:rPr>
        <w:t> </w:t>
      </w:r>
      <w:r>
        <w:rPr/>
        <w:t>different</w:t>
      </w:r>
      <w:r>
        <w:rPr>
          <w:spacing w:val="-11"/>
        </w:rPr>
        <w:t> </w:t>
      </w:r>
      <w:r>
        <w:rPr/>
        <w:t>opponents. Further,</w:t>
      </w:r>
      <w:r>
        <w:rPr>
          <w:spacing w:val="-10"/>
        </w:rPr>
        <w:t> </w:t>
      </w:r>
      <w:r>
        <w:rPr/>
        <w:t>it</w:t>
      </w:r>
      <w:r>
        <w:rPr>
          <w:spacing w:val="-11"/>
        </w:rPr>
        <w:t> </w:t>
      </w:r>
      <w:r>
        <w:rPr/>
        <w:t>investigated</w:t>
      </w:r>
      <w:r>
        <w:rPr>
          <w:spacing w:val="-11"/>
        </w:rPr>
        <w:t> </w:t>
      </w:r>
      <w:r>
        <w:rPr/>
        <w:t>the</w:t>
      </w:r>
      <w:r>
        <w:rPr>
          <w:spacing w:val="-11"/>
        </w:rPr>
        <w:t> </w:t>
      </w:r>
      <w:r>
        <w:rPr/>
        <w:t>relationship between these differences and the points scored in matches against different opponents.</w:t>
      </w:r>
    </w:p>
    <w:p>
      <w:pPr>
        <w:pStyle w:val="BodyText"/>
        <w:spacing w:before="1"/>
        <w:rPr>
          <w:sz w:val="40"/>
        </w:rPr>
      </w:pPr>
    </w:p>
    <w:p>
      <w:pPr>
        <w:pStyle w:val="Heading2"/>
        <w:numPr>
          <w:ilvl w:val="1"/>
          <w:numId w:val="23"/>
        </w:numPr>
        <w:tabs>
          <w:tab w:pos="1385" w:val="left" w:leader="none"/>
          <w:tab w:pos="1386" w:val="left" w:leader="none"/>
        </w:tabs>
        <w:spacing w:line="240" w:lineRule="auto" w:before="0" w:after="0"/>
        <w:ind w:left="1385" w:right="0" w:hanging="776"/>
        <w:jc w:val="left"/>
      </w:pPr>
      <w:bookmarkStart w:name="_TOC_250021" w:id="253"/>
      <w:bookmarkStart w:name="5.3 Results" w:id="254"/>
      <w:r>
        <w:rPr>
          <w:b w:val="0"/>
        </w:rPr>
      </w:r>
      <w:bookmarkStart w:name="_bookmark147" w:id="255"/>
      <w:bookmarkEnd w:id="253"/>
      <w:r>
        <w:rPr>
          <w:spacing w:val="-2"/>
        </w:rPr>
        <w:t>Results</w:t>
      </w:r>
    </w:p>
    <w:p>
      <w:pPr>
        <w:pStyle w:val="BodyText"/>
        <w:spacing w:line="312" w:lineRule="auto" w:before="309"/>
        <w:ind w:left="610" w:right="389"/>
        <w:jc w:val="both"/>
      </w:pPr>
      <w:r>
        <w:rPr/>
        <w:t>The</w:t>
      </w:r>
      <w:r>
        <w:rPr>
          <w:spacing w:val="-8"/>
        </w:rPr>
        <w:t> </w:t>
      </w:r>
      <w:r>
        <w:rPr/>
        <w:t>aim</w:t>
      </w:r>
      <w:r>
        <w:rPr>
          <w:spacing w:val="-8"/>
        </w:rPr>
        <w:t> </w:t>
      </w:r>
      <w:r>
        <w:rPr/>
        <w:t>of</w:t>
      </w:r>
      <w:r>
        <w:rPr>
          <w:spacing w:val="-8"/>
        </w:rPr>
        <w:t> </w:t>
      </w:r>
      <w:r>
        <w:rPr/>
        <w:t>this</w:t>
      </w:r>
      <w:r>
        <w:rPr>
          <w:spacing w:val="-8"/>
        </w:rPr>
        <w:t> </w:t>
      </w:r>
      <w:r>
        <w:rPr/>
        <w:t>study</w:t>
      </w:r>
      <w:r>
        <w:rPr>
          <w:spacing w:val="-8"/>
        </w:rPr>
        <w:t> </w:t>
      </w:r>
      <w:r>
        <w:rPr/>
        <w:t>was</w:t>
      </w:r>
      <w:r>
        <w:rPr>
          <w:spacing w:val="-8"/>
        </w:rPr>
        <w:t> </w:t>
      </w:r>
      <w:r>
        <w:rPr/>
        <w:t>to</w:t>
      </w:r>
      <w:r>
        <w:rPr>
          <w:spacing w:val="-8"/>
        </w:rPr>
        <w:t> </w:t>
      </w:r>
      <w:r>
        <w:rPr/>
        <w:t>adapt,</w:t>
      </w:r>
      <w:r>
        <w:rPr>
          <w:spacing w:val="-7"/>
        </w:rPr>
        <w:t> </w:t>
      </w:r>
      <w:r>
        <w:rPr/>
        <w:t>validate</w:t>
      </w:r>
      <w:r>
        <w:rPr>
          <w:spacing w:val="-8"/>
        </w:rPr>
        <w:t> </w:t>
      </w:r>
      <w:r>
        <w:rPr/>
        <w:t>and</w:t>
      </w:r>
      <w:r>
        <w:rPr>
          <w:spacing w:val="-8"/>
        </w:rPr>
        <w:t> </w:t>
      </w:r>
      <w:r>
        <w:rPr/>
        <w:t>extend</w:t>
      </w:r>
      <w:r>
        <w:rPr>
          <w:spacing w:val="-8"/>
        </w:rPr>
        <w:t> </w:t>
      </w:r>
      <w:r>
        <w:rPr/>
        <w:t>previous</w:t>
      </w:r>
      <w:r>
        <w:rPr>
          <w:spacing w:val="-8"/>
        </w:rPr>
        <w:t> </w:t>
      </w:r>
      <w:r>
        <w:rPr/>
        <w:t>work</w:t>
      </w:r>
      <w:r>
        <w:rPr>
          <w:spacing w:val="-8"/>
        </w:rPr>
        <w:t> </w:t>
      </w:r>
      <w:r>
        <w:rPr/>
        <w:t>by</w:t>
      </w:r>
      <w:hyperlink w:history="true" w:anchor="_bookmark271">
        <w:r>
          <w:rPr>
            <w:color w:val="FF0000"/>
          </w:rPr>
          <w:t>Mallepalle</w:t>
        </w:r>
        <w:r>
          <w:rPr>
            <w:color w:val="FF0000"/>
            <w:spacing w:val="-8"/>
          </w:rPr>
          <w:t> </w:t>
        </w:r>
        <w:r>
          <w:rPr>
            <w:color w:val="FF0000"/>
          </w:rPr>
          <w:t>et</w:t>
        </w:r>
        <w:r>
          <w:rPr>
            <w:color w:val="FF0000"/>
            <w:spacing w:val="-8"/>
          </w:rPr>
          <w:t> </w:t>
        </w:r>
        <w:r>
          <w:rPr>
            <w:color w:val="FF0000"/>
          </w:rPr>
          <w:t>al.</w:t>
        </w:r>
      </w:hyperlink>
      <w:r>
        <w:rPr>
          <w:color w:val="FF0000"/>
        </w:rPr>
        <w:t> </w:t>
      </w:r>
      <w:r>
        <w:rPr/>
        <w:t>(</w:t>
      </w:r>
      <w:hyperlink w:history="true" w:anchor="_bookmark271">
        <w:r>
          <w:rPr>
            <w:color w:val="FF0000"/>
          </w:rPr>
          <w:t>2020</w:t>
        </w:r>
      </w:hyperlink>
      <w:r>
        <w:rPr/>
        <w:t>)</w:t>
      </w:r>
      <w:r>
        <w:rPr>
          <w:spacing w:val="5"/>
        </w:rPr>
        <w:t> </w:t>
      </w:r>
      <w:r>
        <w:rPr/>
        <w:t>by</w:t>
      </w:r>
      <w:r>
        <w:rPr>
          <w:spacing w:val="5"/>
        </w:rPr>
        <w:t> </w:t>
      </w:r>
      <w:r>
        <w:rPr/>
        <w:t>evaluating</w:t>
      </w:r>
      <w:r>
        <w:rPr>
          <w:spacing w:val="5"/>
        </w:rPr>
        <w:t> </w:t>
      </w:r>
      <w:r>
        <w:rPr/>
        <w:t>the</w:t>
      </w:r>
      <w:r>
        <w:rPr>
          <w:spacing w:val="5"/>
        </w:rPr>
        <w:t> </w:t>
      </w:r>
      <w:r>
        <w:rPr/>
        <w:t>spatial</w:t>
      </w:r>
      <w:r>
        <w:rPr>
          <w:spacing w:val="5"/>
        </w:rPr>
        <w:t> </w:t>
      </w:r>
      <w:r>
        <w:rPr/>
        <w:t>trends</w:t>
      </w:r>
      <w:r>
        <w:rPr>
          <w:spacing w:val="5"/>
        </w:rPr>
        <w:t> </w:t>
      </w:r>
      <w:r>
        <w:rPr/>
        <w:t>of</w:t>
      </w:r>
      <w:r>
        <w:rPr>
          <w:spacing w:val="5"/>
        </w:rPr>
        <w:t> </w:t>
      </w:r>
      <w:r>
        <w:rPr/>
        <w:t>team</w:t>
      </w:r>
      <w:r>
        <w:rPr>
          <w:spacing w:val="5"/>
        </w:rPr>
        <w:t> </w:t>
      </w:r>
      <w:r>
        <w:rPr/>
        <w:t>attacking</w:t>
      </w:r>
      <w:r>
        <w:rPr>
          <w:spacing w:val="5"/>
        </w:rPr>
        <w:t> </w:t>
      </w:r>
      <w:r>
        <w:rPr/>
        <w:t>performances</w:t>
      </w:r>
      <w:r>
        <w:rPr>
          <w:spacing w:val="5"/>
        </w:rPr>
        <w:t> </w:t>
      </w:r>
      <w:r>
        <w:rPr/>
        <w:t>in</w:t>
      </w:r>
      <w:r>
        <w:rPr>
          <w:spacing w:val="6"/>
        </w:rPr>
        <w:t> </w:t>
      </w:r>
      <w:r>
        <w:rPr/>
        <w:t>rugby</w:t>
      </w:r>
      <w:r>
        <w:rPr>
          <w:spacing w:val="5"/>
        </w:rPr>
        <w:t> </w:t>
      </w:r>
      <w:r>
        <w:rPr>
          <w:spacing w:val="-2"/>
        </w:rPr>
        <w:t>league,</w:t>
      </w:r>
    </w:p>
    <w:p>
      <w:pPr>
        <w:spacing w:after="0" w:line="312" w:lineRule="auto"/>
        <w:jc w:val="both"/>
        <w:sectPr>
          <w:headerReference w:type="default" r:id="rId105"/>
          <w:footerReference w:type="default" r:id="rId106"/>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both between and within teams.</w:t>
      </w:r>
      <w:r>
        <w:rPr>
          <w:spacing w:val="40"/>
        </w:rPr>
        <w:t> </w:t>
      </w:r>
      <w:r>
        <w:rPr/>
        <w:t>To achieve this aim, 138 xml files provided by </w:t>
      </w:r>
      <w:r>
        <w:rPr/>
        <w:t>Opta were</w:t>
      </w:r>
      <w:r>
        <w:rPr>
          <w:spacing w:val="-2"/>
        </w:rPr>
        <w:t> </w:t>
      </w:r>
      <w:r>
        <w:rPr/>
        <w:t>preprocessed</w:t>
      </w:r>
      <w:r>
        <w:rPr>
          <w:spacing w:val="-2"/>
        </w:rPr>
        <w:t> </w:t>
      </w:r>
      <w:r>
        <w:rPr/>
        <w:t>into</w:t>
      </w:r>
      <w:r>
        <w:rPr>
          <w:spacing w:val="-2"/>
        </w:rPr>
        <w:t> </w:t>
      </w:r>
      <w:r>
        <w:rPr/>
        <w:t>a</w:t>
      </w:r>
      <w:r>
        <w:rPr>
          <w:spacing w:val="-2"/>
        </w:rPr>
        <w:t> </w:t>
      </w:r>
      <w:r>
        <w:rPr/>
        <w:t>single</w:t>
      </w:r>
      <w:r>
        <w:rPr>
          <w:spacing w:val="-2"/>
        </w:rPr>
        <w:t> </w:t>
      </w:r>
      <w:r>
        <w:rPr/>
        <w:t>file</w:t>
      </w:r>
      <w:r>
        <w:rPr>
          <w:spacing w:val="-2"/>
        </w:rPr>
        <w:t> </w:t>
      </w:r>
      <w:r>
        <w:rPr/>
        <w:t>of</w:t>
      </w:r>
      <w:r>
        <w:rPr>
          <w:spacing w:val="-2"/>
        </w:rPr>
        <w:t> </w:t>
      </w:r>
      <w:r>
        <w:rPr/>
        <w:t>99,966</w:t>
      </w:r>
      <w:r>
        <w:rPr>
          <w:spacing w:val="-2"/>
        </w:rPr>
        <w:t> </w:t>
      </w:r>
      <w:r>
        <w:rPr/>
        <w:t>rows</w:t>
      </w:r>
      <w:r>
        <w:rPr>
          <w:spacing w:val="-2"/>
        </w:rPr>
        <w:t> </w:t>
      </w:r>
      <w:r>
        <w:rPr/>
        <w:t>and</w:t>
      </w:r>
      <w:r>
        <w:rPr>
          <w:spacing w:val="-2"/>
        </w:rPr>
        <w:t> </w:t>
      </w:r>
      <w:r>
        <w:rPr/>
        <w:t>4</w:t>
      </w:r>
      <w:r>
        <w:rPr>
          <w:spacing w:val="-2"/>
        </w:rPr>
        <w:t> </w:t>
      </w:r>
      <w:r>
        <w:rPr/>
        <w:t>columns</w:t>
      </w:r>
      <w:r>
        <w:rPr>
          <w:spacing w:val="-2"/>
        </w:rPr>
        <w:t> </w:t>
      </w:r>
      <w:r>
        <w:rPr/>
        <w:t>(Table</w:t>
      </w:r>
      <w:hyperlink w:history="true" w:anchor="_bookmark131">
        <w:r>
          <w:rPr>
            <w:color w:val="0000FF"/>
          </w:rPr>
          <w:t>5.3</w:t>
        </w:r>
      </w:hyperlink>
      <w:r>
        <w:rPr/>
        <w:t>). From</w:t>
      </w:r>
      <w:r>
        <w:rPr>
          <w:spacing w:val="-2"/>
        </w:rPr>
        <w:t> </w:t>
      </w:r>
      <w:r>
        <w:rPr/>
        <w:t>this data, 145 KDEs were produced using the whole league data (1), a subset of each team’s overall data (12) and a subset of each team-opponent’s data (132), using the same 4.10 empirically</w:t>
      </w:r>
      <w:r>
        <w:rPr>
          <w:spacing w:val="-2"/>
        </w:rPr>
        <w:t> </w:t>
      </w:r>
      <w:r>
        <w:rPr/>
        <w:t>calculated</w:t>
      </w:r>
      <w:r>
        <w:rPr>
          <w:spacing w:val="-2"/>
        </w:rPr>
        <w:t> </w:t>
      </w:r>
      <w:r>
        <w:rPr/>
        <w:t>bandwidth.</w:t>
      </w:r>
      <w:r>
        <w:rPr>
          <w:spacing w:val="21"/>
        </w:rPr>
        <w:t> </w:t>
      </w:r>
      <w:r>
        <w:rPr/>
        <w:t>Next,</w:t>
      </w:r>
      <w:r>
        <w:rPr>
          <w:spacing w:val="-1"/>
        </w:rPr>
        <w:t> </w:t>
      </w:r>
      <w:r>
        <w:rPr/>
        <w:t>the</w:t>
      </w:r>
      <w:r>
        <w:rPr>
          <w:spacing w:val="-2"/>
        </w:rPr>
        <w:t> </w:t>
      </w:r>
      <w:r>
        <w:rPr/>
        <w:t>differences</w:t>
      </w:r>
      <w:r>
        <w:rPr>
          <w:spacing w:val="-2"/>
        </w:rPr>
        <w:t> </w:t>
      </w:r>
      <w:r>
        <w:rPr/>
        <w:t>in</w:t>
      </w:r>
      <w:r>
        <w:rPr>
          <w:spacing w:val="-2"/>
        </w:rPr>
        <w:t> </w:t>
      </w:r>
      <w:r>
        <w:rPr/>
        <w:t>these</w:t>
      </w:r>
      <w:r>
        <w:rPr>
          <w:spacing w:val="-2"/>
        </w:rPr>
        <w:t> </w:t>
      </w:r>
      <w:r>
        <w:rPr/>
        <w:t>KDE</w:t>
      </w:r>
      <w:r>
        <w:rPr>
          <w:spacing w:val="-2"/>
        </w:rPr>
        <w:t> </w:t>
      </w:r>
      <w:r>
        <w:rPr/>
        <w:t>distributions</w:t>
      </w:r>
      <w:r>
        <w:rPr>
          <w:spacing w:val="-2"/>
        </w:rPr>
        <w:t> </w:t>
      </w:r>
      <w:r>
        <w:rPr/>
        <w:t>were evaluated between and within teams using two novel Wasserstein distance metrics.</w:t>
      </w:r>
      <w:r>
        <w:rPr>
          <w:spacing w:val="29"/>
        </w:rPr>
        <w:t> </w:t>
      </w:r>
      <w:r>
        <w:rPr/>
        <w:t>At a between</w:t>
      </w:r>
      <w:r>
        <w:rPr>
          <w:spacing w:val="-7"/>
        </w:rPr>
        <w:t> </w:t>
      </w:r>
      <w:r>
        <w:rPr/>
        <w:t>team</w:t>
      </w:r>
      <w:r>
        <w:rPr>
          <w:spacing w:val="-7"/>
        </w:rPr>
        <w:t> </w:t>
      </w:r>
      <w:r>
        <w:rPr/>
        <w:t>level,</w:t>
      </w:r>
      <w:r>
        <w:rPr>
          <w:spacing w:val="-7"/>
        </w:rPr>
        <w:t> </w:t>
      </w:r>
      <w:r>
        <w:rPr/>
        <w:t>the</w:t>
      </w:r>
      <w:r>
        <w:rPr>
          <w:spacing w:val="-7"/>
        </w:rPr>
        <w:t> </w:t>
      </w:r>
      <w:r>
        <w:rPr/>
        <w:t>ability</w:t>
      </w:r>
      <w:r>
        <w:rPr>
          <w:spacing w:val="-7"/>
        </w:rPr>
        <w:t> </w:t>
      </w:r>
      <w:r>
        <w:rPr/>
        <w:t>to</w:t>
      </w:r>
      <w:r>
        <w:rPr>
          <w:spacing w:val="-7"/>
        </w:rPr>
        <w:t> </w:t>
      </w:r>
      <w:r>
        <w:rPr/>
        <w:t>generate</w:t>
      </w:r>
      <w:r>
        <w:rPr>
          <w:spacing w:val="-7"/>
        </w:rPr>
        <w:t> </w:t>
      </w:r>
      <w:r>
        <w:rPr/>
        <w:t>insights</w:t>
      </w:r>
      <w:r>
        <w:rPr>
          <w:spacing w:val="-7"/>
        </w:rPr>
        <w:t> </w:t>
      </w:r>
      <w:r>
        <w:rPr/>
        <w:t>regarding</w:t>
      </w:r>
      <w:r>
        <w:rPr>
          <w:spacing w:val="-7"/>
        </w:rPr>
        <w:t> </w:t>
      </w:r>
      <w:r>
        <w:rPr/>
        <w:t>the</w:t>
      </w:r>
      <w:r>
        <w:rPr>
          <w:spacing w:val="-7"/>
        </w:rPr>
        <w:t> </w:t>
      </w:r>
      <w:r>
        <w:rPr/>
        <w:t>axis</w:t>
      </w:r>
      <w:r>
        <w:rPr>
          <w:spacing w:val="-7"/>
        </w:rPr>
        <w:t> </w:t>
      </w:r>
      <w:r>
        <w:rPr/>
        <w:t>(via</w:t>
      </w:r>
      <w:r>
        <w:rPr>
          <w:spacing w:val="-7"/>
        </w:rPr>
        <w:t> </w:t>
      </w:r>
      <w:r>
        <w:rPr/>
        <w:t>the</w:t>
      </w:r>
      <w:r>
        <w:rPr>
          <w:spacing w:val="-7"/>
        </w:rPr>
        <w:t> </w:t>
      </w:r>
      <w:r>
        <w:rPr/>
        <w:t>normalised axis Wasserstein distance) and directional (via the directional Wasserstein distance) dif- ferences in spatial trends of team attacking performances was discussed.</w:t>
      </w:r>
      <w:r>
        <w:rPr>
          <w:spacing w:val="40"/>
        </w:rPr>
        <w:t> </w:t>
      </w:r>
      <w:r>
        <w:rPr/>
        <w:t>At the within team level, quadrant plots were used to show how a performance analyst could use the directional</w:t>
      </w:r>
      <w:r>
        <w:rPr>
          <w:spacing w:val="-9"/>
        </w:rPr>
        <w:t> </w:t>
      </w:r>
      <w:r>
        <w:rPr/>
        <w:t>Wasserstein</w:t>
      </w:r>
      <w:r>
        <w:rPr>
          <w:spacing w:val="-9"/>
        </w:rPr>
        <w:t> </w:t>
      </w:r>
      <w:r>
        <w:rPr/>
        <w:t>distance</w:t>
      </w:r>
      <w:r>
        <w:rPr>
          <w:spacing w:val="-9"/>
        </w:rPr>
        <w:t> </w:t>
      </w:r>
      <w:r>
        <w:rPr/>
        <w:t>to</w:t>
      </w:r>
      <w:r>
        <w:rPr>
          <w:spacing w:val="-9"/>
        </w:rPr>
        <w:t> </w:t>
      </w:r>
      <w:r>
        <w:rPr/>
        <w:t>gain</w:t>
      </w:r>
      <w:r>
        <w:rPr>
          <w:spacing w:val="-9"/>
        </w:rPr>
        <w:t> </w:t>
      </w:r>
      <w:r>
        <w:rPr/>
        <w:t>insights</w:t>
      </w:r>
      <w:r>
        <w:rPr>
          <w:spacing w:val="-9"/>
        </w:rPr>
        <w:t> </w:t>
      </w:r>
      <w:r>
        <w:rPr/>
        <w:t>into</w:t>
      </w:r>
      <w:r>
        <w:rPr>
          <w:spacing w:val="-9"/>
        </w:rPr>
        <w:t> </w:t>
      </w:r>
      <w:r>
        <w:rPr/>
        <w:t>the</w:t>
      </w:r>
      <w:r>
        <w:rPr>
          <w:spacing w:val="-9"/>
        </w:rPr>
        <w:t> </w:t>
      </w:r>
      <w:r>
        <w:rPr/>
        <w:t>directional</w:t>
      </w:r>
      <w:r>
        <w:rPr>
          <w:spacing w:val="-9"/>
        </w:rPr>
        <w:t> </w:t>
      </w:r>
      <w:r>
        <w:rPr/>
        <w:t>differences</w:t>
      </w:r>
      <w:r>
        <w:rPr>
          <w:spacing w:val="-9"/>
        </w:rPr>
        <w:t> </w:t>
      </w:r>
      <w:r>
        <w:rPr/>
        <w:t>of</w:t>
      </w:r>
      <w:r>
        <w:rPr>
          <w:spacing w:val="-9"/>
        </w:rPr>
        <w:t> </w:t>
      </w:r>
      <w:r>
        <w:rPr/>
        <w:t>spatial trends of attacking performances for a single team against different opponents.</w:t>
      </w:r>
    </w:p>
    <w:p>
      <w:pPr>
        <w:pStyle w:val="BodyText"/>
        <w:spacing w:before="5"/>
        <w:rPr>
          <w:sz w:val="34"/>
        </w:rPr>
      </w:pPr>
    </w:p>
    <w:p>
      <w:pPr>
        <w:pStyle w:val="Heading3"/>
        <w:numPr>
          <w:ilvl w:val="2"/>
          <w:numId w:val="23"/>
        </w:numPr>
        <w:tabs>
          <w:tab w:pos="1471" w:val="left" w:leader="none"/>
          <w:tab w:pos="1472" w:val="left" w:leader="none"/>
        </w:tabs>
        <w:spacing w:line="331" w:lineRule="auto" w:before="0" w:after="0"/>
        <w:ind w:left="1471" w:right="389" w:hanging="861"/>
        <w:jc w:val="left"/>
      </w:pPr>
      <w:bookmarkStart w:name="_TOC_250020" w:id="256"/>
      <w:bookmarkStart w:name="5.3.1 Quantification of the Spatial Tren" w:id="257"/>
      <w:r>
        <w:rPr>
          <w:b w:val="0"/>
        </w:rPr>
      </w:r>
      <w:bookmarkStart w:name="_bookmark148" w:id="258"/>
      <w:bookmarkEnd w:id="258"/>
      <w:r>
        <w:rPr/>
        <w:t>Quantification</w:t>
      </w:r>
      <w:r>
        <w:rPr/>
        <w:t> of the Spatial Trends of Team Attacking </w:t>
      </w:r>
      <w:r>
        <w:rPr/>
        <w:t>Perfor</w:t>
      </w:r>
      <w:r>
        <w:rPr/>
        <w:t>-</w:t>
      </w:r>
      <w:r>
        <w:rPr/>
        <w:t> </w:t>
      </w:r>
      <w:bookmarkEnd w:id="256"/>
      <w:r>
        <w:rPr>
          <w:spacing w:val="-2"/>
        </w:rPr>
        <w:t>mances</w:t>
      </w:r>
    </w:p>
    <w:p>
      <w:pPr>
        <w:pStyle w:val="BodyText"/>
        <w:spacing w:line="309" w:lineRule="auto" w:before="114"/>
        <w:ind w:left="610" w:right="389"/>
      </w:pPr>
      <w:r>
        <w:rPr/>
        <w:t>To quantify the spatial trends of team attacking performances in this study KDEs </w:t>
      </w:r>
      <w:r>
        <w:rPr/>
        <w:t>were used, adapting previous work in American football (</w:t>
      </w:r>
      <w:hyperlink w:history="true" w:anchor="_bookmark271">
        <w:r>
          <w:rPr>
            <w:color w:val="FF0000"/>
          </w:rPr>
          <w:t>Mallepalle et al.</w:t>
        </w:r>
      </w:hyperlink>
      <w:r>
        <w:rPr/>
        <w:t>,</w:t>
      </w:r>
      <w:hyperlink w:history="true" w:anchor="_bookmark271">
        <w:r>
          <w:rPr>
            <w:color w:val="FF0000"/>
          </w:rPr>
          <w:t>2020</w:t>
        </w:r>
      </w:hyperlink>
      <w:r>
        <w:rPr/>
        <w:t>). KDEs were produced at the whole league, team overall and team-opponent levels.</w:t>
      </w:r>
      <w:r>
        <w:rPr>
          <w:spacing w:val="40"/>
        </w:rPr>
        <w:t> </w:t>
      </w:r>
      <w:r>
        <w:rPr/>
        <w:t>All KDEs were produced</w:t>
      </w:r>
      <w:r>
        <w:rPr>
          <w:spacing w:val="31"/>
        </w:rPr>
        <w:t> </w:t>
      </w:r>
      <w:r>
        <w:rPr/>
        <w:t>using</w:t>
      </w:r>
      <w:r>
        <w:rPr>
          <w:spacing w:val="31"/>
        </w:rPr>
        <w:t> </w:t>
      </w:r>
      <w:r>
        <w:rPr/>
        <w:t>the</w:t>
      </w:r>
      <w:r>
        <w:rPr>
          <w:spacing w:val="31"/>
        </w:rPr>
        <w:t> </w:t>
      </w:r>
      <w:r>
        <w:rPr/>
        <w:t>empirically</w:t>
      </w:r>
      <w:r>
        <w:rPr>
          <w:spacing w:val="31"/>
        </w:rPr>
        <w:t> </w:t>
      </w:r>
      <w:r>
        <w:rPr/>
        <w:t>calculated</w:t>
      </w:r>
      <w:r>
        <w:rPr>
          <w:spacing w:val="31"/>
        </w:rPr>
        <w:t> </w:t>
      </w:r>
      <w:r>
        <w:rPr/>
        <w:t>bandwidth</w:t>
      </w:r>
      <w:r>
        <w:rPr>
          <w:spacing w:val="31"/>
        </w:rPr>
        <w:t> </w:t>
      </w:r>
      <w:r>
        <w:rPr/>
        <w:t>4.10</w:t>
      </w:r>
      <w:r>
        <w:rPr>
          <w:spacing w:val="31"/>
        </w:rPr>
        <w:t> </w:t>
      </w:r>
      <w:r>
        <w:rPr/>
        <w:t>in</w:t>
      </w:r>
      <w:r>
        <w:rPr>
          <w:spacing w:val="31"/>
        </w:rPr>
        <w:t> </w:t>
      </w:r>
      <w:r>
        <w:rPr/>
        <w:t>the</w:t>
      </w:r>
      <w:r>
        <w:rPr>
          <w:spacing w:val="31"/>
        </w:rPr>
        <w:t> </w:t>
      </w:r>
      <w:r>
        <w:rPr>
          <w:rFonts w:ascii="Cambria" w:hAnsi="Cambria"/>
        </w:rPr>
        <w:t>x</w:t>
      </w:r>
      <w:r>
        <w:rPr>
          <w:rFonts w:ascii="Cambria" w:hAnsi="Cambria"/>
          <w:spacing w:val="38"/>
        </w:rPr>
        <w:t> </w:t>
      </w:r>
      <w:r>
        <w:rPr/>
        <w:t>and</w:t>
      </w:r>
      <w:r>
        <w:rPr>
          <w:spacing w:val="31"/>
        </w:rPr>
        <w:t> </w:t>
      </w:r>
      <w:r>
        <w:rPr>
          <w:rFonts w:ascii="Cambria" w:hAnsi="Cambria"/>
        </w:rPr>
        <w:t>y</w:t>
      </w:r>
      <w:r>
        <w:rPr>
          <w:rFonts w:ascii="Cambria" w:hAnsi="Cambria"/>
          <w:spacing w:val="40"/>
        </w:rPr>
        <w:t> </w:t>
      </w:r>
      <w:r>
        <w:rPr/>
        <w:t>dimensions as outlined in Section</w:t>
      </w:r>
      <w:hyperlink w:history="true" w:anchor="_bookmark134">
        <w:r>
          <w:rPr>
            <w:color w:val="0000FF"/>
          </w:rPr>
          <w:t>5.2.3</w:t>
        </w:r>
        <w:r>
          <w:rPr/>
          <w:t>.</w:t>
        </w:r>
      </w:hyperlink>
      <w:r>
        <w:rPr>
          <w:spacing w:val="40"/>
        </w:rPr>
        <w:t> </w:t>
      </w:r>
      <w:r>
        <w:rPr/>
        <w:t>Figure</w:t>
      </w:r>
      <w:r>
        <w:rPr>
          <w:color w:val="0000FF"/>
        </w:rPr>
        <w:t>5.5</w:t>
      </w:r>
      <w:r>
        <w:rPr/>
        <w:t>depicts the KDE for the whole league dataset, which</w:t>
      </w:r>
      <w:r>
        <w:rPr>
          <w:spacing w:val="34"/>
        </w:rPr>
        <w:t> </w:t>
      </w:r>
      <w:r>
        <w:rPr/>
        <w:t>was</w:t>
      </w:r>
      <w:r>
        <w:rPr>
          <w:spacing w:val="34"/>
        </w:rPr>
        <w:t> </w:t>
      </w:r>
      <w:r>
        <w:rPr/>
        <w:t>the</w:t>
      </w:r>
      <w:r>
        <w:rPr>
          <w:spacing w:val="34"/>
        </w:rPr>
        <w:t> </w:t>
      </w:r>
      <w:r>
        <w:rPr/>
        <w:t>reference</w:t>
      </w:r>
      <w:r>
        <w:rPr>
          <w:spacing w:val="34"/>
        </w:rPr>
        <w:t> </w:t>
      </w:r>
      <w:r>
        <w:rPr/>
        <w:t>distribution</w:t>
      </w:r>
      <w:r>
        <w:rPr>
          <w:spacing w:val="34"/>
        </w:rPr>
        <w:t> </w:t>
      </w:r>
      <w:r>
        <w:rPr/>
        <w:t>for</w:t>
      </w:r>
      <w:r>
        <w:rPr>
          <w:spacing w:val="34"/>
        </w:rPr>
        <w:t> </w:t>
      </w:r>
      <w:r>
        <w:rPr/>
        <w:t>the</w:t>
      </w:r>
      <w:r>
        <w:rPr>
          <w:spacing w:val="34"/>
        </w:rPr>
        <w:t> </w:t>
      </w:r>
      <w:r>
        <w:rPr/>
        <w:t>between</w:t>
      </w:r>
      <w:r>
        <w:rPr>
          <w:spacing w:val="34"/>
        </w:rPr>
        <w:t> </w:t>
      </w:r>
      <w:r>
        <w:rPr/>
        <w:t>team</w:t>
      </w:r>
      <w:r>
        <w:rPr>
          <w:spacing w:val="34"/>
        </w:rPr>
        <w:t> </w:t>
      </w:r>
      <w:r>
        <w:rPr/>
        <w:t>analysis.</w:t>
      </w:r>
      <w:r>
        <w:rPr>
          <w:spacing w:val="80"/>
        </w:rPr>
        <w:t> </w:t>
      </w:r>
      <w:r>
        <w:rPr/>
        <w:t>Figure</w:t>
      </w:r>
      <w:hyperlink w:history="true" w:anchor="_bookmark151">
        <w:r>
          <w:rPr>
            <w:color w:val="0000FF"/>
          </w:rPr>
          <w:t>5.6</w:t>
        </w:r>
      </w:hyperlink>
      <w:r>
        <w:rPr/>
        <w:t>shows the</w:t>
      </w:r>
      <w:r>
        <w:rPr>
          <w:spacing w:val="26"/>
        </w:rPr>
        <w:t> </w:t>
      </w:r>
      <w:r>
        <w:rPr/>
        <w:t>differences</w:t>
      </w:r>
      <w:r>
        <w:rPr>
          <w:spacing w:val="26"/>
        </w:rPr>
        <w:t> </w:t>
      </w:r>
      <w:r>
        <w:rPr/>
        <w:t>between</w:t>
      </w:r>
      <w:r>
        <w:rPr>
          <w:spacing w:val="25"/>
        </w:rPr>
        <w:t> </w:t>
      </w:r>
      <w:r>
        <w:rPr/>
        <w:t>each</w:t>
      </w:r>
      <w:r>
        <w:rPr>
          <w:spacing w:val="26"/>
        </w:rPr>
        <w:t> </w:t>
      </w:r>
      <w:r>
        <w:rPr/>
        <w:t>team’s</w:t>
      </w:r>
      <w:r>
        <w:rPr>
          <w:spacing w:val="26"/>
        </w:rPr>
        <w:t> </w:t>
      </w:r>
      <w:r>
        <w:rPr/>
        <w:t>overall</w:t>
      </w:r>
      <w:r>
        <w:rPr>
          <w:spacing w:val="26"/>
        </w:rPr>
        <w:t> </w:t>
      </w:r>
      <w:r>
        <w:rPr/>
        <w:t>KDE</w:t>
      </w:r>
      <w:r>
        <w:rPr>
          <w:spacing w:val="26"/>
        </w:rPr>
        <w:t> </w:t>
      </w:r>
      <w:r>
        <w:rPr/>
        <w:t>and</w:t>
      </w:r>
      <w:r>
        <w:rPr>
          <w:spacing w:val="26"/>
        </w:rPr>
        <w:t> </w:t>
      </w:r>
      <w:r>
        <w:rPr/>
        <w:t>the</w:t>
      </w:r>
      <w:r>
        <w:rPr>
          <w:spacing w:val="25"/>
        </w:rPr>
        <w:t> </w:t>
      </w:r>
      <w:r>
        <w:rPr/>
        <w:t>whole</w:t>
      </w:r>
      <w:r>
        <w:rPr>
          <w:spacing w:val="26"/>
        </w:rPr>
        <w:t> </w:t>
      </w:r>
      <w:r>
        <w:rPr/>
        <w:t>league</w:t>
      </w:r>
      <w:r>
        <w:rPr>
          <w:spacing w:val="26"/>
        </w:rPr>
        <w:t> </w:t>
      </w:r>
      <w:r>
        <w:rPr/>
        <w:t>KDE.</w:t>
      </w:r>
      <w:r>
        <w:rPr>
          <w:spacing w:val="26"/>
        </w:rPr>
        <w:t> </w:t>
      </w:r>
      <w:r>
        <w:rPr/>
        <w:t>Visual inspection</w:t>
      </w:r>
      <w:r>
        <w:rPr>
          <w:spacing w:val="-6"/>
        </w:rPr>
        <w:t> </w:t>
      </w:r>
      <w:r>
        <w:rPr/>
        <w:t>of</w:t>
      </w:r>
      <w:r>
        <w:rPr>
          <w:spacing w:val="-6"/>
        </w:rPr>
        <w:t> </w:t>
      </w:r>
      <w:r>
        <w:rPr/>
        <w:t>Figure</w:t>
      </w:r>
      <w:hyperlink w:history="true" w:anchor="_bookmark151">
        <w:r>
          <w:rPr>
            <w:color w:val="0000FF"/>
          </w:rPr>
          <w:t>5.6</w:t>
        </w:r>
      </w:hyperlink>
      <w:r>
        <w:rPr/>
        <w:t>shows</w:t>
      </w:r>
      <w:r>
        <w:rPr>
          <w:spacing w:val="-6"/>
        </w:rPr>
        <w:t> </w:t>
      </w:r>
      <w:r>
        <w:rPr/>
        <w:t>some</w:t>
      </w:r>
      <w:r>
        <w:rPr>
          <w:spacing w:val="-6"/>
        </w:rPr>
        <w:t> </w:t>
      </w:r>
      <w:r>
        <w:rPr/>
        <w:t>teams</w:t>
      </w:r>
      <w:r>
        <w:rPr>
          <w:spacing w:val="-6"/>
        </w:rPr>
        <w:t> </w:t>
      </w:r>
      <w:r>
        <w:rPr/>
        <w:t>have</w:t>
      </w:r>
      <w:r>
        <w:rPr>
          <w:spacing w:val="-6"/>
        </w:rPr>
        <w:t> </w:t>
      </w:r>
      <w:r>
        <w:rPr/>
        <w:t>clear</w:t>
      </w:r>
      <w:r>
        <w:rPr>
          <w:spacing w:val="-6"/>
        </w:rPr>
        <w:t> </w:t>
      </w:r>
      <w:r>
        <w:rPr/>
        <w:t>areas</w:t>
      </w:r>
      <w:r>
        <w:rPr>
          <w:spacing w:val="-6"/>
        </w:rPr>
        <w:t> </w:t>
      </w:r>
      <w:r>
        <w:rPr/>
        <w:t>of</w:t>
      </w:r>
      <w:r>
        <w:rPr>
          <w:spacing w:val="-6"/>
        </w:rPr>
        <w:t> </w:t>
      </w:r>
      <w:r>
        <w:rPr/>
        <w:t>greater</w:t>
      </w:r>
      <w:r>
        <w:rPr>
          <w:spacing w:val="-6"/>
        </w:rPr>
        <w:t> </w:t>
      </w:r>
      <w:r>
        <w:rPr/>
        <w:t>(shown</w:t>
      </w:r>
      <w:r>
        <w:rPr>
          <w:spacing w:val="-6"/>
        </w:rPr>
        <w:t> </w:t>
      </w:r>
      <w:r>
        <w:rPr/>
        <w:t>in</w:t>
      </w:r>
      <w:r>
        <w:rPr>
          <w:spacing w:val="-6"/>
        </w:rPr>
        <w:t> </w:t>
      </w:r>
      <w:r>
        <w:rPr/>
        <w:t>green)</w:t>
      </w:r>
      <w:r>
        <w:rPr>
          <w:spacing w:val="-6"/>
        </w:rPr>
        <w:t> </w:t>
      </w:r>
      <w:r>
        <w:rPr/>
        <w:t>or lower</w:t>
      </w:r>
      <w:r>
        <w:rPr>
          <w:spacing w:val="-12"/>
        </w:rPr>
        <w:t> </w:t>
      </w:r>
      <w:r>
        <w:rPr/>
        <w:t>(shown</w:t>
      </w:r>
      <w:r>
        <w:rPr>
          <w:spacing w:val="-12"/>
        </w:rPr>
        <w:t> </w:t>
      </w:r>
      <w:r>
        <w:rPr/>
        <w:t>in</w:t>
      </w:r>
      <w:r>
        <w:rPr>
          <w:spacing w:val="-12"/>
        </w:rPr>
        <w:t> </w:t>
      </w:r>
      <w:r>
        <w:rPr/>
        <w:t>red)</w:t>
      </w:r>
      <w:r>
        <w:rPr>
          <w:spacing w:val="-12"/>
        </w:rPr>
        <w:t> </w:t>
      </w:r>
      <w:r>
        <w:rPr/>
        <w:t>densities</w:t>
      </w:r>
      <w:r>
        <w:rPr>
          <w:spacing w:val="-12"/>
        </w:rPr>
        <w:t> </w:t>
      </w:r>
      <w:r>
        <w:rPr/>
        <w:t>relative</w:t>
      </w:r>
      <w:r>
        <w:rPr>
          <w:spacing w:val="-12"/>
        </w:rPr>
        <w:t> </w:t>
      </w:r>
      <w:r>
        <w:rPr/>
        <w:t>to</w:t>
      </w:r>
      <w:r>
        <w:rPr>
          <w:spacing w:val="-12"/>
        </w:rPr>
        <w:t> </w:t>
      </w:r>
      <w:r>
        <w:rPr/>
        <w:t>the</w:t>
      </w:r>
      <w:r>
        <w:rPr>
          <w:spacing w:val="-12"/>
        </w:rPr>
        <w:t> </w:t>
      </w:r>
      <w:r>
        <w:rPr/>
        <w:t>whole</w:t>
      </w:r>
      <w:r>
        <w:rPr>
          <w:spacing w:val="-12"/>
        </w:rPr>
        <w:t> </w:t>
      </w:r>
      <w:r>
        <w:rPr/>
        <w:t>league</w:t>
      </w:r>
      <w:r>
        <w:rPr>
          <w:spacing w:val="-12"/>
        </w:rPr>
        <w:t> </w:t>
      </w:r>
      <w:r>
        <w:rPr/>
        <w:t>KDE.</w:t>
      </w:r>
      <w:r>
        <w:rPr>
          <w:spacing w:val="-12"/>
        </w:rPr>
        <w:t> </w:t>
      </w:r>
      <w:r>
        <w:rPr/>
        <w:t>For</w:t>
      </w:r>
      <w:r>
        <w:rPr>
          <w:spacing w:val="-12"/>
        </w:rPr>
        <w:t> </w:t>
      </w:r>
      <w:r>
        <w:rPr/>
        <w:t>example,</w:t>
      </w:r>
      <w:r>
        <w:rPr>
          <w:spacing w:val="-11"/>
        </w:rPr>
        <w:t> </w:t>
      </w:r>
      <w:r>
        <w:rPr/>
        <w:t>Castleford (left side) and Huddersfield (central) have strong biases in the </w:t>
      </w:r>
      <w:r>
        <w:rPr>
          <w:rFonts w:ascii="Cambria" w:hAnsi="Cambria"/>
        </w:rPr>
        <w:t>x </w:t>
      </w:r>
      <w:r>
        <w:rPr/>
        <w:t>or horizontal direction, whereas</w:t>
      </w:r>
      <w:r>
        <w:rPr>
          <w:spacing w:val="-12"/>
        </w:rPr>
        <w:t> </w:t>
      </w:r>
      <w:r>
        <w:rPr/>
        <w:t>weaker</w:t>
      </w:r>
      <w:r>
        <w:rPr>
          <w:spacing w:val="-12"/>
        </w:rPr>
        <w:t> </w:t>
      </w:r>
      <w:r>
        <w:rPr/>
        <w:t>horizontal</w:t>
      </w:r>
      <w:r>
        <w:rPr>
          <w:spacing w:val="-12"/>
        </w:rPr>
        <w:t> </w:t>
      </w:r>
      <w:r>
        <w:rPr/>
        <w:t>biases</w:t>
      </w:r>
      <w:r>
        <w:rPr>
          <w:spacing w:val="-12"/>
        </w:rPr>
        <w:t> </w:t>
      </w:r>
      <w:r>
        <w:rPr/>
        <w:t>are</w:t>
      </w:r>
      <w:r>
        <w:rPr>
          <w:spacing w:val="-12"/>
        </w:rPr>
        <w:t> </w:t>
      </w:r>
      <w:r>
        <w:rPr/>
        <w:t>present</w:t>
      </w:r>
      <w:r>
        <w:rPr>
          <w:spacing w:val="-12"/>
        </w:rPr>
        <w:t> </w:t>
      </w:r>
      <w:r>
        <w:rPr/>
        <w:t>for</w:t>
      </w:r>
      <w:r>
        <w:rPr>
          <w:spacing w:val="-12"/>
        </w:rPr>
        <w:t> </w:t>
      </w:r>
      <w:r>
        <w:rPr/>
        <w:t>Hull</w:t>
      </w:r>
      <w:r>
        <w:rPr>
          <w:spacing w:val="-12"/>
        </w:rPr>
        <w:t> </w:t>
      </w:r>
      <w:r>
        <w:rPr/>
        <w:t>Kingston</w:t>
      </w:r>
      <w:r>
        <w:rPr>
          <w:spacing w:val="-12"/>
        </w:rPr>
        <w:t> </w:t>
      </w:r>
      <w:r>
        <w:rPr/>
        <w:t>Rovers</w:t>
      </w:r>
      <w:r>
        <w:rPr>
          <w:spacing w:val="-12"/>
        </w:rPr>
        <w:t> </w:t>
      </w:r>
      <w:r>
        <w:rPr/>
        <w:t>(left</w:t>
      </w:r>
      <w:r>
        <w:rPr>
          <w:spacing w:val="-12"/>
        </w:rPr>
        <w:t> </w:t>
      </w:r>
      <w:r>
        <w:rPr/>
        <w:t>side</w:t>
      </w:r>
      <w:r>
        <w:rPr>
          <w:spacing w:val="-12"/>
        </w:rPr>
        <w:t> </w:t>
      </w:r>
      <w:r>
        <w:rPr/>
        <w:t>of</w:t>
      </w:r>
      <w:r>
        <w:rPr>
          <w:spacing w:val="-12"/>
        </w:rPr>
        <w:t> </w:t>
      </w:r>
      <w:r>
        <w:rPr/>
        <w:t>pitch) and Wakefield (not left side of pitch).</w:t>
      </w:r>
      <w:r>
        <w:rPr>
          <w:spacing w:val="40"/>
        </w:rPr>
        <w:t> </w:t>
      </w:r>
      <w:r>
        <w:rPr/>
        <w:t>Leeds (opposition half),</w:t>
      </w:r>
      <w:r>
        <w:rPr>
          <w:spacing w:val="24"/>
        </w:rPr>
        <w:t> </w:t>
      </w:r>
      <w:r>
        <w:rPr/>
        <w:t>Salford (anywhere but</w:t>
      </w:r>
      <w:r>
        <w:rPr>
          <w:spacing w:val="40"/>
        </w:rPr>
        <w:t> </w:t>
      </w:r>
      <w:r>
        <w:rPr/>
        <w:t>opposition 20m) and St Helens (anywhere but either 20m) have strong biases in the </w:t>
      </w:r>
      <w:r>
        <w:rPr>
          <w:rFonts w:ascii="Cambria" w:hAnsi="Cambria"/>
        </w:rPr>
        <w:t>y </w:t>
      </w:r>
      <w:r>
        <w:rPr/>
        <w:t>or vertical direction.</w:t>
      </w:r>
      <w:r>
        <w:rPr>
          <w:spacing w:val="40"/>
        </w:rPr>
        <w:t> </w:t>
      </w:r>
      <w:r>
        <w:rPr/>
        <w:t>Visualising these trends allows coaches and performance analysts to see</w:t>
      </w:r>
      <w:r>
        <w:rPr>
          <w:spacing w:val="-8"/>
        </w:rPr>
        <w:t> </w:t>
      </w:r>
      <w:r>
        <w:rPr/>
        <w:t>clearly</w:t>
      </w:r>
      <w:r>
        <w:rPr>
          <w:spacing w:val="-8"/>
        </w:rPr>
        <w:t> </w:t>
      </w:r>
      <w:r>
        <w:rPr/>
        <w:t>the</w:t>
      </w:r>
      <w:r>
        <w:rPr>
          <w:spacing w:val="-8"/>
        </w:rPr>
        <w:t> </w:t>
      </w:r>
      <w:r>
        <w:rPr/>
        <w:t>locations</w:t>
      </w:r>
      <w:r>
        <w:rPr>
          <w:spacing w:val="-8"/>
        </w:rPr>
        <w:t> </w:t>
      </w:r>
      <w:r>
        <w:rPr/>
        <w:t>where</w:t>
      </w:r>
      <w:r>
        <w:rPr>
          <w:spacing w:val="-8"/>
        </w:rPr>
        <w:t> </w:t>
      </w:r>
      <w:r>
        <w:rPr/>
        <w:t>teams</w:t>
      </w:r>
      <w:r>
        <w:rPr>
          <w:spacing w:val="-8"/>
        </w:rPr>
        <w:t> </w:t>
      </w:r>
      <w:r>
        <w:rPr/>
        <w:t>are</w:t>
      </w:r>
      <w:r>
        <w:rPr>
          <w:spacing w:val="-8"/>
        </w:rPr>
        <w:t> </w:t>
      </w:r>
      <w:r>
        <w:rPr/>
        <w:t>more</w:t>
      </w:r>
      <w:r>
        <w:rPr>
          <w:spacing w:val="-8"/>
        </w:rPr>
        <w:t> </w:t>
      </w:r>
      <w:r>
        <w:rPr/>
        <w:t>or</w:t>
      </w:r>
      <w:r>
        <w:rPr>
          <w:spacing w:val="-8"/>
        </w:rPr>
        <w:t> </w:t>
      </w:r>
      <w:r>
        <w:rPr/>
        <w:t>less</w:t>
      </w:r>
      <w:r>
        <w:rPr>
          <w:spacing w:val="-8"/>
        </w:rPr>
        <w:t> </w:t>
      </w:r>
      <w:r>
        <w:rPr/>
        <w:t>likely</w:t>
      </w:r>
      <w:r>
        <w:rPr>
          <w:spacing w:val="-8"/>
        </w:rPr>
        <w:t> </w:t>
      </w:r>
      <w:r>
        <w:rPr/>
        <w:t>to</w:t>
      </w:r>
      <w:r>
        <w:rPr>
          <w:spacing w:val="-8"/>
        </w:rPr>
        <w:t> </w:t>
      </w:r>
      <w:r>
        <w:rPr/>
        <w:t>perform</w:t>
      </w:r>
      <w:r>
        <w:rPr>
          <w:spacing w:val="-8"/>
        </w:rPr>
        <w:t> </w:t>
      </w:r>
      <w:r>
        <w:rPr/>
        <w:t>actions</w:t>
      </w:r>
      <w:r>
        <w:rPr>
          <w:spacing w:val="-8"/>
        </w:rPr>
        <w:t> </w:t>
      </w:r>
      <w:r>
        <w:rPr/>
        <w:t>across</w:t>
      </w:r>
      <w:r>
        <w:rPr>
          <w:spacing w:val="-8"/>
        </w:rPr>
        <w:t> </w:t>
      </w:r>
      <w:r>
        <w:rPr/>
        <w:t>the whole season.</w:t>
      </w:r>
    </w:p>
    <w:p>
      <w:pPr>
        <w:spacing w:after="0" w:line="309" w:lineRule="auto"/>
        <w:sectPr>
          <w:pgSz w:w="11910" w:h="16840"/>
          <w:pgMar w:header="1961" w:footer="1428" w:top="2280" w:bottom="1620" w:left="1680" w:right="720"/>
        </w:sectPr>
      </w:pPr>
    </w:p>
    <w:p>
      <w:pPr>
        <w:pStyle w:val="BodyText"/>
        <w:rPr>
          <w:sz w:val="20"/>
        </w:rPr>
      </w:pPr>
    </w:p>
    <w:p>
      <w:pPr>
        <w:pStyle w:val="BodyText"/>
        <w:spacing w:before="5"/>
        <w:rPr>
          <w:sz w:val="28"/>
        </w:rPr>
      </w:pPr>
    </w:p>
    <w:p>
      <w:pPr>
        <w:pStyle w:val="BodyText"/>
        <w:ind w:left="2368"/>
        <w:rPr>
          <w:sz w:val="20"/>
        </w:rPr>
      </w:pPr>
      <w:r>
        <w:rPr>
          <w:sz w:val="20"/>
        </w:rPr>
        <w:drawing>
          <wp:inline distT="0" distB="0" distL="0" distR="0">
            <wp:extent cx="3203056" cy="4114800"/>
            <wp:effectExtent l="0" t="0" r="0" b="0"/>
            <wp:docPr id="73" name="image37.jpeg"/>
            <wp:cNvGraphicFramePr>
              <a:graphicFrameLocks noChangeAspect="1"/>
            </wp:cNvGraphicFramePr>
            <a:graphic>
              <a:graphicData uri="http://schemas.openxmlformats.org/drawingml/2006/picture">
                <pic:pic>
                  <pic:nvPicPr>
                    <pic:cNvPr id="74" name="image37.jpeg"/>
                    <pic:cNvPicPr/>
                  </pic:nvPicPr>
                  <pic:blipFill>
                    <a:blip r:embed="rId107" cstate="print"/>
                    <a:stretch>
                      <a:fillRect/>
                    </a:stretch>
                  </pic:blipFill>
                  <pic:spPr>
                    <a:xfrm>
                      <a:off x="0" y="0"/>
                      <a:ext cx="3203056" cy="4114800"/>
                    </a:xfrm>
                    <a:prstGeom prst="rect">
                      <a:avLst/>
                    </a:prstGeom>
                  </pic:spPr>
                </pic:pic>
              </a:graphicData>
            </a:graphic>
          </wp:inline>
        </w:drawing>
      </w:r>
      <w:r>
        <w:rPr>
          <w:sz w:val="20"/>
        </w:rPr>
      </w:r>
    </w:p>
    <w:p>
      <w:pPr>
        <w:pStyle w:val="BodyText"/>
        <w:spacing w:before="4"/>
        <w:rPr>
          <w:sz w:val="6"/>
        </w:rPr>
      </w:pPr>
    </w:p>
    <w:p>
      <w:pPr>
        <w:pStyle w:val="BodyText"/>
        <w:spacing w:before="105"/>
        <w:ind w:left="829"/>
      </w:pPr>
      <w:bookmarkStart w:name="_bookmark149" w:id="259"/>
      <w:bookmarkEnd w:id="259"/>
      <w:r>
        <w:rPr/>
      </w:r>
      <w:r>
        <w:rPr>
          <w:b/>
        </w:rPr>
        <w:t>Figure</w:t>
      </w:r>
      <w:r>
        <w:rPr>
          <w:b/>
          <w:spacing w:val="-8"/>
        </w:rPr>
        <w:t> </w:t>
      </w:r>
      <w:r>
        <w:rPr>
          <w:b/>
        </w:rPr>
        <w:t>5.5:</w:t>
      </w:r>
      <w:r>
        <w:rPr>
          <w:b/>
          <w:spacing w:val="6"/>
        </w:rPr>
        <w:t> </w:t>
      </w:r>
      <w:r>
        <w:rPr/>
        <w:t>Kernel</w:t>
      </w:r>
      <w:r>
        <w:rPr>
          <w:spacing w:val="-8"/>
        </w:rPr>
        <w:t> </w:t>
      </w:r>
      <w:r>
        <w:rPr/>
        <w:t>Density</w:t>
      </w:r>
      <w:r>
        <w:rPr>
          <w:spacing w:val="-7"/>
        </w:rPr>
        <w:t> </w:t>
      </w:r>
      <w:r>
        <w:rPr/>
        <w:t>Estimation</w:t>
      </w:r>
      <w:r>
        <w:rPr>
          <w:spacing w:val="-8"/>
        </w:rPr>
        <w:t> </w:t>
      </w:r>
      <w:r>
        <w:rPr/>
        <w:t>plot</w:t>
      </w:r>
      <w:r>
        <w:rPr>
          <w:spacing w:val="-8"/>
        </w:rPr>
        <w:t> </w:t>
      </w:r>
      <w:r>
        <w:rPr/>
        <w:t>for</w:t>
      </w:r>
      <w:r>
        <w:rPr>
          <w:spacing w:val="-7"/>
        </w:rPr>
        <w:t> </w:t>
      </w:r>
      <w:r>
        <w:rPr/>
        <w:t>whole</w:t>
      </w:r>
      <w:r>
        <w:rPr>
          <w:spacing w:val="-8"/>
        </w:rPr>
        <w:t> </w:t>
      </w:r>
      <w:r>
        <w:rPr/>
        <w:t>league</w:t>
      </w:r>
      <w:r>
        <w:rPr>
          <w:spacing w:val="-7"/>
        </w:rPr>
        <w:t> </w:t>
      </w:r>
      <w:r>
        <w:rPr/>
        <w:t>data</w:t>
      </w:r>
      <w:r>
        <w:rPr>
          <w:spacing w:val="-8"/>
        </w:rPr>
        <w:t> </w:t>
      </w:r>
      <w:r>
        <w:rPr/>
        <w:t>at</w:t>
      </w:r>
      <w:r>
        <w:rPr>
          <w:spacing w:val="-7"/>
        </w:rPr>
        <w:t> </w:t>
      </w:r>
      <w:r>
        <w:rPr/>
        <w:t>bandwidth</w:t>
      </w:r>
      <w:r>
        <w:rPr>
          <w:spacing w:val="-8"/>
        </w:rPr>
        <w:t> </w:t>
      </w:r>
      <w:r>
        <w:rPr>
          <w:spacing w:val="-4"/>
        </w:rPr>
        <w:t>4.10</w:t>
      </w:r>
    </w:p>
    <w:p>
      <w:pPr>
        <w:pStyle w:val="BodyText"/>
        <w:spacing w:before="9"/>
        <w:rPr>
          <w:sz w:val="35"/>
        </w:rPr>
      </w:pPr>
    </w:p>
    <w:p>
      <w:pPr>
        <w:pStyle w:val="Heading3"/>
        <w:numPr>
          <w:ilvl w:val="2"/>
          <w:numId w:val="23"/>
        </w:numPr>
        <w:tabs>
          <w:tab w:pos="1471" w:val="left" w:leader="none"/>
          <w:tab w:pos="1472" w:val="left" w:leader="none"/>
        </w:tabs>
        <w:spacing w:line="240" w:lineRule="auto" w:before="0" w:after="0"/>
        <w:ind w:left="1471" w:right="0" w:hanging="862"/>
        <w:jc w:val="left"/>
      </w:pPr>
      <w:bookmarkStart w:name="_TOC_250019" w:id="260"/>
      <w:bookmarkStart w:name="5.3.2 Evaluation of Between and Within T" w:id="261"/>
      <w:r>
        <w:rPr>
          <w:b w:val="0"/>
        </w:rPr>
      </w:r>
      <w:bookmarkStart w:name="_bookmark150" w:id="262"/>
      <w:bookmarkEnd w:id="262"/>
      <w:r>
        <w:rPr/>
        <w:t>E</w:t>
      </w:r>
      <w:r>
        <w:rPr/>
        <w:t>valuation</w:t>
      </w:r>
      <w:r>
        <w:rPr>
          <w:spacing w:val="10"/>
        </w:rPr>
        <w:t> </w:t>
      </w:r>
      <w:r>
        <w:rPr/>
        <w:t>of</w:t>
      </w:r>
      <w:r>
        <w:rPr>
          <w:spacing w:val="10"/>
        </w:rPr>
        <w:t> </w:t>
      </w:r>
      <w:r>
        <w:rPr/>
        <w:t>Between</w:t>
      </w:r>
      <w:r>
        <w:rPr>
          <w:spacing w:val="10"/>
        </w:rPr>
        <w:t> </w:t>
      </w:r>
      <w:r>
        <w:rPr/>
        <w:t>and</w:t>
      </w:r>
      <w:r>
        <w:rPr>
          <w:spacing w:val="10"/>
        </w:rPr>
        <w:t> </w:t>
      </w:r>
      <w:r>
        <w:rPr/>
        <w:t>Within</w:t>
      </w:r>
      <w:r>
        <w:rPr>
          <w:spacing w:val="10"/>
        </w:rPr>
        <w:t> </w:t>
      </w:r>
      <w:r>
        <w:rPr/>
        <w:t>Team</w:t>
      </w:r>
      <w:r>
        <w:rPr>
          <w:spacing w:val="10"/>
        </w:rPr>
        <w:t> </w:t>
      </w:r>
      <w:bookmarkEnd w:id="260"/>
      <w:r>
        <w:rPr>
          <w:spacing w:val="-2"/>
        </w:rPr>
        <w:t>Differences</w:t>
      </w:r>
    </w:p>
    <w:p>
      <w:pPr>
        <w:pStyle w:val="BodyText"/>
        <w:spacing w:line="312" w:lineRule="auto" w:before="235"/>
        <w:ind w:left="610" w:right="389"/>
        <w:jc w:val="both"/>
      </w:pPr>
      <w:r>
        <w:rPr/>
        <w:t>To evaluate the between and within team differences in the spatial trends of </w:t>
      </w:r>
      <w:r>
        <w:rPr/>
        <w:t>attacking performances</w:t>
      </w:r>
      <w:r>
        <w:rPr>
          <w:spacing w:val="-12"/>
        </w:rPr>
        <w:t> </w:t>
      </w:r>
      <w:r>
        <w:rPr/>
        <w:t>quantitatively,</w:t>
      </w:r>
      <w:r>
        <w:rPr>
          <w:spacing w:val="-12"/>
        </w:rPr>
        <w:t> </w:t>
      </w:r>
      <w:r>
        <w:rPr/>
        <w:t>two</w:t>
      </w:r>
      <w:r>
        <w:rPr>
          <w:spacing w:val="-12"/>
        </w:rPr>
        <w:t> </w:t>
      </w:r>
      <w:r>
        <w:rPr/>
        <w:t>novel</w:t>
      </w:r>
      <w:r>
        <w:rPr>
          <w:spacing w:val="-12"/>
        </w:rPr>
        <w:t> </w:t>
      </w:r>
      <w:r>
        <w:rPr/>
        <w:t>Wasserstein</w:t>
      </w:r>
      <w:r>
        <w:rPr>
          <w:spacing w:val="-12"/>
        </w:rPr>
        <w:t> </w:t>
      </w:r>
      <w:r>
        <w:rPr/>
        <w:t>distance</w:t>
      </w:r>
      <w:r>
        <w:rPr>
          <w:spacing w:val="-12"/>
        </w:rPr>
        <w:t> </w:t>
      </w:r>
      <w:r>
        <w:rPr/>
        <w:t>metrics</w:t>
      </w:r>
      <w:r>
        <w:rPr>
          <w:spacing w:val="-12"/>
        </w:rPr>
        <w:t> </w:t>
      </w:r>
      <w:r>
        <w:rPr/>
        <w:t>were</w:t>
      </w:r>
      <w:r>
        <w:rPr>
          <w:spacing w:val="-12"/>
        </w:rPr>
        <w:t> </w:t>
      </w:r>
      <w:r>
        <w:rPr/>
        <w:t>produced. The analyses using the Wasserstein distance measures were conducted in two phases.</w:t>
      </w:r>
      <w:r>
        <w:rPr>
          <w:spacing w:val="40"/>
        </w:rPr>
        <w:t> </w:t>
      </w:r>
      <w:r>
        <w:rPr/>
        <w:t>First, the</w:t>
      </w:r>
      <w:r>
        <w:rPr>
          <w:spacing w:val="-15"/>
        </w:rPr>
        <w:t> </w:t>
      </w:r>
      <w:r>
        <w:rPr/>
        <w:t>between</w:t>
      </w:r>
      <w:r>
        <w:rPr>
          <w:spacing w:val="-15"/>
        </w:rPr>
        <w:t> </w:t>
      </w:r>
      <w:r>
        <w:rPr/>
        <w:t>team</w:t>
      </w:r>
      <w:r>
        <w:rPr>
          <w:spacing w:val="-15"/>
        </w:rPr>
        <w:t> </w:t>
      </w:r>
      <w:r>
        <w:rPr/>
        <w:t>analysis</w:t>
      </w:r>
      <w:r>
        <w:rPr>
          <w:spacing w:val="-15"/>
        </w:rPr>
        <w:t> </w:t>
      </w:r>
      <w:r>
        <w:rPr/>
        <w:t>was</w:t>
      </w:r>
      <w:r>
        <w:rPr>
          <w:spacing w:val="-15"/>
        </w:rPr>
        <w:t> </w:t>
      </w:r>
      <w:r>
        <w:rPr/>
        <w:t>used</w:t>
      </w:r>
      <w:r>
        <w:rPr>
          <w:spacing w:val="-15"/>
        </w:rPr>
        <w:t> </w:t>
      </w:r>
      <w:r>
        <w:rPr/>
        <w:t>to</w:t>
      </w:r>
      <w:r>
        <w:rPr>
          <w:spacing w:val="-15"/>
        </w:rPr>
        <w:t> </w:t>
      </w:r>
      <w:r>
        <w:rPr/>
        <w:t>identify</w:t>
      </w:r>
      <w:r>
        <w:rPr>
          <w:spacing w:val="-15"/>
        </w:rPr>
        <w:t> </w:t>
      </w:r>
      <w:r>
        <w:rPr/>
        <w:t>the</w:t>
      </w:r>
      <w:r>
        <w:rPr>
          <w:spacing w:val="-15"/>
        </w:rPr>
        <w:t> </w:t>
      </w:r>
      <w:r>
        <w:rPr/>
        <w:t>most</w:t>
      </w:r>
      <w:r>
        <w:rPr>
          <w:spacing w:val="-15"/>
        </w:rPr>
        <w:t> </w:t>
      </w:r>
      <w:r>
        <w:rPr/>
        <w:t>appropriate</w:t>
      </w:r>
      <w:r>
        <w:rPr>
          <w:spacing w:val="-15"/>
        </w:rPr>
        <w:t> </w:t>
      </w:r>
      <w:r>
        <w:rPr>
          <w:rFonts w:ascii="Cambria"/>
        </w:rPr>
        <w:t>p</w:t>
      </w:r>
      <w:r>
        <w:rPr/>
        <w:t>-norm</w:t>
      </w:r>
      <w:r>
        <w:rPr>
          <w:spacing w:val="-15"/>
        </w:rPr>
        <w:t> </w:t>
      </w:r>
      <w:r>
        <w:rPr/>
        <w:t>for</w:t>
      </w:r>
      <w:r>
        <w:rPr>
          <w:spacing w:val="-15"/>
        </w:rPr>
        <w:t> </w:t>
      </w:r>
      <w:r>
        <w:rPr/>
        <w:t>use</w:t>
      </w:r>
      <w:r>
        <w:rPr>
          <w:spacing w:val="-15"/>
        </w:rPr>
        <w:t> </w:t>
      </w:r>
      <w:r>
        <w:rPr/>
        <w:t>within rugby league and compare the insights gained using the two novel Wasserstein distance metrics</w:t>
      </w:r>
      <w:r>
        <w:rPr>
          <w:spacing w:val="-15"/>
        </w:rPr>
        <w:t> </w:t>
      </w:r>
      <w:r>
        <w:rPr/>
        <w:t>(normalised</w:t>
      </w:r>
      <w:r>
        <w:rPr>
          <w:spacing w:val="-15"/>
        </w:rPr>
        <w:t> </w:t>
      </w:r>
      <w:r>
        <w:rPr/>
        <w:t>axis</w:t>
      </w:r>
      <w:r>
        <w:rPr>
          <w:spacing w:val="-15"/>
        </w:rPr>
        <w:t> </w:t>
      </w:r>
      <w:r>
        <w:rPr/>
        <w:t>Wasserstein</w:t>
      </w:r>
      <w:r>
        <w:rPr>
          <w:spacing w:val="-15"/>
        </w:rPr>
        <w:t> </w:t>
      </w:r>
      <w:r>
        <w:rPr/>
        <w:t>distance</w:t>
      </w:r>
      <w:r>
        <w:rPr>
          <w:spacing w:val="-15"/>
        </w:rPr>
        <w:t> </w:t>
      </w:r>
      <w:r>
        <w:rPr/>
        <w:t>and</w:t>
      </w:r>
      <w:r>
        <w:rPr>
          <w:spacing w:val="-15"/>
        </w:rPr>
        <w:t> </w:t>
      </w:r>
      <w:r>
        <w:rPr/>
        <w:t>directional</w:t>
      </w:r>
      <w:r>
        <w:rPr>
          <w:spacing w:val="-15"/>
        </w:rPr>
        <w:t> </w:t>
      </w:r>
      <w:r>
        <w:rPr/>
        <w:t>Wasserstein</w:t>
      </w:r>
      <w:r>
        <w:rPr>
          <w:spacing w:val="-15"/>
        </w:rPr>
        <w:t> </w:t>
      </w:r>
      <w:r>
        <w:rPr/>
        <w:t>distance).</w:t>
      </w:r>
      <w:r>
        <w:rPr>
          <w:spacing w:val="-15"/>
        </w:rPr>
        <w:t> </w:t>
      </w:r>
      <w:r>
        <w:rPr/>
        <w:t>Sec- ond, the results were considered at a within team level to understand how coaches and performance analysts may use them in practice.</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8" w:after="1"/>
        <w:rPr>
          <w:sz w:val="11"/>
        </w:rPr>
      </w:pPr>
    </w:p>
    <w:p>
      <w:pPr>
        <w:pStyle w:val="BodyText"/>
        <w:ind w:left="1908"/>
        <w:rPr>
          <w:sz w:val="20"/>
        </w:rPr>
      </w:pPr>
      <w:r>
        <w:rPr>
          <w:sz w:val="20"/>
        </w:rPr>
        <w:drawing>
          <wp:inline distT="0" distB="0" distL="0" distR="0">
            <wp:extent cx="3709226" cy="5169408"/>
            <wp:effectExtent l="0" t="0" r="0" b="0"/>
            <wp:docPr id="75" name="image38.jpeg"/>
            <wp:cNvGraphicFramePr>
              <a:graphicFrameLocks noChangeAspect="1"/>
            </wp:cNvGraphicFramePr>
            <a:graphic>
              <a:graphicData uri="http://schemas.openxmlformats.org/drawingml/2006/picture">
                <pic:pic>
                  <pic:nvPicPr>
                    <pic:cNvPr id="76" name="image38.jpeg"/>
                    <pic:cNvPicPr/>
                  </pic:nvPicPr>
                  <pic:blipFill>
                    <a:blip r:embed="rId108" cstate="print"/>
                    <a:stretch>
                      <a:fillRect/>
                    </a:stretch>
                  </pic:blipFill>
                  <pic:spPr>
                    <a:xfrm>
                      <a:off x="0" y="0"/>
                      <a:ext cx="3709226" cy="5169408"/>
                    </a:xfrm>
                    <a:prstGeom prst="rect">
                      <a:avLst/>
                    </a:prstGeom>
                  </pic:spPr>
                </pic:pic>
              </a:graphicData>
            </a:graphic>
          </wp:inline>
        </w:drawing>
      </w:r>
      <w:r>
        <w:rPr>
          <w:sz w:val="20"/>
        </w:rPr>
      </w:r>
    </w:p>
    <w:p>
      <w:pPr>
        <w:pStyle w:val="BodyText"/>
        <w:spacing w:before="1"/>
        <w:rPr>
          <w:sz w:val="6"/>
        </w:rPr>
      </w:pPr>
    </w:p>
    <w:p>
      <w:pPr>
        <w:pStyle w:val="BodyText"/>
        <w:spacing w:line="252" w:lineRule="auto" w:before="105"/>
        <w:ind w:left="610" w:right="389"/>
        <w:jc w:val="both"/>
      </w:pPr>
      <w:bookmarkStart w:name="_bookmark151" w:id="263"/>
      <w:bookmarkEnd w:id="263"/>
      <w:r>
        <w:rPr/>
      </w:r>
      <w:r>
        <w:rPr>
          <w:b/>
        </w:rPr>
        <w:t>Figure 5.6:</w:t>
      </w:r>
      <w:r>
        <w:rPr>
          <w:b/>
          <w:spacing w:val="32"/>
        </w:rPr>
        <w:t> </w:t>
      </w:r>
      <w:r>
        <w:rPr/>
        <w:t>Comparison between whole league attacking KDE and each team’s </w:t>
      </w:r>
      <w:r>
        <w:rPr/>
        <w:t>overall KDE.</w:t>
      </w:r>
      <w:r>
        <w:rPr>
          <w:spacing w:val="-1"/>
        </w:rPr>
        <w:t> </w:t>
      </w:r>
      <w:r>
        <w:rPr/>
        <w:t>Green</w:t>
      </w:r>
      <w:r>
        <w:rPr>
          <w:spacing w:val="-1"/>
        </w:rPr>
        <w:t> </w:t>
      </w:r>
      <w:r>
        <w:rPr/>
        <w:t>areas</w:t>
      </w:r>
      <w:r>
        <w:rPr>
          <w:spacing w:val="-1"/>
        </w:rPr>
        <w:t> </w:t>
      </w:r>
      <w:r>
        <w:rPr/>
        <w:t>are</w:t>
      </w:r>
      <w:r>
        <w:rPr>
          <w:spacing w:val="-1"/>
        </w:rPr>
        <w:t> </w:t>
      </w:r>
      <w:r>
        <w:rPr/>
        <w:t>areas</w:t>
      </w:r>
      <w:r>
        <w:rPr>
          <w:spacing w:val="-1"/>
        </w:rPr>
        <w:t> </w:t>
      </w:r>
      <w:r>
        <w:rPr/>
        <w:t>represent</w:t>
      </w:r>
      <w:r>
        <w:rPr>
          <w:spacing w:val="-1"/>
        </w:rPr>
        <w:t> </w:t>
      </w:r>
      <w:r>
        <w:rPr/>
        <w:t>areas</w:t>
      </w:r>
      <w:r>
        <w:rPr>
          <w:spacing w:val="-1"/>
        </w:rPr>
        <w:t> </w:t>
      </w:r>
      <w:r>
        <w:rPr/>
        <w:t>where</w:t>
      </w:r>
      <w:r>
        <w:rPr>
          <w:spacing w:val="-1"/>
        </w:rPr>
        <w:t> </w:t>
      </w:r>
      <w:r>
        <w:rPr/>
        <w:t>the</w:t>
      </w:r>
      <w:r>
        <w:rPr>
          <w:spacing w:val="-1"/>
        </w:rPr>
        <w:t> </w:t>
      </w:r>
      <w:r>
        <w:rPr/>
        <w:t>team</w:t>
      </w:r>
      <w:r>
        <w:rPr>
          <w:spacing w:val="-1"/>
        </w:rPr>
        <w:t> </w:t>
      </w:r>
      <w:r>
        <w:rPr/>
        <w:t>has</w:t>
      </w:r>
      <w:r>
        <w:rPr>
          <w:spacing w:val="-1"/>
        </w:rPr>
        <w:t> </w:t>
      </w:r>
      <w:r>
        <w:rPr/>
        <w:t>a</w:t>
      </w:r>
      <w:r>
        <w:rPr>
          <w:spacing w:val="-1"/>
        </w:rPr>
        <w:t> </w:t>
      </w:r>
      <w:r>
        <w:rPr/>
        <w:t>higher</w:t>
      </w:r>
      <w:r>
        <w:rPr>
          <w:spacing w:val="-1"/>
        </w:rPr>
        <w:t> </w:t>
      </w:r>
      <w:r>
        <w:rPr/>
        <w:t>density</w:t>
      </w:r>
      <w:r>
        <w:rPr>
          <w:spacing w:val="-1"/>
        </w:rPr>
        <w:t> </w:t>
      </w:r>
      <w:r>
        <w:rPr/>
        <w:t>than</w:t>
      </w:r>
      <w:r>
        <w:rPr>
          <w:spacing w:val="-1"/>
        </w:rPr>
        <w:t> </w:t>
      </w:r>
      <w:r>
        <w:rPr/>
        <w:t>the whole league, red areas have lower densities.</w:t>
      </w:r>
    </w:p>
    <w:p>
      <w:pPr>
        <w:pStyle w:val="BodyText"/>
        <w:spacing w:before="3"/>
        <w:rPr>
          <w:sz w:val="37"/>
        </w:rPr>
      </w:pPr>
    </w:p>
    <w:p>
      <w:pPr>
        <w:pStyle w:val="Heading4"/>
        <w:numPr>
          <w:ilvl w:val="3"/>
          <w:numId w:val="23"/>
        </w:numPr>
        <w:tabs>
          <w:tab w:pos="1506" w:val="left" w:leader="none"/>
          <w:tab w:pos="1508" w:val="left" w:leader="none"/>
        </w:tabs>
        <w:spacing w:line="240" w:lineRule="auto" w:before="1" w:after="0"/>
        <w:ind w:left="1507" w:right="0" w:hanging="898"/>
        <w:jc w:val="left"/>
      </w:pPr>
      <w:bookmarkStart w:name="_TOC_250018" w:id="264"/>
      <w:bookmarkStart w:name="5.3.2.1 Identification of Suitable p-nor" w:id="265"/>
      <w:r>
        <w:rPr>
          <w:b w:val="0"/>
        </w:rPr>
      </w:r>
      <w:bookmarkStart w:name="_bookmark152" w:id="266"/>
      <w:bookmarkEnd w:id="266"/>
      <w:r>
        <w:rPr>
          <w:spacing w:val="-2"/>
        </w:rPr>
        <w:t>Identification</w:t>
      </w:r>
      <w:r>
        <w:rPr>
          <w:spacing w:val="-3"/>
        </w:rPr>
        <w:t> </w:t>
      </w:r>
      <w:r>
        <w:rPr>
          <w:spacing w:val="-2"/>
        </w:rPr>
        <w:t>of Suitable</w:t>
      </w:r>
      <w:r>
        <w:rPr>
          <w:spacing w:val="-3"/>
        </w:rPr>
        <w:t> </w:t>
      </w:r>
      <w:r>
        <w:rPr>
          <w:rFonts w:ascii="Cambria"/>
          <w:b w:val="0"/>
          <w:spacing w:val="-2"/>
        </w:rPr>
        <w:t>p</w:t>
      </w:r>
      <w:r>
        <w:rPr>
          <w:spacing w:val="-2"/>
        </w:rPr>
        <w:t>-</w:t>
      </w:r>
      <w:bookmarkEnd w:id="264"/>
      <w:r>
        <w:rPr>
          <w:spacing w:val="-4"/>
        </w:rPr>
        <w:t>norm</w:t>
      </w:r>
    </w:p>
    <w:p>
      <w:pPr>
        <w:pStyle w:val="BodyText"/>
        <w:spacing w:line="307" w:lineRule="auto" w:before="238"/>
        <w:ind w:left="610" w:right="389"/>
        <w:jc w:val="both"/>
      </w:pPr>
      <w:r>
        <w:rPr/>
        <w:t>The first element of the between team analysis was to identify the most appropriate </w:t>
      </w:r>
      <w:r>
        <w:rPr>
          <w:rFonts w:ascii="Cambria"/>
        </w:rPr>
        <w:t>p</w:t>
      </w:r>
      <w:r>
        <w:rPr/>
        <w:t>- norm for use within rugby league (Equation</w:t>
      </w:r>
      <w:hyperlink w:history="true" w:anchor="_bookmark137">
        <w:r>
          <w:rPr>
            <w:color w:val="0000FF"/>
          </w:rPr>
          <w:t>5.4</w:t>
        </w:r>
      </w:hyperlink>
      <w:r>
        <w:rPr/>
        <w:t>). Table</w:t>
      </w:r>
      <w:r>
        <w:rPr>
          <w:color w:val="0000FF"/>
        </w:rPr>
        <w:t>5.6</w:t>
      </w:r>
      <w:r>
        <w:rPr/>
        <w:t>shows the</w:t>
      </w:r>
      <w:r>
        <w:rPr>
          <w:spacing w:val="80"/>
        </w:rPr>
        <w:t> </w:t>
      </w:r>
      <w:r>
        <w:rPr>
          <w:rFonts w:ascii="Cambria"/>
        </w:rPr>
        <w:t>W</w:t>
      </w:r>
      <w:r>
        <w:rPr>
          <w:rFonts w:ascii="Georgia"/>
          <w:vertAlign w:val="subscript"/>
        </w:rPr>
        <w:t>1</w:t>
      </w:r>
      <w:r>
        <w:rPr>
          <w:vertAlign w:val="baseline"/>
        </w:rPr>
        <w:t>, </w:t>
      </w:r>
      <w:r>
        <w:rPr>
          <w:rFonts w:ascii="Cambria"/>
          <w:vertAlign w:val="baseline"/>
        </w:rPr>
        <w:t>W</w:t>
      </w:r>
      <w:r>
        <w:rPr>
          <w:rFonts w:ascii="Georgia"/>
          <w:vertAlign w:val="subscript"/>
        </w:rPr>
        <w:t>2</w:t>
      </w:r>
      <w:r>
        <w:rPr>
          <w:rFonts w:ascii="Georgia"/>
          <w:vertAlign w:val="baseline"/>
        </w:rPr>
        <w:t> </w:t>
      </w:r>
      <w:r>
        <w:rPr>
          <w:vertAlign w:val="baseline"/>
        </w:rPr>
        <w:t>and </w:t>
      </w:r>
      <w:r>
        <w:rPr>
          <w:rFonts w:ascii="Cambria"/>
          <w:vertAlign w:val="baseline"/>
        </w:rPr>
        <w:t>W</w:t>
      </w:r>
      <w:r>
        <w:rPr>
          <w:rFonts w:ascii="Georgia"/>
          <w:vertAlign w:val="subscript"/>
        </w:rPr>
        <w:t>3</w:t>
      </w:r>
      <w:r>
        <w:rPr>
          <w:rFonts w:ascii="Georgia"/>
          <w:vertAlign w:val="baseline"/>
        </w:rPr>
        <w:t> </w:t>
      </w:r>
      <w:r>
        <w:rPr>
          <w:vertAlign w:val="baseline"/>
        </w:rPr>
        <w:t>Wasserstein distances at the between team level.</w:t>
      </w:r>
      <w:r>
        <w:rPr>
          <w:spacing w:val="39"/>
          <w:vertAlign w:val="baseline"/>
        </w:rPr>
        <w:t> </w:t>
      </w:r>
      <w:r>
        <w:rPr>
          <w:vertAlign w:val="baseline"/>
        </w:rPr>
        <w:t>These represent </w:t>
      </w:r>
      <w:r>
        <w:rPr>
          <w:rFonts w:ascii="Cambria"/>
          <w:vertAlign w:val="baseline"/>
        </w:rPr>
        <w:t>p</w:t>
      </w:r>
      <w:r>
        <w:rPr>
          <w:vertAlign w:val="baseline"/>
        </w:rPr>
        <w:t>-norms of 1, 2 and 3 respectively.</w:t>
      </w:r>
      <w:r>
        <w:rPr>
          <w:spacing w:val="59"/>
          <w:vertAlign w:val="baseline"/>
        </w:rPr>
        <w:t> </w:t>
      </w:r>
      <w:r>
        <w:rPr>
          <w:vertAlign w:val="baseline"/>
        </w:rPr>
        <w:t>There</w:t>
      </w:r>
      <w:r>
        <w:rPr>
          <w:spacing w:val="10"/>
          <w:vertAlign w:val="baseline"/>
        </w:rPr>
        <w:t> </w:t>
      </w:r>
      <w:r>
        <w:rPr>
          <w:vertAlign w:val="baseline"/>
        </w:rPr>
        <w:t>was</w:t>
      </w:r>
      <w:r>
        <w:rPr>
          <w:spacing w:val="11"/>
          <w:vertAlign w:val="baseline"/>
        </w:rPr>
        <w:t> </w:t>
      </w:r>
      <w:r>
        <w:rPr>
          <w:vertAlign w:val="baseline"/>
        </w:rPr>
        <w:t>a</w:t>
      </w:r>
      <w:r>
        <w:rPr>
          <w:spacing w:val="10"/>
          <w:vertAlign w:val="baseline"/>
        </w:rPr>
        <w:t> </w:t>
      </w:r>
      <w:r>
        <w:rPr>
          <w:vertAlign w:val="baseline"/>
        </w:rPr>
        <w:t>general</w:t>
      </w:r>
      <w:r>
        <w:rPr>
          <w:spacing w:val="11"/>
          <w:vertAlign w:val="baseline"/>
        </w:rPr>
        <w:t> </w:t>
      </w:r>
      <w:r>
        <w:rPr>
          <w:vertAlign w:val="baseline"/>
        </w:rPr>
        <w:t>trend</w:t>
      </w:r>
      <w:r>
        <w:rPr>
          <w:spacing w:val="11"/>
          <w:vertAlign w:val="baseline"/>
        </w:rPr>
        <w:t> </w:t>
      </w:r>
      <w:r>
        <w:rPr>
          <w:vertAlign w:val="baseline"/>
        </w:rPr>
        <w:t>for</w:t>
      </w:r>
      <w:r>
        <w:rPr>
          <w:spacing w:val="11"/>
          <w:vertAlign w:val="baseline"/>
        </w:rPr>
        <w:t> </w:t>
      </w:r>
      <w:r>
        <w:rPr>
          <w:vertAlign w:val="baseline"/>
        </w:rPr>
        <w:t>the</w:t>
      </w:r>
      <w:r>
        <w:rPr>
          <w:spacing w:val="10"/>
          <w:vertAlign w:val="baseline"/>
        </w:rPr>
        <w:t> </w:t>
      </w:r>
      <w:r>
        <w:rPr>
          <w:vertAlign w:val="baseline"/>
        </w:rPr>
        <w:t>Wasserstein</w:t>
      </w:r>
      <w:r>
        <w:rPr>
          <w:spacing w:val="11"/>
          <w:vertAlign w:val="baseline"/>
        </w:rPr>
        <w:t> </w:t>
      </w:r>
      <w:r>
        <w:rPr>
          <w:vertAlign w:val="baseline"/>
        </w:rPr>
        <w:t>distance</w:t>
      </w:r>
      <w:r>
        <w:rPr>
          <w:spacing w:val="10"/>
          <w:vertAlign w:val="baseline"/>
        </w:rPr>
        <w:t> </w:t>
      </w:r>
      <w:r>
        <w:rPr>
          <w:vertAlign w:val="baseline"/>
        </w:rPr>
        <w:t>to</w:t>
      </w:r>
      <w:r>
        <w:rPr>
          <w:spacing w:val="11"/>
          <w:vertAlign w:val="baseline"/>
        </w:rPr>
        <w:t> </w:t>
      </w:r>
      <w:r>
        <w:rPr>
          <w:vertAlign w:val="baseline"/>
        </w:rPr>
        <w:t>decrease</w:t>
      </w:r>
      <w:r>
        <w:rPr>
          <w:spacing w:val="11"/>
          <w:vertAlign w:val="baseline"/>
        </w:rPr>
        <w:t> </w:t>
      </w:r>
      <w:r>
        <w:rPr>
          <w:vertAlign w:val="baseline"/>
        </w:rPr>
        <w:t>as</w:t>
      </w:r>
      <w:r>
        <w:rPr>
          <w:spacing w:val="11"/>
          <w:vertAlign w:val="baseline"/>
        </w:rPr>
        <w:t> </w:t>
      </w:r>
      <w:r>
        <w:rPr>
          <w:spacing w:val="-5"/>
          <w:vertAlign w:val="baseline"/>
        </w:rPr>
        <w:t>the</w:t>
      </w:r>
    </w:p>
    <w:p>
      <w:pPr>
        <w:spacing w:after="0" w:line="307" w:lineRule="auto"/>
        <w:jc w:val="both"/>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35" w:lineRule="auto" w:before="106"/>
        <w:ind w:left="610" w:right="389"/>
        <w:jc w:val="both"/>
      </w:pPr>
      <w:bookmarkStart w:name="_bookmark153" w:id="267"/>
      <w:bookmarkEnd w:id="267"/>
      <w:r>
        <w:rPr/>
      </w:r>
      <w:r>
        <w:rPr>
          <w:b/>
        </w:rPr>
        <w:t>Table</w:t>
      </w:r>
      <w:r>
        <w:rPr>
          <w:b/>
          <w:spacing w:val="-15"/>
        </w:rPr>
        <w:t> </w:t>
      </w:r>
      <w:r>
        <w:rPr>
          <w:b/>
        </w:rPr>
        <w:t>5.6:</w:t>
      </w:r>
      <w:r>
        <w:rPr>
          <w:b/>
          <w:spacing w:val="-4"/>
        </w:rPr>
        <w:t> </w:t>
      </w:r>
      <w:r>
        <w:rPr/>
        <w:t>Wasserstein</w:t>
      </w:r>
      <w:r>
        <w:rPr>
          <w:spacing w:val="-15"/>
        </w:rPr>
        <w:t> </w:t>
      </w:r>
      <w:r>
        <w:rPr/>
        <w:t>distances</w:t>
      </w:r>
      <w:r>
        <w:rPr>
          <w:spacing w:val="-15"/>
        </w:rPr>
        <w:t> </w:t>
      </w:r>
      <w:r>
        <w:rPr/>
        <w:t>for</w:t>
      </w:r>
      <w:r>
        <w:rPr>
          <w:spacing w:val="-15"/>
        </w:rPr>
        <w:t> </w:t>
      </w:r>
      <w:r>
        <w:rPr>
          <w:rFonts w:ascii="Cambria" w:hAnsi="Cambria"/>
        </w:rPr>
        <w:t>W</w:t>
      </w:r>
      <w:r>
        <w:rPr>
          <w:rFonts w:ascii="Georgia" w:hAnsi="Georgia"/>
          <w:vertAlign w:val="subscript"/>
        </w:rPr>
        <w:t>1</w:t>
      </w:r>
      <w:r>
        <w:rPr>
          <w:vertAlign w:val="baseline"/>
        </w:rPr>
        <w:t>,</w:t>
      </w:r>
      <w:r>
        <w:rPr>
          <w:spacing w:val="-14"/>
          <w:vertAlign w:val="baseline"/>
        </w:rPr>
        <w:t> </w:t>
      </w:r>
      <w:r>
        <w:rPr>
          <w:rFonts w:ascii="Cambria" w:hAnsi="Cambria"/>
          <w:vertAlign w:val="baseline"/>
        </w:rPr>
        <w:t>W</w:t>
      </w:r>
      <w:r>
        <w:rPr>
          <w:rFonts w:ascii="Georgia" w:hAnsi="Georgia"/>
          <w:vertAlign w:val="subscript"/>
        </w:rPr>
        <w:t>2</w:t>
      </w:r>
      <w:r>
        <w:rPr>
          <w:rFonts w:ascii="Georgia" w:hAnsi="Georgia"/>
          <w:spacing w:val="-5"/>
          <w:vertAlign w:val="baseline"/>
        </w:rPr>
        <w:t> </w:t>
      </w:r>
      <w:r>
        <w:rPr>
          <w:vertAlign w:val="baseline"/>
        </w:rPr>
        <w:t>and</w:t>
      </w:r>
      <w:r>
        <w:rPr>
          <w:spacing w:val="-15"/>
          <w:vertAlign w:val="baseline"/>
        </w:rPr>
        <w:t> </w:t>
      </w:r>
      <w:r>
        <w:rPr>
          <w:rFonts w:ascii="Cambria" w:hAnsi="Cambria"/>
          <w:vertAlign w:val="baseline"/>
        </w:rPr>
        <w:t>W</w:t>
      </w:r>
      <w:r>
        <w:rPr>
          <w:rFonts w:ascii="Georgia" w:hAnsi="Georgia"/>
          <w:vertAlign w:val="subscript"/>
        </w:rPr>
        <w:t>3</w:t>
      </w:r>
      <w:r>
        <w:rPr>
          <w:rFonts w:ascii="Georgia" w:hAnsi="Georgia"/>
          <w:spacing w:val="-5"/>
          <w:vertAlign w:val="baseline"/>
        </w:rPr>
        <w:t> </w:t>
      </w:r>
      <w:r>
        <w:rPr>
          <w:vertAlign w:val="baseline"/>
        </w:rPr>
        <w:t>at</w:t>
      </w:r>
      <w:r>
        <w:rPr>
          <w:spacing w:val="-15"/>
          <w:vertAlign w:val="baseline"/>
        </w:rPr>
        <w:t> </w:t>
      </w:r>
      <w:r>
        <w:rPr>
          <w:vertAlign w:val="baseline"/>
        </w:rPr>
        <w:t>the</w:t>
      </w:r>
      <w:r>
        <w:rPr>
          <w:spacing w:val="-15"/>
          <w:vertAlign w:val="baseline"/>
        </w:rPr>
        <w:t> </w:t>
      </w:r>
      <w:r>
        <w:rPr>
          <w:vertAlign w:val="baseline"/>
        </w:rPr>
        <w:t>between</w:t>
      </w:r>
      <w:r>
        <w:rPr>
          <w:spacing w:val="-15"/>
          <w:vertAlign w:val="baseline"/>
        </w:rPr>
        <w:t> </w:t>
      </w:r>
      <w:r>
        <w:rPr>
          <w:vertAlign w:val="baseline"/>
        </w:rPr>
        <w:t>team</w:t>
      </w:r>
      <w:r>
        <w:rPr>
          <w:spacing w:val="-15"/>
          <w:vertAlign w:val="baseline"/>
        </w:rPr>
        <w:t> </w:t>
      </w:r>
      <w:r>
        <w:rPr>
          <w:vertAlign w:val="baseline"/>
        </w:rPr>
        <w:t>level. Distances represent differences between the team’s overall KDE and the whole league KDE. </w:t>
      </w:r>
      <w:r>
        <w:rPr>
          <w:vertAlign w:val="baseline"/>
        </w:rPr>
        <w:t>Final column (</w:t>
      </w:r>
      <w:r>
        <w:rPr>
          <w:rFonts w:ascii="Cambria" w:hAnsi="Cambria"/>
          <w:vertAlign w:val="baseline"/>
        </w:rPr>
        <w:t>W</w:t>
      </w:r>
      <w:r>
        <w:rPr>
          <w:rFonts w:ascii="Georgia" w:hAnsi="Georgia"/>
          <w:vertAlign w:val="subscript"/>
        </w:rPr>
        <w:t>1</w:t>
      </w:r>
      <w:r>
        <w:rPr>
          <w:rFonts w:ascii="Georgia" w:hAnsi="Georgia"/>
          <w:vertAlign w:val="baseline"/>
        </w:rPr>
        <w:t> </w:t>
      </w:r>
      <w:r>
        <w:rPr>
          <w:rFonts w:ascii="Lucida Sans Unicode" w:hAnsi="Lucida Sans Unicode"/>
          <w:vertAlign w:val="baseline"/>
        </w:rPr>
        <w:t>−</w:t>
      </w:r>
      <w:r>
        <w:rPr>
          <w:rFonts w:ascii="Lucida Sans Unicode" w:hAnsi="Lucida Sans Unicode"/>
          <w:spacing w:val="-11"/>
          <w:vertAlign w:val="baseline"/>
        </w:rPr>
        <w:t> </w:t>
      </w:r>
      <w:r>
        <w:rPr>
          <w:rFonts w:ascii="Cambria" w:hAnsi="Cambria"/>
          <w:vertAlign w:val="baseline"/>
        </w:rPr>
        <w:t>W</w:t>
      </w:r>
      <w:r>
        <w:rPr>
          <w:rFonts w:ascii="Georgia" w:hAnsi="Georgia"/>
          <w:vertAlign w:val="subscript"/>
        </w:rPr>
        <w:t>3</w:t>
      </w:r>
      <w:r>
        <w:rPr>
          <w:vertAlign w:val="baseline"/>
        </w:rPr>
        <w:t>) is the difference between the </w:t>
      </w:r>
      <w:r>
        <w:rPr>
          <w:rFonts w:ascii="Cambria" w:hAnsi="Cambria"/>
          <w:vertAlign w:val="baseline"/>
        </w:rPr>
        <w:t>W</w:t>
      </w:r>
      <w:r>
        <w:rPr>
          <w:rFonts w:ascii="Georgia" w:hAnsi="Georgia"/>
          <w:vertAlign w:val="subscript"/>
        </w:rPr>
        <w:t>1</w:t>
      </w:r>
      <w:r>
        <w:rPr>
          <w:rFonts w:ascii="Georgia" w:hAnsi="Georgia"/>
          <w:vertAlign w:val="baseline"/>
        </w:rPr>
        <w:t> </w:t>
      </w:r>
      <w:r>
        <w:rPr>
          <w:vertAlign w:val="baseline"/>
        </w:rPr>
        <w:t>and </w:t>
      </w:r>
      <w:r>
        <w:rPr>
          <w:rFonts w:ascii="Cambria" w:hAnsi="Cambria"/>
          <w:vertAlign w:val="baseline"/>
        </w:rPr>
        <w:t>W</w:t>
      </w:r>
      <w:r>
        <w:rPr>
          <w:rFonts w:ascii="Georgia" w:hAnsi="Georgia"/>
          <w:vertAlign w:val="subscript"/>
        </w:rPr>
        <w:t>3</w:t>
      </w:r>
      <w:r>
        <w:rPr>
          <w:rFonts w:ascii="Georgia" w:hAnsi="Georgia"/>
          <w:vertAlign w:val="baseline"/>
        </w:rPr>
        <w:t> </w:t>
      </w:r>
      <w:r>
        <w:rPr>
          <w:vertAlign w:val="baseline"/>
        </w:rPr>
        <w:t>distances</w:t>
      </w:r>
    </w:p>
    <w:p>
      <w:pPr>
        <w:pStyle w:val="BodyText"/>
        <w:rPr>
          <w:sz w:val="20"/>
        </w:rPr>
      </w:pPr>
    </w:p>
    <w:p>
      <w:pPr>
        <w:pStyle w:val="BodyText"/>
        <w:spacing w:before="5" w:after="1"/>
        <w:rPr>
          <w:sz w:val="18"/>
        </w:rPr>
      </w:pPr>
    </w:p>
    <w:tbl>
      <w:tblPr>
        <w:tblW w:w="0" w:type="auto"/>
        <w:jc w:val="left"/>
        <w:tblInd w:w="25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474"/>
        <w:gridCol w:w="657"/>
        <w:gridCol w:w="657"/>
        <w:gridCol w:w="657"/>
        <w:gridCol w:w="1162"/>
      </w:tblGrid>
      <w:tr>
        <w:trPr>
          <w:trHeight w:val="272" w:hRule="atLeast"/>
        </w:trPr>
        <w:tc>
          <w:tcPr>
            <w:tcW w:w="1474" w:type="dxa"/>
            <w:tcBorders>
              <w:top w:val="single" w:sz="4" w:space="0" w:color="000000"/>
              <w:bottom w:val="single" w:sz="4" w:space="0" w:color="000000"/>
            </w:tcBorders>
          </w:tcPr>
          <w:p>
            <w:pPr>
              <w:pStyle w:val="TableParagraph"/>
              <w:spacing w:line="253" w:lineRule="exact"/>
              <w:ind w:left="102" w:right="102"/>
              <w:rPr>
                <w:sz w:val="24"/>
              </w:rPr>
            </w:pPr>
            <w:r>
              <w:rPr>
                <w:spacing w:val="-4"/>
                <w:sz w:val="24"/>
              </w:rPr>
              <w:t>Team</w:t>
            </w:r>
          </w:p>
        </w:tc>
        <w:tc>
          <w:tcPr>
            <w:tcW w:w="657" w:type="dxa"/>
            <w:tcBorders>
              <w:top w:val="single" w:sz="4" w:space="0" w:color="000000"/>
              <w:bottom w:val="single" w:sz="4" w:space="0" w:color="000000"/>
            </w:tcBorders>
          </w:tcPr>
          <w:p>
            <w:pPr>
              <w:pStyle w:val="TableParagraph"/>
              <w:spacing w:line="255" w:lineRule="exact"/>
              <w:ind w:left="99" w:right="105"/>
              <w:rPr>
                <w:rFonts w:ascii="Georgia"/>
                <w:sz w:val="24"/>
              </w:rPr>
            </w:pPr>
            <w:r>
              <w:rPr>
                <w:rFonts w:ascii="Cambria"/>
                <w:spacing w:val="-5"/>
                <w:w w:val="110"/>
                <w:sz w:val="24"/>
              </w:rPr>
              <w:t>W</w:t>
            </w:r>
            <w:r>
              <w:rPr>
                <w:rFonts w:ascii="Georgia"/>
                <w:spacing w:val="-5"/>
                <w:w w:val="110"/>
                <w:sz w:val="24"/>
                <w:vertAlign w:val="subscript"/>
              </w:rPr>
              <w:t>1</w:t>
            </w:r>
          </w:p>
        </w:tc>
        <w:tc>
          <w:tcPr>
            <w:tcW w:w="657" w:type="dxa"/>
            <w:tcBorders>
              <w:top w:val="single" w:sz="4" w:space="0" w:color="000000"/>
              <w:bottom w:val="single" w:sz="4" w:space="0" w:color="000000"/>
            </w:tcBorders>
          </w:tcPr>
          <w:p>
            <w:pPr>
              <w:pStyle w:val="TableParagraph"/>
              <w:spacing w:line="255" w:lineRule="exact"/>
              <w:ind w:left="171"/>
              <w:jc w:val="left"/>
              <w:rPr>
                <w:rFonts w:ascii="Georgia"/>
                <w:sz w:val="24"/>
              </w:rPr>
            </w:pPr>
            <w:r>
              <w:rPr>
                <w:rFonts w:ascii="Cambria"/>
                <w:spacing w:val="-5"/>
                <w:sz w:val="24"/>
              </w:rPr>
              <w:t>W</w:t>
            </w:r>
            <w:r>
              <w:rPr>
                <w:rFonts w:ascii="Georgia"/>
                <w:spacing w:val="-5"/>
                <w:sz w:val="24"/>
                <w:vertAlign w:val="subscript"/>
              </w:rPr>
              <w:t>2</w:t>
            </w:r>
          </w:p>
        </w:tc>
        <w:tc>
          <w:tcPr>
            <w:tcW w:w="657" w:type="dxa"/>
            <w:tcBorders>
              <w:top w:val="single" w:sz="4" w:space="0" w:color="000000"/>
              <w:bottom w:val="single" w:sz="4" w:space="0" w:color="000000"/>
            </w:tcBorders>
          </w:tcPr>
          <w:p>
            <w:pPr>
              <w:pStyle w:val="TableParagraph"/>
              <w:spacing w:line="255" w:lineRule="exact"/>
              <w:ind w:left="101" w:right="105"/>
              <w:rPr>
                <w:rFonts w:ascii="Georgia"/>
                <w:sz w:val="24"/>
              </w:rPr>
            </w:pPr>
            <w:r>
              <w:rPr>
                <w:rFonts w:ascii="Cambria"/>
                <w:spacing w:val="-5"/>
                <w:sz w:val="24"/>
              </w:rPr>
              <w:t>W</w:t>
            </w:r>
            <w:r>
              <w:rPr>
                <w:rFonts w:ascii="Georgia"/>
                <w:spacing w:val="-5"/>
                <w:sz w:val="24"/>
                <w:vertAlign w:val="subscript"/>
              </w:rPr>
              <w:t>3</w:t>
            </w:r>
          </w:p>
        </w:tc>
        <w:tc>
          <w:tcPr>
            <w:tcW w:w="1162" w:type="dxa"/>
            <w:tcBorders>
              <w:top w:val="single" w:sz="4" w:space="0" w:color="000000"/>
              <w:bottom w:val="single" w:sz="4" w:space="0" w:color="000000"/>
            </w:tcBorders>
          </w:tcPr>
          <w:p>
            <w:pPr>
              <w:pStyle w:val="TableParagraph"/>
              <w:spacing w:line="267" w:lineRule="exact"/>
              <w:ind w:left="102" w:right="105"/>
              <w:rPr>
                <w:rFonts w:ascii="Georgia" w:hAnsi="Georgia"/>
                <w:sz w:val="24"/>
              </w:rPr>
            </w:pPr>
            <w:r>
              <w:rPr>
                <w:rFonts w:ascii="Cambria" w:hAnsi="Cambria"/>
                <w:sz w:val="24"/>
              </w:rPr>
              <w:t>W</w:t>
            </w:r>
            <w:r>
              <w:rPr>
                <w:rFonts w:ascii="Georgia" w:hAnsi="Georgia"/>
                <w:sz w:val="24"/>
                <w:vertAlign w:val="subscript"/>
              </w:rPr>
              <w:t>1</w:t>
            </w:r>
            <w:r>
              <w:rPr>
                <w:rFonts w:ascii="Georgia" w:hAnsi="Georgia"/>
                <w:spacing w:val="8"/>
                <w:sz w:val="24"/>
                <w:vertAlign w:val="baseline"/>
              </w:rPr>
              <w:t> </w:t>
            </w:r>
            <w:r>
              <w:rPr>
                <w:rFonts w:ascii="Lucida Sans Unicode" w:hAnsi="Lucida Sans Unicode"/>
                <w:sz w:val="24"/>
                <w:vertAlign w:val="baseline"/>
              </w:rPr>
              <w:t>−</w:t>
            </w:r>
            <w:r>
              <w:rPr>
                <w:rFonts w:ascii="Lucida Sans Unicode" w:hAnsi="Lucida Sans Unicode"/>
                <w:spacing w:val="-19"/>
                <w:sz w:val="24"/>
                <w:vertAlign w:val="baseline"/>
              </w:rPr>
              <w:t> </w:t>
            </w:r>
            <w:r>
              <w:rPr>
                <w:rFonts w:ascii="Cambria" w:hAnsi="Cambria"/>
                <w:spacing w:val="-5"/>
                <w:sz w:val="24"/>
                <w:vertAlign w:val="baseline"/>
              </w:rPr>
              <w:t>W</w:t>
            </w:r>
            <w:r>
              <w:rPr>
                <w:rFonts w:ascii="Georgia" w:hAnsi="Georgia"/>
                <w:spacing w:val="-5"/>
                <w:sz w:val="24"/>
                <w:vertAlign w:val="subscript"/>
              </w:rPr>
              <w:t>3</w:t>
            </w:r>
          </w:p>
        </w:tc>
      </w:tr>
      <w:tr>
        <w:trPr>
          <w:trHeight w:val="283" w:hRule="atLeast"/>
        </w:trPr>
        <w:tc>
          <w:tcPr>
            <w:tcW w:w="1474" w:type="dxa"/>
            <w:tcBorders>
              <w:top w:val="single" w:sz="4" w:space="0" w:color="000000"/>
            </w:tcBorders>
          </w:tcPr>
          <w:p>
            <w:pPr>
              <w:pStyle w:val="TableParagraph"/>
              <w:spacing w:line="249" w:lineRule="exact"/>
              <w:ind w:left="102" w:right="102"/>
              <w:rPr>
                <w:sz w:val="24"/>
              </w:rPr>
            </w:pPr>
            <w:r>
              <w:rPr>
                <w:spacing w:val="-2"/>
                <w:sz w:val="24"/>
              </w:rPr>
              <w:t>Castleford</w:t>
            </w:r>
          </w:p>
        </w:tc>
        <w:tc>
          <w:tcPr>
            <w:tcW w:w="657" w:type="dxa"/>
            <w:tcBorders>
              <w:top w:val="single" w:sz="4" w:space="0" w:color="000000"/>
            </w:tcBorders>
          </w:tcPr>
          <w:p>
            <w:pPr>
              <w:pStyle w:val="TableParagraph"/>
              <w:spacing w:line="249" w:lineRule="exact"/>
              <w:ind w:left="106" w:right="105"/>
              <w:rPr>
                <w:sz w:val="24"/>
              </w:rPr>
            </w:pPr>
            <w:r>
              <w:rPr>
                <w:spacing w:val="-4"/>
                <w:sz w:val="24"/>
              </w:rPr>
              <w:t>3.07</w:t>
            </w:r>
          </w:p>
        </w:tc>
        <w:tc>
          <w:tcPr>
            <w:tcW w:w="657" w:type="dxa"/>
            <w:tcBorders>
              <w:top w:val="single" w:sz="4" w:space="0" w:color="000000"/>
            </w:tcBorders>
          </w:tcPr>
          <w:p>
            <w:pPr>
              <w:pStyle w:val="TableParagraph"/>
              <w:spacing w:line="249" w:lineRule="exact"/>
              <w:ind w:left="120"/>
              <w:jc w:val="left"/>
              <w:rPr>
                <w:sz w:val="24"/>
              </w:rPr>
            </w:pPr>
            <w:r>
              <w:rPr>
                <w:spacing w:val="-4"/>
                <w:sz w:val="24"/>
              </w:rPr>
              <w:t>2.23</w:t>
            </w:r>
          </w:p>
        </w:tc>
        <w:tc>
          <w:tcPr>
            <w:tcW w:w="657" w:type="dxa"/>
            <w:tcBorders>
              <w:top w:val="single" w:sz="4" w:space="0" w:color="000000"/>
            </w:tcBorders>
          </w:tcPr>
          <w:p>
            <w:pPr>
              <w:pStyle w:val="TableParagraph"/>
              <w:spacing w:line="249" w:lineRule="exact"/>
              <w:ind w:left="106" w:right="103"/>
              <w:rPr>
                <w:sz w:val="24"/>
              </w:rPr>
            </w:pPr>
            <w:r>
              <w:rPr>
                <w:spacing w:val="-4"/>
                <w:sz w:val="24"/>
              </w:rPr>
              <w:t>2.03</w:t>
            </w:r>
          </w:p>
        </w:tc>
        <w:tc>
          <w:tcPr>
            <w:tcW w:w="1162" w:type="dxa"/>
            <w:tcBorders>
              <w:top w:val="single" w:sz="4" w:space="0" w:color="000000"/>
            </w:tcBorders>
          </w:tcPr>
          <w:p>
            <w:pPr>
              <w:pStyle w:val="TableParagraph"/>
              <w:spacing w:line="249" w:lineRule="exact"/>
              <w:ind w:left="106" w:right="102"/>
              <w:rPr>
                <w:sz w:val="24"/>
              </w:rPr>
            </w:pPr>
            <w:r>
              <w:rPr>
                <w:spacing w:val="-4"/>
                <w:sz w:val="24"/>
              </w:rPr>
              <w:t>1.04</w:t>
            </w:r>
          </w:p>
        </w:tc>
      </w:tr>
      <w:tr>
        <w:trPr>
          <w:trHeight w:val="288" w:hRule="atLeast"/>
        </w:trPr>
        <w:tc>
          <w:tcPr>
            <w:tcW w:w="1474" w:type="dxa"/>
          </w:tcPr>
          <w:p>
            <w:pPr>
              <w:pStyle w:val="TableParagraph"/>
              <w:ind w:left="102" w:right="102"/>
              <w:rPr>
                <w:sz w:val="24"/>
              </w:rPr>
            </w:pPr>
            <w:r>
              <w:rPr>
                <w:spacing w:val="-2"/>
                <w:sz w:val="24"/>
              </w:rPr>
              <w:t>Catalans</w:t>
            </w:r>
          </w:p>
        </w:tc>
        <w:tc>
          <w:tcPr>
            <w:tcW w:w="657" w:type="dxa"/>
          </w:tcPr>
          <w:p>
            <w:pPr>
              <w:pStyle w:val="TableParagraph"/>
              <w:ind w:left="106" w:right="105"/>
              <w:rPr>
                <w:sz w:val="24"/>
              </w:rPr>
            </w:pPr>
            <w:r>
              <w:rPr>
                <w:spacing w:val="-4"/>
                <w:sz w:val="24"/>
              </w:rPr>
              <w:t>1.08</w:t>
            </w:r>
          </w:p>
        </w:tc>
        <w:tc>
          <w:tcPr>
            <w:tcW w:w="657" w:type="dxa"/>
          </w:tcPr>
          <w:p>
            <w:pPr>
              <w:pStyle w:val="TableParagraph"/>
              <w:ind w:left="120"/>
              <w:jc w:val="left"/>
              <w:rPr>
                <w:sz w:val="24"/>
              </w:rPr>
            </w:pPr>
            <w:r>
              <w:rPr>
                <w:spacing w:val="-4"/>
                <w:sz w:val="24"/>
              </w:rPr>
              <w:t>0.96</w:t>
            </w:r>
          </w:p>
        </w:tc>
        <w:tc>
          <w:tcPr>
            <w:tcW w:w="657" w:type="dxa"/>
          </w:tcPr>
          <w:p>
            <w:pPr>
              <w:pStyle w:val="TableParagraph"/>
              <w:ind w:left="106" w:right="103"/>
              <w:rPr>
                <w:sz w:val="24"/>
              </w:rPr>
            </w:pPr>
            <w:r>
              <w:rPr>
                <w:spacing w:val="-4"/>
                <w:sz w:val="24"/>
              </w:rPr>
              <w:t>0.94</w:t>
            </w:r>
          </w:p>
        </w:tc>
        <w:tc>
          <w:tcPr>
            <w:tcW w:w="1162" w:type="dxa"/>
          </w:tcPr>
          <w:p>
            <w:pPr>
              <w:pStyle w:val="TableParagraph"/>
              <w:ind w:left="106" w:right="102"/>
              <w:rPr>
                <w:sz w:val="24"/>
              </w:rPr>
            </w:pPr>
            <w:r>
              <w:rPr>
                <w:spacing w:val="-4"/>
                <w:sz w:val="24"/>
              </w:rPr>
              <w:t>0.14</w:t>
            </w:r>
          </w:p>
        </w:tc>
      </w:tr>
      <w:tr>
        <w:trPr>
          <w:trHeight w:val="288" w:hRule="atLeast"/>
        </w:trPr>
        <w:tc>
          <w:tcPr>
            <w:tcW w:w="1474" w:type="dxa"/>
          </w:tcPr>
          <w:p>
            <w:pPr>
              <w:pStyle w:val="TableParagraph"/>
              <w:ind w:left="102" w:right="102"/>
              <w:rPr>
                <w:sz w:val="24"/>
              </w:rPr>
            </w:pPr>
            <w:r>
              <w:rPr>
                <w:spacing w:val="-2"/>
                <w:sz w:val="24"/>
              </w:rPr>
              <w:t>Huddersfield</w:t>
            </w:r>
          </w:p>
        </w:tc>
        <w:tc>
          <w:tcPr>
            <w:tcW w:w="657" w:type="dxa"/>
          </w:tcPr>
          <w:p>
            <w:pPr>
              <w:pStyle w:val="TableParagraph"/>
              <w:ind w:left="106" w:right="105"/>
              <w:rPr>
                <w:sz w:val="24"/>
              </w:rPr>
            </w:pPr>
            <w:r>
              <w:rPr>
                <w:spacing w:val="-4"/>
                <w:sz w:val="24"/>
              </w:rPr>
              <w:t>3.38</w:t>
            </w:r>
          </w:p>
        </w:tc>
        <w:tc>
          <w:tcPr>
            <w:tcW w:w="657" w:type="dxa"/>
          </w:tcPr>
          <w:p>
            <w:pPr>
              <w:pStyle w:val="TableParagraph"/>
              <w:ind w:left="120"/>
              <w:jc w:val="left"/>
              <w:rPr>
                <w:sz w:val="24"/>
              </w:rPr>
            </w:pPr>
            <w:r>
              <w:rPr>
                <w:spacing w:val="-4"/>
                <w:sz w:val="24"/>
              </w:rPr>
              <w:t>2.57</w:t>
            </w:r>
          </w:p>
        </w:tc>
        <w:tc>
          <w:tcPr>
            <w:tcW w:w="657" w:type="dxa"/>
          </w:tcPr>
          <w:p>
            <w:pPr>
              <w:pStyle w:val="TableParagraph"/>
              <w:ind w:left="106" w:right="103"/>
              <w:rPr>
                <w:sz w:val="24"/>
              </w:rPr>
            </w:pPr>
            <w:r>
              <w:rPr>
                <w:spacing w:val="-4"/>
                <w:sz w:val="24"/>
              </w:rPr>
              <w:t>2.38</w:t>
            </w:r>
          </w:p>
        </w:tc>
        <w:tc>
          <w:tcPr>
            <w:tcW w:w="1162" w:type="dxa"/>
          </w:tcPr>
          <w:p>
            <w:pPr>
              <w:pStyle w:val="TableParagraph"/>
              <w:ind w:left="106" w:right="102"/>
              <w:rPr>
                <w:sz w:val="24"/>
              </w:rPr>
            </w:pPr>
            <w:r>
              <w:rPr>
                <w:spacing w:val="-4"/>
                <w:sz w:val="24"/>
              </w:rPr>
              <w:t>1.00</w:t>
            </w:r>
          </w:p>
        </w:tc>
      </w:tr>
      <w:tr>
        <w:trPr>
          <w:trHeight w:val="288" w:hRule="atLeast"/>
        </w:trPr>
        <w:tc>
          <w:tcPr>
            <w:tcW w:w="1474" w:type="dxa"/>
          </w:tcPr>
          <w:p>
            <w:pPr>
              <w:pStyle w:val="TableParagraph"/>
              <w:ind w:left="102" w:right="102"/>
              <w:rPr>
                <w:sz w:val="24"/>
              </w:rPr>
            </w:pPr>
            <w:r>
              <w:rPr>
                <w:spacing w:val="-4"/>
                <w:sz w:val="24"/>
              </w:rPr>
              <w:t>Hull</w:t>
            </w:r>
          </w:p>
        </w:tc>
        <w:tc>
          <w:tcPr>
            <w:tcW w:w="657" w:type="dxa"/>
          </w:tcPr>
          <w:p>
            <w:pPr>
              <w:pStyle w:val="TableParagraph"/>
              <w:ind w:left="106" w:right="105"/>
              <w:rPr>
                <w:sz w:val="24"/>
              </w:rPr>
            </w:pPr>
            <w:r>
              <w:rPr>
                <w:spacing w:val="-4"/>
                <w:sz w:val="24"/>
              </w:rPr>
              <w:t>1.38</w:t>
            </w:r>
          </w:p>
        </w:tc>
        <w:tc>
          <w:tcPr>
            <w:tcW w:w="657" w:type="dxa"/>
          </w:tcPr>
          <w:p>
            <w:pPr>
              <w:pStyle w:val="TableParagraph"/>
              <w:ind w:left="120"/>
              <w:jc w:val="left"/>
              <w:rPr>
                <w:sz w:val="24"/>
              </w:rPr>
            </w:pPr>
            <w:r>
              <w:rPr>
                <w:spacing w:val="-4"/>
                <w:sz w:val="24"/>
              </w:rPr>
              <w:t>1.18</w:t>
            </w:r>
          </w:p>
        </w:tc>
        <w:tc>
          <w:tcPr>
            <w:tcW w:w="657" w:type="dxa"/>
          </w:tcPr>
          <w:p>
            <w:pPr>
              <w:pStyle w:val="TableParagraph"/>
              <w:ind w:left="106" w:right="103"/>
              <w:rPr>
                <w:sz w:val="24"/>
              </w:rPr>
            </w:pPr>
            <w:r>
              <w:rPr>
                <w:spacing w:val="-4"/>
                <w:sz w:val="24"/>
              </w:rPr>
              <w:t>1.13</w:t>
            </w:r>
          </w:p>
        </w:tc>
        <w:tc>
          <w:tcPr>
            <w:tcW w:w="1162" w:type="dxa"/>
          </w:tcPr>
          <w:p>
            <w:pPr>
              <w:pStyle w:val="TableParagraph"/>
              <w:ind w:left="106" w:right="102"/>
              <w:rPr>
                <w:sz w:val="24"/>
              </w:rPr>
            </w:pPr>
            <w:r>
              <w:rPr>
                <w:spacing w:val="-4"/>
                <w:sz w:val="24"/>
              </w:rPr>
              <w:t>0.25</w:t>
            </w:r>
          </w:p>
        </w:tc>
      </w:tr>
      <w:tr>
        <w:trPr>
          <w:trHeight w:val="288" w:hRule="atLeast"/>
        </w:trPr>
        <w:tc>
          <w:tcPr>
            <w:tcW w:w="1474" w:type="dxa"/>
          </w:tcPr>
          <w:p>
            <w:pPr>
              <w:pStyle w:val="TableParagraph"/>
              <w:ind w:left="102" w:right="102"/>
              <w:rPr>
                <w:sz w:val="24"/>
              </w:rPr>
            </w:pPr>
            <w:r>
              <w:rPr>
                <w:sz w:val="24"/>
              </w:rPr>
              <w:t>Hull</w:t>
            </w:r>
            <w:r>
              <w:rPr>
                <w:spacing w:val="-6"/>
                <w:sz w:val="24"/>
              </w:rPr>
              <w:t> </w:t>
            </w:r>
            <w:r>
              <w:rPr>
                <w:spacing w:val="-5"/>
                <w:sz w:val="24"/>
              </w:rPr>
              <w:t>KR</w:t>
            </w:r>
          </w:p>
        </w:tc>
        <w:tc>
          <w:tcPr>
            <w:tcW w:w="657" w:type="dxa"/>
          </w:tcPr>
          <w:p>
            <w:pPr>
              <w:pStyle w:val="TableParagraph"/>
              <w:ind w:left="105" w:right="105"/>
              <w:rPr>
                <w:sz w:val="24"/>
              </w:rPr>
            </w:pPr>
            <w:r>
              <w:rPr>
                <w:spacing w:val="-4"/>
                <w:sz w:val="24"/>
              </w:rPr>
              <w:t>2.12</w:t>
            </w:r>
          </w:p>
        </w:tc>
        <w:tc>
          <w:tcPr>
            <w:tcW w:w="657" w:type="dxa"/>
          </w:tcPr>
          <w:p>
            <w:pPr>
              <w:pStyle w:val="TableParagraph"/>
              <w:ind w:left="120"/>
              <w:jc w:val="left"/>
              <w:rPr>
                <w:sz w:val="24"/>
              </w:rPr>
            </w:pPr>
            <w:r>
              <w:rPr>
                <w:spacing w:val="-4"/>
                <w:sz w:val="24"/>
              </w:rPr>
              <w:t>1.64</w:t>
            </w:r>
          </w:p>
        </w:tc>
        <w:tc>
          <w:tcPr>
            <w:tcW w:w="657" w:type="dxa"/>
          </w:tcPr>
          <w:p>
            <w:pPr>
              <w:pStyle w:val="TableParagraph"/>
              <w:ind w:left="106" w:right="103"/>
              <w:rPr>
                <w:sz w:val="24"/>
              </w:rPr>
            </w:pPr>
            <w:r>
              <w:rPr>
                <w:spacing w:val="-4"/>
                <w:sz w:val="24"/>
              </w:rPr>
              <w:t>1.55</w:t>
            </w:r>
          </w:p>
        </w:tc>
        <w:tc>
          <w:tcPr>
            <w:tcW w:w="1162" w:type="dxa"/>
          </w:tcPr>
          <w:p>
            <w:pPr>
              <w:pStyle w:val="TableParagraph"/>
              <w:ind w:left="106" w:right="102"/>
              <w:rPr>
                <w:sz w:val="24"/>
              </w:rPr>
            </w:pPr>
            <w:r>
              <w:rPr>
                <w:spacing w:val="-4"/>
                <w:sz w:val="24"/>
              </w:rPr>
              <w:t>0.57</w:t>
            </w:r>
          </w:p>
        </w:tc>
      </w:tr>
      <w:tr>
        <w:trPr>
          <w:trHeight w:val="288" w:hRule="atLeast"/>
        </w:trPr>
        <w:tc>
          <w:tcPr>
            <w:tcW w:w="1474" w:type="dxa"/>
          </w:tcPr>
          <w:p>
            <w:pPr>
              <w:pStyle w:val="TableParagraph"/>
              <w:ind w:left="102" w:right="102"/>
              <w:rPr>
                <w:sz w:val="24"/>
              </w:rPr>
            </w:pPr>
            <w:r>
              <w:rPr>
                <w:spacing w:val="-2"/>
                <w:sz w:val="24"/>
              </w:rPr>
              <w:t>Leeds</w:t>
            </w:r>
          </w:p>
        </w:tc>
        <w:tc>
          <w:tcPr>
            <w:tcW w:w="657" w:type="dxa"/>
          </w:tcPr>
          <w:p>
            <w:pPr>
              <w:pStyle w:val="TableParagraph"/>
              <w:ind w:left="106" w:right="105"/>
              <w:rPr>
                <w:sz w:val="24"/>
              </w:rPr>
            </w:pPr>
            <w:r>
              <w:rPr>
                <w:spacing w:val="-4"/>
                <w:sz w:val="24"/>
              </w:rPr>
              <w:t>2.27</w:t>
            </w:r>
          </w:p>
        </w:tc>
        <w:tc>
          <w:tcPr>
            <w:tcW w:w="657" w:type="dxa"/>
          </w:tcPr>
          <w:p>
            <w:pPr>
              <w:pStyle w:val="TableParagraph"/>
              <w:ind w:left="120"/>
              <w:jc w:val="left"/>
              <w:rPr>
                <w:sz w:val="24"/>
              </w:rPr>
            </w:pPr>
            <w:r>
              <w:rPr>
                <w:spacing w:val="-4"/>
                <w:sz w:val="24"/>
              </w:rPr>
              <w:t>1.99</w:t>
            </w:r>
          </w:p>
        </w:tc>
        <w:tc>
          <w:tcPr>
            <w:tcW w:w="657" w:type="dxa"/>
          </w:tcPr>
          <w:p>
            <w:pPr>
              <w:pStyle w:val="TableParagraph"/>
              <w:ind w:left="106" w:right="103"/>
              <w:rPr>
                <w:sz w:val="24"/>
              </w:rPr>
            </w:pPr>
            <w:r>
              <w:rPr>
                <w:spacing w:val="-4"/>
                <w:sz w:val="24"/>
              </w:rPr>
              <w:t>1.96</w:t>
            </w:r>
          </w:p>
        </w:tc>
        <w:tc>
          <w:tcPr>
            <w:tcW w:w="1162" w:type="dxa"/>
          </w:tcPr>
          <w:p>
            <w:pPr>
              <w:pStyle w:val="TableParagraph"/>
              <w:ind w:left="106" w:right="102"/>
              <w:rPr>
                <w:sz w:val="24"/>
              </w:rPr>
            </w:pPr>
            <w:r>
              <w:rPr>
                <w:spacing w:val="-4"/>
                <w:sz w:val="24"/>
              </w:rPr>
              <w:t>0.31</w:t>
            </w:r>
          </w:p>
        </w:tc>
      </w:tr>
      <w:tr>
        <w:trPr>
          <w:trHeight w:val="288" w:hRule="atLeast"/>
        </w:trPr>
        <w:tc>
          <w:tcPr>
            <w:tcW w:w="1474" w:type="dxa"/>
          </w:tcPr>
          <w:p>
            <w:pPr>
              <w:pStyle w:val="TableParagraph"/>
              <w:ind w:left="102" w:right="102"/>
              <w:rPr>
                <w:sz w:val="24"/>
              </w:rPr>
            </w:pPr>
            <w:r>
              <w:rPr>
                <w:spacing w:val="-2"/>
                <w:sz w:val="24"/>
              </w:rPr>
              <w:t>Leigh</w:t>
            </w:r>
          </w:p>
        </w:tc>
        <w:tc>
          <w:tcPr>
            <w:tcW w:w="657" w:type="dxa"/>
          </w:tcPr>
          <w:p>
            <w:pPr>
              <w:pStyle w:val="TableParagraph"/>
              <w:ind w:left="105" w:right="105"/>
              <w:rPr>
                <w:sz w:val="24"/>
              </w:rPr>
            </w:pPr>
            <w:r>
              <w:rPr>
                <w:spacing w:val="-4"/>
                <w:sz w:val="24"/>
              </w:rPr>
              <w:t>2.61</w:t>
            </w:r>
          </w:p>
        </w:tc>
        <w:tc>
          <w:tcPr>
            <w:tcW w:w="657" w:type="dxa"/>
          </w:tcPr>
          <w:p>
            <w:pPr>
              <w:pStyle w:val="TableParagraph"/>
              <w:ind w:left="120"/>
              <w:jc w:val="left"/>
              <w:rPr>
                <w:sz w:val="24"/>
              </w:rPr>
            </w:pPr>
            <w:r>
              <w:rPr>
                <w:spacing w:val="-4"/>
                <w:sz w:val="24"/>
              </w:rPr>
              <w:t>2.13</w:t>
            </w:r>
          </w:p>
        </w:tc>
        <w:tc>
          <w:tcPr>
            <w:tcW w:w="657" w:type="dxa"/>
          </w:tcPr>
          <w:p>
            <w:pPr>
              <w:pStyle w:val="TableParagraph"/>
              <w:ind w:left="106" w:right="103"/>
              <w:rPr>
                <w:sz w:val="24"/>
              </w:rPr>
            </w:pPr>
            <w:r>
              <w:rPr>
                <w:spacing w:val="-4"/>
                <w:sz w:val="24"/>
              </w:rPr>
              <w:t>2.02</w:t>
            </w:r>
          </w:p>
        </w:tc>
        <w:tc>
          <w:tcPr>
            <w:tcW w:w="1162" w:type="dxa"/>
          </w:tcPr>
          <w:p>
            <w:pPr>
              <w:pStyle w:val="TableParagraph"/>
              <w:ind w:left="106" w:right="102"/>
              <w:rPr>
                <w:sz w:val="24"/>
              </w:rPr>
            </w:pPr>
            <w:r>
              <w:rPr>
                <w:spacing w:val="-4"/>
                <w:sz w:val="24"/>
              </w:rPr>
              <w:t>0.59</w:t>
            </w:r>
          </w:p>
        </w:tc>
      </w:tr>
      <w:tr>
        <w:trPr>
          <w:trHeight w:val="288" w:hRule="atLeast"/>
        </w:trPr>
        <w:tc>
          <w:tcPr>
            <w:tcW w:w="1474" w:type="dxa"/>
          </w:tcPr>
          <w:p>
            <w:pPr>
              <w:pStyle w:val="TableParagraph"/>
              <w:ind w:left="102" w:right="102"/>
              <w:rPr>
                <w:sz w:val="24"/>
              </w:rPr>
            </w:pPr>
            <w:r>
              <w:rPr>
                <w:spacing w:val="-2"/>
                <w:sz w:val="24"/>
              </w:rPr>
              <w:t>Salford</w:t>
            </w:r>
          </w:p>
        </w:tc>
        <w:tc>
          <w:tcPr>
            <w:tcW w:w="657" w:type="dxa"/>
          </w:tcPr>
          <w:p>
            <w:pPr>
              <w:pStyle w:val="TableParagraph"/>
              <w:ind w:left="106" w:right="105"/>
              <w:rPr>
                <w:sz w:val="24"/>
              </w:rPr>
            </w:pPr>
            <w:r>
              <w:rPr>
                <w:spacing w:val="-4"/>
                <w:sz w:val="24"/>
              </w:rPr>
              <w:t>2.36</w:t>
            </w:r>
          </w:p>
        </w:tc>
        <w:tc>
          <w:tcPr>
            <w:tcW w:w="657" w:type="dxa"/>
          </w:tcPr>
          <w:p>
            <w:pPr>
              <w:pStyle w:val="TableParagraph"/>
              <w:ind w:left="120"/>
              <w:jc w:val="left"/>
              <w:rPr>
                <w:sz w:val="24"/>
              </w:rPr>
            </w:pPr>
            <w:r>
              <w:rPr>
                <w:spacing w:val="-4"/>
                <w:sz w:val="24"/>
              </w:rPr>
              <w:t>2.23</w:t>
            </w:r>
          </w:p>
        </w:tc>
        <w:tc>
          <w:tcPr>
            <w:tcW w:w="657" w:type="dxa"/>
          </w:tcPr>
          <w:p>
            <w:pPr>
              <w:pStyle w:val="TableParagraph"/>
              <w:ind w:left="106" w:right="103"/>
              <w:rPr>
                <w:sz w:val="24"/>
              </w:rPr>
            </w:pPr>
            <w:r>
              <w:rPr>
                <w:spacing w:val="-4"/>
                <w:sz w:val="24"/>
              </w:rPr>
              <w:t>2.22</w:t>
            </w:r>
          </w:p>
        </w:tc>
        <w:tc>
          <w:tcPr>
            <w:tcW w:w="1162" w:type="dxa"/>
          </w:tcPr>
          <w:p>
            <w:pPr>
              <w:pStyle w:val="TableParagraph"/>
              <w:ind w:left="106" w:right="102"/>
              <w:rPr>
                <w:sz w:val="24"/>
              </w:rPr>
            </w:pPr>
            <w:r>
              <w:rPr>
                <w:spacing w:val="-4"/>
                <w:sz w:val="24"/>
              </w:rPr>
              <w:t>0.14</w:t>
            </w:r>
          </w:p>
        </w:tc>
      </w:tr>
      <w:tr>
        <w:trPr>
          <w:trHeight w:val="288" w:hRule="atLeast"/>
        </w:trPr>
        <w:tc>
          <w:tcPr>
            <w:tcW w:w="1474" w:type="dxa"/>
          </w:tcPr>
          <w:p>
            <w:pPr>
              <w:pStyle w:val="TableParagraph"/>
              <w:ind w:left="102" w:right="102"/>
              <w:rPr>
                <w:sz w:val="24"/>
              </w:rPr>
            </w:pPr>
            <w:r>
              <w:rPr>
                <w:sz w:val="24"/>
              </w:rPr>
              <w:t>St</w:t>
            </w:r>
            <w:r>
              <w:rPr>
                <w:spacing w:val="-5"/>
                <w:sz w:val="24"/>
              </w:rPr>
              <w:t> </w:t>
            </w:r>
            <w:r>
              <w:rPr>
                <w:spacing w:val="-2"/>
                <w:sz w:val="24"/>
              </w:rPr>
              <w:t>Helens</w:t>
            </w:r>
          </w:p>
        </w:tc>
        <w:tc>
          <w:tcPr>
            <w:tcW w:w="657" w:type="dxa"/>
          </w:tcPr>
          <w:p>
            <w:pPr>
              <w:pStyle w:val="TableParagraph"/>
              <w:ind w:left="105" w:right="105"/>
              <w:rPr>
                <w:sz w:val="24"/>
              </w:rPr>
            </w:pPr>
            <w:r>
              <w:rPr>
                <w:spacing w:val="-4"/>
                <w:sz w:val="24"/>
              </w:rPr>
              <w:t>1.60</w:t>
            </w:r>
          </w:p>
        </w:tc>
        <w:tc>
          <w:tcPr>
            <w:tcW w:w="657" w:type="dxa"/>
          </w:tcPr>
          <w:p>
            <w:pPr>
              <w:pStyle w:val="TableParagraph"/>
              <w:ind w:left="120"/>
              <w:jc w:val="left"/>
              <w:rPr>
                <w:sz w:val="24"/>
              </w:rPr>
            </w:pPr>
            <w:r>
              <w:rPr>
                <w:spacing w:val="-4"/>
                <w:sz w:val="24"/>
              </w:rPr>
              <w:t>1.32</w:t>
            </w:r>
          </w:p>
        </w:tc>
        <w:tc>
          <w:tcPr>
            <w:tcW w:w="657" w:type="dxa"/>
          </w:tcPr>
          <w:p>
            <w:pPr>
              <w:pStyle w:val="TableParagraph"/>
              <w:ind w:left="106" w:right="103"/>
              <w:rPr>
                <w:sz w:val="24"/>
              </w:rPr>
            </w:pPr>
            <w:r>
              <w:rPr>
                <w:spacing w:val="-4"/>
                <w:sz w:val="24"/>
              </w:rPr>
              <w:t>1.28</w:t>
            </w:r>
          </w:p>
        </w:tc>
        <w:tc>
          <w:tcPr>
            <w:tcW w:w="1162" w:type="dxa"/>
          </w:tcPr>
          <w:p>
            <w:pPr>
              <w:pStyle w:val="TableParagraph"/>
              <w:ind w:left="106" w:right="102"/>
              <w:rPr>
                <w:sz w:val="24"/>
              </w:rPr>
            </w:pPr>
            <w:r>
              <w:rPr>
                <w:spacing w:val="-4"/>
                <w:sz w:val="24"/>
              </w:rPr>
              <w:t>0.32</w:t>
            </w:r>
          </w:p>
        </w:tc>
      </w:tr>
      <w:tr>
        <w:trPr>
          <w:trHeight w:val="288" w:hRule="atLeast"/>
        </w:trPr>
        <w:tc>
          <w:tcPr>
            <w:tcW w:w="1474" w:type="dxa"/>
          </w:tcPr>
          <w:p>
            <w:pPr>
              <w:pStyle w:val="TableParagraph"/>
              <w:ind w:left="102" w:right="102"/>
              <w:rPr>
                <w:sz w:val="24"/>
              </w:rPr>
            </w:pPr>
            <w:r>
              <w:rPr>
                <w:spacing w:val="-2"/>
                <w:sz w:val="24"/>
              </w:rPr>
              <w:t>Wakefield</w:t>
            </w:r>
          </w:p>
        </w:tc>
        <w:tc>
          <w:tcPr>
            <w:tcW w:w="657" w:type="dxa"/>
          </w:tcPr>
          <w:p>
            <w:pPr>
              <w:pStyle w:val="TableParagraph"/>
              <w:ind w:left="106" w:right="105"/>
              <w:rPr>
                <w:sz w:val="24"/>
              </w:rPr>
            </w:pPr>
            <w:r>
              <w:rPr>
                <w:spacing w:val="-4"/>
                <w:sz w:val="24"/>
              </w:rPr>
              <w:t>1.85</w:t>
            </w:r>
          </w:p>
        </w:tc>
        <w:tc>
          <w:tcPr>
            <w:tcW w:w="657" w:type="dxa"/>
          </w:tcPr>
          <w:p>
            <w:pPr>
              <w:pStyle w:val="TableParagraph"/>
              <w:ind w:left="120"/>
              <w:jc w:val="left"/>
              <w:rPr>
                <w:sz w:val="24"/>
              </w:rPr>
            </w:pPr>
            <w:r>
              <w:rPr>
                <w:spacing w:val="-4"/>
                <w:sz w:val="24"/>
              </w:rPr>
              <w:t>1.48</w:t>
            </w:r>
          </w:p>
        </w:tc>
        <w:tc>
          <w:tcPr>
            <w:tcW w:w="657" w:type="dxa"/>
          </w:tcPr>
          <w:p>
            <w:pPr>
              <w:pStyle w:val="TableParagraph"/>
              <w:ind w:left="106" w:right="103"/>
              <w:rPr>
                <w:sz w:val="24"/>
              </w:rPr>
            </w:pPr>
            <w:r>
              <w:rPr>
                <w:spacing w:val="-4"/>
                <w:sz w:val="24"/>
              </w:rPr>
              <w:t>1.41</w:t>
            </w:r>
          </w:p>
        </w:tc>
        <w:tc>
          <w:tcPr>
            <w:tcW w:w="1162" w:type="dxa"/>
          </w:tcPr>
          <w:p>
            <w:pPr>
              <w:pStyle w:val="TableParagraph"/>
              <w:ind w:left="106" w:right="102"/>
              <w:rPr>
                <w:sz w:val="24"/>
              </w:rPr>
            </w:pPr>
            <w:r>
              <w:rPr>
                <w:spacing w:val="-4"/>
                <w:sz w:val="24"/>
              </w:rPr>
              <w:t>0.44</w:t>
            </w:r>
          </w:p>
        </w:tc>
      </w:tr>
      <w:tr>
        <w:trPr>
          <w:trHeight w:val="288" w:hRule="atLeast"/>
        </w:trPr>
        <w:tc>
          <w:tcPr>
            <w:tcW w:w="1474" w:type="dxa"/>
          </w:tcPr>
          <w:p>
            <w:pPr>
              <w:pStyle w:val="TableParagraph"/>
              <w:ind w:left="102" w:right="102"/>
              <w:rPr>
                <w:sz w:val="24"/>
              </w:rPr>
            </w:pPr>
            <w:r>
              <w:rPr>
                <w:spacing w:val="-2"/>
                <w:sz w:val="24"/>
              </w:rPr>
              <w:t>Warrington</w:t>
            </w:r>
          </w:p>
        </w:tc>
        <w:tc>
          <w:tcPr>
            <w:tcW w:w="657" w:type="dxa"/>
          </w:tcPr>
          <w:p>
            <w:pPr>
              <w:pStyle w:val="TableParagraph"/>
              <w:ind w:left="106" w:right="105"/>
              <w:rPr>
                <w:sz w:val="24"/>
              </w:rPr>
            </w:pPr>
            <w:r>
              <w:rPr>
                <w:spacing w:val="-4"/>
                <w:sz w:val="24"/>
              </w:rPr>
              <w:t>1.72</w:t>
            </w:r>
          </w:p>
        </w:tc>
        <w:tc>
          <w:tcPr>
            <w:tcW w:w="657" w:type="dxa"/>
          </w:tcPr>
          <w:p>
            <w:pPr>
              <w:pStyle w:val="TableParagraph"/>
              <w:ind w:left="120"/>
              <w:jc w:val="left"/>
              <w:rPr>
                <w:sz w:val="24"/>
              </w:rPr>
            </w:pPr>
            <w:r>
              <w:rPr>
                <w:spacing w:val="-4"/>
                <w:sz w:val="24"/>
              </w:rPr>
              <w:t>1.41</w:t>
            </w:r>
          </w:p>
        </w:tc>
        <w:tc>
          <w:tcPr>
            <w:tcW w:w="657" w:type="dxa"/>
          </w:tcPr>
          <w:p>
            <w:pPr>
              <w:pStyle w:val="TableParagraph"/>
              <w:ind w:left="106" w:right="103"/>
              <w:rPr>
                <w:sz w:val="24"/>
              </w:rPr>
            </w:pPr>
            <w:r>
              <w:rPr>
                <w:spacing w:val="-4"/>
                <w:sz w:val="24"/>
              </w:rPr>
              <w:t>1.36</w:t>
            </w:r>
          </w:p>
        </w:tc>
        <w:tc>
          <w:tcPr>
            <w:tcW w:w="1162" w:type="dxa"/>
          </w:tcPr>
          <w:p>
            <w:pPr>
              <w:pStyle w:val="TableParagraph"/>
              <w:ind w:left="106" w:right="102"/>
              <w:rPr>
                <w:sz w:val="24"/>
              </w:rPr>
            </w:pPr>
            <w:r>
              <w:rPr>
                <w:spacing w:val="-4"/>
                <w:sz w:val="24"/>
              </w:rPr>
              <w:t>0.36</w:t>
            </w:r>
          </w:p>
        </w:tc>
      </w:tr>
      <w:tr>
        <w:trPr>
          <w:trHeight w:val="306" w:hRule="atLeast"/>
        </w:trPr>
        <w:tc>
          <w:tcPr>
            <w:tcW w:w="1474" w:type="dxa"/>
            <w:tcBorders>
              <w:bottom w:val="single" w:sz="4" w:space="0" w:color="000000"/>
            </w:tcBorders>
          </w:tcPr>
          <w:p>
            <w:pPr>
              <w:pStyle w:val="TableParagraph"/>
              <w:spacing w:line="273" w:lineRule="exact"/>
              <w:ind w:left="102" w:right="102"/>
              <w:rPr>
                <w:sz w:val="24"/>
              </w:rPr>
            </w:pPr>
            <w:r>
              <w:rPr>
                <w:spacing w:val="-4"/>
                <w:sz w:val="24"/>
              </w:rPr>
              <w:t>Wigan</w:t>
            </w:r>
          </w:p>
        </w:tc>
        <w:tc>
          <w:tcPr>
            <w:tcW w:w="657" w:type="dxa"/>
            <w:tcBorders>
              <w:bottom w:val="single" w:sz="4" w:space="0" w:color="000000"/>
            </w:tcBorders>
          </w:tcPr>
          <w:p>
            <w:pPr>
              <w:pStyle w:val="TableParagraph"/>
              <w:spacing w:line="273" w:lineRule="exact"/>
              <w:ind w:left="106" w:right="105"/>
              <w:rPr>
                <w:sz w:val="24"/>
              </w:rPr>
            </w:pPr>
            <w:r>
              <w:rPr>
                <w:spacing w:val="-4"/>
                <w:sz w:val="24"/>
              </w:rPr>
              <w:t>1.34</w:t>
            </w:r>
          </w:p>
        </w:tc>
        <w:tc>
          <w:tcPr>
            <w:tcW w:w="657" w:type="dxa"/>
            <w:tcBorders>
              <w:bottom w:val="single" w:sz="4" w:space="0" w:color="000000"/>
            </w:tcBorders>
          </w:tcPr>
          <w:p>
            <w:pPr>
              <w:pStyle w:val="TableParagraph"/>
              <w:spacing w:line="273" w:lineRule="exact"/>
              <w:ind w:left="120"/>
              <w:jc w:val="left"/>
              <w:rPr>
                <w:sz w:val="24"/>
              </w:rPr>
            </w:pPr>
            <w:r>
              <w:rPr>
                <w:spacing w:val="-4"/>
                <w:sz w:val="24"/>
              </w:rPr>
              <w:t>1.17</w:t>
            </w:r>
          </w:p>
        </w:tc>
        <w:tc>
          <w:tcPr>
            <w:tcW w:w="657" w:type="dxa"/>
            <w:tcBorders>
              <w:bottom w:val="single" w:sz="4" w:space="0" w:color="000000"/>
            </w:tcBorders>
          </w:tcPr>
          <w:p>
            <w:pPr>
              <w:pStyle w:val="TableParagraph"/>
              <w:spacing w:line="273" w:lineRule="exact"/>
              <w:ind w:left="106" w:right="103"/>
              <w:rPr>
                <w:sz w:val="24"/>
              </w:rPr>
            </w:pPr>
            <w:r>
              <w:rPr>
                <w:spacing w:val="-4"/>
                <w:sz w:val="24"/>
              </w:rPr>
              <w:t>1.14</w:t>
            </w:r>
          </w:p>
        </w:tc>
        <w:tc>
          <w:tcPr>
            <w:tcW w:w="1162" w:type="dxa"/>
            <w:tcBorders>
              <w:bottom w:val="single" w:sz="4" w:space="0" w:color="000000"/>
            </w:tcBorders>
          </w:tcPr>
          <w:p>
            <w:pPr>
              <w:pStyle w:val="TableParagraph"/>
              <w:spacing w:line="273" w:lineRule="exact"/>
              <w:ind w:left="106" w:right="102"/>
              <w:rPr>
                <w:sz w:val="24"/>
              </w:rPr>
            </w:pPr>
            <w:r>
              <w:rPr>
                <w:spacing w:val="-4"/>
                <w:sz w:val="24"/>
              </w:rPr>
              <w:t>0.20</w:t>
            </w:r>
          </w:p>
        </w:tc>
      </w:tr>
    </w:tbl>
    <w:p>
      <w:pPr>
        <w:pStyle w:val="BodyText"/>
        <w:rPr>
          <w:sz w:val="20"/>
        </w:rPr>
      </w:pPr>
    </w:p>
    <w:p>
      <w:pPr>
        <w:pStyle w:val="BodyText"/>
        <w:rPr>
          <w:sz w:val="20"/>
        </w:rPr>
      </w:pPr>
    </w:p>
    <w:p>
      <w:pPr>
        <w:pStyle w:val="BodyText"/>
        <w:spacing w:line="307" w:lineRule="auto" w:before="213"/>
        <w:ind w:left="610" w:right="389"/>
        <w:jc w:val="both"/>
      </w:pPr>
      <w:r>
        <w:rPr>
          <w:rFonts w:ascii="Cambria"/>
        </w:rPr>
        <w:t>p</w:t>
      </w:r>
      <w:r>
        <w:rPr/>
        <w:t>-norm increased.</w:t>
      </w:r>
      <w:r>
        <w:rPr>
          <w:spacing w:val="40"/>
        </w:rPr>
        <w:t> </w:t>
      </w:r>
      <w:r>
        <w:rPr/>
        <w:t>However, this difference did not appear to be proportionate </w:t>
      </w:r>
      <w:r>
        <w:rPr/>
        <w:t>between</w:t>
      </w:r>
      <w:r>
        <w:rPr/>
        <w:t> teams</w:t>
      </w:r>
      <w:r>
        <w:rPr>
          <w:spacing w:val="-15"/>
        </w:rPr>
        <w:t> </w:t>
      </w:r>
      <w:r>
        <w:rPr/>
        <w:t>as</w:t>
      </w:r>
      <w:r>
        <w:rPr>
          <w:spacing w:val="-15"/>
        </w:rPr>
        <w:t> </w:t>
      </w:r>
      <w:r>
        <w:rPr/>
        <w:t>Castleford</w:t>
      </w:r>
      <w:r>
        <w:rPr>
          <w:spacing w:val="-15"/>
        </w:rPr>
        <w:t> </w:t>
      </w:r>
      <w:r>
        <w:rPr/>
        <w:t>(absolute</w:t>
      </w:r>
      <w:r>
        <w:rPr>
          <w:spacing w:val="-15"/>
        </w:rPr>
        <w:t> </w:t>
      </w:r>
      <w:r>
        <w:rPr/>
        <w:t>difference</w:t>
      </w:r>
      <w:r>
        <w:rPr>
          <w:spacing w:val="-15"/>
        </w:rPr>
        <w:t> </w:t>
      </w:r>
      <w:r>
        <w:rPr/>
        <w:t>between</w:t>
      </w:r>
      <w:r>
        <w:rPr>
          <w:spacing w:val="-15"/>
        </w:rPr>
        <w:t> </w:t>
      </w:r>
      <w:r>
        <w:rPr>
          <w:rFonts w:ascii="Cambria"/>
        </w:rPr>
        <w:t>W</w:t>
      </w:r>
      <w:r>
        <w:rPr>
          <w:rFonts w:ascii="Georgia"/>
          <w:vertAlign w:val="subscript"/>
        </w:rPr>
        <w:t>1</w:t>
      </w:r>
      <w:r>
        <w:rPr>
          <w:rFonts w:ascii="Georgia"/>
          <w:spacing w:val="-15"/>
          <w:vertAlign w:val="baseline"/>
        </w:rPr>
        <w:t> </w:t>
      </w:r>
      <w:r>
        <w:rPr>
          <w:vertAlign w:val="baseline"/>
        </w:rPr>
        <w:t>and</w:t>
      </w:r>
      <w:r>
        <w:rPr>
          <w:spacing w:val="-15"/>
          <w:vertAlign w:val="baseline"/>
        </w:rPr>
        <w:t> </w:t>
      </w:r>
      <w:r>
        <w:rPr>
          <w:rFonts w:ascii="Cambria"/>
          <w:vertAlign w:val="baseline"/>
        </w:rPr>
        <w:t>W</w:t>
      </w:r>
      <w:r>
        <w:rPr>
          <w:rFonts w:ascii="Georgia"/>
          <w:vertAlign w:val="subscript"/>
        </w:rPr>
        <w:t>3</w:t>
      </w:r>
      <w:r>
        <w:rPr>
          <w:rFonts w:ascii="Georgia"/>
          <w:spacing w:val="-14"/>
          <w:vertAlign w:val="baseline"/>
        </w:rPr>
        <w:t> </w:t>
      </w:r>
      <w:r>
        <w:rPr>
          <w:vertAlign w:val="baseline"/>
        </w:rPr>
        <w:t>=</w:t>
      </w:r>
      <w:r>
        <w:rPr>
          <w:spacing w:val="-15"/>
          <w:vertAlign w:val="baseline"/>
        </w:rPr>
        <w:t> </w:t>
      </w:r>
      <w:r>
        <w:rPr>
          <w:vertAlign w:val="baseline"/>
        </w:rPr>
        <w:t>1.04),</w:t>
      </w:r>
      <w:r>
        <w:rPr>
          <w:spacing w:val="-15"/>
          <w:vertAlign w:val="baseline"/>
        </w:rPr>
        <w:t> </w:t>
      </w:r>
      <w:r>
        <w:rPr>
          <w:vertAlign w:val="baseline"/>
        </w:rPr>
        <w:t>Huddersfield</w:t>
      </w:r>
      <w:r>
        <w:rPr>
          <w:spacing w:val="-15"/>
          <w:vertAlign w:val="baseline"/>
        </w:rPr>
        <w:t> </w:t>
      </w:r>
      <w:r>
        <w:rPr>
          <w:vertAlign w:val="baseline"/>
        </w:rPr>
        <w:t>(1.00), Leigh</w:t>
      </w:r>
      <w:r>
        <w:rPr>
          <w:spacing w:val="-11"/>
          <w:vertAlign w:val="baseline"/>
        </w:rPr>
        <w:t> </w:t>
      </w:r>
      <w:r>
        <w:rPr>
          <w:vertAlign w:val="baseline"/>
        </w:rPr>
        <w:t>(0.59),</w:t>
      </w:r>
      <w:r>
        <w:rPr>
          <w:spacing w:val="-11"/>
          <w:vertAlign w:val="baseline"/>
        </w:rPr>
        <w:t> </w:t>
      </w:r>
      <w:r>
        <w:rPr>
          <w:vertAlign w:val="baseline"/>
        </w:rPr>
        <w:t>Hull</w:t>
      </w:r>
      <w:r>
        <w:rPr>
          <w:spacing w:val="-11"/>
          <w:vertAlign w:val="baseline"/>
        </w:rPr>
        <w:t> </w:t>
      </w:r>
      <w:r>
        <w:rPr>
          <w:vertAlign w:val="baseline"/>
        </w:rPr>
        <w:t>KR</w:t>
      </w:r>
      <w:r>
        <w:rPr>
          <w:spacing w:val="-11"/>
          <w:vertAlign w:val="baseline"/>
        </w:rPr>
        <w:t> </w:t>
      </w:r>
      <w:r>
        <w:rPr>
          <w:vertAlign w:val="baseline"/>
        </w:rPr>
        <w:t>(0.57)</w:t>
      </w:r>
      <w:r>
        <w:rPr>
          <w:spacing w:val="-11"/>
          <w:vertAlign w:val="baseline"/>
        </w:rPr>
        <w:t> </w:t>
      </w:r>
      <w:r>
        <w:rPr>
          <w:vertAlign w:val="baseline"/>
        </w:rPr>
        <w:t>and</w:t>
      </w:r>
      <w:r>
        <w:rPr>
          <w:spacing w:val="-11"/>
          <w:vertAlign w:val="baseline"/>
        </w:rPr>
        <w:t> </w:t>
      </w:r>
      <w:r>
        <w:rPr>
          <w:vertAlign w:val="baseline"/>
        </w:rPr>
        <w:t>Wakefield</w:t>
      </w:r>
      <w:r>
        <w:rPr>
          <w:spacing w:val="-11"/>
          <w:vertAlign w:val="baseline"/>
        </w:rPr>
        <w:t> </w:t>
      </w:r>
      <w:r>
        <w:rPr>
          <w:vertAlign w:val="baseline"/>
        </w:rPr>
        <w:t>(0.44)</w:t>
      </w:r>
      <w:r>
        <w:rPr>
          <w:spacing w:val="-11"/>
          <w:vertAlign w:val="baseline"/>
        </w:rPr>
        <w:t> </w:t>
      </w:r>
      <w:r>
        <w:rPr>
          <w:vertAlign w:val="baseline"/>
        </w:rPr>
        <w:t>were</w:t>
      </w:r>
      <w:r>
        <w:rPr>
          <w:spacing w:val="-11"/>
          <w:vertAlign w:val="baseline"/>
        </w:rPr>
        <w:t> </w:t>
      </w:r>
      <w:r>
        <w:rPr>
          <w:vertAlign w:val="baseline"/>
        </w:rPr>
        <w:t>affected</w:t>
      </w:r>
      <w:r>
        <w:rPr>
          <w:spacing w:val="-11"/>
          <w:vertAlign w:val="baseline"/>
        </w:rPr>
        <w:t> </w:t>
      </w:r>
      <w:r>
        <w:rPr>
          <w:vertAlign w:val="baseline"/>
        </w:rPr>
        <w:t>to</w:t>
      </w:r>
      <w:r>
        <w:rPr>
          <w:spacing w:val="-11"/>
          <w:vertAlign w:val="baseline"/>
        </w:rPr>
        <w:t> </w:t>
      </w:r>
      <w:r>
        <w:rPr>
          <w:vertAlign w:val="baseline"/>
        </w:rPr>
        <w:t>a</w:t>
      </w:r>
      <w:r>
        <w:rPr>
          <w:spacing w:val="-11"/>
          <w:vertAlign w:val="baseline"/>
        </w:rPr>
        <w:t> </w:t>
      </w:r>
      <w:r>
        <w:rPr>
          <w:vertAlign w:val="baseline"/>
        </w:rPr>
        <w:t>much</w:t>
      </w:r>
      <w:r>
        <w:rPr>
          <w:spacing w:val="-11"/>
          <w:vertAlign w:val="baseline"/>
        </w:rPr>
        <w:t> </w:t>
      </w:r>
      <w:r>
        <w:rPr>
          <w:vertAlign w:val="baseline"/>
        </w:rPr>
        <w:t>greater</w:t>
      </w:r>
      <w:r>
        <w:rPr>
          <w:spacing w:val="-11"/>
          <w:vertAlign w:val="baseline"/>
        </w:rPr>
        <w:t> </w:t>
      </w:r>
      <w:r>
        <w:rPr>
          <w:vertAlign w:val="baseline"/>
        </w:rPr>
        <w:t>extent than Salford (0.14) and Leeds (0.31).</w:t>
      </w:r>
      <w:r>
        <w:rPr>
          <w:spacing w:val="38"/>
          <w:vertAlign w:val="baseline"/>
        </w:rPr>
        <w:t> </w:t>
      </w:r>
      <w:r>
        <w:rPr>
          <w:vertAlign w:val="baseline"/>
        </w:rPr>
        <w:t>Given Salford and Leeds both had higher </w:t>
      </w:r>
      <w:r>
        <w:rPr>
          <w:rFonts w:ascii="Cambria"/>
          <w:vertAlign w:val="baseline"/>
        </w:rPr>
        <w:t>W</w:t>
      </w:r>
      <w:r>
        <w:rPr>
          <w:rFonts w:ascii="Georgia"/>
          <w:vertAlign w:val="subscript"/>
        </w:rPr>
        <w:t>1</w:t>
      </w:r>
      <w:r>
        <w:rPr>
          <w:rFonts w:ascii="Georgia"/>
          <w:vertAlign w:val="baseline"/>
        </w:rPr>
        <w:t> </w:t>
      </w:r>
      <w:r>
        <w:rPr>
          <w:vertAlign w:val="baseline"/>
        </w:rPr>
        <w:t>dis- tances</w:t>
      </w:r>
      <w:r>
        <w:rPr>
          <w:spacing w:val="-9"/>
          <w:vertAlign w:val="baseline"/>
        </w:rPr>
        <w:t> </w:t>
      </w:r>
      <w:r>
        <w:rPr>
          <w:vertAlign w:val="baseline"/>
        </w:rPr>
        <w:t>but</w:t>
      </w:r>
      <w:r>
        <w:rPr>
          <w:spacing w:val="-9"/>
          <w:vertAlign w:val="baseline"/>
        </w:rPr>
        <w:t> </w:t>
      </w:r>
      <w:r>
        <w:rPr>
          <w:vertAlign w:val="baseline"/>
        </w:rPr>
        <w:t>lower</w:t>
      </w:r>
      <w:r>
        <w:rPr>
          <w:spacing w:val="-9"/>
          <w:vertAlign w:val="baseline"/>
        </w:rPr>
        <w:t> </w:t>
      </w:r>
      <w:r>
        <w:rPr>
          <w:rFonts w:ascii="Cambria"/>
          <w:vertAlign w:val="baseline"/>
        </w:rPr>
        <w:t>W</w:t>
      </w:r>
      <w:r>
        <w:rPr>
          <w:rFonts w:ascii="Georgia"/>
          <w:vertAlign w:val="subscript"/>
        </w:rPr>
        <w:t>1</w:t>
      </w:r>
      <w:r>
        <w:rPr>
          <w:vertAlign w:val="baseline"/>
        </w:rPr>
        <w:t>-</w:t>
      </w:r>
      <w:r>
        <w:rPr>
          <w:rFonts w:ascii="Cambria"/>
          <w:vertAlign w:val="baseline"/>
        </w:rPr>
        <w:t>W</w:t>
      </w:r>
      <w:r>
        <w:rPr>
          <w:rFonts w:ascii="Georgia"/>
          <w:vertAlign w:val="subscript"/>
        </w:rPr>
        <w:t>3</w:t>
      </w:r>
      <w:r>
        <w:rPr>
          <w:rFonts w:ascii="Georgia"/>
          <w:vertAlign w:val="baseline"/>
        </w:rPr>
        <w:t> </w:t>
      </w:r>
      <w:r>
        <w:rPr>
          <w:vertAlign w:val="baseline"/>
        </w:rPr>
        <w:t>differences</w:t>
      </w:r>
      <w:r>
        <w:rPr>
          <w:spacing w:val="-9"/>
          <w:vertAlign w:val="baseline"/>
        </w:rPr>
        <w:t> </w:t>
      </w:r>
      <w:r>
        <w:rPr>
          <w:vertAlign w:val="baseline"/>
        </w:rPr>
        <w:t>than</w:t>
      </w:r>
      <w:r>
        <w:rPr>
          <w:spacing w:val="-9"/>
          <w:vertAlign w:val="baseline"/>
        </w:rPr>
        <w:t> </w:t>
      </w:r>
      <w:r>
        <w:rPr>
          <w:vertAlign w:val="baseline"/>
        </w:rPr>
        <w:t>Hull</w:t>
      </w:r>
      <w:r>
        <w:rPr>
          <w:spacing w:val="-9"/>
          <w:vertAlign w:val="baseline"/>
        </w:rPr>
        <w:t> </w:t>
      </w:r>
      <w:r>
        <w:rPr>
          <w:vertAlign w:val="baseline"/>
        </w:rPr>
        <w:t>KR</w:t>
      </w:r>
      <w:r>
        <w:rPr>
          <w:spacing w:val="-9"/>
          <w:vertAlign w:val="baseline"/>
        </w:rPr>
        <w:t> </w:t>
      </w:r>
      <w:r>
        <w:rPr>
          <w:vertAlign w:val="baseline"/>
        </w:rPr>
        <w:t>and</w:t>
      </w:r>
      <w:r>
        <w:rPr>
          <w:spacing w:val="-9"/>
          <w:vertAlign w:val="baseline"/>
        </w:rPr>
        <w:t> </w:t>
      </w:r>
      <w:r>
        <w:rPr>
          <w:vertAlign w:val="baseline"/>
        </w:rPr>
        <w:t>Wakefield,</w:t>
      </w:r>
      <w:r>
        <w:rPr>
          <w:spacing w:val="-9"/>
          <w:vertAlign w:val="baseline"/>
        </w:rPr>
        <w:t> </w:t>
      </w:r>
      <w:r>
        <w:rPr>
          <w:vertAlign w:val="baseline"/>
        </w:rPr>
        <w:t>the</w:t>
      </w:r>
      <w:r>
        <w:rPr>
          <w:spacing w:val="-9"/>
          <w:vertAlign w:val="baseline"/>
        </w:rPr>
        <w:t> </w:t>
      </w:r>
      <w:r>
        <w:rPr>
          <w:vertAlign w:val="baseline"/>
        </w:rPr>
        <w:t>variation</w:t>
      </w:r>
      <w:r>
        <w:rPr>
          <w:spacing w:val="-9"/>
          <w:vertAlign w:val="baseline"/>
        </w:rPr>
        <w:t> </w:t>
      </w:r>
      <w:r>
        <w:rPr>
          <w:vertAlign w:val="baseline"/>
        </w:rPr>
        <w:t>in</w:t>
      </w:r>
      <w:r>
        <w:rPr>
          <w:spacing w:val="-9"/>
          <w:vertAlign w:val="baseline"/>
        </w:rPr>
        <w:t> </w:t>
      </w:r>
      <w:r>
        <w:rPr>
          <w:rFonts w:ascii="Cambria"/>
          <w:vertAlign w:val="baseline"/>
        </w:rPr>
        <w:t>W</w:t>
      </w:r>
      <w:r>
        <w:rPr>
          <w:rFonts w:ascii="Georgia"/>
          <w:vertAlign w:val="subscript"/>
        </w:rPr>
        <w:t>1</w:t>
      </w:r>
      <w:r>
        <w:rPr>
          <w:vertAlign w:val="baseline"/>
        </w:rPr>
        <w:t>-</w:t>
      </w:r>
      <w:r>
        <w:rPr>
          <w:rFonts w:ascii="Cambria"/>
          <w:vertAlign w:val="baseline"/>
        </w:rPr>
        <w:t>W</w:t>
      </w:r>
      <w:r>
        <w:rPr>
          <w:rFonts w:ascii="Georgia"/>
          <w:vertAlign w:val="subscript"/>
        </w:rPr>
        <w:t>3</w:t>
      </w:r>
      <w:r>
        <w:rPr>
          <w:rFonts w:ascii="Georgia"/>
          <w:vertAlign w:val="baseline"/>
        </w:rPr>
        <w:t> </w:t>
      </w:r>
      <w:r>
        <w:rPr>
          <w:vertAlign w:val="baseline"/>
        </w:rPr>
        <w:t>differences is unlikely to be related to the initial </w:t>
      </w:r>
      <w:r>
        <w:rPr>
          <w:rFonts w:ascii="Cambria"/>
          <w:vertAlign w:val="baseline"/>
        </w:rPr>
        <w:t>W</w:t>
      </w:r>
      <w:r>
        <w:rPr>
          <w:rFonts w:ascii="Georgia"/>
          <w:vertAlign w:val="subscript"/>
        </w:rPr>
        <w:t>1</w:t>
      </w:r>
      <w:r>
        <w:rPr>
          <w:rFonts w:ascii="Georgia"/>
          <w:vertAlign w:val="baseline"/>
        </w:rPr>
        <w:t> </w:t>
      </w:r>
      <w:r>
        <w:rPr>
          <w:vertAlign w:val="baseline"/>
        </w:rPr>
        <w:t>distance.</w:t>
      </w:r>
    </w:p>
    <w:p>
      <w:pPr>
        <w:pStyle w:val="BodyText"/>
        <w:spacing w:line="309" w:lineRule="auto" w:before="1"/>
        <w:ind w:left="610" w:right="389" w:firstLine="351"/>
      </w:pPr>
      <w:r>
        <w:rPr/>
        <w:t>Visual inspection of Figure</w:t>
      </w:r>
      <w:hyperlink w:history="true" w:anchor="_bookmark151">
        <w:r>
          <w:rPr>
            <w:color w:val="0000FF"/>
          </w:rPr>
          <w:t>5.6</w:t>
        </w:r>
      </w:hyperlink>
      <w:r>
        <w:rPr/>
        <w:t>suggests that the difference in Wasserstein distances could be related to the location of the spatial trends of attacking performances for </w:t>
      </w:r>
      <w:r>
        <w:rPr/>
        <w:t>each team.</w:t>
      </w:r>
      <w:r>
        <w:rPr>
          <w:spacing w:val="40"/>
        </w:rPr>
        <w:t> </w:t>
      </w:r>
      <w:r>
        <w:rPr/>
        <w:t>Castleford (left), Huddersfield (central), Hull KR (left) and Wakefield (not left)</w:t>
      </w:r>
      <w:r>
        <w:rPr>
          <w:spacing w:val="40"/>
        </w:rPr>
        <w:t> </w:t>
      </w:r>
      <w:r>
        <w:rPr/>
        <w:t>showed</w:t>
      </w:r>
      <w:r>
        <w:rPr>
          <w:spacing w:val="-1"/>
        </w:rPr>
        <w:t> </w:t>
      </w:r>
      <w:r>
        <w:rPr/>
        <w:t>some</w:t>
      </w:r>
      <w:r>
        <w:rPr>
          <w:spacing w:val="-1"/>
        </w:rPr>
        <w:t> </w:t>
      </w:r>
      <w:r>
        <w:rPr/>
        <w:t>form</w:t>
      </w:r>
      <w:r>
        <w:rPr>
          <w:spacing w:val="-1"/>
        </w:rPr>
        <w:t> </w:t>
      </w:r>
      <w:r>
        <w:rPr/>
        <w:t>of</w:t>
      </w:r>
      <w:r>
        <w:rPr>
          <w:spacing w:val="-1"/>
        </w:rPr>
        <w:t> </w:t>
      </w:r>
      <w:r>
        <w:rPr/>
        <w:t>bias</w:t>
      </w:r>
      <w:r>
        <w:rPr>
          <w:spacing w:val="-1"/>
        </w:rPr>
        <w:t> </w:t>
      </w:r>
      <w:r>
        <w:rPr/>
        <w:t>along</w:t>
      </w:r>
      <w:r>
        <w:rPr>
          <w:spacing w:val="-1"/>
        </w:rPr>
        <w:t> </w:t>
      </w:r>
      <w:r>
        <w:rPr/>
        <w:t>the</w:t>
      </w:r>
      <w:r>
        <w:rPr>
          <w:spacing w:val="-1"/>
        </w:rPr>
        <w:t> </w:t>
      </w:r>
      <w:r>
        <w:rPr>
          <w:rFonts w:ascii="Cambria"/>
        </w:rPr>
        <w:t>x </w:t>
      </w:r>
      <w:r>
        <w:rPr/>
        <w:t>axis, whereas</w:t>
      </w:r>
      <w:r>
        <w:rPr>
          <w:spacing w:val="-1"/>
        </w:rPr>
        <w:t> </w:t>
      </w:r>
      <w:r>
        <w:rPr/>
        <w:t>Leeds</w:t>
      </w:r>
      <w:r>
        <w:rPr>
          <w:spacing w:val="-1"/>
        </w:rPr>
        <w:t> </w:t>
      </w:r>
      <w:r>
        <w:rPr/>
        <w:t>(opposition</w:t>
      </w:r>
      <w:r>
        <w:rPr>
          <w:spacing w:val="-1"/>
        </w:rPr>
        <w:t> </w:t>
      </w:r>
      <w:r>
        <w:rPr/>
        <w:t>half)</w:t>
      </w:r>
      <w:r>
        <w:rPr>
          <w:spacing w:val="-1"/>
        </w:rPr>
        <w:t> </w:t>
      </w:r>
      <w:r>
        <w:rPr/>
        <w:t>and</w:t>
      </w:r>
      <w:r>
        <w:rPr>
          <w:spacing w:val="-1"/>
        </w:rPr>
        <w:t> </w:t>
      </w:r>
      <w:r>
        <w:rPr/>
        <w:t>Salford </w:t>
      </w:r>
      <w:r>
        <w:rPr>
          <w:spacing w:val="-2"/>
        </w:rPr>
        <w:t>(anywhere</w:t>
      </w:r>
      <w:r>
        <w:rPr>
          <w:spacing w:val="-10"/>
        </w:rPr>
        <w:t> </w:t>
      </w:r>
      <w:r>
        <w:rPr>
          <w:spacing w:val="-2"/>
        </w:rPr>
        <w:t>but</w:t>
      </w:r>
      <w:r>
        <w:rPr>
          <w:spacing w:val="-10"/>
        </w:rPr>
        <w:t> </w:t>
      </w:r>
      <w:r>
        <w:rPr>
          <w:spacing w:val="-2"/>
        </w:rPr>
        <w:t>opposition</w:t>
      </w:r>
      <w:r>
        <w:rPr>
          <w:spacing w:val="-10"/>
        </w:rPr>
        <w:t> </w:t>
      </w:r>
      <w:r>
        <w:rPr>
          <w:spacing w:val="-2"/>
        </w:rPr>
        <w:t>20m)</w:t>
      </w:r>
      <w:r>
        <w:rPr>
          <w:spacing w:val="-10"/>
        </w:rPr>
        <w:t> </w:t>
      </w:r>
      <w:r>
        <w:rPr>
          <w:spacing w:val="-2"/>
        </w:rPr>
        <w:t>showed</w:t>
      </w:r>
      <w:r>
        <w:rPr>
          <w:spacing w:val="-10"/>
        </w:rPr>
        <w:t> </w:t>
      </w:r>
      <w:r>
        <w:rPr>
          <w:spacing w:val="-2"/>
        </w:rPr>
        <w:t>biases</w:t>
      </w:r>
      <w:r>
        <w:rPr>
          <w:spacing w:val="-10"/>
        </w:rPr>
        <w:t> </w:t>
      </w:r>
      <w:r>
        <w:rPr>
          <w:spacing w:val="-2"/>
        </w:rPr>
        <w:t>along</w:t>
      </w:r>
      <w:r>
        <w:rPr>
          <w:spacing w:val="-10"/>
        </w:rPr>
        <w:t> </w:t>
      </w:r>
      <w:r>
        <w:rPr>
          <w:spacing w:val="-2"/>
        </w:rPr>
        <w:t>the</w:t>
      </w:r>
      <w:r>
        <w:rPr>
          <w:spacing w:val="-10"/>
        </w:rPr>
        <w:t> </w:t>
      </w:r>
      <w:r>
        <w:rPr>
          <w:rFonts w:ascii="Cambria"/>
          <w:spacing w:val="-2"/>
        </w:rPr>
        <w:t>y</w:t>
      </w:r>
      <w:r>
        <w:rPr>
          <w:rFonts w:ascii="Cambria"/>
        </w:rPr>
        <w:t> </w:t>
      </w:r>
      <w:r>
        <w:rPr>
          <w:spacing w:val="-2"/>
        </w:rPr>
        <w:t>axis.</w:t>
      </w:r>
      <w:r>
        <w:rPr>
          <w:spacing w:val="16"/>
        </w:rPr>
        <w:t> </w:t>
      </w:r>
      <w:r>
        <w:rPr>
          <w:spacing w:val="-2"/>
        </w:rPr>
        <w:t>Given</w:t>
      </w:r>
      <w:r>
        <w:rPr>
          <w:spacing w:val="-10"/>
        </w:rPr>
        <w:t> </w:t>
      </w:r>
      <w:r>
        <w:rPr>
          <w:spacing w:val="-2"/>
        </w:rPr>
        <w:t>the</w:t>
      </w:r>
      <w:r>
        <w:rPr>
          <w:spacing w:val="-10"/>
        </w:rPr>
        <w:t> </w:t>
      </w:r>
      <w:r>
        <w:rPr>
          <w:spacing w:val="-2"/>
        </w:rPr>
        <w:t>equal</w:t>
      </w:r>
      <w:r>
        <w:rPr>
          <w:spacing w:val="-10"/>
        </w:rPr>
        <w:t> </w:t>
      </w:r>
      <w:r>
        <w:rPr>
          <w:spacing w:val="-2"/>
        </w:rPr>
        <w:t>horizontal </w:t>
      </w:r>
      <w:r>
        <w:rPr/>
        <w:t>and</w:t>
      </w:r>
      <w:r>
        <w:rPr>
          <w:spacing w:val="-15"/>
        </w:rPr>
        <w:t> </w:t>
      </w:r>
      <w:r>
        <w:rPr/>
        <w:t>vertical</w:t>
      </w:r>
      <w:r>
        <w:rPr>
          <w:spacing w:val="-15"/>
        </w:rPr>
        <w:t> </w:t>
      </w:r>
      <w:r>
        <w:rPr/>
        <w:t>costs</w:t>
      </w:r>
      <w:r>
        <w:rPr>
          <w:spacing w:val="-15"/>
        </w:rPr>
        <w:t> </w:t>
      </w:r>
      <w:r>
        <w:rPr/>
        <w:t>of</w:t>
      </w:r>
      <w:r>
        <w:rPr>
          <w:spacing w:val="-15"/>
        </w:rPr>
        <w:t> </w:t>
      </w:r>
      <w:r>
        <w:rPr/>
        <w:t>mass</w:t>
      </w:r>
      <w:r>
        <w:rPr>
          <w:spacing w:val="-15"/>
        </w:rPr>
        <w:t> </w:t>
      </w:r>
      <w:r>
        <w:rPr/>
        <w:t>movement</w:t>
      </w:r>
      <w:r>
        <w:rPr>
          <w:spacing w:val="-15"/>
        </w:rPr>
        <w:t> </w:t>
      </w:r>
      <w:r>
        <w:rPr/>
        <w:t>between</w:t>
      </w:r>
      <w:r>
        <w:rPr>
          <w:spacing w:val="-15"/>
        </w:rPr>
        <w:t> </w:t>
      </w:r>
      <w:r>
        <w:rPr/>
        <w:t>locations</w:t>
      </w:r>
      <w:r>
        <w:rPr>
          <w:spacing w:val="-15"/>
        </w:rPr>
        <w:t> </w:t>
      </w:r>
      <w:r>
        <w:rPr/>
        <w:t>for</w:t>
      </w:r>
      <w:r>
        <w:rPr>
          <w:spacing w:val="-15"/>
        </w:rPr>
        <w:t> </w:t>
      </w:r>
      <w:r>
        <w:rPr>
          <w:rFonts w:ascii="Cambria"/>
        </w:rPr>
        <w:t>W</w:t>
      </w:r>
      <w:r>
        <w:rPr>
          <w:rFonts w:ascii="Georgia"/>
          <w:vertAlign w:val="subscript"/>
        </w:rPr>
        <w:t>1</w:t>
      </w:r>
      <w:r>
        <w:rPr>
          <w:vertAlign w:val="baseline"/>
        </w:rPr>
        <w:t>,</w:t>
      </w:r>
      <w:r>
        <w:rPr>
          <w:spacing w:val="-14"/>
          <w:vertAlign w:val="baseline"/>
        </w:rPr>
        <w:t> </w:t>
      </w:r>
      <w:r>
        <w:rPr>
          <w:rFonts w:ascii="Cambria"/>
          <w:vertAlign w:val="baseline"/>
        </w:rPr>
        <w:t>W</w:t>
      </w:r>
      <w:r>
        <w:rPr>
          <w:rFonts w:ascii="Georgia"/>
          <w:vertAlign w:val="subscript"/>
        </w:rPr>
        <w:t>2</w:t>
      </w:r>
      <w:r>
        <w:rPr>
          <w:rFonts w:ascii="Georgia"/>
          <w:spacing w:val="-4"/>
          <w:vertAlign w:val="baseline"/>
        </w:rPr>
        <w:t> </w:t>
      </w:r>
      <w:r>
        <w:rPr>
          <w:vertAlign w:val="baseline"/>
        </w:rPr>
        <w:t>and</w:t>
      </w:r>
      <w:r>
        <w:rPr>
          <w:spacing w:val="-15"/>
          <w:vertAlign w:val="baseline"/>
        </w:rPr>
        <w:t> </w:t>
      </w:r>
      <w:r>
        <w:rPr>
          <w:rFonts w:ascii="Cambria"/>
          <w:vertAlign w:val="baseline"/>
        </w:rPr>
        <w:t>W</w:t>
      </w:r>
      <w:r>
        <w:rPr>
          <w:rFonts w:ascii="Georgia"/>
          <w:vertAlign w:val="subscript"/>
        </w:rPr>
        <w:t>3</w:t>
      </w:r>
      <w:r>
        <w:rPr>
          <w:vertAlign w:val="baseline"/>
        </w:rPr>
        <w:t>,</w:t>
      </w:r>
      <w:r>
        <w:rPr>
          <w:spacing w:val="-14"/>
          <w:vertAlign w:val="baseline"/>
        </w:rPr>
        <w:t> </w:t>
      </w:r>
      <w:r>
        <w:rPr>
          <w:vertAlign w:val="baseline"/>
        </w:rPr>
        <w:t>the</w:t>
      </w:r>
      <w:r>
        <w:rPr>
          <w:spacing w:val="-15"/>
          <w:vertAlign w:val="baseline"/>
        </w:rPr>
        <w:t> </w:t>
      </w:r>
      <w:r>
        <w:rPr>
          <w:vertAlign w:val="baseline"/>
        </w:rPr>
        <w:t>difference in Wasserstein distances must be related to the diagonal cost of mass movement defined by</w:t>
      </w:r>
      <w:r>
        <w:rPr>
          <w:spacing w:val="-9"/>
          <w:vertAlign w:val="baseline"/>
        </w:rPr>
        <w:t> </w:t>
      </w:r>
      <w:r>
        <w:rPr>
          <w:vertAlign w:val="baseline"/>
        </w:rPr>
        <w:t>the</w:t>
      </w:r>
      <w:r>
        <w:rPr>
          <w:spacing w:val="-9"/>
          <w:vertAlign w:val="baseline"/>
        </w:rPr>
        <w:t> </w:t>
      </w:r>
      <w:r>
        <w:rPr>
          <w:vertAlign w:val="baseline"/>
        </w:rPr>
        <w:t>cost</w:t>
      </w:r>
      <w:r>
        <w:rPr>
          <w:spacing w:val="-9"/>
          <w:vertAlign w:val="baseline"/>
        </w:rPr>
        <w:t> </w:t>
      </w:r>
      <w:r>
        <w:rPr>
          <w:vertAlign w:val="baseline"/>
        </w:rPr>
        <w:t>function. The</w:t>
      </w:r>
      <w:r>
        <w:rPr>
          <w:spacing w:val="-9"/>
          <w:vertAlign w:val="baseline"/>
        </w:rPr>
        <w:t> </w:t>
      </w:r>
      <w:r>
        <w:rPr>
          <w:vertAlign w:val="baseline"/>
        </w:rPr>
        <w:t>diagonal</w:t>
      </w:r>
      <w:r>
        <w:rPr>
          <w:spacing w:val="-9"/>
          <w:vertAlign w:val="baseline"/>
        </w:rPr>
        <w:t> </w:t>
      </w:r>
      <w:r>
        <w:rPr>
          <w:vertAlign w:val="baseline"/>
        </w:rPr>
        <w:t>cost</w:t>
      </w:r>
      <w:r>
        <w:rPr>
          <w:spacing w:val="-9"/>
          <w:vertAlign w:val="baseline"/>
        </w:rPr>
        <w:t> </w:t>
      </w:r>
      <w:r>
        <w:rPr>
          <w:vertAlign w:val="baseline"/>
        </w:rPr>
        <w:t>of</w:t>
      </w:r>
      <w:r>
        <w:rPr>
          <w:spacing w:val="-9"/>
          <w:vertAlign w:val="baseline"/>
        </w:rPr>
        <w:t> </w:t>
      </w:r>
      <w:r>
        <w:rPr>
          <w:vertAlign w:val="baseline"/>
        </w:rPr>
        <w:t>mass</w:t>
      </w:r>
      <w:r>
        <w:rPr>
          <w:spacing w:val="-9"/>
          <w:vertAlign w:val="baseline"/>
        </w:rPr>
        <w:t> </w:t>
      </w:r>
      <w:r>
        <w:rPr>
          <w:vertAlign w:val="baseline"/>
        </w:rPr>
        <w:t>movement</w:t>
      </w:r>
      <w:r>
        <w:rPr>
          <w:spacing w:val="-9"/>
          <w:vertAlign w:val="baseline"/>
        </w:rPr>
        <w:t> </w:t>
      </w:r>
      <w:r>
        <w:rPr>
          <w:vertAlign w:val="baseline"/>
        </w:rPr>
        <w:t>was</w:t>
      </w:r>
      <w:r>
        <w:rPr>
          <w:spacing w:val="-9"/>
          <w:vertAlign w:val="baseline"/>
        </w:rPr>
        <w:t> </w:t>
      </w:r>
      <w:r>
        <w:rPr>
          <w:vertAlign w:val="baseline"/>
        </w:rPr>
        <w:t>greater</w:t>
      </w:r>
      <w:r>
        <w:rPr>
          <w:spacing w:val="-9"/>
          <w:vertAlign w:val="baseline"/>
        </w:rPr>
        <w:t> </w:t>
      </w:r>
      <w:r>
        <w:rPr>
          <w:vertAlign w:val="baseline"/>
        </w:rPr>
        <w:t>in</w:t>
      </w:r>
      <w:r>
        <w:rPr>
          <w:spacing w:val="-9"/>
          <w:vertAlign w:val="baseline"/>
        </w:rPr>
        <w:t> </w:t>
      </w:r>
      <w:r>
        <w:rPr>
          <w:rFonts w:ascii="Cambria"/>
          <w:vertAlign w:val="baseline"/>
        </w:rPr>
        <w:t>W</w:t>
      </w:r>
      <w:r>
        <w:rPr>
          <w:rFonts w:ascii="Georgia"/>
          <w:vertAlign w:val="subscript"/>
        </w:rPr>
        <w:t>1</w:t>
      </w:r>
      <w:r>
        <w:rPr>
          <w:rFonts w:ascii="Georgia"/>
          <w:vertAlign w:val="baseline"/>
        </w:rPr>
        <w:t> </w:t>
      </w:r>
      <w:r>
        <w:rPr>
          <w:vertAlign w:val="baseline"/>
        </w:rPr>
        <w:t>than</w:t>
      </w:r>
      <w:r>
        <w:rPr>
          <w:spacing w:val="-9"/>
          <w:vertAlign w:val="baseline"/>
        </w:rPr>
        <w:t> </w:t>
      </w:r>
      <w:r>
        <w:rPr>
          <w:rFonts w:ascii="Cambria"/>
          <w:vertAlign w:val="baseline"/>
        </w:rPr>
        <w:t>W</w:t>
      </w:r>
      <w:r>
        <w:rPr>
          <w:rFonts w:ascii="Georgia"/>
          <w:vertAlign w:val="subscript"/>
        </w:rPr>
        <w:t>2</w:t>
      </w:r>
      <w:r>
        <w:rPr>
          <w:rFonts w:ascii="Georgia"/>
          <w:vertAlign w:val="baseline"/>
        </w:rPr>
        <w:t> </w:t>
      </w:r>
      <w:r>
        <w:rPr>
          <w:vertAlign w:val="baseline"/>
        </w:rPr>
        <w:t>(by the exponent 2) and </w:t>
      </w:r>
      <w:r>
        <w:rPr>
          <w:rFonts w:ascii="Cambria"/>
          <w:vertAlign w:val="baseline"/>
        </w:rPr>
        <w:t>W</w:t>
      </w:r>
      <w:r>
        <w:rPr>
          <w:rFonts w:ascii="Georgia"/>
          <w:vertAlign w:val="subscript"/>
        </w:rPr>
        <w:t>3</w:t>
      </w:r>
      <w:r>
        <w:rPr>
          <w:rFonts w:ascii="Georgia"/>
          <w:vertAlign w:val="baseline"/>
        </w:rPr>
        <w:t> </w:t>
      </w:r>
      <w:r>
        <w:rPr>
          <w:vertAlign w:val="baseline"/>
        </w:rPr>
        <w:t>(by the exponent 3).</w:t>
      </w:r>
      <w:r>
        <w:rPr>
          <w:spacing w:val="30"/>
          <w:vertAlign w:val="baseline"/>
        </w:rPr>
        <w:t> </w:t>
      </w:r>
      <w:r>
        <w:rPr>
          <w:vertAlign w:val="baseline"/>
        </w:rPr>
        <w:t>These differences are shown by the lighter (greater cost) and darker (reduced cost) areas in Figure</w:t>
      </w:r>
      <w:hyperlink w:history="true" w:anchor="_bookmark138">
        <w:r>
          <w:rPr>
            <w:color w:val="0000FF"/>
            <w:vertAlign w:val="baseline"/>
          </w:rPr>
          <w:t>5.4</w:t>
        </w:r>
        <w:r>
          <w:rPr>
            <w:vertAlign w:val="baseline"/>
          </w:rPr>
          <w:t>.</w:t>
        </w:r>
      </w:hyperlink>
      <w:r>
        <w:rPr>
          <w:spacing w:val="40"/>
          <w:vertAlign w:val="baseline"/>
        </w:rPr>
        <w:t> </w:t>
      </w:r>
      <w:r>
        <w:rPr>
          <w:vertAlign w:val="baseline"/>
        </w:rPr>
        <w:t>In order to generate larger areas</w:t>
      </w:r>
      <w:r>
        <w:rPr>
          <w:spacing w:val="-15"/>
          <w:vertAlign w:val="baseline"/>
        </w:rPr>
        <w:t> </w:t>
      </w:r>
      <w:r>
        <w:rPr>
          <w:vertAlign w:val="baseline"/>
        </w:rPr>
        <w:t>of</w:t>
      </w:r>
      <w:r>
        <w:rPr>
          <w:spacing w:val="-14"/>
          <w:vertAlign w:val="baseline"/>
        </w:rPr>
        <w:t> </w:t>
      </w:r>
      <w:r>
        <w:rPr>
          <w:vertAlign w:val="baseline"/>
        </w:rPr>
        <w:t>increased</w:t>
      </w:r>
      <w:r>
        <w:rPr>
          <w:spacing w:val="-15"/>
          <w:vertAlign w:val="baseline"/>
        </w:rPr>
        <w:t> </w:t>
      </w:r>
      <w:r>
        <w:rPr>
          <w:vertAlign w:val="baseline"/>
        </w:rPr>
        <w:t>and</w:t>
      </w:r>
      <w:r>
        <w:rPr>
          <w:spacing w:val="-14"/>
          <w:vertAlign w:val="baseline"/>
        </w:rPr>
        <w:t> </w:t>
      </w:r>
      <w:r>
        <w:rPr>
          <w:vertAlign w:val="baseline"/>
        </w:rPr>
        <w:t>decreased</w:t>
      </w:r>
      <w:r>
        <w:rPr>
          <w:spacing w:val="-15"/>
          <w:vertAlign w:val="baseline"/>
        </w:rPr>
        <w:t> </w:t>
      </w:r>
      <w:r>
        <w:rPr>
          <w:vertAlign w:val="baseline"/>
        </w:rPr>
        <w:t>densities</w:t>
      </w:r>
      <w:r>
        <w:rPr>
          <w:spacing w:val="-14"/>
          <w:vertAlign w:val="baseline"/>
        </w:rPr>
        <w:t> </w:t>
      </w:r>
      <w:r>
        <w:rPr>
          <w:vertAlign w:val="baseline"/>
        </w:rPr>
        <w:t>(i.e.</w:t>
      </w:r>
      <w:r>
        <w:rPr>
          <w:spacing w:val="4"/>
          <w:vertAlign w:val="baseline"/>
        </w:rPr>
        <w:t> </w:t>
      </w:r>
      <w:r>
        <w:rPr>
          <w:vertAlign w:val="baseline"/>
        </w:rPr>
        <w:t>those</w:t>
      </w:r>
      <w:r>
        <w:rPr>
          <w:spacing w:val="-14"/>
          <w:vertAlign w:val="baseline"/>
        </w:rPr>
        <w:t> </w:t>
      </w:r>
      <w:r>
        <w:rPr>
          <w:vertAlign w:val="baseline"/>
        </w:rPr>
        <w:t>areas</w:t>
      </w:r>
      <w:r>
        <w:rPr>
          <w:spacing w:val="-15"/>
          <w:vertAlign w:val="baseline"/>
        </w:rPr>
        <w:t> </w:t>
      </w:r>
      <w:r>
        <w:rPr>
          <w:vertAlign w:val="baseline"/>
        </w:rPr>
        <w:t>spanning</w:t>
      </w:r>
      <w:r>
        <w:rPr>
          <w:spacing w:val="-14"/>
          <w:vertAlign w:val="baseline"/>
        </w:rPr>
        <w:t> </w:t>
      </w:r>
      <w:r>
        <w:rPr>
          <w:vertAlign w:val="baseline"/>
        </w:rPr>
        <w:t>the</w:t>
      </w:r>
      <w:r>
        <w:rPr>
          <w:spacing w:val="-15"/>
          <w:vertAlign w:val="baseline"/>
        </w:rPr>
        <w:t> </w:t>
      </w:r>
      <w:r>
        <w:rPr>
          <w:vertAlign w:val="baseline"/>
        </w:rPr>
        <w:t>length</w:t>
      </w:r>
      <w:r>
        <w:rPr>
          <w:spacing w:val="-14"/>
          <w:vertAlign w:val="baseline"/>
        </w:rPr>
        <w:t> </w:t>
      </w:r>
      <w:r>
        <w:rPr>
          <w:vertAlign w:val="baseline"/>
        </w:rPr>
        <w:t>or</w:t>
      </w:r>
      <w:r>
        <w:rPr>
          <w:spacing w:val="-15"/>
          <w:vertAlign w:val="baseline"/>
        </w:rPr>
        <w:t> </w:t>
      </w:r>
      <w:r>
        <w:rPr>
          <w:vertAlign w:val="baseline"/>
        </w:rPr>
        <w:t>width</w:t>
      </w:r>
      <w:r>
        <w:rPr>
          <w:spacing w:val="-14"/>
          <w:vertAlign w:val="baseline"/>
        </w:rPr>
        <w:t> </w:t>
      </w:r>
      <w:r>
        <w:rPr>
          <w:vertAlign w:val="baseline"/>
        </w:rPr>
        <w:t>of</w:t>
      </w:r>
    </w:p>
    <w:p>
      <w:pPr>
        <w:spacing w:after="0" w:line="309"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09" w:lineRule="auto" w:before="97"/>
        <w:ind w:left="610" w:right="389"/>
      </w:pPr>
      <w:r>
        <w:rPr/>
        <w:t>the</w:t>
      </w:r>
      <w:r>
        <w:rPr>
          <w:spacing w:val="-9"/>
        </w:rPr>
        <w:t> </w:t>
      </w:r>
      <w:r>
        <w:rPr/>
        <w:t>pitch),</w:t>
      </w:r>
      <w:r>
        <w:rPr>
          <w:spacing w:val="-9"/>
        </w:rPr>
        <w:t> </w:t>
      </w:r>
      <w:r>
        <w:rPr/>
        <w:t>diagonal</w:t>
      </w:r>
      <w:r>
        <w:rPr>
          <w:spacing w:val="-9"/>
        </w:rPr>
        <w:t> </w:t>
      </w:r>
      <w:r>
        <w:rPr/>
        <w:t>mass</w:t>
      </w:r>
      <w:r>
        <w:rPr>
          <w:spacing w:val="-9"/>
        </w:rPr>
        <w:t> </w:t>
      </w:r>
      <w:r>
        <w:rPr/>
        <w:t>movements</w:t>
      </w:r>
      <w:r>
        <w:rPr>
          <w:spacing w:val="-9"/>
        </w:rPr>
        <w:t> </w:t>
      </w:r>
      <w:r>
        <w:rPr/>
        <w:t>would</w:t>
      </w:r>
      <w:r>
        <w:rPr>
          <w:spacing w:val="-9"/>
        </w:rPr>
        <w:t> </w:t>
      </w:r>
      <w:r>
        <w:rPr/>
        <w:t>almost</w:t>
      </w:r>
      <w:r>
        <w:rPr>
          <w:spacing w:val="-9"/>
        </w:rPr>
        <w:t> </w:t>
      </w:r>
      <w:r>
        <w:rPr/>
        <w:t>certainly</w:t>
      </w:r>
      <w:r>
        <w:rPr>
          <w:spacing w:val="-9"/>
        </w:rPr>
        <w:t> </w:t>
      </w:r>
      <w:r>
        <w:rPr/>
        <w:t>have</w:t>
      </w:r>
      <w:r>
        <w:rPr>
          <w:spacing w:val="-9"/>
        </w:rPr>
        <w:t> </w:t>
      </w:r>
      <w:r>
        <w:rPr/>
        <w:t>taken</w:t>
      </w:r>
      <w:r>
        <w:rPr>
          <w:spacing w:val="-9"/>
        </w:rPr>
        <w:t> </w:t>
      </w:r>
      <w:r>
        <w:rPr/>
        <w:t>place. However, the</w:t>
      </w:r>
      <w:r>
        <w:rPr>
          <w:spacing w:val="-1"/>
        </w:rPr>
        <w:t> </w:t>
      </w:r>
      <w:r>
        <w:rPr/>
        <w:t>extent</w:t>
      </w:r>
      <w:r>
        <w:rPr>
          <w:spacing w:val="-1"/>
        </w:rPr>
        <w:t> </w:t>
      </w:r>
      <w:r>
        <w:rPr/>
        <w:t>to</w:t>
      </w:r>
      <w:r>
        <w:rPr>
          <w:spacing w:val="-1"/>
        </w:rPr>
        <w:t> </w:t>
      </w:r>
      <w:r>
        <w:rPr/>
        <w:t>which</w:t>
      </w:r>
      <w:r>
        <w:rPr>
          <w:spacing w:val="-1"/>
        </w:rPr>
        <w:t> </w:t>
      </w:r>
      <w:r>
        <w:rPr/>
        <w:t>these</w:t>
      </w:r>
      <w:r>
        <w:rPr>
          <w:spacing w:val="-1"/>
        </w:rPr>
        <w:t> </w:t>
      </w:r>
      <w:r>
        <w:rPr/>
        <w:t>diagonal</w:t>
      </w:r>
      <w:r>
        <w:rPr>
          <w:spacing w:val="-1"/>
        </w:rPr>
        <w:t> </w:t>
      </w:r>
      <w:r>
        <w:rPr/>
        <w:t>movements</w:t>
      </w:r>
      <w:r>
        <w:rPr>
          <w:spacing w:val="-1"/>
        </w:rPr>
        <w:t> </w:t>
      </w:r>
      <w:r>
        <w:rPr/>
        <w:t>could</w:t>
      </w:r>
      <w:r>
        <w:rPr>
          <w:spacing w:val="-1"/>
        </w:rPr>
        <w:t> </w:t>
      </w:r>
      <w:r>
        <w:rPr/>
        <w:t>influence</w:t>
      </w:r>
      <w:r>
        <w:rPr>
          <w:spacing w:val="-1"/>
        </w:rPr>
        <w:t> </w:t>
      </w:r>
      <w:r>
        <w:rPr/>
        <w:t>the</w:t>
      </w:r>
      <w:r>
        <w:rPr>
          <w:spacing w:val="-1"/>
        </w:rPr>
        <w:t> </w:t>
      </w:r>
      <w:r>
        <w:rPr/>
        <w:t>final</w:t>
      </w:r>
      <w:r>
        <w:rPr>
          <w:spacing w:val="-1"/>
        </w:rPr>
        <w:t> </w:t>
      </w:r>
      <w:r>
        <w:rPr/>
        <w:t>Wasserstein</w:t>
      </w:r>
      <w:r>
        <w:rPr>
          <w:spacing w:val="-1"/>
        </w:rPr>
        <w:t> </w:t>
      </w:r>
      <w:r>
        <w:rPr/>
        <w:t>dis- tance along the </w:t>
      </w:r>
      <w:r>
        <w:rPr>
          <w:rFonts w:ascii="Cambria" w:hAnsi="Cambria"/>
        </w:rPr>
        <w:t>x </w:t>
      </w:r>
      <w:r>
        <w:rPr/>
        <w:t>and </w:t>
      </w:r>
      <w:r>
        <w:rPr>
          <w:rFonts w:ascii="Cambria" w:hAnsi="Cambria"/>
        </w:rPr>
        <w:t>y </w:t>
      </w:r>
      <w:r>
        <w:rPr/>
        <w:t>axes is partly related to the non-square 70m x 120m dimensions of</w:t>
      </w:r>
      <w:r>
        <w:rPr>
          <w:spacing w:val="-3"/>
        </w:rPr>
        <w:t> </w:t>
      </w:r>
      <w:r>
        <w:rPr/>
        <w:t>the</w:t>
      </w:r>
      <w:r>
        <w:rPr>
          <w:spacing w:val="-3"/>
        </w:rPr>
        <w:t> </w:t>
      </w:r>
      <w:r>
        <w:rPr/>
        <w:t>rugby</w:t>
      </w:r>
      <w:r>
        <w:rPr>
          <w:spacing w:val="-3"/>
        </w:rPr>
        <w:t> </w:t>
      </w:r>
      <w:r>
        <w:rPr/>
        <w:t>league</w:t>
      </w:r>
      <w:r>
        <w:rPr>
          <w:spacing w:val="-3"/>
        </w:rPr>
        <w:t> </w:t>
      </w:r>
      <w:r>
        <w:rPr/>
        <w:t>pitch. Figure</w:t>
      </w:r>
      <w:hyperlink w:history="true" w:anchor="_bookmark155">
        <w:r>
          <w:rPr>
            <w:color w:val="0000FF"/>
          </w:rPr>
          <w:t>5.7</w:t>
        </w:r>
      </w:hyperlink>
      <w:r>
        <w:rPr/>
        <w:t>shows</w:t>
      </w:r>
      <w:r>
        <w:rPr>
          <w:spacing w:val="-3"/>
        </w:rPr>
        <w:t> </w:t>
      </w:r>
      <w:r>
        <w:rPr/>
        <w:t>the</w:t>
      </w:r>
      <w:r>
        <w:rPr>
          <w:spacing w:val="-3"/>
        </w:rPr>
        <w:t> </w:t>
      </w:r>
      <w:r>
        <w:rPr/>
        <w:t>difference</w:t>
      </w:r>
      <w:r>
        <w:rPr>
          <w:spacing w:val="-3"/>
        </w:rPr>
        <w:t> </w:t>
      </w:r>
      <w:r>
        <w:rPr/>
        <w:t>in</w:t>
      </w:r>
      <w:r>
        <w:rPr>
          <w:spacing w:val="-3"/>
        </w:rPr>
        <w:t> </w:t>
      </w:r>
      <w:r>
        <w:rPr/>
        <w:t>the</w:t>
      </w:r>
      <w:r>
        <w:rPr>
          <w:spacing w:val="-3"/>
        </w:rPr>
        <w:t> </w:t>
      </w:r>
      <w:r>
        <w:rPr/>
        <w:t>size</w:t>
      </w:r>
      <w:r>
        <w:rPr>
          <w:spacing w:val="-3"/>
        </w:rPr>
        <w:t> </w:t>
      </w:r>
      <w:r>
        <w:rPr/>
        <w:t>of</w:t>
      </w:r>
      <w:r>
        <w:rPr>
          <w:spacing w:val="-3"/>
        </w:rPr>
        <w:t> </w:t>
      </w:r>
      <w:r>
        <w:rPr/>
        <w:t>movements</w:t>
      </w:r>
      <w:r>
        <w:rPr>
          <w:spacing w:val="-3"/>
        </w:rPr>
        <w:t> </w:t>
      </w:r>
      <w:r>
        <w:rPr/>
        <w:t>in</w:t>
      </w:r>
      <w:r>
        <w:rPr>
          <w:spacing w:val="-3"/>
        </w:rPr>
        <w:t> </w:t>
      </w:r>
      <w:r>
        <w:rPr/>
        <w:t>the </w:t>
      </w:r>
      <w:r>
        <w:rPr>
          <w:rFonts w:ascii="Cambria" w:hAnsi="Cambria"/>
        </w:rPr>
        <w:t>x,</w:t>
      </w:r>
      <w:r>
        <w:rPr>
          <w:rFonts w:ascii="Cambria" w:hAnsi="Cambria"/>
          <w:spacing w:val="-14"/>
        </w:rPr>
        <w:t> </w:t>
      </w:r>
      <w:r>
        <w:rPr>
          <w:rFonts w:ascii="Cambria" w:hAnsi="Cambria"/>
        </w:rPr>
        <w:t>y</w:t>
      </w:r>
      <w:r>
        <w:rPr>
          <w:rFonts w:ascii="Cambria" w:hAnsi="Cambria"/>
          <w:spacing w:val="22"/>
        </w:rPr>
        <w:t> </w:t>
      </w:r>
      <w:r>
        <w:rPr/>
        <w:t>and diagonal directions when attempting to move mass from the centre of the pitch in the opposition 20m to the left side of the pitch on the team’s own try line.</w:t>
      </w:r>
      <w:r>
        <w:rPr>
          <w:spacing w:val="40"/>
        </w:rPr>
        <w:t> </w:t>
      </w:r>
      <w:r>
        <w:rPr/>
        <w:t>It is clear when</w:t>
      </w:r>
      <w:r>
        <w:rPr>
          <w:spacing w:val="-6"/>
        </w:rPr>
        <w:t> </w:t>
      </w:r>
      <w:r>
        <w:rPr/>
        <w:t>comparing</w:t>
      </w:r>
      <w:r>
        <w:rPr>
          <w:spacing w:val="-6"/>
        </w:rPr>
        <w:t> </w:t>
      </w:r>
      <w:r>
        <w:rPr/>
        <w:t>the</w:t>
      </w:r>
      <w:r>
        <w:rPr>
          <w:spacing w:val="-6"/>
        </w:rPr>
        <w:t> </w:t>
      </w:r>
      <w:r>
        <w:rPr/>
        <w:t>left</w:t>
      </w:r>
      <w:r>
        <w:rPr>
          <w:spacing w:val="-6"/>
        </w:rPr>
        <w:t> </w:t>
      </w:r>
      <w:r>
        <w:rPr/>
        <w:t>plot</w:t>
      </w:r>
      <w:r>
        <w:rPr>
          <w:spacing w:val="-6"/>
        </w:rPr>
        <w:t> </w:t>
      </w:r>
      <w:r>
        <w:rPr/>
        <w:t>to</w:t>
      </w:r>
      <w:r>
        <w:rPr>
          <w:spacing w:val="-6"/>
        </w:rPr>
        <w:t> </w:t>
      </w:r>
      <w:r>
        <w:rPr/>
        <w:t>the</w:t>
      </w:r>
      <w:r>
        <w:rPr>
          <w:spacing w:val="-6"/>
        </w:rPr>
        <w:t> </w:t>
      </w:r>
      <w:r>
        <w:rPr/>
        <w:t>right</w:t>
      </w:r>
      <w:r>
        <w:rPr>
          <w:spacing w:val="-6"/>
        </w:rPr>
        <w:t> </w:t>
      </w:r>
      <w:r>
        <w:rPr/>
        <w:t>plot</w:t>
      </w:r>
      <w:r>
        <w:rPr>
          <w:spacing w:val="-6"/>
        </w:rPr>
        <w:t> </w:t>
      </w:r>
      <w:r>
        <w:rPr/>
        <w:t>that</w:t>
      </w:r>
      <w:r>
        <w:rPr>
          <w:spacing w:val="-6"/>
        </w:rPr>
        <w:t> </w:t>
      </w:r>
      <w:r>
        <w:rPr/>
        <w:t>the</w:t>
      </w:r>
      <w:r>
        <w:rPr>
          <w:spacing w:val="-6"/>
        </w:rPr>
        <w:t> </w:t>
      </w:r>
      <w:r>
        <w:rPr/>
        <w:t>diagonal</w:t>
      </w:r>
      <w:r>
        <w:rPr>
          <w:spacing w:val="-6"/>
        </w:rPr>
        <w:t> </w:t>
      </w:r>
      <w:r>
        <w:rPr/>
        <w:t>line</w:t>
      </w:r>
      <w:r>
        <w:rPr>
          <w:spacing w:val="-6"/>
        </w:rPr>
        <w:t> </w:t>
      </w:r>
      <w:r>
        <w:rPr/>
        <w:t>is</w:t>
      </w:r>
      <w:r>
        <w:rPr>
          <w:spacing w:val="-6"/>
        </w:rPr>
        <w:t> </w:t>
      </w:r>
      <w:r>
        <w:rPr/>
        <w:t>significantly</w:t>
      </w:r>
      <w:r>
        <w:rPr>
          <w:spacing w:val="-6"/>
        </w:rPr>
        <w:t> </w:t>
      </w:r>
      <w:r>
        <w:rPr/>
        <w:t>longer relative to the horizontal line, denoting movement along the </w:t>
      </w:r>
      <w:r>
        <w:rPr>
          <w:rFonts w:ascii="Cambria" w:hAnsi="Cambria"/>
        </w:rPr>
        <w:t>x </w:t>
      </w:r>
      <w:r>
        <w:rPr/>
        <w:t>axis, than it is to the ver- tical line, denoting movement along the </w:t>
      </w:r>
      <w:r>
        <w:rPr>
          <w:rFonts w:ascii="Cambria" w:hAnsi="Cambria"/>
        </w:rPr>
        <w:t>y </w:t>
      </w:r>
      <w:r>
        <w:rPr/>
        <w:t>axis.</w:t>
      </w:r>
      <w:r>
        <w:rPr>
          <w:spacing w:val="26"/>
        </w:rPr>
        <w:t> </w:t>
      </w:r>
      <w:r>
        <w:rPr/>
        <w:t>Consequently, the diagonal cost of mass movement would have</w:t>
      </w:r>
      <w:r>
        <w:rPr>
          <w:spacing w:val="-1"/>
        </w:rPr>
        <w:t> </w:t>
      </w:r>
      <w:r>
        <w:rPr/>
        <w:t>a much greater impact on</w:t>
      </w:r>
      <w:r>
        <w:rPr>
          <w:spacing w:val="-1"/>
        </w:rPr>
        <w:t> </w:t>
      </w:r>
      <w:r>
        <w:rPr/>
        <w:t>differences along the horizontal</w:t>
      </w:r>
      <w:r>
        <w:rPr>
          <w:spacing w:val="-1"/>
        </w:rPr>
        <w:t> </w:t>
      </w:r>
      <w:r>
        <w:rPr>
          <w:rFonts w:ascii="Cambria" w:hAnsi="Cambria"/>
        </w:rPr>
        <w:t>x </w:t>
      </w:r>
      <w:r>
        <w:rPr/>
        <w:t>axis. Although it is extremely unlikely that the movement all occurred from a singular point of density as depicted in Figure</w:t>
      </w:r>
      <w:hyperlink w:history="true" w:anchor="_bookmark155">
        <w:r>
          <w:rPr>
            <w:color w:val="0000FF"/>
          </w:rPr>
          <w:t>5.7</w:t>
        </w:r>
        <w:r>
          <w:rPr/>
          <w:t>,</w:t>
        </w:r>
      </w:hyperlink>
      <w:r>
        <w:rPr/>
        <w:t> the difference in this diagonal to horizontal/vertical movement ratio helps to explain why Castleford, with their horizontal, left side of pitch bias (Figure</w:t>
      </w:r>
      <w:hyperlink w:history="true" w:anchor="_bookmark151">
        <w:r>
          <w:rPr>
            <w:color w:val="0000FF"/>
          </w:rPr>
          <w:t>5.6</w:t>
        </w:r>
        <w:r>
          <w:rPr/>
          <w:t>)</w:t>
        </w:r>
      </w:hyperlink>
      <w:r>
        <w:rPr/>
        <w:t> had a much greater</w:t>
      </w:r>
      <w:r>
        <w:rPr>
          <w:spacing w:val="40"/>
        </w:rPr>
        <w:t> </w:t>
      </w:r>
      <w:r>
        <w:rPr>
          <w:rFonts w:ascii="Cambria" w:hAnsi="Cambria"/>
        </w:rPr>
        <w:t>W</w:t>
      </w:r>
      <w:r>
        <w:rPr>
          <w:rFonts w:ascii="Georgia" w:hAnsi="Georgia"/>
          <w:vertAlign w:val="subscript"/>
        </w:rPr>
        <w:t>1</w:t>
      </w:r>
      <w:r>
        <w:rPr>
          <w:vertAlign w:val="baseline"/>
        </w:rPr>
        <w:t>-</w:t>
      </w:r>
      <w:r>
        <w:rPr>
          <w:rFonts w:ascii="Cambria" w:hAnsi="Cambria"/>
          <w:vertAlign w:val="baseline"/>
        </w:rPr>
        <w:t>W</w:t>
      </w:r>
      <w:r>
        <w:rPr>
          <w:rFonts w:ascii="Georgia" w:hAnsi="Georgia"/>
          <w:vertAlign w:val="subscript"/>
        </w:rPr>
        <w:t>3</w:t>
      </w:r>
      <w:r>
        <w:rPr>
          <w:rFonts w:ascii="Georgia" w:hAnsi="Georgia"/>
          <w:vertAlign w:val="baseline"/>
        </w:rPr>
        <w:t> </w:t>
      </w:r>
      <w:r>
        <w:rPr>
          <w:vertAlign w:val="baseline"/>
        </w:rPr>
        <w:t>difference than Salford, who had a vertical, anywhere but the opposition 20m pitch bias (Figure</w:t>
      </w:r>
      <w:hyperlink w:history="true" w:anchor="_bookmark151">
        <w:r>
          <w:rPr>
            <w:color w:val="0000FF"/>
            <w:vertAlign w:val="baseline"/>
          </w:rPr>
          <w:t>5.6</w:t>
        </w:r>
      </w:hyperlink>
      <w:r>
        <w:rPr>
          <w:vertAlign w:val="baseline"/>
        </w:rPr>
        <w:t>).</w:t>
      </w:r>
      <w:r>
        <w:rPr>
          <w:spacing w:val="40"/>
          <w:vertAlign w:val="baseline"/>
        </w:rPr>
        <w:t> </w:t>
      </w:r>
      <w:r>
        <w:rPr>
          <w:vertAlign w:val="baseline"/>
        </w:rPr>
        <w:t>The overpowering influence</w:t>
      </w:r>
      <w:r>
        <w:rPr>
          <w:spacing w:val="80"/>
          <w:vertAlign w:val="baseline"/>
        </w:rPr>
        <w:t> </w:t>
      </w:r>
      <w:r>
        <w:rPr>
          <w:vertAlign w:val="baseline"/>
        </w:rPr>
        <w:t>of diagonal mass movements on the </w:t>
      </w:r>
      <w:r>
        <w:rPr>
          <w:rFonts w:ascii="Cambria" w:hAnsi="Cambria"/>
          <w:vertAlign w:val="baseline"/>
        </w:rPr>
        <w:t>W</w:t>
      </w:r>
      <w:r>
        <w:rPr>
          <w:rFonts w:ascii="Georgia" w:hAnsi="Georgia"/>
          <w:vertAlign w:val="subscript"/>
        </w:rPr>
        <w:t>1</w:t>
      </w:r>
      <w:r>
        <w:rPr>
          <w:rFonts w:ascii="Georgia" w:hAnsi="Georgia"/>
          <w:spacing w:val="30"/>
          <w:vertAlign w:val="baseline"/>
        </w:rPr>
        <w:t> </w:t>
      </w:r>
      <w:r>
        <w:rPr>
          <w:vertAlign w:val="baseline"/>
        </w:rPr>
        <w:t>measure ensures that it is less appropriate for</w:t>
      </w:r>
      <w:r>
        <w:rPr>
          <w:spacing w:val="80"/>
          <w:vertAlign w:val="baseline"/>
        </w:rPr>
        <w:t> </w:t>
      </w:r>
      <w:r>
        <w:rPr>
          <w:vertAlign w:val="baseline"/>
        </w:rPr>
        <w:t>the</w:t>
      </w:r>
      <w:r>
        <w:rPr>
          <w:spacing w:val="-7"/>
          <w:vertAlign w:val="baseline"/>
        </w:rPr>
        <w:t> </w:t>
      </w:r>
      <w:r>
        <w:rPr>
          <w:vertAlign w:val="baseline"/>
        </w:rPr>
        <w:t>analysis</w:t>
      </w:r>
      <w:r>
        <w:rPr>
          <w:spacing w:val="-8"/>
          <w:vertAlign w:val="baseline"/>
        </w:rPr>
        <w:t> </w:t>
      </w:r>
      <w:r>
        <w:rPr>
          <w:vertAlign w:val="baseline"/>
        </w:rPr>
        <w:t>of</w:t>
      </w:r>
      <w:r>
        <w:rPr>
          <w:spacing w:val="-7"/>
          <w:vertAlign w:val="baseline"/>
        </w:rPr>
        <w:t> </w:t>
      </w:r>
      <w:r>
        <w:rPr>
          <w:vertAlign w:val="baseline"/>
        </w:rPr>
        <w:t>differences</w:t>
      </w:r>
      <w:r>
        <w:rPr>
          <w:spacing w:val="-7"/>
          <w:vertAlign w:val="baseline"/>
        </w:rPr>
        <w:t> </w:t>
      </w:r>
      <w:r>
        <w:rPr>
          <w:vertAlign w:val="baseline"/>
        </w:rPr>
        <w:t>in</w:t>
      </w:r>
      <w:r>
        <w:rPr>
          <w:spacing w:val="-8"/>
          <w:vertAlign w:val="baseline"/>
        </w:rPr>
        <w:t> </w:t>
      </w:r>
      <w:r>
        <w:rPr>
          <w:vertAlign w:val="baseline"/>
        </w:rPr>
        <w:t>the</w:t>
      </w:r>
      <w:r>
        <w:rPr>
          <w:spacing w:val="-7"/>
          <w:vertAlign w:val="baseline"/>
        </w:rPr>
        <w:t> </w:t>
      </w:r>
      <w:r>
        <w:rPr>
          <w:vertAlign w:val="baseline"/>
        </w:rPr>
        <w:t>spatial</w:t>
      </w:r>
      <w:r>
        <w:rPr>
          <w:spacing w:val="-7"/>
          <w:vertAlign w:val="baseline"/>
        </w:rPr>
        <w:t> </w:t>
      </w:r>
      <w:r>
        <w:rPr>
          <w:vertAlign w:val="baseline"/>
        </w:rPr>
        <w:t>trends</w:t>
      </w:r>
      <w:r>
        <w:rPr>
          <w:spacing w:val="-8"/>
          <w:vertAlign w:val="baseline"/>
        </w:rPr>
        <w:t> </w:t>
      </w:r>
      <w:r>
        <w:rPr>
          <w:vertAlign w:val="baseline"/>
        </w:rPr>
        <w:t>of</w:t>
      </w:r>
      <w:r>
        <w:rPr>
          <w:spacing w:val="-7"/>
          <w:vertAlign w:val="baseline"/>
        </w:rPr>
        <w:t> </w:t>
      </w:r>
      <w:r>
        <w:rPr>
          <w:vertAlign w:val="baseline"/>
        </w:rPr>
        <w:t>attacking</w:t>
      </w:r>
      <w:r>
        <w:rPr>
          <w:spacing w:val="-7"/>
          <w:vertAlign w:val="baseline"/>
        </w:rPr>
        <w:t> </w:t>
      </w:r>
      <w:r>
        <w:rPr>
          <w:vertAlign w:val="baseline"/>
        </w:rPr>
        <w:t>performances</w:t>
      </w:r>
      <w:r>
        <w:rPr>
          <w:spacing w:val="-8"/>
          <w:vertAlign w:val="baseline"/>
        </w:rPr>
        <w:t> </w:t>
      </w:r>
      <w:r>
        <w:rPr>
          <w:vertAlign w:val="baseline"/>
        </w:rPr>
        <w:t>in</w:t>
      </w:r>
      <w:r>
        <w:rPr>
          <w:spacing w:val="-7"/>
          <w:vertAlign w:val="baseline"/>
        </w:rPr>
        <w:t> </w:t>
      </w:r>
      <w:r>
        <w:rPr>
          <w:vertAlign w:val="baseline"/>
        </w:rPr>
        <w:t>rugby</w:t>
      </w:r>
      <w:r>
        <w:rPr>
          <w:spacing w:val="-7"/>
          <w:vertAlign w:val="baseline"/>
        </w:rPr>
        <w:t> </w:t>
      </w:r>
      <w:r>
        <w:rPr>
          <w:vertAlign w:val="baseline"/>
        </w:rPr>
        <w:t>league than</w:t>
      </w:r>
      <w:r>
        <w:rPr>
          <w:spacing w:val="-4"/>
          <w:vertAlign w:val="baseline"/>
        </w:rPr>
        <w:t> </w:t>
      </w:r>
      <w:r>
        <w:rPr>
          <w:vertAlign w:val="baseline"/>
        </w:rPr>
        <w:t>the</w:t>
      </w:r>
      <w:r>
        <w:rPr>
          <w:spacing w:val="-4"/>
          <w:vertAlign w:val="baseline"/>
        </w:rPr>
        <w:t> </w:t>
      </w:r>
      <w:r>
        <w:rPr>
          <w:rFonts w:ascii="Cambria" w:hAnsi="Cambria"/>
          <w:vertAlign w:val="baseline"/>
        </w:rPr>
        <w:t>W</w:t>
      </w:r>
      <w:r>
        <w:rPr>
          <w:rFonts w:ascii="Georgia" w:hAnsi="Georgia"/>
          <w:vertAlign w:val="subscript"/>
        </w:rPr>
        <w:t>2</w:t>
      </w:r>
      <w:r>
        <w:rPr>
          <w:rFonts w:ascii="Georgia" w:hAnsi="Georgia"/>
          <w:vertAlign w:val="baseline"/>
        </w:rPr>
        <w:t> </w:t>
      </w:r>
      <w:r>
        <w:rPr>
          <w:vertAlign w:val="baseline"/>
        </w:rPr>
        <w:t>or</w:t>
      </w:r>
      <w:r>
        <w:rPr>
          <w:spacing w:val="-4"/>
          <w:vertAlign w:val="baseline"/>
        </w:rPr>
        <w:t> </w:t>
      </w:r>
      <w:r>
        <w:rPr>
          <w:rFonts w:ascii="Cambria" w:hAnsi="Cambria"/>
          <w:vertAlign w:val="baseline"/>
        </w:rPr>
        <w:t>W</w:t>
      </w:r>
      <w:r>
        <w:rPr>
          <w:rFonts w:ascii="Georgia" w:hAnsi="Georgia"/>
          <w:vertAlign w:val="subscript"/>
        </w:rPr>
        <w:t>3</w:t>
      </w:r>
      <w:r>
        <w:rPr>
          <w:rFonts w:ascii="Georgia" w:hAnsi="Georgia"/>
          <w:vertAlign w:val="baseline"/>
        </w:rPr>
        <w:t> </w:t>
      </w:r>
      <w:r>
        <w:rPr>
          <w:vertAlign w:val="baseline"/>
        </w:rPr>
        <w:t>distances. Given</w:t>
      </w:r>
      <w:r>
        <w:rPr>
          <w:spacing w:val="-4"/>
          <w:vertAlign w:val="baseline"/>
        </w:rPr>
        <w:t> </w:t>
      </w:r>
      <w:r>
        <w:rPr>
          <w:vertAlign w:val="baseline"/>
        </w:rPr>
        <w:t>the</w:t>
      </w:r>
      <w:r>
        <w:rPr>
          <w:spacing w:val="-4"/>
          <w:vertAlign w:val="baseline"/>
        </w:rPr>
        <w:t> </w:t>
      </w:r>
      <w:r>
        <w:rPr>
          <w:vertAlign w:val="baseline"/>
        </w:rPr>
        <w:t>similarities</w:t>
      </w:r>
      <w:r>
        <w:rPr>
          <w:spacing w:val="-4"/>
          <w:vertAlign w:val="baseline"/>
        </w:rPr>
        <w:t> </w:t>
      </w:r>
      <w:r>
        <w:rPr>
          <w:vertAlign w:val="baseline"/>
        </w:rPr>
        <w:t>between</w:t>
      </w:r>
      <w:r>
        <w:rPr>
          <w:spacing w:val="-4"/>
          <w:vertAlign w:val="baseline"/>
        </w:rPr>
        <w:t> </w:t>
      </w:r>
      <w:r>
        <w:rPr>
          <w:rFonts w:ascii="Cambria" w:hAnsi="Cambria"/>
          <w:vertAlign w:val="baseline"/>
        </w:rPr>
        <w:t>W</w:t>
      </w:r>
      <w:r>
        <w:rPr>
          <w:rFonts w:ascii="Georgia" w:hAnsi="Georgia"/>
          <w:vertAlign w:val="subscript"/>
        </w:rPr>
        <w:t>3</w:t>
      </w:r>
      <w:r>
        <w:rPr>
          <w:rFonts w:ascii="Georgia" w:hAnsi="Georgia"/>
          <w:vertAlign w:val="baseline"/>
        </w:rPr>
        <w:t> </w:t>
      </w:r>
      <w:r>
        <w:rPr>
          <w:vertAlign w:val="baseline"/>
        </w:rPr>
        <w:t>and</w:t>
      </w:r>
      <w:r>
        <w:rPr>
          <w:spacing w:val="-4"/>
          <w:vertAlign w:val="baseline"/>
        </w:rPr>
        <w:t> </w:t>
      </w:r>
      <w:r>
        <w:rPr>
          <w:rFonts w:ascii="Cambria" w:hAnsi="Cambria"/>
          <w:vertAlign w:val="baseline"/>
        </w:rPr>
        <w:t>W</w:t>
      </w:r>
      <w:r>
        <w:rPr>
          <w:rFonts w:ascii="Georgia" w:hAnsi="Georgia"/>
          <w:vertAlign w:val="subscript"/>
        </w:rPr>
        <w:t>2</w:t>
      </w:r>
      <w:r>
        <w:rPr>
          <w:rFonts w:ascii="Georgia" w:hAnsi="Georgia"/>
          <w:vertAlign w:val="baseline"/>
        </w:rPr>
        <w:t> </w:t>
      </w:r>
      <w:r>
        <w:rPr>
          <w:vertAlign w:val="baseline"/>
        </w:rPr>
        <w:t>in</w:t>
      </w:r>
      <w:r>
        <w:rPr>
          <w:spacing w:val="-4"/>
          <w:vertAlign w:val="baseline"/>
        </w:rPr>
        <w:t> </w:t>
      </w:r>
      <w:r>
        <w:rPr>
          <w:vertAlign w:val="baseline"/>
        </w:rPr>
        <w:t>Table</w:t>
      </w:r>
      <w:hyperlink w:history="true" w:anchor="_bookmark153">
        <w:r>
          <w:rPr>
            <w:color w:val="0000FF"/>
            <w:vertAlign w:val="baseline"/>
          </w:rPr>
          <w:t>5.6</w:t>
        </w:r>
        <w:r>
          <w:rPr>
            <w:vertAlign w:val="baseline"/>
          </w:rPr>
          <w:t>,</w:t>
        </w:r>
      </w:hyperlink>
      <w:r>
        <w:rPr>
          <w:spacing w:val="-4"/>
          <w:vertAlign w:val="baseline"/>
        </w:rPr>
        <w:t> </w:t>
      </w:r>
      <w:r>
        <w:rPr>
          <w:vertAlign w:val="baseline"/>
        </w:rPr>
        <w:t>the </w:t>
      </w:r>
      <w:r>
        <w:rPr>
          <w:rFonts w:ascii="Cambria" w:hAnsi="Cambria"/>
          <w:vertAlign w:val="baseline"/>
        </w:rPr>
        <w:t>W</w:t>
      </w:r>
      <w:r>
        <w:rPr>
          <w:rFonts w:ascii="Georgia" w:hAnsi="Georgia"/>
          <w:vertAlign w:val="subscript"/>
        </w:rPr>
        <w:t>3</w:t>
      </w:r>
      <w:r>
        <w:rPr>
          <w:rFonts w:ascii="Georgia" w:hAnsi="Georgia"/>
          <w:vertAlign w:val="baseline"/>
        </w:rPr>
        <w:t> </w:t>
      </w:r>
      <w:r>
        <w:rPr>
          <w:vertAlign w:val="baseline"/>
        </w:rPr>
        <w:t>distance</w:t>
      </w:r>
      <w:r>
        <w:rPr>
          <w:spacing w:val="-10"/>
          <w:vertAlign w:val="baseline"/>
        </w:rPr>
        <w:t> </w:t>
      </w:r>
      <w:r>
        <w:rPr>
          <w:vertAlign w:val="baseline"/>
        </w:rPr>
        <w:t>was</w:t>
      </w:r>
      <w:r>
        <w:rPr>
          <w:spacing w:val="-10"/>
          <w:vertAlign w:val="baseline"/>
        </w:rPr>
        <w:t> </w:t>
      </w:r>
      <w:r>
        <w:rPr>
          <w:vertAlign w:val="baseline"/>
        </w:rPr>
        <w:t>used</w:t>
      </w:r>
      <w:r>
        <w:rPr>
          <w:spacing w:val="-10"/>
          <w:vertAlign w:val="baseline"/>
        </w:rPr>
        <w:t> </w:t>
      </w:r>
      <w:r>
        <w:rPr>
          <w:vertAlign w:val="baseline"/>
        </w:rPr>
        <w:t>for</w:t>
      </w:r>
      <w:r>
        <w:rPr>
          <w:spacing w:val="-10"/>
          <w:vertAlign w:val="baseline"/>
        </w:rPr>
        <w:t> </w:t>
      </w:r>
      <w:r>
        <w:rPr>
          <w:vertAlign w:val="baseline"/>
        </w:rPr>
        <w:t>later</w:t>
      </w:r>
      <w:r>
        <w:rPr>
          <w:spacing w:val="-10"/>
          <w:vertAlign w:val="baseline"/>
        </w:rPr>
        <w:t> </w:t>
      </w:r>
      <w:r>
        <w:rPr>
          <w:vertAlign w:val="baseline"/>
        </w:rPr>
        <w:t>analyses</w:t>
      </w:r>
      <w:r>
        <w:rPr>
          <w:spacing w:val="-10"/>
          <w:vertAlign w:val="baseline"/>
        </w:rPr>
        <w:t> </w:t>
      </w:r>
      <w:r>
        <w:rPr>
          <w:vertAlign w:val="baseline"/>
        </w:rPr>
        <w:t>as</w:t>
      </w:r>
      <w:r>
        <w:rPr>
          <w:spacing w:val="-10"/>
          <w:vertAlign w:val="baseline"/>
        </w:rPr>
        <w:t> </w:t>
      </w:r>
      <w:r>
        <w:rPr>
          <w:vertAlign w:val="baseline"/>
        </w:rPr>
        <w:t>the</w:t>
      </w:r>
      <w:r>
        <w:rPr>
          <w:spacing w:val="-10"/>
          <w:vertAlign w:val="baseline"/>
        </w:rPr>
        <w:t> </w:t>
      </w:r>
      <w:r>
        <w:rPr>
          <w:vertAlign w:val="baseline"/>
        </w:rPr>
        <w:t>rectangular</w:t>
      </w:r>
      <w:r>
        <w:rPr>
          <w:spacing w:val="-10"/>
          <w:vertAlign w:val="baseline"/>
        </w:rPr>
        <w:t> </w:t>
      </w:r>
      <w:r>
        <w:rPr>
          <w:vertAlign w:val="baseline"/>
        </w:rPr>
        <w:t>shape</w:t>
      </w:r>
      <w:r>
        <w:rPr>
          <w:spacing w:val="-10"/>
          <w:vertAlign w:val="baseline"/>
        </w:rPr>
        <w:t> </w:t>
      </w:r>
      <w:r>
        <w:rPr>
          <w:vertAlign w:val="baseline"/>
        </w:rPr>
        <w:t>it</w:t>
      </w:r>
      <w:r>
        <w:rPr>
          <w:spacing w:val="-10"/>
          <w:vertAlign w:val="baseline"/>
        </w:rPr>
        <w:t> </w:t>
      </w:r>
      <w:r>
        <w:rPr>
          <w:vertAlign w:val="baseline"/>
        </w:rPr>
        <w:t>produces</w:t>
      </w:r>
      <w:r>
        <w:rPr>
          <w:spacing w:val="-10"/>
          <w:vertAlign w:val="baseline"/>
        </w:rPr>
        <w:t> </w:t>
      </w:r>
      <w:r>
        <w:rPr>
          <w:vertAlign w:val="baseline"/>
        </w:rPr>
        <w:t>when</w:t>
      </w:r>
      <w:r>
        <w:rPr>
          <w:spacing w:val="-10"/>
          <w:vertAlign w:val="baseline"/>
        </w:rPr>
        <w:t> </w:t>
      </w:r>
      <w:r>
        <w:rPr>
          <w:rFonts w:ascii="Cambria" w:hAnsi="Cambria"/>
          <w:vertAlign w:val="baseline"/>
        </w:rPr>
        <w:t>x</w:t>
      </w:r>
      <w:r>
        <w:rPr>
          <w:rFonts w:ascii="Cambria" w:hAnsi="Cambria"/>
          <w:spacing w:val="-3"/>
          <w:vertAlign w:val="baseline"/>
        </w:rPr>
        <w:t> </w:t>
      </w:r>
      <w:r>
        <w:rPr>
          <w:vertAlign w:val="baseline"/>
        </w:rPr>
        <w:t>and</w:t>
      </w:r>
      <w:r>
        <w:rPr>
          <w:spacing w:val="-10"/>
          <w:vertAlign w:val="baseline"/>
        </w:rPr>
        <w:t> </w:t>
      </w:r>
      <w:r>
        <w:rPr>
          <w:rFonts w:ascii="Cambria" w:hAnsi="Cambria"/>
          <w:vertAlign w:val="baseline"/>
        </w:rPr>
        <w:t>y </w:t>
      </w:r>
      <w:r>
        <w:rPr>
          <w:vertAlign w:val="baseline"/>
        </w:rPr>
        <w:t>factors are considered is much more appropriate for this rugby league approach than the ellipsoid produced by </w:t>
      </w:r>
      <w:r>
        <w:rPr>
          <w:rFonts w:ascii="Cambria" w:hAnsi="Cambria"/>
          <w:vertAlign w:val="baseline"/>
        </w:rPr>
        <w:t>W</w:t>
      </w:r>
      <w:r>
        <w:rPr>
          <w:rFonts w:ascii="Georgia" w:hAnsi="Georgia"/>
          <w:vertAlign w:val="subscript"/>
        </w:rPr>
        <w:t>2</w:t>
      </w:r>
      <w:r>
        <w:rPr>
          <w:rFonts w:ascii="Georgia" w:hAnsi="Georgia"/>
          <w:vertAlign w:val="baseline"/>
        </w:rPr>
        <w:t> </w:t>
      </w:r>
      <w:r>
        <w:rPr>
          <w:vertAlign w:val="baseline"/>
        </w:rPr>
        <w:t>(Figure</w:t>
      </w:r>
      <w:hyperlink w:history="true" w:anchor="_bookmark156">
        <w:r>
          <w:rPr>
            <w:color w:val="0000FF"/>
            <w:vertAlign w:val="baseline"/>
          </w:rPr>
          <w:t>5.8</w:t>
        </w:r>
      </w:hyperlink>
      <w:r>
        <w:rPr>
          <w:vertAlign w:val="baseline"/>
        </w:rPr>
        <w:t>).</w:t>
      </w:r>
    </w:p>
    <w:p>
      <w:pPr>
        <w:pStyle w:val="BodyText"/>
        <w:rPr>
          <w:sz w:val="29"/>
        </w:rPr>
      </w:pPr>
    </w:p>
    <w:p>
      <w:pPr>
        <w:pStyle w:val="Heading4"/>
        <w:numPr>
          <w:ilvl w:val="3"/>
          <w:numId w:val="23"/>
        </w:numPr>
        <w:tabs>
          <w:tab w:pos="1508" w:val="left" w:leader="none"/>
        </w:tabs>
        <w:spacing w:line="312" w:lineRule="auto" w:before="0" w:after="0"/>
        <w:ind w:left="1507" w:right="389" w:hanging="897"/>
        <w:jc w:val="both"/>
      </w:pPr>
      <w:bookmarkStart w:name="5.3.2.2 Normalised Axis Wasserstein Dist" w:id="268"/>
      <w:bookmarkEnd w:id="268"/>
      <w:r>
        <w:rPr>
          <w:b w:val="0"/>
        </w:rPr>
      </w:r>
      <w:bookmarkStart w:name="_bookmark154" w:id="269"/>
      <w:bookmarkEnd w:id="269"/>
      <w:r>
        <w:rPr/>
        <w:t>Normalised</w:t>
      </w:r>
      <w:r>
        <w:rPr/>
        <w:t> Axis Wasserstein Distance Differences at the Between </w:t>
      </w:r>
      <w:r>
        <w:rPr/>
        <w:t>Team</w:t>
      </w:r>
      <w:r>
        <w:rPr/>
        <w:t> </w:t>
      </w:r>
      <w:r>
        <w:rPr>
          <w:spacing w:val="-4"/>
        </w:rPr>
        <w:t>Level</w:t>
      </w:r>
    </w:p>
    <w:p>
      <w:pPr>
        <w:pStyle w:val="BodyText"/>
        <w:spacing w:line="302" w:lineRule="auto" w:before="157"/>
        <w:ind w:left="610" w:right="389"/>
        <w:jc w:val="both"/>
      </w:pPr>
      <w:r>
        <w:rPr/>
        <w:t>To</w:t>
      </w:r>
      <w:r>
        <w:rPr>
          <w:spacing w:val="-15"/>
        </w:rPr>
        <w:t> </w:t>
      </w:r>
      <w:r>
        <w:rPr/>
        <w:t>gain</w:t>
      </w:r>
      <w:r>
        <w:rPr>
          <w:spacing w:val="-15"/>
        </w:rPr>
        <w:t> </w:t>
      </w:r>
      <w:r>
        <w:rPr/>
        <w:t>an</w:t>
      </w:r>
      <w:r>
        <w:rPr>
          <w:spacing w:val="-15"/>
        </w:rPr>
        <w:t> </w:t>
      </w:r>
      <w:r>
        <w:rPr/>
        <w:t>understanding</w:t>
      </w:r>
      <w:r>
        <w:rPr>
          <w:spacing w:val="-15"/>
        </w:rPr>
        <w:t> </w:t>
      </w:r>
      <w:r>
        <w:rPr/>
        <w:t>of</w:t>
      </w:r>
      <w:r>
        <w:rPr>
          <w:spacing w:val="-15"/>
        </w:rPr>
        <w:t> </w:t>
      </w:r>
      <w:r>
        <w:rPr>
          <w:rFonts w:ascii="Cambria"/>
        </w:rPr>
        <w:t>x</w:t>
      </w:r>
      <w:r>
        <w:rPr>
          <w:rFonts w:ascii="Cambria"/>
          <w:spacing w:val="-7"/>
        </w:rPr>
        <w:t> </w:t>
      </w:r>
      <w:r>
        <w:rPr/>
        <w:t>and</w:t>
      </w:r>
      <w:r>
        <w:rPr>
          <w:spacing w:val="-15"/>
        </w:rPr>
        <w:t> </w:t>
      </w:r>
      <w:r>
        <w:rPr>
          <w:rFonts w:ascii="Cambria"/>
        </w:rPr>
        <w:t>y </w:t>
      </w:r>
      <w:r>
        <w:rPr/>
        <w:t>axis</w:t>
      </w:r>
      <w:r>
        <w:rPr>
          <w:spacing w:val="-15"/>
        </w:rPr>
        <w:t> </w:t>
      </w:r>
      <w:r>
        <w:rPr/>
        <w:t>differences</w:t>
      </w:r>
      <w:r>
        <w:rPr>
          <w:spacing w:val="-15"/>
        </w:rPr>
        <w:t> </w:t>
      </w:r>
      <w:r>
        <w:rPr/>
        <w:t>in</w:t>
      </w:r>
      <w:r>
        <w:rPr>
          <w:spacing w:val="-15"/>
        </w:rPr>
        <w:t> </w:t>
      </w:r>
      <w:r>
        <w:rPr/>
        <w:t>the</w:t>
      </w:r>
      <w:r>
        <w:rPr>
          <w:spacing w:val="-15"/>
        </w:rPr>
        <w:t> </w:t>
      </w:r>
      <w:r>
        <w:rPr/>
        <w:t>spatial</w:t>
      </w:r>
      <w:r>
        <w:rPr>
          <w:spacing w:val="-15"/>
        </w:rPr>
        <w:t> </w:t>
      </w:r>
      <w:r>
        <w:rPr/>
        <w:t>trends</w:t>
      </w:r>
      <w:r>
        <w:rPr>
          <w:spacing w:val="-15"/>
        </w:rPr>
        <w:t> </w:t>
      </w:r>
      <w:r>
        <w:rPr/>
        <w:t>of</w:t>
      </w:r>
      <w:r>
        <w:rPr>
          <w:spacing w:val="-15"/>
        </w:rPr>
        <w:t> </w:t>
      </w:r>
      <w:r>
        <w:rPr/>
        <w:t>team</w:t>
      </w:r>
      <w:r>
        <w:rPr>
          <w:spacing w:val="-15"/>
        </w:rPr>
        <w:t> </w:t>
      </w:r>
      <w:r>
        <w:rPr/>
        <w:t>attacking performances, the</w:t>
      </w:r>
      <w:r>
        <w:rPr>
          <w:spacing w:val="-1"/>
        </w:rPr>
        <w:t> </w:t>
      </w:r>
      <w:r>
        <w:rPr/>
        <w:t>Wasserstein</w:t>
      </w:r>
      <w:r>
        <w:rPr>
          <w:spacing w:val="-1"/>
        </w:rPr>
        <w:t> </w:t>
      </w:r>
      <w:r>
        <w:rPr/>
        <w:t>distance</w:t>
      </w:r>
      <w:r>
        <w:rPr>
          <w:spacing w:val="-1"/>
        </w:rPr>
        <w:t> </w:t>
      </w:r>
      <w:r>
        <w:rPr/>
        <w:t>cost</w:t>
      </w:r>
      <w:r>
        <w:rPr>
          <w:spacing w:val="-1"/>
        </w:rPr>
        <w:t> </w:t>
      </w:r>
      <w:r>
        <w:rPr/>
        <w:t>function</w:t>
      </w:r>
      <w:r>
        <w:rPr>
          <w:spacing w:val="-1"/>
        </w:rPr>
        <w:t> </w:t>
      </w:r>
      <w:r>
        <w:rPr/>
        <w:t>was</w:t>
      </w:r>
      <w:r>
        <w:rPr>
          <w:spacing w:val="-1"/>
        </w:rPr>
        <w:t> </w:t>
      </w:r>
      <w:r>
        <w:rPr/>
        <w:t>weighted</w:t>
      </w:r>
      <w:r>
        <w:rPr>
          <w:spacing w:val="-1"/>
        </w:rPr>
        <w:t> </w:t>
      </w:r>
      <w:r>
        <w:rPr/>
        <w:t>and</w:t>
      </w:r>
      <w:r>
        <w:rPr>
          <w:spacing w:val="-1"/>
        </w:rPr>
        <w:t> </w:t>
      </w:r>
      <w:r>
        <w:rPr/>
        <w:t>compared</w:t>
      </w:r>
      <w:r>
        <w:rPr>
          <w:spacing w:val="-1"/>
        </w:rPr>
        <w:t> </w:t>
      </w:r>
      <w:r>
        <w:rPr/>
        <w:t>to</w:t>
      </w:r>
      <w:r>
        <w:rPr>
          <w:spacing w:val="-1"/>
        </w:rPr>
        <w:t> </w:t>
      </w:r>
      <w:r>
        <w:rPr/>
        <w:t>the standard, unweighted Minkowski distance (</w:t>
      </w:r>
      <w:r>
        <w:rPr>
          <w:rFonts w:ascii="Cambria"/>
        </w:rPr>
        <w:t>p </w:t>
      </w:r>
      <w:r>
        <w:rPr>
          <w:rFonts w:ascii="Garamond"/>
        </w:rPr>
        <w:t>= 3</w:t>
      </w:r>
      <w:r>
        <w:rPr/>
        <w:t>) cost function.</w:t>
      </w:r>
      <w:r>
        <w:rPr>
          <w:spacing w:val="40"/>
        </w:rPr>
        <w:t> </w:t>
      </w:r>
      <w:r>
        <w:rPr/>
        <w:t>Six weighting </w:t>
      </w:r>
      <w:r>
        <w:rPr/>
        <w:t>factors were</w:t>
      </w:r>
      <w:r>
        <w:rPr>
          <w:spacing w:val="20"/>
        </w:rPr>
        <w:t> </w:t>
      </w:r>
      <w:r>
        <w:rPr/>
        <w:t>applied</w:t>
      </w:r>
      <w:r>
        <w:rPr>
          <w:spacing w:val="20"/>
        </w:rPr>
        <w:t> </w:t>
      </w:r>
      <w:r>
        <w:rPr/>
        <w:t>to</w:t>
      </w:r>
      <w:r>
        <w:rPr>
          <w:spacing w:val="20"/>
        </w:rPr>
        <w:t> </w:t>
      </w:r>
      <w:r>
        <w:rPr/>
        <w:t>the</w:t>
      </w:r>
      <w:r>
        <w:rPr>
          <w:spacing w:val="20"/>
        </w:rPr>
        <w:t> </w:t>
      </w:r>
      <w:r>
        <w:rPr>
          <w:rFonts w:ascii="Cambria"/>
        </w:rPr>
        <w:t>x</w:t>
      </w:r>
      <w:r>
        <w:rPr>
          <w:rFonts w:ascii="Cambria"/>
          <w:spacing w:val="26"/>
        </w:rPr>
        <w:t> </w:t>
      </w:r>
      <w:r>
        <w:rPr/>
        <w:t>and</w:t>
      </w:r>
      <w:r>
        <w:rPr>
          <w:spacing w:val="20"/>
        </w:rPr>
        <w:t> </w:t>
      </w:r>
      <w:r>
        <w:rPr>
          <w:rFonts w:ascii="Cambria"/>
        </w:rPr>
        <w:t>y</w:t>
      </w:r>
      <w:r>
        <w:rPr>
          <w:rFonts w:ascii="Cambria"/>
          <w:spacing w:val="35"/>
        </w:rPr>
        <w:t> </w:t>
      </w:r>
      <w:r>
        <w:rPr/>
        <w:t>dimensions</w:t>
      </w:r>
      <w:r>
        <w:rPr>
          <w:spacing w:val="20"/>
        </w:rPr>
        <w:t> </w:t>
      </w:r>
      <w:r>
        <w:rPr/>
        <w:t>of</w:t>
      </w:r>
      <w:r>
        <w:rPr>
          <w:spacing w:val="20"/>
        </w:rPr>
        <w:t> </w:t>
      </w:r>
      <w:r>
        <w:rPr/>
        <w:t>the</w:t>
      </w:r>
      <w:r>
        <w:rPr>
          <w:spacing w:val="20"/>
        </w:rPr>
        <w:t> </w:t>
      </w:r>
      <w:r>
        <w:rPr/>
        <w:t>cost</w:t>
      </w:r>
      <w:r>
        <w:rPr>
          <w:spacing w:val="20"/>
        </w:rPr>
        <w:t> </w:t>
      </w:r>
      <w:r>
        <w:rPr/>
        <w:t>functions,</w:t>
      </w:r>
      <w:r>
        <w:rPr>
          <w:spacing w:val="26"/>
        </w:rPr>
        <w:t> </w:t>
      </w:r>
      <w:r>
        <w:rPr/>
        <w:t>enabling</w:t>
      </w:r>
      <w:r>
        <w:rPr>
          <w:spacing w:val="20"/>
        </w:rPr>
        <w:t> </w:t>
      </w:r>
      <w:r>
        <w:rPr/>
        <w:t>the</w:t>
      </w:r>
      <w:r>
        <w:rPr>
          <w:spacing w:val="20"/>
        </w:rPr>
        <w:t> </w:t>
      </w:r>
      <w:r>
        <w:rPr/>
        <w:t>calculation of different Wasserstein distances.</w:t>
      </w:r>
      <w:r>
        <w:rPr>
          <w:spacing w:val="40"/>
        </w:rPr>
        <w:t> </w:t>
      </w:r>
      <w:r>
        <w:rPr/>
        <w:t>Two equal weightings were used: </w:t>
      </w:r>
      <w:r>
        <w:rPr>
          <w:rFonts w:ascii="Garamond"/>
        </w:rPr>
        <w:t>2</w:t>
      </w:r>
      <w:r>
        <w:rPr>
          <w:rFonts w:ascii="Cambria"/>
        </w:rPr>
        <w:t>x,</w:t>
      </w:r>
      <w:r>
        <w:rPr>
          <w:rFonts w:ascii="Cambria"/>
          <w:spacing w:val="-14"/>
        </w:rPr>
        <w:t> </w:t>
      </w:r>
      <w:r>
        <w:rPr>
          <w:rFonts w:ascii="Garamond"/>
        </w:rPr>
        <w:t>2</w:t>
      </w:r>
      <w:r>
        <w:rPr>
          <w:rFonts w:ascii="Cambria"/>
        </w:rPr>
        <w:t>y </w:t>
      </w:r>
      <w:r>
        <w:rPr/>
        <w:t>and </w:t>
      </w:r>
      <w:r>
        <w:rPr>
          <w:rFonts w:ascii="Garamond"/>
        </w:rPr>
        <w:t>3</w:t>
      </w:r>
      <w:r>
        <w:rPr>
          <w:rFonts w:ascii="Cambria"/>
        </w:rPr>
        <w:t>x,</w:t>
      </w:r>
      <w:r>
        <w:rPr>
          <w:rFonts w:ascii="Cambria"/>
          <w:spacing w:val="-14"/>
        </w:rPr>
        <w:t> </w:t>
      </w:r>
      <w:r>
        <w:rPr>
          <w:rFonts w:ascii="Garamond"/>
        </w:rPr>
        <w:t>3</w:t>
      </w:r>
      <w:r>
        <w:rPr>
          <w:rFonts w:ascii="Cambria"/>
        </w:rPr>
        <w:t>y</w:t>
      </w:r>
      <w:r>
        <w:rPr/>
        <w:t>; four unequal weightings were used:</w:t>
      </w:r>
      <w:r>
        <w:rPr>
          <w:spacing w:val="36"/>
        </w:rPr>
        <w:t> </w:t>
      </w:r>
      <w:r>
        <w:rPr>
          <w:rFonts w:ascii="Garamond"/>
        </w:rPr>
        <w:t>2</w:t>
      </w:r>
      <w:r>
        <w:rPr>
          <w:rFonts w:ascii="Cambria"/>
        </w:rPr>
        <w:t>.</w:t>
      </w:r>
      <w:r>
        <w:rPr>
          <w:rFonts w:ascii="Garamond"/>
        </w:rPr>
        <w:t>4</w:t>
      </w:r>
      <w:r>
        <w:rPr>
          <w:rFonts w:ascii="Cambria"/>
        </w:rPr>
        <w:t>x, </w:t>
      </w:r>
      <w:r>
        <w:rPr>
          <w:rFonts w:ascii="Garamond"/>
        </w:rPr>
        <w:t>1</w:t>
      </w:r>
      <w:r>
        <w:rPr>
          <w:rFonts w:ascii="Cambria"/>
        </w:rPr>
        <w:t>.</w:t>
      </w:r>
      <w:r>
        <w:rPr>
          <w:rFonts w:ascii="Garamond"/>
        </w:rPr>
        <w:t>4</w:t>
      </w:r>
      <w:r>
        <w:rPr>
          <w:rFonts w:ascii="Cambria"/>
        </w:rPr>
        <w:t>y</w:t>
      </w:r>
      <w:r>
        <w:rPr/>
        <w:t>; </w:t>
      </w:r>
      <w:r>
        <w:rPr>
          <w:rFonts w:ascii="Garamond"/>
        </w:rPr>
        <w:t>3</w:t>
      </w:r>
      <w:r>
        <w:rPr>
          <w:rFonts w:ascii="Cambria"/>
        </w:rPr>
        <w:t>.</w:t>
      </w:r>
      <w:r>
        <w:rPr>
          <w:rFonts w:ascii="Garamond"/>
        </w:rPr>
        <w:t>6</w:t>
      </w:r>
      <w:r>
        <w:rPr>
          <w:rFonts w:ascii="Cambria"/>
        </w:rPr>
        <w:t>x, </w:t>
      </w:r>
      <w:r>
        <w:rPr>
          <w:rFonts w:ascii="Garamond"/>
        </w:rPr>
        <w:t>2</w:t>
      </w:r>
      <w:r>
        <w:rPr>
          <w:rFonts w:ascii="Cambria"/>
        </w:rPr>
        <w:t>.</w:t>
      </w:r>
      <w:r>
        <w:rPr>
          <w:rFonts w:ascii="Garamond"/>
        </w:rPr>
        <w:t>1</w:t>
      </w:r>
      <w:r>
        <w:rPr>
          <w:rFonts w:ascii="Cambria"/>
        </w:rPr>
        <w:t>y</w:t>
      </w:r>
      <w:r>
        <w:rPr/>
        <w:t>; </w:t>
      </w:r>
      <w:r>
        <w:rPr>
          <w:rFonts w:ascii="Garamond"/>
        </w:rPr>
        <w:t>4</w:t>
      </w:r>
      <w:r>
        <w:rPr>
          <w:rFonts w:ascii="Cambria"/>
        </w:rPr>
        <w:t>.</w:t>
      </w:r>
      <w:r>
        <w:rPr>
          <w:rFonts w:ascii="Garamond"/>
        </w:rPr>
        <w:t>8</w:t>
      </w:r>
      <w:r>
        <w:rPr>
          <w:rFonts w:ascii="Cambria"/>
        </w:rPr>
        <w:t>x, </w:t>
      </w:r>
      <w:r>
        <w:rPr>
          <w:rFonts w:ascii="Garamond"/>
        </w:rPr>
        <w:t>2</w:t>
      </w:r>
      <w:r>
        <w:rPr>
          <w:rFonts w:ascii="Cambria"/>
        </w:rPr>
        <w:t>.</w:t>
      </w:r>
      <w:r>
        <w:rPr>
          <w:rFonts w:ascii="Garamond"/>
        </w:rPr>
        <w:t>8</w:t>
      </w:r>
      <w:r>
        <w:rPr>
          <w:rFonts w:ascii="Cambria"/>
        </w:rPr>
        <w:t>y</w:t>
      </w:r>
      <w:r>
        <w:rPr/>
        <w:t>; and </w:t>
      </w:r>
      <w:r>
        <w:rPr>
          <w:rFonts w:ascii="Garamond"/>
        </w:rPr>
        <w:t>6</w:t>
      </w:r>
      <w:r>
        <w:rPr>
          <w:rFonts w:ascii="Cambria"/>
        </w:rPr>
        <w:t>.</w:t>
      </w:r>
      <w:r>
        <w:rPr>
          <w:rFonts w:ascii="Garamond"/>
        </w:rPr>
        <w:t>0</w:t>
      </w:r>
      <w:r>
        <w:rPr>
          <w:rFonts w:ascii="Cambria"/>
        </w:rPr>
        <w:t>x, </w:t>
      </w:r>
      <w:r>
        <w:rPr>
          <w:rFonts w:ascii="Garamond"/>
        </w:rPr>
        <w:t>3</w:t>
      </w:r>
      <w:r>
        <w:rPr>
          <w:rFonts w:ascii="Cambria"/>
        </w:rPr>
        <w:t>.</w:t>
      </w:r>
      <w:r>
        <w:rPr>
          <w:rFonts w:ascii="Garamond"/>
        </w:rPr>
        <w:t>5</w:t>
      </w:r>
      <w:r>
        <w:rPr>
          <w:rFonts w:ascii="Cambria"/>
        </w:rPr>
        <w:t>y</w:t>
      </w:r>
      <w:r>
        <w:rPr/>
        <w:t>.</w:t>
      </w:r>
      <w:r>
        <w:rPr>
          <w:spacing w:val="39"/>
        </w:rPr>
        <w:t> </w:t>
      </w:r>
      <w:r>
        <w:rPr/>
        <w:t>The </w:t>
      </w:r>
      <w:r>
        <w:rPr>
          <w:spacing w:val="-2"/>
        </w:rPr>
        <w:t>weightings</w:t>
      </w:r>
      <w:r>
        <w:rPr>
          <w:spacing w:val="-10"/>
        </w:rPr>
        <w:t> </w:t>
      </w:r>
      <w:r>
        <w:rPr>
          <w:spacing w:val="-2"/>
        </w:rPr>
        <w:t>increased</w:t>
      </w:r>
      <w:r>
        <w:rPr>
          <w:spacing w:val="-10"/>
        </w:rPr>
        <w:t> </w:t>
      </w:r>
      <w:r>
        <w:rPr>
          <w:spacing w:val="-2"/>
        </w:rPr>
        <w:t>the</w:t>
      </w:r>
      <w:r>
        <w:rPr>
          <w:spacing w:val="-10"/>
        </w:rPr>
        <w:t> </w:t>
      </w:r>
      <w:r>
        <w:rPr>
          <w:spacing w:val="-2"/>
        </w:rPr>
        <w:t>cost</w:t>
      </w:r>
      <w:r>
        <w:rPr>
          <w:spacing w:val="-10"/>
        </w:rPr>
        <w:t> </w:t>
      </w:r>
      <w:r>
        <w:rPr>
          <w:spacing w:val="-2"/>
        </w:rPr>
        <w:t>of</w:t>
      </w:r>
      <w:r>
        <w:rPr>
          <w:spacing w:val="-10"/>
        </w:rPr>
        <w:t> </w:t>
      </w:r>
      <w:r>
        <w:rPr>
          <w:spacing w:val="-2"/>
        </w:rPr>
        <w:t>moving</w:t>
      </w:r>
      <w:r>
        <w:rPr>
          <w:spacing w:val="-10"/>
        </w:rPr>
        <w:t> </w:t>
      </w:r>
      <w:r>
        <w:rPr>
          <w:spacing w:val="-2"/>
        </w:rPr>
        <w:t>along</w:t>
      </w:r>
      <w:r>
        <w:rPr>
          <w:spacing w:val="-10"/>
        </w:rPr>
        <w:t> </w:t>
      </w:r>
      <w:r>
        <w:rPr>
          <w:spacing w:val="-2"/>
        </w:rPr>
        <w:t>the</w:t>
      </w:r>
      <w:r>
        <w:rPr>
          <w:spacing w:val="-10"/>
        </w:rPr>
        <w:t> </w:t>
      </w:r>
      <w:r>
        <w:rPr>
          <w:spacing w:val="-2"/>
        </w:rPr>
        <w:t>stated</w:t>
      </w:r>
      <w:r>
        <w:rPr>
          <w:spacing w:val="-10"/>
        </w:rPr>
        <w:t> </w:t>
      </w:r>
      <w:r>
        <w:rPr>
          <w:spacing w:val="-2"/>
        </w:rPr>
        <w:t>axis</w:t>
      </w:r>
      <w:r>
        <w:rPr>
          <w:spacing w:val="-10"/>
        </w:rPr>
        <w:t> </w:t>
      </w:r>
      <w:r>
        <w:rPr>
          <w:spacing w:val="-2"/>
        </w:rPr>
        <w:t>by</w:t>
      </w:r>
      <w:r>
        <w:rPr>
          <w:spacing w:val="-10"/>
        </w:rPr>
        <w:t> </w:t>
      </w:r>
      <w:r>
        <w:rPr>
          <w:spacing w:val="-2"/>
        </w:rPr>
        <w:t>the</w:t>
      </w:r>
      <w:r>
        <w:rPr>
          <w:spacing w:val="-10"/>
        </w:rPr>
        <w:t> </w:t>
      </w:r>
      <w:r>
        <w:rPr>
          <w:spacing w:val="-2"/>
        </w:rPr>
        <w:t>given</w:t>
      </w:r>
      <w:r>
        <w:rPr>
          <w:spacing w:val="-10"/>
        </w:rPr>
        <w:t> </w:t>
      </w:r>
      <w:r>
        <w:rPr>
          <w:spacing w:val="-2"/>
        </w:rPr>
        <w:t>factor,</w:t>
      </w:r>
      <w:r>
        <w:rPr>
          <w:spacing w:val="-6"/>
        </w:rPr>
        <w:t> </w:t>
      </w:r>
      <w:r>
        <w:rPr>
          <w:spacing w:val="-2"/>
        </w:rPr>
        <w:t>while</w:t>
      </w:r>
      <w:r>
        <w:rPr>
          <w:spacing w:val="-10"/>
        </w:rPr>
        <w:t> </w:t>
      </w:r>
      <w:r>
        <w:rPr>
          <w:spacing w:val="-2"/>
        </w:rPr>
        <w:t>the </w:t>
      </w:r>
      <w:r>
        <w:rPr/>
        <w:t>cost</w:t>
      </w:r>
      <w:r>
        <w:rPr>
          <w:spacing w:val="-11"/>
        </w:rPr>
        <w:t> </w:t>
      </w:r>
      <w:r>
        <w:rPr/>
        <w:t>of</w:t>
      </w:r>
      <w:r>
        <w:rPr>
          <w:spacing w:val="-10"/>
        </w:rPr>
        <w:t> </w:t>
      </w:r>
      <w:r>
        <w:rPr/>
        <w:t>moving</w:t>
      </w:r>
      <w:r>
        <w:rPr>
          <w:spacing w:val="-11"/>
        </w:rPr>
        <w:t> </w:t>
      </w:r>
      <w:r>
        <w:rPr/>
        <w:t>along</w:t>
      </w:r>
      <w:r>
        <w:rPr>
          <w:spacing w:val="-10"/>
        </w:rPr>
        <w:t> </w:t>
      </w:r>
      <w:r>
        <w:rPr/>
        <w:t>the</w:t>
      </w:r>
      <w:r>
        <w:rPr>
          <w:spacing w:val="-10"/>
        </w:rPr>
        <w:t> </w:t>
      </w:r>
      <w:r>
        <w:rPr/>
        <w:t>other</w:t>
      </w:r>
      <w:r>
        <w:rPr>
          <w:spacing w:val="-10"/>
        </w:rPr>
        <w:t> </w:t>
      </w:r>
      <w:r>
        <w:rPr/>
        <w:t>axis</w:t>
      </w:r>
      <w:r>
        <w:rPr>
          <w:spacing w:val="-10"/>
        </w:rPr>
        <w:t> </w:t>
      </w:r>
      <w:r>
        <w:rPr/>
        <w:t>remained</w:t>
      </w:r>
      <w:r>
        <w:rPr>
          <w:spacing w:val="-11"/>
        </w:rPr>
        <w:t> </w:t>
      </w:r>
      <w:r>
        <w:rPr/>
        <w:t>unaltered.</w:t>
      </w:r>
      <w:r>
        <w:rPr>
          <w:spacing w:val="5"/>
        </w:rPr>
        <w:t> </w:t>
      </w:r>
      <w:r>
        <w:rPr/>
        <w:t>Quadrant</w:t>
      </w:r>
      <w:r>
        <w:rPr>
          <w:spacing w:val="-9"/>
        </w:rPr>
        <w:t> </w:t>
      </w:r>
      <w:r>
        <w:rPr/>
        <w:t>plots</w:t>
      </w:r>
      <w:r>
        <w:rPr>
          <w:spacing w:val="-11"/>
        </w:rPr>
        <w:t> </w:t>
      </w:r>
      <w:r>
        <w:rPr/>
        <w:t>of</w:t>
      </w:r>
      <w:r>
        <w:rPr>
          <w:spacing w:val="-10"/>
        </w:rPr>
        <w:t> </w:t>
      </w:r>
      <w:r>
        <w:rPr/>
        <w:t>the</w:t>
      </w:r>
      <w:r>
        <w:rPr>
          <w:spacing w:val="-11"/>
        </w:rPr>
        <w:t> </w:t>
      </w:r>
      <w:r>
        <w:rPr>
          <w:spacing w:val="-2"/>
        </w:rPr>
        <w:t>normalised</w:t>
      </w:r>
    </w:p>
    <w:p>
      <w:pPr>
        <w:spacing w:after="0" w:line="302" w:lineRule="auto"/>
        <w:jc w:val="both"/>
        <w:sectPr>
          <w:pgSz w:w="11910" w:h="16840"/>
          <w:pgMar w:header="1961" w:footer="1428" w:top="2280" w:bottom="1620" w:left="1680" w:right="720"/>
        </w:sectPr>
      </w:pPr>
    </w:p>
    <w:p>
      <w:pPr>
        <w:pStyle w:val="BodyText"/>
        <w:rPr>
          <w:sz w:val="20"/>
        </w:rPr>
      </w:pPr>
    </w:p>
    <w:p>
      <w:pPr>
        <w:pStyle w:val="BodyText"/>
        <w:spacing w:before="5"/>
        <w:rPr>
          <w:sz w:val="28"/>
        </w:rPr>
      </w:pPr>
    </w:p>
    <w:p>
      <w:pPr>
        <w:pStyle w:val="BodyText"/>
        <w:ind w:left="1750"/>
        <w:rPr>
          <w:sz w:val="20"/>
        </w:rPr>
      </w:pPr>
      <w:r>
        <w:rPr>
          <w:sz w:val="20"/>
        </w:rPr>
        <w:drawing>
          <wp:inline distT="0" distB="0" distL="0" distR="0">
            <wp:extent cx="4003803" cy="3755136"/>
            <wp:effectExtent l="0" t="0" r="0" b="0"/>
            <wp:docPr id="77" name="image39.jpeg"/>
            <wp:cNvGraphicFramePr>
              <a:graphicFrameLocks noChangeAspect="1"/>
            </wp:cNvGraphicFramePr>
            <a:graphic>
              <a:graphicData uri="http://schemas.openxmlformats.org/drawingml/2006/picture">
                <pic:pic>
                  <pic:nvPicPr>
                    <pic:cNvPr id="78" name="image39.jpeg"/>
                    <pic:cNvPicPr/>
                  </pic:nvPicPr>
                  <pic:blipFill>
                    <a:blip r:embed="rId109" cstate="print"/>
                    <a:stretch>
                      <a:fillRect/>
                    </a:stretch>
                  </pic:blipFill>
                  <pic:spPr>
                    <a:xfrm>
                      <a:off x="0" y="0"/>
                      <a:ext cx="4003803" cy="3755136"/>
                    </a:xfrm>
                    <a:prstGeom prst="rect">
                      <a:avLst/>
                    </a:prstGeom>
                  </pic:spPr>
                </pic:pic>
              </a:graphicData>
            </a:graphic>
          </wp:inline>
        </w:drawing>
      </w:r>
      <w:r>
        <w:rPr>
          <w:sz w:val="20"/>
        </w:rPr>
      </w:r>
    </w:p>
    <w:p>
      <w:pPr>
        <w:pStyle w:val="BodyText"/>
        <w:spacing w:before="4"/>
        <w:rPr>
          <w:sz w:val="13"/>
        </w:rPr>
      </w:pPr>
    </w:p>
    <w:p>
      <w:pPr>
        <w:pStyle w:val="BodyText"/>
        <w:spacing w:line="252" w:lineRule="auto" w:before="106"/>
        <w:ind w:left="610" w:right="389"/>
        <w:jc w:val="both"/>
      </w:pPr>
      <w:bookmarkStart w:name="_bookmark155" w:id="270"/>
      <w:bookmarkEnd w:id="270"/>
      <w:r>
        <w:rPr/>
      </w:r>
      <w:r>
        <w:rPr>
          <w:b/>
        </w:rPr>
        <w:t>Figure 5.7:</w:t>
      </w:r>
      <w:r>
        <w:rPr>
          <w:b/>
          <w:spacing w:val="40"/>
        </w:rPr>
        <w:t> </w:t>
      </w:r>
      <w:r>
        <w:rPr/>
        <w:t>Visualisation of the diagonal distance when moving mass from the centre</w:t>
      </w:r>
      <w:r>
        <w:rPr>
          <w:spacing w:val="40"/>
        </w:rPr>
        <w:t> </w:t>
      </w:r>
      <w:r>
        <w:rPr/>
        <w:t>of the pitch relative to the horizontal/vertical components of the movement.</w:t>
      </w:r>
      <w:r>
        <w:rPr>
          <w:spacing w:val="40"/>
        </w:rPr>
        <w:t> </w:t>
      </w:r>
      <w:r>
        <w:rPr/>
        <w:t>Left </w:t>
      </w:r>
      <w:r>
        <w:rPr/>
        <w:t>figure shows that the diagonal distance covered to move mass from the opposition 20m to the </w:t>
      </w:r>
      <w:r>
        <w:rPr>
          <w:spacing w:val="-2"/>
        </w:rPr>
        <w:t>team’s</w:t>
      </w:r>
      <w:r>
        <w:rPr>
          <w:spacing w:val="-9"/>
        </w:rPr>
        <w:t> </w:t>
      </w:r>
      <w:r>
        <w:rPr>
          <w:spacing w:val="-2"/>
        </w:rPr>
        <w:t>own</w:t>
      </w:r>
      <w:r>
        <w:rPr>
          <w:spacing w:val="-10"/>
        </w:rPr>
        <w:t> </w:t>
      </w:r>
      <w:r>
        <w:rPr>
          <w:spacing w:val="-2"/>
        </w:rPr>
        <w:t>try</w:t>
      </w:r>
      <w:r>
        <w:rPr>
          <w:spacing w:val="-9"/>
        </w:rPr>
        <w:t> </w:t>
      </w:r>
      <w:r>
        <w:rPr>
          <w:spacing w:val="-2"/>
        </w:rPr>
        <w:t>line</w:t>
      </w:r>
      <w:r>
        <w:rPr>
          <w:spacing w:val="-9"/>
        </w:rPr>
        <w:t> </w:t>
      </w:r>
      <w:r>
        <w:rPr>
          <w:spacing w:val="-2"/>
        </w:rPr>
        <w:t>is</w:t>
      </w:r>
      <w:r>
        <w:rPr>
          <w:spacing w:val="-9"/>
        </w:rPr>
        <w:t> </w:t>
      </w:r>
      <w:r>
        <w:rPr>
          <w:spacing w:val="-2"/>
        </w:rPr>
        <w:t>significantly</w:t>
      </w:r>
      <w:r>
        <w:rPr>
          <w:spacing w:val="-9"/>
        </w:rPr>
        <w:t> </w:t>
      </w:r>
      <w:r>
        <w:rPr>
          <w:spacing w:val="-2"/>
        </w:rPr>
        <w:t>greater</w:t>
      </w:r>
      <w:r>
        <w:rPr>
          <w:spacing w:val="-9"/>
        </w:rPr>
        <w:t> </w:t>
      </w:r>
      <w:r>
        <w:rPr>
          <w:spacing w:val="-2"/>
        </w:rPr>
        <w:t>than</w:t>
      </w:r>
      <w:r>
        <w:rPr>
          <w:spacing w:val="-9"/>
        </w:rPr>
        <w:t> </w:t>
      </w:r>
      <w:r>
        <w:rPr>
          <w:spacing w:val="-2"/>
        </w:rPr>
        <w:t>the</w:t>
      </w:r>
      <w:r>
        <w:rPr>
          <w:spacing w:val="-10"/>
        </w:rPr>
        <w:t> </w:t>
      </w:r>
      <w:r>
        <w:rPr>
          <w:spacing w:val="-2"/>
        </w:rPr>
        <w:t>horizontal</w:t>
      </w:r>
      <w:r>
        <w:rPr>
          <w:spacing w:val="-9"/>
        </w:rPr>
        <w:t> </w:t>
      </w:r>
      <w:r>
        <w:rPr>
          <w:spacing w:val="-2"/>
        </w:rPr>
        <w:t>distance.</w:t>
      </w:r>
      <w:r>
        <w:rPr>
          <w:spacing w:val="15"/>
        </w:rPr>
        <w:t> </w:t>
      </w:r>
      <w:r>
        <w:rPr>
          <w:spacing w:val="-2"/>
        </w:rPr>
        <w:t>Right</w:t>
      </w:r>
      <w:r>
        <w:rPr>
          <w:spacing w:val="-9"/>
        </w:rPr>
        <w:t> </w:t>
      </w:r>
      <w:r>
        <w:rPr>
          <w:spacing w:val="-2"/>
        </w:rPr>
        <w:t>figure</w:t>
      </w:r>
      <w:r>
        <w:rPr>
          <w:spacing w:val="-9"/>
        </w:rPr>
        <w:t> </w:t>
      </w:r>
      <w:r>
        <w:rPr>
          <w:spacing w:val="-2"/>
        </w:rPr>
        <w:t>shows </w:t>
      </w:r>
      <w:r>
        <w:rPr/>
        <w:t>that the distance covered is much more even between diagonal and vertical movements, reducing</w:t>
      </w:r>
      <w:r>
        <w:rPr>
          <w:spacing w:val="-2"/>
        </w:rPr>
        <w:t> </w:t>
      </w:r>
      <w:r>
        <w:rPr/>
        <w:t>the</w:t>
      </w:r>
      <w:r>
        <w:rPr>
          <w:spacing w:val="-2"/>
        </w:rPr>
        <w:t> </w:t>
      </w:r>
      <w:r>
        <w:rPr/>
        <w:t>influence</w:t>
      </w:r>
      <w:r>
        <w:rPr>
          <w:spacing w:val="-2"/>
        </w:rPr>
        <w:t> </w:t>
      </w:r>
      <w:r>
        <w:rPr/>
        <w:t>of</w:t>
      </w:r>
      <w:r>
        <w:rPr>
          <w:spacing w:val="-2"/>
        </w:rPr>
        <w:t> </w:t>
      </w:r>
      <w:r>
        <w:rPr/>
        <w:t>diagonal</w:t>
      </w:r>
      <w:r>
        <w:rPr>
          <w:spacing w:val="-2"/>
        </w:rPr>
        <w:t> </w:t>
      </w:r>
      <w:r>
        <w:rPr/>
        <w:t>movements</w:t>
      </w:r>
      <w:r>
        <w:rPr>
          <w:spacing w:val="-2"/>
        </w:rPr>
        <w:t> </w:t>
      </w:r>
      <w:r>
        <w:rPr/>
        <w:t>on</w:t>
      </w:r>
      <w:r>
        <w:rPr>
          <w:spacing w:val="-2"/>
        </w:rPr>
        <w:t> </w:t>
      </w:r>
      <w:r>
        <w:rPr/>
        <w:t>the</w:t>
      </w:r>
      <w:r>
        <w:rPr>
          <w:spacing w:val="-2"/>
        </w:rPr>
        <w:t> </w:t>
      </w:r>
      <w:r>
        <w:rPr/>
        <w:t>overall</w:t>
      </w:r>
      <w:r>
        <w:rPr>
          <w:spacing w:val="-2"/>
        </w:rPr>
        <w:t> </w:t>
      </w:r>
      <w:r>
        <w:rPr/>
        <w:t>Wasserstein</w:t>
      </w:r>
      <w:r>
        <w:rPr>
          <w:spacing w:val="-2"/>
        </w:rPr>
        <w:t> </w:t>
      </w:r>
      <w:r>
        <w:rPr/>
        <w:t>distance</w:t>
      </w:r>
      <w:r>
        <w:rPr>
          <w:spacing w:val="-2"/>
        </w:rPr>
        <w:t> </w:t>
      </w:r>
      <w:r>
        <w:rPr/>
        <w:t>when mass is moved vertically relative to horizontally.</w:t>
      </w:r>
    </w:p>
    <w:p>
      <w:pPr>
        <w:pStyle w:val="BodyText"/>
        <w:spacing w:before="4"/>
        <w:rPr>
          <w:sz w:val="37"/>
        </w:rPr>
      </w:pPr>
    </w:p>
    <w:p>
      <w:pPr>
        <w:pStyle w:val="BodyText"/>
        <w:spacing w:line="309" w:lineRule="auto"/>
        <w:ind w:left="610" w:right="389"/>
      </w:pPr>
      <w:r>
        <w:rPr/>
        <w:t>axis</w:t>
      </w:r>
      <w:r>
        <w:rPr>
          <w:spacing w:val="-15"/>
        </w:rPr>
        <w:t> </w:t>
      </w:r>
      <w:r>
        <w:rPr/>
        <w:t>Wasserstein</w:t>
      </w:r>
      <w:r>
        <w:rPr>
          <w:spacing w:val="-15"/>
        </w:rPr>
        <w:t> </w:t>
      </w:r>
      <w:r>
        <w:rPr/>
        <w:t>distance</w:t>
      </w:r>
      <w:r>
        <w:rPr>
          <w:spacing w:val="-15"/>
        </w:rPr>
        <w:t> </w:t>
      </w:r>
      <w:r>
        <w:rPr/>
        <w:t>(Equation</w:t>
      </w:r>
      <w:hyperlink w:history="true" w:anchor="_bookmark140">
        <w:r>
          <w:rPr>
            <w:color w:val="0000FF"/>
          </w:rPr>
          <w:t>5.5</w:t>
        </w:r>
        <w:r>
          <w:rPr/>
          <w:t>)</w:t>
        </w:r>
      </w:hyperlink>
      <w:r>
        <w:rPr>
          <w:spacing w:val="-15"/>
        </w:rPr>
        <w:t> </w:t>
      </w:r>
      <w:r>
        <w:rPr/>
        <w:t>were</w:t>
      </w:r>
      <w:r>
        <w:rPr>
          <w:spacing w:val="-15"/>
        </w:rPr>
        <w:t> </w:t>
      </w:r>
      <w:r>
        <w:rPr/>
        <w:t>used</w:t>
      </w:r>
      <w:r>
        <w:rPr>
          <w:spacing w:val="-15"/>
        </w:rPr>
        <w:t> </w:t>
      </w:r>
      <w:r>
        <w:rPr/>
        <w:t>to</w:t>
      </w:r>
      <w:r>
        <w:rPr>
          <w:spacing w:val="-15"/>
        </w:rPr>
        <w:t> </w:t>
      </w:r>
      <w:r>
        <w:rPr/>
        <w:t>evaluate</w:t>
      </w:r>
      <w:r>
        <w:rPr>
          <w:spacing w:val="-15"/>
        </w:rPr>
        <w:t> </w:t>
      </w:r>
      <w:r>
        <w:rPr/>
        <w:t>the</w:t>
      </w:r>
      <w:r>
        <w:rPr>
          <w:spacing w:val="-15"/>
        </w:rPr>
        <w:t> </w:t>
      </w:r>
      <w:r>
        <w:rPr/>
        <w:t>influence</w:t>
      </w:r>
      <w:r>
        <w:rPr>
          <w:spacing w:val="-15"/>
        </w:rPr>
        <w:t> </w:t>
      </w:r>
      <w:r>
        <w:rPr/>
        <w:t>of</w:t>
      </w:r>
      <w:r>
        <w:rPr>
          <w:spacing w:val="-15"/>
        </w:rPr>
        <w:t> </w:t>
      </w:r>
      <w:r>
        <w:rPr/>
        <w:t>differences in these factors on the results obtained.</w:t>
      </w:r>
      <w:r>
        <w:rPr>
          <w:spacing w:val="40"/>
        </w:rPr>
        <w:t> </w:t>
      </w:r>
      <w:r>
        <w:rPr/>
        <w:t>Figures</w:t>
      </w:r>
      <w:hyperlink w:history="true" w:anchor="_bookmark157">
        <w:r>
          <w:rPr>
            <w:color w:val="0000FF"/>
          </w:rPr>
          <w:t>5.9</w:t>
        </w:r>
      </w:hyperlink>
      <w:r>
        <w:rPr/>
        <w:t>and</w:t>
      </w:r>
      <w:r>
        <w:rPr>
          <w:color w:val="0000FF"/>
        </w:rPr>
        <w:t>5.10</w:t>
      </w:r>
      <w:r>
        <w:rPr/>
        <w:t>show the equally weighted Wasserstein distance quadrant plots using factors of 2 and 3 respectively.</w:t>
      </w:r>
      <w:r>
        <w:rPr>
          <w:spacing w:val="40"/>
        </w:rPr>
        <w:t> </w:t>
      </w:r>
      <w:r>
        <w:rPr/>
        <w:t>Figures</w:t>
      </w:r>
      <w:hyperlink w:history="true" w:anchor="_bookmark159">
        <w:r>
          <w:rPr>
            <w:color w:val="0000FF"/>
          </w:rPr>
          <w:t>5.11</w:t>
        </w:r>
      </w:hyperlink>
      <w:r>
        <w:rPr>
          <w:color w:val="0000FF"/>
        </w:rPr>
        <w:t> </w:t>
      </w:r>
      <w:r>
        <w:rPr/>
        <w:t>and</w:t>
      </w:r>
      <w:hyperlink w:history="true" w:anchor="_bookmark160">
        <w:r>
          <w:rPr>
            <w:color w:val="0000FF"/>
          </w:rPr>
          <w:t>5.12</w:t>
        </w:r>
      </w:hyperlink>
      <w:r>
        <w:rPr/>
        <w:t>show the unequally weighted Wasserstein distance quadrant plots with factors</w:t>
      </w:r>
      <w:r>
        <w:rPr>
          <w:spacing w:val="40"/>
        </w:rPr>
        <w:t> </w:t>
      </w:r>
      <w:r>
        <w:rPr/>
        <w:t>of </w:t>
      </w:r>
      <w:r>
        <w:rPr>
          <w:rFonts w:ascii="Garamond"/>
        </w:rPr>
        <w:t>4</w:t>
      </w:r>
      <w:r>
        <w:rPr>
          <w:rFonts w:ascii="Cambria"/>
        </w:rPr>
        <w:t>.</w:t>
      </w:r>
      <w:r>
        <w:rPr>
          <w:rFonts w:ascii="Garamond"/>
        </w:rPr>
        <w:t>8</w:t>
      </w:r>
      <w:r>
        <w:rPr>
          <w:rFonts w:ascii="Cambria"/>
        </w:rPr>
        <w:t>x</w:t>
      </w:r>
      <w:r>
        <w:rPr/>
        <w:t>, </w:t>
      </w:r>
      <w:r>
        <w:rPr>
          <w:rFonts w:ascii="Garamond"/>
        </w:rPr>
        <w:t>2</w:t>
      </w:r>
      <w:r>
        <w:rPr>
          <w:rFonts w:ascii="Cambria"/>
        </w:rPr>
        <w:t>.</w:t>
      </w:r>
      <w:r>
        <w:rPr>
          <w:rFonts w:ascii="Garamond"/>
        </w:rPr>
        <w:t>8</w:t>
      </w:r>
      <w:r>
        <w:rPr>
          <w:rFonts w:ascii="Cambria"/>
        </w:rPr>
        <w:t>y</w:t>
      </w:r>
      <w:r>
        <w:rPr>
          <w:rFonts w:ascii="Cambria"/>
          <w:spacing w:val="21"/>
        </w:rPr>
        <w:t> </w:t>
      </w:r>
      <w:r>
        <w:rPr/>
        <w:t>and </w:t>
      </w:r>
      <w:r>
        <w:rPr>
          <w:rFonts w:ascii="Garamond"/>
        </w:rPr>
        <w:t>6</w:t>
      </w:r>
      <w:r>
        <w:rPr>
          <w:rFonts w:ascii="Cambria"/>
        </w:rPr>
        <w:t>.</w:t>
      </w:r>
      <w:r>
        <w:rPr>
          <w:rFonts w:ascii="Garamond"/>
        </w:rPr>
        <w:t>0</w:t>
      </w:r>
      <w:r>
        <w:rPr>
          <w:rFonts w:ascii="Cambria"/>
        </w:rPr>
        <w:t>x </w:t>
      </w:r>
      <w:r>
        <w:rPr/>
        <w:t>and </w:t>
      </w:r>
      <w:r>
        <w:rPr>
          <w:rFonts w:ascii="Garamond"/>
        </w:rPr>
        <w:t>3</w:t>
      </w:r>
      <w:r>
        <w:rPr>
          <w:rFonts w:ascii="Cambria"/>
        </w:rPr>
        <w:t>.</w:t>
      </w:r>
      <w:r>
        <w:rPr>
          <w:rFonts w:ascii="Garamond"/>
        </w:rPr>
        <w:t>5</w:t>
      </w:r>
      <w:r>
        <w:rPr>
          <w:rFonts w:ascii="Cambria"/>
        </w:rPr>
        <w:t>y</w:t>
      </w:r>
      <w:r>
        <w:rPr>
          <w:rFonts w:ascii="Cambria"/>
          <w:spacing w:val="21"/>
        </w:rPr>
        <w:t> </w:t>
      </w:r>
      <w:r>
        <w:rPr/>
        <w:t>respectively.</w:t>
      </w:r>
      <w:r>
        <w:rPr>
          <w:spacing w:val="25"/>
        </w:rPr>
        <w:t> </w:t>
      </w:r>
      <w:r>
        <w:rPr/>
        <w:t>In all four plots it is evident that increasing the</w:t>
      </w:r>
      <w:r>
        <w:rPr>
          <w:spacing w:val="-8"/>
        </w:rPr>
        <w:t> </w:t>
      </w:r>
      <w:r>
        <w:rPr/>
        <w:t>factor</w:t>
      </w:r>
      <w:r>
        <w:rPr>
          <w:spacing w:val="-8"/>
        </w:rPr>
        <w:t> </w:t>
      </w:r>
      <w:r>
        <w:rPr/>
        <w:t>increases</w:t>
      </w:r>
      <w:r>
        <w:rPr>
          <w:spacing w:val="-8"/>
        </w:rPr>
        <w:t> </w:t>
      </w:r>
      <w:r>
        <w:rPr/>
        <w:t>the</w:t>
      </w:r>
      <w:r>
        <w:rPr>
          <w:spacing w:val="-8"/>
        </w:rPr>
        <w:t> </w:t>
      </w:r>
      <w:r>
        <w:rPr/>
        <w:t>normalised</w:t>
      </w:r>
      <w:r>
        <w:rPr>
          <w:spacing w:val="-8"/>
        </w:rPr>
        <w:t> </w:t>
      </w:r>
      <w:r>
        <w:rPr/>
        <w:t>axis</w:t>
      </w:r>
      <w:r>
        <w:rPr>
          <w:spacing w:val="-8"/>
        </w:rPr>
        <w:t> </w:t>
      </w:r>
      <w:r>
        <w:rPr/>
        <w:t>Wasserstein</w:t>
      </w:r>
      <w:r>
        <w:rPr>
          <w:spacing w:val="-8"/>
        </w:rPr>
        <w:t> </w:t>
      </w:r>
      <w:r>
        <w:rPr/>
        <w:t>distance. This</w:t>
      </w:r>
      <w:r>
        <w:rPr>
          <w:spacing w:val="-8"/>
        </w:rPr>
        <w:t> </w:t>
      </w:r>
      <w:r>
        <w:rPr/>
        <w:t>pattern</w:t>
      </w:r>
      <w:r>
        <w:rPr>
          <w:spacing w:val="-8"/>
        </w:rPr>
        <w:t> </w:t>
      </w:r>
      <w:r>
        <w:rPr/>
        <w:t>is</w:t>
      </w:r>
      <w:r>
        <w:rPr>
          <w:spacing w:val="-8"/>
        </w:rPr>
        <w:t> </w:t>
      </w:r>
      <w:r>
        <w:rPr/>
        <w:t>also</w:t>
      </w:r>
      <w:r>
        <w:rPr>
          <w:spacing w:val="-8"/>
        </w:rPr>
        <w:t> </w:t>
      </w:r>
      <w:r>
        <w:rPr/>
        <w:t>evident for the two weighting factors that are not plotted (</w:t>
      </w:r>
      <w:r>
        <w:rPr>
          <w:rFonts w:ascii="Garamond"/>
        </w:rPr>
        <w:t>2</w:t>
      </w:r>
      <w:r>
        <w:rPr>
          <w:rFonts w:ascii="Cambria"/>
        </w:rPr>
        <w:t>.</w:t>
      </w:r>
      <w:r>
        <w:rPr>
          <w:rFonts w:ascii="Garamond"/>
        </w:rPr>
        <w:t>4</w:t>
      </w:r>
      <w:r>
        <w:rPr>
          <w:rFonts w:ascii="Cambria"/>
        </w:rPr>
        <w:t>x</w:t>
      </w:r>
      <w:r>
        <w:rPr/>
        <w:t>, </w:t>
      </w:r>
      <w:r>
        <w:rPr>
          <w:rFonts w:ascii="Garamond"/>
        </w:rPr>
        <w:t>1</w:t>
      </w:r>
      <w:r>
        <w:rPr>
          <w:rFonts w:ascii="Cambria"/>
        </w:rPr>
        <w:t>.</w:t>
      </w:r>
      <w:r>
        <w:rPr>
          <w:rFonts w:ascii="Garamond"/>
        </w:rPr>
        <w:t>4</w:t>
      </w:r>
      <w:r>
        <w:rPr>
          <w:rFonts w:ascii="Cambria"/>
        </w:rPr>
        <w:t>y</w:t>
      </w:r>
      <w:r>
        <w:rPr>
          <w:rFonts w:ascii="Cambria"/>
          <w:spacing w:val="37"/>
        </w:rPr>
        <w:t> </w:t>
      </w:r>
      <w:r>
        <w:rPr/>
        <w:t>and </w:t>
      </w:r>
      <w:r>
        <w:rPr>
          <w:rFonts w:ascii="Garamond"/>
        </w:rPr>
        <w:t>3</w:t>
      </w:r>
      <w:r>
        <w:rPr>
          <w:rFonts w:ascii="Cambria"/>
        </w:rPr>
        <w:t>.</w:t>
      </w:r>
      <w:r>
        <w:rPr>
          <w:rFonts w:ascii="Garamond"/>
        </w:rPr>
        <w:t>6</w:t>
      </w:r>
      <w:r>
        <w:rPr>
          <w:rFonts w:ascii="Cambria"/>
        </w:rPr>
        <w:t>x</w:t>
      </w:r>
      <w:r>
        <w:rPr/>
        <w:t>, </w:t>
      </w:r>
      <w:r>
        <w:rPr>
          <w:rFonts w:ascii="Garamond"/>
        </w:rPr>
        <w:t>2</w:t>
      </w:r>
      <w:r>
        <w:rPr>
          <w:rFonts w:ascii="Cambria"/>
        </w:rPr>
        <w:t>.</w:t>
      </w:r>
      <w:r>
        <w:rPr>
          <w:rFonts w:ascii="Garamond"/>
        </w:rPr>
        <w:t>1</w:t>
      </w:r>
      <w:r>
        <w:rPr>
          <w:rFonts w:ascii="Cambria"/>
        </w:rPr>
        <w:t>y</w:t>
      </w:r>
      <w:r>
        <w:rPr/>
        <w:t>).</w:t>
      </w:r>
    </w:p>
    <w:p>
      <w:pPr>
        <w:pStyle w:val="BodyText"/>
        <w:spacing w:line="262" w:lineRule="exact"/>
        <w:ind w:left="582" w:right="389"/>
        <w:jc w:val="right"/>
      </w:pPr>
      <w:r>
        <w:rPr/>
        <w:t>Given</w:t>
      </w:r>
      <w:r>
        <w:rPr>
          <w:spacing w:val="22"/>
        </w:rPr>
        <w:t> </w:t>
      </w:r>
      <w:r>
        <w:rPr/>
        <w:t>the</w:t>
      </w:r>
      <w:r>
        <w:rPr>
          <w:spacing w:val="23"/>
        </w:rPr>
        <w:t> </w:t>
      </w:r>
      <w:r>
        <w:rPr/>
        <w:t>rectangular</w:t>
      </w:r>
      <w:r>
        <w:rPr>
          <w:spacing w:val="23"/>
        </w:rPr>
        <w:t> </w:t>
      </w:r>
      <w:r>
        <w:rPr/>
        <w:t>dimensions</w:t>
      </w:r>
      <w:r>
        <w:rPr>
          <w:spacing w:val="23"/>
        </w:rPr>
        <w:t> </w:t>
      </w:r>
      <w:r>
        <w:rPr/>
        <w:t>of</w:t>
      </w:r>
      <w:r>
        <w:rPr>
          <w:spacing w:val="23"/>
        </w:rPr>
        <w:t> </w:t>
      </w:r>
      <w:r>
        <w:rPr/>
        <w:t>a</w:t>
      </w:r>
      <w:r>
        <w:rPr>
          <w:spacing w:val="23"/>
        </w:rPr>
        <w:t> </w:t>
      </w:r>
      <w:r>
        <w:rPr/>
        <w:t>rugby</w:t>
      </w:r>
      <w:r>
        <w:rPr>
          <w:spacing w:val="23"/>
        </w:rPr>
        <w:t> </w:t>
      </w:r>
      <w:r>
        <w:rPr/>
        <w:t>league</w:t>
      </w:r>
      <w:r>
        <w:rPr>
          <w:spacing w:val="23"/>
        </w:rPr>
        <w:t> </w:t>
      </w:r>
      <w:r>
        <w:rPr/>
        <w:t>pitch</w:t>
      </w:r>
      <w:r>
        <w:rPr>
          <w:spacing w:val="23"/>
        </w:rPr>
        <w:t> </w:t>
      </w:r>
      <w:r>
        <w:rPr/>
        <w:t>(70m</w:t>
      </w:r>
      <w:r>
        <w:rPr>
          <w:spacing w:val="23"/>
        </w:rPr>
        <w:t> </w:t>
      </w:r>
      <w:r>
        <w:rPr/>
        <w:t>in</w:t>
      </w:r>
      <w:r>
        <w:rPr>
          <w:spacing w:val="23"/>
        </w:rPr>
        <w:t> </w:t>
      </w:r>
      <w:r>
        <w:rPr>
          <w:rFonts w:ascii="Cambria"/>
        </w:rPr>
        <w:t>x</w:t>
      </w:r>
      <w:r>
        <w:rPr/>
        <w:t>-direction</w:t>
      </w:r>
      <w:r>
        <w:rPr>
          <w:spacing w:val="23"/>
        </w:rPr>
        <w:t> </w:t>
      </w:r>
      <w:r>
        <w:rPr>
          <w:spacing w:val="-5"/>
        </w:rPr>
        <w:t>and</w:t>
      </w:r>
    </w:p>
    <w:p>
      <w:pPr>
        <w:pStyle w:val="BodyText"/>
        <w:spacing w:before="77"/>
        <w:ind w:left="582" w:right="389"/>
        <w:jc w:val="right"/>
      </w:pPr>
      <w:r>
        <w:rPr/>
        <w:t>120m</w:t>
      </w:r>
      <w:r>
        <w:rPr>
          <w:spacing w:val="28"/>
        </w:rPr>
        <w:t> </w:t>
      </w:r>
      <w:r>
        <w:rPr/>
        <w:t>in</w:t>
      </w:r>
      <w:r>
        <w:rPr>
          <w:spacing w:val="29"/>
        </w:rPr>
        <w:t> </w:t>
      </w:r>
      <w:r>
        <w:rPr>
          <w:rFonts w:ascii="Cambria"/>
        </w:rPr>
        <w:t>y</w:t>
      </w:r>
      <w:r>
        <w:rPr/>
        <w:t>-direction),</w:t>
      </w:r>
      <w:r>
        <w:rPr>
          <w:spacing w:val="36"/>
        </w:rPr>
        <w:t> </w:t>
      </w:r>
      <w:r>
        <w:rPr/>
        <w:t>unequally</w:t>
      </w:r>
      <w:r>
        <w:rPr>
          <w:spacing w:val="29"/>
        </w:rPr>
        <w:t> </w:t>
      </w:r>
      <w:r>
        <w:rPr/>
        <w:t>weighted</w:t>
      </w:r>
      <w:r>
        <w:rPr>
          <w:spacing w:val="29"/>
        </w:rPr>
        <w:t> </w:t>
      </w:r>
      <w:r>
        <w:rPr/>
        <w:t>factors</w:t>
      </w:r>
      <w:r>
        <w:rPr>
          <w:spacing w:val="28"/>
        </w:rPr>
        <w:t> </w:t>
      </w:r>
      <w:r>
        <w:rPr/>
        <w:t>(e.g.</w:t>
      </w:r>
      <w:r>
        <w:rPr>
          <w:spacing w:val="73"/>
          <w:w w:val="150"/>
        </w:rPr>
        <w:t> </w:t>
      </w:r>
      <w:r>
        <w:rPr>
          <w:rFonts w:ascii="Garamond"/>
        </w:rPr>
        <w:t>6</w:t>
      </w:r>
      <w:r>
        <w:rPr>
          <w:rFonts w:ascii="Cambria"/>
        </w:rPr>
        <w:t>.</w:t>
      </w:r>
      <w:r>
        <w:rPr>
          <w:rFonts w:ascii="Garamond"/>
        </w:rPr>
        <w:t>0</w:t>
      </w:r>
      <w:r>
        <w:rPr>
          <w:rFonts w:ascii="Cambria"/>
        </w:rPr>
        <w:t>x</w:t>
      </w:r>
      <w:r>
        <w:rPr/>
        <w:t>,</w:t>
      </w:r>
      <w:r>
        <w:rPr>
          <w:spacing w:val="36"/>
        </w:rPr>
        <w:t> </w:t>
      </w:r>
      <w:r>
        <w:rPr>
          <w:rFonts w:ascii="Garamond"/>
        </w:rPr>
        <w:t>3</w:t>
      </w:r>
      <w:r>
        <w:rPr>
          <w:rFonts w:ascii="Cambria"/>
        </w:rPr>
        <w:t>.</w:t>
      </w:r>
      <w:r>
        <w:rPr>
          <w:rFonts w:ascii="Garamond"/>
        </w:rPr>
        <w:t>5</w:t>
      </w:r>
      <w:r>
        <w:rPr>
          <w:rFonts w:ascii="Cambria"/>
        </w:rPr>
        <w:t>y</w:t>
      </w:r>
      <w:r>
        <w:rPr/>
        <w:t>)</w:t>
      </w:r>
      <w:r>
        <w:rPr>
          <w:spacing w:val="29"/>
        </w:rPr>
        <w:t> </w:t>
      </w:r>
      <w:r>
        <w:rPr/>
        <w:t>were</w:t>
      </w:r>
      <w:r>
        <w:rPr>
          <w:spacing w:val="29"/>
        </w:rPr>
        <w:t> </w:t>
      </w:r>
      <w:r>
        <w:rPr/>
        <w:t>calculated</w:t>
      </w:r>
      <w:r>
        <w:rPr>
          <w:spacing w:val="28"/>
        </w:rPr>
        <w:t> </w:t>
      </w:r>
      <w:r>
        <w:rPr>
          <w:spacing w:val="-5"/>
        </w:rPr>
        <w:t>in</w:t>
      </w:r>
    </w:p>
    <w:p>
      <w:pPr>
        <w:spacing w:after="0"/>
        <w:jc w:val="right"/>
        <w:sectPr>
          <w:pgSz w:w="11910" w:h="16840"/>
          <w:pgMar w:header="1961" w:footer="1428" w:top="2280" w:bottom="1620" w:left="1680" w:right="720"/>
        </w:sectPr>
      </w:pPr>
    </w:p>
    <w:p>
      <w:pPr>
        <w:pStyle w:val="BodyText"/>
        <w:rPr>
          <w:sz w:val="20"/>
        </w:rPr>
      </w:pPr>
    </w:p>
    <w:p>
      <w:pPr>
        <w:pStyle w:val="BodyText"/>
        <w:spacing w:before="5"/>
        <w:rPr>
          <w:sz w:val="28"/>
        </w:rPr>
      </w:pPr>
    </w:p>
    <w:p>
      <w:pPr>
        <w:pStyle w:val="BodyText"/>
        <w:ind w:left="1035"/>
        <w:rPr>
          <w:sz w:val="20"/>
        </w:rPr>
      </w:pPr>
      <w:r>
        <w:rPr>
          <w:sz w:val="20"/>
        </w:rPr>
        <w:drawing>
          <wp:inline distT="0" distB="0" distL="0" distR="0">
            <wp:extent cx="4868403" cy="1682496"/>
            <wp:effectExtent l="0" t="0" r="0" b="0"/>
            <wp:docPr id="79" name="image40.jpeg"/>
            <wp:cNvGraphicFramePr>
              <a:graphicFrameLocks noChangeAspect="1"/>
            </wp:cNvGraphicFramePr>
            <a:graphic>
              <a:graphicData uri="http://schemas.openxmlformats.org/drawingml/2006/picture">
                <pic:pic>
                  <pic:nvPicPr>
                    <pic:cNvPr id="80" name="image40.jpeg"/>
                    <pic:cNvPicPr/>
                  </pic:nvPicPr>
                  <pic:blipFill>
                    <a:blip r:embed="rId110" cstate="print"/>
                    <a:stretch>
                      <a:fillRect/>
                    </a:stretch>
                  </pic:blipFill>
                  <pic:spPr>
                    <a:xfrm>
                      <a:off x="0" y="0"/>
                      <a:ext cx="4868403" cy="1682496"/>
                    </a:xfrm>
                    <a:prstGeom prst="rect">
                      <a:avLst/>
                    </a:prstGeom>
                  </pic:spPr>
                </pic:pic>
              </a:graphicData>
            </a:graphic>
          </wp:inline>
        </w:drawing>
      </w:r>
      <w:r>
        <w:rPr>
          <w:sz w:val="20"/>
        </w:rPr>
      </w:r>
    </w:p>
    <w:p>
      <w:pPr>
        <w:pStyle w:val="BodyText"/>
        <w:spacing w:line="242" w:lineRule="auto" w:before="168"/>
        <w:ind w:left="610" w:right="389"/>
        <w:jc w:val="both"/>
      </w:pPr>
      <w:bookmarkStart w:name="_bookmark156" w:id="271"/>
      <w:bookmarkEnd w:id="271"/>
      <w:r>
        <w:rPr/>
      </w:r>
      <w:r>
        <w:rPr>
          <w:b/>
        </w:rPr>
        <w:t>Figure 5.8: </w:t>
      </w:r>
      <w:r>
        <w:rPr/>
        <w:t>Advanced Wasserstein metrics for </w:t>
      </w:r>
      <w:r>
        <w:rPr>
          <w:rFonts w:ascii="Cambria"/>
        </w:rPr>
        <w:t>p </w:t>
      </w:r>
      <w:r>
        <w:rPr>
          <w:rFonts w:ascii="Garamond"/>
        </w:rPr>
        <w:t>= 1 </w:t>
      </w:r>
      <w:r>
        <w:rPr/>
        <w:t>(left), </w:t>
      </w:r>
      <w:r>
        <w:rPr>
          <w:rFonts w:ascii="Cambria"/>
        </w:rPr>
        <w:t>p </w:t>
      </w:r>
      <w:r>
        <w:rPr>
          <w:rFonts w:ascii="Garamond"/>
        </w:rPr>
        <w:t>= 2 </w:t>
      </w:r>
      <w:r>
        <w:rPr/>
        <w:t>(centre) and </w:t>
      </w:r>
      <w:r>
        <w:rPr>
          <w:rFonts w:ascii="Cambria"/>
        </w:rPr>
        <w:t>p </w:t>
      </w:r>
      <w:r>
        <w:rPr>
          <w:rFonts w:ascii="Garamond"/>
        </w:rPr>
        <w:t>= 3 </w:t>
      </w:r>
      <w:r>
        <w:rPr/>
        <w:t>(right). Plots</w:t>
      </w:r>
      <w:r>
        <w:rPr>
          <w:spacing w:val="-1"/>
        </w:rPr>
        <w:t> </w:t>
      </w:r>
      <w:r>
        <w:rPr/>
        <w:t>are</w:t>
      </w:r>
      <w:r>
        <w:rPr>
          <w:spacing w:val="-2"/>
        </w:rPr>
        <w:t> </w:t>
      </w:r>
      <w:r>
        <w:rPr/>
        <w:t>shown</w:t>
      </w:r>
      <w:r>
        <w:rPr>
          <w:spacing w:val="-1"/>
        </w:rPr>
        <w:t> </w:t>
      </w:r>
      <w:r>
        <w:rPr/>
        <w:t>for</w:t>
      </w:r>
      <w:r>
        <w:rPr>
          <w:spacing w:val="-1"/>
        </w:rPr>
        <w:t> </w:t>
      </w:r>
      <w:r>
        <w:rPr>
          <w:rFonts w:ascii="Cambria"/>
        </w:rPr>
        <w:t>x</w:t>
      </w:r>
      <w:r>
        <w:rPr/>
        <w:t>-factor</w:t>
      </w:r>
      <w:r>
        <w:rPr>
          <w:spacing w:val="-1"/>
        </w:rPr>
        <w:t> </w:t>
      </w:r>
      <w:r>
        <w:rPr/>
        <w:t>=</w:t>
      </w:r>
      <w:r>
        <w:rPr>
          <w:spacing w:val="-2"/>
        </w:rPr>
        <w:t> </w:t>
      </w:r>
      <w:r>
        <w:rPr/>
        <w:t>6,</w:t>
      </w:r>
      <w:r>
        <w:rPr>
          <w:spacing w:val="-1"/>
        </w:rPr>
        <w:t> </w:t>
      </w:r>
      <w:r>
        <w:rPr>
          <w:rFonts w:ascii="Cambria"/>
        </w:rPr>
        <w:t>y</w:t>
      </w:r>
      <w:r>
        <w:rPr/>
        <w:t>-factor</w:t>
      </w:r>
      <w:r>
        <w:rPr>
          <w:spacing w:val="-1"/>
        </w:rPr>
        <w:t> </w:t>
      </w:r>
      <w:r>
        <w:rPr/>
        <w:t>=</w:t>
      </w:r>
      <w:r>
        <w:rPr>
          <w:spacing w:val="-2"/>
        </w:rPr>
        <w:t> </w:t>
      </w:r>
      <w:r>
        <w:rPr/>
        <w:t>1</w:t>
      </w:r>
      <w:r>
        <w:rPr>
          <w:spacing w:val="-1"/>
        </w:rPr>
        <w:t> </w:t>
      </w:r>
      <w:r>
        <w:rPr/>
        <w:t>and</w:t>
      </w:r>
      <w:r>
        <w:rPr>
          <w:spacing w:val="-1"/>
        </w:rPr>
        <w:t> </w:t>
      </w:r>
      <w:r>
        <w:rPr/>
        <w:t>highlight</w:t>
      </w:r>
      <w:r>
        <w:rPr>
          <w:spacing w:val="-2"/>
        </w:rPr>
        <w:t> </w:t>
      </w:r>
      <w:r>
        <w:rPr/>
        <w:t>the</w:t>
      </w:r>
      <w:r>
        <w:rPr>
          <w:spacing w:val="-1"/>
        </w:rPr>
        <w:t> </w:t>
      </w:r>
      <w:r>
        <w:rPr/>
        <w:t>rectangular</w:t>
      </w:r>
      <w:r>
        <w:rPr>
          <w:spacing w:val="-2"/>
        </w:rPr>
        <w:t> </w:t>
      </w:r>
      <w:r>
        <w:rPr/>
        <w:t>shape of</w:t>
      </w:r>
      <w:r>
        <w:rPr>
          <w:spacing w:val="-3"/>
        </w:rPr>
        <w:t> </w:t>
      </w:r>
      <w:r>
        <w:rPr>
          <w:rFonts w:ascii="Cambria"/>
        </w:rPr>
        <w:t>p </w:t>
      </w:r>
      <w:r>
        <w:rPr>
          <w:rFonts w:ascii="Garamond"/>
        </w:rPr>
        <w:t>= 3</w:t>
      </w:r>
      <w:r>
        <w:rPr>
          <w:rFonts w:ascii="Garamond"/>
          <w:spacing w:val="-3"/>
        </w:rPr>
        <w:t> </w:t>
      </w:r>
      <w:r>
        <w:rPr/>
        <w:t>compared</w:t>
      </w:r>
      <w:r>
        <w:rPr>
          <w:spacing w:val="-3"/>
        </w:rPr>
        <w:t> </w:t>
      </w:r>
      <w:r>
        <w:rPr/>
        <w:t>to</w:t>
      </w:r>
      <w:r>
        <w:rPr>
          <w:spacing w:val="-3"/>
        </w:rPr>
        <w:t> </w:t>
      </w:r>
      <w:r>
        <w:rPr/>
        <w:t>the</w:t>
      </w:r>
      <w:r>
        <w:rPr>
          <w:spacing w:val="-3"/>
        </w:rPr>
        <w:t> </w:t>
      </w:r>
      <w:r>
        <w:rPr/>
        <w:t>diamond</w:t>
      </w:r>
      <w:r>
        <w:rPr>
          <w:spacing w:val="-3"/>
        </w:rPr>
        <w:t> </w:t>
      </w:r>
      <w:r>
        <w:rPr/>
        <w:t>for</w:t>
      </w:r>
      <w:r>
        <w:rPr>
          <w:spacing w:val="-3"/>
        </w:rPr>
        <w:t> </w:t>
      </w:r>
      <w:r>
        <w:rPr>
          <w:rFonts w:ascii="Cambria"/>
        </w:rPr>
        <w:t>p </w:t>
      </w:r>
      <w:r>
        <w:rPr>
          <w:rFonts w:ascii="Garamond"/>
        </w:rPr>
        <w:t>= 1</w:t>
      </w:r>
      <w:r>
        <w:rPr>
          <w:rFonts w:ascii="Garamond"/>
          <w:spacing w:val="-3"/>
        </w:rPr>
        <w:t> </w:t>
      </w:r>
      <w:r>
        <w:rPr/>
        <w:t>and</w:t>
      </w:r>
      <w:r>
        <w:rPr>
          <w:spacing w:val="-3"/>
        </w:rPr>
        <w:t> </w:t>
      </w:r>
      <w:r>
        <w:rPr/>
        <w:t>oval</w:t>
      </w:r>
      <w:r>
        <w:rPr>
          <w:spacing w:val="-3"/>
        </w:rPr>
        <w:t> </w:t>
      </w:r>
      <w:r>
        <w:rPr/>
        <w:t>for</w:t>
      </w:r>
      <w:r>
        <w:rPr>
          <w:spacing w:val="-3"/>
        </w:rPr>
        <w:t> </w:t>
      </w:r>
      <w:r>
        <w:rPr>
          <w:rFonts w:ascii="Cambria"/>
        </w:rPr>
        <w:t>p </w:t>
      </w:r>
      <w:r>
        <w:rPr>
          <w:rFonts w:ascii="Garamond"/>
        </w:rPr>
        <w:t>= 2</w:t>
      </w:r>
      <w:r>
        <w:rPr/>
        <w:t>. Distances</w:t>
      </w:r>
      <w:r>
        <w:rPr>
          <w:spacing w:val="-3"/>
        </w:rPr>
        <w:t> </w:t>
      </w:r>
      <w:r>
        <w:rPr/>
        <w:t>are</w:t>
      </w:r>
      <w:r>
        <w:rPr>
          <w:spacing w:val="-3"/>
        </w:rPr>
        <w:t> </w:t>
      </w:r>
      <w:r>
        <w:rPr/>
        <w:t>calculated from central point.</w:t>
      </w:r>
    </w:p>
    <w:p>
      <w:pPr>
        <w:pStyle w:val="BodyText"/>
        <w:spacing w:before="4"/>
        <w:rPr>
          <w:sz w:val="21"/>
        </w:rPr>
      </w:pPr>
      <w:r>
        <w:rPr/>
        <w:drawing>
          <wp:anchor distT="0" distB="0" distL="0" distR="0" allowOverlap="1" layoutInCell="1" locked="0" behindDoc="0" simplePos="0" relativeHeight="144">
            <wp:simplePos x="0" y="0"/>
            <wp:positionH relativeFrom="page">
              <wp:posOffset>1454403</wp:posOffset>
            </wp:positionH>
            <wp:positionV relativeFrom="paragraph">
              <wp:posOffset>171516</wp:posOffset>
            </wp:positionV>
            <wp:extent cx="5360214" cy="2188464"/>
            <wp:effectExtent l="0" t="0" r="0" b="0"/>
            <wp:wrapTopAndBottom/>
            <wp:docPr id="81" name="image41.jpeg"/>
            <wp:cNvGraphicFramePr>
              <a:graphicFrameLocks noChangeAspect="1"/>
            </wp:cNvGraphicFramePr>
            <a:graphic>
              <a:graphicData uri="http://schemas.openxmlformats.org/drawingml/2006/picture">
                <pic:pic>
                  <pic:nvPicPr>
                    <pic:cNvPr id="82" name="image41.jpeg"/>
                    <pic:cNvPicPr/>
                  </pic:nvPicPr>
                  <pic:blipFill>
                    <a:blip r:embed="rId111" cstate="print"/>
                    <a:stretch>
                      <a:fillRect/>
                    </a:stretch>
                  </pic:blipFill>
                  <pic:spPr>
                    <a:xfrm>
                      <a:off x="0" y="0"/>
                      <a:ext cx="5360214" cy="2188464"/>
                    </a:xfrm>
                    <a:prstGeom prst="rect">
                      <a:avLst/>
                    </a:prstGeom>
                  </pic:spPr>
                </pic:pic>
              </a:graphicData>
            </a:graphic>
          </wp:anchor>
        </w:drawing>
      </w:r>
    </w:p>
    <w:p>
      <w:pPr>
        <w:pStyle w:val="BodyText"/>
        <w:spacing w:line="249" w:lineRule="auto" w:before="175"/>
        <w:ind w:left="610" w:right="389"/>
        <w:jc w:val="both"/>
      </w:pPr>
      <w:bookmarkStart w:name="_bookmark157" w:id="272"/>
      <w:bookmarkEnd w:id="272"/>
      <w:r>
        <w:rPr/>
      </w:r>
      <w:r>
        <w:rPr>
          <w:b/>
        </w:rPr>
        <w:t>Figure</w:t>
      </w:r>
      <w:r>
        <w:rPr>
          <w:b/>
          <w:spacing w:val="-1"/>
        </w:rPr>
        <w:t> </w:t>
      </w:r>
      <w:r>
        <w:rPr>
          <w:b/>
        </w:rPr>
        <w:t>5.9: </w:t>
      </w:r>
      <w:r>
        <w:rPr/>
        <w:t>Quadrant</w:t>
      </w:r>
      <w:r>
        <w:rPr>
          <w:spacing w:val="-1"/>
        </w:rPr>
        <w:t> </w:t>
      </w:r>
      <w:r>
        <w:rPr/>
        <w:t>plot</w:t>
      </w:r>
      <w:r>
        <w:rPr>
          <w:spacing w:val="-1"/>
        </w:rPr>
        <w:t> </w:t>
      </w:r>
      <w:r>
        <w:rPr/>
        <w:t>for</w:t>
      </w:r>
      <w:r>
        <w:rPr>
          <w:spacing w:val="-2"/>
        </w:rPr>
        <w:t> </w:t>
      </w:r>
      <w:r>
        <w:rPr/>
        <w:t>Wasserstein</w:t>
      </w:r>
      <w:r>
        <w:rPr>
          <w:spacing w:val="-1"/>
        </w:rPr>
        <w:t> </w:t>
      </w:r>
      <w:r>
        <w:rPr/>
        <w:t>distance</w:t>
      </w:r>
      <w:r>
        <w:rPr>
          <w:spacing w:val="-1"/>
        </w:rPr>
        <w:t> </w:t>
      </w:r>
      <w:r>
        <w:rPr/>
        <w:t>using</w:t>
      </w:r>
      <w:r>
        <w:rPr>
          <w:spacing w:val="-2"/>
        </w:rPr>
        <w:t> </w:t>
      </w:r>
      <w:r>
        <w:rPr/>
        <w:t>factor</w:t>
      </w:r>
      <w:r>
        <w:rPr>
          <w:spacing w:val="-1"/>
        </w:rPr>
        <w:t> </w:t>
      </w:r>
      <w:r>
        <w:rPr/>
        <w:t>2</w:t>
      </w:r>
      <w:r>
        <w:rPr>
          <w:spacing w:val="-1"/>
        </w:rPr>
        <w:t> </w:t>
      </w:r>
      <w:r>
        <w:rPr/>
        <w:t>for</w:t>
      </w:r>
      <w:r>
        <w:rPr>
          <w:spacing w:val="-2"/>
        </w:rPr>
        <w:t> </w:t>
      </w:r>
      <w:r>
        <w:rPr>
          <w:rFonts w:ascii="Cambria"/>
        </w:rPr>
        <w:t>x </w:t>
      </w:r>
      <w:r>
        <w:rPr/>
        <w:t>and</w:t>
      </w:r>
      <w:r>
        <w:rPr>
          <w:spacing w:val="-1"/>
        </w:rPr>
        <w:t> </w:t>
      </w:r>
      <w:r>
        <w:rPr>
          <w:rFonts w:ascii="Cambria"/>
        </w:rPr>
        <w:t>y </w:t>
      </w:r>
      <w:r>
        <w:rPr/>
        <w:t>directions. </w:t>
      </w:r>
      <w:r>
        <w:rPr>
          <w:rFonts w:ascii="Cambria"/>
        </w:rPr>
        <w:t>y</w:t>
      </w:r>
      <w:r>
        <w:rPr/>
        <w:t>-axis represents the normalised increase in Wasserstein distance in </w:t>
      </w:r>
      <w:r>
        <w:rPr>
          <w:rFonts w:ascii="Cambria"/>
        </w:rPr>
        <w:t>x </w:t>
      </w:r>
      <w:r>
        <w:rPr/>
        <w:t>(left) or </w:t>
      </w:r>
      <w:r>
        <w:rPr>
          <w:rFonts w:ascii="Cambria"/>
        </w:rPr>
        <w:t>y </w:t>
      </w:r>
      <w:r>
        <w:rPr/>
        <w:t>(right) dimensions.</w:t>
      </w:r>
      <w:r>
        <w:rPr>
          <w:spacing w:val="37"/>
        </w:rPr>
        <w:t> </w:t>
      </w:r>
      <w:r>
        <w:rPr>
          <w:rFonts w:ascii="Cambria"/>
        </w:rPr>
        <w:t>x</w:t>
      </w:r>
      <w:r>
        <w:rPr/>
        <w:t>-axis represents standard Wasserstein distance for </w:t>
      </w:r>
      <w:r>
        <w:rPr>
          <w:rFonts w:ascii="Cambria"/>
        </w:rPr>
        <w:t>p</w:t>
      </w:r>
      <w:r>
        <w:rPr/>
        <w:t>=3.</w:t>
      </w:r>
      <w:r>
        <w:rPr>
          <w:spacing w:val="37"/>
        </w:rPr>
        <w:t> </w:t>
      </w:r>
      <w:r>
        <w:rPr/>
        <w:t>All distances rep- resent differences between the team overall KDE and the whole league KDE. Blue lines represent median values.</w:t>
      </w:r>
    </w:p>
    <w:p>
      <w:pPr>
        <w:pStyle w:val="BodyText"/>
        <w:spacing w:before="3"/>
        <w:rPr>
          <w:sz w:val="37"/>
        </w:rPr>
      </w:pPr>
    </w:p>
    <w:p>
      <w:pPr>
        <w:pStyle w:val="BodyText"/>
        <w:spacing w:line="307" w:lineRule="auto"/>
        <w:ind w:left="610" w:right="389"/>
        <w:jc w:val="both"/>
      </w:pPr>
      <w:r>
        <w:rPr/>
        <w:t>order</w:t>
      </w:r>
      <w:r>
        <w:rPr>
          <w:spacing w:val="-5"/>
        </w:rPr>
        <w:t> </w:t>
      </w:r>
      <w:r>
        <w:rPr/>
        <w:t>to</w:t>
      </w:r>
      <w:r>
        <w:rPr>
          <w:spacing w:val="-4"/>
        </w:rPr>
        <w:t> </w:t>
      </w:r>
      <w:r>
        <w:rPr/>
        <w:t>assess</w:t>
      </w:r>
      <w:r>
        <w:rPr>
          <w:spacing w:val="-5"/>
        </w:rPr>
        <w:t> </w:t>
      </w:r>
      <w:r>
        <w:rPr/>
        <w:t>any</w:t>
      </w:r>
      <w:r>
        <w:rPr>
          <w:spacing w:val="-5"/>
        </w:rPr>
        <w:t> </w:t>
      </w:r>
      <w:r>
        <w:rPr/>
        <w:t>differences</w:t>
      </w:r>
      <w:r>
        <w:rPr>
          <w:spacing w:val="-5"/>
        </w:rPr>
        <w:t> </w:t>
      </w:r>
      <w:r>
        <w:rPr/>
        <w:t>in</w:t>
      </w:r>
      <w:r>
        <w:rPr>
          <w:spacing w:val="-4"/>
        </w:rPr>
        <w:t> </w:t>
      </w:r>
      <w:r>
        <w:rPr/>
        <w:t>the</w:t>
      </w:r>
      <w:r>
        <w:rPr>
          <w:spacing w:val="-5"/>
        </w:rPr>
        <w:t> </w:t>
      </w:r>
      <w:r>
        <w:rPr/>
        <w:t>median</w:t>
      </w:r>
      <w:r>
        <w:rPr>
          <w:spacing w:val="-5"/>
        </w:rPr>
        <w:t> </w:t>
      </w:r>
      <w:r>
        <w:rPr/>
        <w:t>normalised</w:t>
      </w:r>
      <w:r>
        <w:rPr>
          <w:spacing w:val="-5"/>
        </w:rPr>
        <w:t> </w:t>
      </w:r>
      <w:r>
        <w:rPr/>
        <w:t>increase</w:t>
      </w:r>
      <w:r>
        <w:rPr>
          <w:spacing w:val="-4"/>
        </w:rPr>
        <w:t> </w:t>
      </w:r>
      <w:r>
        <w:rPr/>
        <w:t>along</w:t>
      </w:r>
      <w:r>
        <w:rPr>
          <w:spacing w:val="-5"/>
        </w:rPr>
        <w:t> </w:t>
      </w:r>
      <w:r>
        <w:rPr/>
        <w:t>the</w:t>
      </w:r>
      <w:r>
        <w:rPr>
          <w:spacing w:val="-5"/>
        </w:rPr>
        <w:t> </w:t>
      </w:r>
      <w:r>
        <w:rPr>
          <w:rFonts w:ascii="Cambria"/>
        </w:rPr>
        <w:t>x </w:t>
      </w:r>
      <w:r>
        <w:rPr/>
        <w:t>and</w:t>
      </w:r>
      <w:r>
        <w:rPr>
          <w:spacing w:val="-5"/>
        </w:rPr>
        <w:t> </w:t>
      </w:r>
      <w:r>
        <w:rPr>
          <w:rFonts w:ascii="Cambria"/>
        </w:rPr>
        <w:t>y </w:t>
      </w:r>
      <w:r>
        <w:rPr/>
        <w:t>axes. Using</w:t>
      </w:r>
      <w:r>
        <w:rPr>
          <w:spacing w:val="-6"/>
        </w:rPr>
        <w:t> </w:t>
      </w:r>
      <w:r>
        <w:rPr/>
        <w:t>an</w:t>
      </w:r>
      <w:r>
        <w:rPr>
          <w:spacing w:val="-6"/>
        </w:rPr>
        <w:t> </w:t>
      </w:r>
      <w:r>
        <w:rPr>
          <w:rFonts w:ascii="Cambria"/>
        </w:rPr>
        <w:t>x</w:t>
      </w:r>
      <w:r>
        <w:rPr/>
        <w:t>-factor</w:t>
      </w:r>
      <w:r>
        <w:rPr>
          <w:spacing w:val="-6"/>
        </w:rPr>
        <w:t> </w:t>
      </w:r>
      <w:r>
        <w:rPr/>
        <w:t>of</w:t>
      </w:r>
      <w:r>
        <w:rPr>
          <w:spacing w:val="-6"/>
        </w:rPr>
        <w:t> </w:t>
      </w:r>
      <w:r>
        <w:rPr/>
        <w:t>12/7</w:t>
      </w:r>
      <w:r>
        <w:rPr>
          <w:spacing w:val="-6"/>
        </w:rPr>
        <w:t> </w:t>
      </w:r>
      <w:r>
        <w:rPr/>
        <w:t>times</w:t>
      </w:r>
      <w:r>
        <w:rPr>
          <w:spacing w:val="-6"/>
        </w:rPr>
        <w:t> </w:t>
      </w:r>
      <w:r>
        <w:rPr/>
        <w:t>greater</w:t>
      </w:r>
      <w:r>
        <w:rPr>
          <w:spacing w:val="-6"/>
        </w:rPr>
        <w:t> </w:t>
      </w:r>
      <w:r>
        <w:rPr/>
        <w:t>than</w:t>
      </w:r>
      <w:r>
        <w:rPr>
          <w:spacing w:val="-6"/>
        </w:rPr>
        <w:t> </w:t>
      </w:r>
      <w:r>
        <w:rPr/>
        <w:t>the</w:t>
      </w:r>
      <w:r>
        <w:rPr>
          <w:spacing w:val="-6"/>
        </w:rPr>
        <w:t> </w:t>
      </w:r>
      <w:r>
        <w:rPr>
          <w:rFonts w:ascii="Cambria"/>
        </w:rPr>
        <w:t>y</w:t>
      </w:r>
      <w:r>
        <w:rPr/>
        <w:t>-factor</w:t>
      </w:r>
      <w:r>
        <w:rPr>
          <w:spacing w:val="-6"/>
        </w:rPr>
        <w:t> </w:t>
      </w:r>
      <w:r>
        <w:rPr/>
        <w:t>equalised</w:t>
      </w:r>
      <w:r>
        <w:rPr>
          <w:spacing w:val="-6"/>
        </w:rPr>
        <w:t> </w:t>
      </w:r>
      <w:r>
        <w:rPr/>
        <w:t>the</w:t>
      </w:r>
      <w:r>
        <w:rPr>
          <w:spacing w:val="-6"/>
        </w:rPr>
        <w:t> </w:t>
      </w:r>
      <w:r>
        <w:rPr/>
        <w:t>cost</w:t>
      </w:r>
      <w:r>
        <w:rPr>
          <w:spacing w:val="-6"/>
        </w:rPr>
        <w:t> </w:t>
      </w:r>
      <w:r>
        <w:rPr/>
        <w:t>of</w:t>
      </w:r>
      <w:r>
        <w:rPr>
          <w:spacing w:val="-6"/>
        </w:rPr>
        <w:t> </w:t>
      </w:r>
      <w:r>
        <w:rPr/>
        <w:t>moving</w:t>
      </w:r>
      <w:r>
        <w:rPr>
          <w:spacing w:val="-6"/>
        </w:rPr>
        <w:t> </w:t>
      </w:r>
      <w:r>
        <w:rPr/>
        <w:t>the full length of the pitch in both directions, so it was possible to assess these differences</w:t>
      </w:r>
      <w:r>
        <w:rPr>
          <w:spacing w:val="40"/>
        </w:rPr>
        <w:t> </w:t>
      </w:r>
      <w:r>
        <w:rPr/>
        <w:t>in</w:t>
      </w:r>
      <w:r>
        <w:rPr>
          <w:spacing w:val="-8"/>
        </w:rPr>
        <w:t> </w:t>
      </w:r>
      <w:r>
        <w:rPr/>
        <w:t>an</w:t>
      </w:r>
      <w:r>
        <w:rPr>
          <w:spacing w:val="-8"/>
        </w:rPr>
        <w:t> </w:t>
      </w:r>
      <w:r>
        <w:rPr/>
        <w:t>equal</w:t>
      </w:r>
      <w:r>
        <w:rPr>
          <w:spacing w:val="-8"/>
        </w:rPr>
        <w:t> </w:t>
      </w:r>
      <w:r>
        <w:rPr/>
        <w:t>manner. Interestingly,</w:t>
      </w:r>
      <w:r>
        <w:rPr>
          <w:spacing w:val="-8"/>
        </w:rPr>
        <w:t> </w:t>
      </w:r>
      <w:r>
        <w:rPr/>
        <w:t>the</w:t>
      </w:r>
      <w:r>
        <w:rPr>
          <w:spacing w:val="-8"/>
        </w:rPr>
        <w:t> </w:t>
      </w:r>
      <w:r>
        <w:rPr/>
        <w:t>influence</w:t>
      </w:r>
      <w:r>
        <w:rPr>
          <w:spacing w:val="-8"/>
        </w:rPr>
        <w:t> </w:t>
      </w:r>
      <w:r>
        <w:rPr/>
        <w:t>of</w:t>
      </w:r>
      <w:r>
        <w:rPr>
          <w:spacing w:val="-8"/>
        </w:rPr>
        <w:t> </w:t>
      </w:r>
      <w:r>
        <w:rPr/>
        <w:t>changes</w:t>
      </w:r>
      <w:r>
        <w:rPr>
          <w:spacing w:val="-8"/>
        </w:rPr>
        <w:t> </w:t>
      </w:r>
      <w:r>
        <w:rPr/>
        <w:t>along</w:t>
      </w:r>
      <w:r>
        <w:rPr>
          <w:spacing w:val="-8"/>
        </w:rPr>
        <w:t> </w:t>
      </w:r>
      <w:r>
        <w:rPr/>
        <w:t>the</w:t>
      </w:r>
      <w:r>
        <w:rPr>
          <w:spacing w:val="-8"/>
        </w:rPr>
        <w:t> </w:t>
      </w:r>
      <w:r>
        <w:rPr>
          <w:rFonts w:ascii="Cambria"/>
        </w:rPr>
        <w:t>y</w:t>
      </w:r>
      <w:r>
        <w:rPr/>
        <w:t>-axis</w:t>
      </w:r>
      <w:r>
        <w:rPr>
          <w:spacing w:val="-8"/>
        </w:rPr>
        <w:t> </w:t>
      </w:r>
      <w:r>
        <w:rPr/>
        <w:t>was</w:t>
      </w:r>
      <w:r>
        <w:rPr>
          <w:spacing w:val="-8"/>
        </w:rPr>
        <w:t> </w:t>
      </w:r>
      <w:r>
        <w:rPr/>
        <w:t>typically still</w:t>
      </w:r>
      <w:r>
        <w:rPr>
          <w:spacing w:val="-4"/>
        </w:rPr>
        <w:t> </w:t>
      </w:r>
      <w:r>
        <w:rPr/>
        <w:t>greater</w:t>
      </w:r>
      <w:r>
        <w:rPr>
          <w:spacing w:val="-5"/>
        </w:rPr>
        <w:t> </w:t>
      </w:r>
      <w:r>
        <w:rPr/>
        <w:t>than</w:t>
      </w:r>
      <w:r>
        <w:rPr>
          <w:spacing w:val="-4"/>
        </w:rPr>
        <w:t> </w:t>
      </w:r>
      <w:r>
        <w:rPr/>
        <w:t>those</w:t>
      </w:r>
      <w:r>
        <w:rPr>
          <w:spacing w:val="-4"/>
        </w:rPr>
        <w:t> </w:t>
      </w:r>
      <w:r>
        <w:rPr/>
        <w:t>in</w:t>
      </w:r>
      <w:r>
        <w:rPr>
          <w:spacing w:val="-4"/>
        </w:rPr>
        <w:t> </w:t>
      </w:r>
      <w:r>
        <w:rPr/>
        <w:t>the</w:t>
      </w:r>
      <w:r>
        <w:rPr>
          <w:spacing w:val="-5"/>
        </w:rPr>
        <w:t> </w:t>
      </w:r>
      <w:r>
        <w:rPr>
          <w:rFonts w:ascii="Cambria"/>
        </w:rPr>
        <w:t>x</w:t>
      </w:r>
      <w:r>
        <w:rPr/>
        <w:t>-axis</w:t>
      </w:r>
      <w:r>
        <w:rPr>
          <w:spacing w:val="-4"/>
        </w:rPr>
        <w:t> </w:t>
      </w:r>
      <w:r>
        <w:rPr/>
        <w:t>when</w:t>
      </w:r>
      <w:r>
        <w:rPr>
          <w:spacing w:val="-4"/>
        </w:rPr>
        <w:t> </w:t>
      </w:r>
      <w:r>
        <w:rPr/>
        <w:t>the</w:t>
      </w:r>
      <w:r>
        <w:rPr>
          <w:spacing w:val="-5"/>
        </w:rPr>
        <w:t> </w:t>
      </w:r>
      <w:r>
        <w:rPr/>
        <w:t>weightings</w:t>
      </w:r>
      <w:r>
        <w:rPr>
          <w:spacing w:val="-4"/>
        </w:rPr>
        <w:t> </w:t>
      </w:r>
      <w:r>
        <w:rPr/>
        <w:t>were</w:t>
      </w:r>
      <w:r>
        <w:rPr>
          <w:spacing w:val="-4"/>
        </w:rPr>
        <w:t> </w:t>
      </w:r>
      <w:r>
        <w:rPr/>
        <w:t>unequal. It</w:t>
      </w:r>
      <w:r>
        <w:rPr>
          <w:spacing w:val="-5"/>
        </w:rPr>
        <w:t> </w:t>
      </w:r>
      <w:r>
        <w:rPr/>
        <w:t>is</w:t>
      </w:r>
      <w:r>
        <w:rPr>
          <w:spacing w:val="-4"/>
        </w:rPr>
        <w:t> </w:t>
      </w:r>
      <w:r>
        <w:rPr/>
        <w:t>possible</w:t>
      </w:r>
      <w:r>
        <w:rPr>
          <w:spacing w:val="-4"/>
        </w:rPr>
        <w:t> </w:t>
      </w:r>
      <w:r>
        <w:rPr/>
        <w:t>that this</w:t>
      </w:r>
      <w:r>
        <w:rPr>
          <w:spacing w:val="3"/>
        </w:rPr>
        <w:t> </w:t>
      </w:r>
      <w:r>
        <w:rPr/>
        <w:t>is</w:t>
      </w:r>
      <w:r>
        <w:rPr>
          <w:spacing w:val="3"/>
        </w:rPr>
        <w:t> </w:t>
      </w:r>
      <w:r>
        <w:rPr/>
        <w:t>because</w:t>
      </w:r>
      <w:r>
        <w:rPr>
          <w:spacing w:val="4"/>
        </w:rPr>
        <w:t> </w:t>
      </w:r>
      <w:r>
        <w:rPr/>
        <w:t>changes</w:t>
      </w:r>
      <w:r>
        <w:rPr>
          <w:spacing w:val="3"/>
        </w:rPr>
        <w:t> </w:t>
      </w:r>
      <w:r>
        <w:rPr/>
        <w:t>across</w:t>
      </w:r>
      <w:r>
        <w:rPr>
          <w:spacing w:val="3"/>
        </w:rPr>
        <w:t> </w:t>
      </w:r>
      <w:r>
        <w:rPr/>
        <w:t>the</w:t>
      </w:r>
      <w:r>
        <w:rPr>
          <w:spacing w:val="4"/>
        </w:rPr>
        <w:t> </w:t>
      </w:r>
      <w:r>
        <w:rPr/>
        <w:t>width</w:t>
      </w:r>
      <w:r>
        <w:rPr>
          <w:spacing w:val="3"/>
        </w:rPr>
        <w:t> </w:t>
      </w:r>
      <w:r>
        <w:rPr/>
        <w:t>of</w:t>
      </w:r>
      <w:r>
        <w:rPr>
          <w:spacing w:val="3"/>
        </w:rPr>
        <w:t> </w:t>
      </w:r>
      <w:r>
        <w:rPr/>
        <w:t>the</w:t>
      </w:r>
      <w:r>
        <w:rPr>
          <w:spacing w:val="4"/>
        </w:rPr>
        <w:t> </w:t>
      </w:r>
      <w:r>
        <w:rPr/>
        <w:t>pitch</w:t>
      </w:r>
      <w:r>
        <w:rPr>
          <w:spacing w:val="3"/>
        </w:rPr>
        <w:t> </w:t>
      </w:r>
      <w:r>
        <w:rPr/>
        <w:t>(i.e.</w:t>
      </w:r>
      <w:r>
        <w:rPr>
          <w:spacing w:val="32"/>
        </w:rPr>
        <w:t> </w:t>
      </w:r>
      <w:r>
        <w:rPr/>
        <w:t>those</w:t>
      </w:r>
      <w:r>
        <w:rPr>
          <w:spacing w:val="3"/>
        </w:rPr>
        <w:t> </w:t>
      </w:r>
      <w:r>
        <w:rPr/>
        <w:t>shown</w:t>
      </w:r>
      <w:r>
        <w:rPr>
          <w:spacing w:val="4"/>
        </w:rPr>
        <w:t> </w:t>
      </w:r>
      <w:r>
        <w:rPr/>
        <w:t>by</w:t>
      </w:r>
      <w:r>
        <w:rPr>
          <w:spacing w:val="3"/>
        </w:rPr>
        <w:t> </w:t>
      </w:r>
      <w:r>
        <w:rPr/>
        <w:t>St</w:t>
      </w:r>
      <w:r>
        <w:rPr>
          <w:spacing w:val="4"/>
        </w:rPr>
        <w:t> </w:t>
      </w:r>
      <w:r>
        <w:rPr/>
        <w:t>Helens</w:t>
      </w:r>
      <w:r>
        <w:rPr>
          <w:spacing w:val="3"/>
        </w:rPr>
        <w:t> </w:t>
      </w:r>
      <w:r>
        <w:rPr>
          <w:spacing w:val="-5"/>
        </w:rPr>
        <w:t>and</w:t>
      </w:r>
    </w:p>
    <w:p>
      <w:pPr>
        <w:spacing w:after="0" w:line="307" w:lineRule="auto"/>
        <w:jc w:val="both"/>
        <w:sectPr>
          <w:pgSz w:w="11910" w:h="16840"/>
          <w:pgMar w:header="1961" w:footer="1428" w:top="2280" w:bottom="1620" w:left="1680" w:right="720"/>
        </w:sectPr>
      </w:pPr>
    </w:p>
    <w:p>
      <w:pPr>
        <w:pStyle w:val="BodyText"/>
        <w:rPr>
          <w:sz w:val="20"/>
        </w:rPr>
      </w:pPr>
    </w:p>
    <w:p>
      <w:pPr>
        <w:pStyle w:val="BodyText"/>
        <w:spacing w:before="5"/>
        <w:rPr>
          <w:sz w:val="28"/>
        </w:rPr>
      </w:pPr>
    </w:p>
    <w:p>
      <w:pPr>
        <w:pStyle w:val="BodyText"/>
        <w:ind w:left="610"/>
        <w:rPr>
          <w:sz w:val="20"/>
        </w:rPr>
      </w:pPr>
      <w:r>
        <w:rPr>
          <w:sz w:val="20"/>
        </w:rPr>
        <w:drawing>
          <wp:inline distT="0" distB="0" distL="0" distR="0">
            <wp:extent cx="5360214" cy="2188464"/>
            <wp:effectExtent l="0" t="0" r="0" b="0"/>
            <wp:docPr id="83" name="image42.jpeg"/>
            <wp:cNvGraphicFramePr>
              <a:graphicFrameLocks noChangeAspect="1"/>
            </wp:cNvGraphicFramePr>
            <a:graphic>
              <a:graphicData uri="http://schemas.openxmlformats.org/drawingml/2006/picture">
                <pic:pic>
                  <pic:nvPicPr>
                    <pic:cNvPr id="84" name="image42.jpeg"/>
                    <pic:cNvPicPr/>
                  </pic:nvPicPr>
                  <pic:blipFill>
                    <a:blip r:embed="rId112" cstate="print"/>
                    <a:stretch>
                      <a:fillRect/>
                    </a:stretch>
                  </pic:blipFill>
                  <pic:spPr>
                    <a:xfrm>
                      <a:off x="0" y="0"/>
                      <a:ext cx="5360214" cy="2188464"/>
                    </a:xfrm>
                    <a:prstGeom prst="rect">
                      <a:avLst/>
                    </a:prstGeom>
                  </pic:spPr>
                </pic:pic>
              </a:graphicData>
            </a:graphic>
          </wp:inline>
        </w:drawing>
      </w:r>
      <w:r>
        <w:rPr>
          <w:sz w:val="20"/>
        </w:rPr>
      </w:r>
    </w:p>
    <w:p>
      <w:pPr>
        <w:pStyle w:val="BodyText"/>
        <w:spacing w:before="4"/>
        <w:rPr>
          <w:sz w:val="6"/>
        </w:rPr>
      </w:pPr>
    </w:p>
    <w:p>
      <w:pPr>
        <w:pStyle w:val="BodyText"/>
        <w:spacing w:line="249" w:lineRule="auto" w:before="102"/>
        <w:ind w:left="610" w:right="389"/>
        <w:jc w:val="both"/>
      </w:pPr>
      <w:bookmarkStart w:name="_bookmark158" w:id="273"/>
      <w:bookmarkEnd w:id="273"/>
      <w:r>
        <w:rPr/>
      </w:r>
      <w:r>
        <w:rPr>
          <w:b/>
        </w:rPr>
        <w:t>Figure</w:t>
      </w:r>
      <w:r>
        <w:rPr>
          <w:b/>
          <w:spacing w:val="-10"/>
        </w:rPr>
        <w:t> </w:t>
      </w:r>
      <w:r>
        <w:rPr>
          <w:b/>
        </w:rPr>
        <w:t>5.10: </w:t>
      </w:r>
      <w:r>
        <w:rPr/>
        <w:t>Quadrant</w:t>
      </w:r>
      <w:r>
        <w:rPr>
          <w:spacing w:val="-10"/>
        </w:rPr>
        <w:t> </w:t>
      </w:r>
      <w:r>
        <w:rPr/>
        <w:t>plot</w:t>
      </w:r>
      <w:r>
        <w:rPr>
          <w:spacing w:val="-10"/>
        </w:rPr>
        <w:t> </w:t>
      </w:r>
      <w:r>
        <w:rPr/>
        <w:t>for</w:t>
      </w:r>
      <w:r>
        <w:rPr>
          <w:spacing w:val="-10"/>
        </w:rPr>
        <w:t> </w:t>
      </w:r>
      <w:r>
        <w:rPr/>
        <w:t>Wasserstein</w:t>
      </w:r>
      <w:r>
        <w:rPr>
          <w:spacing w:val="-10"/>
        </w:rPr>
        <w:t> </w:t>
      </w:r>
      <w:r>
        <w:rPr/>
        <w:t>distance</w:t>
      </w:r>
      <w:r>
        <w:rPr>
          <w:spacing w:val="-10"/>
        </w:rPr>
        <w:t> </w:t>
      </w:r>
      <w:r>
        <w:rPr/>
        <w:t>using</w:t>
      </w:r>
      <w:r>
        <w:rPr>
          <w:spacing w:val="-10"/>
        </w:rPr>
        <w:t> </w:t>
      </w:r>
      <w:r>
        <w:rPr/>
        <w:t>factor</w:t>
      </w:r>
      <w:r>
        <w:rPr>
          <w:spacing w:val="-10"/>
        </w:rPr>
        <w:t> </w:t>
      </w:r>
      <w:r>
        <w:rPr/>
        <w:t>2</w:t>
      </w:r>
      <w:r>
        <w:rPr>
          <w:spacing w:val="-10"/>
        </w:rPr>
        <w:t> </w:t>
      </w:r>
      <w:r>
        <w:rPr/>
        <w:t>for</w:t>
      </w:r>
      <w:r>
        <w:rPr>
          <w:spacing w:val="-10"/>
        </w:rPr>
        <w:t> </w:t>
      </w:r>
      <w:r>
        <w:rPr>
          <w:rFonts w:ascii="Cambria"/>
        </w:rPr>
        <w:t>x</w:t>
      </w:r>
      <w:r>
        <w:rPr>
          <w:rFonts w:ascii="Cambria"/>
          <w:spacing w:val="-2"/>
        </w:rPr>
        <w:t> </w:t>
      </w:r>
      <w:r>
        <w:rPr/>
        <w:t>and</w:t>
      </w:r>
      <w:r>
        <w:rPr>
          <w:spacing w:val="-10"/>
        </w:rPr>
        <w:t> </w:t>
      </w:r>
      <w:r>
        <w:rPr>
          <w:rFonts w:ascii="Cambria"/>
        </w:rPr>
        <w:t>y </w:t>
      </w:r>
      <w:r>
        <w:rPr/>
        <w:t>directions. </w:t>
      </w:r>
      <w:r>
        <w:rPr>
          <w:rFonts w:ascii="Cambria"/>
        </w:rPr>
        <w:t>y</w:t>
      </w:r>
      <w:r>
        <w:rPr/>
        <w:t>-axis represents the normalised increase in Wasserstein distance in </w:t>
      </w:r>
      <w:r>
        <w:rPr>
          <w:rFonts w:ascii="Cambria"/>
        </w:rPr>
        <w:t>x </w:t>
      </w:r>
      <w:r>
        <w:rPr/>
        <w:t>(left) or </w:t>
      </w:r>
      <w:r>
        <w:rPr>
          <w:rFonts w:ascii="Cambria"/>
        </w:rPr>
        <w:t>y </w:t>
      </w:r>
      <w:r>
        <w:rPr/>
        <w:t>(right) dimensions.</w:t>
      </w:r>
      <w:r>
        <w:rPr>
          <w:spacing w:val="37"/>
        </w:rPr>
        <w:t> </w:t>
      </w:r>
      <w:r>
        <w:rPr>
          <w:rFonts w:ascii="Cambria"/>
        </w:rPr>
        <w:t>x</w:t>
      </w:r>
      <w:r>
        <w:rPr/>
        <w:t>-axis represents standard Wasserstein distance for </w:t>
      </w:r>
      <w:r>
        <w:rPr>
          <w:rFonts w:ascii="Cambria"/>
        </w:rPr>
        <w:t>p</w:t>
      </w:r>
      <w:r>
        <w:rPr/>
        <w:t>=3.</w:t>
      </w:r>
      <w:r>
        <w:rPr>
          <w:spacing w:val="37"/>
        </w:rPr>
        <w:t> </w:t>
      </w:r>
      <w:r>
        <w:rPr/>
        <w:t>All distances </w:t>
      </w:r>
      <w:r>
        <w:rPr/>
        <w:t>rep- resent differences between the team overall KDE and the whole league KDE. Blue lines represent median values.</w:t>
      </w:r>
    </w:p>
    <w:p>
      <w:pPr>
        <w:pStyle w:val="BodyText"/>
        <w:spacing w:before="3"/>
        <w:rPr>
          <w:sz w:val="20"/>
        </w:rPr>
      </w:pPr>
      <w:r>
        <w:rPr/>
        <w:drawing>
          <wp:anchor distT="0" distB="0" distL="0" distR="0" allowOverlap="1" layoutInCell="1" locked="0" behindDoc="0" simplePos="0" relativeHeight="145">
            <wp:simplePos x="0" y="0"/>
            <wp:positionH relativeFrom="page">
              <wp:posOffset>1454403</wp:posOffset>
            </wp:positionH>
            <wp:positionV relativeFrom="paragraph">
              <wp:posOffset>163518</wp:posOffset>
            </wp:positionV>
            <wp:extent cx="5360214" cy="2188464"/>
            <wp:effectExtent l="0" t="0" r="0" b="0"/>
            <wp:wrapTopAndBottom/>
            <wp:docPr id="85" name="image43.jpeg"/>
            <wp:cNvGraphicFramePr>
              <a:graphicFrameLocks noChangeAspect="1"/>
            </wp:cNvGraphicFramePr>
            <a:graphic>
              <a:graphicData uri="http://schemas.openxmlformats.org/drawingml/2006/picture">
                <pic:pic>
                  <pic:nvPicPr>
                    <pic:cNvPr id="86" name="image43.jpeg"/>
                    <pic:cNvPicPr/>
                  </pic:nvPicPr>
                  <pic:blipFill>
                    <a:blip r:embed="rId113" cstate="print"/>
                    <a:stretch>
                      <a:fillRect/>
                    </a:stretch>
                  </pic:blipFill>
                  <pic:spPr>
                    <a:xfrm>
                      <a:off x="0" y="0"/>
                      <a:ext cx="5360214" cy="2188464"/>
                    </a:xfrm>
                    <a:prstGeom prst="rect">
                      <a:avLst/>
                    </a:prstGeom>
                  </pic:spPr>
                </pic:pic>
              </a:graphicData>
            </a:graphic>
          </wp:anchor>
        </w:drawing>
      </w:r>
    </w:p>
    <w:p>
      <w:pPr>
        <w:pStyle w:val="BodyText"/>
        <w:spacing w:line="247" w:lineRule="auto" w:before="175"/>
        <w:ind w:left="610" w:right="389"/>
        <w:jc w:val="both"/>
      </w:pPr>
      <w:bookmarkStart w:name="_bookmark159" w:id="274"/>
      <w:bookmarkEnd w:id="274"/>
      <w:r>
        <w:rPr/>
      </w:r>
      <w:r>
        <w:rPr>
          <w:b/>
        </w:rPr>
        <w:t>Figure</w:t>
      </w:r>
      <w:r>
        <w:rPr>
          <w:b/>
          <w:spacing w:val="-2"/>
        </w:rPr>
        <w:t> </w:t>
      </w:r>
      <w:r>
        <w:rPr>
          <w:b/>
        </w:rPr>
        <w:t>5.11: </w:t>
      </w:r>
      <w:r>
        <w:rPr/>
        <w:t>Quadrant</w:t>
      </w:r>
      <w:r>
        <w:rPr>
          <w:spacing w:val="-2"/>
        </w:rPr>
        <w:t> </w:t>
      </w:r>
      <w:r>
        <w:rPr/>
        <w:t>plot</w:t>
      </w:r>
      <w:r>
        <w:rPr>
          <w:spacing w:val="-2"/>
        </w:rPr>
        <w:t> </w:t>
      </w:r>
      <w:r>
        <w:rPr/>
        <w:t>for</w:t>
      </w:r>
      <w:r>
        <w:rPr>
          <w:spacing w:val="-2"/>
        </w:rPr>
        <w:t> </w:t>
      </w:r>
      <w:r>
        <w:rPr/>
        <w:t>Wasserstein</w:t>
      </w:r>
      <w:r>
        <w:rPr>
          <w:spacing w:val="-2"/>
        </w:rPr>
        <w:t> </w:t>
      </w:r>
      <w:r>
        <w:rPr/>
        <w:t>distance</w:t>
      </w:r>
      <w:r>
        <w:rPr>
          <w:spacing w:val="-2"/>
        </w:rPr>
        <w:t> </w:t>
      </w:r>
      <w:r>
        <w:rPr/>
        <w:t>using</w:t>
      </w:r>
      <w:r>
        <w:rPr>
          <w:spacing w:val="-2"/>
        </w:rPr>
        <w:t> </w:t>
      </w:r>
      <w:r>
        <w:rPr>
          <w:rFonts w:ascii="Garamond"/>
        </w:rPr>
        <w:t>4</w:t>
      </w:r>
      <w:r>
        <w:rPr>
          <w:rFonts w:ascii="Cambria"/>
        </w:rPr>
        <w:t>.</w:t>
      </w:r>
      <w:r>
        <w:rPr>
          <w:rFonts w:ascii="Garamond"/>
        </w:rPr>
        <w:t>8</w:t>
      </w:r>
      <w:r>
        <w:rPr>
          <w:rFonts w:ascii="Cambria"/>
        </w:rPr>
        <w:t>x</w:t>
      </w:r>
      <w:r>
        <w:rPr/>
        <w:t>,</w:t>
      </w:r>
      <w:r>
        <w:rPr>
          <w:spacing w:val="-2"/>
        </w:rPr>
        <w:t> </w:t>
      </w:r>
      <w:r>
        <w:rPr>
          <w:rFonts w:ascii="Garamond"/>
        </w:rPr>
        <w:t>2</w:t>
      </w:r>
      <w:r>
        <w:rPr>
          <w:rFonts w:ascii="Cambria"/>
        </w:rPr>
        <w:t>.</w:t>
      </w:r>
      <w:r>
        <w:rPr>
          <w:rFonts w:ascii="Garamond"/>
        </w:rPr>
        <w:t>8</w:t>
      </w:r>
      <w:r>
        <w:rPr>
          <w:rFonts w:ascii="Cambria"/>
        </w:rPr>
        <w:t>y </w:t>
      </w:r>
      <w:r>
        <w:rPr/>
        <w:t>factors. </w:t>
      </w:r>
      <w:r>
        <w:rPr>
          <w:rFonts w:ascii="Cambria"/>
        </w:rPr>
        <w:t>y</w:t>
      </w:r>
      <w:r>
        <w:rPr/>
        <w:t>-axis</w:t>
      </w:r>
      <w:r>
        <w:rPr>
          <w:spacing w:val="-2"/>
        </w:rPr>
        <w:t> </w:t>
      </w:r>
      <w:r>
        <w:rPr/>
        <w:t>rep- resents</w:t>
      </w:r>
      <w:r>
        <w:rPr>
          <w:spacing w:val="-11"/>
        </w:rPr>
        <w:t> </w:t>
      </w:r>
      <w:r>
        <w:rPr/>
        <w:t>the</w:t>
      </w:r>
      <w:r>
        <w:rPr>
          <w:spacing w:val="-11"/>
        </w:rPr>
        <w:t> </w:t>
      </w:r>
      <w:r>
        <w:rPr/>
        <w:t>normalised</w:t>
      </w:r>
      <w:r>
        <w:rPr>
          <w:spacing w:val="-11"/>
        </w:rPr>
        <w:t> </w:t>
      </w:r>
      <w:r>
        <w:rPr/>
        <w:t>increase</w:t>
      </w:r>
      <w:r>
        <w:rPr>
          <w:spacing w:val="-11"/>
        </w:rPr>
        <w:t> </w:t>
      </w:r>
      <w:r>
        <w:rPr/>
        <w:t>in</w:t>
      </w:r>
      <w:r>
        <w:rPr>
          <w:spacing w:val="-11"/>
        </w:rPr>
        <w:t> </w:t>
      </w:r>
      <w:r>
        <w:rPr/>
        <w:t>Wasserstein</w:t>
      </w:r>
      <w:r>
        <w:rPr>
          <w:spacing w:val="-11"/>
        </w:rPr>
        <w:t> </w:t>
      </w:r>
      <w:r>
        <w:rPr/>
        <w:t>distance</w:t>
      </w:r>
      <w:r>
        <w:rPr>
          <w:spacing w:val="-11"/>
        </w:rPr>
        <w:t> </w:t>
      </w:r>
      <w:r>
        <w:rPr/>
        <w:t>in</w:t>
      </w:r>
      <w:r>
        <w:rPr>
          <w:spacing w:val="-11"/>
        </w:rPr>
        <w:t> </w:t>
      </w:r>
      <w:r>
        <w:rPr>
          <w:rFonts w:ascii="Cambria"/>
        </w:rPr>
        <w:t>x</w:t>
      </w:r>
      <w:r>
        <w:rPr>
          <w:rFonts w:ascii="Cambria"/>
          <w:spacing w:val="-4"/>
        </w:rPr>
        <w:t> </w:t>
      </w:r>
      <w:r>
        <w:rPr/>
        <w:t>(left)</w:t>
      </w:r>
      <w:r>
        <w:rPr>
          <w:spacing w:val="-11"/>
        </w:rPr>
        <w:t> </w:t>
      </w:r>
      <w:r>
        <w:rPr/>
        <w:t>or</w:t>
      </w:r>
      <w:r>
        <w:rPr>
          <w:spacing w:val="-11"/>
        </w:rPr>
        <w:t> </w:t>
      </w:r>
      <w:r>
        <w:rPr>
          <w:rFonts w:ascii="Cambria"/>
        </w:rPr>
        <w:t>y </w:t>
      </w:r>
      <w:r>
        <w:rPr/>
        <w:t>(right)</w:t>
      </w:r>
      <w:r>
        <w:rPr>
          <w:spacing w:val="-11"/>
        </w:rPr>
        <w:t> </w:t>
      </w:r>
      <w:r>
        <w:rPr/>
        <w:t>dimensions. </w:t>
      </w:r>
      <w:r>
        <w:rPr>
          <w:rFonts w:ascii="Cambria"/>
        </w:rPr>
        <w:t>x</w:t>
      </w:r>
      <w:r>
        <w:rPr/>
        <w:t>-axis represents standard Wasserstein distance for </w:t>
      </w:r>
      <w:r>
        <w:rPr>
          <w:rFonts w:ascii="Cambria"/>
        </w:rPr>
        <w:t>p</w:t>
      </w:r>
      <w:r>
        <w:rPr/>
        <w:t>=3.</w:t>
      </w:r>
      <w:r>
        <w:rPr>
          <w:spacing w:val="40"/>
        </w:rPr>
        <w:t> </w:t>
      </w:r>
      <w:r>
        <w:rPr/>
        <w:t>All distances represent differ- ences between the team overall KDE and the whole league KDE. Blue lines represent median values.</w:t>
      </w:r>
    </w:p>
    <w:p>
      <w:pPr>
        <w:pStyle w:val="BodyText"/>
        <w:spacing w:before="11"/>
        <w:rPr>
          <w:sz w:val="37"/>
        </w:rPr>
      </w:pPr>
    </w:p>
    <w:p>
      <w:pPr>
        <w:pStyle w:val="BodyText"/>
        <w:spacing w:line="312" w:lineRule="auto"/>
        <w:ind w:left="610" w:right="389"/>
        <w:jc w:val="both"/>
      </w:pPr>
      <w:r>
        <w:rPr/>
        <w:t>Leeds) encompassed a greater proportion of the pitch than those along the length of </w:t>
      </w:r>
      <w:r>
        <w:rPr/>
        <w:t>the pitch.</w:t>
      </w:r>
      <w:r>
        <w:rPr>
          <w:spacing w:val="40"/>
        </w:rPr>
        <w:t> </w:t>
      </w:r>
      <w:r>
        <w:rPr/>
        <w:t>To this end, only Castleford’s differences on the left side of the pitch spanned its complete</w:t>
      </w:r>
      <w:r>
        <w:rPr>
          <w:spacing w:val="3"/>
        </w:rPr>
        <w:t> </w:t>
      </w:r>
      <w:r>
        <w:rPr/>
        <w:t>length.</w:t>
      </w:r>
      <w:r>
        <w:rPr>
          <w:spacing w:val="34"/>
        </w:rPr>
        <w:t> </w:t>
      </w:r>
      <w:r>
        <w:rPr/>
        <w:t>Other</w:t>
      </w:r>
      <w:r>
        <w:rPr>
          <w:spacing w:val="3"/>
        </w:rPr>
        <w:t> </w:t>
      </w:r>
      <w:r>
        <w:rPr/>
        <w:t>teams,</w:t>
      </w:r>
      <w:r>
        <w:rPr>
          <w:spacing w:val="5"/>
        </w:rPr>
        <w:t> </w:t>
      </w:r>
      <w:r>
        <w:rPr/>
        <w:t>including</w:t>
      </w:r>
      <w:r>
        <w:rPr>
          <w:spacing w:val="3"/>
        </w:rPr>
        <w:t> </w:t>
      </w:r>
      <w:r>
        <w:rPr/>
        <w:t>Huddersfield</w:t>
      </w:r>
      <w:r>
        <w:rPr>
          <w:spacing w:val="3"/>
        </w:rPr>
        <w:t> </w:t>
      </w:r>
      <w:r>
        <w:rPr/>
        <w:t>who</w:t>
      </w:r>
      <w:r>
        <w:rPr>
          <w:spacing w:val="3"/>
        </w:rPr>
        <w:t> </w:t>
      </w:r>
      <w:r>
        <w:rPr/>
        <w:t>had</w:t>
      </w:r>
      <w:r>
        <w:rPr>
          <w:spacing w:val="3"/>
        </w:rPr>
        <w:t> </w:t>
      </w:r>
      <w:r>
        <w:rPr/>
        <w:t>the</w:t>
      </w:r>
      <w:r>
        <w:rPr>
          <w:spacing w:val="3"/>
        </w:rPr>
        <w:t> </w:t>
      </w:r>
      <w:r>
        <w:rPr/>
        <w:t>most</w:t>
      </w:r>
      <w:r>
        <w:rPr>
          <w:spacing w:val="3"/>
        </w:rPr>
        <w:t> </w:t>
      </w:r>
      <w:r>
        <w:rPr/>
        <w:t>intense</w:t>
      </w:r>
      <w:r>
        <w:rPr>
          <w:spacing w:val="3"/>
        </w:rPr>
        <w:t> </w:t>
      </w:r>
      <w:r>
        <w:rPr/>
        <w:t>area</w:t>
      </w:r>
      <w:r>
        <w:rPr>
          <w:spacing w:val="3"/>
        </w:rPr>
        <w:t> </w:t>
      </w:r>
      <w:r>
        <w:rPr>
          <w:spacing w:val="-5"/>
        </w:rPr>
        <w:t>of</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5"/>
        <w:rPr>
          <w:sz w:val="28"/>
        </w:rPr>
      </w:pPr>
    </w:p>
    <w:p>
      <w:pPr>
        <w:pStyle w:val="BodyText"/>
        <w:ind w:left="610"/>
        <w:rPr>
          <w:sz w:val="20"/>
        </w:rPr>
      </w:pPr>
      <w:r>
        <w:rPr>
          <w:sz w:val="20"/>
        </w:rPr>
        <w:drawing>
          <wp:inline distT="0" distB="0" distL="0" distR="0">
            <wp:extent cx="5360214" cy="2188464"/>
            <wp:effectExtent l="0" t="0" r="0" b="0"/>
            <wp:docPr id="87" name="image44.jpeg"/>
            <wp:cNvGraphicFramePr>
              <a:graphicFrameLocks noChangeAspect="1"/>
            </wp:cNvGraphicFramePr>
            <a:graphic>
              <a:graphicData uri="http://schemas.openxmlformats.org/drawingml/2006/picture">
                <pic:pic>
                  <pic:nvPicPr>
                    <pic:cNvPr id="88" name="image44.jpeg"/>
                    <pic:cNvPicPr/>
                  </pic:nvPicPr>
                  <pic:blipFill>
                    <a:blip r:embed="rId114" cstate="print"/>
                    <a:stretch>
                      <a:fillRect/>
                    </a:stretch>
                  </pic:blipFill>
                  <pic:spPr>
                    <a:xfrm>
                      <a:off x="0" y="0"/>
                      <a:ext cx="5360214" cy="2188464"/>
                    </a:xfrm>
                    <a:prstGeom prst="rect">
                      <a:avLst/>
                    </a:prstGeom>
                  </pic:spPr>
                </pic:pic>
              </a:graphicData>
            </a:graphic>
          </wp:inline>
        </w:drawing>
      </w:r>
      <w:r>
        <w:rPr>
          <w:sz w:val="20"/>
        </w:rPr>
      </w:r>
    </w:p>
    <w:p>
      <w:pPr>
        <w:pStyle w:val="BodyText"/>
        <w:spacing w:before="4"/>
        <w:rPr>
          <w:sz w:val="6"/>
        </w:rPr>
      </w:pPr>
    </w:p>
    <w:p>
      <w:pPr>
        <w:pStyle w:val="BodyText"/>
        <w:spacing w:line="247" w:lineRule="auto" w:before="102"/>
        <w:ind w:left="610" w:right="389"/>
        <w:jc w:val="both"/>
      </w:pPr>
      <w:bookmarkStart w:name="_bookmark160" w:id="275"/>
      <w:bookmarkEnd w:id="275"/>
      <w:r>
        <w:rPr/>
      </w:r>
      <w:r>
        <w:rPr>
          <w:b/>
        </w:rPr>
        <w:t>Figure</w:t>
      </w:r>
      <w:r>
        <w:rPr>
          <w:b/>
          <w:spacing w:val="-2"/>
        </w:rPr>
        <w:t> </w:t>
      </w:r>
      <w:r>
        <w:rPr>
          <w:b/>
        </w:rPr>
        <w:t>5.12: </w:t>
      </w:r>
      <w:r>
        <w:rPr/>
        <w:t>Quadrant</w:t>
      </w:r>
      <w:r>
        <w:rPr>
          <w:spacing w:val="-2"/>
        </w:rPr>
        <w:t> </w:t>
      </w:r>
      <w:r>
        <w:rPr/>
        <w:t>plot</w:t>
      </w:r>
      <w:r>
        <w:rPr>
          <w:spacing w:val="-2"/>
        </w:rPr>
        <w:t> </w:t>
      </w:r>
      <w:r>
        <w:rPr/>
        <w:t>for</w:t>
      </w:r>
      <w:r>
        <w:rPr>
          <w:spacing w:val="-2"/>
        </w:rPr>
        <w:t> </w:t>
      </w:r>
      <w:r>
        <w:rPr/>
        <w:t>Wasserstein</w:t>
      </w:r>
      <w:r>
        <w:rPr>
          <w:spacing w:val="-2"/>
        </w:rPr>
        <w:t> </w:t>
      </w:r>
      <w:r>
        <w:rPr/>
        <w:t>distance</w:t>
      </w:r>
      <w:r>
        <w:rPr>
          <w:spacing w:val="-2"/>
        </w:rPr>
        <w:t> </w:t>
      </w:r>
      <w:r>
        <w:rPr/>
        <w:t>using</w:t>
      </w:r>
      <w:r>
        <w:rPr>
          <w:spacing w:val="-2"/>
        </w:rPr>
        <w:t> </w:t>
      </w:r>
      <w:r>
        <w:rPr>
          <w:rFonts w:ascii="Garamond"/>
        </w:rPr>
        <w:t>6</w:t>
      </w:r>
      <w:r>
        <w:rPr>
          <w:rFonts w:ascii="Cambria"/>
        </w:rPr>
        <w:t>.</w:t>
      </w:r>
      <w:r>
        <w:rPr>
          <w:rFonts w:ascii="Garamond"/>
        </w:rPr>
        <w:t>0</w:t>
      </w:r>
      <w:r>
        <w:rPr>
          <w:rFonts w:ascii="Cambria"/>
        </w:rPr>
        <w:t>x</w:t>
      </w:r>
      <w:r>
        <w:rPr/>
        <w:t>,</w:t>
      </w:r>
      <w:r>
        <w:rPr>
          <w:spacing w:val="-2"/>
        </w:rPr>
        <w:t> </w:t>
      </w:r>
      <w:r>
        <w:rPr>
          <w:rFonts w:ascii="Garamond"/>
        </w:rPr>
        <w:t>3</w:t>
      </w:r>
      <w:r>
        <w:rPr>
          <w:rFonts w:ascii="Cambria"/>
        </w:rPr>
        <w:t>.</w:t>
      </w:r>
      <w:r>
        <w:rPr>
          <w:rFonts w:ascii="Garamond"/>
        </w:rPr>
        <w:t>5</w:t>
      </w:r>
      <w:r>
        <w:rPr>
          <w:rFonts w:ascii="Cambria"/>
        </w:rPr>
        <w:t>y </w:t>
      </w:r>
      <w:r>
        <w:rPr/>
        <w:t>factors. </w:t>
      </w:r>
      <w:r>
        <w:rPr>
          <w:rFonts w:ascii="Cambria"/>
        </w:rPr>
        <w:t>y</w:t>
      </w:r>
      <w:r>
        <w:rPr/>
        <w:t>-axis</w:t>
      </w:r>
      <w:r>
        <w:rPr>
          <w:spacing w:val="-2"/>
        </w:rPr>
        <w:t> </w:t>
      </w:r>
      <w:r>
        <w:rPr/>
        <w:t>rep- resents</w:t>
      </w:r>
      <w:r>
        <w:rPr>
          <w:spacing w:val="-11"/>
        </w:rPr>
        <w:t> </w:t>
      </w:r>
      <w:r>
        <w:rPr/>
        <w:t>the</w:t>
      </w:r>
      <w:r>
        <w:rPr>
          <w:spacing w:val="-11"/>
        </w:rPr>
        <w:t> </w:t>
      </w:r>
      <w:r>
        <w:rPr/>
        <w:t>normalised</w:t>
      </w:r>
      <w:r>
        <w:rPr>
          <w:spacing w:val="-11"/>
        </w:rPr>
        <w:t> </w:t>
      </w:r>
      <w:r>
        <w:rPr/>
        <w:t>increase</w:t>
      </w:r>
      <w:r>
        <w:rPr>
          <w:spacing w:val="-11"/>
        </w:rPr>
        <w:t> </w:t>
      </w:r>
      <w:r>
        <w:rPr/>
        <w:t>in</w:t>
      </w:r>
      <w:r>
        <w:rPr>
          <w:spacing w:val="-11"/>
        </w:rPr>
        <w:t> </w:t>
      </w:r>
      <w:r>
        <w:rPr/>
        <w:t>Wasserstein</w:t>
      </w:r>
      <w:r>
        <w:rPr>
          <w:spacing w:val="-11"/>
        </w:rPr>
        <w:t> </w:t>
      </w:r>
      <w:r>
        <w:rPr/>
        <w:t>distance</w:t>
      </w:r>
      <w:r>
        <w:rPr>
          <w:spacing w:val="-11"/>
        </w:rPr>
        <w:t> </w:t>
      </w:r>
      <w:r>
        <w:rPr/>
        <w:t>in</w:t>
      </w:r>
      <w:r>
        <w:rPr>
          <w:spacing w:val="-11"/>
        </w:rPr>
        <w:t> </w:t>
      </w:r>
      <w:r>
        <w:rPr>
          <w:rFonts w:ascii="Cambria"/>
        </w:rPr>
        <w:t>x</w:t>
      </w:r>
      <w:r>
        <w:rPr>
          <w:rFonts w:ascii="Cambria"/>
          <w:spacing w:val="-4"/>
        </w:rPr>
        <w:t> </w:t>
      </w:r>
      <w:r>
        <w:rPr/>
        <w:t>(left)</w:t>
      </w:r>
      <w:r>
        <w:rPr>
          <w:spacing w:val="-11"/>
        </w:rPr>
        <w:t> </w:t>
      </w:r>
      <w:r>
        <w:rPr/>
        <w:t>or</w:t>
      </w:r>
      <w:r>
        <w:rPr>
          <w:spacing w:val="-11"/>
        </w:rPr>
        <w:t> </w:t>
      </w:r>
      <w:r>
        <w:rPr>
          <w:rFonts w:ascii="Cambria"/>
        </w:rPr>
        <w:t>y </w:t>
      </w:r>
      <w:r>
        <w:rPr/>
        <w:t>(right)</w:t>
      </w:r>
      <w:r>
        <w:rPr>
          <w:spacing w:val="-11"/>
        </w:rPr>
        <w:t> </w:t>
      </w:r>
      <w:r>
        <w:rPr/>
        <w:t>dimensions. </w:t>
      </w:r>
      <w:r>
        <w:rPr>
          <w:rFonts w:ascii="Cambria"/>
        </w:rPr>
        <w:t>x</w:t>
      </w:r>
      <w:r>
        <w:rPr/>
        <w:t>-axis represents standard Wasserstein distance for </w:t>
      </w:r>
      <w:r>
        <w:rPr>
          <w:rFonts w:ascii="Cambria"/>
        </w:rPr>
        <w:t>p</w:t>
      </w:r>
      <w:r>
        <w:rPr/>
        <w:t>=3.</w:t>
      </w:r>
      <w:r>
        <w:rPr>
          <w:spacing w:val="40"/>
        </w:rPr>
        <w:t> </w:t>
      </w:r>
      <w:r>
        <w:rPr/>
        <w:t>All distances represent differ- ences between the team overall KDE and the whole league KDE. Blue lines represent median values.</w:t>
      </w:r>
    </w:p>
    <w:p>
      <w:pPr>
        <w:pStyle w:val="BodyText"/>
        <w:spacing w:before="10"/>
        <w:rPr>
          <w:sz w:val="37"/>
        </w:rPr>
      </w:pPr>
    </w:p>
    <w:p>
      <w:pPr>
        <w:pStyle w:val="BodyText"/>
        <w:spacing w:line="309" w:lineRule="auto"/>
        <w:ind w:left="610" w:right="389"/>
      </w:pPr>
      <w:r>
        <w:rPr/>
        <w:t>density</w:t>
      </w:r>
      <w:r>
        <w:rPr>
          <w:spacing w:val="-4"/>
        </w:rPr>
        <w:t> </w:t>
      </w:r>
      <w:r>
        <w:rPr/>
        <w:t>greater</w:t>
      </w:r>
      <w:r>
        <w:rPr>
          <w:spacing w:val="-4"/>
        </w:rPr>
        <w:t> </w:t>
      </w:r>
      <w:r>
        <w:rPr/>
        <w:t>than</w:t>
      </w:r>
      <w:r>
        <w:rPr>
          <w:spacing w:val="-4"/>
        </w:rPr>
        <w:t> </w:t>
      </w:r>
      <w:r>
        <w:rPr/>
        <w:t>the</w:t>
      </w:r>
      <w:r>
        <w:rPr>
          <w:spacing w:val="-4"/>
        </w:rPr>
        <w:t> </w:t>
      </w:r>
      <w:r>
        <w:rPr/>
        <w:t>whole</w:t>
      </w:r>
      <w:r>
        <w:rPr>
          <w:spacing w:val="-4"/>
        </w:rPr>
        <w:t> </w:t>
      </w:r>
      <w:r>
        <w:rPr/>
        <w:t>league</w:t>
      </w:r>
      <w:r>
        <w:rPr>
          <w:spacing w:val="-4"/>
        </w:rPr>
        <w:t> </w:t>
      </w:r>
      <w:r>
        <w:rPr/>
        <w:t>KDE</w:t>
      </w:r>
      <w:r>
        <w:rPr>
          <w:spacing w:val="-4"/>
        </w:rPr>
        <w:t> </w:t>
      </w:r>
      <w:r>
        <w:rPr/>
        <w:t>for</w:t>
      </w:r>
      <w:r>
        <w:rPr>
          <w:spacing w:val="-4"/>
        </w:rPr>
        <w:t> </w:t>
      </w:r>
      <w:r>
        <w:rPr/>
        <w:t>60m</w:t>
      </w:r>
      <w:r>
        <w:rPr>
          <w:spacing w:val="-4"/>
        </w:rPr>
        <w:t> </w:t>
      </w:r>
      <w:r>
        <w:rPr/>
        <w:t>in</w:t>
      </w:r>
      <w:r>
        <w:rPr>
          <w:spacing w:val="-4"/>
        </w:rPr>
        <w:t> </w:t>
      </w:r>
      <w:r>
        <w:rPr/>
        <w:t>the</w:t>
      </w:r>
      <w:r>
        <w:rPr>
          <w:spacing w:val="-4"/>
        </w:rPr>
        <w:t> </w:t>
      </w:r>
      <w:r>
        <w:rPr/>
        <w:t>centre</w:t>
      </w:r>
      <w:r>
        <w:rPr>
          <w:spacing w:val="-4"/>
        </w:rPr>
        <w:t> </w:t>
      </w:r>
      <w:r>
        <w:rPr/>
        <w:t>of</w:t>
      </w:r>
      <w:r>
        <w:rPr>
          <w:spacing w:val="-4"/>
        </w:rPr>
        <w:t> </w:t>
      </w:r>
      <w:r>
        <w:rPr/>
        <w:t>the</w:t>
      </w:r>
      <w:r>
        <w:rPr>
          <w:spacing w:val="-4"/>
        </w:rPr>
        <w:t> </w:t>
      </w:r>
      <w:r>
        <w:rPr/>
        <w:t>pitch,</w:t>
      </w:r>
      <w:r>
        <w:rPr>
          <w:spacing w:val="-4"/>
        </w:rPr>
        <w:t> </w:t>
      </w:r>
      <w:r>
        <w:rPr/>
        <w:t>still</w:t>
      </w:r>
      <w:r>
        <w:rPr>
          <w:spacing w:val="-4"/>
        </w:rPr>
        <w:t> </w:t>
      </w:r>
      <w:r>
        <w:rPr/>
        <w:t>had</w:t>
      </w:r>
      <w:r>
        <w:rPr>
          <w:spacing w:val="-4"/>
        </w:rPr>
        <w:t> </w:t>
      </w:r>
      <w:r>
        <w:rPr/>
        <w:t>an area of lower density in the centre of the pitch in the opposition 20m (Figure</w:t>
      </w:r>
      <w:hyperlink w:history="true" w:anchor="_bookmark151">
        <w:r>
          <w:rPr>
            <w:color w:val="0000FF"/>
          </w:rPr>
          <w:t>5.6</w:t>
        </w:r>
      </w:hyperlink>
      <w:r>
        <w:rPr/>
        <w:t>).</w:t>
      </w:r>
      <w:r>
        <w:rPr>
          <w:spacing w:val="40"/>
        </w:rPr>
        <w:t> </w:t>
      </w:r>
      <w:r>
        <w:rPr/>
        <w:t>This area</w:t>
      </w:r>
      <w:r>
        <w:rPr>
          <w:spacing w:val="-15"/>
        </w:rPr>
        <w:t> </w:t>
      </w:r>
      <w:r>
        <w:rPr/>
        <w:t>of</w:t>
      </w:r>
      <w:r>
        <w:rPr>
          <w:spacing w:val="-15"/>
        </w:rPr>
        <w:t> </w:t>
      </w:r>
      <w:r>
        <w:rPr/>
        <w:t>lower</w:t>
      </w:r>
      <w:r>
        <w:rPr>
          <w:spacing w:val="-15"/>
        </w:rPr>
        <w:t> </w:t>
      </w:r>
      <w:r>
        <w:rPr/>
        <w:t>density</w:t>
      </w:r>
      <w:r>
        <w:rPr>
          <w:spacing w:val="-15"/>
        </w:rPr>
        <w:t> </w:t>
      </w:r>
      <w:r>
        <w:rPr/>
        <w:t>in</w:t>
      </w:r>
      <w:r>
        <w:rPr>
          <w:spacing w:val="-15"/>
        </w:rPr>
        <w:t> </w:t>
      </w:r>
      <w:r>
        <w:rPr/>
        <w:t>the</w:t>
      </w:r>
      <w:r>
        <w:rPr>
          <w:spacing w:val="-15"/>
        </w:rPr>
        <w:t> </w:t>
      </w:r>
      <w:r>
        <w:rPr/>
        <w:t>opposition</w:t>
      </w:r>
      <w:r>
        <w:rPr>
          <w:spacing w:val="-15"/>
        </w:rPr>
        <w:t> </w:t>
      </w:r>
      <w:r>
        <w:rPr/>
        <w:t>20m</w:t>
      </w:r>
      <w:r>
        <w:rPr>
          <w:spacing w:val="-15"/>
        </w:rPr>
        <w:t> </w:t>
      </w:r>
      <w:r>
        <w:rPr/>
        <w:t>reduced</w:t>
      </w:r>
      <w:r>
        <w:rPr>
          <w:spacing w:val="-15"/>
        </w:rPr>
        <w:t> </w:t>
      </w:r>
      <w:r>
        <w:rPr/>
        <w:t>the</w:t>
      </w:r>
      <w:r>
        <w:rPr>
          <w:spacing w:val="-15"/>
        </w:rPr>
        <w:t> </w:t>
      </w:r>
      <w:r>
        <w:rPr/>
        <w:t>proportion</w:t>
      </w:r>
      <w:r>
        <w:rPr>
          <w:spacing w:val="-15"/>
        </w:rPr>
        <w:t> </w:t>
      </w:r>
      <w:r>
        <w:rPr/>
        <w:t>of</w:t>
      </w:r>
      <w:r>
        <w:rPr>
          <w:spacing w:val="-15"/>
        </w:rPr>
        <w:t> </w:t>
      </w:r>
      <w:r>
        <w:rPr/>
        <w:t>the</w:t>
      </w:r>
      <w:r>
        <w:rPr>
          <w:spacing w:val="-15"/>
        </w:rPr>
        <w:t> </w:t>
      </w:r>
      <w:r>
        <w:rPr/>
        <w:t>pitch</w:t>
      </w:r>
      <w:r>
        <w:rPr>
          <w:spacing w:val="-15"/>
        </w:rPr>
        <w:t> </w:t>
      </w:r>
      <w:r>
        <w:rPr/>
        <w:t>covered</w:t>
      </w:r>
      <w:r>
        <w:rPr>
          <w:spacing w:val="-15"/>
        </w:rPr>
        <w:t> </w:t>
      </w:r>
      <w:r>
        <w:rPr/>
        <w:t>by Huddersfield’s</w:t>
      </w:r>
      <w:r>
        <w:rPr>
          <w:spacing w:val="-5"/>
        </w:rPr>
        <w:t> </w:t>
      </w:r>
      <w:r>
        <w:rPr/>
        <w:t>central</w:t>
      </w:r>
      <w:r>
        <w:rPr>
          <w:spacing w:val="-5"/>
        </w:rPr>
        <w:t> </w:t>
      </w:r>
      <w:r>
        <w:rPr/>
        <w:t>bias,</w:t>
      </w:r>
      <w:r>
        <w:rPr>
          <w:spacing w:val="-3"/>
        </w:rPr>
        <w:t> </w:t>
      </w:r>
      <w:r>
        <w:rPr/>
        <w:t>thus</w:t>
      </w:r>
      <w:r>
        <w:rPr>
          <w:spacing w:val="-5"/>
        </w:rPr>
        <w:t> </w:t>
      </w:r>
      <w:r>
        <w:rPr/>
        <w:t>limiting</w:t>
      </w:r>
      <w:r>
        <w:rPr>
          <w:spacing w:val="-5"/>
        </w:rPr>
        <w:t> </w:t>
      </w:r>
      <w:r>
        <w:rPr/>
        <w:t>the</w:t>
      </w:r>
      <w:r>
        <w:rPr>
          <w:spacing w:val="-5"/>
        </w:rPr>
        <w:t> </w:t>
      </w:r>
      <w:r>
        <w:rPr/>
        <w:t>normalised</w:t>
      </w:r>
      <w:r>
        <w:rPr>
          <w:spacing w:val="-5"/>
        </w:rPr>
        <w:t> </w:t>
      </w:r>
      <w:r>
        <w:rPr/>
        <w:t>axis</w:t>
      </w:r>
      <w:r>
        <w:rPr>
          <w:spacing w:val="-5"/>
        </w:rPr>
        <w:t> </w:t>
      </w:r>
      <w:r>
        <w:rPr/>
        <w:t>Wasserstein</w:t>
      </w:r>
      <w:r>
        <w:rPr>
          <w:spacing w:val="-5"/>
        </w:rPr>
        <w:t> </w:t>
      </w:r>
      <w:r>
        <w:rPr/>
        <w:t>distance</w:t>
      </w:r>
      <w:r>
        <w:rPr>
          <w:spacing w:val="-5"/>
        </w:rPr>
        <w:t> </w:t>
      </w:r>
      <w:r>
        <w:rPr/>
        <w:t>along the </w:t>
      </w:r>
      <w:r>
        <w:rPr>
          <w:rFonts w:ascii="Cambria" w:hAnsi="Cambria"/>
        </w:rPr>
        <w:t>x</w:t>
      </w:r>
      <w:r>
        <w:rPr/>
        <w:t>-axis.</w:t>
      </w:r>
      <w:r>
        <w:rPr>
          <w:spacing w:val="40"/>
        </w:rPr>
        <w:t> </w:t>
      </w:r>
      <w:r>
        <w:rPr/>
        <w:t>Indeed, because Huddersfield’s area of lower density in the opposition 20m encompasses</w:t>
      </w:r>
      <w:r>
        <w:rPr>
          <w:spacing w:val="-15"/>
        </w:rPr>
        <w:t> </w:t>
      </w:r>
      <w:r>
        <w:rPr/>
        <w:t>the</w:t>
      </w:r>
      <w:r>
        <w:rPr>
          <w:spacing w:val="-15"/>
        </w:rPr>
        <w:t> </w:t>
      </w:r>
      <w:r>
        <w:rPr/>
        <w:t>whole</w:t>
      </w:r>
      <w:r>
        <w:rPr>
          <w:spacing w:val="-15"/>
        </w:rPr>
        <w:t> </w:t>
      </w:r>
      <w:r>
        <w:rPr/>
        <w:t>width</w:t>
      </w:r>
      <w:r>
        <w:rPr>
          <w:spacing w:val="-15"/>
        </w:rPr>
        <w:t> </w:t>
      </w:r>
      <w:r>
        <w:rPr/>
        <w:t>of</w:t>
      </w:r>
      <w:r>
        <w:rPr>
          <w:spacing w:val="-15"/>
        </w:rPr>
        <w:t> </w:t>
      </w:r>
      <w:r>
        <w:rPr/>
        <w:t>the</w:t>
      </w:r>
      <w:r>
        <w:rPr>
          <w:spacing w:val="-15"/>
        </w:rPr>
        <w:t> </w:t>
      </w:r>
      <w:r>
        <w:rPr/>
        <w:t>pitch,</w:t>
      </w:r>
      <w:r>
        <w:rPr>
          <w:spacing w:val="-15"/>
        </w:rPr>
        <w:t> </w:t>
      </w:r>
      <w:r>
        <w:rPr/>
        <w:t>the</w:t>
      </w:r>
      <w:r>
        <w:rPr>
          <w:spacing w:val="-15"/>
        </w:rPr>
        <w:t> </w:t>
      </w:r>
      <w:r>
        <w:rPr/>
        <w:t>normalised</w:t>
      </w:r>
      <w:r>
        <w:rPr>
          <w:spacing w:val="-15"/>
        </w:rPr>
        <w:t> </w:t>
      </w:r>
      <w:r>
        <w:rPr/>
        <w:t>axis</w:t>
      </w:r>
      <w:r>
        <w:rPr>
          <w:spacing w:val="-15"/>
        </w:rPr>
        <w:t> </w:t>
      </w:r>
      <w:r>
        <w:rPr/>
        <w:t>Wasserstein</w:t>
      </w:r>
      <w:r>
        <w:rPr>
          <w:spacing w:val="-15"/>
        </w:rPr>
        <w:t> </w:t>
      </w:r>
      <w:r>
        <w:rPr/>
        <w:t>distance</w:t>
      </w:r>
      <w:r>
        <w:rPr>
          <w:spacing w:val="-15"/>
        </w:rPr>
        <w:t> </w:t>
      </w:r>
      <w:r>
        <w:rPr/>
        <w:t>along the </w:t>
      </w:r>
      <w:r>
        <w:rPr>
          <w:rFonts w:ascii="Cambria" w:hAnsi="Cambria"/>
        </w:rPr>
        <w:t>y</w:t>
      </w:r>
      <w:r>
        <w:rPr/>
        <w:t>-axis was actually greater than that along the </w:t>
      </w:r>
      <w:r>
        <w:rPr>
          <w:rFonts w:ascii="Cambria" w:hAnsi="Cambria"/>
        </w:rPr>
        <w:t>x</w:t>
      </w:r>
      <w:r>
        <w:rPr/>
        <w:t>-axis.</w:t>
      </w:r>
    </w:p>
    <w:p>
      <w:pPr>
        <w:pStyle w:val="BodyText"/>
        <w:spacing w:line="307" w:lineRule="auto"/>
        <w:ind w:left="610" w:right="389" w:firstLine="351"/>
      </w:pPr>
      <w:r>
        <w:rPr/>
        <w:t>By comparing the normalised axis Wasserstein distances to the standardised </w:t>
      </w:r>
      <w:r>
        <w:rPr>
          <w:rFonts w:ascii="Cambria" w:hAnsi="Cambria"/>
        </w:rPr>
        <w:t>p</w:t>
      </w:r>
      <w:r>
        <w:rPr>
          <w:rFonts w:ascii="Cambria" w:hAnsi="Cambria"/>
          <w:spacing w:val="40"/>
        </w:rPr>
        <w:t> </w:t>
      </w:r>
      <w:r>
        <w:rPr>
          <w:rFonts w:ascii="Garamond" w:hAnsi="Garamond"/>
        </w:rPr>
        <w:t>=</w:t>
      </w:r>
      <w:r>
        <w:rPr>
          <w:rFonts w:ascii="Garamond" w:hAnsi="Garamond"/>
          <w:spacing w:val="37"/>
        </w:rPr>
        <w:t> </w:t>
      </w:r>
      <w:r>
        <w:rPr>
          <w:rFonts w:ascii="Garamond" w:hAnsi="Garamond"/>
        </w:rPr>
        <w:t>3 </w:t>
      </w:r>
      <w:r>
        <w:rPr/>
        <w:t>Wasserstein distance, it is possible to gain clear axis-level insights at the between team level.</w:t>
      </w:r>
      <w:r>
        <w:rPr>
          <w:spacing w:val="80"/>
        </w:rPr>
        <w:t> </w:t>
      </w:r>
      <w:r>
        <w:rPr/>
        <w:t>These insights</w:t>
      </w:r>
      <w:r>
        <w:rPr>
          <w:spacing w:val="23"/>
        </w:rPr>
        <w:t> </w:t>
      </w:r>
      <w:r>
        <w:rPr/>
        <w:t>provide a</w:t>
      </w:r>
      <w:r>
        <w:rPr>
          <w:spacing w:val="23"/>
        </w:rPr>
        <w:t> </w:t>
      </w:r>
      <w:r>
        <w:rPr/>
        <w:t>high</w:t>
      </w:r>
      <w:r>
        <w:rPr>
          <w:spacing w:val="23"/>
        </w:rPr>
        <w:t> </w:t>
      </w:r>
      <w:r>
        <w:rPr/>
        <w:t>level understanding</w:t>
      </w:r>
      <w:r>
        <w:rPr>
          <w:spacing w:val="23"/>
        </w:rPr>
        <w:t> </w:t>
      </w:r>
      <w:r>
        <w:rPr/>
        <w:t>of the</w:t>
      </w:r>
      <w:r>
        <w:rPr>
          <w:spacing w:val="23"/>
        </w:rPr>
        <w:t> </w:t>
      </w:r>
      <w:r>
        <w:rPr/>
        <w:t>differences between</w:t>
      </w:r>
      <w:r>
        <w:rPr>
          <w:spacing w:val="23"/>
        </w:rPr>
        <w:t> </w:t>
      </w:r>
      <w:r>
        <w:rPr/>
        <w:t>a team’s overall KDE and the whole league KDE. For example, the </w:t>
      </w:r>
      <w:r>
        <w:rPr>
          <w:rFonts w:ascii="Cambria" w:hAnsi="Cambria"/>
        </w:rPr>
        <w:t>x</w:t>
      </w:r>
      <w:r>
        <w:rPr>
          <w:rFonts w:ascii="Cambria" w:hAnsi="Cambria"/>
          <w:spacing w:val="20"/>
        </w:rPr>
        <w:t> </w:t>
      </w:r>
      <w:r>
        <w:rPr/>
        <w:t>plot of Figure</w:t>
      </w:r>
      <w:hyperlink w:history="true" w:anchor="_bookmark160">
        <w:r>
          <w:rPr>
            <w:color w:val="0000FF"/>
          </w:rPr>
          <w:t>5.12</w:t>
        </w:r>
      </w:hyperlink>
      <w:r>
        <w:rPr>
          <w:color w:val="0000FF"/>
          <w:spacing w:val="40"/>
        </w:rPr>
        <w:t> </w:t>
      </w:r>
      <w:r>
        <w:rPr/>
        <w:t>is able to highlight the importance of </w:t>
      </w:r>
      <w:r>
        <w:rPr>
          <w:rFonts w:ascii="Cambria" w:hAnsi="Cambria"/>
        </w:rPr>
        <w:t>x </w:t>
      </w:r>
      <w:r>
        <w:rPr/>
        <w:t>axis differences to Castleford and Huddersfield (which are clearly visible in Figure</w:t>
      </w:r>
      <w:hyperlink w:history="true" w:anchor="_bookmark151">
        <w:r>
          <w:rPr>
            <w:color w:val="0000FF"/>
          </w:rPr>
          <w:t>5.6</w:t>
        </w:r>
      </w:hyperlink>
      <w:r>
        <w:rPr/>
        <w:t>), as well as those of Wakefield, which are less</w:t>
      </w:r>
      <w:r>
        <w:rPr>
          <w:spacing w:val="40"/>
        </w:rPr>
        <w:t> </w:t>
      </w:r>
      <w:r>
        <w:rPr/>
        <w:t>visible</w:t>
      </w:r>
      <w:r>
        <w:rPr>
          <w:spacing w:val="-1"/>
        </w:rPr>
        <w:t> </w:t>
      </w:r>
      <w:r>
        <w:rPr/>
        <w:t>on</w:t>
      </w:r>
      <w:r>
        <w:rPr>
          <w:spacing w:val="-1"/>
        </w:rPr>
        <w:t> </w:t>
      </w:r>
      <w:r>
        <w:rPr/>
        <w:t>the</w:t>
      </w:r>
      <w:r>
        <w:rPr>
          <w:spacing w:val="-2"/>
        </w:rPr>
        <w:t> </w:t>
      </w:r>
      <w:r>
        <w:rPr/>
        <w:t>plot</w:t>
      </w:r>
      <w:r>
        <w:rPr>
          <w:spacing w:val="-1"/>
        </w:rPr>
        <w:t> </w:t>
      </w:r>
      <w:r>
        <w:rPr/>
        <w:t>but</w:t>
      </w:r>
      <w:r>
        <w:rPr>
          <w:spacing w:val="-1"/>
        </w:rPr>
        <w:t> </w:t>
      </w:r>
      <w:r>
        <w:rPr/>
        <w:t>are</w:t>
      </w:r>
      <w:r>
        <w:rPr>
          <w:spacing w:val="-1"/>
        </w:rPr>
        <w:t> </w:t>
      </w:r>
      <w:r>
        <w:rPr/>
        <w:t>important</w:t>
      </w:r>
      <w:r>
        <w:rPr>
          <w:spacing w:val="-1"/>
        </w:rPr>
        <w:t> </w:t>
      </w:r>
      <w:r>
        <w:rPr/>
        <w:t>relative</w:t>
      </w:r>
      <w:r>
        <w:rPr>
          <w:spacing w:val="-2"/>
        </w:rPr>
        <w:t> </w:t>
      </w:r>
      <w:r>
        <w:rPr/>
        <w:t>to</w:t>
      </w:r>
      <w:r>
        <w:rPr>
          <w:spacing w:val="-1"/>
        </w:rPr>
        <w:t> </w:t>
      </w:r>
      <w:r>
        <w:rPr/>
        <w:t>the</w:t>
      </w:r>
      <w:r>
        <w:rPr>
          <w:spacing w:val="-1"/>
        </w:rPr>
        <w:t> </w:t>
      </w:r>
      <w:r>
        <w:rPr/>
        <w:t>size</w:t>
      </w:r>
      <w:r>
        <w:rPr>
          <w:spacing w:val="-1"/>
        </w:rPr>
        <w:t> </w:t>
      </w:r>
      <w:r>
        <w:rPr/>
        <w:t>of</w:t>
      </w:r>
      <w:r>
        <w:rPr>
          <w:spacing w:val="-1"/>
        </w:rPr>
        <w:t> </w:t>
      </w:r>
      <w:r>
        <w:rPr/>
        <w:t>the</w:t>
      </w:r>
      <w:r>
        <w:rPr>
          <w:spacing w:val="-2"/>
        </w:rPr>
        <w:t> </w:t>
      </w:r>
      <w:r>
        <w:rPr/>
        <w:t>overall</w:t>
      </w:r>
      <w:r>
        <w:rPr>
          <w:spacing w:val="-1"/>
        </w:rPr>
        <w:t> </w:t>
      </w:r>
      <w:r>
        <w:rPr/>
        <w:t>difference</w:t>
      </w:r>
      <w:r>
        <w:rPr>
          <w:spacing w:val="-1"/>
        </w:rPr>
        <w:t> </w:t>
      </w:r>
      <w:r>
        <w:rPr/>
        <w:t>between Wakefield and the whole league KDE. Similarly, along the </w:t>
      </w:r>
      <w:r>
        <w:rPr>
          <w:rFonts w:ascii="Cambria" w:hAnsi="Cambria"/>
        </w:rPr>
        <w:t>y</w:t>
      </w:r>
      <w:r>
        <w:rPr>
          <w:rFonts w:ascii="Cambria" w:hAnsi="Cambria"/>
          <w:spacing w:val="29"/>
        </w:rPr>
        <w:t> </w:t>
      </w:r>
      <w:r>
        <w:rPr/>
        <w:t>axis, it is possible to see</w:t>
      </w:r>
      <w:r>
        <w:rPr>
          <w:spacing w:val="40"/>
        </w:rPr>
        <w:t> </w:t>
      </w:r>
      <w:r>
        <w:rPr/>
        <w:t>that Catalans and St Helens have large vertical differences relative to the size of their</w:t>
      </w:r>
      <w:r>
        <w:rPr>
          <w:spacing w:val="80"/>
          <w:w w:val="150"/>
        </w:rPr>
        <w:t> </w:t>
      </w:r>
      <w:r>
        <w:rPr/>
        <w:t>difference</w:t>
      </w:r>
      <w:r>
        <w:rPr>
          <w:spacing w:val="-11"/>
        </w:rPr>
        <w:t> </w:t>
      </w:r>
      <w:r>
        <w:rPr/>
        <w:t>with</w:t>
      </w:r>
      <w:r>
        <w:rPr>
          <w:spacing w:val="-10"/>
        </w:rPr>
        <w:t> </w:t>
      </w:r>
      <w:r>
        <w:rPr/>
        <w:t>the</w:t>
      </w:r>
      <w:r>
        <w:rPr>
          <w:spacing w:val="-10"/>
        </w:rPr>
        <w:t> </w:t>
      </w:r>
      <w:r>
        <w:rPr/>
        <w:t>whole</w:t>
      </w:r>
      <w:r>
        <w:rPr>
          <w:spacing w:val="-11"/>
        </w:rPr>
        <w:t> </w:t>
      </w:r>
      <w:r>
        <w:rPr/>
        <w:t>league</w:t>
      </w:r>
      <w:r>
        <w:rPr>
          <w:spacing w:val="-10"/>
        </w:rPr>
        <w:t> </w:t>
      </w:r>
      <w:r>
        <w:rPr/>
        <w:t>KDE,</w:t>
      </w:r>
      <w:r>
        <w:rPr>
          <w:spacing w:val="-11"/>
        </w:rPr>
        <w:t> </w:t>
      </w:r>
      <w:r>
        <w:rPr/>
        <w:t>whereas</w:t>
      </w:r>
      <w:r>
        <w:rPr>
          <w:spacing w:val="-10"/>
        </w:rPr>
        <w:t> </w:t>
      </w:r>
      <w:r>
        <w:rPr/>
        <w:t>Leeds</w:t>
      </w:r>
      <w:r>
        <w:rPr>
          <w:spacing w:val="-10"/>
        </w:rPr>
        <w:t> </w:t>
      </w:r>
      <w:r>
        <w:rPr/>
        <w:t>and</w:t>
      </w:r>
      <w:r>
        <w:rPr>
          <w:spacing w:val="-11"/>
        </w:rPr>
        <w:t> </w:t>
      </w:r>
      <w:r>
        <w:rPr/>
        <w:t>Salford</w:t>
      </w:r>
      <w:r>
        <w:rPr>
          <w:spacing w:val="-10"/>
        </w:rPr>
        <w:t> </w:t>
      </w:r>
      <w:r>
        <w:rPr/>
        <w:t>have</w:t>
      </w:r>
      <w:r>
        <w:rPr>
          <w:spacing w:val="-10"/>
        </w:rPr>
        <w:t> </w:t>
      </w:r>
      <w:r>
        <w:rPr/>
        <w:t>large</w:t>
      </w:r>
      <w:r>
        <w:rPr>
          <w:spacing w:val="-11"/>
        </w:rPr>
        <w:t> </w:t>
      </w:r>
      <w:r>
        <w:rPr>
          <w:spacing w:val="-2"/>
        </w:rPr>
        <w:t>differences</w:t>
      </w:r>
    </w:p>
    <w:p>
      <w:pPr>
        <w:spacing w:after="0" w:line="307"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09" w:lineRule="auto" w:before="93"/>
        <w:ind w:left="610" w:right="389"/>
        <w:jc w:val="both"/>
      </w:pPr>
      <w:r>
        <w:rPr/>
        <w:t>along</w:t>
      </w:r>
      <w:r>
        <w:rPr>
          <w:spacing w:val="-7"/>
        </w:rPr>
        <w:t> </w:t>
      </w:r>
      <w:r>
        <w:rPr/>
        <w:t>the</w:t>
      </w:r>
      <w:r>
        <w:rPr>
          <w:spacing w:val="-7"/>
        </w:rPr>
        <w:t> </w:t>
      </w:r>
      <w:r>
        <w:rPr>
          <w:rFonts w:ascii="Cambria" w:hAnsi="Cambria"/>
        </w:rPr>
        <w:t>y </w:t>
      </w:r>
      <w:r>
        <w:rPr/>
        <w:t>axis,</w:t>
      </w:r>
      <w:r>
        <w:rPr>
          <w:spacing w:val="-7"/>
        </w:rPr>
        <w:t> </w:t>
      </w:r>
      <w:r>
        <w:rPr/>
        <w:t>as</w:t>
      </w:r>
      <w:r>
        <w:rPr>
          <w:spacing w:val="-7"/>
        </w:rPr>
        <w:t> </w:t>
      </w:r>
      <w:r>
        <w:rPr/>
        <w:t>well</w:t>
      </w:r>
      <w:r>
        <w:rPr>
          <w:spacing w:val="-7"/>
        </w:rPr>
        <w:t> </w:t>
      </w:r>
      <w:r>
        <w:rPr/>
        <w:t>as</w:t>
      </w:r>
      <w:r>
        <w:rPr>
          <w:spacing w:val="-7"/>
        </w:rPr>
        <w:t> </w:t>
      </w:r>
      <w:r>
        <w:rPr/>
        <w:t>large</w:t>
      </w:r>
      <w:r>
        <w:rPr>
          <w:spacing w:val="-7"/>
        </w:rPr>
        <w:t> </w:t>
      </w:r>
      <w:r>
        <w:rPr/>
        <w:t>differences</w:t>
      </w:r>
      <w:r>
        <w:rPr>
          <w:spacing w:val="-7"/>
        </w:rPr>
        <w:t> </w:t>
      </w:r>
      <w:r>
        <w:rPr/>
        <w:t>overall. The</w:t>
      </w:r>
      <w:r>
        <w:rPr>
          <w:spacing w:val="-7"/>
        </w:rPr>
        <w:t> </w:t>
      </w:r>
      <w:r>
        <w:rPr/>
        <w:t>low</w:t>
      </w:r>
      <w:r>
        <w:rPr>
          <w:spacing w:val="-7"/>
        </w:rPr>
        <w:t> </w:t>
      </w:r>
      <w:r>
        <w:rPr/>
        <w:t>value</w:t>
      </w:r>
      <w:r>
        <w:rPr>
          <w:spacing w:val="-7"/>
        </w:rPr>
        <w:t> </w:t>
      </w:r>
      <w:r>
        <w:rPr/>
        <w:t>of</w:t>
      </w:r>
      <w:r>
        <w:rPr>
          <w:spacing w:val="-7"/>
        </w:rPr>
        <w:t> </w:t>
      </w:r>
      <w:r>
        <w:rPr/>
        <w:t>Castleford</w:t>
      </w:r>
      <w:r>
        <w:rPr>
          <w:spacing w:val="-7"/>
        </w:rPr>
        <w:t> </w:t>
      </w:r>
      <w:r>
        <w:rPr/>
        <w:t>in</w:t>
      </w:r>
      <w:r>
        <w:rPr>
          <w:spacing w:val="-7"/>
        </w:rPr>
        <w:t> </w:t>
      </w:r>
      <w:r>
        <w:rPr/>
        <w:t>the</w:t>
      </w:r>
      <w:r>
        <w:rPr>
          <w:spacing w:val="-7"/>
        </w:rPr>
        <w:t> </w:t>
      </w:r>
      <w:r>
        <w:rPr>
          <w:rFonts w:ascii="Cambria" w:hAnsi="Cambria"/>
        </w:rPr>
        <w:t>y </w:t>
      </w:r>
      <w:r>
        <w:rPr/>
        <w:t>axis plot isn’t mirrored by Huddersfield, which highlights the discussion in the </w:t>
      </w:r>
      <w:r>
        <w:rPr/>
        <w:t>previous paragraph surrounding the greater influence of differences covering the whole length or width of the pitch on the Wasserstein distance.</w:t>
      </w:r>
      <w:r>
        <w:rPr>
          <w:spacing w:val="40"/>
        </w:rPr>
        <w:t> </w:t>
      </w:r>
      <w:r>
        <w:rPr/>
        <w:t>Coaches and performance analysts can use these quadrant plots as an easy method of understanding how they compare to other teams in the league.</w:t>
      </w:r>
      <w:r>
        <w:rPr>
          <w:spacing w:val="34"/>
        </w:rPr>
        <w:t> </w:t>
      </w:r>
      <w:r>
        <w:rPr/>
        <w:t>For example, if Castleford were winning the league, coaches could look at the plots and see clearly that they have a greater difference along the </w:t>
      </w:r>
      <w:r>
        <w:rPr>
          <w:rFonts w:ascii="Cambria" w:hAnsi="Cambria"/>
        </w:rPr>
        <w:t>x</w:t>
      </w:r>
      <w:r>
        <w:rPr/>
        <w:t>-axis than any other team. Strategies could then be developed to try and imitate this.</w:t>
      </w:r>
    </w:p>
    <w:p>
      <w:pPr>
        <w:pStyle w:val="BodyText"/>
        <w:spacing w:before="4"/>
        <w:rPr>
          <w:sz w:val="31"/>
        </w:rPr>
      </w:pPr>
    </w:p>
    <w:p>
      <w:pPr>
        <w:pStyle w:val="Heading4"/>
        <w:numPr>
          <w:ilvl w:val="3"/>
          <w:numId w:val="23"/>
        </w:numPr>
        <w:tabs>
          <w:tab w:pos="1506" w:val="left" w:leader="none"/>
          <w:tab w:pos="1508" w:val="left" w:leader="none"/>
        </w:tabs>
        <w:spacing w:line="240" w:lineRule="auto" w:before="0" w:after="0"/>
        <w:ind w:left="1507" w:right="0" w:hanging="898"/>
        <w:jc w:val="left"/>
      </w:pPr>
      <w:bookmarkStart w:name="_TOC_250017" w:id="276"/>
      <w:bookmarkStart w:name="5.3.2.3 Directional Wasserstein Distance" w:id="277"/>
      <w:r>
        <w:rPr>
          <w:b w:val="0"/>
        </w:rPr>
      </w:r>
      <w:bookmarkStart w:name="_bookmark161" w:id="278"/>
      <w:bookmarkEnd w:id="278"/>
      <w:r>
        <w:rPr/>
        <w:t>Di</w:t>
      </w:r>
      <w:r>
        <w:rPr/>
        <w:t>rectional</w:t>
      </w:r>
      <w:r>
        <w:rPr>
          <w:spacing w:val="-15"/>
        </w:rPr>
        <w:t> </w:t>
      </w:r>
      <w:r>
        <w:rPr/>
        <w:t>Wasserstein</w:t>
      </w:r>
      <w:r>
        <w:rPr>
          <w:spacing w:val="-15"/>
        </w:rPr>
        <w:t> </w:t>
      </w:r>
      <w:r>
        <w:rPr/>
        <w:t>Distance</w:t>
      </w:r>
      <w:r>
        <w:rPr>
          <w:spacing w:val="-15"/>
        </w:rPr>
        <w:t> </w:t>
      </w:r>
      <w:r>
        <w:rPr/>
        <w:t>Differences</w:t>
      </w:r>
      <w:r>
        <w:rPr>
          <w:spacing w:val="-15"/>
        </w:rPr>
        <w:t> </w:t>
      </w:r>
      <w:r>
        <w:rPr/>
        <w:t>at</w:t>
      </w:r>
      <w:r>
        <w:rPr>
          <w:spacing w:val="-15"/>
        </w:rPr>
        <w:t> </w:t>
      </w:r>
      <w:r>
        <w:rPr/>
        <w:t>the</w:t>
      </w:r>
      <w:r>
        <w:rPr>
          <w:spacing w:val="-15"/>
        </w:rPr>
        <w:t> </w:t>
      </w:r>
      <w:r>
        <w:rPr/>
        <w:t>Between</w:t>
      </w:r>
      <w:r>
        <w:rPr>
          <w:spacing w:val="-15"/>
        </w:rPr>
        <w:t> </w:t>
      </w:r>
      <w:r>
        <w:rPr/>
        <w:t>Team</w:t>
      </w:r>
      <w:r>
        <w:rPr>
          <w:spacing w:val="-15"/>
        </w:rPr>
        <w:t> </w:t>
      </w:r>
      <w:bookmarkEnd w:id="276"/>
      <w:r>
        <w:rPr>
          <w:spacing w:val="-2"/>
        </w:rPr>
        <w:t>Level</w:t>
      </w:r>
    </w:p>
    <w:p>
      <w:pPr>
        <w:pStyle w:val="BodyText"/>
        <w:spacing w:line="309" w:lineRule="auto" w:before="244"/>
        <w:ind w:left="610" w:right="389"/>
      </w:pPr>
      <w:r>
        <w:rPr/>
        <w:t>Although manipulating the cost function as described in Section</w:t>
      </w:r>
      <w:hyperlink w:history="true" w:anchor="_bookmark154">
        <w:r>
          <w:rPr>
            <w:color w:val="0000FF"/>
          </w:rPr>
          <w:t>5.3.2.2</w:t>
        </w:r>
      </w:hyperlink>
      <w:r>
        <w:rPr/>
        <w:t>can provide use- ful high level insights, it is limited by its inability to provide an understanding of </w:t>
      </w:r>
      <w:r>
        <w:rPr/>
        <w:t>direc- tional differences (i.e.</w:t>
      </w:r>
      <w:r>
        <w:rPr>
          <w:spacing w:val="40"/>
        </w:rPr>
        <w:t> </w:t>
      </w:r>
      <w:r>
        <w:rPr/>
        <w:t>it is unable to show that Castleford have a large bias towards the left side of the pitch, only showing that they have a bias along the </w:t>
      </w:r>
      <w:r>
        <w:rPr>
          <w:rFonts w:ascii="Cambria"/>
        </w:rPr>
        <w:t>x</w:t>
      </w:r>
      <w:r>
        <w:rPr/>
        <w:t>-axis).</w:t>
      </w:r>
      <w:r>
        <w:rPr>
          <w:spacing w:val="40"/>
        </w:rPr>
        <w:t> </w:t>
      </w:r>
      <w:r>
        <w:rPr/>
        <w:t>One method through</w:t>
      </w:r>
      <w:r>
        <w:rPr>
          <w:spacing w:val="-12"/>
        </w:rPr>
        <w:t> </w:t>
      </w:r>
      <w:r>
        <w:rPr/>
        <w:t>which</w:t>
      </w:r>
      <w:r>
        <w:rPr>
          <w:spacing w:val="-11"/>
        </w:rPr>
        <w:t> </w:t>
      </w:r>
      <w:r>
        <w:rPr/>
        <w:t>further</w:t>
      </w:r>
      <w:r>
        <w:rPr>
          <w:spacing w:val="-12"/>
        </w:rPr>
        <w:t> </w:t>
      </w:r>
      <w:r>
        <w:rPr/>
        <w:t>insight</w:t>
      </w:r>
      <w:r>
        <w:rPr>
          <w:spacing w:val="-11"/>
        </w:rPr>
        <w:t> </w:t>
      </w:r>
      <w:r>
        <w:rPr/>
        <w:t>into</w:t>
      </w:r>
      <w:r>
        <w:rPr>
          <w:spacing w:val="-12"/>
        </w:rPr>
        <w:t> </w:t>
      </w:r>
      <w:r>
        <w:rPr/>
        <w:t>the</w:t>
      </w:r>
      <w:r>
        <w:rPr>
          <w:spacing w:val="-11"/>
        </w:rPr>
        <w:t> </w:t>
      </w:r>
      <w:r>
        <w:rPr/>
        <w:t>direction</w:t>
      </w:r>
      <w:r>
        <w:rPr>
          <w:spacing w:val="-12"/>
        </w:rPr>
        <w:t> </w:t>
      </w:r>
      <w:r>
        <w:rPr/>
        <w:t>of</w:t>
      </w:r>
      <w:r>
        <w:rPr>
          <w:spacing w:val="-11"/>
        </w:rPr>
        <w:t> </w:t>
      </w:r>
      <w:r>
        <w:rPr/>
        <w:t>the</w:t>
      </w:r>
      <w:r>
        <w:rPr>
          <w:spacing w:val="-12"/>
        </w:rPr>
        <w:t> </w:t>
      </w:r>
      <w:r>
        <w:rPr/>
        <w:t>differences</w:t>
      </w:r>
      <w:r>
        <w:rPr>
          <w:spacing w:val="-11"/>
        </w:rPr>
        <w:t> </w:t>
      </w:r>
      <w:r>
        <w:rPr/>
        <w:t>between</w:t>
      </w:r>
      <w:r>
        <w:rPr>
          <w:spacing w:val="-11"/>
        </w:rPr>
        <w:t> </w:t>
      </w:r>
      <w:r>
        <w:rPr/>
        <w:t>teams</w:t>
      </w:r>
      <w:r>
        <w:rPr>
          <w:spacing w:val="-12"/>
        </w:rPr>
        <w:t> </w:t>
      </w:r>
      <w:r>
        <w:rPr/>
        <w:t>could</w:t>
      </w:r>
      <w:r>
        <w:rPr>
          <w:spacing w:val="-11"/>
        </w:rPr>
        <w:t> </w:t>
      </w:r>
      <w:r>
        <w:rPr/>
        <w:t>be obtained</w:t>
      </w:r>
      <w:r>
        <w:rPr>
          <w:spacing w:val="-15"/>
        </w:rPr>
        <w:t> </w:t>
      </w:r>
      <w:r>
        <w:rPr/>
        <w:t>is</w:t>
      </w:r>
      <w:r>
        <w:rPr>
          <w:spacing w:val="-15"/>
        </w:rPr>
        <w:t> </w:t>
      </w:r>
      <w:r>
        <w:rPr/>
        <w:t>through</w:t>
      </w:r>
      <w:r>
        <w:rPr>
          <w:spacing w:val="-15"/>
        </w:rPr>
        <w:t> </w:t>
      </w:r>
      <w:r>
        <w:rPr/>
        <w:t>the</w:t>
      </w:r>
      <w:r>
        <w:rPr>
          <w:spacing w:val="-15"/>
        </w:rPr>
        <w:t> </w:t>
      </w:r>
      <w:r>
        <w:rPr/>
        <w:t>directional</w:t>
      </w:r>
      <w:r>
        <w:rPr>
          <w:spacing w:val="-15"/>
        </w:rPr>
        <w:t> </w:t>
      </w:r>
      <w:r>
        <w:rPr/>
        <w:t>Wasserstein</w:t>
      </w:r>
      <w:r>
        <w:rPr>
          <w:spacing w:val="-15"/>
        </w:rPr>
        <w:t> </w:t>
      </w:r>
      <w:r>
        <w:rPr/>
        <w:t>distance,</w:t>
      </w:r>
      <w:r>
        <w:rPr>
          <w:spacing w:val="-15"/>
        </w:rPr>
        <w:t> </w:t>
      </w:r>
      <w:r>
        <w:rPr/>
        <w:t>which</w:t>
      </w:r>
      <w:r>
        <w:rPr>
          <w:spacing w:val="-15"/>
        </w:rPr>
        <w:t> </w:t>
      </w:r>
      <w:r>
        <w:rPr/>
        <w:t>is</w:t>
      </w:r>
      <w:r>
        <w:rPr>
          <w:spacing w:val="-15"/>
        </w:rPr>
        <w:t> </w:t>
      </w:r>
      <w:r>
        <w:rPr/>
        <w:t>calculated</w:t>
      </w:r>
      <w:r>
        <w:rPr>
          <w:spacing w:val="-15"/>
        </w:rPr>
        <w:t> </w:t>
      </w:r>
      <w:r>
        <w:rPr/>
        <w:t>by</w:t>
      </w:r>
      <w:r>
        <w:rPr>
          <w:spacing w:val="-15"/>
        </w:rPr>
        <w:t> </w:t>
      </w:r>
      <w:r>
        <w:rPr/>
        <w:t>extracting information from the transport matrix.</w:t>
      </w:r>
      <w:r>
        <w:rPr>
          <w:spacing w:val="40"/>
        </w:rPr>
        <w:t> </w:t>
      </w:r>
      <w:r>
        <w:rPr/>
        <w:t>Equations</w:t>
      </w:r>
      <w:hyperlink w:history="true" w:anchor="_bookmark143">
        <w:r>
          <w:rPr>
            <w:color w:val="0000FF"/>
          </w:rPr>
          <w:t>5.6</w:t>
        </w:r>
        <w:r>
          <w:rPr/>
          <w:t>(</w:t>
        </w:r>
      </w:hyperlink>
      <w:r>
        <w:rPr>
          <w:spacing w:val="40"/>
        </w:rPr>
        <w:t> </w:t>
      </w:r>
      <w:r>
        <w:rPr>
          <w:rFonts w:ascii="Cambria"/>
        </w:rPr>
        <w:t>W</w:t>
      </w:r>
      <w:r>
        <w:rPr>
          <w:vertAlign w:val="subscript"/>
        </w:rPr>
        <w:t>left</w:t>
      </w:r>
      <w:r>
        <w:rPr>
          <w:vertAlign w:val="baseline"/>
        </w:rPr>
        <w:t>),</w:t>
      </w:r>
      <w:hyperlink w:history="true" w:anchor="_bookmark144">
        <w:r>
          <w:rPr>
            <w:color w:val="0000FF"/>
            <w:vertAlign w:val="baseline"/>
          </w:rPr>
          <w:t>5.7</w:t>
        </w:r>
        <w:r>
          <w:rPr>
            <w:vertAlign w:val="baseline"/>
          </w:rPr>
          <w:t>(</w:t>
        </w:r>
      </w:hyperlink>
      <w:r>
        <w:rPr>
          <w:spacing w:val="40"/>
          <w:vertAlign w:val="baseline"/>
        </w:rPr>
        <w:t> </w:t>
      </w:r>
      <w:r>
        <w:rPr>
          <w:rFonts w:ascii="Cambria"/>
          <w:vertAlign w:val="baseline"/>
        </w:rPr>
        <w:t>W</w:t>
      </w:r>
      <w:r>
        <w:rPr>
          <w:vertAlign w:val="subscript"/>
        </w:rPr>
        <w:t>right</w:t>
      </w:r>
      <w:r>
        <w:rPr>
          <w:vertAlign w:val="baseline"/>
        </w:rPr>
        <w:t>),</w:t>
      </w:r>
      <w:hyperlink w:history="true" w:anchor="_bookmark145">
        <w:r>
          <w:rPr>
            <w:color w:val="0000FF"/>
            <w:vertAlign w:val="baseline"/>
          </w:rPr>
          <w:t>5.8</w:t>
        </w:r>
        <w:r>
          <w:rPr>
            <w:vertAlign w:val="baseline"/>
          </w:rPr>
          <w:t>(</w:t>
        </w:r>
      </w:hyperlink>
      <w:r>
        <w:rPr>
          <w:spacing w:val="40"/>
          <w:vertAlign w:val="baseline"/>
        </w:rPr>
        <w:t> </w:t>
      </w:r>
      <w:r>
        <w:rPr>
          <w:rFonts w:ascii="Cambria"/>
          <w:vertAlign w:val="baseline"/>
        </w:rPr>
        <w:t>W</w:t>
      </w:r>
      <w:r>
        <w:rPr>
          <w:vertAlign w:val="subscript"/>
        </w:rPr>
        <w:t>up</w:t>
      </w:r>
      <w:r>
        <w:rPr>
          <w:vertAlign w:val="baseline"/>
        </w:rPr>
        <w:t>) and </w:t>
      </w:r>
      <w:hyperlink w:history="true" w:anchor="_bookmark146">
        <w:r>
          <w:rPr>
            <w:color w:val="0000FF"/>
            <w:vertAlign w:val="baseline"/>
          </w:rPr>
          <w:t>5.9</w:t>
        </w:r>
      </w:hyperlink>
      <w:r>
        <w:rPr>
          <w:vertAlign w:val="baseline"/>
        </w:rPr>
        <w:t>(</w:t>
      </w:r>
      <w:r>
        <w:rPr>
          <w:spacing w:val="-11"/>
          <w:vertAlign w:val="baseline"/>
        </w:rPr>
        <w:t> </w:t>
      </w:r>
      <w:r>
        <w:rPr>
          <w:rFonts w:ascii="Cambria"/>
          <w:vertAlign w:val="baseline"/>
        </w:rPr>
        <w:t>W</w:t>
      </w:r>
      <w:r>
        <w:rPr>
          <w:vertAlign w:val="subscript"/>
        </w:rPr>
        <w:t>down</w:t>
      </w:r>
      <w:r>
        <w:rPr>
          <w:vertAlign w:val="baseline"/>
        </w:rPr>
        <w:t>)</w:t>
      </w:r>
      <w:r>
        <w:rPr>
          <w:spacing w:val="-11"/>
          <w:vertAlign w:val="baseline"/>
        </w:rPr>
        <w:t> </w:t>
      </w:r>
      <w:r>
        <w:rPr>
          <w:vertAlign w:val="baseline"/>
        </w:rPr>
        <w:t>show</w:t>
      </w:r>
      <w:r>
        <w:rPr>
          <w:spacing w:val="-11"/>
          <w:vertAlign w:val="baseline"/>
        </w:rPr>
        <w:t> </w:t>
      </w:r>
      <w:r>
        <w:rPr>
          <w:vertAlign w:val="baseline"/>
        </w:rPr>
        <w:t>how</w:t>
      </w:r>
      <w:r>
        <w:rPr>
          <w:spacing w:val="-11"/>
          <w:vertAlign w:val="baseline"/>
        </w:rPr>
        <w:t> </w:t>
      </w:r>
      <w:r>
        <w:rPr>
          <w:vertAlign w:val="baseline"/>
        </w:rPr>
        <w:t>the</w:t>
      </w:r>
      <w:r>
        <w:rPr>
          <w:spacing w:val="-11"/>
          <w:vertAlign w:val="baseline"/>
        </w:rPr>
        <w:t> </w:t>
      </w:r>
      <w:r>
        <w:rPr>
          <w:vertAlign w:val="baseline"/>
        </w:rPr>
        <w:t>directional</w:t>
      </w:r>
      <w:r>
        <w:rPr>
          <w:spacing w:val="-11"/>
          <w:vertAlign w:val="baseline"/>
        </w:rPr>
        <w:t> </w:t>
      </w:r>
      <w:r>
        <w:rPr>
          <w:vertAlign w:val="baseline"/>
        </w:rPr>
        <w:t>Wasserstein</w:t>
      </w:r>
      <w:r>
        <w:rPr>
          <w:spacing w:val="-11"/>
          <w:vertAlign w:val="baseline"/>
        </w:rPr>
        <w:t> </w:t>
      </w:r>
      <w:r>
        <w:rPr>
          <w:vertAlign w:val="baseline"/>
        </w:rPr>
        <w:t>distance</w:t>
      </w:r>
      <w:r>
        <w:rPr>
          <w:spacing w:val="-11"/>
          <w:vertAlign w:val="baseline"/>
        </w:rPr>
        <w:t> </w:t>
      </w:r>
      <w:r>
        <w:rPr>
          <w:vertAlign w:val="baseline"/>
        </w:rPr>
        <w:t>was</w:t>
      </w:r>
      <w:r>
        <w:rPr>
          <w:spacing w:val="-11"/>
          <w:vertAlign w:val="baseline"/>
        </w:rPr>
        <w:t> </w:t>
      </w:r>
      <w:r>
        <w:rPr>
          <w:vertAlign w:val="baseline"/>
        </w:rPr>
        <w:t>calculated</w:t>
      </w:r>
      <w:r>
        <w:rPr>
          <w:spacing w:val="-11"/>
          <w:vertAlign w:val="baseline"/>
        </w:rPr>
        <w:t> </w:t>
      </w:r>
      <w:r>
        <w:rPr>
          <w:vertAlign w:val="baseline"/>
        </w:rPr>
        <w:t>from</w:t>
      </w:r>
      <w:r>
        <w:rPr>
          <w:spacing w:val="-11"/>
          <w:vertAlign w:val="baseline"/>
        </w:rPr>
        <w:t> </w:t>
      </w:r>
      <w:r>
        <w:rPr>
          <w:vertAlign w:val="baseline"/>
        </w:rPr>
        <w:t>the</w:t>
      </w:r>
      <w:r>
        <w:rPr>
          <w:spacing w:val="-11"/>
          <w:vertAlign w:val="baseline"/>
        </w:rPr>
        <w:t> </w:t>
      </w:r>
      <w:r>
        <w:rPr>
          <w:vertAlign w:val="baseline"/>
        </w:rPr>
        <w:t>trans- port matrix to provide information regarding directional differences in the spatial trends of team attacking performances.</w:t>
      </w:r>
    </w:p>
    <w:p>
      <w:pPr>
        <w:pStyle w:val="BodyText"/>
        <w:spacing w:line="309" w:lineRule="auto" w:before="4"/>
        <w:ind w:left="610" w:right="389" w:firstLine="351"/>
      </w:pPr>
      <w:r>
        <w:rPr/>
        <w:t>Figure</w:t>
      </w:r>
      <w:hyperlink w:history="true" w:anchor="_bookmark162">
        <w:r>
          <w:rPr>
            <w:color w:val="0000FF"/>
          </w:rPr>
          <w:t>5.13</w:t>
        </w:r>
      </w:hyperlink>
      <w:r>
        <w:rPr/>
        <w:t>shows</w:t>
      </w:r>
      <w:r>
        <w:rPr>
          <w:spacing w:val="40"/>
        </w:rPr>
        <w:t> </w:t>
      </w:r>
      <w:r>
        <w:rPr/>
        <w:t>how</w:t>
      </w:r>
      <w:r>
        <w:rPr>
          <w:spacing w:val="40"/>
        </w:rPr>
        <w:t> </w:t>
      </w:r>
      <w:r>
        <w:rPr/>
        <w:t>comparing</w:t>
      </w:r>
      <w:r>
        <w:rPr>
          <w:spacing w:val="40"/>
        </w:rPr>
        <w:t> </w:t>
      </w:r>
      <w:r>
        <w:rPr/>
        <w:t>left</w:t>
      </w:r>
      <w:r>
        <w:rPr>
          <w:spacing w:val="40"/>
        </w:rPr>
        <w:t> </w:t>
      </w:r>
      <w:r>
        <w:rPr/>
        <w:t>and</w:t>
      </w:r>
      <w:r>
        <w:rPr>
          <w:spacing w:val="40"/>
        </w:rPr>
        <w:t> </w:t>
      </w:r>
      <w:r>
        <w:rPr/>
        <w:t>right</w:t>
      </w:r>
      <w:r>
        <w:rPr>
          <w:spacing w:val="40"/>
        </w:rPr>
        <w:t> </w:t>
      </w:r>
      <w:r>
        <w:rPr/>
        <w:t>directional</w:t>
      </w:r>
      <w:r>
        <w:rPr>
          <w:spacing w:val="40"/>
        </w:rPr>
        <w:t> </w:t>
      </w:r>
      <w:r>
        <w:rPr/>
        <w:t>Wasserstein</w:t>
      </w:r>
      <w:r>
        <w:rPr>
          <w:spacing w:val="40"/>
        </w:rPr>
        <w:t> </w:t>
      </w:r>
      <w:r>
        <w:rPr/>
        <w:t>distances along the x-axis and up and down directional Wasserstein distances along the y-axis can provide</w:t>
      </w:r>
      <w:r>
        <w:rPr>
          <w:spacing w:val="-15"/>
        </w:rPr>
        <w:t> </w:t>
      </w:r>
      <w:r>
        <w:rPr/>
        <w:t>insight</w:t>
      </w:r>
      <w:r>
        <w:rPr>
          <w:spacing w:val="-15"/>
        </w:rPr>
        <w:t> </w:t>
      </w:r>
      <w:r>
        <w:rPr/>
        <w:t>into</w:t>
      </w:r>
      <w:r>
        <w:rPr>
          <w:spacing w:val="-15"/>
        </w:rPr>
        <w:t> </w:t>
      </w:r>
      <w:r>
        <w:rPr/>
        <w:t>the</w:t>
      </w:r>
      <w:r>
        <w:rPr>
          <w:spacing w:val="-15"/>
        </w:rPr>
        <w:t> </w:t>
      </w:r>
      <w:r>
        <w:rPr/>
        <w:t>directional</w:t>
      </w:r>
      <w:r>
        <w:rPr>
          <w:spacing w:val="-15"/>
        </w:rPr>
        <w:t> </w:t>
      </w:r>
      <w:r>
        <w:rPr/>
        <w:t>differences</w:t>
      </w:r>
      <w:r>
        <w:rPr>
          <w:spacing w:val="-15"/>
        </w:rPr>
        <w:t> </w:t>
      </w:r>
      <w:r>
        <w:rPr/>
        <w:t>present</w:t>
      </w:r>
      <w:r>
        <w:rPr>
          <w:spacing w:val="-15"/>
        </w:rPr>
        <w:t> </w:t>
      </w:r>
      <w:r>
        <w:rPr/>
        <w:t>between</w:t>
      </w:r>
      <w:r>
        <w:rPr>
          <w:spacing w:val="-15"/>
        </w:rPr>
        <w:t> </w:t>
      </w:r>
      <w:r>
        <w:rPr/>
        <w:t>teams.</w:t>
      </w:r>
      <w:r>
        <w:rPr>
          <w:spacing w:val="-9"/>
        </w:rPr>
        <w:t> </w:t>
      </w:r>
      <w:r>
        <w:rPr/>
        <w:t>The</w:t>
      </w:r>
      <w:r>
        <w:rPr>
          <w:spacing w:val="-15"/>
        </w:rPr>
        <w:t> </w:t>
      </w:r>
      <w:r>
        <w:rPr/>
        <w:t>left</w:t>
      </w:r>
      <w:r>
        <w:rPr>
          <w:spacing w:val="-15"/>
        </w:rPr>
        <w:t> </w:t>
      </w:r>
      <w:r>
        <w:rPr/>
        <w:t>plot</w:t>
      </w:r>
      <w:r>
        <w:rPr>
          <w:spacing w:val="-15"/>
        </w:rPr>
        <w:t> </w:t>
      </w:r>
      <w:r>
        <w:rPr/>
        <w:t>shows the</w:t>
      </w:r>
      <w:r>
        <w:rPr>
          <w:spacing w:val="-2"/>
        </w:rPr>
        <w:t> </w:t>
      </w:r>
      <w:r>
        <w:rPr/>
        <w:t>left-right</w:t>
      </w:r>
      <w:r>
        <w:rPr>
          <w:spacing w:val="-2"/>
        </w:rPr>
        <w:t> </w:t>
      </w:r>
      <w:r>
        <w:rPr/>
        <w:t>Wasserstein</w:t>
      </w:r>
      <w:r>
        <w:rPr>
          <w:spacing w:val="-2"/>
        </w:rPr>
        <w:t> </w:t>
      </w:r>
      <w:r>
        <w:rPr/>
        <w:t>distance</w:t>
      </w:r>
      <w:r>
        <w:rPr>
          <w:spacing w:val="-2"/>
        </w:rPr>
        <w:t> </w:t>
      </w:r>
      <w:r>
        <w:rPr/>
        <w:t>differences. As</w:t>
      </w:r>
      <w:r>
        <w:rPr>
          <w:spacing w:val="-2"/>
        </w:rPr>
        <w:t> </w:t>
      </w:r>
      <w:r>
        <w:rPr/>
        <w:t>with</w:t>
      </w:r>
      <w:r>
        <w:rPr>
          <w:spacing w:val="-2"/>
        </w:rPr>
        <w:t> </w:t>
      </w:r>
      <w:r>
        <w:rPr/>
        <w:t>the</w:t>
      </w:r>
      <w:r>
        <w:rPr>
          <w:spacing w:val="-2"/>
        </w:rPr>
        <w:t> </w:t>
      </w:r>
      <w:r>
        <w:rPr>
          <w:rFonts w:ascii="Garamond" w:hAnsi="Garamond"/>
        </w:rPr>
        <w:t>6</w:t>
      </w:r>
      <w:r>
        <w:rPr>
          <w:rFonts w:ascii="Cambria" w:hAnsi="Cambria"/>
        </w:rPr>
        <w:t>.</w:t>
      </w:r>
      <w:r>
        <w:rPr>
          <w:rFonts w:ascii="Garamond" w:hAnsi="Garamond"/>
        </w:rPr>
        <w:t>0</w:t>
      </w:r>
      <w:r>
        <w:rPr>
          <w:rFonts w:ascii="Cambria" w:hAnsi="Cambria"/>
        </w:rPr>
        <w:t>x</w:t>
      </w:r>
      <w:r>
        <w:rPr/>
        <w:t>,</w:t>
      </w:r>
      <w:r>
        <w:rPr>
          <w:spacing w:val="-2"/>
        </w:rPr>
        <w:t> </w:t>
      </w:r>
      <w:r>
        <w:rPr>
          <w:rFonts w:ascii="Garamond" w:hAnsi="Garamond"/>
        </w:rPr>
        <w:t>3</w:t>
      </w:r>
      <w:r>
        <w:rPr>
          <w:rFonts w:ascii="Cambria" w:hAnsi="Cambria"/>
        </w:rPr>
        <w:t>.</w:t>
      </w:r>
      <w:r>
        <w:rPr>
          <w:rFonts w:ascii="Garamond" w:hAnsi="Garamond"/>
        </w:rPr>
        <w:t>5</w:t>
      </w:r>
      <w:r>
        <w:rPr>
          <w:rFonts w:ascii="Cambria" w:hAnsi="Cambria"/>
        </w:rPr>
        <w:t>y </w:t>
      </w:r>
      <w:r>
        <w:rPr/>
        <w:t>weighted</w:t>
      </w:r>
      <w:r>
        <w:rPr>
          <w:spacing w:val="-2"/>
        </w:rPr>
        <w:t> </w:t>
      </w:r>
      <w:r>
        <w:rPr/>
        <w:t>distances (Figure</w:t>
      </w:r>
      <w:hyperlink w:history="true" w:anchor="_bookmark160">
        <w:r>
          <w:rPr>
            <w:color w:val="0000FF"/>
          </w:rPr>
          <w:t>5.12</w:t>
        </w:r>
      </w:hyperlink>
      <w:r>
        <w:rPr/>
        <w:t>), Castleford and Huddersfield have the two greatest distances but now they are differentiable in terms of their direction, as Castleford shift predominantly to the left whereas Huddersfield shift predominantly to the right.</w:t>
      </w:r>
      <w:r>
        <w:rPr>
          <w:spacing w:val="38"/>
        </w:rPr>
        <w:t> </w:t>
      </w:r>
      <w:r>
        <w:rPr/>
        <w:t>Similarly, Hull Kingston Rovers and</w:t>
      </w:r>
      <w:r>
        <w:rPr>
          <w:spacing w:val="-13"/>
        </w:rPr>
        <w:t> </w:t>
      </w:r>
      <w:r>
        <w:rPr/>
        <w:t>Warrington</w:t>
      </w:r>
      <w:r>
        <w:rPr>
          <w:spacing w:val="-13"/>
        </w:rPr>
        <w:t> </w:t>
      </w:r>
      <w:r>
        <w:rPr/>
        <w:t>are</w:t>
      </w:r>
      <w:r>
        <w:rPr>
          <w:spacing w:val="-13"/>
        </w:rPr>
        <w:t> </w:t>
      </w:r>
      <w:r>
        <w:rPr/>
        <w:t>noted</w:t>
      </w:r>
      <w:r>
        <w:rPr>
          <w:spacing w:val="-13"/>
        </w:rPr>
        <w:t> </w:t>
      </w:r>
      <w:r>
        <w:rPr/>
        <w:t>as</w:t>
      </w:r>
      <w:r>
        <w:rPr>
          <w:spacing w:val="-13"/>
        </w:rPr>
        <w:t> </w:t>
      </w:r>
      <w:r>
        <w:rPr/>
        <w:t>teams</w:t>
      </w:r>
      <w:r>
        <w:rPr>
          <w:spacing w:val="-13"/>
        </w:rPr>
        <w:t> </w:t>
      </w:r>
      <w:r>
        <w:rPr/>
        <w:t>who</w:t>
      </w:r>
      <w:r>
        <w:rPr>
          <w:spacing w:val="-13"/>
        </w:rPr>
        <w:t> </w:t>
      </w:r>
      <w:r>
        <w:rPr/>
        <w:t>shift</w:t>
      </w:r>
      <w:r>
        <w:rPr>
          <w:spacing w:val="-13"/>
        </w:rPr>
        <w:t> </w:t>
      </w:r>
      <w:r>
        <w:rPr/>
        <w:t>left</w:t>
      </w:r>
      <w:r>
        <w:rPr>
          <w:spacing w:val="-13"/>
        </w:rPr>
        <w:t> </w:t>
      </w:r>
      <w:r>
        <w:rPr/>
        <w:t>and</w:t>
      </w:r>
      <w:r>
        <w:rPr>
          <w:spacing w:val="-13"/>
        </w:rPr>
        <w:t> </w:t>
      </w:r>
      <w:r>
        <w:rPr/>
        <w:t>Wakefield,</w:t>
      </w:r>
      <w:r>
        <w:rPr>
          <w:spacing w:val="-13"/>
        </w:rPr>
        <w:t> </w:t>
      </w:r>
      <w:r>
        <w:rPr/>
        <w:t>Leigh</w:t>
      </w:r>
      <w:r>
        <w:rPr>
          <w:spacing w:val="-13"/>
        </w:rPr>
        <w:t> </w:t>
      </w:r>
      <w:r>
        <w:rPr/>
        <w:t>and</w:t>
      </w:r>
      <w:r>
        <w:rPr>
          <w:spacing w:val="-13"/>
        </w:rPr>
        <w:t> </w:t>
      </w:r>
      <w:r>
        <w:rPr/>
        <w:t>Hull</w:t>
      </w:r>
      <w:r>
        <w:rPr>
          <w:spacing w:val="-13"/>
        </w:rPr>
        <w:t> </w:t>
      </w:r>
      <w:r>
        <w:rPr/>
        <w:t>are</w:t>
      </w:r>
      <w:r>
        <w:rPr>
          <w:spacing w:val="-13"/>
        </w:rPr>
        <w:t> </w:t>
      </w:r>
      <w:r>
        <w:rPr/>
        <w:t>noted as teams who shift right relative to the whole league.</w:t>
      </w:r>
      <w:r>
        <w:rPr>
          <w:spacing w:val="40"/>
        </w:rPr>
        <w:t> </w:t>
      </w:r>
      <w:r>
        <w:rPr/>
        <w:t>It should be noted that the mani- festation of these differences in Figure</w:t>
      </w:r>
      <w:hyperlink w:history="true" w:anchor="_bookmark151">
        <w:r>
          <w:rPr>
            <w:color w:val="0000FF"/>
          </w:rPr>
          <w:t>5.6</w:t>
        </w:r>
      </w:hyperlink>
      <w:r>
        <w:rPr/>
        <w:t>is not uniform.</w:t>
      </w:r>
      <w:r>
        <w:rPr>
          <w:spacing w:val="40"/>
        </w:rPr>
        <w:t> </w:t>
      </w:r>
      <w:r>
        <w:rPr/>
        <w:t>For example, Castleford and Hull</w:t>
      </w:r>
      <w:r>
        <w:rPr>
          <w:spacing w:val="-11"/>
        </w:rPr>
        <w:t> </w:t>
      </w:r>
      <w:r>
        <w:rPr/>
        <w:t>Kingston</w:t>
      </w:r>
      <w:r>
        <w:rPr>
          <w:spacing w:val="-11"/>
        </w:rPr>
        <w:t> </w:t>
      </w:r>
      <w:r>
        <w:rPr/>
        <w:t>Rovers</w:t>
      </w:r>
      <w:r>
        <w:rPr>
          <w:spacing w:val="-11"/>
        </w:rPr>
        <w:t> </w:t>
      </w:r>
      <w:r>
        <w:rPr/>
        <w:t>have</w:t>
      </w:r>
      <w:r>
        <w:rPr>
          <w:spacing w:val="-11"/>
        </w:rPr>
        <w:t> </w:t>
      </w:r>
      <w:r>
        <w:rPr/>
        <w:t>higher</w:t>
      </w:r>
      <w:r>
        <w:rPr>
          <w:spacing w:val="-10"/>
        </w:rPr>
        <w:t> </w:t>
      </w:r>
      <w:r>
        <w:rPr/>
        <w:t>densities</w:t>
      </w:r>
      <w:r>
        <w:rPr>
          <w:spacing w:val="-11"/>
        </w:rPr>
        <w:t> </w:t>
      </w:r>
      <w:r>
        <w:rPr/>
        <w:t>on</w:t>
      </w:r>
      <w:r>
        <w:rPr>
          <w:spacing w:val="-11"/>
        </w:rPr>
        <w:t> </w:t>
      </w:r>
      <w:r>
        <w:rPr/>
        <w:t>the</w:t>
      </w:r>
      <w:r>
        <w:rPr>
          <w:spacing w:val="-11"/>
        </w:rPr>
        <w:t> </w:t>
      </w:r>
      <w:r>
        <w:rPr/>
        <w:t>left</w:t>
      </w:r>
      <w:r>
        <w:rPr>
          <w:spacing w:val="-11"/>
        </w:rPr>
        <w:t> </w:t>
      </w:r>
      <w:r>
        <w:rPr/>
        <w:t>side</w:t>
      </w:r>
      <w:r>
        <w:rPr>
          <w:spacing w:val="-11"/>
        </w:rPr>
        <w:t> </w:t>
      </w:r>
      <w:r>
        <w:rPr/>
        <w:t>of</w:t>
      </w:r>
      <w:r>
        <w:rPr>
          <w:spacing w:val="-11"/>
        </w:rPr>
        <w:t> </w:t>
      </w:r>
      <w:r>
        <w:rPr/>
        <w:t>the</w:t>
      </w:r>
      <w:r>
        <w:rPr>
          <w:spacing w:val="-11"/>
        </w:rPr>
        <w:t> </w:t>
      </w:r>
      <w:r>
        <w:rPr/>
        <w:t>pitch,</w:t>
      </w:r>
      <w:r>
        <w:rPr>
          <w:spacing w:val="-10"/>
        </w:rPr>
        <w:t> </w:t>
      </w:r>
      <w:r>
        <w:rPr/>
        <w:t>which</w:t>
      </w:r>
      <w:r>
        <w:rPr>
          <w:spacing w:val="-11"/>
        </w:rPr>
        <w:t> </w:t>
      </w:r>
      <w:r>
        <w:rPr/>
        <w:t>cause</w:t>
      </w:r>
      <w:r>
        <w:rPr>
          <w:spacing w:val="-11"/>
        </w:rPr>
        <w:t> </w:t>
      </w:r>
      <w:r>
        <w:rPr/>
        <w:t>their left</w:t>
      </w:r>
      <w:r>
        <w:rPr>
          <w:spacing w:val="-1"/>
        </w:rPr>
        <w:t> </w:t>
      </w:r>
      <w:r>
        <w:rPr/>
        <w:t>shift,</w:t>
      </w:r>
      <w:r>
        <w:rPr>
          <w:spacing w:val="1"/>
        </w:rPr>
        <w:t> </w:t>
      </w:r>
      <w:r>
        <w:rPr/>
        <w:t>but</w:t>
      </w:r>
      <w:r>
        <w:rPr>
          <w:spacing w:val="-1"/>
        </w:rPr>
        <w:t> </w:t>
      </w:r>
      <w:r>
        <w:rPr/>
        <w:t>Warrington’s left</w:t>
      </w:r>
      <w:r>
        <w:rPr>
          <w:spacing w:val="-1"/>
        </w:rPr>
        <w:t> </w:t>
      </w:r>
      <w:r>
        <w:rPr/>
        <w:t>side</w:t>
      </w:r>
      <w:r>
        <w:rPr>
          <w:spacing w:val="-1"/>
        </w:rPr>
        <w:t> </w:t>
      </w:r>
      <w:r>
        <w:rPr/>
        <w:t>bias is</w:t>
      </w:r>
      <w:r>
        <w:rPr>
          <w:spacing w:val="-1"/>
        </w:rPr>
        <w:t> </w:t>
      </w:r>
      <w:r>
        <w:rPr/>
        <w:t>caused by</w:t>
      </w:r>
      <w:r>
        <w:rPr>
          <w:spacing w:val="-1"/>
        </w:rPr>
        <w:t> </w:t>
      </w:r>
      <w:r>
        <w:rPr/>
        <w:t>lower</w:t>
      </w:r>
      <w:r>
        <w:rPr>
          <w:spacing w:val="-1"/>
        </w:rPr>
        <w:t> </w:t>
      </w:r>
      <w:r>
        <w:rPr/>
        <w:t>densities on the</w:t>
      </w:r>
      <w:r>
        <w:rPr>
          <w:spacing w:val="-2"/>
        </w:rPr>
        <w:t> </w:t>
      </w:r>
      <w:r>
        <w:rPr/>
        <w:t>right side </w:t>
      </w:r>
      <w:r>
        <w:rPr>
          <w:spacing w:val="-5"/>
        </w:rPr>
        <w:t>of</w:t>
      </w:r>
    </w:p>
    <w:p>
      <w:pPr>
        <w:spacing w:after="0" w:line="309" w:lineRule="auto"/>
        <w:sectPr>
          <w:pgSz w:w="11910" w:h="16840"/>
          <w:pgMar w:header="1961" w:footer="1428" w:top="2280" w:bottom="1620" w:left="1680" w:right="720"/>
        </w:sectPr>
      </w:pPr>
    </w:p>
    <w:p>
      <w:pPr>
        <w:pStyle w:val="BodyText"/>
        <w:rPr>
          <w:sz w:val="20"/>
        </w:rPr>
      </w:pPr>
    </w:p>
    <w:p>
      <w:pPr>
        <w:pStyle w:val="BodyText"/>
        <w:spacing w:before="4" w:after="1"/>
        <w:rPr>
          <w:sz w:val="28"/>
        </w:rPr>
      </w:pPr>
    </w:p>
    <w:p>
      <w:pPr>
        <w:pStyle w:val="BodyText"/>
        <w:ind w:left="1035"/>
        <w:rPr>
          <w:sz w:val="20"/>
        </w:rPr>
      </w:pPr>
      <w:r>
        <w:rPr>
          <w:sz w:val="20"/>
        </w:rPr>
        <w:drawing>
          <wp:inline distT="0" distB="0" distL="0" distR="0">
            <wp:extent cx="4836899" cy="1950720"/>
            <wp:effectExtent l="0" t="0" r="0" b="0"/>
            <wp:docPr id="89" name="image45.jpeg"/>
            <wp:cNvGraphicFramePr>
              <a:graphicFrameLocks noChangeAspect="1"/>
            </wp:cNvGraphicFramePr>
            <a:graphic>
              <a:graphicData uri="http://schemas.openxmlformats.org/drawingml/2006/picture">
                <pic:pic>
                  <pic:nvPicPr>
                    <pic:cNvPr id="90" name="image45.jpeg"/>
                    <pic:cNvPicPr/>
                  </pic:nvPicPr>
                  <pic:blipFill>
                    <a:blip r:embed="rId115" cstate="print"/>
                    <a:stretch>
                      <a:fillRect/>
                    </a:stretch>
                  </pic:blipFill>
                  <pic:spPr>
                    <a:xfrm>
                      <a:off x="0" y="0"/>
                      <a:ext cx="4836899" cy="1950720"/>
                    </a:xfrm>
                    <a:prstGeom prst="rect">
                      <a:avLst/>
                    </a:prstGeom>
                  </pic:spPr>
                </pic:pic>
              </a:graphicData>
            </a:graphic>
          </wp:inline>
        </w:drawing>
      </w:r>
      <w:r>
        <w:rPr>
          <w:sz w:val="20"/>
        </w:rPr>
      </w:r>
    </w:p>
    <w:p>
      <w:pPr>
        <w:pStyle w:val="BodyText"/>
        <w:spacing w:before="7"/>
        <w:rPr>
          <w:sz w:val="6"/>
        </w:rPr>
      </w:pPr>
    </w:p>
    <w:p>
      <w:pPr>
        <w:pStyle w:val="BodyText"/>
        <w:spacing w:line="252" w:lineRule="auto" w:before="106"/>
        <w:ind w:left="610" w:right="389"/>
        <w:jc w:val="both"/>
      </w:pPr>
      <w:bookmarkStart w:name="_bookmark162" w:id="279"/>
      <w:bookmarkEnd w:id="279"/>
      <w:r>
        <w:rPr/>
      </w:r>
      <w:r>
        <w:rPr>
          <w:b/>
        </w:rPr>
        <w:t>Figure</w:t>
      </w:r>
      <w:r>
        <w:rPr>
          <w:b/>
          <w:spacing w:val="-15"/>
        </w:rPr>
        <w:t> </w:t>
      </w:r>
      <w:r>
        <w:rPr>
          <w:b/>
        </w:rPr>
        <w:t>5.13:</w:t>
      </w:r>
      <w:r>
        <w:rPr>
          <w:b/>
          <w:spacing w:val="-4"/>
        </w:rPr>
        <w:t> </w:t>
      </w:r>
      <w:r>
        <w:rPr/>
        <w:t>Quadrant</w:t>
      </w:r>
      <w:r>
        <w:rPr>
          <w:spacing w:val="-15"/>
        </w:rPr>
        <w:t> </w:t>
      </w:r>
      <w:r>
        <w:rPr/>
        <w:t>plot</w:t>
      </w:r>
      <w:r>
        <w:rPr>
          <w:spacing w:val="-15"/>
        </w:rPr>
        <w:t> </w:t>
      </w:r>
      <w:r>
        <w:rPr/>
        <w:t>showing</w:t>
      </w:r>
      <w:r>
        <w:rPr>
          <w:spacing w:val="-15"/>
        </w:rPr>
        <w:t> </w:t>
      </w:r>
      <w:r>
        <w:rPr/>
        <w:t>directional</w:t>
      </w:r>
      <w:r>
        <w:rPr>
          <w:spacing w:val="-15"/>
        </w:rPr>
        <w:t> </w:t>
      </w:r>
      <w:r>
        <w:rPr/>
        <w:t>Wasserstein</w:t>
      </w:r>
      <w:r>
        <w:rPr>
          <w:spacing w:val="-15"/>
        </w:rPr>
        <w:t> </w:t>
      </w:r>
      <w:r>
        <w:rPr/>
        <w:t>distance</w:t>
      </w:r>
      <w:r>
        <w:rPr>
          <w:spacing w:val="-15"/>
        </w:rPr>
        <w:t> </w:t>
      </w:r>
      <w:r>
        <w:rPr/>
        <w:t>at</w:t>
      </w:r>
      <w:r>
        <w:rPr>
          <w:spacing w:val="-15"/>
        </w:rPr>
        <w:t> </w:t>
      </w:r>
      <w:r>
        <w:rPr/>
        <w:t>the</w:t>
      </w:r>
      <w:r>
        <w:rPr>
          <w:spacing w:val="-15"/>
        </w:rPr>
        <w:t> </w:t>
      </w:r>
      <w:r>
        <w:rPr/>
        <w:t>between</w:t>
      </w:r>
      <w:r>
        <w:rPr>
          <w:spacing w:val="-15"/>
        </w:rPr>
        <w:t> </w:t>
      </w:r>
      <w:r>
        <w:rPr/>
        <w:t>team levels.</w:t>
      </w:r>
      <w:r>
        <w:rPr>
          <w:spacing w:val="40"/>
        </w:rPr>
        <w:t> </w:t>
      </w:r>
      <w:r>
        <w:rPr/>
        <w:t>Positive numbers in the left plot represent an overall shift to the left, positive numbers</w:t>
      </w:r>
      <w:r>
        <w:rPr>
          <w:spacing w:val="-3"/>
        </w:rPr>
        <w:t> </w:t>
      </w:r>
      <w:r>
        <w:rPr/>
        <w:t>in</w:t>
      </w:r>
      <w:r>
        <w:rPr>
          <w:spacing w:val="-3"/>
        </w:rPr>
        <w:t> </w:t>
      </w:r>
      <w:r>
        <w:rPr/>
        <w:t>the</w:t>
      </w:r>
      <w:r>
        <w:rPr>
          <w:spacing w:val="-3"/>
        </w:rPr>
        <w:t> </w:t>
      </w:r>
      <w:r>
        <w:rPr/>
        <w:t>right</w:t>
      </w:r>
      <w:r>
        <w:rPr>
          <w:spacing w:val="-3"/>
        </w:rPr>
        <w:t> </w:t>
      </w:r>
      <w:r>
        <w:rPr/>
        <w:t>plot</w:t>
      </w:r>
      <w:r>
        <w:rPr>
          <w:spacing w:val="-3"/>
        </w:rPr>
        <w:t> </w:t>
      </w:r>
      <w:r>
        <w:rPr/>
        <w:t>represent</w:t>
      </w:r>
      <w:r>
        <w:rPr>
          <w:spacing w:val="-3"/>
        </w:rPr>
        <w:t> </w:t>
      </w:r>
      <w:r>
        <w:rPr/>
        <w:t>an</w:t>
      </w:r>
      <w:r>
        <w:rPr>
          <w:spacing w:val="-3"/>
        </w:rPr>
        <w:t> </w:t>
      </w:r>
      <w:r>
        <w:rPr/>
        <w:t>overall</w:t>
      </w:r>
      <w:r>
        <w:rPr>
          <w:spacing w:val="-3"/>
        </w:rPr>
        <w:t> </w:t>
      </w:r>
      <w:r>
        <w:rPr/>
        <w:t>shift</w:t>
      </w:r>
      <w:r>
        <w:rPr>
          <w:spacing w:val="-3"/>
        </w:rPr>
        <w:t> </w:t>
      </w:r>
      <w:r>
        <w:rPr/>
        <w:t>upwards. Blue</w:t>
      </w:r>
      <w:r>
        <w:rPr>
          <w:spacing w:val="-3"/>
        </w:rPr>
        <w:t> </w:t>
      </w:r>
      <w:r>
        <w:rPr/>
        <w:t>lines</w:t>
      </w:r>
      <w:r>
        <w:rPr>
          <w:spacing w:val="-3"/>
        </w:rPr>
        <w:t> </w:t>
      </w:r>
      <w:r>
        <w:rPr/>
        <w:t>represent</w:t>
      </w:r>
      <w:r>
        <w:rPr>
          <w:spacing w:val="-3"/>
        </w:rPr>
        <w:t> </w:t>
      </w:r>
      <w:r>
        <w:rPr/>
        <w:t>median </w:t>
      </w:r>
      <w:r>
        <w:rPr>
          <w:spacing w:val="-2"/>
        </w:rPr>
        <w:t>values.</w:t>
      </w:r>
    </w:p>
    <w:p>
      <w:pPr>
        <w:pStyle w:val="BodyText"/>
        <w:spacing w:before="6"/>
        <w:rPr>
          <w:sz w:val="37"/>
        </w:rPr>
      </w:pPr>
    </w:p>
    <w:p>
      <w:pPr>
        <w:pStyle w:val="BodyText"/>
        <w:spacing w:line="312" w:lineRule="auto" w:before="1"/>
        <w:ind w:left="610" w:right="389"/>
        <w:jc w:val="both"/>
      </w:pPr>
      <w:r>
        <w:rPr/>
        <w:t>the pitch with areas of higher density spread more evenly between central and left </w:t>
      </w:r>
      <w:r>
        <w:rPr/>
        <w:t>areas. Similarly, Huddersfield’s right side bias is caused by lower densities on the left side of the pitch rather than a specific right side preference.</w:t>
      </w:r>
      <w:r>
        <w:rPr>
          <w:spacing w:val="40"/>
        </w:rPr>
        <w:t> </w:t>
      </w:r>
      <w:r>
        <w:rPr/>
        <w:t>However, the general direction of movement for all teams aligns well with the KDE plots.</w:t>
      </w:r>
    </w:p>
    <w:p>
      <w:pPr>
        <w:pStyle w:val="BodyText"/>
        <w:spacing w:line="309" w:lineRule="auto"/>
        <w:ind w:left="610" w:right="389" w:firstLine="351"/>
      </w:pPr>
      <w:r>
        <w:rPr/>
        <w:t>The right plot in Figure</w:t>
      </w:r>
      <w:hyperlink w:history="true" w:anchor="_bookmark162">
        <w:r>
          <w:rPr>
            <w:color w:val="0000FF"/>
          </w:rPr>
          <w:t>5.13</w:t>
        </w:r>
      </w:hyperlink>
      <w:r>
        <w:rPr/>
        <w:t>shows the up-down Wasserstein distance differences. Once</w:t>
      </w:r>
      <w:r>
        <w:rPr>
          <w:spacing w:val="24"/>
        </w:rPr>
        <w:t> </w:t>
      </w:r>
      <w:r>
        <w:rPr/>
        <w:t>again,</w:t>
      </w:r>
      <w:r>
        <w:rPr>
          <w:spacing w:val="31"/>
        </w:rPr>
        <w:t> </w:t>
      </w:r>
      <w:r>
        <w:rPr/>
        <w:t>the</w:t>
      </w:r>
      <w:r>
        <w:rPr>
          <w:spacing w:val="24"/>
        </w:rPr>
        <w:t> </w:t>
      </w:r>
      <w:r>
        <w:rPr/>
        <w:t>two</w:t>
      </w:r>
      <w:r>
        <w:rPr>
          <w:spacing w:val="24"/>
        </w:rPr>
        <w:t> </w:t>
      </w:r>
      <w:r>
        <w:rPr/>
        <w:t>teams</w:t>
      </w:r>
      <w:r>
        <w:rPr>
          <w:spacing w:val="24"/>
        </w:rPr>
        <w:t> </w:t>
      </w:r>
      <w:r>
        <w:rPr/>
        <w:t>with</w:t>
      </w:r>
      <w:r>
        <w:rPr>
          <w:spacing w:val="24"/>
        </w:rPr>
        <w:t> </w:t>
      </w:r>
      <w:r>
        <w:rPr/>
        <w:t>the</w:t>
      </w:r>
      <w:r>
        <w:rPr>
          <w:spacing w:val="24"/>
        </w:rPr>
        <w:t> </w:t>
      </w:r>
      <w:r>
        <w:rPr/>
        <w:t>largest</w:t>
      </w:r>
      <w:r>
        <w:rPr>
          <w:spacing w:val="24"/>
        </w:rPr>
        <w:t> </w:t>
      </w:r>
      <w:r>
        <w:rPr/>
        <w:t>values</w:t>
      </w:r>
      <w:r>
        <w:rPr>
          <w:spacing w:val="24"/>
        </w:rPr>
        <w:t> </w:t>
      </w:r>
      <w:r>
        <w:rPr/>
        <w:t>in</w:t>
      </w:r>
      <w:r>
        <w:rPr>
          <w:spacing w:val="24"/>
        </w:rPr>
        <w:t> </w:t>
      </w:r>
      <w:r>
        <w:rPr/>
        <w:t>the</w:t>
      </w:r>
      <w:r>
        <w:rPr>
          <w:spacing w:val="24"/>
        </w:rPr>
        <w:t> </w:t>
      </w:r>
      <w:r>
        <w:rPr>
          <w:rFonts w:ascii="Garamond"/>
        </w:rPr>
        <w:t>6</w:t>
      </w:r>
      <w:r>
        <w:rPr>
          <w:rFonts w:ascii="Cambria"/>
        </w:rPr>
        <w:t>.</w:t>
      </w:r>
      <w:r>
        <w:rPr>
          <w:rFonts w:ascii="Garamond"/>
        </w:rPr>
        <w:t>0</w:t>
      </w:r>
      <w:r>
        <w:rPr>
          <w:rFonts w:ascii="Cambria"/>
        </w:rPr>
        <w:t>x</w:t>
      </w:r>
      <w:r>
        <w:rPr/>
        <w:t>,</w:t>
      </w:r>
      <w:r>
        <w:rPr>
          <w:spacing w:val="30"/>
        </w:rPr>
        <w:t> </w:t>
      </w:r>
      <w:r>
        <w:rPr>
          <w:rFonts w:ascii="Garamond"/>
        </w:rPr>
        <w:t>3</w:t>
      </w:r>
      <w:r>
        <w:rPr>
          <w:rFonts w:ascii="Cambria"/>
        </w:rPr>
        <w:t>.</w:t>
      </w:r>
      <w:r>
        <w:rPr>
          <w:rFonts w:ascii="Garamond"/>
        </w:rPr>
        <w:t>5</w:t>
      </w:r>
      <w:r>
        <w:rPr>
          <w:rFonts w:ascii="Cambria"/>
        </w:rPr>
        <w:t>y</w:t>
      </w:r>
      <w:r>
        <w:rPr>
          <w:rFonts w:ascii="Cambria"/>
          <w:spacing w:val="39"/>
        </w:rPr>
        <w:t> </w:t>
      </w:r>
      <w:r>
        <w:rPr/>
        <w:t>weighted</w:t>
      </w:r>
      <w:r>
        <w:rPr>
          <w:spacing w:val="24"/>
        </w:rPr>
        <w:t> </w:t>
      </w:r>
      <w:r>
        <w:rPr/>
        <w:t>distance plots have the greatest differences and are plotted on different ends of the graph:</w:t>
      </w:r>
      <w:r>
        <w:rPr>
          <w:spacing w:val="31"/>
        </w:rPr>
        <w:t> </w:t>
      </w:r>
      <w:r>
        <w:rPr/>
        <w:t>Leeds have a predominantly upward shift towards the opposition 20m; and Salford have a pre- dominantly</w:t>
      </w:r>
      <w:r>
        <w:rPr>
          <w:spacing w:val="-4"/>
        </w:rPr>
        <w:t> </w:t>
      </w:r>
      <w:r>
        <w:rPr/>
        <w:t>downward</w:t>
      </w:r>
      <w:r>
        <w:rPr>
          <w:spacing w:val="-3"/>
        </w:rPr>
        <w:t> </w:t>
      </w:r>
      <w:r>
        <w:rPr/>
        <w:t>shift</w:t>
      </w:r>
      <w:r>
        <w:rPr>
          <w:spacing w:val="-4"/>
        </w:rPr>
        <w:t> </w:t>
      </w:r>
      <w:r>
        <w:rPr/>
        <w:t>of</w:t>
      </w:r>
      <w:r>
        <w:rPr>
          <w:spacing w:val="-3"/>
        </w:rPr>
        <w:t> </w:t>
      </w:r>
      <w:r>
        <w:rPr/>
        <w:t>density</w:t>
      </w:r>
      <w:r>
        <w:rPr>
          <w:spacing w:val="-4"/>
        </w:rPr>
        <w:t> </w:t>
      </w:r>
      <w:r>
        <w:rPr/>
        <w:t>towards</w:t>
      </w:r>
      <w:r>
        <w:rPr>
          <w:spacing w:val="-4"/>
        </w:rPr>
        <w:t> </w:t>
      </w:r>
      <w:r>
        <w:rPr/>
        <w:t>their</w:t>
      </w:r>
      <w:r>
        <w:rPr>
          <w:spacing w:val="-3"/>
        </w:rPr>
        <w:t> </w:t>
      </w:r>
      <w:r>
        <w:rPr/>
        <w:t>own</w:t>
      </w:r>
      <w:r>
        <w:rPr>
          <w:spacing w:val="-4"/>
        </w:rPr>
        <w:t> </w:t>
      </w:r>
      <w:r>
        <w:rPr/>
        <w:t>try</w:t>
      </w:r>
      <w:r>
        <w:rPr>
          <w:spacing w:val="-3"/>
        </w:rPr>
        <w:t> </w:t>
      </w:r>
      <w:r>
        <w:rPr/>
        <w:t>line.</w:t>
      </w:r>
      <w:r>
        <w:rPr>
          <w:spacing w:val="16"/>
        </w:rPr>
        <w:t> </w:t>
      </w:r>
      <w:r>
        <w:rPr/>
        <w:t>Hull</w:t>
      </w:r>
      <w:r>
        <w:rPr>
          <w:spacing w:val="-4"/>
        </w:rPr>
        <w:t> </w:t>
      </w:r>
      <w:r>
        <w:rPr/>
        <w:t>Kingston</w:t>
      </w:r>
      <w:r>
        <w:rPr>
          <w:spacing w:val="-3"/>
        </w:rPr>
        <w:t> </w:t>
      </w:r>
      <w:r>
        <w:rPr/>
        <w:t>Rovers, Wakefield,</w:t>
      </w:r>
      <w:r>
        <w:rPr>
          <w:spacing w:val="-14"/>
        </w:rPr>
        <w:t> </w:t>
      </w:r>
      <w:r>
        <w:rPr/>
        <w:t>Huddersfield</w:t>
      </w:r>
      <w:r>
        <w:rPr>
          <w:spacing w:val="-15"/>
        </w:rPr>
        <w:t> </w:t>
      </w:r>
      <w:r>
        <w:rPr/>
        <w:t>and</w:t>
      </w:r>
      <w:r>
        <w:rPr>
          <w:spacing w:val="-14"/>
        </w:rPr>
        <w:t> </w:t>
      </w:r>
      <w:r>
        <w:rPr/>
        <w:t>Warrington</w:t>
      </w:r>
      <w:r>
        <w:rPr>
          <w:spacing w:val="-15"/>
        </w:rPr>
        <w:t> </w:t>
      </w:r>
      <w:r>
        <w:rPr/>
        <w:t>who</w:t>
      </w:r>
      <w:r>
        <w:rPr>
          <w:spacing w:val="-14"/>
        </w:rPr>
        <w:t> </w:t>
      </w:r>
      <w:r>
        <w:rPr/>
        <w:t>all</w:t>
      </w:r>
      <w:r>
        <w:rPr>
          <w:spacing w:val="-15"/>
        </w:rPr>
        <w:t> </w:t>
      </w:r>
      <w:r>
        <w:rPr/>
        <w:t>have</w:t>
      </w:r>
      <w:r>
        <w:rPr>
          <w:spacing w:val="-14"/>
        </w:rPr>
        <w:t> </w:t>
      </w:r>
      <w:r>
        <w:rPr/>
        <w:t>large</w:t>
      </w:r>
      <w:r>
        <w:rPr>
          <w:spacing w:val="-15"/>
        </w:rPr>
        <w:t> </w:t>
      </w:r>
      <w:r>
        <w:rPr/>
        <w:t>positive</w:t>
      </w:r>
      <w:r>
        <w:rPr>
          <w:spacing w:val="-14"/>
        </w:rPr>
        <w:t> </w:t>
      </w:r>
      <w:r>
        <w:rPr/>
        <w:t>or</w:t>
      </w:r>
      <w:r>
        <w:rPr>
          <w:spacing w:val="-15"/>
        </w:rPr>
        <w:t> </w:t>
      </w:r>
      <w:r>
        <w:rPr/>
        <w:t>negative</w:t>
      </w:r>
      <w:r>
        <w:rPr>
          <w:spacing w:val="-14"/>
        </w:rPr>
        <w:t> </w:t>
      </w:r>
      <w:r>
        <w:rPr/>
        <w:t>densities in the opposition 20m are also detected as teams with larger upward/downward density movement</w:t>
      </w:r>
      <w:r>
        <w:rPr>
          <w:spacing w:val="23"/>
        </w:rPr>
        <w:t> </w:t>
      </w:r>
      <w:r>
        <w:rPr/>
        <w:t>using</w:t>
      </w:r>
      <w:r>
        <w:rPr>
          <w:spacing w:val="23"/>
        </w:rPr>
        <w:t> </w:t>
      </w:r>
      <w:r>
        <w:rPr/>
        <w:t>this</w:t>
      </w:r>
      <w:r>
        <w:rPr>
          <w:spacing w:val="23"/>
        </w:rPr>
        <w:t> </w:t>
      </w:r>
      <w:r>
        <w:rPr/>
        <w:t>method.</w:t>
      </w:r>
      <w:r>
        <w:rPr>
          <w:spacing w:val="80"/>
        </w:rPr>
        <w:t> </w:t>
      </w:r>
      <w:r>
        <w:rPr/>
        <w:t>Catalans,</w:t>
      </w:r>
      <w:r>
        <w:rPr>
          <w:spacing w:val="31"/>
        </w:rPr>
        <w:t> </w:t>
      </w:r>
      <w:r>
        <w:rPr/>
        <w:t>who</w:t>
      </w:r>
      <w:r>
        <w:rPr>
          <w:spacing w:val="23"/>
        </w:rPr>
        <w:t> </w:t>
      </w:r>
      <w:r>
        <w:rPr/>
        <w:t>were</w:t>
      </w:r>
      <w:r>
        <w:rPr>
          <w:spacing w:val="23"/>
        </w:rPr>
        <w:t> </w:t>
      </w:r>
      <w:r>
        <w:rPr/>
        <w:t>shown</w:t>
      </w:r>
      <w:r>
        <w:rPr>
          <w:spacing w:val="23"/>
        </w:rPr>
        <w:t> </w:t>
      </w:r>
      <w:r>
        <w:rPr/>
        <w:t>as</w:t>
      </w:r>
      <w:r>
        <w:rPr>
          <w:spacing w:val="23"/>
        </w:rPr>
        <w:t> </w:t>
      </w:r>
      <w:r>
        <w:rPr/>
        <w:t>having</w:t>
      </w:r>
      <w:r>
        <w:rPr>
          <w:spacing w:val="23"/>
        </w:rPr>
        <w:t> </w:t>
      </w:r>
      <w:r>
        <w:rPr/>
        <w:t>one</w:t>
      </w:r>
      <w:r>
        <w:rPr>
          <w:spacing w:val="23"/>
        </w:rPr>
        <w:t> </w:t>
      </w:r>
      <w:r>
        <w:rPr/>
        <w:t>of</w:t>
      </w:r>
      <w:r>
        <w:rPr>
          <w:spacing w:val="23"/>
        </w:rPr>
        <w:t> </w:t>
      </w:r>
      <w:r>
        <w:rPr/>
        <w:t>the</w:t>
      </w:r>
      <w:r>
        <w:rPr>
          <w:spacing w:val="23"/>
        </w:rPr>
        <w:t> </w:t>
      </w:r>
      <w:r>
        <w:rPr/>
        <w:t>larger Wasserstein distances using the weighted method have a much smaller Wasserstein </w:t>
      </w:r>
      <w:r>
        <w:rPr/>
        <w:t>dis- tance</w:t>
      </w:r>
      <w:r>
        <w:rPr>
          <w:spacing w:val="-8"/>
        </w:rPr>
        <w:t> </w:t>
      </w:r>
      <w:r>
        <w:rPr/>
        <w:t>difference,</w:t>
      </w:r>
      <w:r>
        <w:rPr>
          <w:spacing w:val="-8"/>
        </w:rPr>
        <w:t> </w:t>
      </w:r>
      <w:r>
        <w:rPr/>
        <w:t>which</w:t>
      </w:r>
      <w:r>
        <w:rPr>
          <w:spacing w:val="-8"/>
        </w:rPr>
        <w:t> </w:t>
      </w:r>
      <w:r>
        <w:rPr/>
        <w:t>shows</w:t>
      </w:r>
      <w:r>
        <w:rPr>
          <w:spacing w:val="-8"/>
        </w:rPr>
        <w:t> </w:t>
      </w:r>
      <w:r>
        <w:rPr/>
        <w:t>a</w:t>
      </w:r>
      <w:r>
        <w:rPr>
          <w:spacing w:val="-8"/>
        </w:rPr>
        <w:t> </w:t>
      </w:r>
      <w:r>
        <w:rPr/>
        <w:t>small</w:t>
      </w:r>
      <w:r>
        <w:rPr>
          <w:spacing w:val="-8"/>
        </w:rPr>
        <w:t> </w:t>
      </w:r>
      <w:r>
        <w:rPr/>
        <w:t>upward</w:t>
      </w:r>
      <w:r>
        <w:rPr>
          <w:spacing w:val="-8"/>
        </w:rPr>
        <w:t> </w:t>
      </w:r>
      <w:r>
        <w:rPr/>
        <w:t>shift. This</w:t>
      </w:r>
      <w:r>
        <w:rPr>
          <w:spacing w:val="-8"/>
        </w:rPr>
        <w:t> </w:t>
      </w:r>
      <w:r>
        <w:rPr/>
        <w:t>provides</w:t>
      </w:r>
      <w:r>
        <w:rPr>
          <w:spacing w:val="-8"/>
        </w:rPr>
        <w:t> </w:t>
      </w:r>
      <w:r>
        <w:rPr/>
        <w:t>a</w:t>
      </w:r>
      <w:r>
        <w:rPr>
          <w:spacing w:val="-8"/>
        </w:rPr>
        <w:t> </w:t>
      </w:r>
      <w:r>
        <w:rPr/>
        <w:t>better</w:t>
      </w:r>
      <w:r>
        <w:rPr>
          <w:spacing w:val="-8"/>
        </w:rPr>
        <w:t> </w:t>
      </w:r>
      <w:r>
        <w:rPr/>
        <w:t>representation of the paler colours present within their KDE (Figure</w:t>
      </w:r>
      <w:hyperlink w:history="true" w:anchor="_bookmark151">
        <w:r>
          <w:rPr>
            <w:color w:val="0000FF"/>
          </w:rPr>
          <w:t>5.6</w:t>
        </w:r>
      </w:hyperlink>
      <w:r>
        <w:rPr/>
        <w:t>).</w:t>
      </w:r>
    </w:p>
    <w:p>
      <w:pPr>
        <w:pStyle w:val="BodyText"/>
        <w:spacing w:line="312" w:lineRule="auto" w:before="10"/>
        <w:ind w:left="610" w:right="389" w:firstLine="351"/>
        <w:jc w:val="both"/>
      </w:pPr>
      <w:r>
        <w:rPr/>
        <w:t>On the whole the differences shown by the directional Wasserstein distance </w:t>
      </w:r>
      <w:r>
        <w:rPr/>
        <w:t>plots provide significant information in a simple format which coaches can use to identify in greater detail how they compare to other teams within the league.</w:t>
      </w:r>
      <w:r>
        <w:rPr>
          <w:spacing w:val="40"/>
        </w:rPr>
        <w:t> </w:t>
      </w:r>
      <w:r>
        <w:rPr/>
        <w:t>The incorporation of the</w:t>
      </w:r>
      <w:r>
        <w:rPr>
          <w:spacing w:val="-4"/>
        </w:rPr>
        <w:t> </w:t>
      </w:r>
      <w:r>
        <w:rPr/>
        <w:t>directional</w:t>
      </w:r>
      <w:r>
        <w:rPr>
          <w:spacing w:val="-4"/>
        </w:rPr>
        <w:t> </w:t>
      </w:r>
      <w:r>
        <w:rPr/>
        <w:t>element</w:t>
      </w:r>
      <w:r>
        <w:rPr>
          <w:spacing w:val="-4"/>
        </w:rPr>
        <w:t> </w:t>
      </w:r>
      <w:r>
        <w:rPr/>
        <w:t>(as</w:t>
      </w:r>
      <w:r>
        <w:rPr>
          <w:spacing w:val="-4"/>
        </w:rPr>
        <w:t> </w:t>
      </w:r>
      <w:r>
        <w:rPr/>
        <w:t>opposed</w:t>
      </w:r>
      <w:r>
        <w:rPr>
          <w:spacing w:val="-4"/>
        </w:rPr>
        <w:t> </w:t>
      </w:r>
      <w:r>
        <w:rPr/>
        <w:t>to</w:t>
      </w:r>
      <w:r>
        <w:rPr>
          <w:spacing w:val="-4"/>
        </w:rPr>
        <w:t> </w:t>
      </w:r>
      <w:r>
        <w:rPr/>
        <w:t>the</w:t>
      </w:r>
      <w:r>
        <w:rPr>
          <w:spacing w:val="-4"/>
        </w:rPr>
        <w:t> </w:t>
      </w:r>
      <w:r>
        <w:rPr/>
        <w:t>axis</w:t>
      </w:r>
      <w:r>
        <w:rPr>
          <w:spacing w:val="-4"/>
        </w:rPr>
        <w:t> </w:t>
      </w:r>
      <w:r>
        <w:rPr/>
        <w:t>element</w:t>
      </w:r>
      <w:r>
        <w:rPr>
          <w:spacing w:val="-4"/>
        </w:rPr>
        <w:t> </w:t>
      </w:r>
      <w:r>
        <w:rPr/>
        <w:t>described</w:t>
      </w:r>
      <w:r>
        <w:rPr>
          <w:spacing w:val="-4"/>
        </w:rPr>
        <w:t> </w:t>
      </w:r>
      <w:r>
        <w:rPr/>
        <w:t>in</w:t>
      </w:r>
      <w:r>
        <w:rPr>
          <w:spacing w:val="-4"/>
        </w:rPr>
        <w:t> </w:t>
      </w:r>
      <w:r>
        <w:rPr/>
        <w:t>Section</w:t>
      </w:r>
      <w:hyperlink w:history="true" w:anchor="_bookmark154">
        <w:r>
          <w:rPr>
            <w:color w:val="0000FF"/>
          </w:rPr>
          <w:t>5.3.2.2</w:t>
        </w:r>
        <w:r>
          <w:rPr/>
          <w:t>)</w:t>
        </w:r>
      </w:hyperlink>
      <w:r>
        <w:rPr>
          <w:spacing w:val="-4"/>
        </w:rPr>
        <w:t> </w:t>
      </w:r>
      <w:r>
        <w:rPr/>
        <w:t>is</w:t>
      </w:r>
      <w:r>
        <w:rPr>
          <w:spacing w:val="-4"/>
        </w:rPr>
        <w:t> </w:t>
      </w:r>
      <w:r>
        <w:rPr/>
        <w:t>an</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before="97"/>
        <w:ind w:left="610"/>
        <w:jc w:val="both"/>
      </w:pPr>
      <w:r>
        <w:rPr/>
        <w:t>extremely</w:t>
      </w:r>
      <w:r>
        <w:rPr>
          <w:spacing w:val="-9"/>
        </w:rPr>
        <w:t> </w:t>
      </w:r>
      <w:r>
        <w:rPr/>
        <w:t>valuable</w:t>
      </w:r>
      <w:r>
        <w:rPr>
          <w:spacing w:val="-8"/>
        </w:rPr>
        <w:t> </w:t>
      </w:r>
      <w:r>
        <w:rPr/>
        <w:t>tool</w:t>
      </w:r>
      <w:r>
        <w:rPr>
          <w:spacing w:val="-9"/>
        </w:rPr>
        <w:t> </w:t>
      </w:r>
      <w:r>
        <w:rPr/>
        <w:t>to</w:t>
      </w:r>
      <w:r>
        <w:rPr>
          <w:spacing w:val="-8"/>
        </w:rPr>
        <w:t> </w:t>
      </w:r>
      <w:r>
        <w:rPr/>
        <w:t>enable</w:t>
      </w:r>
      <w:r>
        <w:rPr>
          <w:spacing w:val="-9"/>
        </w:rPr>
        <w:t> </w:t>
      </w:r>
      <w:r>
        <w:rPr/>
        <w:t>these</w:t>
      </w:r>
      <w:r>
        <w:rPr>
          <w:spacing w:val="-8"/>
        </w:rPr>
        <w:t> </w:t>
      </w:r>
      <w:r>
        <w:rPr>
          <w:spacing w:val="-2"/>
        </w:rPr>
        <w:t>comparisons.</w:t>
      </w:r>
    </w:p>
    <w:p>
      <w:pPr>
        <w:pStyle w:val="BodyText"/>
        <w:spacing w:before="7"/>
        <w:rPr>
          <w:sz w:val="37"/>
        </w:rPr>
      </w:pPr>
    </w:p>
    <w:p>
      <w:pPr>
        <w:pStyle w:val="Heading4"/>
        <w:numPr>
          <w:ilvl w:val="3"/>
          <w:numId w:val="23"/>
        </w:numPr>
        <w:tabs>
          <w:tab w:pos="1506" w:val="left" w:leader="none"/>
          <w:tab w:pos="1508" w:val="left" w:leader="none"/>
        </w:tabs>
        <w:spacing w:line="240" w:lineRule="auto" w:before="0" w:after="0"/>
        <w:ind w:left="1507" w:right="0" w:hanging="898"/>
        <w:jc w:val="left"/>
      </w:pPr>
      <w:bookmarkStart w:name="_TOC_250016" w:id="280"/>
      <w:bookmarkStart w:name="5.3.2.4 Evaluation of Within Team Differ" w:id="281"/>
      <w:r>
        <w:rPr>
          <w:b w:val="0"/>
        </w:rPr>
      </w:r>
      <w:bookmarkStart w:name="_bookmark163" w:id="282"/>
      <w:bookmarkEnd w:id="282"/>
      <w:r>
        <w:rPr>
          <w:spacing w:val="-2"/>
        </w:rPr>
        <w:t>E</w:t>
      </w:r>
      <w:r>
        <w:rPr>
          <w:spacing w:val="-2"/>
        </w:rPr>
        <w:t>valuation</w:t>
      </w:r>
      <w:r>
        <w:rPr>
          <w:spacing w:val="-5"/>
        </w:rPr>
        <w:t> </w:t>
      </w:r>
      <w:r>
        <w:rPr>
          <w:spacing w:val="-2"/>
        </w:rPr>
        <w:t>of</w:t>
      </w:r>
      <w:r>
        <w:rPr>
          <w:spacing w:val="-4"/>
        </w:rPr>
        <w:t> </w:t>
      </w:r>
      <w:r>
        <w:rPr>
          <w:spacing w:val="-2"/>
        </w:rPr>
        <w:t>Within</w:t>
      </w:r>
      <w:r>
        <w:rPr>
          <w:spacing w:val="-4"/>
        </w:rPr>
        <w:t> </w:t>
      </w:r>
      <w:r>
        <w:rPr>
          <w:spacing w:val="-2"/>
        </w:rPr>
        <w:t>Team</w:t>
      </w:r>
      <w:r>
        <w:rPr>
          <w:spacing w:val="-4"/>
        </w:rPr>
        <w:t> </w:t>
      </w:r>
      <w:bookmarkEnd w:id="280"/>
      <w:r>
        <w:rPr>
          <w:spacing w:val="-2"/>
        </w:rPr>
        <w:t>Differences</w:t>
      </w:r>
    </w:p>
    <w:p>
      <w:pPr>
        <w:pStyle w:val="BodyText"/>
        <w:spacing w:line="312" w:lineRule="auto" w:before="244"/>
        <w:ind w:left="610" w:right="389"/>
        <w:jc w:val="both"/>
      </w:pPr>
      <w:r>
        <w:rPr/>
        <w:t>Conducting analyses at the between team level as described in the sections above al- lows practitioners to understand the spatial trends of attacking performances for a </w:t>
      </w:r>
      <w:r>
        <w:rPr/>
        <w:t>given team relative to other teams in the league.</w:t>
      </w:r>
      <w:r>
        <w:rPr>
          <w:spacing w:val="40"/>
        </w:rPr>
        <w:t> </w:t>
      </w:r>
      <w:r>
        <w:rPr/>
        <w:t>In this section, the results of the analysis are discussed at a within team level.</w:t>
      </w:r>
      <w:r>
        <w:rPr>
          <w:spacing w:val="40"/>
        </w:rPr>
        <w:t> </w:t>
      </w:r>
      <w:r>
        <w:rPr/>
        <w:t>At a within team level, the results of the directional Wasserstein</w:t>
      </w:r>
      <w:r>
        <w:rPr>
          <w:spacing w:val="-14"/>
        </w:rPr>
        <w:t> </w:t>
      </w:r>
      <w:r>
        <w:rPr/>
        <w:t>distance</w:t>
      </w:r>
      <w:r>
        <w:rPr>
          <w:spacing w:val="-14"/>
        </w:rPr>
        <w:t> </w:t>
      </w:r>
      <w:r>
        <w:rPr/>
        <w:t>comparisons</w:t>
      </w:r>
      <w:r>
        <w:rPr>
          <w:spacing w:val="-14"/>
        </w:rPr>
        <w:t> </w:t>
      </w:r>
      <w:r>
        <w:rPr/>
        <w:t>provide</w:t>
      </w:r>
      <w:r>
        <w:rPr>
          <w:spacing w:val="-14"/>
        </w:rPr>
        <w:t> </w:t>
      </w:r>
      <w:r>
        <w:rPr/>
        <w:t>useful</w:t>
      </w:r>
      <w:r>
        <w:rPr>
          <w:spacing w:val="-14"/>
        </w:rPr>
        <w:t> </w:t>
      </w:r>
      <w:r>
        <w:rPr/>
        <w:t>insights</w:t>
      </w:r>
      <w:r>
        <w:rPr>
          <w:spacing w:val="-14"/>
        </w:rPr>
        <w:t> </w:t>
      </w:r>
      <w:r>
        <w:rPr/>
        <w:t>into</w:t>
      </w:r>
      <w:r>
        <w:rPr>
          <w:spacing w:val="-14"/>
        </w:rPr>
        <w:t> </w:t>
      </w:r>
      <w:r>
        <w:rPr/>
        <w:t>the</w:t>
      </w:r>
      <w:r>
        <w:rPr>
          <w:spacing w:val="-14"/>
        </w:rPr>
        <w:t> </w:t>
      </w:r>
      <w:r>
        <w:rPr/>
        <w:t>spatial</w:t>
      </w:r>
      <w:r>
        <w:rPr>
          <w:spacing w:val="-14"/>
        </w:rPr>
        <w:t> </w:t>
      </w:r>
      <w:r>
        <w:rPr/>
        <w:t>trends</w:t>
      </w:r>
      <w:r>
        <w:rPr>
          <w:spacing w:val="-14"/>
        </w:rPr>
        <w:t> </w:t>
      </w:r>
      <w:r>
        <w:rPr/>
        <w:t>of</w:t>
      </w:r>
      <w:r>
        <w:rPr>
          <w:spacing w:val="-14"/>
        </w:rPr>
        <w:t> </w:t>
      </w:r>
      <w:r>
        <w:rPr/>
        <w:t>attack- ing performances for a selected team against different opponents.</w:t>
      </w:r>
      <w:r>
        <w:rPr>
          <w:spacing w:val="40"/>
        </w:rPr>
        <w:t> </w:t>
      </w:r>
      <w:r>
        <w:rPr/>
        <w:t>For some teams (e.g. Castleford;</w:t>
      </w:r>
      <w:r>
        <w:rPr>
          <w:spacing w:val="-11"/>
        </w:rPr>
        <w:t> </w:t>
      </w:r>
      <w:r>
        <w:rPr/>
        <w:t>Figure</w:t>
      </w:r>
      <w:hyperlink w:history="true" w:anchor="_bookmark165">
        <w:r>
          <w:rPr>
            <w:color w:val="0000FF"/>
          </w:rPr>
          <w:t>5.15</w:t>
        </w:r>
      </w:hyperlink>
      <w:r>
        <w:rPr/>
        <w:t>),</w:t>
      </w:r>
      <w:r>
        <w:rPr>
          <w:spacing w:val="-12"/>
        </w:rPr>
        <w:t> </w:t>
      </w:r>
      <w:r>
        <w:rPr/>
        <w:t>these</w:t>
      </w:r>
      <w:r>
        <w:rPr>
          <w:spacing w:val="-14"/>
        </w:rPr>
        <w:t> </w:t>
      </w:r>
      <w:r>
        <w:rPr/>
        <w:t>differences</w:t>
      </w:r>
      <w:r>
        <w:rPr>
          <w:spacing w:val="-14"/>
        </w:rPr>
        <w:t> </w:t>
      </w:r>
      <w:r>
        <w:rPr/>
        <w:t>are</w:t>
      </w:r>
      <w:r>
        <w:rPr>
          <w:spacing w:val="-14"/>
        </w:rPr>
        <w:t> </w:t>
      </w:r>
      <w:r>
        <w:rPr/>
        <w:t>easily</w:t>
      </w:r>
      <w:r>
        <w:rPr>
          <w:spacing w:val="-14"/>
        </w:rPr>
        <w:t> </w:t>
      </w:r>
      <w:r>
        <w:rPr/>
        <w:t>noticeable</w:t>
      </w:r>
      <w:r>
        <w:rPr>
          <w:spacing w:val="-14"/>
        </w:rPr>
        <w:t> </w:t>
      </w:r>
      <w:r>
        <w:rPr/>
        <w:t>when</w:t>
      </w:r>
      <w:r>
        <w:rPr>
          <w:spacing w:val="-14"/>
        </w:rPr>
        <w:t> </w:t>
      </w:r>
      <w:r>
        <w:rPr/>
        <w:t>all</w:t>
      </w:r>
      <w:r>
        <w:rPr>
          <w:spacing w:val="-14"/>
        </w:rPr>
        <w:t> </w:t>
      </w:r>
      <w:r>
        <w:rPr/>
        <w:t>the</w:t>
      </w:r>
      <w:r>
        <w:rPr>
          <w:spacing w:val="-14"/>
        </w:rPr>
        <w:t> </w:t>
      </w:r>
      <w:r>
        <w:rPr/>
        <w:t>team’s</w:t>
      </w:r>
      <w:r>
        <w:rPr>
          <w:spacing w:val="-14"/>
        </w:rPr>
        <w:t> </w:t>
      </w:r>
      <w:r>
        <w:rPr/>
        <w:t>data</w:t>
      </w:r>
      <w:r>
        <w:rPr>
          <w:spacing w:val="-14"/>
        </w:rPr>
        <w:t> </w:t>
      </w:r>
      <w:r>
        <w:rPr/>
        <w:t>is present; for others (e.g. Catalans; Figure</w:t>
      </w:r>
      <w:hyperlink w:history="true" w:anchor="_bookmark167">
        <w:r>
          <w:rPr>
            <w:color w:val="0000FF"/>
          </w:rPr>
          <w:t>5.17</w:t>
        </w:r>
      </w:hyperlink>
      <w:r>
        <w:rPr/>
        <w:t>), it is important to zoom in on the majority of</w:t>
      </w:r>
      <w:r>
        <w:rPr>
          <w:spacing w:val="-4"/>
        </w:rPr>
        <w:t> </w:t>
      </w:r>
      <w:r>
        <w:rPr/>
        <w:t>the</w:t>
      </w:r>
      <w:r>
        <w:rPr>
          <w:spacing w:val="-4"/>
        </w:rPr>
        <w:t> </w:t>
      </w:r>
      <w:r>
        <w:rPr/>
        <w:t>data</w:t>
      </w:r>
      <w:r>
        <w:rPr>
          <w:spacing w:val="-4"/>
        </w:rPr>
        <w:t> </w:t>
      </w:r>
      <w:r>
        <w:rPr/>
        <w:t>as</w:t>
      </w:r>
      <w:r>
        <w:rPr>
          <w:spacing w:val="-4"/>
        </w:rPr>
        <w:t> </w:t>
      </w:r>
      <w:r>
        <w:rPr/>
        <w:t>a</w:t>
      </w:r>
      <w:r>
        <w:rPr>
          <w:spacing w:val="-4"/>
        </w:rPr>
        <w:t> </w:t>
      </w:r>
      <w:r>
        <w:rPr/>
        <w:t>single</w:t>
      </w:r>
      <w:r>
        <w:rPr>
          <w:spacing w:val="-4"/>
        </w:rPr>
        <w:t> </w:t>
      </w:r>
      <w:r>
        <w:rPr/>
        <w:t>extreme</w:t>
      </w:r>
      <w:r>
        <w:rPr>
          <w:spacing w:val="-4"/>
        </w:rPr>
        <w:t> </w:t>
      </w:r>
      <w:r>
        <w:rPr/>
        <w:t>value</w:t>
      </w:r>
      <w:r>
        <w:rPr>
          <w:spacing w:val="-4"/>
        </w:rPr>
        <w:t> </w:t>
      </w:r>
      <w:r>
        <w:rPr/>
        <w:t>can</w:t>
      </w:r>
      <w:r>
        <w:rPr>
          <w:spacing w:val="-4"/>
        </w:rPr>
        <w:t> </w:t>
      </w:r>
      <w:r>
        <w:rPr/>
        <w:t>skew</w:t>
      </w:r>
      <w:r>
        <w:rPr>
          <w:spacing w:val="-4"/>
        </w:rPr>
        <w:t> </w:t>
      </w:r>
      <w:r>
        <w:rPr/>
        <w:t>the</w:t>
      </w:r>
      <w:r>
        <w:rPr>
          <w:spacing w:val="-4"/>
        </w:rPr>
        <w:t> </w:t>
      </w:r>
      <w:r>
        <w:rPr/>
        <w:t>graph’s</w:t>
      </w:r>
      <w:r>
        <w:rPr>
          <w:spacing w:val="-4"/>
        </w:rPr>
        <w:t> </w:t>
      </w:r>
      <w:r>
        <w:rPr/>
        <w:t>axes. This</w:t>
      </w:r>
      <w:r>
        <w:rPr>
          <w:spacing w:val="-4"/>
        </w:rPr>
        <w:t> </w:t>
      </w:r>
      <w:r>
        <w:rPr/>
        <w:t>section</w:t>
      </w:r>
      <w:r>
        <w:rPr>
          <w:spacing w:val="-4"/>
        </w:rPr>
        <w:t> </w:t>
      </w:r>
      <w:r>
        <w:rPr/>
        <w:t>provides</w:t>
      </w:r>
      <w:r>
        <w:rPr>
          <w:spacing w:val="-4"/>
        </w:rPr>
        <w:t> </w:t>
      </w:r>
      <w:r>
        <w:rPr/>
        <w:t>an example of how these plots can be used to understand teams’ spatial trends of attacking performances</w:t>
      </w:r>
      <w:r>
        <w:rPr>
          <w:spacing w:val="-5"/>
        </w:rPr>
        <w:t> </w:t>
      </w:r>
      <w:r>
        <w:rPr/>
        <w:t>and</w:t>
      </w:r>
      <w:r>
        <w:rPr>
          <w:spacing w:val="-5"/>
        </w:rPr>
        <w:t> </w:t>
      </w:r>
      <w:r>
        <w:rPr/>
        <w:t>how</w:t>
      </w:r>
      <w:r>
        <w:rPr>
          <w:spacing w:val="-5"/>
        </w:rPr>
        <w:t> </w:t>
      </w:r>
      <w:r>
        <w:rPr/>
        <w:t>they</w:t>
      </w:r>
      <w:r>
        <w:rPr>
          <w:spacing w:val="-5"/>
        </w:rPr>
        <w:t> </w:t>
      </w:r>
      <w:r>
        <w:rPr/>
        <w:t>relate</w:t>
      </w:r>
      <w:r>
        <w:rPr>
          <w:spacing w:val="-5"/>
        </w:rPr>
        <w:t> </w:t>
      </w:r>
      <w:r>
        <w:rPr/>
        <w:t>to</w:t>
      </w:r>
      <w:r>
        <w:rPr>
          <w:spacing w:val="-5"/>
        </w:rPr>
        <w:t> </w:t>
      </w:r>
      <w:r>
        <w:rPr/>
        <w:t>match</w:t>
      </w:r>
      <w:r>
        <w:rPr>
          <w:spacing w:val="-5"/>
        </w:rPr>
        <w:t> </w:t>
      </w:r>
      <w:r>
        <w:rPr/>
        <w:t>performances</w:t>
      </w:r>
      <w:r>
        <w:rPr>
          <w:spacing w:val="-5"/>
        </w:rPr>
        <w:t> </w:t>
      </w:r>
      <w:r>
        <w:rPr/>
        <w:t>against</w:t>
      </w:r>
      <w:r>
        <w:rPr>
          <w:spacing w:val="-5"/>
        </w:rPr>
        <w:t> </w:t>
      </w:r>
      <w:r>
        <w:rPr/>
        <w:t>different</w:t>
      </w:r>
      <w:r>
        <w:rPr>
          <w:spacing w:val="-5"/>
        </w:rPr>
        <w:t> </w:t>
      </w:r>
      <w:r>
        <w:rPr/>
        <w:t>opponents</w:t>
      </w:r>
      <w:r>
        <w:rPr>
          <w:spacing w:val="-5"/>
        </w:rPr>
        <w:t> </w:t>
      </w:r>
      <w:r>
        <w:rPr/>
        <w:t>for two clubs: Castleford and Catalans.</w:t>
      </w:r>
    </w:p>
    <w:p>
      <w:pPr>
        <w:pStyle w:val="BodyText"/>
        <w:spacing w:line="312" w:lineRule="auto"/>
        <w:ind w:left="610" w:right="389" w:firstLine="351"/>
      </w:pPr>
      <w:r>
        <w:rPr/>
        <w:t>Figure</w:t>
      </w:r>
      <w:hyperlink w:history="true" w:anchor="_bookmark164">
        <w:r>
          <w:rPr>
            <w:color w:val="0000FF"/>
          </w:rPr>
          <w:t>5.14</w:t>
        </w:r>
      </w:hyperlink>
      <w:r>
        <w:rPr/>
        <w:t>visualises the within team attacking differences for Castleford’s KDEs against different oppositions; Figure</w:t>
      </w:r>
      <w:hyperlink w:history="true" w:anchor="_bookmark165">
        <w:r>
          <w:rPr>
            <w:color w:val="0000FF"/>
          </w:rPr>
          <w:t>5.15</w:t>
        </w:r>
      </w:hyperlink>
      <w:r>
        <w:rPr/>
        <w:t>shows their within team quadrant plot. The left plot of Figure</w:t>
      </w:r>
      <w:hyperlink w:history="true" w:anchor="_bookmark165">
        <w:r>
          <w:rPr>
            <w:color w:val="0000FF"/>
          </w:rPr>
          <w:t>5.15</w:t>
        </w:r>
      </w:hyperlink>
      <w:r>
        <w:rPr/>
        <w:t>shows left sided biases for matches against Hull Kingston Rovers,</w:t>
      </w:r>
      <w:r>
        <w:rPr>
          <w:spacing w:val="40"/>
        </w:rPr>
        <w:t> </w:t>
      </w:r>
      <w:r>
        <w:rPr/>
        <w:t>Catalans and St Helens,</w:t>
      </w:r>
      <w:r>
        <w:rPr>
          <w:spacing w:val="36"/>
        </w:rPr>
        <w:t> </w:t>
      </w:r>
      <w:r>
        <w:rPr/>
        <w:t>which are congruent with the respective plots in Figure</w:t>
      </w:r>
      <w:hyperlink w:history="true" w:anchor="_bookmark164">
        <w:r>
          <w:rPr>
            <w:color w:val="0000FF"/>
          </w:rPr>
          <w:t>5.14</w:t>
        </w:r>
        <w:r>
          <w:rPr/>
          <w:t>.</w:t>
        </w:r>
      </w:hyperlink>
      <w:r>
        <w:rPr>
          <w:spacing w:val="80"/>
        </w:rPr>
        <w:t> </w:t>
      </w:r>
      <w:r>
        <w:rPr/>
        <w:t>These biases are in addition to the left side bias that Castleford already shows at a </w:t>
      </w:r>
      <w:r>
        <w:rPr/>
        <w:t>team level ensuring that practitioners can be sure that Castleford attacked on the left side of</w:t>
      </w:r>
      <w:r>
        <w:rPr>
          <w:spacing w:val="40"/>
        </w:rPr>
        <w:t> </w:t>
      </w:r>
      <w:r>
        <w:rPr/>
        <w:t>the</w:t>
      </w:r>
      <w:r>
        <w:rPr>
          <w:spacing w:val="22"/>
        </w:rPr>
        <w:t> </w:t>
      </w:r>
      <w:r>
        <w:rPr/>
        <w:t>pitch</w:t>
      </w:r>
      <w:r>
        <w:rPr>
          <w:spacing w:val="22"/>
        </w:rPr>
        <w:t> </w:t>
      </w:r>
      <w:r>
        <w:rPr/>
        <w:t>against</w:t>
      </w:r>
      <w:r>
        <w:rPr>
          <w:spacing w:val="22"/>
        </w:rPr>
        <w:t> </w:t>
      </w:r>
      <w:r>
        <w:rPr/>
        <w:t>these</w:t>
      </w:r>
      <w:r>
        <w:rPr>
          <w:spacing w:val="22"/>
        </w:rPr>
        <w:t> </w:t>
      </w:r>
      <w:r>
        <w:rPr/>
        <w:t>opponents.</w:t>
      </w:r>
      <w:r>
        <w:rPr>
          <w:spacing w:val="80"/>
        </w:rPr>
        <w:t> </w:t>
      </w:r>
      <w:r>
        <w:rPr/>
        <w:t>The</w:t>
      </w:r>
      <w:r>
        <w:rPr>
          <w:spacing w:val="22"/>
        </w:rPr>
        <w:t> </w:t>
      </w:r>
      <w:r>
        <w:rPr/>
        <w:t>right</w:t>
      </w:r>
      <w:r>
        <w:rPr>
          <w:spacing w:val="22"/>
        </w:rPr>
        <w:t> </w:t>
      </w:r>
      <w:r>
        <w:rPr/>
        <w:t>side</w:t>
      </w:r>
      <w:r>
        <w:rPr>
          <w:spacing w:val="22"/>
        </w:rPr>
        <w:t> </w:t>
      </w:r>
      <w:r>
        <w:rPr/>
        <w:t>bias</w:t>
      </w:r>
      <w:r>
        <w:rPr>
          <w:spacing w:val="22"/>
        </w:rPr>
        <w:t> </w:t>
      </w:r>
      <w:r>
        <w:rPr/>
        <w:t>for</w:t>
      </w:r>
      <w:r>
        <w:rPr>
          <w:spacing w:val="22"/>
        </w:rPr>
        <w:t> </w:t>
      </w:r>
      <w:r>
        <w:rPr/>
        <w:t>Salford</w:t>
      </w:r>
      <w:r>
        <w:rPr>
          <w:spacing w:val="22"/>
        </w:rPr>
        <w:t> </w:t>
      </w:r>
      <w:r>
        <w:rPr/>
        <w:t>and</w:t>
      </w:r>
      <w:r>
        <w:rPr>
          <w:spacing w:val="22"/>
        </w:rPr>
        <w:t> </w:t>
      </w:r>
      <w:r>
        <w:rPr/>
        <w:t>Huddersfield</w:t>
      </w:r>
      <w:r>
        <w:rPr>
          <w:spacing w:val="22"/>
        </w:rPr>
        <w:t> </w:t>
      </w:r>
      <w:r>
        <w:rPr/>
        <w:t>is reciprocated by areas of higher density on that side of the pitch in Figure</w:t>
      </w:r>
      <w:hyperlink w:history="true" w:anchor="_bookmark164">
        <w:r>
          <w:rPr>
            <w:color w:val="0000FF"/>
          </w:rPr>
          <w:t>5.14</w:t>
        </w:r>
      </w:hyperlink>
      <w:r>
        <w:rPr/>
        <w:t>for both teams.</w:t>
      </w:r>
      <w:r>
        <w:rPr>
          <w:spacing w:val="-1"/>
        </w:rPr>
        <w:t> </w:t>
      </w:r>
      <w:r>
        <w:rPr/>
        <w:t>However,</w:t>
      </w:r>
      <w:r>
        <w:rPr>
          <w:spacing w:val="-14"/>
        </w:rPr>
        <w:t> </w:t>
      </w:r>
      <w:r>
        <w:rPr/>
        <w:t>the</w:t>
      </w:r>
      <w:r>
        <w:rPr>
          <w:spacing w:val="-14"/>
        </w:rPr>
        <w:t> </w:t>
      </w:r>
      <w:r>
        <w:rPr/>
        <w:t>specific</w:t>
      </w:r>
      <w:r>
        <w:rPr>
          <w:spacing w:val="-14"/>
        </w:rPr>
        <w:t> </w:t>
      </w:r>
      <w:r>
        <w:rPr/>
        <w:t>locations</w:t>
      </w:r>
      <w:r>
        <w:rPr>
          <w:spacing w:val="-14"/>
        </w:rPr>
        <w:t> </w:t>
      </w:r>
      <w:r>
        <w:rPr/>
        <w:t>of</w:t>
      </w:r>
      <w:r>
        <w:rPr>
          <w:spacing w:val="-14"/>
        </w:rPr>
        <w:t> </w:t>
      </w:r>
      <w:r>
        <w:rPr/>
        <w:t>these</w:t>
      </w:r>
      <w:r>
        <w:rPr>
          <w:spacing w:val="-14"/>
        </w:rPr>
        <w:t> </w:t>
      </w:r>
      <w:r>
        <w:rPr/>
        <w:t>biases</w:t>
      </w:r>
      <w:r>
        <w:rPr>
          <w:spacing w:val="-14"/>
        </w:rPr>
        <w:t> </w:t>
      </w:r>
      <w:r>
        <w:rPr/>
        <w:t>differ,</w:t>
      </w:r>
      <w:r>
        <w:rPr>
          <w:spacing w:val="-14"/>
        </w:rPr>
        <w:t> </w:t>
      </w:r>
      <w:r>
        <w:rPr/>
        <w:t>with</w:t>
      </w:r>
      <w:r>
        <w:rPr>
          <w:spacing w:val="-14"/>
        </w:rPr>
        <w:t> </w:t>
      </w:r>
      <w:r>
        <w:rPr/>
        <w:t>Huddersfield</w:t>
      </w:r>
      <w:r>
        <w:rPr>
          <w:spacing w:val="-14"/>
        </w:rPr>
        <w:t> </w:t>
      </w:r>
      <w:r>
        <w:rPr/>
        <w:t>having</w:t>
      </w:r>
      <w:r>
        <w:rPr>
          <w:spacing w:val="-14"/>
        </w:rPr>
        <w:t> </w:t>
      </w:r>
      <w:r>
        <w:rPr/>
        <w:t>an area</w:t>
      </w:r>
      <w:r>
        <w:rPr>
          <w:spacing w:val="-6"/>
        </w:rPr>
        <w:t> </w:t>
      </w:r>
      <w:r>
        <w:rPr/>
        <w:t>of</w:t>
      </w:r>
      <w:r>
        <w:rPr>
          <w:spacing w:val="-6"/>
        </w:rPr>
        <w:t> </w:t>
      </w:r>
      <w:r>
        <w:rPr/>
        <w:t>green</w:t>
      </w:r>
      <w:r>
        <w:rPr>
          <w:spacing w:val="-6"/>
        </w:rPr>
        <w:t> </w:t>
      </w:r>
      <w:r>
        <w:rPr/>
        <w:t>density</w:t>
      </w:r>
      <w:r>
        <w:rPr>
          <w:spacing w:val="-6"/>
        </w:rPr>
        <w:t> </w:t>
      </w:r>
      <w:r>
        <w:rPr/>
        <w:t>centrally</w:t>
      </w:r>
      <w:r>
        <w:rPr>
          <w:spacing w:val="-6"/>
        </w:rPr>
        <w:t> </w:t>
      </w:r>
      <w:r>
        <w:rPr/>
        <w:t>in</w:t>
      </w:r>
      <w:r>
        <w:rPr>
          <w:spacing w:val="-6"/>
        </w:rPr>
        <w:t> </w:t>
      </w:r>
      <w:r>
        <w:rPr/>
        <w:t>the</w:t>
      </w:r>
      <w:r>
        <w:rPr>
          <w:spacing w:val="-6"/>
        </w:rPr>
        <w:t> </w:t>
      </w:r>
      <w:r>
        <w:rPr/>
        <w:t>opposition</w:t>
      </w:r>
      <w:r>
        <w:rPr>
          <w:spacing w:val="-6"/>
        </w:rPr>
        <w:t> </w:t>
      </w:r>
      <w:r>
        <w:rPr/>
        <w:t>20m,</w:t>
      </w:r>
      <w:r>
        <w:rPr>
          <w:spacing w:val="-6"/>
        </w:rPr>
        <w:t> </w:t>
      </w:r>
      <w:r>
        <w:rPr/>
        <w:t>but</w:t>
      </w:r>
      <w:r>
        <w:rPr>
          <w:spacing w:val="-6"/>
        </w:rPr>
        <w:t> </w:t>
      </w:r>
      <w:r>
        <w:rPr/>
        <w:t>down</w:t>
      </w:r>
      <w:r>
        <w:rPr>
          <w:spacing w:val="-6"/>
        </w:rPr>
        <w:t> </w:t>
      </w:r>
      <w:r>
        <w:rPr/>
        <w:t>the</w:t>
      </w:r>
      <w:r>
        <w:rPr>
          <w:spacing w:val="-6"/>
        </w:rPr>
        <w:t> </w:t>
      </w:r>
      <w:r>
        <w:rPr/>
        <w:t>right</w:t>
      </w:r>
      <w:r>
        <w:rPr>
          <w:spacing w:val="-6"/>
        </w:rPr>
        <w:t> </w:t>
      </w:r>
      <w:r>
        <w:rPr/>
        <w:t>side</w:t>
      </w:r>
      <w:r>
        <w:rPr>
          <w:spacing w:val="-6"/>
        </w:rPr>
        <w:t> </w:t>
      </w:r>
      <w:r>
        <w:rPr/>
        <w:t>of</w:t>
      </w:r>
      <w:r>
        <w:rPr>
          <w:spacing w:val="-6"/>
        </w:rPr>
        <w:t> </w:t>
      </w:r>
      <w:r>
        <w:rPr/>
        <w:t>the</w:t>
      </w:r>
      <w:r>
        <w:rPr>
          <w:spacing w:val="-6"/>
        </w:rPr>
        <w:t> </w:t>
      </w:r>
      <w:r>
        <w:rPr/>
        <w:t>pitch in between the opposition 20m and own 20m and Salford following the reverse pattern (right side in the opposition 20m, central between own and opposition 20m).</w:t>
      </w:r>
      <w:r>
        <w:rPr>
          <w:spacing w:val="40"/>
        </w:rPr>
        <w:t> </w:t>
      </w:r>
      <w:r>
        <w:rPr/>
        <w:t>The right side</w:t>
      </w:r>
      <w:r>
        <w:rPr>
          <w:spacing w:val="-5"/>
        </w:rPr>
        <w:t> </w:t>
      </w:r>
      <w:r>
        <w:rPr/>
        <w:t>of</w:t>
      </w:r>
      <w:r>
        <w:rPr>
          <w:spacing w:val="-5"/>
        </w:rPr>
        <w:t> </w:t>
      </w:r>
      <w:r>
        <w:rPr/>
        <w:t>Figure</w:t>
      </w:r>
      <w:hyperlink w:history="true" w:anchor="_bookmark165">
        <w:r>
          <w:rPr>
            <w:color w:val="0000FF"/>
          </w:rPr>
          <w:t>5.15</w:t>
        </w:r>
      </w:hyperlink>
      <w:r>
        <w:rPr/>
        <w:t>shows</w:t>
      </w:r>
      <w:r>
        <w:rPr>
          <w:spacing w:val="-5"/>
        </w:rPr>
        <w:t> </w:t>
      </w:r>
      <w:r>
        <w:rPr/>
        <w:t>an</w:t>
      </w:r>
      <w:r>
        <w:rPr>
          <w:spacing w:val="-5"/>
        </w:rPr>
        <w:t> </w:t>
      </w:r>
      <w:r>
        <w:rPr/>
        <w:t>upward</w:t>
      </w:r>
      <w:r>
        <w:rPr>
          <w:spacing w:val="-5"/>
        </w:rPr>
        <w:t> </w:t>
      </w:r>
      <w:r>
        <w:rPr/>
        <w:t>shift</w:t>
      </w:r>
      <w:r>
        <w:rPr>
          <w:spacing w:val="-5"/>
        </w:rPr>
        <w:t> </w:t>
      </w:r>
      <w:r>
        <w:rPr/>
        <w:t>against</w:t>
      </w:r>
      <w:r>
        <w:rPr>
          <w:spacing w:val="-5"/>
        </w:rPr>
        <w:t> </w:t>
      </w:r>
      <w:r>
        <w:rPr/>
        <w:t>Hull</w:t>
      </w:r>
      <w:r>
        <w:rPr>
          <w:spacing w:val="-5"/>
        </w:rPr>
        <w:t> </w:t>
      </w:r>
      <w:r>
        <w:rPr/>
        <w:t>and</w:t>
      </w:r>
      <w:r>
        <w:rPr>
          <w:spacing w:val="-5"/>
        </w:rPr>
        <w:t> </w:t>
      </w:r>
      <w:r>
        <w:rPr/>
        <w:t>Huddersfield,</w:t>
      </w:r>
      <w:r>
        <w:rPr>
          <w:spacing w:val="-4"/>
        </w:rPr>
        <w:t> </w:t>
      </w:r>
      <w:r>
        <w:rPr/>
        <w:t>likely</w:t>
      </w:r>
      <w:r>
        <w:rPr>
          <w:spacing w:val="-5"/>
        </w:rPr>
        <w:t> </w:t>
      </w:r>
      <w:r>
        <w:rPr/>
        <w:t>due</w:t>
      </w:r>
      <w:r>
        <w:rPr>
          <w:spacing w:val="-5"/>
        </w:rPr>
        <w:t> </w:t>
      </w:r>
      <w:r>
        <w:rPr/>
        <w:t>to</w:t>
      </w:r>
      <w:r>
        <w:rPr>
          <w:spacing w:val="-5"/>
        </w:rPr>
        <w:t> </w:t>
      </w:r>
      <w:r>
        <w:rPr/>
        <w:t>the increased densities in the opposition 20m.</w:t>
      </w:r>
    </w:p>
    <w:p>
      <w:pPr>
        <w:pStyle w:val="BodyText"/>
        <w:spacing w:line="312" w:lineRule="auto"/>
        <w:ind w:left="610" w:right="389" w:firstLine="351"/>
        <w:jc w:val="both"/>
      </w:pPr>
      <w:r>
        <w:rPr/>
        <w:t>The</w:t>
      </w:r>
      <w:r>
        <w:rPr>
          <w:spacing w:val="-6"/>
        </w:rPr>
        <w:t> </w:t>
      </w:r>
      <w:r>
        <w:rPr/>
        <w:t>within</w:t>
      </w:r>
      <w:r>
        <w:rPr>
          <w:spacing w:val="-6"/>
        </w:rPr>
        <w:t> </w:t>
      </w:r>
      <w:r>
        <w:rPr/>
        <w:t>team</w:t>
      </w:r>
      <w:r>
        <w:rPr>
          <w:spacing w:val="-6"/>
        </w:rPr>
        <w:t> </w:t>
      </w:r>
      <w:r>
        <w:rPr/>
        <w:t>plots</w:t>
      </w:r>
      <w:r>
        <w:rPr>
          <w:spacing w:val="-6"/>
        </w:rPr>
        <w:t> </w:t>
      </w:r>
      <w:r>
        <w:rPr/>
        <w:t>provide</w:t>
      </w:r>
      <w:r>
        <w:rPr>
          <w:spacing w:val="-6"/>
        </w:rPr>
        <w:t> </w:t>
      </w:r>
      <w:r>
        <w:rPr/>
        <w:t>a</w:t>
      </w:r>
      <w:r>
        <w:rPr>
          <w:spacing w:val="-6"/>
        </w:rPr>
        <w:t> </w:t>
      </w:r>
      <w:r>
        <w:rPr/>
        <w:t>method</w:t>
      </w:r>
      <w:r>
        <w:rPr>
          <w:spacing w:val="-6"/>
        </w:rPr>
        <w:t> </w:t>
      </w:r>
      <w:r>
        <w:rPr/>
        <w:t>through</w:t>
      </w:r>
      <w:r>
        <w:rPr>
          <w:spacing w:val="-6"/>
        </w:rPr>
        <w:t> </w:t>
      </w:r>
      <w:r>
        <w:rPr/>
        <w:t>which</w:t>
      </w:r>
      <w:r>
        <w:rPr>
          <w:spacing w:val="-6"/>
        </w:rPr>
        <w:t> </w:t>
      </w:r>
      <w:r>
        <w:rPr/>
        <w:t>coaches</w:t>
      </w:r>
      <w:r>
        <w:rPr>
          <w:spacing w:val="-6"/>
        </w:rPr>
        <w:t> </w:t>
      </w:r>
      <w:r>
        <w:rPr/>
        <w:t>can</w:t>
      </w:r>
      <w:r>
        <w:rPr>
          <w:spacing w:val="-6"/>
        </w:rPr>
        <w:t> </w:t>
      </w:r>
      <w:r>
        <w:rPr/>
        <w:t>consider</w:t>
      </w:r>
      <w:r>
        <w:rPr>
          <w:spacing w:val="-6"/>
        </w:rPr>
        <w:t> </w:t>
      </w:r>
      <w:r>
        <w:rPr/>
        <w:t>the</w:t>
      </w:r>
      <w:r>
        <w:rPr>
          <w:spacing w:val="-6"/>
        </w:rPr>
        <w:t> </w:t>
      </w:r>
      <w:r>
        <w:rPr/>
        <w:t>spa- tial trends of attacking performances for a team against a given opponent.</w:t>
      </w:r>
      <w:r>
        <w:rPr>
          <w:spacing w:val="31"/>
        </w:rPr>
        <w:t> </w:t>
      </w:r>
      <w:r>
        <w:rPr/>
        <w:t>This can pro- vide</w:t>
      </w:r>
      <w:r>
        <w:rPr>
          <w:spacing w:val="-13"/>
        </w:rPr>
        <w:t> </w:t>
      </w:r>
      <w:r>
        <w:rPr/>
        <w:t>valuable</w:t>
      </w:r>
      <w:r>
        <w:rPr>
          <w:spacing w:val="-12"/>
        </w:rPr>
        <w:t> </w:t>
      </w:r>
      <w:r>
        <w:rPr/>
        <w:t>information</w:t>
      </w:r>
      <w:r>
        <w:rPr>
          <w:spacing w:val="-12"/>
        </w:rPr>
        <w:t> </w:t>
      </w:r>
      <w:r>
        <w:rPr/>
        <w:t>when</w:t>
      </w:r>
      <w:r>
        <w:rPr>
          <w:spacing w:val="-12"/>
        </w:rPr>
        <w:t> </w:t>
      </w:r>
      <w:r>
        <w:rPr/>
        <w:t>preparing</w:t>
      </w:r>
      <w:r>
        <w:rPr>
          <w:spacing w:val="-12"/>
        </w:rPr>
        <w:t> </w:t>
      </w:r>
      <w:r>
        <w:rPr/>
        <w:t>for</w:t>
      </w:r>
      <w:r>
        <w:rPr>
          <w:spacing w:val="-12"/>
        </w:rPr>
        <w:t> </w:t>
      </w:r>
      <w:r>
        <w:rPr/>
        <w:t>matches</w:t>
      </w:r>
      <w:r>
        <w:rPr>
          <w:spacing w:val="-13"/>
        </w:rPr>
        <w:t> </w:t>
      </w:r>
      <w:r>
        <w:rPr/>
        <w:t>against</w:t>
      </w:r>
      <w:r>
        <w:rPr>
          <w:spacing w:val="-12"/>
        </w:rPr>
        <w:t> </w:t>
      </w:r>
      <w:r>
        <w:rPr/>
        <w:t>upcoming</w:t>
      </w:r>
      <w:r>
        <w:rPr>
          <w:spacing w:val="-12"/>
        </w:rPr>
        <w:t> </w:t>
      </w:r>
      <w:r>
        <w:rPr/>
        <w:t>matches,</w:t>
      </w:r>
      <w:r>
        <w:rPr>
          <w:spacing w:val="-12"/>
        </w:rPr>
        <w:t> </w:t>
      </w:r>
      <w:r>
        <w:rPr>
          <w:spacing w:val="-2"/>
        </w:rPr>
        <w:t>partic-</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
        <w:rPr>
          <w:sz w:val="15"/>
        </w:rPr>
      </w:pPr>
    </w:p>
    <w:p>
      <w:pPr>
        <w:pStyle w:val="BodyText"/>
        <w:ind w:left="2644"/>
        <w:rPr>
          <w:sz w:val="20"/>
        </w:rPr>
      </w:pPr>
      <w:r>
        <w:rPr>
          <w:sz w:val="20"/>
        </w:rPr>
        <w:drawing>
          <wp:inline distT="0" distB="0" distL="0" distR="0">
            <wp:extent cx="2827383" cy="5071872"/>
            <wp:effectExtent l="0" t="0" r="0" b="0"/>
            <wp:docPr id="91" name="image46.jpeg"/>
            <wp:cNvGraphicFramePr>
              <a:graphicFrameLocks noChangeAspect="1"/>
            </wp:cNvGraphicFramePr>
            <a:graphic>
              <a:graphicData uri="http://schemas.openxmlformats.org/drawingml/2006/picture">
                <pic:pic>
                  <pic:nvPicPr>
                    <pic:cNvPr id="92" name="image46.jpeg"/>
                    <pic:cNvPicPr/>
                  </pic:nvPicPr>
                  <pic:blipFill>
                    <a:blip r:embed="rId116" cstate="print"/>
                    <a:stretch>
                      <a:fillRect/>
                    </a:stretch>
                  </pic:blipFill>
                  <pic:spPr>
                    <a:xfrm>
                      <a:off x="0" y="0"/>
                      <a:ext cx="2827383" cy="5071872"/>
                    </a:xfrm>
                    <a:prstGeom prst="rect">
                      <a:avLst/>
                    </a:prstGeom>
                  </pic:spPr>
                </pic:pic>
              </a:graphicData>
            </a:graphic>
          </wp:inline>
        </w:drawing>
      </w:r>
      <w:r>
        <w:rPr>
          <w:sz w:val="20"/>
        </w:rPr>
      </w:r>
    </w:p>
    <w:p>
      <w:pPr>
        <w:pStyle w:val="BodyText"/>
        <w:spacing w:before="1"/>
      </w:pPr>
    </w:p>
    <w:p>
      <w:pPr>
        <w:pStyle w:val="BodyText"/>
        <w:spacing w:line="252" w:lineRule="auto" w:before="106"/>
        <w:ind w:left="610" w:right="389"/>
        <w:jc w:val="both"/>
      </w:pPr>
      <w:bookmarkStart w:name="_bookmark164" w:id="283"/>
      <w:bookmarkEnd w:id="283"/>
      <w:r>
        <w:rPr/>
      </w:r>
      <w:r>
        <w:rPr>
          <w:b/>
        </w:rPr>
        <w:t>Figure 5.14:</w:t>
      </w:r>
      <w:r>
        <w:rPr>
          <w:b/>
          <w:spacing w:val="40"/>
        </w:rPr>
        <w:t> </w:t>
      </w:r>
      <w:r>
        <w:rPr/>
        <w:t>Comparison between team-opponent KDE and team’s overall KDE for Castleford.</w:t>
      </w:r>
      <w:r>
        <w:rPr>
          <w:spacing w:val="40"/>
        </w:rPr>
        <w:t> </w:t>
      </w:r>
      <w:r>
        <w:rPr/>
        <w:t>Top left plot shows overall KDE for Castleford.</w:t>
      </w:r>
      <w:r>
        <w:rPr>
          <w:spacing w:val="40"/>
        </w:rPr>
        <w:t> </w:t>
      </w:r>
      <w:r>
        <w:rPr/>
        <w:t>For all other plots, green areas</w:t>
      </w:r>
      <w:r>
        <w:rPr>
          <w:spacing w:val="-1"/>
        </w:rPr>
        <w:t> </w:t>
      </w:r>
      <w:r>
        <w:rPr/>
        <w:t>are</w:t>
      </w:r>
      <w:r>
        <w:rPr>
          <w:spacing w:val="-1"/>
        </w:rPr>
        <w:t> </w:t>
      </w:r>
      <w:r>
        <w:rPr/>
        <w:t>areas</w:t>
      </w:r>
      <w:r>
        <w:rPr>
          <w:spacing w:val="-1"/>
        </w:rPr>
        <w:t> </w:t>
      </w:r>
      <w:r>
        <w:rPr/>
        <w:t>represent</w:t>
      </w:r>
      <w:r>
        <w:rPr>
          <w:spacing w:val="-1"/>
        </w:rPr>
        <w:t> </w:t>
      </w:r>
      <w:r>
        <w:rPr/>
        <w:t>areas</w:t>
      </w:r>
      <w:r>
        <w:rPr>
          <w:spacing w:val="-1"/>
        </w:rPr>
        <w:t> </w:t>
      </w:r>
      <w:r>
        <w:rPr/>
        <w:t>where</w:t>
      </w:r>
      <w:r>
        <w:rPr>
          <w:spacing w:val="-1"/>
        </w:rPr>
        <w:t> </w:t>
      </w:r>
      <w:r>
        <w:rPr/>
        <w:t>the</w:t>
      </w:r>
      <w:r>
        <w:rPr>
          <w:spacing w:val="-1"/>
        </w:rPr>
        <w:t> </w:t>
      </w:r>
      <w:r>
        <w:rPr/>
        <w:t>team</w:t>
      </w:r>
      <w:r>
        <w:rPr>
          <w:spacing w:val="-1"/>
        </w:rPr>
        <w:t> </w:t>
      </w:r>
      <w:r>
        <w:rPr/>
        <w:t>has</w:t>
      </w:r>
      <w:r>
        <w:rPr>
          <w:spacing w:val="-1"/>
        </w:rPr>
        <w:t> </w:t>
      </w:r>
      <w:r>
        <w:rPr/>
        <w:t>a</w:t>
      </w:r>
      <w:r>
        <w:rPr>
          <w:spacing w:val="-1"/>
        </w:rPr>
        <w:t> </w:t>
      </w:r>
      <w:r>
        <w:rPr/>
        <w:t>higher</w:t>
      </w:r>
      <w:r>
        <w:rPr>
          <w:spacing w:val="-1"/>
        </w:rPr>
        <w:t> </w:t>
      </w:r>
      <w:r>
        <w:rPr/>
        <w:t>density</w:t>
      </w:r>
      <w:r>
        <w:rPr>
          <w:spacing w:val="-1"/>
        </w:rPr>
        <w:t> </w:t>
      </w:r>
      <w:r>
        <w:rPr/>
        <w:t>against</w:t>
      </w:r>
      <w:r>
        <w:rPr>
          <w:spacing w:val="-1"/>
        </w:rPr>
        <w:t> </w:t>
      </w:r>
      <w:r>
        <w:rPr/>
        <w:t>a</w:t>
      </w:r>
      <w:r>
        <w:rPr>
          <w:spacing w:val="-1"/>
        </w:rPr>
        <w:t> </w:t>
      </w:r>
      <w:r>
        <w:rPr/>
        <w:t>specific</w:t>
      </w:r>
      <w:r>
        <w:rPr>
          <w:spacing w:val="-1"/>
        </w:rPr>
        <w:t> </w:t>
      </w:r>
      <w:r>
        <w:rPr/>
        <w:t>op- ponent than the overall KDE, red areas have lower densities.</w:t>
      </w:r>
    </w:p>
    <w:p>
      <w:pPr>
        <w:pStyle w:val="BodyText"/>
        <w:spacing w:before="6"/>
        <w:rPr>
          <w:sz w:val="37"/>
        </w:rPr>
      </w:pPr>
    </w:p>
    <w:p>
      <w:pPr>
        <w:pStyle w:val="BodyText"/>
        <w:spacing w:line="312" w:lineRule="auto"/>
        <w:ind w:left="610" w:right="389"/>
        <w:jc w:val="both"/>
      </w:pPr>
      <w:r>
        <w:rPr>
          <w:spacing w:val="-2"/>
        </w:rPr>
        <w:t>ularly</w:t>
      </w:r>
      <w:r>
        <w:rPr>
          <w:spacing w:val="-9"/>
        </w:rPr>
        <w:t> </w:t>
      </w:r>
      <w:r>
        <w:rPr>
          <w:spacing w:val="-2"/>
        </w:rPr>
        <w:t>if</w:t>
      </w:r>
      <w:r>
        <w:rPr>
          <w:spacing w:val="-9"/>
        </w:rPr>
        <w:t> </w:t>
      </w:r>
      <w:r>
        <w:rPr>
          <w:spacing w:val="-2"/>
        </w:rPr>
        <w:t>the</w:t>
      </w:r>
      <w:r>
        <w:rPr>
          <w:spacing w:val="-9"/>
        </w:rPr>
        <w:t> </w:t>
      </w:r>
      <w:r>
        <w:rPr>
          <w:spacing w:val="-2"/>
        </w:rPr>
        <w:t>result</w:t>
      </w:r>
      <w:r>
        <w:rPr>
          <w:spacing w:val="-9"/>
        </w:rPr>
        <w:t> </w:t>
      </w:r>
      <w:r>
        <w:rPr>
          <w:spacing w:val="-2"/>
        </w:rPr>
        <w:t>of</w:t>
      </w:r>
      <w:r>
        <w:rPr>
          <w:spacing w:val="-9"/>
        </w:rPr>
        <w:t> </w:t>
      </w:r>
      <w:r>
        <w:rPr>
          <w:spacing w:val="-2"/>
        </w:rPr>
        <w:t>the</w:t>
      </w:r>
      <w:r>
        <w:rPr>
          <w:spacing w:val="-9"/>
        </w:rPr>
        <w:t> </w:t>
      </w:r>
      <w:r>
        <w:rPr>
          <w:spacing w:val="-2"/>
        </w:rPr>
        <w:t>matches</w:t>
      </w:r>
      <w:r>
        <w:rPr>
          <w:spacing w:val="-9"/>
        </w:rPr>
        <w:t> </w:t>
      </w:r>
      <w:r>
        <w:rPr>
          <w:spacing w:val="-2"/>
        </w:rPr>
        <w:t>are</w:t>
      </w:r>
      <w:r>
        <w:rPr>
          <w:spacing w:val="-9"/>
        </w:rPr>
        <w:t> </w:t>
      </w:r>
      <w:r>
        <w:rPr>
          <w:spacing w:val="-2"/>
        </w:rPr>
        <w:t>known.</w:t>
      </w:r>
      <w:r>
        <w:rPr>
          <w:spacing w:val="16"/>
        </w:rPr>
        <w:t> </w:t>
      </w:r>
      <w:r>
        <w:rPr>
          <w:spacing w:val="-2"/>
        </w:rPr>
        <w:t>For</w:t>
      </w:r>
      <w:r>
        <w:rPr>
          <w:spacing w:val="-9"/>
        </w:rPr>
        <w:t> </w:t>
      </w:r>
      <w:r>
        <w:rPr>
          <w:spacing w:val="-2"/>
        </w:rPr>
        <w:t>example,</w:t>
      </w:r>
      <w:r>
        <w:rPr>
          <w:spacing w:val="-6"/>
        </w:rPr>
        <w:t> </w:t>
      </w:r>
      <w:r>
        <w:rPr>
          <w:spacing w:val="-2"/>
        </w:rPr>
        <w:t>if</w:t>
      </w:r>
      <w:r>
        <w:rPr>
          <w:spacing w:val="-9"/>
        </w:rPr>
        <w:t> </w:t>
      </w:r>
      <w:r>
        <w:rPr>
          <w:spacing w:val="-2"/>
        </w:rPr>
        <w:t>Huddersfield</w:t>
      </w:r>
      <w:r>
        <w:rPr>
          <w:spacing w:val="-9"/>
        </w:rPr>
        <w:t> </w:t>
      </w:r>
      <w:r>
        <w:rPr>
          <w:spacing w:val="-2"/>
        </w:rPr>
        <w:t>beat</w:t>
      </w:r>
      <w:r>
        <w:rPr>
          <w:spacing w:val="-9"/>
        </w:rPr>
        <w:t> </w:t>
      </w:r>
      <w:r>
        <w:rPr>
          <w:spacing w:val="-2"/>
        </w:rPr>
        <w:t>Castleford, </w:t>
      </w:r>
      <w:r>
        <w:rPr/>
        <w:t>a</w:t>
      </w:r>
      <w:r>
        <w:rPr>
          <w:spacing w:val="-8"/>
        </w:rPr>
        <w:t> </w:t>
      </w:r>
      <w:r>
        <w:rPr/>
        <w:t>coach</w:t>
      </w:r>
      <w:r>
        <w:rPr>
          <w:spacing w:val="-8"/>
        </w:rPr>
        <w:t> </w:t>
      </w:r>
      <w:r>
        <w:rPr/>
        <w:t>could</w:t>
      </w:r>
      <w:r>
        <w:rPr>
          <w:spacing w:val="-8"/>
        </w:rPr>
        <w:t> </w:t>
      </w:r>
      <w:r>
        <w:rPr/>
        <w:t>infer</w:t>
      </w:r>
      <w:r>
        <w:rPr>
          <w:spacing w:val="-8"/>
        </w:rPr>
        <w:t> </w:t>
      </w:r>
      <w:r>
        <w:rPr/>
        <w:t>that</w:t>
      </w:r>
      <w:r>
        <w:rPr>
          <w:spacing w:val="-8"/>
        </w:rPr>
        <w:t> </w:t>
      </w:r>
      <w:r>
        <w:rPr/>
        <w:t>part</w:t>
      </w:r>
      <w:r>
        <w:rPr>
          <w:spacing w:val="-8"/>
        </w:rPr>
        <w:t> </w:t>
      </w:r>
      <w:r>
        <w:rPr/>
        <w:t>of</w:t>
      </w:r>
      <w:r>
        <w:rPr>
          <w:spacing w:val="-8"/>
        </w:rPr>
        <w:t> </w:t>
      </w:r>
      <w:r>
        <w:rPr/>
        <w:t>the</w:t>
      </w:r>
      <w:r>
        <w:rPr>
          <w:spacing w:val="-8"/>
        </w:rPr>
        <w:t> </w:t>
      </w:r>
      <w:r>
        <w:rPr/>
        <w:t>result</w:t>
      </w:r>
      <w:r>
        <w:rPr>
          <w:spacing w:val="-8"/>
        </w:rPr>
        <w:t> </w:t>
      </w:r>
      <w:r>
        <w:rPr/>
        <w:t>may</w:t>
      </w:r>
      <w:r>
        <w:rPr>
          <w:spacing w:val="-8"/>
        </w:rPr>
        <w:t> </w:t>
      </w:r>
      <w:r>
        <w:rPr/>
        <w:t>have</w:t>
      </w:r>
      <w:r>
        <w:rPr>
          <w:spacing w:val="-8"/>
        </w:rPr>
        <w:t> </w:t>
      </w:r>
      <w:r>
        <w:rPr/>
        <w:t>been</w:t>
      </w:r>
      <w:r>
        <w:rPr>
          <w:spacing w:val="-8"/>
        </w:rPr>
        <w:t> </w:t>
      </w:r>
      <w:r>
        <w:rPr/>
        <w:t>due</w:t>
      </w:r>
      <w:r>
        <w:rPr>
          <w:spacing w:val="-8"/>
        </w:rPr>
        <w:t> </w:t>
      </w:r>
      <w:r>
        <w:rPr/>
        <w:t>to</w:t>
      </w:r>
      <w:r>
        <w:rPr>
          <w:spacing w:val="-8"/>
        </w:rPr>
        <w:t> </w:t>
      </w:r>
      <w:r>
        <w:rPr/>
        <w:t>Huddersfield</w:t>
      </w:r>
      <w:r>
        <w:rPr>
          <w:spacing w:val="-8"/>
        </w:rPr>
        <w:t> </w:t>
      </w:r>
      <w:r>
        <w:rPr/>
        <w:t>successfully reducing Castleford’s ability to attack down their favoured left side.</w:t>
      </w:r>
      <w:r>
        <w:rPr>
          <w:spacing w:val="35"/>
        </w:rPr>
        <w:t> </w:t>
      </w:r>
      <w:r>
        <w:rPr/>
        <w:t>However, it should be</w:t>
      </w:r>
      <w:r>
        <w:rPr>
          <w:spacing w:val="-5"/>
        </w:rPr>
        <w:t> </w:t>
      </w:r>
      <w:r>
        <w:rPr/>
        <w:t>noted</w:t>
      </w:r>
      <w:r>
        <w:rPr>
          <w:spacing w:val="-4"/>
        </w:rPr>
        <w:t> </w:t>
      </w:r>
      <w:r>
        <w:rPr/>
        <w:t>that</w:t>
      </w:r>
      <w:r>
        <w:rPr>
          <w:spacing w:val="-5"/>
        </w:rPr>
        <w:t> </w:t>
      </w:r>
      <w:r>
        <w:rPr/>
        <w:t>it</w:t>
      </w:r>
      <w:r>
        <w:rPr>
          <w:spacing w:val="-5"/>
        </w:rPr>
        <w:t> </w:t>
      </w:r>
      <w:r>
        <w:rPr/>
        <w:t>is</w:t>
      </w:r>
      <w:r>
        <w:rPr>
          <w:spacing w:val="-4"/>
        </w:rPr>
        <w:t> </w:t>
      </w:r>
      <w:r>
        <w:rPr/>
        <w:t>currently</w:t>
      </w:r>
      <w:r>
        <w:rPr>
          <w:spacing w:val="-5"/>
        </w:rPr>
        <w:t> </w:t>
      </w:r>
      <w:r>
        <w:rPr/>
        <w:t>unclear</w:t>
      </w:r>
      <w:r>
        <w:rPr>
          <w:spacing w:val="-5"/>
        </w:rPr>
        <w:t> </w:t>
      </w:r>
      <w:r>
        <w:rPr/>
        <w:t>how</w:t>
      </w:r>
      <w:r>
        <w:rPr>
          <w:spacing w:val="-4"/>
        </w:rPr>
        <w:t> </w:t>
      </w:r>
      <w:r>
        <w:rPr/>
        <w:t>much</w:t>
      </w:r>
      <w:r>
        <w:rPr>
          <w:spacing w:val="-5"/>
        </w:rPr>
        <w:t> </w:t>
      </w:r>
      <w:r>
        <w:rPr/>
        <w:t>information</w:t>
      </w:r>
      <w:r>
        <w:rPr>
          <w:spacing w:val="-5"/>
        </w:rPr>
        <w:t> </w:t>
      </w:r>
      <w:r>
        <w:rPr/>
        <w:t>the</w:t>
      </w:r>
      <w:r>
        <w:rPr>
          <w:spacing w:val="-4"/>
        </w:rPr>
        <w:t> </w:t>
      </w:r>
      <w:r>
        <w:rPr/>
        <w:t>plots</w:t>
      </w:r>
      <w:r>
        <w:rPr>
          <w:spacing w:val="-5"/>
        </w:rPr>
        <w:t> </w:t>
      </w:r>
      <w:r>
        <w:rPr/>
        <w:t>provide</w:t>
      </w:r>
      <w:r>
        <w:rPr>
          <w:spacing w:val="-4"/>
        </w:rPr>
        <w:t> </w:t>
      </w:r>
      <w:r>
        <w:rPr/>
        <w:t>with</w:t>
      </w:r>
      <w:r>
        <w:rPr>
          <w:spacing w:val="-5"/>
        </w:rPr>
        <w:t> </w:t>
      </w:r>
      <w:r>
        <w:rPr/>
        <w:t>regards to</w:t>
      </w:r>
      <w:r>
        <w:rPr>
          <w:spacing w:val="7"/>
        </w:rPr>
        <w:t> </w:t>
      </w:r>
      <w:r>
        <w:rPr/>
        <w:t>the</w:t>
      </w:r>
      <w:r>
        <w:rPr>
          <w:spacing w:val="7"/>
        </w:rPr>
        <w:t> </w:t>
      </w:r>
      <w:r>
        <w:rPr/>
        <w:t>scoring</w:t>
      </w:r>
      <w:r>
        <w:rPr>
          <w:spacing w:val="8"/>
        </w:rPr>
        <w:t> </w:t>
      </w:r>
      <w:r>
        <w:rPr/>
        <w:t>performance</w:t>
      </w:r>
      <w:r>
        <w:rPr>
          <w:spacing w:val="7"/>
        </w:rPr>
        <w:t> </w:t>
      </w:r>
      <w:r>
        <w:rPr/>
        <w:t>of</w:t>
      </w:r>
      <w:r>
        <w:rPr>
          <w:spacing w:val="8"/>
        </w:rPr>
        <w:t> </w:t>
      </w:r>
      <w:r>
        <w:rPr/>
        <w:t>teams.</w:t>
      </w:r>
      <w:r>
        <w:rPr>
          <w:spacing w:val="48"/>
        </w:rPr>
        <w:t> </w:t>
      </w:r>
      <w:r>
        <w:rPr/>
        <w:t>For</w:t>
      </w:r>
      <w:r>
        <w:rPr>
          <w:spacing w:val="7"/>
        </w:rPr>
        <w:t> </w:t>
      </w:r>
      <w:r>
        <w:rPr/>
        <w:t>example,</w:t>
      </w:r>
      <w:r>
        <w:rPr>
          <w:spacing w:val="11"/>
        </w:rPr>
        <w:t> </w:t>
      </w:r>
      <w:r>
        <w:rPr/>
        <w:t>Castleford</w:t>
      </w:r>
      <w:r>
        <w:rPr>
          <w:spacing w:val="7"/>
        </w:rPr>
        <w:t> </w:t>
      </w:r>
      <w:r>
        <w:rPr/>
        <w:t>showed</w:t>
      </w:r>
      <w:r>
        <w:rPr>
          <w:spacing w:val="7"/>
        </w:rPr>
        <w:t> </w:t>
      </w:r>
      <w:r>
        <w:rPr/>
        <w:t>a</w:t>
      </w:r>
      <w:r>
        <w:rPr>
          <w:spacing w:val="9"/>
        </w:rPr>
        <w:t> </w:t>
      </w:r>
      <w:r>
        <w:rPr/>
        <w:t>left-sided</w:t>
      </w:r>
      <w:r>
        <w:rPr>
          <w:spacing w:val="7"/>
        </w:rPr>
        <w:t> </w:t>
      </w:r>
      <w:r>
        <w:rPr>
          <w:spacing w:val="-2"/>
        </w:rPr>
        <w:t>shift</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after="1"/>
        <w:rPr>
          <w:sz w:val="28"/>
        </w:rPr>
      </w:pPr>
    </w:p>
    <w:p>
      <w:pPr>
        <w:pStyle w:val="BodyText"/>
        <w:ind w:left="610"/>
        <w:rPr>
          <w:sz w:val="20"/>
        </w:rPr>
      </w:pPr>
      <w:r>
        <w:rPr>
          <w:sz w:val="20"/>
        </w:rPr>
        <w:drawing>
          <wp:inline distT="0" distB="0" distL="0" distR="0">
            <wp:extent cx="5359913" cy="2487168"/>
            <wp:effectExtent l="0" t="0" r="0" b="0"/>
            <wp:docPr id="93" name="image47.jpeg"/>
            <wp:cNvGraphicFramePr>
              <a:graphicFrameLocks noChangeAspect="1"/>
            </wp:cNvGraphicFramePr>
            <a:graphic>
              <a:graphicData uri="http://schemas.openxmlformats.org/drawingml/2006/picture">
                <pic:pic>
                  <pic:nvPicPr>
                    <pic:cNvPr id="94" name="image47.jpeg"/>
                    <pic:cNvPicPr/>
                  </pic:nvPicPr>
                  <pic:blipFill>
                    <a:blip r:embed="rId117" cstate="print"/>
                    <a:stretch>
                      <a:fillRect/>
                    </a:stretch>
                  </pic:blipFill>
                  <pic:spPr>
                    <a:xfrm>
                      <a:off x="0" y="0"/>
                      <a:ext cx="5359913" cy="2487168"/>
                    </a:xfrm>
                    <a:prstGeom prst="rect">
                      <a:avLst/>
                    </a:prstGeom>
                  </pic:spPr>
                </pic:pic>
              </a:graphicData>
            </a:graphic>
          </wp:inline>
        </w:drawing>
      </w:r>
      <w:r>
        <w:rPr>
          <w:sz w:val="20"/>
        </w:rPr>
      </w:r>
    </w:p>
    <w:p>
      <w:pPr>
        <w:pStyle w:val="BodyText"/>
        <w:spacing w:before="5"/>
        <w:rPr>
          <w:sz w:val="11"/>
        </w:rPr>
      </w:pPr>
    </w:p>
    <w:p>
      <w:pPr>
        <w:pStyle w:val="BodyText"/>
        <w:spacing w:line="252" w:lineRule="auto" w:before="106"/>
        <w:ind w:left="610" w:right="389"/>
        <w:jc w:val="both"/>
      </w:pPr>
      <w:bookmarkStart w:name="_bookmark165" w:id="284"/>
      <w:bookmarkEnd w:id="284"/>
      <w:r>
        <w:rPr/>
      </w:r>
      <w:r>
        <w:rPr>
          <w:b/>
        </w:rPr>
        <w:t>Figure 5.15:</w:t>
      </w:r>
      <w:r>
        <w:rPr>
          <w:b/>
          <w:spacing w:val="40"/>
        </w:rPr>
        <w:t> </w:t>
      </w:r>
      <w:r>
        <w:rPr/>
        <w:t>Quadrant plot showing directional Wasserstein distance for </w:t>
      </w:r>
      <w:r>
        <w:rPr/>
        <w:t>Castleford against different opponents.</w:t>
      </w:r>
      <w:r>
        <w:rPr>
          <w:spacing w:val="40"/>
        </w:rPr>
        <w:t> </w:t>
      </w:r>
      <w:r>
        <w:rPr/>
        <w:t>Positive numbers in the left plot represent an overall shift</w:t>
      </w:r>
      <w:r>
        <w:rPr>
          <w:spacing w:val="40"/>
        </w:rPr>
        <w:t> </w:t>
      </w:r>
      <w:r>
        <w:rPr/>
        <w:t>to</w:t>
      </w:r>
      <w:r>
        <w:rPr>
          <w:spacing w:val="-12"/>
        </w:rPr>
        <w:t> </w:t>
      </w:r>
      <w:r>
        <w:rPr/>
        <w:t>the</w:t>
      </w:r>
      <w:r>
        <w:rPr>
          <w:spacing w:val="-12"/>
        </w:rPr>
        <w:t> </w:t>
      </w:r>
      <w:r>
        <w:rPr/>
        <w:t>left,</w:t>
      </w:r>
      <w:r>
        <w:rPr>
          <w:spacing w:val="-11"/>
        </w:rPr>
        <w:t> </w:t>
      </w:r>
      <w:r>
        <w:rPr/>
        <w:t>positive</w:t>
      </w:r>
      <w:r>
        <w:rPr>
          <w:spacing w:val="-12"/>
        </w:rPr>
        <w:t> </w:t>
      </w:r>
      <w:r>
        <w:rPr/>
        <w:t>numbers</w:t>
      </w:r>
      <w:r>
        <w:rPr>
          <w:spacing w:val="-12"/>
        </w:rPr>
        <w:t> </w:t>
      </w:r>
      <w:r>
        <w:rPr/>
        <w:t>in</w:t>
      </w:r>
      <w:r>
        <w:rPr>
          <w:spacing w:val="-12"/>
        </w:rPr>
        <w:t> </w:t>
      </w:r>
      <w:r>
        <w:rPr/>
        <w:t>the</w:t>
      </w:r>
      <w:r>
        <w:rPr>
          <w:spacing w:val="-12"/>
        </w:rPr>
        <w:t> </w:t>
      </w:r>
      <w:r>
        <w:rPr/>
        <w:t>right</w:t>
      </w:r>
      <w:r>
        <w:rPr>
          <w:spacing w:val="-12"/>
        </w:rPr>
        <w:t> </w:t>
      </w:r>
      <w:r>
        <w:rPr/>
        <w:t>plot</w:t>
      </w:r>
      <w:r>
        <w:rPr>
          <w:spacing w:val="-12"/>
        </w:rPr>
        <w:t> </w:t>
      </w:r>
      <w:r>
        <w:rPr/>
        <w:t>represent</w:t>
      </w:r>
      <w:r>
        <w:rPr>
          <w:spacing w:val="-12"/>
        </w:rPr>
        <w:t> </w:t>
      </w:r>
      <w:r>
        <w:rPr/>
        <w:t>an</w:t>
      </w:r>
      <w:r>
        <w:rPr>
          <w:spacing w:val="-12"/>
        </w:rPr>
        <w:t> </w:t>
      </w:r>
      <w:r>
        <w:rPr/>
        <w:t>overall</w:t>
      </w:r>
      <w:r>
        <w:rPr>
          <w:spacing w:val="-12"/>
        </w:rPr>
        <w:t> </w:t>
      </w:r>
      <w:r>
        <w:rPr/>
        <w:t>shift</w:t>
      </w:r>
      <w:r>
        <w:rPr>
          <w:spacing w:val="-12"/>
        </w:rPr>
        <w:t> </w:t>
      </w:r>
      <w:r>
        <w:rPr/>
        <w:t>upwards. Blue</w:t>
      </w:r>
      <w:r>
        <w:rPr>
          <w:spacing w:val="-12"/>
        </w:rPr>
        <w:t> </w:t>
      </w:r>
      <w:r>
        <w:rPr/>
        <w:t>lines represent median values.</w:t>
      </w:r>
    </w:p>
    <w:p>
      <w:pPr>
        <w:pStyle w:val="BodyText"/>
        <w:spacing w:before="6"/>
        <w:rPr>
          <w:sz w:val="37"/>
        </w:rPr>
      </w:pPr>
    </w:p>
    <w:p>
      <w:pPr>
        <w:pStyle w:val="BodyText"/>
        <w:spacing w:line="312" w:lineRule="auto"/>
        <w:ind w:left="610" w:right="389"/>
        <w:jc w:val="both"/>
      </w:pPr>
      <w:r>
        <w:rPr/>
        <w:t>against Hull Kingston Rovers, Catalans and St Helens.</w:t>
      </w:r>
      <w:r>
        <w:rPr>
          <w:spacing w:val="24"/>
        </w:rPr>
        <w:t> </w:t>
      </w:r>
      <w:r>
        <w:rPr/>
        <w:t>Across the season, they played 5 matches against these teams, scoring 26 and 19 points against Hull Kingston Rovers, </w:t>
      </w:r>
      <w:r>
        <w:rPr/>
        <w:t>6 against Catalans and 0 and 20 against St Helens.</w:t>
      </w:r>
      <w:r>
        <w:rPr>
          <w:spacing w:val="29"/>
        </w:rPr>
        <w:t> </w:t>
      </w:r>
      <w:r>
        <w:rPr/>
        <w:t>Taken in isolation, these results have a limited</w:t>
      </w:r>
      <w:r>
        <w:rPr>
          <w:spacing w:val="-9"/>
        </w:rPr>
        <w:t> </w:t>
      </w:r>
      <w:r>
        <w:rPr/>
        <w:t>relationship</w:t>
      </w:r>
      <w:r>
        <w:rPr>
          <w:spacing w:val="-9"/>
        </w:rPr>
        <w:t> </w:t>
      </w:r>
      <w:r>
        <w:rPr/>
        <w:t>with</w:t>
      </w:r>
      <w:r>
        <w:rPr>
          <w:spacing w:val="-9"/>
        </w:rPr>
        <w:t> </w:t>
      </w:r>
      <w:r>
        <w:rPr/>
        <w:t>scoring</w:t>
      </w:r>
      <w:r>
        <w:rPr>
          <w:spacing w:val="-9"/>
        </w:rPr>
        <w:t> </w:t>
      </w:r>
      <w:r>
        <w:rPr/>
        <w:t>performance</w:t>
      </w:r>
      <w:r>
        <w:rPr>
          <w:spacing w:val="-9"/>
        </w:rPr>
        <w:t> </w:t>
      </w:r>
      <w:r>
        <w:rPr/>
        <w:t>but</w:t>
      </w:r>
      <w:r>
        <w:rPr>
          <w:spacing w:val="-9"/>
        </w:rPr>
        <w:t> </w:t>
      </w:r>
      <w:r>
        <w:rPr/>
        <w:t>when</w:t>
      </w:r>
      <w:r>
        <w:rPr>
          <w:spacing w:val="-9"/>
        </w:rPr>
        <w:t> </w:t>
      </w:r>
      <w:r>
        <w:rPr/>
        <w:t>it</w:t>
      </w:r>
      <w:r>
        <w:rPr>
          <w:spacing w:val="-9"/>
        </w:rPr>
        <w:t> </w:t>
      </w:r>
      <w:r>
        <w:rPr/>
        <w:t>is</w:t>
      </w:r>
      <w:r>
        <w:rPr>
          <w:spacing w:val="-9"/>
        </w:rPr>
        <w:t> </w:t>
      </w:r>
      <w:r>
        <w:rPr/>
        <w:t>considered</w:t>
      </w:r>
      <w:r>
        <w:rPr>
          <w:spacing w:val="-9"/>
        </w:rPr>
        <w:t> </w:t>
      </w:r>
      <w:r>
        <w:rPr/>
        <w:t>that</w:t>
      </w:r>
      <w:r>
        <w:rPr>
          <w:spacing w:val="-9"/>
        </w:rPr>
        <w:t> </w:t>
      </w:r>
      <w:r>
        <w:rPr/>
        <w:t>Catalans</w:t>
      </w:r>
      <w:r>
        <w:rPr>
          <w:spacing w:val="-9"/>
        </w:rPr>
        <w:t> </w:t>
      </w:r>
      <w:r>
        <w:rPr/>
        <w:t>and St Helens were the two best teams in the league in 2021, whereas Hull Kingston Rovers finished</w:t>
      </w:r>
      <w:r>
        <w:rPr>
          <w:spacing w:val="-5"/>
        </w:rPr>
        <w:t> </w:t>
      </w:r>
      <w:r>
        <w:rPr/>
        <w:t>close</w:t>
      </w:r>
      <w:r>
        <w:rPr>
          <w:spacing w:val="-5"/>
        </w:rPr>
        <w:t> </w:t>
      </w:r>
      <w:r>
        <w:rPr/>
        <w:t>to</w:t>
      </w:r>
      <w:r>
        <w:rPr>
          <w:spacing w:val="-5"/>
        </w:rPr>
        <w:t> </w:t>
      </w:r>
      <w:r>
        <w:rPr/>
        <w:t>the</w:t>
      </w:r>
      <w:r>
        <w:rPr>
          <w:spacing w:val="-5"/>
        </w:rPr>
        <w:t> </w:t>
      </w:r>
      <w:r>
        <w:rPr/>
        <w:t>bottom</w:t>
      </w:r>
      <w:r>
        <w:rPr>
          <w:spacing w:val="-5"/>
        </w:rPr>
        <w:t> </w:t>
      </w:r>
      <w:r>
        <w:rPr/>
        <w:t>of</w:t>
      </w:r>
      <w:r>
        <w:rPr>
          <w:spacing w:val="-5"/>
        </w:rPr>
        <w:t> </w:t>
      </w:r>
      <w:r>
        <w:rPr/>
        <w:t>the</w:t>
      </w:r>
      <w:r>
        <w:rPr>
          <w:spacing w:val="-5"/>
        </w:rPr>
        <w:t> </w:t>
      </w:r>
      <w:r>
        <w:rPr/>
        <w:t>league,</w:t>
      </w:r>
      <w:r>
        <w:rPr>
          <w:spacing w:val="-5"/>
        </w:rPr>
        <w:t> </w:t>
      </w:r>
      <w:r>
        <w:rPr/>
        <w:t>the</w:t>
      </w:r>
      <w:r>
        <w:rPr>
          <w:spacing w:val="-5"/>
        </w:rPr>
        <w:t> </w:t>
      </w:r>
      <w:r>
        <w:rPr/>
        <w:t>ability</w:t>
      </w:r>
      <w:r>
        <w:rPr>
          <w:spacing w:val="-5"/>
        </w:rPr>
        <w:t> </w:t>
      </w:r>
      <w:r>
        <w:rPr/>
        <w:t>to</w:t>
      </w:r>
      <w:r>
        <w:rPr>
          <w:spacing w:val="-5"/>
        </w:rPr>
        <w:t> </w:t>
      </w:r>
      <w:r>
        <w:rPr/>
        <w:t>score</w:t>
      </w:r>
      <w:r>
        <w:rPr>
          <w:spacing w:val="-5"/>
        </w:rPr>
        <w:t> </w:t>
      </w:r>
      <w:r>
        <w:rPr/>
        <w:t>20</w:t>
      </w:r>
      <w:r>
        <w:rPr>
          <w:spacing w:val="-5"/>
        </w:rPr>
        <w:t> </w:t>
      </w:r>
      <w:r>
        <w:rPr/>
        <w:t>points</w:t>
      </w:r>
      <w:r>
        <w:rPr>
          <w:spacing w:val="-5"/>
        </w:rPr>
        <w:t> </w:t>
      </w:r>
      <w:r>
        <w:rPr/>
        <w:t>against</w:t>
      </w:r>
      <w:r>
        <w:rPr>
          <w:spacing w:val="-5"/>
        </w:rPr>
        <w:t> </w:t>
      </w:r>
      <w:r>
        <w:rPr/>
        <w:t>St</w:t>
      </w:r>
      <w:r>
        <w:rPr>
          <w:spacing w:val="-5"/>
        </w:rPr>
        <w:t> </w:t>
      </w:r>
      <w:r>
        <w:rPr/>
        <w:t>Helens could actually be considered a positive outcome.</w:t>
      </w:r>
    </w:p>
    <w:p>
      <w:pPr>
        <w:pStyle w:val="BodyText"/>
        <w:spacing w:line="312" w:lineRule="auto"/>
        <w:ind w:left="610" w:right="389" w:firstLine="351"/>
      </w:pPr>
      <w:r>
        <w:rPr/>
        <w:t>Figure</w:t>
      </w:r>
      <w:hyperlink w:history="true" w:anchor="_bookmark167">
        <w:r>
          <w:rPr>
            <w:color w:val="0000FF"/>
          </w:rPr>
          <w:t>5.17</w:t>
        </w:r>
      </w:hyperlink>
      <w:r>
        <w:rPr/>
        <w:t>shows the quadrant plot for Catalans skewed by the outlying opponent Leeds.</w:t>
      </w:r>
      <w:r>
        <w:rPr>
          <w:spacing w:val="40"/>
        </w:rPr>
        <w:t> </w:t>
      </w:r>
      <w:r>
        <w:rPr/>
        <w:t>It is skewed by Leeds as Catalans had a much higher density in the opposition</w:t>
      </w:r>
      <w:r>
        <w:rPr>
          <w:spacing w:val="80"/>
        </w:rPr>
        <w:t> </w:t>
      </w:r>
      <w:r>
        <w:rPr/>
        <w:t>20m</w:t>
      </w:r>
      <w:r>
        <w:rPr>
          <w:spacing w:val="-10"/>
        </w:rPr>
        <w:t> </w:t>
      </w:r>
      <w:r>
        <w:rPr/>
        <w:t>than</w:t>
      </w:r>
      <w:r>
        <w:rPr>
          <w:spacing w:val="-10"/>
        </w:rPr>
        <w:t> </w:t>
      </w:r>
      <w:r>
        <w:rPr/>
        <w:t>their</w:t>
      </w:r>
      <w:r>
        <w:rPr>
          <w:spacing w:val="-10"/>
        </w:rPr>
        <w:t> </w:t>
      </w:r>
      <w:r>
        <w:rPr/>
        <w:t>season</w:t>
      </w:r>
      <w:r>
        <w:rPr>
          <w:spacing w:val="-10"/>
        </w:rPr>
        <w:t> </w:t>
      </w:r>
      <w:r>
        <w:rPr/>
        <w:t>average</w:t>
      </w:r>
      <w:r>
        <w:rPr>
          <w:spacing w:val="-10"/>
        </w:rPr>
        <w:t> </w:t>
      </w:r>
      <w:r>
        <w:rPr/>
        <w:t>(Figure</w:t>
      </w:r>
      <w:hyperlink w:history="true" w:anchor="_bookmark166">
        <w:r>
          <w:rPr>
            <w:color w:val="0000FF"/>
          </w:rPr>
          <w:t>5.16</w:t>
        </w:r>
      </w:hyperlink>
      <w:r>
        <w:rPr/>
        <w:t>).</w:t>
      </w:r>
      <w:r>
        <w:rPr>
          <w:spacing w:val="12"/>
        </w:rPr>
        <w:t> </w:t>
      </w:r>
      <w:r>
        <w:rPr/>
        <w:t>When</w:t>
      </w:r>
      <w:r>
        <w:rPr>
          <w:spacing w:val="-10"/>
        </w:rPr>
        <w:t> </w:t>
      </w:r>
      <w:r>
        <w:rPr/>
        <w:t>removing</w:t>
      </w:r>
      <w:r>
        <w:rPr>
          <w:spacing w:val="-10"/>
        </w:rPr>
        <w:t> </w:t>
      </w:r>
      <w:r>
        <w:rPr/>
        <w:t>Leeds</w:t>
      </w:r>
      <w:r>
        <w:rPr>
          <w:spacing w:val="-10"/>
        </w:rPr>
        <w:t> </w:t>
      </w:r>
      <w:r>
        <w:rPr/>
        <w:t>as</w:t>
      </w:r>
      <w:r>
        <w:rPr>
          <w:spacing w:val="-10"/>
        </w:rPr>
        <w:t> </w:t>
      </w:r>
      <w:r>
        <w:rPr/>
        <w:t>in</w:t>
      </w:r>
      <w:r>
        <w:rPr>
          <w:spacing w:val="-10"/>
        </w:rPr>
        <w:t> </w:t>
      </w:r>
      <w:r>
        <w:rPr/>
        <w:t>Figure</w:t>
      </w:r>
      <w:r>
        <w:rPr>
          <w:color w:val="0000FF"/>
        </w:rPr>
        <w:t>5.1</w:t>
      </w:r>
      <w:hyperlink w:history="true" w:anchor="_bookmark168">
        <w:r>
          <w:rPr>
            <w:color w:val="0000FF"/>
          </w:rPr>
          <w:t>8</w:t>
        </w:r>
        <w:r>
          <w:rPr/>
          <w:t>,</w:t>
        </w:r>
      </w:hyperlink>
      <w:r>
        <w:rPr>
          <w:spacing w:val="-7"/>
        </w:rPr>
        <w:t> </w:t>
      </w:r>
      <w:r>
        <w:rPr/>
        <w:t>it</w:t>
      </w:r>
      <w:r>
        <w:rPr>
          <w:spacing w:val="-10"/>
        </w:rPr>
        <w:t> </w:t>
      </w:r>
      <w:r>
        <w:rPr/>
        <w:t>is easier</w:t>
      </w:r>
      <w:r>
        <w:rPr>
          <w:spacing w:val="-5"/>
        </w:rPr>
        <w:t> </w:t>
      </w:r>
      <w:r>
        <w:rPr/>
        <w:t>to</w:t>
      </w:r>
      <w:r>
        <w:rPr>
          <w:spacing w:val="-5"/>
        </w:rPr>
        <w:t> </w:t>
      </w:r>
      <w:r>
        <w:rPr/>
        <w:t>visualise</w:t>
      </w:r>
      <w:r>
        <w:rPr>
          <w:spacing w:val="-5"/>
        </w:rPr>
        <w:t> </w:t>
      </w:r>
      <w:r>
        <w:rPr/>
        <w:t>the</w:t>
      </w:r>
      <w:r>
        <w:rPr>
          <w:spacing w:val="-5"/>
        </w:rPr>
        <w:t> </w:t>
      </w:r>
      <w:r>
        <w:rPr/>
        <w:t>differences</w:t>
      </w:r>
      <w:r>
        <w:rPr>
          <w:spacing w:val="-5"/>
        </w:rPr>
        <w:t> </w:t>
      </w:r>
      <w:r>
        <w:rPr/>
        <w:t>between</w:t>
      </w:r>
      <w:r>
        <w:rPr>
          <w:spacing w:val="-5"/>
        </w:rPr>
        <w:t> </w:t>
      </w:r>
      <w:r>
        <w:rPr/>
        <w:t>opponents. The</w:t>
      </w:r>
      <w:r>
        <w:rPr>
          <w:spacing w:val="-5"/>
        </w:rPr>
        <w:t> </w:t>
      </w:r>
      <w:r>
        <w:rPr/>
        <w:t>left</w:t>
      </w:r>
      <w:r>
        <w:rPr>
          <w:spacing w:val="-5"/>
        </w:rPr>
        <w:t> </w:t>
      </w:r>
      <w:r>
        <w:rPr/>
        <w:t>plot</w:t>
      </w:r>
      <w:r>
        <w:rPr>
          <w:spacing w:val="-5"/>
        </w:rPr>
        <w:t> </w:t>
      </w:r>
      <w:r>
        <w:rPr/>
        <w:t>shows</w:t>
      </w:r>
      <w:r>
        <w:rPr>
          <w:spacing w:val="-5"/>
        </w:rPr>
        <w:t> </w:t>
      </w:r>
      <w:r>
        <w:rPr/>
        <w:t>that</w:t>
      </w:r>
      <w:r>
        <w:rPr>
          <w:spacing w:val="-5"/>
        </w:rPr>
        <w:t> </w:t>
      </w:r>
      <w:r>
        <w:rPr/>
        <w:t>as</w:t>
      </w:r>
      <w:r>
        <w:rPr>
          <w:spacing w:val="-5"/>
        </w:rPr>
        <w:t> </w:t>
      </w:r>
      <w:r>
        <w:rPr/>
        <w:t>the</w:t>
      </w:r>
      <w:r>
        <w:rPr>
          <w:spacing w:val="-5"/>
        </w:rPr>
        <w:t> </w:t>
      </w:r>
      <w:r>
        <w:rPr/>
        <w:t>size of difference between the team-opponent KDE and the team overall KDE increases, so does</w:t>
      </w:r>
      <w:r>
        <w:rPr>
          <w:spacing w:val="-5"/>
        </w:rPr>
        <w:t> </w:t>
      </w:r>
      <w:r>
        <w:rPr/>
        <w:t>the</w:t>
      </w:r>
      <w:r>
        <w:rPr>
          <w:spacing w:val="-5"/>
        </w:rPr>
        <w:t> </w:t>
      </w:r>
      <w:r>
        <w:rPr/>
        <w:t>tendency</w:t>
      </w:r>
      <w:r>
        <w:rPr>
          <w:spacing w:val="-5"/>
        </w:rPr>
        <w:t> </w:t>
      </w:r>
      <w:r>
        <w:rPr/>
        <w:t>to</w:t>
      </w:r>
      <w:r>
        <w:rPr>
          <w:spacing w:val="-5"/>
        </w:rPr>
        <w:t> </w:t>
      </w:r>
      <w:r>
        <w:rPr/>
        <w:t>shift</w:t>
      </w:r>
      <w:r>
        <w:rPr>
          <w:spacing w:val="-5"/>
        </w:rPr>
        <w:t> </w:t>
      </w:r>
      <w:r>
        <w:rPr/>
        <w:t>the</w:t>
      </w:r>
      <w:r>
        <w:rPr>
          <w:spacing w:val="-5"/>
        </w:rPr>
        <w:t> </w:t>
      </w:r>
      <w:r>
        <w:rPr/>
        <w:t>density</w:t>
      </w:r>
      <w:r>
        <w:rPr>
          <w:spacing w:val="-5"/>
        </w:rPr>
        <w:t> </w:t>
      </w:r>
      <w:r>
        <w:rPr/>
        <w:t>of</w:t>
      </w:r>
      <w:r>
        <w:rPr>
          <w:spacing w:val="-5"/>
        </w:rPr>
        <w:t> </w:t>
      </w:r>
      <w:r>
        <w:rPr/>
        <w:t>actions</w:t>
      </w:r>
      <w:r>
        <w:rPr>
          <w:spacing w:val="-5"/>
        </w:rPr>
        <w:t> </w:t>
      </w:r>
      <w:r>
        <w:rPr/>
        <w:t>rightwards. This</w:t>
      </w:r>
      <w:r>
        <w:rPr>
          <w:spacing w:val="-5"/>
        </w:rPr>
        <w:t> </w:t>
      </w:r>
      <w:r>
        <w:rPr/>
        <w:t>is</w:t>
      </w:r>
      <w:r>
        <w:rPr>
          <w:spacing w:val="-5"/>
        </w:rPr>
        <w:t> </w:t>
      </w:r>
      <w:r>
        <w:rPr/>
        <w:t>true</w:t>
      </w:r>
      <w:r>
        <w:rPr>
          <w:spacing w:val="-5"/>
        </w:rPr>
        <w:t> </w:t>
      </w:r>
      <w:r>
        <w:rPr/>
        <w:t>for</w:t>
      </w:r>
      <w:r>
        <w:rPr>
          <w:spacing w:val="-5"/>
        </w:rPr>
        <w:t> </w:t>
      </w:r>
      <w:r>
        <w:rPr/>
        <w:t>all</w:t>
      </w:r>
      <w:r>
        <w:rPr>
          <w:spacing w:val="-5"/>
        </w:rPr>
        <w:t> </w:t>
      </w:r>
      <w:r>
        <w:rPr/>
        <w:t>opponents except</w:t>
      </w:r>
      <w:r>
        <w:rPr>
          <w:spacing w:val="26"/>
        </w:rPr>
        <w:t> </w:t>
      </w:r>
      <w:r>
        <w:rPr/>
        <w:t>St</w:t>
      </w:r>
      <w:r>
        <w:rPr>
          <w:spacing w:val="26"/>
        </w:rPr>
        <w:t> </w:t>
      </w:r>
      <w:r>
        <w:rPr/>
        <w:t>Helens,</w:t>
      </w:r>
      <w:r>
        <w:rPr>
          <w:spacing w:val="33"/>
        </w:rPr>
        <w:t> </w:t>
      </w:r>
      <w:r>
        <w:rPr/>
        <w:t>who</w:t>
      </w:r>
      <w:r>
        <w:rPr>
          <w:spacing w:val="26"/>
        </w:rPr>
        <w:t> </w:t>
      </w:r>
      <w:r>
        <w:rPr/>
        <w:t>are</w:t>
      </w:r>
      <w:r>
        <w:rPr>
          <w:spacing w:val="26"/>
        </w:rPr>
        <w:t> </w:t>
      </w:r>
      <w:r>
        <w:rPr/>
        <w:t>also</w:t>
      </w:r>
      <w:r>
        <w:rPr>
          <w:spacing w:val="26"/>
        </w:rPr>
        <w:t> </w:t>
      </w:r>
      <w:r>
        <w:rPr/>
        <w:t>one</w:t>
      </w:r>
      <w:r>
        <w:rPr>
          <w:spacing w:val="26"/>
        </w:rPr>
        <w:t> </w:t>
      </w:r>
      <w:r>
        <w:rPr/>
        <w:t>of</w:t>
      </w:r>
      <w:r>
        <w:rPr>
          <w:spacing w:val="26"/>
        </w:rPr>
        <w:t> </w:t>
      </w:r>
      <w:r>
        <w:rPr/>
        <w:t>only</w:t>
      </w:r>
      <w:r>
        <w:rPr>
          <w:spacing w:val="26"/>
        </w:rPr>
        <w:t> </w:t>
      </w:r>
      <w:r>
        <w:rPr/>
        <w:t>two</w:t>
      </w:r>
      <w:r>
        <w:rPr>
          <w:spacing w:val="26"/>
        </w:rPr>
        <w:t> </w:t>
      </w:r>
      <w:r>
        <w:rPr/>
        <w:t>teams</w:t>
      </w:r>
      <w:r>
        <w:rPr>
          <w:spacing w:val="26"/>
        </w:rPr>
        <w:t> </w:t>
      </w:r>
      <w:r>
        <w:rPr/>
        <w:t>to</w:t>
      </w:r>
      <w:r>
        <w:rPr>
          <w:spacing w:val="26"/>
        </w:rPr>
        <w:t> </w:t>
      </w:r>
      <w:r>
        <w:rPr/>
        <w:t>result</w:t>
      </w:r>
      <w:r>
        <w:rPr>
          <w:spacing w:val="26"/>
        </w:rPr>
        <w:t> </w:t>
      </w:r>
      <w:r>
        <w:rPr/>
        <w:t>in</w:t>
      </w:r>
      <w:r>
        <w:rPr>
          <w:spacing w:val="26"/>
        </w:rPr>
        <w:t> </w:t>
      </w:r>
      <w:r>
        <w:rPr/>
        <w:t>a</w:t>
      </w:r>
      <w:r>
        <w:rPr>
          <w:spacing w:val="26"/>
        </w:rPr>
        <w:t> </w:t>
      </w:r>
      <w:r>
        <w:rPr/>
        <w:t>shift</w:t>
      </w:r>
      <w:r>
        <w:rPr>
          <w:spacing w:val="26"/>
        </w:rPr>
        <w:t> </w:t>
      </w:r>
      <w:r>
        <w:rPr/>
        <w:t>downwards as the Wasserstein distance between the team opponent KDE and the team overall KDE </w:t>
      </w:r>
      <w:r>
        <w:rPr>
          <w:spacing w:val="-2"/>
        </w:rPr>
        <w:t>increased.</w:t>
      </w:r>
    </w:p>
    <w:p>
      <w:pPr>
        <w:pStyle w:val="BodyText"/>
        <w:spacing w:line="274" w:lineRule="exact"/>
        <w:ind w:left="961"/>
      </w:pPr>
      <w:r>
        <w:rPr/>
        <w:t>As</w:t>
      </w:r>
      <w:r>
        <w:rPr>
          <w:spacing w:val="10"/>
        </w:rPr>
        <w:t> </w:t>
      </w:r>
      <w:r>
        <w:rPr/>
        <w:t>with</w:t>
      </w:r>
      <w:r>
        <w:rPr>
          <w:spacing w:val="10"/>
        </w:rPr>
        <w:t> </w:t>
      </w:r>
      <w:r>
        <w:rPr/>
        <w:t>Castleford,</w:t>
      </w:r>
      <w:r>
        <w:rPr>
          <w:spacing w:val="14"/>
        </w:rPr>
        <w:t> </w:t>
      </w:r>
      <w:r>
        <w:rPr/>
        <w:t>it</w:t>
      </w:r>
      <w:r>
        <w:rPr>
          <w:spacing w:val="11"/>
        </w:rPr>
        <w:t> </w:t>
      </w:r>
      <w:r>
        <w:rPr/>
        <w:t>is</w:t>
      </w:r>
      <w:r>
        <w:rPr>
          <w:spacing w:val="10"/>
        </w:rPr>
        <w:t> </w:t>
      </w:r>
      <w:r>
        <w:rPr/>
        <w:t>possible</w:t>
      </w:r>
      <w:r>
        <w:rPr>
          <w:spacing w:val="10"/>
        </w:rPr>
        <w:t> </w:t>
      </w:r>
      <w:r>
        <w:rPr/>
        <w:t>for</w:t>
      </w:r>
      <w:r>
        <w:rPr>
          <w:spacing w:val="11"/>
        </w:rPr>
        <w:t> </w:t>
      </w:r>
      <w:r>
        <w:rPr/>
        <w:t>coaches</w:t>
      </w:r>
      <w:r>
        <w:rPr>
          <w:spacing w:val="10"/>
        </w:rPr>
        <w:t> </w:t>
      </w:r>
      <w:r>
        <w:rPr/>
        <w:t>to</w:t>
      </w:r>
      <w:r>
        <w:rPr>
          <w:spacing w:val="10"/>
        </w:rPr>
        <w:t> </w:t>
      </w:r>
      <w:r>
        <w:rPr/>
        <w:t>gain</w:t>
      </w:r>
      <w:r>
        <w:rPr>
          <w:spacing w:val="11"/>
        </w:rPr>
        <w:t> </w:t>
      </w:r>
      <w:r>
        <w:rPr/>
        <w:t>insights</w:t>
      </w:r>
      <w:r>
        <w:rPr>
          <w:spacing w:val="10"/>
        </w:rPr>
        <w:t> </w:t>
      </w:r>
      <w:r>
        <w:rPr/>
        <w:t>into</w:t>
      </w:r>
      <w:r>
        <w:rPr>
          <w:spacing w:val="10"/>
        </w:rPr>
        <w:t> </w:t>
      </w:r>
      <w:r>
        <w:rPr/>
        <w:t>the</w:t>
      </w:r>
      <w:r>
        <w:rPr>
          <w:spacing w:val="11"/>
        </w:rPr>
        <w:t> </w:t>
      </w:r>
      <w:r>
        <w:rPr>
          <w:spacing w:val="-2"/>
        </w:rPr>
        <w:t>performances</w:t>
      </w:r>
    </w:p>
    <w:p>
      <w:pPr>
        <w:spacing w:after="0" w:line="274" w:lineRule="exact"/>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
        <w:rPr>
          <w:sz w:val="15"/>
        </w:rPr>
      </w:pPr>
    </w:p>
    <w:p>
      <w:pPr>
        <w:pStyle w:val="BodyText"/>
        <w:ind w:left="2616"/>
        <w:rPr>
          <w:sz w:val="20"/>
        </w:rPr>
      </w:pPr>
      <w:r>
        <w:rPr>
          <w:sz w:val="20"/>
        </w:rPr>
        <w:drawing>
          <wp:inline distT="0" distB="0" distL="0" distR="0">
            <wp:extent cx="2874954" cy="5120640"/>
            <wp:effectExtent l="0" t="0" r="0" b="0"/>
            <wp:docPr id="95" name="image48.jpeg"/>
            <wp:cNvGraphicFramePr>
              <a:graphicFrameLocks noChangeAspect="1"/>
            </wp:cNvGraphicFramePr>
            <a:graphic>
              <a:graphicData uri="http://schemas.openxmlformats.org/drawingml/2006/picture">
                <pic:pic>
                  <pic:nvPicPr>
                    <pic:cNvPr id="96" name="image48.jpeg"/>
                    <pic:cNvPicPr/>
                  </pic:nvPicPr>
                  <pic:blipFill>
                    <a:blip r:embed="rId118" cstate="print"/>
                    <a:stretch>
                      <a:fillRect/>
                    </a:stretch>
                  </pic:blipFill>
                  <pic:spPr>
                    <a:xfrm>
                      <a:off x="0" y="0"/>
                      <a:ext cx="2874954" cy="5120640"/>
                    </a:xfrm>
                    <a:prstGeom prst="rect">
                      <a:avLst/>
                    </a:prstGeom>
                  </pic:spPr>
                </pic:pic>
              </a:graphicData>
            </a:graphic>
          </wp:inline>
        </w:drawing>
      </w:r>
      <w:r>
        <w:rPr>
          <w:sz w:val="20"/>
        </w:rPr>
      </w:r>
    </w:p>
    <w:p>
      <w:pPr>
        <w:pStyle w:val="BodyText"/>
        <w:spacing w:before="5"/>
        <w:rPr>
          <w:sz w:val="17"/>
        </w:rPr>
      </w:pPr>
    </w:p>
    <w:p>
      <w:pPr>
        <w:pStyle w:val="BodyText"/>
        <w:spacing w:line="252" w:lineRule="auto" w:before="106"/>
        <w:ind w:left="610" w:right="389"/>
        <w:jc w:val="both"/>
      </w:pPr>
      <w:bookmarkStart w:name="_bookmark166" w:id="285"/>
      <w:bookmarkEnd w:id="285"/>
      <w:r>
        <w:rPr/>
      </w:r>
      <w:r>
        <w:rPr>
          <w:b/>
          <w:spacing w:val="-2"/>
        </w:rPr>
        <w:t>Figure</w:t>
      </w:r>
      <w:r>
        <w:rPr>
          <w:b/>
          <w:spacing w:val="-10"/>
        </w:rPr>
        <w:t> </w:t>
      </w:r>
      <w:r>
        <w:rPr>
          <w:b/>
          <w:spacing w:val="-2"/>
        </w:rPr>
        <w:t>5.16:</w:t>
      </w:r>
      <w:r>
        <w:rPr>
          <w:b/>
          <w:spacing w:val="15"/>
        </w:rPr>
        <w:t> </w:t>
      </w:r>
      <w:r>
        <w:rPr>
          <w:spacing w:val="-2"/>
        </w:rPr>
        <w:t>Comparison</w:t>
      </w:r>
      <w:r>
        <w:rPr>
          <w:spacing w:val="-10"/>
        </w:rPr>
        <w:t> </w:t>
      </w:r>
      <w:r>
        <w:rPr>
          <w:spacing w:val="-2"/>
        </w:rPr>
        <w:t>between</w:t>
      </w:r>
      <w:r>
        <w:rPr>
          <w:spacing w:val="-9"/>
        </w:rPr>
        <w:t> </w:t>
      </w:r>
      <w:r>
        <w:rPr>
          <w:spacing w:val="-2"/>
        </w:rPr>
        <w:t>team-opponent</w:t>
      </w:r>
      <w:r>
        <w:rPr>
          <w:spacing w:val="-10"/>
        </w:rPr>
        <w:t> </w:t>
      </w:r>
      <w:r>
        <w:rPr>
          <w:spacing w:val="-2"/>
        </w:rPr>
        <w:t>KDE</w:t>
      </w:r>
      <w:r>
        <w:rPr>
          <w:spacing w:val="-10"/>
        </w:rPr>
        <w:t> </w:t>
      </w:r>
      <w:r>
        <w:rPr>
          <w:spacing w:val="-2"/>
        </w:rPr>
        <w:t>and</w:t>
      </w:r>
      <w:r>
        <w:rPr>
          <w:spacing w:val="-10"/>
        </w:rPr>
        <w:t> </w:t>
      </w:r>
      <w:r>
        <w:rPr>
          <w:spacing w:val="-2"/>
        </w:rPr>
        <w:t>team’s</w:t>
      </w:r>
      <w:r>
        <w:rPr>
          <w:spacing w:val="-9"/>
        </w:rPr>
        <w:t> </w:t>
      </w:r>
      <w:r>
        <w:rPr>
          <w:spacing w:val="-2"/>
        </w:rPr>
        <w:t>overall</w:t>
      </w:r>
      <w:r>
        <w:rPr>
          <w:spacing w:val="-10"/>
        </w:rPr>
        <w:t> </w:t>
      </w:r>
      <w:r>
        <w:rPr>
          <w:spacing w:val="-2"/>
        </w:rPr>
        <w:t>KDE</w:t>
      </w:r>
      <w:r>
        <w:rPr>
          <w:spacing w:val="-10"/>
        </w:rPr>
        <w:t> </w:t>
      </w:r>
      <w:r>
        <w:rPr>
          <w:spacing w:val="-2"/>
        </w:rPr>
        <w:t>for</w:t>
      </w:r>
      <w:r>
        <w:rPr>
          <w:spacing w:val="-9"/>
        </w:rPr>
        <w:t> </w:t>
      </w:r>
      <w:r>
        <w:rPr>
          <w:spacing w:val="-2"/>
        </w:rPr>
        <w:t>Cata- </w:t>
      </w:r>
      <w:r>
        <w:rPr/>
        <w:t>lans.</w:t>
      </w:r>
      <w:r>
        <w:rPr>
          <w:spacing w:val="40"/>
        </w:rPr>
        <w:t> </w:t>
      </w:r>
      <w:r>
        <w:rPr/>
        <w:t>Top left plot shows overall KDE for Catalans.</w:t>
      </w:r>
      <w:r>
        <w:rPr>
          <w:spacing w:val="40"/>
        </w:rPr>
        <w:t> </w:t>
      </w:r>
      <w:r>
        <w:rPr/>
        <w:t>For all other plots, green areas </w:t>
      </w:r>
      <w:r>
        <w:rPr/>
        <w:t>are areas</w:t>
      </w:r>
      <w:r>
        <w:rPr>
          <w:spacing w:val="-11"/>
        </w:rPr>
        <w:t> </w:t>
      </w:r>
      <w:r>
        <w:rPr/>
        <w:t>represent</w:t>
      </w:r>
      <w:r>
        <w:rPr>
          <w:spacing w:val="-11"/>
        </w:rPr>
        <w:t> </w:t>
      </w:r>
      <w:r>
        <w:rPr/>
        <w:t>areas</w:t>
      </w:r>
      <w:r>
        <w:rPr>
          <w:spacing w:val="-11"/>
        </w:rPr>
        <w:t> </w:t>
      </w:r>
      <w:r>
        <w:rPr/>
        <w:t>where</w:t>
      </w:r>
      <w:r>
        <w:rPr>
          <w:spacing w:val="-11"/>
        </w:rPr>
        <w:t> </w:t>
      </w:r>
      <w:r>
        <w:rPr/>
        <w:t>the</w:t>
      </w:r>
      <w:r>
        <w:rPr>
          <w:spacing w:val="-11"/>
        </w:rPr>
        <w:t> </w:t>
      </w:r>
      <w:r>
        <w:rPr/>
        <w:t>team</w:t>
      </w:r>
      <w:r>
        <w:rPr>
          <w:spacing w:val="-11"/>
        </w:rPr>
        <w:t> </w:t>
      </w:r>
      <w:r>
        <w:rPr/>
        <w:t>has</w:t>
      </w:r>
      <w:r>
        <w:rPr>
          <w:spacing w:val="-11"/>
        </w:rPr>
        <w:t> </w:t>
      </w:r>
      <w:r>
        <w:rPr/>
        <w:t>a</w:t>
      </w:r>
      <w:r>
        <w:rPr>
          <w:spacing w:val="-11"/>
        </w:rPr>
        <w:t> </w:t>
      </w:r>
      <w:r>
        <w:rPr/>
        <w:t>higher</w:t>
      </w:r>
      <w:r>
        <w:rPr>
          <w:spacing w:val="-11"/>
        </w:rPr>
        <w:t> </w:t>
      </w:r>
      <w:r>
        <w:rPr/>
        <w:t>density</w:t>
      </w:r>
      <w:r>
        <w:rPr>
          <w:spacing w:val="-11"/>
        </w:rPr>
        <w:t> </w:t>
      </w:r>
      <w:r>
        <w:rPr/>
        <w:t>against</w:t>
      </w:r>
      <w:r>
        <w:rPr>
          <w:spacing w:val="-11"/>
        </w:rPr>
        <w:t> </w:t>
      </w:r>
      <w:r>
        <w:rPr/>
        <w:t>a</w:t>
      </w:r>
      <w:r>
        <w:rPr>
          <w:spacing w:val="-11"/>
        </w:rPr>
        <w:t> </w:t>
      </w:r>
      <w:r>
        <w:rPr/>
        <w:t>specific</w:t>
      </w:r>
      <w:r>
        <w:rPr>
          <w:spacing w:val="-11"/>
        </w:rPr>
        <w:t> </w:t>
      </w:r>
      <w:r>
        <w:rPr/>
        <w:t>opponent</w:t>
      </w:r>
      <w:r>
        <w:rPr>
          <w:spacing w:val="-11"/>
        </w:rPr>
        <w:t> </w:t>
      </w:r>
      <w:r>
        <w:rPr/>
        <w:t>than the overall KDE, red areas have lower densities.</w:t>
      </w:r>
    </w:p>
    <w:p>
      <w:pPr>
        <w:pStyle w:val="BodyText"/>
        <w:spacing w:before="6"/>
        <w:rPr>
          <w:sz w:val="37"/>
        </w:rPr>
      </w:pPr>
    </w:p>
    <w:p>
      <w:pPr>
        <w:pStyle w:val="BodyText"/>
        <w:spacing w:line="312" w:lineRule="auto" w:before="1"/>
        <w:ind w:left="610" w:right="389"/>
        <w:jc w:val="both"/>
      </w:pPr>
      <w:r>
        <w:rPr/>
        <w:t>of Catalans on an opponent by opponent basis using the quadrant plots, which can pro- vide</w:t>
      </w:r>
      <w:r>
        <w:rPr>
          <w:spacing w:val="-15"/>
        </w:rPr>
        <w:t> </w:t>
      </w:r>
      <w:r>
        <w:rPr/>
        <w:t>important</w:t>
      </w:r>
      <w:r>
        <w:rPr>
          <w:spacing w:val="-15"/>
        </w:rPr>
        <w:t> </w:t>
      </w:r>
      <w:r>
        <w:rPr/>
        <w:t>knowledge</w:t>
      </w:r>
      <w:r>
        <w:rPr>
          <w:spacing w:val="-15"/>
        </w:rPr>
        <w:t> </w:t>
      </w:r>
      <w:r>
        <w:rPr/>
        <w:t>with</w:t>
      </w:r>
      <w:r>
        <w:rPr>
          <w:spacing w:val="-15"/>
        </w:rPr>
        <w:t> </w:t>
      </w:r>
      <w:r>
        <w:rPr/>
        <w:t>respect</w:t>
      </w:r>
      <w:r>
        <w:rPr>
          <w:spacing w:val="-15"/>
        </w:rPr>
        <w:t> </w:t>
      </w:r>
      <w:r>
        <w:rPr/>
        <w:t>to</w:t>
      </w:r>
      <w:r>
        <w:rPr>
          <w:spacing w:val="-15"/>
        </w:rPr>
        <w:t> </w:t>
      </w:r>
      <w:r>
        <w:rPr/>
        <w:t>developing</w:t>
      </w:r>
      <w:r>
        <w:rPr>
          <w:spacing w:val="-15"/>
        </w:rPr>
        <w:t> </w:t>
      </w:r>
      <w:r>
        <w:rPr/>
        <w:t>tactical</w:t>
      </w:r>
      <w:r>
        <w:rPr>
          <w:spacing w:val="-15"/>
        </w:rPr>
        <w:t> </w:t>
      </w:r>
      <w:r>
        <w:rPr/>
        <w:t>strategies</w:t>
      </w:r>
      <w:r>
        <w:rPr>
          <w:spacing w:val="-15"/>
        </w:rPr>
        <w:t> </w:t>
      </w:r>
      <w:r>
        <w:rPr/>
        <w:t>for</w:t>
      </w:r>
      <w:r>
        <w:rPr>
          <w:spacing w:val="-15"/>
        </w:rPr>
        <w:t> </w:t>
      </w:r>
      <w:r>
        <w:rPr/>
        <w:t>future</w:t>
      </w:r>
      <w:r>
        <w:rPr>
          <w:spacing w:val="-15"/>
        </w:rPr>
        <w:t> </w:t>
      </w:r>
      <w:r>
        <w:rPr/>
        <w:t>matches against them.</w:t>
      </w:r>
      <w:r>
        <w:rPr>
          <w:spacing w:val="40"/>
        </w:rPr>
        <w:t> </w:t>
      </w:r>
      <w:r>
        <w:rPr/>
        <w:t>Once again though, further context is required to establish the likely pat- tern of the matches the team played in.</w:t>
      </w:r>
      <w:r>
        <w:rPr>
          <w:spacing w:val="40"/>
        </w:rPr>
        <w:t> </w:t>
      </w:r>
      <w:r>
        <w:rPr/>
        <w:t>From Catalans perspective, the three key teams who were separate from all others within their directional plot (Figure</w:t>
      </w:r>
      <w:hyperlink w:history="true" w:anchor="_bookmark166">
        <w:r>
          <w:rPr>
            <w:color w:val="0000FF"/>
          </w:rPr>
          <w:t>5.16</w:t>
        </w:r>
        <w:r>
          <w:rPr/>
          <w:t>)</w:t>
        </w:r>
      </w:hyperlink>
      <w:r>
        <w:rPr/>
        <w:t> were Leeds</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after="1"/>
        <w:rPr>
          <w:sz w:val="28"/>
        </w:rPr>
      </w:pPr>
    </w:p>
    <w:p>
      <w:pPr>
        <w:pStyle w:val="BodyText"/>
        <w:ind w:left="610"/>
        <w:rPr>
          <w:sz w:val="20"/>
        </w:rPr>
      </w:pPr>
      <w:r>
        <w:rPr>
          <w:sz w:val="20"/>
        </w:rPr>
        <w:drawing>
          <wp:inline distT="0" distB="0" distL="0" distR="0">
            <wp:extent cx="5364055" cy="2487168"/>
            <wp:effectExtent l="0" t="0" r="0" b="0"/>
            <wp:docPr id="97" name="image49.jpeg"/>
            <wp:cNvGraphicFramePr>
              <a:graphicFrameLocks noChangeAspect="1"/>
            </wp:cNvGraphicFramePr>
            <a:graphic>
              <a:graphicData uri="http://schemas.openxmlformats.org/drawingml/2006/picture">
                <pic:pic>
                  <pic:nvPicPr>
                    <pic:cNvPr id="98" name="image49.jpeg"/>
                    <pic:cNvPicPr/>
                  </pic:nvPicPr>
                  <pic:blipFill>
                    <a:blip r:embed="rId119" cstate="print"/>
                    <a:stretch>
                      <a:fillRect/>
                    </a:stretch>
                  </pic:blipFill>
                  <pic:spPr>
                    <a:xfrm>
                      <a:off x="0" y="0"/>
                      <a:ext cx="5364055" cy="2487168"/>
                    </a:xfrm>
                    <a:prstGeom prst="rect">
                      <a:avLst/>
                    </a:prstGeom>
                  </pic:spPr>
                </pic:pic>
              </a:graphicData>
            </a:graphic>
          </wp:inline>
        </w:drawing>
      </w:r>
      <w:r>
        <w:rPr>
          <w:sz w:val="20"/>
        </w:rPr>
      </w:r>
    </w:p>
    <w:p>
      <w:pPr>
        <w:pStyle w:val="BodyText"/>
        <w:rPr>
          <w:sz w:val="12"/>
        </w:rPr>
      </w:pPr>
    </w:p>
    <w:p>
      <w:pPr>
        <w:pStyle w:val="BodyText"/>
        <w:spacing w:line="252" w:lineRule="auto" w:before="106"/>
        <w:ind w:left="610" w:right="389"/>
        <w:jc w:val="both"/>
      </w:pPr>
      <w:bookmarkStart w:name="_bookmark167" w:id="286"/>
      <w:bookmarkEnd w:id="286"/>
      <w:r>
        <w:rPr/>
      </w:r>
      <w:r>
        <w:rPr>
          <w:b/>
        </w:rPr>
        <w:t>Figure</w:t>
      </w:r>
      <w:r>
        <w:rPr>
          <w:b/>
          <w:spacing w:val="-15"/>
        </w:rPr>
        <w:t> </w:t>
      </w:r>
      <w:r>
        <w:rPr>
          <w:b/>
        </w:rPr>
        <w:t>5.17:</w:t>
      </w:r>
      <w:r>
        <w:rPr>
          <w:b/>
          <w:spacing w:val="-12"/>
        </w:rPr>
        <w:t> </w:t>
      </w:r>
      <w:r>
        <w:rPr/>
        <w:t>Quadrant</w:t>
      </w:r>
      <w:r>
        <w:rPr>
          <w:spacing w:val="-15"/>
        </w:rPr>
        <w:t> </w:t>
      </w:r>
      <w:r>
        <w:rPr/>
        <w:t>plot</w:t>
      </w:r>
      <w:r>
        <w:rPr>
          <w:spacing w:val="-15"/>
        </w:rPr>
        <w:t> </w:t>
      </w:r>
      <w:r>
        <w:rPr/>
        <w:t>showing</w:t>
      </w:r>
      <w:r>
        <w:rPr>
          <w:spacing w:val="-15"/>
        </w:rPr>
        <w:t> </w:t>
      </w:r>
      <w:r>
        <w:rPr/>
        <w:t>directional</w:t>
      </w:r>
      <w:r>
        <w:rPr>
          <w:spacing w:val="-15"/>
        </w:rPr>
        <w:t> </w:t>
      </w:r>
      <w:r>
        <w:rPr/>
        <w:t>Wasserstein</w:t>
      </w:r>
      <w:r>
        <w:rPr>
          <w:spacing w:val="-15"/>
        </w:rPr>
        <w:t> </w:t>
      </w:r>
      <w:r>
        <w:rPr/>
        <w:t>distance</w:t>
      </w:r>
      <w:r>
        <w:rPr>
          <w:spacing w:val="-15"/>
        </w:rPr>
        <w:t> </w:t>
      </w:r>
      <w:r>
        <w:rPr/>
        <w:t>for</w:t>
      </w:r>
      <w:r>
        <w:rPr>
          <w:spacing w:val="-15"/>
        </w:rPr>
        <w:t> </w:t>
      </w:r>
      <w:r>
        <w:rPr/>
        <w:t>Catalans</w:t>
      </w:r>
      <w:r>
        <w:rPr>
          <w:spacing w:val="-15"/>
        </w:rPr>
        <w:t> </w:t>
      </w:r>
      <w:r>
        <w:rPr/>
        <w:t>against different</w:t>
      </w:r>
      <w:r>
        <w:rPr>
          <w:spacing w:val="-7"/>
        </w:rPr>
        <w:t> </w:t>
      </w:r>
      <w:r>
        <w:rPr/>
        <w:t>opponents. Positive</w:t>
      </w:r>
      <w:r>
        <w:rPr>
          <w:spacing w:val="-7"/>
        </w:rPr>
        <w:t> </w:t>
      </w:r>
      <w:r>
        <w:rPr/>
        <w:t>numbers</w:t>
      </w:r>
      <w:r>
        <w:rPr>
          <w:spacing w:val="-7"/>
        </w:rPr>
        <w:t> </w:t>
      </w:r>
      <w:r>
        <w:rPr/>
        <w:t>in</w:t>
      </w:r>
      <w:r>
        <w:rPr>
          <w:spacing w:val="-7"/>
        </w:rPr>
        <w:t> </w:t>
      </w:r>
      <w:r>
        <w:rPr/>
        <w:t>the</w:t>
      </w:r>
      <w:r>
        <w:rPr>
          <w:spacing w:val="-7"/>
        </w:rPr>
        <w:t> </w:t>
      </w:r>
      <w:r>
        <w:rPr/>
        <w:t>left</w:t>
      </w:r>
      <w:r>
        <w:rPr>
          <w:spacing w:val="-7"/>
        </w:rPr>
        <w:t> </w:t>
      </w:r>
      <w:r>
        <w:rPr/>
        <w:t>plot</w:t>
      </w:r>
      <w:r>
        <w:rPr>
          <w:spacing w:val="-7"/>
        </w:rPr>
        <w:t> </w:t>
      </w:r>
      <w:r>
        <w:rPr/>
        <w:t>represent</w:t>
      </w:r>
      <w:r>
        <w:rPr>
          <w:spacing w:val="-7"/>
        </w:rPr>
        <w:t> </w:t>
      </w:r>
      <w:r>
        <w:rPr/>
        <w:t>an</w:t>
      </w:r>
      <w:r>
        <w:rPr>
          <w:spacing w:val="-7"/>
        </w:rPr>
        <w:t> </w:t>
      </w:r>
      <w:r>
        <w:rPr/>
        <w:t>overall</w:t>
      </w:r>
      <w:r>
        <w:rPr>
          <w:spacing w:val="-7"/>
        </w:rPr>
        <w:t> </w:t>
      </w:r>
      <w:r>
        <w:rPr/>
        <w:t>shift</w:t>
      </w:r>
      <w:r>
        <w:rPr>
          <w:spacing w:val="-7"/>
        </w:rPr>
        <w:t> </w:t>
      </w:r>
      <w:r>
        <w:rPr/>
        <w:t>to</w:t>
      </w:r>
      <w:r>
        <w:rPr>
          <w:spacing w:val="-7"/>
        </w:rPr>
        <w:t> </w:t>
      </w:r>
      <w:r>
        <w:rPr/>
        <w:t>the</w:t>
      </w:r>
      <w:r>
        <w:rPr>
          <w:spacing w:val="-7"/>
        </w:rPr>
        <w:t> </w:t>
      </w:r>
      <w:r>
        <w:rPr/>
        <w:t>left, positive</w:t>
      </w:r>
      <w:r>
        <w:rPr>
          <w:spacing w:val="-6"/>
        </w:rPr>
        <w:t> </w:t>
      </w:r>
      <w:r>
        <w:rPr/>
        <w:t>numbers</w:t>
      </w:r>
      <w:r>
        <w:rPr>
          <w:spacing w:val="-6"/>
        </w:rPr>
        <w:t> </w:t>
      </w:r>
      <w:r>
        <w:rPr/>
        <w:t>in</w:t>
      </w:r>
      <w:r>
        <w:rPr>
          <w:spacing w:val="-6"/>
        </w:rPr>
        <w:t> </w:t>
      </w:r>
      <w:r>
        <w:rPr/>
        <w:t>the</w:t>
      </w:r>
      <w:r>
        <w:rPr>
          <w:spacing w:val="-6"/>
        </w:rPr>
        <w:t> </w:t>
      </w:r>
      <w:r>
        <w:rPr/>
        <w:t>right</w:t>
      </w:r>
      <w:r>
        <w:rPr>
          <w:spacing w:val="-6"/>
        </w:rPr>
        <w:t> </w:t>
      </w:r>
      <w:r>
        <w:rPr/>
        <w:t>plot</w:t>
      </w:r>
      <w:r>
        <w:rPr>
          <w:spacing w:val="-6"/>
        </w:rPr>
        <w:t> </w:t>
      </w:r>
      <w:r>
        <w:rPr/>
        <w:t>represent</w:t>
      </w:r>
      <w:r>
        <w:rPr>
          <w:spacing w:val="-6"/>
        </w:rPr>
        <w:t> </w:t>
      </w:r>
      <w:r>
        <w:rPr/>
        <w:t>an</w:t>
      </w:r>
      <w:r>
        <w:rPr>
          <w:spacing w:val="-6"/>
        </w:rPr>
        <w:t> </w:t>
      </w:r>
      <w:r>
        <w:rPr/>
        <w:t>overall</w:t>
      </w:r>
      <w:r>
        <w:rPr>
          <w:spacing w:val="-6"/>
        </w:rPr>
        <w:t> </w:t>
      </w:r>
      <w:r>
        <w:rPr/>
        <w:t>shift</w:t>
      </w:r>
      <w:r>
        <w:rPr>
          <w:spacing w:val="-6"/>
        </w:rPr>
        <w:t> </w:t>
      </w:r>
      <w:r>
        <w:rPr/>
        <w:t>upwards. Blue</w:t>
      </w:r>
      <w:r>
        <w:rPr>
          <w:spacing w:val="-6"/>
        </w:rPr>
        <w:t> </w:t>
      </w:r>
      <w:r>
        <w:rPr/>
        <w:t>lines</w:t>
      </w:r>
      <w:r>
        <w:rPr>
          <w:spacing w:val="-6"/>
        </w:rPr>
        <w:t> </w:t>
      </w:r>
      <w:r>
        <w:rPr/>
        <w:t>represent median values.</w:t>
      </w:r>
    </w:p>
    <w:p>
      <w:pPr>
        <w:pStyle w:val="BodyText"/>
        <w:spacing w:before="6"/>
        <w:rPr>
          <w:sz w:val="37"/>
        </w:rPr>
      </w:pPr>
    </w:p>
    <w:p>
      <w:pPr>
        <w:pStyle w:val="BodyText"/>
        <w:spacing w:line="312" w:lineRule="auto"/>
        <w:ind w:left="610" w:right="389"/>
        <w:jc w:val="both"/>
      </w:pPr>
      <w:r>
        <w:rPr/>
        <w:t>(27 and 26 points scored, very large upwards shift), Salford (42 and 42 points </w:t>
      </w:r>
      <w:r>
        <w:rPr/>
        <w:t>scored, large right shift and moderate downward shift) and St Helens (20, 12, 31 and 10 points scored,</w:t>
      </w:r>
      <w:r>
        <w:rPr>
          <w:spacing w:val="-11"/>
        </w:rPr>
        <w:t> </w:t>
      </w:r>
      <w:r>
        <w:rPr/>
        <w:t>large</w:t>
      </w:r>
      <w:r>
        <w:rPr>
          <w:spacing w:val="-12"/>
        </w:rPr>
        <w:t> </w:t>
      </w:r>
      <w:r>
        <w:rPr/>
        <w:t>downward</w:t>
      </w:r>
      <w:r>
        <w:rPr>
          <w:spacing w:val="-12"/>
        </w:rPr>
        <w:t> </w:t>
      </w:r>
      <w:r>
        <w:rPr/>
        <w:t>shift). These</w:t>
      </w:r>
      <w:r>
        <w:rPr>
          <w:spacing w:val="-12"/>
        </w:rPr>
        <w:t> </w:t>
      </w:r>
      <w:r>
        <w:rPr/>
        <w:t>teams</w:t>
      </w:r>
      <w:r>
        <w:rPr>
          <w:spacing w:val="-12"/>
        </w:rPr>
        <w:t> </w:t>
      </w:r>
      <w:r>
        <w:rPr/>
        <w:t>are</w:t>
      </w:r>
      <w:r>
        <w:rPr>
          <w:spacing w:val="-12"/>
        </w:rPr>
        <w:t> </w:t>
      </w:r>
      <w:r>
        <w:rPr/>
        <w:t>interesting</w:t>
      </w:r>
      <w:r>
        <w:rPr>
          <w:spacing w:val="-12"/>
        </w:rPr>
        <w:t> </w:t>
      </w:r>
      <w:r>
        <w:rPr/>
        <w:t>when</w:t>
      </w:r>
      <w:r>
        <w:rPr>
          <w:spacing w:val="-12"/>
        </w:rPr>
        <w:t> </w:t>
      </w:r>
      <w:r>
        <w:rPr/>
        <w:t>contextual</w:t>
      </w:r>
      <w:r>
        <w:rPr>
          <w:spacing w:val="-12"/>
        </w:rPr>
        <w:t> </w:t>
      </w:r>
      <w:r>
        <w:rPr/>
        <w:t>knowledge</w:t>
      </w:r>
      <w:r>
        <w:rPr>
          <w:spacing w:val="-12"/>
        </w:rPr>
        <w:t> </w:t>
      </w:r>
      <w:r>
        <w:rPr/>
        <w:t>is applied because it is possible to identify three different types of matches which Catalans may have experienced based on the abilities of the opposition.</w:t>
      </w:r>
      <w:r>
        <w:rPr>
          <w:spacing w:val="31"/>
        </w:rPr>
        <w:t> </w:t>
      </w:r>
      <w:r>
        <w:rPr/>
        <w:t>St Helens won the Super League Grand Final in 2021, so it is plausible that the majority of matches against them would</w:t>
      </w:r>
      <w:r>
        <w:rPr>
          <w:spacing w:val="-12"/>
        </w:rPr>
        <w:t> </w:t>
      </w:r>
      <w:r>
        <w:rPr/>
        <w:t>have</w:t>
      </w:r>
      <w:r>
        <w:rPr>
          <w:spacing w:val="-12"/>
        </w:rPr>
        <w:t> </w:t>
      </w:r>
      <w:r>
        <w:rPr/>
        <w:t>been</w:t>
      </w:r>
      <w:r>
        <w:rPr>
          <w:spacing w:val="-12"/>
        </w:rPr>
        <w:t> </w:t>
      </w:r>
      <w:r>
        <w:rPr/>
        <w:t>really</w:t>
      </w:r>
      <w:r>
        <w:rPr>
          <w:spacing w:val="-12"/>
        </w:rPr>
        <w:t> </w:t>
      </w:r>
      <w:r>
        <w:rPr/>
        <w:t>hard</w:t>
      </w:r>
      <w:r>
        <w:rPr>
          <w:spacing w:val="-12"/>
        </w:rPr>
        <w:t> </w:t>
      </w:r>
      <w:r>
        <w:rPr/>
        <w:t>fought</w:t>
      </w:r>
      <w:r>
        <w:rPr>
          <w:spacing w:val="-12"/>
        </w:rPr>
        <w:t> </w:t>
      </w:r>
      <w:r>
        <w:rPr/>
        <w:t>matches</w:t>
      </w:r>
      <w:r>
        <w:rPr>
          <w:spacing w:val="-12"/>
        </w:rPr>
        <w:t> </w:t>
      </w:r>
      <w:r>
        <w:rPr/>
        <w:t>in</w:t>
      </w:r>
      <w:r>
        <w:rPr>
          <w:spacing w:val="-12"/>
        </w:rPr>
        <w:t> </w:t>
      </w:r>
      <w:r>
        <w:rPr/>
        <w:t>the</w:t>
      </w:r>
      <w:r>
        <w:rPr>
          <w:spacing w:val="-12"/>
        </w:rPr>
        <w:t> </w:t>
      </w:r>
      <w:r>
        <w:rPr/>
        <w:t>centre</w:t>
      </w:r>
      <w:r>
        <w:rPr>
          <w:spacing w:val="-12"/>
        </w:rPr>
        <w:t> </w:t>
      </w:r>
      <w:r>
        <w:rPr/>
        <w:t>of</w:t>
      </w:r>
      <w:r>
        <w:rPr>
          <w:spacing w:val="-12"/>
        </w:rPr>
        <w:t> </w:t>
      </w:r>
      <w:r>
        <w:rPr/>
        <w:t>the</w:t>
      </w:r>
      <w:r>
        <w:rPr>
          <w:spacing w:val="-12"/>
        </w:rPr>
        <w:t> </w:t>
      </w:r>
      <w:r>
        <w:rPr/>
        <w:t>pitch,</w:t>
      </w:r>
      <w:r>
        <w:rPr>
          <w:spacing w:val="-10"/>
        </w:rPr>
        <w:t> </w:t>
      </w:r>
      <w:r>
        <w:rPr/>
        <w:t>potentially</w:t>
      </w:r>
      <w:r>
        <w:rPr>
          <w:spacing w:val="-12"/>
        </w:rPr>
        <w:t> </w:t>
      </w:r>
      <w:r>
        <w:rPr/>
        <w:t>describ- ing the large downward shift in actions relative to Catalans team overall KDE. Salford finished 11th in the league, conceding 584 points across the league suggesting their de- fence</w:t>
      </w:r>
      <w:r>
        <w:rPr>
          <w:spacing w:val="-15"/>
        </w:rPr>
        <w:t> </w:t>
      </w:r>
      <w:r>
        <w:rPr/>
        <w:t>was</w:t>
      </w:r>
      <w:r>
        <w:rPr>
          <w:spacing w:val="-15"/>
        </w:rPr>
        <w:t> </w:t>
      </w:r>
      <w:r>
        <w:rPr/>
        <w:t>weak.</w:t>
      </w:r>
      <w:r>
        <w:rPr>
          <w:spacing w:val="3"/>
        </w:rPr>
        <w:t> </w:t>
      </w:r>
      <w:r>
        <w:rPr/>
        <w:t>As</w:t>
      </w:r>
      <w:r>
        <w:rPr>
          <w:spacing w:val="-15"/>
        </w:rPr>
        <w:t> </w:t>
      </w:r>
      <w:r>
        <w:rPr/>
        <w:t>such,</w:t>
      </w:r>
      <w:r>
        <w:rPr>
          <w:spacing w:val="-13"/>
        </w:rPr>
        <w:t> </w:t>
      </w:r>
      <w:r>
        <w:rPr/>
        <w:t>the</w:t>
      </w:r>
      <w:r>
        <w:rPr>
          <w:spacing w:val="-15"/>
        </w:rPr>
        <w:t> </w:t>
      </w:r>
      <w:r>
        <w:rPr/>
        <w:t>moderate</w:t>
      </w:r>
      <w:r>
        <w:rPr>
          <w:spacing w:val="-15"/>
        </w:rPr>
        <w:t> </w:t>
      </w:r>
      <w:r>
        <w:rPr/>
        <w:t>downward</w:t>
      </w:r>
      <w:r>
        <w:rPr>
          <w:spacing w:val="-15"/>
        </w:rPr>
        <w:t> </w:t>
      </w:r>
      <w:r>
        <w:rPr/>
        <w:t>shift</w:t>
      </w:r>
      <w:r>
        <w:rPr>
          <w:spacing w:val="-15"/>
        </w:rPr>
        <w:t> </w:t>
      </w:r>
      <w:r>
        <w:rPr/>
        <w:t>in</w:t>
      </w:r>
      <w:r>
        <w:rPr>
          <w:spacing w:val="-15"/>
        </w:rPr>
        <w:t> </w:t>
      </w:r>
      <w:r>
        <w:rPr/>
        <w:t>density</w:t>
      </w:r>
      <w:r>
        <w:rPr>
          <w:spacing w:val="-15"/>
        </w:rPr>
        <w:t> </w:t>
      </w:r>
      <w:r>
        <w:rPr/>
        <w:t>may</w:t>
      </w:r>
      <w:r>
        <w:rPr>
          <w:spacing w:val="-15"/>
        </w:rPr>
        <w:t> </w:t>
      </w:r>
      <w:r>
        <w:rPr/>
        <w:t>have</w:t>
      </w:r>
      <w:r>
        <w:rPr>
          <w:spacing w:val="-15"/>
        </w:rPr>
        <w:t> </w:t>
      </w:r>
      <w:r>
        <w:rPr/>
        <w:t>been</w:t>
      </w:r>
      <w:r>
        <w:rPr>
          <w:spacing w:val="-15"/>
        </w:rPr>
        <w:t> </w:t>
      </w:r>
      <w:r>
        <w:rPr/>
        <w:t>because Catalans been able to score points against them in fewer actions than against Leeds who finished 5th in the league and may have been much better at defending, causing Cata- lans</w:t>
      </w:r>
      <w:r>
        <w:rPr>
          <w:spacing w:val="-7"/>
        </w:rPr>
        <w:t> </w:t>
      </w:r>
      <w:r>
        <w:rPr/>
        <w:t>to</w:t>
      </w:r>
      <w:r>
        <w:rPr>
          <w:spacing w:val="-7"/>
        </w:rPr>
        <w:t> </w:t>
      </w:r>
      <w:r>
        <w:rPr/>
        <w:t>perform</w:t>
      </w:r>
      <w:r>
        <w:rPr>
          <w:spacing w:val="-7"/>
        </w:rPr>
        <w:t> </w:t>
      </w:r>
      <w:r>
        <w:rPr/>
        <w:t>more</w:t>
      </w:r>
      <w:r>
        <w:rPr>
          <w:spacing w:val="-7"/>
        </w:rPr>
        <w:t> </w:t>
      </w:r>
      <w:r>
        <w:rPr/>
        <w:t>actions</w:t>
      </w:r>
      <w:r>
        <w:rPr>
          <w:spacing w:val="-7"/>
        </w:rPr>
        <w:t> </w:t>
      </w:r>
      <w:r>
        <w:rPr/>
        <w:t>in</w:t>
      </w:r>
      <w:r>
        <w:rPr>
          <w:spacing w:val="-7"/>
        </w:rPr>
        <w:t> </w:t>
      </w:r>
      <w:r>
        <w:rPr/>
        <w:t>the</w:t>
      </w:r>
      <w:r>
        <w:rPr>
          <w:spacing w:val="-7"/>
        </w:rPr>
        <w:t> </w:t>
      </w:r>
      <w:r>
        <w:rPr/>
        <w:t>opposition</w:t>
      </w:r>
      <w:r>
        <w:rPr>
          <w:spacing w:val="-7"/>
        </w:rPr>
        <w:t> </w:t>
      </w:r>
      <w:r>
        <w:rPr/>
        <w:t>20m</w:t>
      </w:r>
      <w:r>
        <w:rPr>
          <w:spacing w:val="-7"/>
        </w:rPr>
        <w:t> </w:t>
      </w:r>
      <w:r>
        <w:rPr/>
        <w:t>before</w:t>
      </w:r>
      <w:r>
        <w:rPr>
          <w:spacing w:val="-7"/>
        </w:rPr>
        <w:t> </w:t>
      </w:r>
      <w:r>
        <w:rPr/>
        <w:t>they</w:t>
      </w:r>
      <w:r>
        <w:rPr>
          <w:spacing w:val="-7"/>
        </w:rPr>
        <w:t> </w:t>
      </w:r>
      <w:r>
        <w:rPr/>
        <w:t>were</w:t>
      </w:r>
      <w:r>
        <w:rPr>
          <w:spacing w:val="-7"/>
        </w:rPr>
        <w:t> </w:t>
      </w:r>
      <w:r>
        <w:rPr/>
        <w:t>able</w:t>
      </w:r>
      <w:r>
        <w:rPr>
          <w:spacing w:val="-7"/>
        </w:rPr>
        <w:t> </w:t>
      </w:r>
      <w:r>
        <w:rPr/>
        <w:t>to</w:t>
      </w:r>
      <w:r>
        <w:rPr>
          <w:spacing w:val="-7"/>
        </w:rPr>
        <w:t> </w:t>
      </w:r>
      <w:r>
        <w:rPr/>
        <w:t>score</w:t>
      </w:r>
      <w:r>
        <w:rPr>
          <w:spacing w:val="-7"/>
        </w:rPr>
        <w:t> </w:t>
      </w:r>
      <w:r>
        <w:rPr/>
        <w:t>points. The ability to gain these insights from a single plot of analysis (alongside widely known information for coaches) ensures KDE and directional Wasserstein distance plots are a particularly valuable tool for use within rugby league.</w:t>
      </w:r>
    </w:p>
    <w:p>
      <w:pPr>
        <w:pStyle w:val="BodyText"/>
        <w:spacing w:line="272" w:lineRule="exact"/>
        <w:ind w:left="961"/>
        <w:jc w:val="both"/>
      </w:pPr>
      <w:r>
        <w:rPr/>
        <w:t>The</w:t>
      </w:r>
      <w:r>
        <w:rPr>
          <w:spacing w:val="21"/>
        </w:rPr>
        <w:t> </w:t>
      </w:r>
      <w:r>
        <w:rPr/>
        <w:t>work</w:t>
      </w:r>
      <w:r>
        <w:rPr>
          <w:spacing w:val="22"/>
        </w:rPr>
        <w:t> </w:t>
      </w:r>
      <w:r>
        <w:rPr/>
        <w:t>from</w:t>
      </w:r>
      <w:r>
        <w:rPr>
          <w:spacing w:val="21"/>
        </w:rPr>
        <w:t> </w:t>
      </w:r>
      <w:r>
        <w:rPr/>
        <w:t>this</w:t>
      </w:r>
      <w:r>
        <w:rPr>
          <w:spacing w:val="22"/>
        </w:rPr>
        <w:t> </w:t>
      </w:r>
      <w:r>
        <w:rPr/>
        <w:t>study</w:t>
      </w:r>
      <w:r>
        <w:rPr>
          <w:spacing w:val="21"/>
        </w:rPr>
        <w:t> </w:t>
      </w:r>
      <w:r>
        <w:rPr/>
        <w:t>was</w:t>
      </w:r>
      <w:r>
        <w:rPr>
          <w:spacing w:val="22"/>
        </w:rPr>
        <w:t> </w:t>
      </w:r>
      <w:r>
        <w:rPr/>
        <w:t>presented</w:t>
      </w:r>
      <w:r>
        <w:rPr>
          <w:spacing w:val="21"/>
        </w:rPr>
        <w:t> </w:t>
      </w:r>
      <w:r>
        <w:rPr/>
        <w:t>to</w:t>
      </w:r>
      <w:r>
        <w:rPr>
          <w:spacing w:val="22"/>
        </w:rPr>
        <w:t> </w:t>
      </w:r>
      <w:r>
        <w:rPr/>
        <w:t>coaches</w:t>
      </w:r>
      <w:r>
        <w:rPr>
          <w:spacing w:val="21"/>
        </w:rPr>
        <w:t> </w:t>
      </w:r>
      <w:r>
        <w:rPr/>
        <w:t>at</w:t>
      </w:r>
      <w:r>
        <w:rPr>
          <w:spacing w:val="22"/>
        </w:rPr>
        <w:t> </w:t>
      </w:r>
      <w:r>
        <w:rPr/>
        <w:t>Leeds</w:t>
      </w:r>
      <w:r>
        <w:rPr>
          <w:spacing w:val="21"/>
        </w:rPr>
        <w:t> </w:t>
      </w:r>
      <w:r>
        <w:rPr/>
        <w:t>Rhinos</w:t>
      </w:r>
      <w:r>
        <w:rPr>
          <w:spacing w:val="22"/>
        </w:rPr>
        <w:t> </w:t>
      </w:r>
      <w:r>
        <w:rPr/>
        <w:t>rugby</w:t>
      </w:r>
      <w:r>
        <w:rPr>
          <w:spacing w:val="21"/>
        </w:rPr>
        <w:t> </w:t>
      </w:r>
      <w:r>
        <w:rPr>
          <w:spacing w:val="-2"/>
        </w:rPr>
        <w:t>league</w:t>
      </w:r>
    </w:p>
    <w:p>
      <w:pPr>
        <w:spacing w:after="0" w:line="272" w:lineRule="exact"/>
        <w:jc w:val="both"/>
        <w:sectPr>
          <w:pgSz w:w="11910" w:h="16840"/>
          <w:pgMar w:header="1961" w:footer="1428" w:top="2280" w:bottom="1620" w:left="1680" w:right="720"/>
        </w:sectPr>
      </w:pPr>
    </w:p>
    <w:p>
      <w:pPr>
        <w:pStyle w:val="BodyText"/>
        <w:rPr>
          <w:sz w:val="20"/>
        </w:rPr>
      </w:pPr>
    </w:p>
    <w:p>
      <w:pPr>
        <w:pStyle w:val="BodyText"/>
        <w:spacing w:before="5"/>
        <w:rPr>
          <w:sz w:val="28"/>
        </w:rPr>
      </w:pPr>
    </w:p>
    <w:p>
      <w:pPr>
        <w:pStyle w:val="BodyText"/>
        <w:ind w:left="610"/>
        <w:rPr>
          <w:sz w:val="20"/>
        </w:rPr>
      </w:pPr>
      <w:r>
        <w:rPr>
          <w:sz w:val="20"/>
        </w:rPr>
        <w:drawing>
          <wp:inline distT="0" distB="0" distL="0" distR="0">
            <wp:extent cx="5366676" cy="2535936"/>
            <wp:effectExtent l="0" t="0" r="0" b="0"/>
            <wp:docPr id="99" name="image50.jpeg"/>
            <wp:cNvGraphicFramePr>
              <a:graphicFrameLocks noChangeAspect="1"/>
            </wp:cNvGraphicFramePr>
            <a:graphic>
              <a:graphicData uri="http://schemas.openxmlformats.org/drawingml/2006/picture">
                <pic:pic>
                  <pic:nvPicPr>
                    <pic:cNvPr id="100" name="image50.jpeg"/>
                    <pic:cNvPicPr/>
                  </pic:nvPicPr>
                  <pic:blipFill>
                    <a:blip r:embed="rId120" cstate="print"/>
                    <a:stretch>
                      <a:fillRect/>
                    </a:stretch>
                  </pic:blipFill>
                  <pic:spPr>
                    <a:xfrm>
                      <a:off x="0" y="0"/>
                      <a:ext cx="5366676" cy="2535936"/>
                    </a:xfrm>
                    <a:prstGeom prst="rect">
                      <a:avLst/>
                    </a:prstGeom>
                  </pic:spPr>
                </pic:pic>
              </a:graphicData>
            </a:graphic>
          </wp:inline>
        </w:drawing>
      </w:r>
      <w:r>
        <w:rPr>
          <w:sz w:val="20"/>
        </w:rPr>
      </w:r>
    </w:p>
    <w:p>
      <w:pPr>
        <w:pStyle w:val="BodyText"/>
        <w:spacing w:before="7"/>
        <w:rPr>
          <w:sz w:val="7"/>
        </w:rPr>
      </w:pPr>
    </w:p>
    <w:p>
      <w:pPr>
        <w:pStyle w:val="BodyText"/>
        <w:spacing w:line="252" w:lineRule="auto" w:before="106"/>
        <w:ind w:left="610" w:right="389"/>
        <w:jc w:val="both"/>
      </w:pPr>
      <w:bookmarkStart w:name="_bookmark168" w:id="287"/>
      <w:bookmarkEnd w:id="287"/>
      <w:r>
        <w:rPr/>
      </w:r>
      <w:r>
        <w:rPr>
          <w:b/>
        </w:rPr>
        <w:t>Figure 5.18:</w:t>
      </w:r>
      <w:r>
        <w:rPr>
          <w:b/>
          <w:spacing w:val="40"/>
        </w:rPr>
        <w:t> </w:t>
      </w:r>
      <w:r>
        <w:rPr/>
        <w:t>Zoomed in quadrant plot showing directional Wasserstein distance </w:t>
      </w:r>
      <w:r>
        <w:rPr/>
        <w:t>for Castleford</w:t>
      </w:r>
      <w:r>
        <w:rPr>
          <w:spacing w:val="-15"/>
        </w:rPr>
        <w:t> </w:t>
      </w:r>
      <w:r>
        <w:rPr/>
        <w:t>against</w:t>
      </w:r>
      <w:r>
        <w:rPr>
          <w:spacing w:val="-15"/>
        </w:rPr>
        <w:t> </w:t>
      </w:r>
      <w:r>
        <w:rPr/>
        <w:t>different</w:t>
      </w:r>
      <w:r>
        <w:rPr>
          <w:spacing w:val="-15"/>
        </w:rPr>
        <w:t> </w:t>
      </w:r>
      <w:r>
        <w:rPr/>
        <w:t>opponents.</w:t>
      </w:r>
      <w:r>
        <w:rPr>
          <w:spacing w:val="-15"/>
        </w:rPr>
        <w:t> </w:t>
      </w:r>
      <w:r>
        <w:rPr/>
        <w:t>Positive</w:t>
      </w:r>
      <w:r>
        <w:rPr>
          <w:spacing w:val="-15"/>
        </w:rPr>
        <w:t> </w:t>
      </w:r>
      <w:r>
        <w:rPr/>
        <w:t>numbers</w:t>
      </w:r>
      <w:r>
        <w:rPr>
          <w:spacing w:val="-15"/>
        </w:rPr>
        <w:t> </w:t>
      </w:r>
      <w:r>
        <w:rPr/>
        <w:t>in</w:t>
      </w:r>
      <w:r>
        <w:rPr>
          <w:spacing w:val="-15"/>
        </w:rPr>
        <w:t> </w:t>
      </w:r>
      <w:r>
        <w:rPr/>
        <w:t>the</w:t>
      </w:r>
      <w:r>
        <w:rPr>
          <w:spacing w:val="-15"/>
        </w:rPr>
        <w:t> </w:t>
      </w:r>
      <w:r>
        <w:rPr/>
        <w:t>left</w:t>
      </w:r>
      <w:r>
        <w:rPr>
          <w:spacing w:val="-15"/>
        </w:rPr>
        <w:t> </w:t>
      </w:r>
      <w:r>
        <w:rPr/>
        <w:t>plot</w:t>
      </w:r>
      <w:r>
        <w:rPr>
          <w:spacing w:val="-15"/>
        </w:rPr>
        <w:t> </w:t>
      </w:r>
      <w:r>
        <w:rPr/>
        <w:t>represent</w:t>
      </w:r>
      <w:r>
        <w:rPr>
          <w:spacing w:val="-15"/>
        </w:rPr>
        <w:t> </w:t>
      </w:r>
      <w:r>
        <w:rPr/>
        <w:t>an</w:t>
      </w:r>
      <w:r>
        <w:rPr>
          <w:spacing w:val="-15"/>
        </w:rPr>
        <w:t> </w:t>
      </w:r>
      <w:r>
        <w:rPr/>
        <w:t>over- all shift to the left, positive numbers in the right plot represent an overall shift upwards. The opponent Leeds is removed.</w:t>
      </w:r>
      <w:r>
        <w:rPr>
          <w:spacing w:val="31"/>
        </w:rPr>
        <w:t> </w:t>
      </w:r>
      <w:r>
        <w:rPr/>
        <w:t>The co-ordinates for Leeds would be (9.41, -0.58) and (9.41, 7.14) for the left and right plot respectively.</w:t>
      </w:r>
      <w:r>
        <w:rPr>
          <w:spacing w:val="40"/>
        </w:rPr>
        <w:t> </w:t>
      </w:r>
      <w:r>
        <w:rPr/>
        <w:t>Blue lines represent median values, including Leeds.</w:t>
      </w:r>
    </w:p>
    <w:p>
      <w:pPr>
        <w:pStyle w:val="BodyText"/>
        <w:spacing w:before="5"/>
        <w:rPr>
          <w:sz w:val="37"/>
        </w:rPr>
      </w:pPr>
    </w:p>
    <w:p>
      <w:pPr>
        <w:pStyle w:val="BodyText"/>
        <w:spacing w:line="312" w:lineRule="auto"/>
        <w:ind w:left="610" w:right="389"/>
        <w:jc w:val="both"/>
      </w:pPr>
      <w:r>
        <w:rPr/>
        <w:t>club,</w:t>
      </w:r>
      <w:r>
        <w:rPr>
          <w:spacing w:val="-8"/>
        </w:rPr>
        <w:t> </w:t>
      </w:r>
      <w:r>
        <w:rPr/>
        <w:t>who</w:t>
      </w:r>
      <w:r>
        <w:rPr>
          <w:spacing w:val="-8"/>
        </w:rPr>
        <w:t> </w:t>
      </w:r>
      <w:r>
        <w:rPr/>
        <w:t>were</w:t>
      </w:r>
      <w:r>
        <w:rPr>
          <w:spacing w:val="-9"/>
        </w:rPr>
        <w:t> </w:t>
      </w:r>
      <w:r>
        <w:rPr/>
        <w:t>widely</w:t>
      </w:r>
      <w:r>
        <w:rPr>
          <w:spacing w:val="-9"/>
        </w:rPr>
        <w:t> </w:t>
      </w:r>
      <w:r>
        <w:rPr/>
        <w:t>impressed. They</w:t>
      </w:r>
      <w:r>
        <w:rPr>
          <w:spacing w:val="-8"/>
        </w:rPr>
        <w:t> </w:t>
      </w:r>
      <w:r>
        <w:rPr/>
        <w:t>validated</w:t>
      </w:r>
      <w:r>
        <w:rPr>
          <w:spacing w:val="-8"/>
        </w:rPr>
        <w:t> </w:t>
      </w:r>
      <w:r>
        <w:rPr/>
        <w:t>the</w:t>
      </w:r>
      <w:r>
        <w:rPr>
          <w:spacing w:val="-9"/>
        </w:rPr>
        <w:t> </w:t>
      </w:r>
      <w:r>
        <w:rPr/>
        <w:t>reliability</w:t>
      </w:r>
      <w:r>
        <w:rPr>
          <w:spacing w:val="-8"/>
        </w:rPr>
        <w:t> </w:t>
      </w:r>
      <w:r>
        <w:rPr/>
        <w:t>of</w:t>
      </w:r>
      <w:r>
        <w:rPr>
          <w:spacing w:val="-9"/>
        </w:rPr>
        <w:t> </w:t>
      </w:r>
      <w:r>
        <w:rPr/>
        <w:t>the</w:t>
      </w:r>
      <w:r>
        <w:rPr>
          <w:spacing w:val="-9"/>
        </w:rPr>
        <w:t> </w:t>
      </w:r>
      <w:r>
        <w:rPr/>
        <w:t>findings</w:t>
      </w:r>
      <w:r>
        <w:rPr>
          <w:spacing w:val="-8"/>
        </w:rPr>
        <w:t> </w:t>
      </w:r>
      <w:r>
        <w:rPr/>
        <w:t>regarding Huddersfield’s</w:t>
      </w:r>
      <w:r>
        <w:rPr>
          <w:spacing w:val="-1"/>
        </w:rPr>
        <w:t> </w:t>
      </w:r>
      <w:r>
        <w:rPr/>
        <w:t>central</w:t>
      </w:r>
      <w:r>
        <w:rPr>
          <w:spacing w:val="-1"/>
        </w:rPr>
        <w:t> </w:t>
      </w:r>
      <w:r>
        <w:rPr/>
        <w:t>densities</w:t>
      </w:r>
      <w:r>
        <w:rPr>
          <w:spacing w:val="-1"/>
        </w:rPr>
        <w:t> </w:t>
      </w:r>
      <w:r>
        <w:rPr/>
        <w:t>and</w:t>
      </w:r>
      <w:r>
        <w:rPr>
          <w:spacing w:val="-1"/>
        </w:rPr>
        <w:t> </w:t>
      </w:r>
      <w:r>
        <w:rPr/>
        <w:t>also</w:t>
      </w:r>
      <w:r>
        <w:rPr>
          <w:spacing w:val="-1"/>
        </w:rPr>
        <w:t> </w:t>
      </w:r>
      <w:r>
        <w:rPr/>
        <w:t>explained</w:t>
      </w:r>
      <w:r>
        <w:rPr>
          <w:spacing w:val="-1"/>
        </w:rPr>
        <w:t> </w:t>
      </w:r>
      <w:r>
        <w:rPr/>
        <w:t>that</w:t>
      </w:r>
      <w:r>
        <w:rPr>
          <w:spacing w:val="-1"/>
        </w:rPr>
        <w:t> </w:t>
      </w:r>
      <w:r>
        <w:rPr/>
        <w:t>Leeds</w:t>
      </w:r>
      <w:r>
        <w:rPr>
          <w:spacing w:val="-1"/>
        </w:rPr>
        <w:t> </w:t>
      </w:r>
      <w:r>
        <w:rPr/>
        <w:t>Rhinos’</w:t>
      </w:r>
      <w:r>
        <w:rPr>
          <w:spacing w:val="-1"/>
        </w:rPr>
        <w:t> </w:t>
      </w:r>
      <w:r>
        <w:rPr/>
        <w:t>increased</w:t>
      </w:r>
      <w:r>
        <w:rPr>
          <w:spacing w:val="-1"/>
        </w:rPr>
        <w:t> </w:t>
      </w:r>
      <w:r>
        <w:rPr/>
        <w:t>density within the opposition half was probably due to the team’s ability to progress into the opposition</w:t>
      </w:r>
      <w:r>
        <w:rPr>
          <w:spacing w:val="-15"/>
        </w:rPr>
        <w:t> </w:t>
      </w:r>
      <w:r>
        <w:rPr/>
        <w:t>half</w:t>
      </w:r>
      <w:r>
        <w:rPr>
          <w:spacing w:val="-15"/>
        </w:rPr>
        <w:t> </w:t>
      </w:r>
      <w:r>
        <w:rPr/>
        <w:t>particularly</w:t>
      </w:r>
      <w:r>
        <w:rPr>
          <w:spacing w:val="-15"/>
        </w:rPr>
        <w:t> </w:t>
      </w:r>
      <w:r>
        <w:rPr/>
        <w:t>quickly</w:t>
      </w:r>
      <w:r>
        <w:rPr>
          <w:spacing w:val="-15"/>
        </w:rPr>
        <w:t> </w:t>
      </w:r>
      <w:r>
        <w:rPr/>
        <w:t>in</w:t>
      </w:r>
      <w:r>
        <w:rPr>
          <w:spacing w:val="-15"/>
        </w:rPr>
        <w:t> </w:t>
      </w:r>
      <w:r>
        <w:rPr/>
        <w:t>the</w:t>
      </w:r>
      <w:r>
        <w:rPr>
          <w:spacing w:val="-15"/>
        </w:rPr>
        <w:t> </w:t>
      </w:r>
      <w:r>
        <w:rPr/>
        <w:t>2021</w:t>
      </w:r>
      <w:r>
        <w:rPr>
          <w:spacing w:val="-15"/>
        </w:rPr>
        <w:t> </w:t>
      </w:r>
      <w:r>
        <w:rPr/>
        <w:t>season.</w:t>
      </w:r>
      <w:r>
        <w:rPr>
          <w:spacing w:val="-15"/>
        </w:rPr>
        <w:t> </w:t>
      </w:r>
      <w:r>
        <w:rPr/>
        <w:t>They</w:t>
      </w:r>
      <w:r>
        <w:rPr>
          <w:spacing w:val="-15"/>
        </w:rPr>
        <w:t> </w:t>
      </w:r>
      <w:r>
        <w:rPr/>
        <w:t>had</w:t>
      </w:r>
      <w:r>
        <w:rPr>
          <w:spacing w:val="-15"/>
        </w:rPr>
        <w:t> </w:t>
      </w:r>
      <w:r>
        <w:rPr/>
        <w:t>not</w:t>
      </w:r>
      <w:r>
        <w:rPr>
          <w:spacing w:val="-15"/>
        </w:rPr>
        <w:t> </w:t>
      </w:r>
      <w:r>
        <w:rPr/>
        <w:t>noticed</w:t>
      </w:r>
      <w:r>
        <w:rPr>
          <w:spacing w:val="-15"/>
        </w:rPr>
        <w:t> </w:t>
      </w:r>
      <w:r>
        <w:rPr/>
        <w:t>the</w:t>
      </w:r>
      <w:r>
        <w:rPr>
          <w:spacing w:val="-15"/>
        </w:rPr>
        <w:t> </w:t>
      </w:r>
      <w:r>
        <w:rPr/>
        <w:t>left</w:t>
      </w:r>
      <w:r>
        <w:rPr>
          <w:spacing w:val="-15"/>
        </w:rPr>
        <w:t> </w:t>
      </w:r>
      <w:r>
        <w:rPr/>
        <w:t>sided bias</w:t>
      </w:r>
      <w:r>
        <w:rPr>
          <w:spacing w:val="-5"/>
        </w:rPr>
        <w:t> </w:t>
      </w:r>
      <w:r>
        <w:rPr/>
        <w:t>shown</w:t>
      </w:r>
      <w:r>
        <w:rPr>
          <w:spacing w:val="-5"/>
        </w:rPr>
        <w:t> </w:t>
      </w:r>
      <w:r>
        <w:rPr/>
        <w:t>by</w:t>
      </w:r>
      <w:r>
        <w:rPr>
          <w:spacing w:val="-5"/>
        </w:rPr>
        <w:t> </w:t>
      </w:r>
      <w:r>
        <w:rPr/>
        <w:t>Castleford</w:t>
      </w:r>
      <w:r>
        <w:rPr>
          <w:spacing w:val="-5"/>
        </w:rPr>
        <w:t> </w:t>
      </w:r>
      <w:r>
        <w:rPr/>
        <w:t>and</w:t>
      </w:r>
      <w:r>
        <w:rPr>
          <w:spacing w:val="-5"/>
        </w:rPr>
        <w:t> </w:t>
      </w:r>
      <w:r>
        <w:rPr/>
        <w:t>indicated</w:t>
      </w:r>
      <w:r>
        <w:rPr>
          <w:spacing w:val="-5"/>
        </w:rPr>
        <w:t> </w:t>
      </w:r>
      <w:r>
        <w:rPr/>
        <w:t>had</w:t>
      </w:r>
      <w:r>
        <w:rPr>
          <w:spacing w:val="-5"/>
        </w:rPr>
        <w:t> </w:t>
      </w:r>
      <w:r>
        <w:rPr/>
        <w:t>they</w:t>
      </w:r>
      <w:r>
        <w:rPr>
          <w:spacing w:val="-5"/>
        </w:rPr>
        <w:t> </w:t>
      </w:r>
      <w:r>
        <w:rPr/>
        <w:t>known</w:t>
      </w:r>
      <w:r>
        <w:rPr>
          <w:spacing w:val="-5"/>
        </w:rPr>
        <w:t> </w:t>
      </w:r>
      <w:r>
        <w:rPr/>
        <w:t>this</w:t>
      </w:r>
      <w:r>
        <w:rPr>
          <w:spacing w:val="-5"/>
        </w:rPr>
        <w:t> </w:t>
      </w:r>
      <w:r>
        <w:rPr/>
        <w:t>it</w:t>
      </w:r>
      <w:r>
        <w:rPr>
          <w:spacing w:val="-5"/>
        </w:rPr>
        <w:t> </w:t>
      </w:r>
      <w:r>
        <w:rPr/>
        <w:t>may</w:t>
      </w:r>
      <w:r>
        <w:rPr>
          <w:spacing w:val="-5"/>
        </w:rPr>
        <w:t> </w:t>
      </w:r>
      <w:r>
        <w:rPr/>
        <w:t>have</w:t>
      </w:r>
      <w:r>
        <w:rPr>
          <w:spacing w:val="-5"/>
        </w:rPr>
        <w:t> </w:t>
      </w:r>
      <w:r>
        <w:rPr/>
        <w:t>influenced</w:t>
      </w:r>
      <w:r>
        <w:rPr>
          <w:spacing w:val="-5"/>
        </w:rPr>
        <w:t> </w:t>
      </w:r>
      <w:r>
        <w:rPr/>
        <w:t>their tactical</w:t>
      </w:r>
      <w:r>
        <w:rPr>
          <w:spacing w:val="-2"/>
        </w:rPr>
        <w:t> </w:t>
      </w:r>
      <w:r>
        <w:rPr/>
        <w:t>preparation</w:t>
      </w:r>
      <w:r>
        <w:rPr>
          <w:spacing w:val="-2"/>
        </w:rPr>
        <w:t> </w:t>
      </w:r>
      <w:r>
        <w:rPr/>
        <w:t>for</w:t>
      </w:r>
      <w:r>
        <w:rPr>
          <w:spacing w:val="-2"/>
        </w:rPr>
        <w:t> </w:t>
      </w:r>
      <w:r>
        <w:rPr/>
        <w:t>matches</w:t>
      </w:r>
      <w:r>
        <w:rPr>
          <w:spacing w:val="-2"/>
        </w:rPr>
        <w:t> </w:t>
      </w:r>
      <w:r>
        <w:rPr/>
        <w:t>against</w:t>
      </w:r>
      <w:r>
        <w:rPr>
          <w:spacing w:val="-2"/>
        </w:rPr>
        <w:t> </w:t>
      </w:r>
      <w:r>
        <w:rPr/>
        <w:t>them</w:t>
      </w:r>
      <w:r>
        <w:rPr>
          <w:spacing w:val="-2"/>
        </w:rPr>
        <w:t> </w:t>
      </w:r>
      <w:r>
        <w:rPr/>
        <w:t>providing</w:t>
      </w:r>
      <w:r>
        <w:rPr>
          <w:spacing w:val="-2"/>
        </w:rPr>
        <w:t> </w:t>
      </w:r>
      <w:r>
        <w:rPr/>
        <w:t>strong</w:t>
      </w:r>
      <w:r>
        <w:rPr>
          <w:spacing w:val="-2"/>
        </w:rPr>
        <w:t> </w:t>
      </w:r>
      <w:r>
        <w:rPr/>
        <w:t>validation</w:t>
      </w:r>
      <w:r>
        <w:rPr>
          <w:spacing w:val="-2"/>
        </w:rPr>
        <w:t> </w:t>
      </w:r>
      <w:r>
        <w:rPr/>
        <w:t>of</w:t>
      </w:r>
      <w:r>
        <w:rPr>
          <w:spacing w:val="-2"/>
        </w:rPr>
        <w:t> </w:t>
      </w:r>
      <w:r>
        <w:rPr/>
        <w:t>the</w:t>
      </w:r>
      <w:r>
        <w:rPr>
          <w:spacing w:val="-2"/>
        </w:rPr>
        <w:t> </w:t>
      </w:r>
      <w:r>
        <w:rPr/>
        <w:t>usability of</w:t>
      </w:r>
      <w:r>
        <w:rPr>
          <w:spacing w:val="-14"/>
        </w:rPr>
        <w:t> </w:t>
      </w:r>
      <w:r>
        <w:rPr/>
        <w:t>the</w:t>
      </w:r>
      <w:r>
        <w:rPr>
          <w:spacing w:val="-13"/>
        </w:rPr>
        <w:t> </w:t>
      </w:r>
      <w:r>
        <w:rPr/>
        <w:t>models.</w:t>
      </w:r>
      <w:r>
        <w:rPr>
          <w:spacing w:val="4"/>
        </w:rPr>
        <w:t> </w:t>
      </w:r>
      <w:r>
        <w:rPr/>
        <w:t>They</w:t>
      </w:r>
      <w:r>
        <w:rPr>
          <w:spacing w:val="-14"/>
        </w:rPr>
        <w:t> </w:t>
      </w:r>
      <w:r>
        <w:rPr/>
        <w:t>strongly</w:t>
      </w:r>
      <w:r>
        <w:rPr>
          <w:spacing w:val="-12"/>
        </w:rPr>
        <w:t> </w:t>
      </w:r>
      <w:r>
        <w:rPr/>
        <w:t>believe</w:t>
      </w:r>
      <w:r>
        <w:rPr>
          <w:spacing w:val="-13"/>
        </w:rPr>
        <w:t> </w:t>
      </w:r>
      <w:r>
        <w:rPr/>
        <w:t>the</w:t>
      </w:r>
      <w:r>
        <w:rPr>
          <w:spacing w:val="-14"/>
        </w:rPr>
        <w:t> </w:t>
      </w:r>
      <w:r>
        <w:rPr/>
        <w:t>plots</w:t>
      </w:r>
      <w:r>
        <w:rPr>
          <w:spacing w:val="-13"/>
        </w:rPr>
        <w:t> </w:t>
      </w:r>
      <w:r>
        <w:rPr/>
        <w:t>have</w:t>
      </w:r>
      <w:r>
        <w:rPr>
          <w:spacing w:val="-12"/>
        </w:rPr>
        <w:t> </w:t>
      </w:r>
      <w:r>
        <w:rPr/>
        <w:t>use</w:t>
      </w:r>
      <w:r>
        <w:rPr>
          <w:spacing w:val="-13"/>
        </w:rPr>
        <w:t> </w:t>
      </w:r>
      <w:r>
        <w:rPr/>
        <w:t>from</w:t>
      </w:r>
      <w:r>
        <w:rPr>
          <w:spacing w:val="-14"/>
        </w:rPr>
        <w:t> </w:t>
      </w:r>
      <w:r>
        <w:rPr/>
        <w:t>a</w:t>
      </w:r>
      <w:r>
        <w:rPr>
          <w:spacing w:val="-13"/>
        </w:rPr>
        <w:t> </w:t>
      </w:r>
      <w:r>
        <w:rPr/>
        <w:t>bench</w:t>
      </w:r>
      <w:r>
        <w:rPr>
          <w:spacing w:val="-12"/>
        </w:rPr>
        <w:t> </w:t>
      </w:r>
      <w:r>
        <w:rPr/>
        <w:t>marking</w:t>
      </w:r>
      <w:r>
        <w:rPr>
          <w:spacing w:val="-13"/>
        </w:rPr>
        <w:t> </w:t>
      </w:r>
      <w:r>
        <w:rPr>
          <w:spacing w:val="-2"/>
        </w:rPr>
        <w:t>perspective</w:t>
      </w:r>
    </w:p>
    <w:p>
      <w:pPr>
        <w:pStyle w:val="BodyText"/>
        <w:spacing w:line="312" w:lineRule="auto"/>
        <w:ind w:left="610" w:right="389"/>
        <w:jc w:val="both"/>
      </w:pPr>
      <w:r>
        <w:rPr/>
        <w:t>-</w:t>
      </w:r>
      <w:r>
        <w:rPr>
          <w:spacing w:val="-9"/>
        </w:rPr>
        <w:t> </w:t>
      </w:r>
      <w:r>
        <w:rPr/>
        <w:t>that</w:t>
      </w:r>
      <w:r>
        <w:rPr>
          <w:spacing w:val="-9"/>
        </w:rPr>
        <w:t> </w:t>
      </w:r>
      <w:r>
        <w:rPr/>
        <w:t>is,</w:t>
      </w:r>
      <w:r>
        <w:rPr>
          <w:spacing w:val="-9"/>
        </w:rPr>
        <w:t> </w:t>
      </w:r>
      <w:r>
        <w:rPr/>
        <w:t>understanding</w:t>
      </w:r>
      <w:r>
        <w:rPr>
          <w:spacing w:val="-9"/>
        </w:rPr>
        <w:t> </w:t>
      </w:r>
      <w:r>
        <w:rPr/>
        <w:t>how</w:t>
      </w:r>
      <w:r>
        <w:rPr>
          <w:spacing w:val="-9"/>
        </w:rPr>
        <w:t> </w:t>
      </w:r>
      <w:r>
        <w:rPr/>
        <w:t>the</w:t>
      </w:r>
      <w:r>
        <w:rPr>
          <w:spacing w:val="-9"/>
        </w:rPr>
        <w:t> </w:t>
      </w:r>
      <w:r>
        <w:rPr/>
        <w:t>team</w:t>
      </w:r>
      <w:r>
        <w:rPr>
          <w:spacing w:val="-10"/>
        </w:rPr>
        <w:t> </w:t>
      </w:r>
      <w:r>
        <w:rPr/>
        <w:t>is</w:t>
      </w:r>
      <w:r>
        <w:rPr>
          <w:spacing w:val="-9"/>
        </w:rPr>
        <w:t> </w:t>
      </w:r>
      <w:r>
        <w:rPr/>
        <w:t>performing</w:t>
      </w:r>
      <w:r>
        <w:rPr>
          <w:spacing w:val="-9"/>
        </w:rPr>
        <w:t> </w:t>
      </w:r>
      <w:r>
        <w:rPr/>
        <w:t>compared</w:t>
      </w:r>
      <w:r>
        <w:rPr>
          <w:spacing w:val="-9"/>
        </w:rPr>
        <w:t> </w:t>
      </w:r>
      <w:r>
        <w:rPr/>
        <w:t>to</w:t>
      </w:r>
      <w:r>
        <w:rPr>
          <w:spacing w:val="-9"/>
        </w:rPr>
        <w:t> </w:t>
      </w:r>
      <w:r>
        <w:rPr/>
        <w:t>others</w:t>
      </w:r>
      <w:r>
        <w:rPr>
          <w:spacing w:val="-9"/>
        </w:rPr>
        <w:t> </w:t>
      </w:r>
      <w:r>
        <w:rPr/>
        <w:t>and</w:t>
      </w:r>
      <w:r>
        <w:rPr>
          <w:spacing w:val="-9"/>
        </w:rPr>
        <w:t> </w:t>
      </w:r>
      <w:r>
        <w:rPr/>
        <w:t>whether</w:t>
      </w:r>
      <w:r>
        <w:rPr>
          <w:spacing w:val="-9"/>
        </w:rPr>
        <w:t> </w:t>
      </w:r>
      <w:r>
        <w:rPr/>
        <w:t>there</w:t>
      </w:r>
      <w:r>
        <w:rPr/>
        <w:t> are areas that they can improve or investigate further as a result.</w:t>
      </w:r>
    </w:p>
    <w:p>
      <w:pPr>
        <w:pStyle w:val="BodyText"/>
        <w:spacing w:line="312" w:lineRule="auto"/>
        <w:ind w:left="610" w:right="389" w:firstLine="351"/>
        <w:jc w:val="both"/>
      </w:pPr>
      <w:r>
        <w:rPr>
          <w:spacing w:val="-2"/>
        </w:rPr>
        <w:t>The</w:t>
      </w:r>
      <w:r>
        <w:rPr>
          <w:spacing w:val="-6"/>
        </w:rPr>
        <w:t> </w:t>
      </w:r>
      <w:r>
        <w:rPr>
          <w:spacing w:val="-2"/>
        </w:rPr>
        <w:t>analyses</w:t>
      </w:r>
      <w:r>
        <w:rPr>
          <w:spacing w:val="-6"/>
        </w:rPr>
        <w:t> </w:t>
      </w:r>
      <w:r>
        <w:rPr>
          <w:spacing w:val="-2"/>
        </w:rPr>
        <w:t>for</w:t>
      </w:r>
      <w:r>
        <w:rPr>
          <w:spacing w:val="-6"/>
        </w:rPr>
        <w:t> </w:t>
      </w:r>
      <w:r>
        <w:rPr>
          <w:spacing w:val="-2"/>
        </w:rPr>
        <w:t>this</w:t>
      </w:r>
      <w:r>
        <w:rPr>
          <w:spacing w:val="-6"/>
        </w:rPr>
        <w:t> </w:t>
      </w:r>
      <w:r>
        <w:rPr>
          <w:spacing w:val="-2"/>
        </w:rPr>
        <w:t>study</w:t>
      </w:r>
      <w:r>
        <w:rPr>
          <w:spacing w:val="-6"/>
        </w:rPr>
        <w:t> </w:t>
      </w:r>
      <w:r>
        <w:rPr>
          <w:spacing w:val="-2"/>
        </w:rPr>
        <w:t>were</w:t>
      </w:r>
      <w:r>
        <w:rPr>
          <w:spacing w:val="-6"/>
        </w:rPr>
        <w:t> </w:t>
      </w:r>
      <w:r>
        <w:rPr>
          <w:spacing w:val="-2"/>
        </w:rPr>
        <w:t>conducted</w:t>
      </w:r>
      <w:r>
        <w:rPr>
          <w:spacing w:val="-6"/>
        </w:rPr>
        <w:t> </w:t>
      </w:r>
      <w:r>
        <w:rPr>
          <w:spacing w:val="-2"/>
        </w:rPr>
        <w:t>in</w:t>
      </w:r>
      <w:r>
        <w:rPr>
          <w:spacing w:val="-6"/>
        </w:rPr>
        <w:t> </w:t>
      </w:r>
      <w:r>
        <w:rPr>
          <w:spacing w:val="-2"/>
        </w:rPr>
        <w:t>Python</w:t>
      </w:r>
      <w:r>
        <w:rPr>
          <w:spacing w:val="-6"/>
        </w:rPr>
        <w:t> </w:t>
      </w:r>
      <w:r>
        <w:rPr>
          <w:spacing w:val="-2"/>
        </w:rPr>
        <w:t>using</w:t>
      </w:r>
      <w:r>
        <w:rPr>
          <w:spacing w:val="-6"/>
        </w:rPr>
        <w:t> </w:t>
      </w:r>
      <w:r>
        <w:rPr>
          <w:spacing w:val="-2"/>
        </w:rPr>
        <w:t>the</w:t>
      </w:r>
      <w:r>
        <w:rPr>
          <w:spacing w:val="-6"/>
        </w:rPr>
        <w:t> </w:t>
      </w:r>
      <w:r>
        <w:rPr>
          <w:spacing w:val="-2"/>
        </w:rPr>
        <w:t>scikit-learn</w:t>
      </w:r>
      <w:r>
        <w:rPr>
          <w:spacing w:val="-6"/>
        </w:rPr>
        <w:t> </w:t>
      </w:r>
      <w:r>
        <w:rPr>
          <w:spacing w:val="-2"/>
        </w:rPr>
        <w:t>(</w:t>
      </w:r>
      <w:hyperlink w:history="true" w:anchor="_bookmark282">
        <w:r>
          <w:rPr>
            <w:color w:val="FF0000"/>
            <w:spacing w:val="-2"/>
          </w:rPr>
          <w:t>Pedregosa</w:t>
        </w:r>
      </w:hyperlink>
      <w:r>
        <w:rPr>
          <w:color w:val="FF0000"/>
          <w:spacing w:val="-2"/>
        </w:rPr>
        <w:t> </w:t>
      </w:r>
      <w:hyperlink w:history="true" w:anchor="_bookmark282">
        <w:r>
          <w:rPr>
            <w:color w:val="FF0000"/>
          </w:rPr>
          <w:t>et al.</w:t>
        </w:r>
      </w:hyperlink>
      <w:r>
        <w:rPr/>
        <w:t>,</w:t>
      </w:r>
      <w:hyperlink w:history="true" w:anchor="_bookmark282">
        <w:r>
          <w:rPr>
            <w:color w:val="FF0000"/>
          </w:rPr>
          <w:t>2011</w:t>
        </w:r>
        <w:r>
          <w:rPr/>
          <w:t>)</w:t>
        </w:r>
      </w:hyperlink>
      <w:r>
        <w:rPr/>
        <w:t> and Pythonot (</w:t>
      </w:r>
      <w:hyperlink w:history="true" w:anchor="_bookmark245">
        <w:r>
          <w:rPr>
            <w:color w:val="FF0000"/>
          </w:rPr>
          <w:t>Flamary et al.</w:t>
        </w:r>
        <w:r>
          <w:rPr/>
          <w:t>,</w:t>
        </w:r>
      </w:hyperlink>
      <w:hyperlink w:history="true" w:anchor="_bookmark245">
        <w:r>
          <w:rPr>
            <w:color w:val="FF0000"/>
          </w:rPr>
          <w:t>2021</w:t>
        </w:r>
        <w:r>
          <w:rPr/>
          <w:t>)</w:t>
        </w:r>
      </w:hyperlink>
      <w:r>
        <w:rPr/>
        <w:t> packages.</w:t>
      </w:r>
    </w:p>
    <w:p>
      <w:pPr>
        <w:spacing w:after="0" w:line="312" w:lineRule="auto"/>
        <w:jc w:val="both"/>
        <w:sectPr>
          <w:pgSz w:w="11910" w:h="16840"/>
          <w:pgMar w:header="1961" w:footer="1428" w:top="2280" w:bottom="1620" w:left="1680" w:right="720"/>
        </w:sectPr>
      </w:pPr>
    </w:p>
    <w:p>
      <w:pPr>
        <w:pStyle w:val="BodyText"/>
        <w:rPr>
          <w:sz w:val="20"/>
        </w:rPr>
      </w:pPr>
    </w:p>
    <w:p>
      <w:pPr>
        <w:pStyle w:val="Heading2"/>
        <w:numPr>
          <w:ilvl w:val="1"/>
          <w:numId w:val="23"/>
        </w:numPr>
        <w:tabs>
          <w:tab w:pos="1385" w:val="left" w:leader="none"/>
          <w:tab w:pos="1386" w:val="left" w:leader="none"/>
        </w:tabs>
        <w:spacing w:line="240" w:lineRule="auto" w:before="248" w:after="0"/>
        <w:ind w:left="1385" w:right="0" w:hanging="776"/>
        <w:jc w:val="left"/>
      </w:pPr>
      <w:bookmarkStart w:name="_TOC_250015" w:id="288"/>
      <w:bookmarkStart w:name="5.4 Summary" w:id="289"/>
      <w:r>
        <w:rPr>
          <w:b w:val="0"/>
        </w:rPr>
      </w:r>
      <w:bookmarkStart w:name="_bookmark169" w:id="290"/>
      <w:bookmarkEnd w:id="288"/>
      <w:r>
        <w:rPr>
          <w:spacing w:val="-2"/>
        </w:rPr>
        <w:t>Summary</w:t>
      </w:r>
    </w:p>
    <w:p>
      <w:pPr>
        <w:pStyle w:val="BodyText"/>
        <w:spacing w:line="312" w:lineRule="auto" w:before="309"/>
        <w:ind w:left="610" w:right="389"/>
      </w:pPr>
      <w:r>
        <w:rPr/>
        <w:t>In</w:t>
      </w:r>
      <w:r>
        <w:rPr>
          <w:spacing w:val="23"/>
        </w:rPr>
        <w:t> </w:t>
      </w:r>
      <w:r>
        <w:rPr/>
        <w:t>this</w:t>
      </w:r>
      <w:r>
        <w:rPr>
          <w:spacing w:val="23"/>
        </w:rPr>
        <w:t> </w:t>
      </w:r>
      <w:r>
        <w:rPr/>
        <w:t>study,</w:t>
      </w:r>
      <w:r>
        <w:rPr>
          <w:spacing w:val="28"/>
        </w:rPr>
        <w:t> </w:t>
      </w:r>
      <w:r>
        <w:rPr/>
        <w:t>the</w:t>
      </w:r>
      <w:r>
        <w:rPr>
          <w:spacing w:val="22"/>
        </w:rPr>
        <w:t> </w:t>
      </w:r>
      <w:r>
        <w:rPr/>
        <w:t>work</w:t>
      </w:r>
      <w:r>
        <w:rPr>
          <w:spacing w:val="23"/>
        </w:rPr>
        <w:t> </w:t>
      </w:r>
      <w:r>
        <w:rPr/>
        <w:t>of</w:t>
      </w:r>
      <w:hyperlink w:history="true" w:anchor="_bookmark271">
        <w:r>
          <w:rPr>
            <w:color w:val="FF0000"/>
          </w:rPr>
          <w:t>Mallepalle</w:t>
        </w:r>
        <w:r>
          <w:rPr>
            <w:color w:val="FF0000"/>
            <w:spacing w:val="23"/>
          </w:rPr>
          <w:t> </w:t>
        </w:r>
        <w:r>
          <w:rPr>
            <w:color w:val="FF0000"/>
          </w:rPr>
          <w:t>et</w:t>
        </w:r>
        <w:r>
          <w:rPr>
            <w:color w:val="FF0000"/>
            <w:spacing w:val="23"/>
          </w:rPr>
          <w:t> </w:t>
        </w:r>
        <w:r>
          <w:rPr>
            <w:color w:val="FF0000"/>
          </w:rPr>
          <w:t>al.</w:t>
        </w:r>
        <w:r>
          <w:rPr/>
          <w:t>(</w:t>
        </w:r>
      </w:hyperlink>
      <w:r>
        <w:rPr>
          <w:color w:val="FF0000"/>
        </w:rPr>
        <w:t>2020</w:t>
      </w:r>
      <w:hyperlink w:history="true" w:anchor="_bookmark271">
        <w:r>
          <w:rPr/>
          <w:t>)</w:t>
        </w:r>
      </w:hyperlink>
      <w:r>
        <w:rPr>
          <w:spacing w:val="22"/>
        </w:rPr>
        <w:t> </w:t>
      </w:r>
      <w:r>
        <w:rPr/>
        <w:t>was</w:t>
      </w:r>
      <w:r>
        <w:rPr>
          <w:spacing w:val="23"/>
        </w:rPr>
        <w:t> </w:t>
      </w:r>
      <w:r>
        <w:rPr/>
        <w:t>adapted,</w:t>
      </w:r>
      <w:r>
        <w:rPr>
          <w:spacing w:val="28"/>
        </w:rPr>
        <w:t> </w:t>
      </w:r>
      <w:r>
        <w:rPr/>
        <w:t>validated</w:t>
      </w:r>
      <w:r>
        <w:rPr>
          <w:spacing w:val="23"/>
        </w:rPr>
        <w:t> </w:t>
      </w:r>
      <w:r>
        <w:rPr/>
        <w:t>and</w:t>
      </w:r>
      <w:r>
        <w:rPr>
          <w:spacing w:val="23"/>
        </w:rPr>
        <w:t> </w:t>
      </w:r>
      <w:r>
        <w:rPr/>
        <w:t>extended in</w:t>
      </w:r>
      <w:r>
        <w:rPr>
          <w:spacing w:val="26"/>
        </w:rPr>
        <w:t> </w:t>
      </w:r>
      <w:r>
        <w:rPr/>
        <w:t>rugby</w:t>
      </w:r>
      <w:r>
        <w:rPr>
          <w:spacing w:val="26"/>
        </w:rPr>
        <w:t> </w:t>
      </w:r>
      <w:r>
        <w:rPr/>
        <w:t>league</w:t>
      </w:r>
      <w:r>
        <w:rPr>
          <w:spacing w:val="26"/>
        </w:rPr>
        <w:t> </w:t>
      </w:r>
      <w:r>
        <w:rPr/>
        <w:t>to</w:t>
      </w:r>
      <w:r>
        <w:rPr>
          <w:spacing w:val="26"/>
        </w:rPr>
        <w:t> </w:t>
      </w:r>
      <w:r>
        <w:rPr/>
        <w:t>provide</w:t>
      </w:r>
      <w:r>
        <w:rPr>
          <w:spacing w:val="26"/>
        </w:rPr>
        <w:t> </w:t>
      </w:r>
      <w:r>
        <w:rPr/>
        <w:t>a</w:t>
      </w:r>
      <w:r>
        <w:rPr>
          <w:spacing w:val="26"/>
        </w:rPr>
        <w:t> </w:t>
      </w:r>
      <w:r>
        <w:rPr/>
        <w:t>method</w:t>
      </w:r>
      <w:r>
        <w:rPr>
          <w:spacing w:val="26"/>
        </w:rPr>
        <w:t> </w:t>
      </w:r>
      <w:r>
        <w:rPr/>
        <w:t>through</w:t>
      </w:r>
      <w:r>
        <w:rPr>
          <w:spacing w:val="26"/>
        </w:rPr>
        <w:t> </w:t>
      </w:r>
      <w:r>
        <w:rPr/>
        <w:t>which</w:t>
      </w:r>
      <w:r>
        <w:rPr>
          <w:spacing w:val="26"/>
        </w:rPr>
        <w:t> </w:t>
      </w:r>
      <w:r>
        <w:rPr/>
        <w:t>KDEs</w:t>
      </w:r>
      <w:r>
        <w:rPr>
          <w:spacing w:val="26"/>
        </w:rPr>
        <w:t> </w:t>
      </w:r>
      <w:r>
        <w:rPr/>
        <w:t>could</w:t>
      </w:r>
      <w:r>
        <w:rPr>
          <w:spacing w:val="26"/>
        </w:rPr>
        <w:t> </w:t>
      </w:r>
      <w:r>
        <w:rPr/>
        <w:t>be</w:t>
      </w:r>
      <w:r>
        <w:rPr>
          <w:spacing w:val="26"/>
        </w:rPr>
        <w:t> </w:t>
      </w:r>
      <w:r>
        <w:rPr/>
        <w:t>used</w:t>
      </w:r>
      <w:r>
        <w:rPr>
          <w:spacing w:val="26"/>
        </w:rPr>
        <w:t> </w:t>
      </w:r>
      <w:r>
        <w:rPr/>
        <w:t>to</w:t>
      </w:r>
      <w:r>
        <w:rPr>
          <w:spacing w:val="26"/>
        </w:rPr>
        <w:t> </w:t>
      </w:r>
      <w:r>
        <w:rPr/>
        <w:t>visualise the spatial trends of attacking performances at the whole league, team overall and team- opponent</w:t>
      </w:r>
      <w:r>
        <w:rPr>
          <w:spacing w:val="-12"/>
        </w:rPr>
        <w:t> </w:t>
      </w:r>
      <w:r>
        <w:rPr/>
        <w:t>levels. Two</w:t>
      </w:r>
      <w:r>
        <w:rPr>
          <w:spacing w:val="-12"/>
        </w:rPr>
        <w:t> </w:t>
      </w:r>
      <w:r>
        <w:rPr/>
        <w:t>novel</w:t>
      </w:r>
      <w:r>
        <w:rPr>
          <w:spacing w:val="-12"/>
        </w:rPr>
        <w:t> </w:t>
      </w:r>
      <w:r>
        <w:rPr/>
        <w:t>metrics</w:t>
      </w:r>
      <w:r>
        <w:rPr>
          <w:spacing w:val="-12"/>
        </w:rPr>
        <w:t> </w:t>
      </w:r>
      <w:r>
        <w:rPr/>
        <w:t>were</w:t>
      </w:r>
      <w:r>
        <w:rPr>
          <w:spacing w:val="-12"/>
        </w:rPr>
        <w:t> </w:t>
      </w:r>
      <w:r>
        <w:rPr/>
        <w:t>derived</w:t>
      </w:r>
      <w:r>
        <w:rPr>
          <w:spacing w:val="-12"/>
        </w:rPr>
        <w:t> </w:t>
      </w:r>
      <w:r>
        <w:rPr/>
        <w:t>from</w:t>
      </w:r>
      <w:r>
        <w:rPr>
          <w:spacing w:val="-12"/>
        </w:rPr>
        <w:t> </w:t>
      </w:r>
      <w:r>
        <w:rPr/>
        <w:t>the</w:t>
      </w:r>
      <w:r>
        <w:rPr>
          <w:spacing w:val="-12"/>
        </w:rPr>
        <w:t> </w:t>
      </w:r>
      <w:r>
        <w:rPr/>
        <w:t>Wasserstein</w:t>
      </w:r>
      <w:r>
        <w:rPr>
          <w:spacing w:val="-12"/>
        </w:rPr>
        <w:t> </w:t>
      </w:r>
      <w:r>
        <w:rPr/>
        <w:t>distance</w:t>
      </w:r>
      <w:r>
        <w:rPr>
          <w:spacing w:val="-12"/>
        </w:rPr>
        <w:t> </w:t>
      </w:r>
      <w:r>
        <w:rPr/>
        <w:t>to</w:t>
      </w:r>
      <w:r>
        <w:rPr>
          <w:spacing w:val="-12"/>
        </w:rPr>
        <w:t> </w:t>
      </w:r>
      <w:r>
        <w:rPr/>
        <w:t>evalu- ate between and within team differences in the spatial trends of attacking </w:t>
      </w:r>
      <w:r>
        <w:rPr/>
        <w:t>performances: the</w:t>
      </w:r>
      <w:r>
        <w:rPr>
          <w:spacing w:val="24"/>
        </w:rPr>
        <w:t> </w:t>
      </w:r>
      <w:r>
        <w:rPr/>
        <w:t>normalised</w:t>
      </w:r>
      <w:r>
        <w:rPr>
          <w:spacing w:val="26"/>
        </w:rPr>
        <w:t> </w:t>
      </w:r>
      <w:r>
        <w:rPr/>
        <w:t>axis</w:t>
      </w:r>
      <w:r>
        <w:rPr>
          <w:spacing w:val="26"/>
        </w:rPr>
        <w:t> </w:t>
      </w:r>
      <w:r>
        <w:rPr/>
        <w:t>Wasserstein</w:t>
      </w:r>
      <w:r>
        <w:rPr>
          <w:spacing w:val="26"/>
        </w:rPr>
        <w:t> </w:t>
      </w:r>
      <w:r>
        <w:rPr/>
        <w:t>distance</w:t>
      </w:r>
      <w:r>
        <w:rPr>
          <w:spacing w:val="26"/>
        </w:rPr>
        <w:t> </w:t>
      </w:r>
      <w:r>
        <w:rPr/>
        <w:t>provided</w:t>
      </w:r>
      <w:r>
        <w:rPr>
          <w:spacing w:val="26"/>
        </w:rPr>
        <w:t> </w:t>
      </w:r>
      <w:r>
        <w:rPr/>
        <w:t>insights</w:t>
      </w:r>
      <w:r>
        <w:rPr>
          <w:spacing w:val="26"/>
        </w:rPr>
        <w:t> </w:t>
      </w:r>
      <w:r>
        <w:rPr/>
        <w:t>at</w:t>
      </w:r>
      <w:r>
        <w:rPr>
          <w:spacing w:val="26"/>
        </w:rPr>
        <w:t> </w:t>
      </w:r>
      <w:r>
        <w:rPr/>
        <w:t>the</w:t>
      </w:r>
      <w:r>
        <w:rPr>
          <w:spacing w:val="26"/>
        </w:rPr>
        <w:t> </w:t>
      </w:r>
      <w:r>
        <w:rPr/>
        <w:t>axis</w:t>
      </w:r>
      <w:r>
        <w:rPr>
          <w:spacing w:val="26"/>
        </w:rPr>
        <w:t> </w:t>
      </w:r>
      <w:r>
        <w:rPr/>
        <w:t>level</w:t>
      </w:r>
      <w:r>
        <w:rPr>
          <w:spacing w:val="26"/>
        </w:rPr>
        <w:t> </w:t>
      </w:r>
      <w:r>
        <w:rPr/>
        <w:t>(e.g.</w:t>
      </w:r>
      <w:r>
        <w:rPr>
          <w:spacing w:val="80"/>
        </w:rPr>
        <w:t> </w:t>
      </w:r>
      <w:r>
        <w:rPr>
          <w:rFonts w:ascii="Cambria"/>
        </w:rPr>
        <w:t>x,</w:t>
      </w:r>
      <w:r>
        <w:rPr>
          <w:rFonts w:ascii="Cambria"/>
          <w:spacing w:val="-14"/>
        </w:rPr>
        <w:t> </w:t>
      </w:r>
      <w:r>
        <w:rPr>
          <w:rFonts w:ascii="Cambria"/>
        </w:rPr>
        <w:t>y </w:t>
      </w:r>
      <w:r>
        <w:rPr/>
        <w:t>differences); and the directional Wasserstein distance provided directional insights (e.g. left, right, up, down differences).</w:t>
      </w:r>
      <w:r>
        <w:rPr>
          <w:spacing w:val="40"/>
        </w:rPr>
        <w:t> </w:t>
      </w:r>
      <w:r>
        <w:rPr/>
        <w:t>The insights provided by the directional Wasserstein distance were shown to be particularly valuable to coaches from a bench marking and</w:t>
      </w:r>
      <w:r>
        <w:rPr>
          <w:spacing w:val="80"/>
        </w:rPr>
        <w:t> </w:t>
      </w:r>
      <w:r>
        <w:rPr/>
        <w:t>tactical strategy development perspective.</w:t>
      </w:r>
    </w:p>
    <w:p>
      <w:pPr>
        <w:pStyle w:val="BodyText"/>
        <w:spacing w:line="312" w:lineRule="auto"/>
        <w:ind w:left="610" w:right="389" w:firstLine="351"/>
      </w:pPr>
      <w:r>
        <w:rPr/>
        <w:t>The work was presented at the UKCI conference and will subsequently be published in Advances in Computational Intelligence Systems.</w:t>
      </w:r>
      <w:r>
        <w:rPr>
          <w:spacing w:val="32"/>
        </w:rPr>
        <w:t> </w:t>
      </w:r>
      <w:r>
        <w:rPr/>
        <w:t>It was also presented to coaches at Leeds</w:t>
      </w:r>
      <w:r>
        <w:rPr>
          <w:spacing w:val="-2"/>
        </w:rPr>
        <w:t> </w:t>
      </w:r>
      <w:r>
        <w:rPr/>
        <w:t>Rhinos,</w:t>
      </w:r>
      <w:r>
        <w:rPr>
          <w:spacing w:val="-1"/>
        </w:rPr>
        <w:t> </w:t>
      </w:r>
      <w:r>
        <w:rPr/>
        <w:t>who</w:t>
      </w:r>
      <w:r>
        <w:rPr>
          <w:spacing w:val="-2"/>
        </w:rPr>
        <w:t> </w:t>
      </w:r>
      <w:r>
        <w:rPr/>
        <w:t>were</w:t>
      </w:r>
      <w:r>
        <w:rPr>
          <w:spacing w:val="-3"/>
        </w:rPr>
        <w:t> </w:t>
      </w:r>
      <w:r>
        <w:rPr/>
        <w:t>impressed</w:t>
      </w:r>
      <w:r>
        <w:rPr>
          <w:spacing w:val="-2"/>
        </w:rPr>
        <w:t> </w:t>
      </w:r>
      <w:r>
        <w:rPr/>
        <w:t>with</w:t>
      </w:r>
      <w:r>
        <w:rPr>
          <w:spacing w:val="-2"/>
        </w:rPr>
        <w:t> </w:t>
      </w:r>
      <w:r>
        <w:rPr/>
        <w:t>its</w:t>
      </w:r>
      <w:r>
        <w:rPr>
          <w:spacing w:val="-2"/>
        </w:rPr>
        <w:t> </w:t>
      </w:r>
      <w:r>
        <w:rPr/>
        <w:t>ability</w:t>
      </w:r>
      <w:r>
        <w:rPr>
          <w:spacing w:val="-2"/>
        </w:rPr>
        <w:t> </w:t>
      </w:r>
      <w:r>
        <w:rPr/>
        <w:t>to</w:t>
      </w:r>
      <w:r>
        <w:rPr>
          <w:spacing w:val="-2"/>
        </w:rPr>
        <w:t> </w:t>
      </w:r>
      <w:r>
        <w:rPr/>
        <w:t>provide</w:t>
      </w:r>
      <w:r>
        <w:rPr>
          <w:spacing w:val="-2"/>
        </w:rPr>
        <w:t> </w:t>
      </w:r>
      <w:r>
        <w:rPr/>
        <w:t>high</w:t>
      </w:r>
      <w:r>
        <w:rPr>
          <w:spacing w:val="-3"/>
        </w:rPr>
        <w:t> </w:t>
      </w:r>
      <w:r>
        <w:rPr/>
        <w:t>level</w:t>
      </w:r>
      <w:r>
        <w:rPr>
          <w:spacing w:val="-2"/>
        </w:rPr>
        <w:t> </w:t>
      </w:r>
      <w:r>
        <w:rPr/>
        <w:t>spatial</w:t>
      </w:r>
      <w:r>
        <w:rPr>
          <w:spacing w:val="-2"/>
        </w:rPr>
        <w:t> </w:t>
      </w:r>
      <w:r>
        <w:rPr/>
        <w:t>informa- tion in such a simple way, providing support for its usability (”I believe [the] work has the</w:t>
      </w:r>
      <w:r>
        <w:rPr>
          <w:spacing w:val="-10"/>
        </w:rPr>
        <w:t> </w:t>
      </w:r>
      <w:r>
        <w:rPr/>
        <w:t>capacity</w:t>
      </w:r>
      <w:r>
        <w:rPr>
          <w:spacing w:val="-10"/>
        </w:rPr>
        <w:t> </w:t>
      </w:r>
      <w:r>
        <w:rPr/>
        <w:t>to</w:t>
      </w:r>
      <w:r>
        <w:rPr>
          <w:spacing w:val="-10"/>
        </w:rPr>
        <w:t> </w:t>
      </w:r>
      <w:r>
        <w:rPr/>
        <w:t>have</w:t>
      </w:r>
      <w:r>
        <w:rPr>
          <w:spacing w:val="-10"/>
        </w:rPr>
        <w:t> </w:t>
      </w:r>
      <w:r>
        <w:rPr/>
        <w:t>a</w:t>
      </w:r>
      <w:r>
        <w:rPr>
          <w:spacing w:val="-10"/>
        </w:rPr>
        <w:t> </w:t>
      </w:r>
      <w:r>
        <w:rPr/>
        <w:t>tangible</w:t>
      </w:r>
      <w:r>
        <w:rPr>
          <w:spacing w:val="-10"/>
        </w:rPr>
        <w:t> </w:t>
      </w:r>
      <w:r>
        <w:rPr/>
        <w:t>impact</w:t>
      </w:r>
      <w:r>
        <w:rPr>
          <w:spacing w:val="-10"/>
        </w:rPr>
        <w:t> </w:t>
      </w:r>
      <w:r>
        <w:rPr/>
        <w:t>on</w:t>
      </w:r>
      <w:r>
        <w:rPr>
          <w:spacing w:val="-10"/>
        </w:rPr>
        <w:t> </w:t>
      </w:r>
      <w:r>
        <w:rPr/>
        <w:t>the</w:t>
      </w:r>
      <w:r>
        <w:rPr>
          <w:spacing w:val="-10"/>
        </w:rPr>
        <w:t> </w:t>
      </w:r>
      <w:r>
        <w:rPr/>
        <w:t>day</w:t>
      </w:r>
      <w:r>
        <w:rPr>
          <w:spacing w:val="-10"/>
        </w:rPr>
        <w:t> </w:t>
      </w:r>
      <w:r>
        <w:rPr/>
        <w:t>to</w:t>
      </w:r>
      <w:r>
        <w:rPr>
          <w:spacing w:val="-10"/>
        </w:rPr>
        <w:t> </w:t>
      </w:r>
      <w:r>
        <w:rPr/>
        <w:t>day</w:t>
      </w:r>
      <w:r>
        <w:rPr>
          <w:spacing w:val="-10"/>
        </w:rPr>
        <w:t> </w:t>
      </w:r>
      <w:r>
        <w:rPr/>
        <w:t>operation</w:t>
      </w:r>
      <w:r>
        <w:rPr>
          <w:spacing w:val="-10"/>
        </w:rPr>
        <w:t> </w:t>
      </w:r>
      <w:r>
        <w:rPr/>
        <w:t>of</w:t>
      </w:r>
      <w:r>
        <w:rPr>
          <w:spacing w:val="-10"/>
        </w:rPr>
        <w:t> </w:t>
      </w:r>
      <w:r>
        <w:rPr/>
        <w:t>an</w:t>
      </w:r>
      <w:r>
        <w:rPr>
          <w:spacing w:val="-10"/>
        </w:rPr>
        <w:t> </w:t>
      </w:r>
      <w:r>
        <w:rPr/>
        <w:t>elite</w:t>
      </w:r>
      <w:r>
        <w:rPr>
          <w:spacing w:val="-10"/>
        </w:rPr>
        <w:t> </w:t>
      </w:r>
      <w:r>
        <w:rPr/>
        <w:t>rugby</w:t>
      </w:r>
      <w:r>
        <w:rPr>
          <w:spacing w:val="-10"/>
        </w:rPr>
        <w:t> </w:t>
      </w:r>
      <w:r>
        <w:rPr/>
        <w:t>league team”)</w:t>
      </w:r>
      <w:r>
        <w:rPr>
          <w:spacing w:val="-15"/>
        </w:rPr>
        <w:t> </w:t>
      </w:r>
      <w:r>
        <w:rPr/>
        <w:t>and</w:t>
      </w:r>
      <w:r>
        <w:rPr>
          <w:spacing w:val="-15"/>
        </w:rPr>
        <w:t> </w:t>
      </w:r>
      <w:r>
        <w:rPr/>
        <w:t>reliability</w:t>
      </w:r>
      <w:r>
        <w:rPr>
          <w:spacing w:val="-15"/>
        </w:rPr>
        <w:t> </w:t>
      </w:r>
      <w:r>
        <w:rPr/>
        <w:t>(”it</w:t>
      </w:r>
      <w:r>
        <w:rPr>
          <w:spacing w:val="-15"/>
        </w:rPr>
        <w:t> </w:t>
      </w:r>
      <w:r>
        <w:rPr/>
        <w:t>passes</w:t>
      </w:r>
      <w:r>
        <w:rPr>
          <w:spacing w:val="-15"/>
        </w:rPr>
        <w:t> </w:t>
      </w:r>
      <w:r>
        <w:rPr/>
        <w:t>the</w:t>
      </w:r>
      <w:r>
        <w:rPr>
          <w:spacing w:val="-15"/>
        </w:rPr>
        <w:t> </w:t>
      </w:r>
      <w:r>
        <w:rPr/>
        <w:t>’eye</w:t>
      </w:r>
      <w:r>
        <w:rPr>
          <w:spacing w:val="-15"/>
        </w:rPr>
        <w:t> </w:t>
      </w:r>
      <w:r>
        <w:rPr/>
        <w:t>test’</w:t>
      </w:r>
      <w:r>
        <w:rPr>
          <w:spacing w:val="-15"/>
        </w:rPr>
        <w:t> </w:t>
      </w:r>
      <w:r>
        <w:rPr/>
        <w:t>in</w:t>
      </w:r>
      <w:r>
        <w:rPr>
          <w:spacing w:val="-15"/>
        </w:rPr>
        <w:t> </w:t>
      </w:r>
      <w:r>
        <w:rPr/>
        <w:t>terms</w:t>
      </w:r>
      <w:r>
        <w:rPr>
          <w:spacing w:val="-15"/>
        </w:rPr>
        <w:t> </w:t>
      </w:r>
      <w:r>
        <w:rPr/>
        <w:t>of</w:t>
      </w:r>
      <w:r>
        <w:rPr>
          <w:spacing w:val="-15"/>
        </w:rPr>
        <w:t> </w:t>
      </w:r>
      <w:r>
        <w:rPr/>
        <w:t>validity</w:t>
      </w:r>
      <w:r>
        <w:rPr>
          <w:spacing w:val="-15"/>
        </w:rPr>
        <w:t> </w:t>
      </w:r>
      <w:r>
        <w:rPr/>
        <w:t>to</w:t>
      </w:r>
      <w:r>
        <w:rPr>
          <w:spacing w:val="-15"/>
        </w:rPr>
        <w:t> </w:t>
      </w:r>
      <w:r>
        <w:rPr/>
        <w:t>expected</w:t>
      </w:r>
      <w:r>
        <w:rPr>
          <w:spacing w:val="-15"/>
        </w:rPr>
        <w:t> </w:t>
      </w:r>
      <w:r>
        <w:rPr/>
        <w:t>outcomes”). Appendix</w:t>
      </w:r>
      <w:r>
        <w:rPr>
          <w:color w:val="0000FF"/>
        </w:rPr>
        <w:t>D</w:t>
      </w:r>
      <w:r>
        <w:rPr/>
        <w:t>provides</w:t>
      </w:r>
      <w:r>
        <w:rPr>
          <w:spacing w:val="-3"/>
        </w:rPr>
        <w:t> </w:t>
      </w:r>
      <w:r>
        <w:rPr/>
        <w:t>the</w:t>
      </w:r>
      <w:r>
        <w:rPr>
          <w:spacing w:val="-3"/>
        </w:rPr>
        <w:t> </w:t>
      </w:r>
      <w:r>
        <w:rPr/>
        <w:t>full</w:t>
      </w:r>
      <w:r>
        <w:rPr>
          <w:spacing w:val="-3"/>
        </w:rPr>
        <w:t> </w:t>
      </w:r>
      <w:r>
        <w:rPr/>
        <w:t>impact</w:t>
      </w:r>
      <w:r>
        <w:rPr>
          <w:spacing w:val="-2"/>
        </w:rPr>
        <w:t> </w:t>
      </w:r>
      <w:r>
        <w:rPr/>
        <w:t>statement</w:t>
      </w:r>
      <w:r>
        <w:rPr>
          <w:spacing w:val="-3"/>
        </w:rPr>
        <w:t> </w:t>
      </w:r>
      <w:r>
        <w:rPr/>
        <w:t>from</w:t>
      </w:r>
      <w:r>
        <w:rPr>
          <w:spacing w:val="-3"/>
        </w:rPr>
        <w:t> </w:t>
      </w:r>
      <w:r>
        <w:rPr/>
        <w:t>this</w:t>
      </w:r>
      <w:r>
        <w:rPr>
          <w:spacing w:val="-2"/>
        </w:rPr>
        <w:t> </w:t>
      </w:r>
      <w:r>
        <w:rPr/>
        <w:t>meeting. The</w:t>
      </w:r>
      <w:r>
        <w:rPr>
          <w:spacing w:val="-2"/>
        </w:rPr>
        <w:t> </w:t>
      </w:r>
      <w:r>
        <w:rPr/>
        <w:t>coaches</w:t>
      </w:r>
      <w:r>
        <w:rPr>
          <w:spacing w:val="-3"/>
        </w:rPr>
        <w:t> </w:t>
      </w:r>
      <w:r>
        <w:rPr/>
        <w:t>suggested that</w:t>
      </w:r>
      <w:r>
        <w:rPr>
          <w:spacing w:val="-1"/>
        </w:rPr>
        <w:t> </w:t>
      </w:r>
      <w:r>
        <w:rPr/>
        <w:t>one</w:t>
      </w:r>
      <w:r>
        <w:rPr>
          <w:spacing w:val="-1"/>
        </w:rPr>
        <w:t> </w:t>
      </w:r>
      <w:r>
        <w:rPr/>
        <w:t>method</w:t>
      </w:r>
      <w:r>
        <w:rPr>
          <w:spacing w:val="-1"/>
        </w:rPr>
        <w:t> </w:t>
      </w:r>
      <w:r>
        <w:rPr/>
        <w:t>of</w:t>
      </w:r>
      <w:r>
        <w:rPr>
          <w:spacing w:val="-1"/>
        </w:rPr>
        <w:t> </w:t>
      </w:r>
      <w:r>
        <w:rPr/>
        <w:t>tailoring</w:t>
      </w:r>
      <w:r>
        <w:rPr>
          <w:spacing w:val="-1"/>
        </w:rPr>
        <w:t> </w:t>
      </w:r>
      <w:r>
        <w:rPr/>
        <w:t>the</w:t>
      </w:r>
      <w:r>
        <w:rPr>
          <w:spacing w:val="-1"/>
        </w:rPr>
        <w:t> </w:t>
      </w:r>
      <w:r>
        <w:rPr/>
        <w:t>analysis</w:t>
      </w:r>
      <w:r>
        <w:rPr>
          <w:spacing w:val="-1"/>
        </w:rPr>
        <w:t> </w:t>
      </w:r>
      <w:r>
        <w:rPr/>
        <w:t>to</w:t>
      </w:r>
      <w:r>
        <w:rPr>
          <w:spacing w:val="-1"/>
        </w:rPr>
        <w:t> </w:t>
      </w:r>
      <w:r>
        <w:rPr/>
        <w:t>their</w:t>
      </w:r>
      <w:r>
        <w:rPr>
          <w:spacing w:val="-1"/>
        </w:rPr>
        <w:t> </w:t>
      </w:r>
      <w:r>
        <w:rPr/>
        <w:t>needs</w:t>
      </w:r>
      <w:r>
        <w:rPr>
          <w:spacing w:val="-1"/>
        </w:rPr>
        <w:t> </w:t>
      </w:r>
      <w:r>
        <w:rPr/>
        <w:t>in</w:t>
      </w:r>
      <w:r>
        <w:rPr>
          <w:spacing w:val="-1"/>
        </w:rPr>
        <w:t> </w:t>
      </w:r>
      <w:r>
        <w:rPr/>
        <w:t>the</w:t>
      </w:r>
      <w:r>
        <w:rPr>
          <w:spacing w:val="-1"/>
        </w:rPr>
        <w:t> </w:t>
      </w:r>
      <w:r>
        <w:rPr/>
        <w:t>future</w:t>
      </w:r>
      <w:r>
        <w:rPr>
          <w:spacing w:val="-1"/>
        </w:rPr>
        <w:t> </w:t>
      </w:r>
      <w:r>
        <w:rPr/>
        <w:t>would</w:t>
      </w:r>
      <w:r>
        <w:rPr>
          <w:spacing w:val="-1"/>
        </w:rPr>
        <w:t> </w:t>
      </w:r>
      <w:r>
        <w:rPr/>
        <w:t>be</w:t>
      </w:r>
      <w:r>
        <w:rPr>
          <w:spacing w:val="-1"/>
        </w:rPr>
        <w:t> </w:t>
      </w:r>
      <w:r>
        <w:rPr/>
        <w:t>to</w:t>
      </w:r>
      <w:r>
        <w:rPr>
          <w:spacing w:val="-1"/>
        </w:rPr>
        <w:t> </w:t>
      </w:r>
      <w:r>
        <w:rPr/>
        <w:t>perform a</w:t>
      </w:r>
      <w:r>
        <w:rPr>
          <w:spacing w:val="-4"/>
        </w:rPr>
        <w:t> </w:t>
      </w:r>
      <w:r>
        <w:rPr/>
        <w:t>KDE/Wasserstein</w:t>
      </w:r>
      <w:r>
        <w:rPr>
          <w:spacing w:val="-4"/>
        </w:rPr>
        <w:t> </w:t>
      </w:r>
      <w:r>
        <w:rPr/>
        <w:t>distance</w:t>
      </w:r>
      <w:r>
        <w:rPr>
          <w:spacing w:val="-4"/>
        </w:rPr>
        <w:t> </w:t>
      </w:r>
      <w:r>
        <w:rPr/>
        <w:t>analysis</w:t>
      </w:r>
      <w:r>
        <w:rPr>
          <w:spacing w:val="-4"/>
        </w:rPr>
        <w:t> </w:t>
      </w:r>
      <w:r>
        <w:rPr/>
        <w:t>based</w:t>
      </w:r>
      <w:r>
        <w:rPr>
          <w:spacing w:val="-4"/>
        </w:rPr>
        <w:t> </w:t>
      </w:r>
      <w:r>
        <w:rPr/>
        <w:t>on</w:t>
      </w:r>
      <w:r>
        <w:rPr>
          <w:spacing w:val="-4"/>
        </w:rPr>
        <w:t> </w:t>
      </w:r>
      <w:r>
        <w:rPr/>
        <w:t>actions</w:t>
      </w:r>
      <w:r>
        <w:rPr>
          <w:spacing w:val="-4"/>
        </w:rPr>
        <w:t> </w:t>
      </w:r>
      <w:r>
        <w:rPr/>
        <w:t>performed</w:t>
      </w:r>
      <w:r>
        <w:rPr>
          <w:spacing w:val="-4"/>
        </w:rPr>
        <w:t> </w:t>
      </w:r>
      <w:r>
        <w:rPr/>
        <w:t>against</w:t>
      </w:r>
      <w:r>
        <w:rPr>
          <w:spacing w:val="-4"/>
        </w:rPr>
        <w:t> </w:t>
      </w:r>
      <w:r>
        <w:rPr/>
        <w:t>a</w:t>
      </w:r>
      <w:r>
        <w:rPr>
          <w:spacing w:val="-4"/>
        </w:rPr>
        <w:t> </w:t>
      </w:r>
      <w:r>
        <w:rPr/>
        <w:t>specific</w:t>
      </w:r>
      <w:r>
        <w:rPr>
          <w:spacing w:val="-4"/>
        </w:rPr>
        <w:t> </w:t>
      </w:r>
      <w:r>
        <w:rPr/>
        <w:t>team (rather</w:t>
      </w:r>
      <w:r>
        <w:rPr>
          <w:spacing w:val="-8"/>
        </w:rPr>
        <w:t> </w:t>
      </w:r>
      <w:r>
        <w:rPr/>
        <w:t>than</w:t>
      </w:r>
      <w:r>
        <w:rPr>
          <w:spacing w:val="-8"/>
        </w:rPr>
        <w:t> </w:t>
      </w:r>
      <w:r>
        <w:rPr/>
        <w:t>the</w:t>
      </w:r>
      <w:r>
        <w:rPr>
          <w:spacing w:val="-8"/>
        </w:rPr>
        <w:t> </w:t>
      </w:r>
      <w:r>
        <w:rPr/>
        <w:t>current</w:t>
      </w:r>
      <w:r>
        <w:rPr>
          <w:spacing w:val="-8"/>
        </w:rPr>
        <w:t> </w:t>
      </w:r>
      <w:r>
        <w:rPr/>
        <w:t>approach</w:t>
      </w:r>
      <w:r>
        <w:rPr>
          <w:spacing w:val="-8"/>
        </w:rPr>
        <w:t> </w:t>
      </w:r>
      <w:r>
        <w:rPr/>
        <w:t>of</w:t>
      </w:r>
      <w:r>
        <w:rPr>
          <w:spacing w:val="-8"/>
        </w:rPr>
        <w:t> </w:t>
      </w:r>
      <w:r>
        <w:rPr/>
        <w:t>considering</w:t>
      </w:r>
      <w:r>
        <w:rPr>
          <w:spacing w:val="-8"/>
        </w:rPr>
        <w:t> </w:t>
      </w:r>
      <w:r>
        <w:rPr/>
        <w:t>all</w:t>
      </w:r>
      <w:r>
        <w:rPr>
          <w:spacing w:val="-8"/>
        </w:rPr>
        <w:t> </w:t>
      </w:r>
      <w:r>
        <w:rPr/>
        <w:t>actions</w:t>
      </w:r>
      <w:r>
        <w:rPr>
          <w:spacing w:val="-8"/>
        </w:rPr>
        <w:t> </w:t>
      </w:r>
      <w:r>
        <w:rPr/>
        <w:t>performed</w:t>
      </w:r>
      <w:r>
        <w:rPr>
          <w:spacing w:val="-8"/>
        </w:rPr>
        <w:t> </w:t>
      </w:r>
      <w:r>
        <w:rPr/>
        <w:t>by</w:t>
      </w:r>
      <w:r>
        <w:rPr>
          <w:spacing w:val="-8"/>
        </w:rPr>
        <w:t> </w:t>
      </w:r>
      <w:r>
        <w:rPr/>
        <w:t>a</w:t>
      </w:r>
      <w:r>
        <w:rPr>
          <w:spacing w:val="-8"/>
        </w:rPr>
        <w:t> </w:t>
      </w:r>
      <w:r>
        <w:rPr/>
        <w:t>specific</w:t>
      </w:r>
      <w:r>
        <w:rPr>
          <w:spacing w:val="-8"/>
        </w:rPr>
        <w:t> </w:t>
      </w:r>
      <w:r>
        <w:rPr/>
        <w:t>team) so that all teams’ performances against an opponent could be considered more easily.</w:t>
      </w:r>
      <w:r>
        <w:rPr>
          <w:spacing w:val="80"/>
          <w:w w:val="150"/>
        </w:rPr>
        <w:t> </w:t>
      </w:r>
      <w:r>
        <w:rPr/>
        <w:t>They</w:t>
      </w:r>
      <w:r>
        <w:rPr>
          <w:spacing w:val="-9"/>
        </w:rPr>
        <w:t> </w:t>
      </w:r>
      <w:r>
        <w:rPr/>
        <w:t>also</w:t>
      </w:r>
      <w:r>
        <w:rPr>
          <w:spacing w:val="-9"/>
        </w:rPr>
        <w:t> </w:t>
      </w:r>
      <w:r>
        <w:rPr/>
        <w:t>suggested</w:t>
      </w:r>
      <w:r>
        <w:rPr>
          <w:spacing w:val="-9"/>
        </w:rPr>
        <w:t> </w:t>
      </w:r>
      <w:r>
        <w:rPr/>
        <w:t>performing</w:t>
      </w:r>
      <w:r>
        <w:rPr>
          <w:spacing w:val="-9"/>
        </w:rPr>
        <w:t> </w:t>
      </w:r>
      <w:r>
        <w:rPr/>
        <w:t>the</w:t>
      </w:r>
      <w:r>
        <w:rPr>
          <w:spacing w:val="-9"/>
        </w:rPr>
        <w:t> </w:t>
      </w:r>
      <w:r>
        <w:rPr/>
        <w:t>analysis</w:t>
      </w:r>
      <w:r>
        <w:rPr>
          <w:spacing w:val="-9"/>
        </w:rPr>
        <w:t> </w:t>
      </w:r>
      <w:r>
        <w:rPr/>
        <w:t>at</w:t>
      </w:r>
      <w:r>
        <w:rPr>
          <w:spacing w:val="-9"/>
        </w:rPr>
        <w:t> </w:t>
      </w:r>
      <w:r>
        <w:rPr/>
        <w:t>a</w:t>
      </w:r>
      <w:r>
        <w:rPr>
          <w:spacing w:val="-9"/>
        </w:rPr>
        <w:t> </w:t>
      </w:r>
      <w:r>
        <w:rPr/>
        <w:t>match</w:t>
      </w:r>
      <w:r>
        <w:rPr>
          <w:spacing w:val="-9"/>
        </w:rPr>
        <w:t> </w:t>
      </w:r>
      <w:r>
        <w:rPr/>
        <w:t>by</w:t>
      </w:r>
      <w:r>
        <w:rPr>
          <w:spacing w:val="-9"/>
        </w:rPr>
        <w:t> </w:t>
      </w:r>
      <w:r>
        <w:rPr/>
        <w:t>match</w:t>
      </w:r>
      <w:r>
        <w:rPr>
          <w:spacing w:val="-9"/>
        </w:rPr>
        <w:t> </w:t>
      </w:r>
      <w:r>
        <w:rPr/>
        <w:t>level</w:t>
      </w:r>
      <w:r>
        <w:rPr>
          <w:spacing w:val="-9"/>
        </w:rPr>
        <w:t> </w:t>
      </w:r>
      <w:r>
        <w:rPr/>
        <w:t>would</w:t>
      </w:r>
      <w:r>
        <w:rPr>
          <w:spacing w:val="-9"/>
        </w:rPr>
        <w:t> </w:t>
      </w:r>
      <w:r>
        <w:rPr/>
        <w:t>be</w:t>
      </w:r>
      <w:r>
        <w:rPr>
          <w:spacing w:val="-9"/>
        </w:rPr>
        <w:t> </w:t>
      </w:r>
      <w:r>
        <w:rPr/>
        <w:t>interest- ing, however this idea could run into sample size related random variation issues which may limit the usefulness of the plots.</w:t>
      </w:r>
    </w:p>
    <w:p>
      <w:pPr>
        <w:pStyle w:val="BodyText"/>
        <w:spacing w:line="312" w:lineRule="auto"/>
        <w:ind w:left="610" w:right="389" w:firstLine="351"/>
        <w:jc w:val="both"/>
      </w:pPr>
      <w:r>
        <w:rPr/>
        <w:t>Future</w:t>
      </w:r>
      <w:r>
        <w:rPr>
          <w:spacing w:val="-1"/>
        </w:rPr>
        <w:t> </w:t>
      </w:r>
      <w:r>
        <w:rPr/>
        <w:t>work</w:t>
      </w:r>
      <w:r>
        <w:rPr>
          <w:spacing w:val="-1"/>
        </w:rPr>
        <w:t> </w:t>
      </w:r>
      <w:r>
        <w:rPr/>
        <w:t>should</w:t>
      </w:r>
      <w:r>
        <w:rPr>
          <w:spacing w:val="-1"/>
        </w:rPr>
        <w:t> </w:t>
      </w:r>
      <w:r>
        <w:rPr/>
        <w:t>now</w:t>
      </w:r>
      <w:r>
        <w:rPr>
          <w:spacing w:val="-1"/>
        </w:rPr>
        <w:t> </w:t>
      </w:r>
      <w:r>
        <w:rPr/>
        <w:t>consider</w:t>
      </w:r>
      <w:r>
        <w:rPr>
          <w:spacing w:val="-1"/>
        </w:rPr>
        <w:t> </w:t>
      </w:r>
      <w:r>
        <w:rPr/>
        <w:t>applying</w:t>
      </w:r>
      <w:r>
        <w:rPr>
          <w:spacing w:val="-1"/>
        </w:rPr>
        <w:t> </w:t>
      </w:r>
      <w:r>
        <w:rPr/>
        <w:t>the</w:t>
      </w:r>
      <w:r>
        <w:rPr>
          <w:spacing w:val="-1"/>
        </w:rPr>
        <w:t> </w:t>
      </w:r>
      <w:r>
        <w:rPr/>
        <w:t>KDE</w:t>
      </w:r>
      <w:r>
        <w:rPr>
          <w:spacing w:val="-1"/>
        </w:rPr>
        <w:t> </w:t>
      </w:r>
      <w:r>
        <w:rPr/>
        <w:t>and</w:t>
      </w:r>
      <w:r>
        <w:rPr>
          <w:spacing w:val="-1"/>
        </w:rPr>
        <w:t> </w:t>
      </w:r>
      <w:r>
        <w:rPr/>
        <w:t>Wasserstein</w:t>
      </w:r>
      <w:r>
        <w:rPr>
          <w:spacing w:val="-1"/>
        </w:rPr>
        <w:t> </w:t>
      </w:r>
      <w:r>
        <w:rPr/>
        <w:t>distance</w:t>
      </w:r>
      <w:r>
        <w:rPr>
          <w:spacing w:val="-1"/>
        </w:rPr>
        <w:t> </w:t>
      </w:r>
      <w:r>
        <w:rPr/>
        <w:t>meth- ods</w:t>
      </w:r>
      <w:r>
        <w:rPr>
          <w:spacing w:val="18"/>
        </w:rPr>
        <w:t> </w:t>
      </w:r>
      <w:r>
        <w:rPr/>
        <w:t>employed</w:t>
      </w:r>
      <w:r>
        <w:rPr>
          <w:spacing w:val="18"/>
        </w:rPr>
        <w:t> </w:t>
      </w:r>
      <w:r>
        <w:rPr/>
        <w:t>in</w:t>
      </w:r>
      <w:r>
        <w:rPr>
          <w:spacing w:val="18"/>
        </w:rPr>
        <w:t> </w:t>
      </w:r>
      <w:r>
        <w:rPr/>
        <w:t>this</w:t>
      </w:r>
      <w:r>
        <w:rPr>
          <w:spacing w:val="17"/>
        </w:rPr>
        <w:t> </w:t>
      </w:r>
      <w:r>
        <w:rPr/>
        <w:t>study</w:t>
      </w:r>
      <w:r>
        <w:rPr>
          <w:spacing w:val="18"/>
        </w:rPr>
        <w:t> </w:t>
      </w:r>
      <w:r>
        <w:rPr/>
        <w:t>to</w:t>
      </w:r>
      <w:r>
        <w:rPr>
          <w:spacing w:val="17"/>
        </w:rPr>
        <w:t> </w:t>
      </w:r>
      <w:r>
        <w:rPr/>
        <w:t>other</w:t>
      </w:r>
      <w:r>
        <w:rPr>
          <w:spacing w:val="18"/>
        </w:rPr>
        <w:t> </w:t>
      </w:r>
      <w:r>
        <w:rPr/>
        <w:t>sports.</w:t>
      </w:r>
      <w:r>
        <w:rPr>
          <w:spacing w:val="73"/>
        </w:rPr>
        <w:t> </w:t>
      </w:r>
      <w:r>
        <w:rPr/>
        <w:t>There</w:t>
      </w:r>
      <w:r>
        <w:rPr>
          <w:spacing w:val="18"/>
        </w:rPr>
        <w:t> </w:t>
      </w:r>
      <w:r>
        <w:rPr/>
        <w:t>is</w:t>
      </w:r>
      <w:r>
        <w:rPr>
          <w:spacing w:val="17"/>
        </w:rPr>
        <w:t> </w:t>
      </w:r>
      <w:r>
        <w:rPr/>
        <w:t>a</w:t>
      </w:r>
      <w:r>
        <w:rPr>
          <w:spacing w:val="18"/>
        </w:rPr>
        <w:t> </w:t>
      </w:r>
      <w:r>
        <w:rPr/>
        <w:t>direct</w:t>
      </w:r>
      <w:r>
        <w:rPr>
          <w:spacing w:val="17"/>
        </w:rPr>
        <w:t> </w:t>
      </w:r>
      <w:r>
        <w:rPr/>
        <w:t>link</w:t>
      </w:r>
      <w:r>
        <w:rPr>
          <w:spacing w:val="18"/>
        </w:rPr>
        <w:t> </w:t>
      </w:r>
      <w:r>
        <w:rPr/>
        <w:t>between</w:t>
      </w:r>
      <w:r>
        <w:rPr>
          <w:spacing w:val="17"/>
        </w:rPr>
        <w:t> </w:t>
      </w:r>
      <w:r>
        <w:rPr/>
        <w:t>its</w:t>
      </w:r>
      <w:r>
        <w:rPr>
          <w:spacing w:val="18"/>
        </w:rPr>
        <w:t> </w:t>
      </w:r>
      <w:r>
        <w:rPr/>
        <w:t>usability in rugby</w:t>
      </w:r>
      <w:r>
        <w:rPr>
          <w:spacing w:val="-1"/>
        </w:rPr>
        <w:t> </w:t>
      </w:r>
      <w:r>
        <w:rPr/>
        <w:t>league and other</w:t>
      </w:r>
      <w:r>
        <w:rPr>
          <w:spacing w:val="-1"/>
        </w:rPr>
        <w:t> </w:t>
      </w:r>
      <w:r>
        <w:rPr/>
        <w:t>invasion sports</w:t>
      </w:r>
      <w:r>
        <w:rPr>
          <w:spacing w:val="-1"/>
        </w:rPr>
        <w:t> </w:t>
      </w:r>
      <w:r>
        <w:rPr/>
        <w:t>as by understanding</w:t>
      </w:r>
      <w:r>
        <w:rPr>
          <w:spacing w:val="-1"/>
        </w:rPr>
        <w:t> </w:t>
      </w:r>
      <w:r>
        <w:rPr/>
        <w:t>the areas through</w:t>
      </w:r>
      <w:r>
        <w:rPr>
          <w:spacing w:val="-1"/>
        </w:rPr>
        <w:t> </w:t>
      </w:r>
      <w:r>
        <w:rPr/>
        <w:t>which a team is likely to control the ball, it can be possible to understand where they are likely</w:t>
      </w:r>
      <w:r>
        <w:rPr>
          <w:spacing w:val="40"/>
        </w:rPr>
        <w:t> </w:t>
      </w:r>
      <w:r>
        <w:rPr/>
        <w:t>to attack even if the methods here don’t allow for the value of these areas to be consid- ered.</w:t>
      </w:r>
      <w:r>
        <w:rPr>
          <w:spacing w:val="40"/>
        </w:rPr>
        <w:t> </w:t>
      </w:r>
      <w:r>
        <w:rPr/>
        <w:t>An alternative application however may be in tennis or golf.</w:t>
      </w:r>
      <w:r>
        <w:rPr>
          <w:spacing w:val="40"/>
        </w:rPr>
        <w:t> </w:t>
      </w:r>
      <w:r>
        <w:rPr/>
        <w:t>Although in these sports</w:t>
      </w:r>
      <w:r>
        <w:rPr>
          <w:spacing w:val="-12"/>
        </w:rPr>
        <w:t> </w:t>
      </w:r>
      <w:r>
        <w:rPr/>
        <w:t>there</w:t>
      </w:r>
      <w:r>
        <w:rPr>
          <w:spacing w:val="-12"/>
        </w:rPr>
        <w:t> </w:t>
      </w:r>
      <w:r>
        <w:rPr/>
        <w:t>is</w:t>
      </w:r>
      <w:r>
        <w:rPr>
          <w:spacing w:val="-12"/>
        </w:rPr>
        <w:t> </w:t>
      </w:r>
      <w:r>
        <w:rPr/>
        <w:t>no</w:t>
      </w:r>
      <w:r>
        <w:rPr>
          <w:spacing w:val="-11"/>
        </w:rPr>
        <w:t> </w:t>
      </w:r>
      <w:r>
        <w:rPr/>
        <w:t>concept</w:t>
      </w:r>
      <w:r>
        <w:rPr>
          <w:spacing w:val="-12"/>
        </w:rPr>
        <w:t> </w:t>
      </w:r>
      <w:r>
        <w:rPr/>
        <w:t>of</w:t>
      </w:r>
      <w:r>
        <w:rPr>
          <w:spacing w:val="-12"/>
        </w:rPr>
        <w:t> </w:t>
      </w:r>
      <w:r>
        <w:rPr/>
        <w:t>”possession”,</w:t>
      </w:r>
      <w:r>
        <w:rPr>
          <w:spacing w:val="-11"/>
        </w:rPr>
        <w:t> </w:t>
      </w:r>
      <w:r>
        <w:rPr/>
        <w:t>players</w:t>
      </w:r>
      <w:r>
        <w:rPr>
          <w:spacing w:val="-12"/>
        </w:rPr>
        <w:t> </w:t>
      </w:r>
      <w:r>
        <w:rPr/>
        <w:t>are</w:t>
      </w:r>
      <w:r>
        <w:rPr>
          <w:spacing w:val="-11"/>
        </w:rPr>
        <w:t> </w:t>
      </w:r>
      <w:r>
        <w:rPr/>
        <w:t>still</w:t>
      </w:r>
      <w:r>
        <w:rPr>
          <w:spacing w:val="-12"/>
        </w:rPr>
        <w:t> </w:t>
      </w:r>
      <w:r>
        <w:rPr/>
        <w:t>likely</w:t>
      </w:r>
      <w:r>
        <w:rPr>
          <w:spacing w:val="-12"/>
        </w:rPr>
        <w:t> </w:t>
      </w:r>
      <w:r>
        <w:rPr/>
        <w:t>to</w:t>
      </w:r>
      <w:r>
        <w:rPr>
          <w:spacing w:val="-12"/>
        </w:rPr>
        <w:t> </w:t>
      </w:r>
      <w:r>
        <w:rPr/>
        <w:t>have</w:t>
      </w:r>
      <w:r>
        <w:rPr>
          <w:spacing w:val="-11"/>
        </w:rPr>
        <w:t> </w:t>
      </w:r>
      <w:r>
        <w:rPr/>
        <w:t>tendencies</w:t>
      </w:r>
      <w:r>
        <w:rPr>
          <w:spacing w:val="-12"/>
        </w:rPr>
        <w:t> </w:t>
      </w:r>
      <w:r>
        <w:rPr/>
        <w:t>in</w:t>
      </w:r>
      <w:r>
        <w:rPr>
          <w:spacing w:val="-12"/>
        </w:rPr>
        <w:t> </w:t>
      </w:r>
      <w:r>
        <w:rPr>
          <w:spacing w:val="-5"/>
        </w:rPr>
        <w:t>the</w:t>
      </w:r>
    </w:p>
    <w:p>
      <w:pPr>
        <w:spacing w:after="0" w:line="312" w:lineRule="auto"/>
        <w:jc w:val="both"/>
        <w:sectPr>
          <w:headerReference w:type="default" r:id="rId121"/>
          <w:footerReference w:type="default" r:id="rId122"/>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direction in which their shots move.</w:t>
      </w:r>
      <w:r>
        <w:rPr>
          <w:spacing w:val="40"/>
        </w:rPr>
        <w:t> </w:t>
      </w:r>
      <w:r>
        <w:rPr/>
        <w:t>Consequently, the methods proposed in this </w:t>
      </w:r>
      <w:r>
        <w:rPr/>
        <w:t>study could</w:t>
      </w:r>
      <w:r>
        <w:rPr>
          <w:spacing w:val="-12"/>
        </w:rPr>
        <w:t> </w:t>
      </w:r>
      <w:r>
        <w:rPr/>
        <w:t>provide</w:t>
      </w:r>
      <w:r>
        <w:rPr>
          <w:spacing w:val="-11"/>
        </w:rPr>
        <w:t> </w:t>
      </w:r>
      <w:r>
        <w:rPr/>
        <w:t>important</w:t>
      </w:r>
      <w:r>
        <w:rPr>
          <w:spacing w:val="-12"/>
        </w:rPr>
        <w:t> </w:t>
      </w:r>
      <w:r>
        <w:rPr/>
        <w:t>tactical</w:t>
      </w:r>
      <w:r>
        <w:rPr>
          <w:spacing w:val="-11"/>
        </w:rPr>
        <w:t> </w:t>
      </w:r>
      <w:r>
        <w:rPr/>
        <w:t>insights</w:t>
      </w:r>
      <w:r>
        <w:rPr>
          <w:spacing w:val="-12"/>
        </w:rPr>
        <w:t> </w:t>
      </w:r>
      <w:r>
        <w:rPr/>
        <w:t>into</w:t>
      </w:r>
      <w:r>
        <w:rPr>
          <w:spacing w:val="-11"/>
        </w:rPr>
        <w:t> </w:t>
      </w:r>
      <w:r>
        <w:rPr/>
        <w:t>shifts</w:t>
      </w:r>
      <w:r>
        <w:rPr>
          <w:spacing w:val="-12"/>
        </w:rPr>
        <w:t> </w:t>
      </w:r>
      <w:r>
        <w:rPr/>
        <w:t>in</w:t>
      </w:r>
      <w:r>
        <w:rPr>
          <w:spacing w:val="-11"/>
        </w:rPr>
        <w:t> </w:t>
      </w:r>
      <w:r>
        <w:rPr/>
        <w:t>serve</w:t>
      </w:r>
      <w:r>
        <w:rPr>
          <w:spacing w:val="-12"/>
        </w:rPr>
        <w:t> </w:t>
      </w:r>
      <w:r>
        <w:rPr/>
        <w:t>direction</w:t>
      </w:r>
      <w:r>
        <w:rPr>
          <w:spacing w:val="-11"/>
        </w:rPr>
        <w:t> </w:t>
      </w:r>
      <w:r>
        <w:rPr/>
        <w:t>in</w:t>
      </w:r>
      <w:r>
        <w:rPr>
          <w:spacing w:val="-11"/>
        </w:rPr>
        <w:t> </w:t>
      </w:r>
      <w:r>
        <w:rPr/>
        <w:t>pressure</w:t>
      </w:r>
      <w:r>
        <w:rPr>
          <w:spacing w:val="-12"/>
        </w:rPr>
        <w:t> </w:t>
      </w:r>
      <w:r>
        <w:rPr/>
        <w:t>points</w:t>
      </w:r>
      <w:r>
        <w:rPr>
          <w:spacing w:val="-11"/>
        </w:rPr>
        <w:t> </w:t>
      </w:r>
      <w:r>
        <w:rPr/>
        <w:t>in tennis (e.g.</w:t>
      </w:r>
      <w:r>
        <w:rPr>
          <w:spacing w:val="28"/>
        </w:rPr>
        <w:t> </w:t>
      </w:r>
      <w:r>
        <w:rPr/>
        <w:t>when serving at break point or serving for the set/match).</w:t>
      </w:r>
      <w:r>
        <w:rPr>
          <w:spacing w:val="28"/>
        </w:rPr>
        <w:t> </w:t>
      </w:r>
      <w:r>
        <w:rPr/>
        <w:t>Similarly, in golf, the</w:t>
      </w:r>
      <w:r>
        <w:rPr>
          <w:spacing w:val="-11"/>
        </w:rPr>
        <w:t> </w:t>
      </w:r>
      <w:r>
        <w:rPr/>
        <w:t>directional</w:t>
      </w:r>
      <w:r>
        <w:rPr>
          <w:spacing w:val="-11"/>
        </w:rPr>
        <w:t> </w:t>
      </w:r>
      <w:r>
        <w:rPr/>
        <w:t>Wasserstein</w:t>
      </w:r>
      <w:r>
        <w:rPr>
          <w:spacing w:val="-11"/>
        </w:rPr>
        <w:t> </w:t>
      </w:r>
      <w:r>
        <w:rPr/>
        <w:t>distance</w:t>
      </w:r>
      <w:r>
        <w:rPr>
          <w:spacing w:val="-11"/>
        </w:rPr>
        <w:t> </w:t>
      </w:r>
      <w:r>
        <w:rPr/>
        <w:t>could</w:t>
      </w:r>
      <w:r>
        <w:rPr>
          <w:spacing w:val="-11"/>
        </w:rPr>
        <w:t> </w:t>
      </w:r>
      <w:r>
        <w:rPr/>
        <w:t>provide</w:t>
      </w:r>
      <w:r>
        <w:rPr>
          <w:spacing w:val="-11"/>
        </w:rPr>
        <w:t> </w:t>
      </w:r>
      <w:r>
        <w:rPr/>
        <w:t>an</w:t>
      </w:r>
      <w:r>
        <w:rPr>
          <w:spacing w:val="-11"/>
        </w:rPr>
        <w:t> </w:t>
      </w:r>
      <w:r>
        <w:rPr/>
        <w:t>understanding</w:t>
      </w:r>
      <w:r>
        <w:rPr>
          <w:spacing w:val="-11"/>
        </w:rPr>
        <w:t> </w:t>
      </w:r>
      <w:r>
        <w:rPr/>
        <w:t>of</w:t>
      </w:r>
      <w:r>
        <w:rPr>
          <w:spacing w:val="-11"/>
        </w:rPr>
        <w:t> </w:t>
      </w:r>
      <w:r>
        <w:rPr/>
        <w:t>those</w:t>
      </w:r>
      <w:r>
        <w:rPr>
          <w:spacing w:val="-11"/>
        </w:rPr>
        <w:t> </w:t>
      </w:r>
      <w:r>
        <w:rPr/>
        <w:t>players</w:t>
      </w:r>
      <w:r>
        <w:rPr>
          <w:spacing w:val="-11"/>
        </w:rPr>
        <w:t> </w:t>
      </w:r>
      <w:r>
        <w:rPr/>
        <w:t>who are more likely to drive to the left or right, shorter or longer.</w:t>
      </w:r>
      <w:r>
        <w:rPr>
          <w:spacing w:val="40"/>
        </w:rPr>
        <w:t> </w:t>
      </w:r>
      <w:r>
        <w:rPr/>
        <w:t>Knowledge of these ele- ments</w:t>
      </w:r>
      <w:r>
        <w:rPr>
          <w:spacing w:val="-7"/>
        </w:rPr>
        <w:t> </w:t>
      </w:r>
      <w:r>
        <w:rPr/>
        <w:t>could</w:t>
      </w:r>
      <w:r>
        <w:rPr>
          <w:spacing w:val="-7"/>
        </w:rPr>
        <w:t> </w:t>
      </w:r>
      <w:r>
        <w:rPr/>
        <w:t>provide</w:t>
      </w:r>
      <w:r>
        <w:rPr>
          <w:spacing w:val="-7"/>
        </w:rPr>
        <w:t> </w:t>
      </w:r>
      <w:r>
        <w:rPr/>
        <w:t>training</w:t>
      </w:r>
      <w:r>
        <w:rPr>
          <w:spacing w:val="-7"/>
        </w:rPr>
        <w:t> </w:t>
      </w:r>
      <w:r>
        <w:rPr/>
        <w:t>and/or</w:t>
      </w:r>
      <w:r>
        <w:rPr>
          <w:spacing w:val="-7"/>
        </w:rPr>
        <w:t> </w:t>
      </w:r>
      <w:r>
        <w:rPr/>
        <w:t>scheduling</w:t>
      </w:r>
      <w:r>
        <w:rPr>
          <w:spacing w:val="-7"/>
        </w:rPr>
        <w:t> </w:t>
      </w:r>
      <w:r>
        <w:rPr/>
        <w:t>insights</w:t>
      </w:r>
      <w:r>
        <w:rPr>
          <w:spacing w:val="-7"/>
        </w:rPr>
        <w:t> </w:t>
      </w:r>
      <w:r>
        <w:rPr/>
        <w:t>with</w:t>
      </w:r>
      <w:r>
        <w:rPr>
          <w:spacing w:val="-7"/>
        </w:rPr>
        <w:t> </w:t>
      </w:r>
      <w:r>
        <w:rPr/>
        <w:t>respect</w:t>
      </w:r>
      <w:r>
        <w:rPr>
          <w:spacing w:val="-7"/>
        </w:rPr>
        <w:t> </w:t>
      </w:r>
      <w:r>
        <w:rPr/>
        <w:t>to</w:t>
      </w:r>
      <w:r>
        <w:rPr>
          <w:spacing w:val="-7"/>
        </w:rPr>
        <w:t> </w:t>
      </w:r>
      <w:r>
        <w:rPr/>
        <w:t>different</w:t>
      </w:r>
      <w:r>
        <w:rPr>
          <w:spacing w:val="-7"/>
        </w:rPr>
        <w:t> </w:t>
      </w:r>
      <w:r>
        <w:rPr/>
        <w:t>players’ shot making tendencies as they could help to understand which type of player is more successful at different courses.</w:t>
      </w:r>
    </w:p>
    <w:p>
      <w:pPr>
        <w:pStyle w:val="BodyText"/>
        <w:spacing w:line="312" w:lineRule="auto"/>
        <w:ind w:left="610" w:right="389" w:firstLine="351"/>
        <w:jc w:val="both"/>
      </w:pPr>
      <w:r>
        <w:rPr/>
        <w:t>The</w:t>
      </w:r>
      <w:r>
        <w:rPr>
          <w:spacing w:val="-10"/>
        </w:rPr>
        <w:t> </w:t>
      </w:r>
      <w:r>
        <w:rPr/>
        <w:t>results</w:t>
      </w:r>
      <w:r>
        <w:rPr>
          <w:spacing w:val="-10"/>
        </w:rPr>
        <w:t> </w:t>
      </w:r>
      <w:r>
        <w:rPr/>
        <w:t>of</w:t>
      </w:r>
      <w:r>
        <w:rPr>
          <w:spacing w:val="-10"/>
        </w:rPr>
        <w:t> </w:t>
      </w:r>
      <w:r>
        <w:rPr/>
        <w:t>this</w:t>
      </w:r>
      <w:r>
        <w:rPr>
          <w:spacing w:val="-10"/>
        </w:rPr>
        <w:t> </w:t>
      </w:r>
      <w:r>
        <w:rPr/>
        <w:t>chapter</w:t>
      </w:r>
      <w:r>
        <w:rPr>
          <w:spacing w:val="-10"/>
        </w:rPr>
        <w:t> </w:t>
      </w:r>
      <w:r>
        <w:rPr/>
        <w:t>provide</w:t>
      </w:r>
      <w:r>
        <w:rPr>
          <w:spacing w:val="-10"/>
        </w:rPr>
        <w:t> </w:t>
      </w:r>
      <w:r>
        <w:rPr/>
        <w:t>a</w:t>
      </w:r>
      <w:r>
        <w:rPr>
          <w:spacing w:val="-10"/>
        </w:rPr>
        <w:t> </w:t>
      </w:r>
      <w:r>
        <w:rPr/>
        <w:t>valuable</w:t>
      </w:r>
      <w:r>
        <w:rPr>
          <w:spacing w:val="-10"/>
        </w:rPr>
        <w:t> </w:t>
      </w:r>
      <w:r>
        <w:rPr/>
        <w:t>method</w:t>
      </w:r>
      <w:r>
        <w:rPr>
          <w:spacing w:val="-10"/>
        </w:rPr>
        <w:t> </w:t>
      </w:r>
      <w:r>
        <w:rPr/>
        <w:t>through</w:t>
      </w:r>
      <w:r>
        <w:rPr>
          <w:spacing w:val="-10"/>
        </w:rPr>
        <w:t> </w:t>
      </w:r>
      <w:r>
        <w:rPr/>
        <w:t>which</w:t>
      </w:r>
      <w:r>
        <w:rPr>
          <w:spacing w:val="-10"/>
        </w:rPr>
        <w:t> </w:t>
      </w:r>
      <w:r>
        <w:rPr/>
        <w:t>the</w:t>
      </w:r>
      <w:r>
        <w:rPr>
          <w:spacing w:val="-10"/>
        </w:rPr>
        <w:t> </w:t>
      </w:r>
      <w:r>
        <w:rPr/>
        <w:t>spatial</w:t>
      </w:r>
      <w:r>
        <w:rPr>
          <w:spacing w:val="-10"/>
        </w:rPr>
        <w:t> </w:t>
      </w:r>
      <w:r>
        <w:rPr/>
        <w:t>trends of attacking performances can be evaluated between and within teams in rugby </w:t>
      </w:r>
      <w:r>
        <w:rPr/>
        <w:t>league. However, they are subject to some limitations.</w:t>
      </w:r>
      <w:r>
        <w:rPr>
          <w:spacing w:val="40"/>
        </w:rPr>
        <w:t> </w:t>
      </w:r>
      <w:r>
        <w:rPr/>
        <w:t>The first of these is the difficulty the Wasserstein</w:t>
      </w:r>
      <w:r>
        <w:rPr>
          <w:spacing w:val="-14"/>
        </w:rPr>
        <w:t> </w:t>
      </w:r>
      <w:r>
        <w:rPr/>
        <w:t>distance</w:t>
      </w:r>
      <w:r>
        <w:rPr>
          <w:spacing w:val="-14"/>
        </w:rPr>
        <w:t> </w:t>
      </w:r>
      <w:r>
        <w:rPr/>
        <w:t>metric</w:t>
      </w:r>
      <w:r>
        <w:rPr>
          <w:spacing w:val="-14"/>
        </w:rPr>
        <w:t> </w:t>
      </w:r>
      <w:r>
        <w:rPr/>
        <w:t>has</w:t>
      </w:r>
      <w:r>
        <w:rPr>
          <w:spacing w:val="-14"/>
        </w:rPr>
        <w:t> </w:t>
      </w:r>
      <w:r>
        <w:rPr/>
        <w:t>with</w:t>
      </w:r>
      <w:r>
        <w:rPr>
          <w:spacing w:val="-14"/>
        </w:rPr>
        <w:t> </w:t>
      </w:r>
      <w:r>
        <w:rPr/>
        <w:t>quantifying</w:t>
      </w:r>
      <w:r>
        <w:rPr>
          <w:spacing w:val="-14"/>
        </w:rPr>
        <w:t> </w:t>
      </w:r>
      <w:r>
        <w:rPr/>
        <w:t>differences</w:t>
      </w:r>
      <w:r>
        <w:rPr>
          <w:spacing w:val="-14"/>
        </w:rPr>
        <w:t> </w:t>
      </w:r>
      <w:r>
        <w:rPr/>
        <w:t>in</w:t>
      </w:r>
      <w:r>
        <w:rPr>
          <w:spacing w:val="-14"/>
        </w:rPr>
        <w:t> </w:t>
      </w:r>
      <w:r>
        <w:rPr/>
        <w:t>the</w:t>
      </w:r>
      <w:r>
        <w:rPr>
          <w:spacing w:val="-14"/>
        </w:rPr>
        <w:t> </w:t>
      </w:r>
      <w:r>
        <w:rPr/>
        <w:t>centre</w:t>
      </w:r>
      <w:r>
        <w:rPr>
          <w:spacing w:val="-14"/>
        </w:rPr>
        <w:t> </w:t>
      </w:r>
      <w:r>
        <w:rPr/>
        <w:t>of</w:t>
      </w:r>
      <w:r>
        <w:rPr>
          <w:spacing w:val="-14"/>
        </w:rPr>
        <w:t> </w:t>
      </w:r>
      <w:r>
        <w:rPr/>
        <w:t>the</w:t>
      </w:r>
      <w:r>
        <w:rPr>
          <w:spacing w:val="-14"/>
        </w:rPr>
        <w:t> </w:t>
      </w:r>
      <w:r>
        <w:rPr/>
        <w:t>pitch</w:t>
      </w:r>
      <w:r>
        <w:rPr>
          <w:spacing w:val="-14"/>
        </w:rPr>
        <w:t> </w:t>
      </w:r>
      <w:r>
        <w:rPr/>
        <w:t>due to</w:t>
      </w:r>
      <w:r>
        <w:rPr>
          <w:spacing w:val="-5"/>
        </w:rPr>
        <w:t> </w:t>
      </w:r>
      <w:r>
        <w:rPr/>
        <w:t>the</w:t>
      </w:r>
      <w:r>
        <w:rPr>
          <w:spacing w:val="-5"/>
        </w:rPr>
        <w:t> </w:t>
      </w:r>
      <w:r>
        <w:rPr/>
        <w:t>smaller</w:t>
      </w:r>
      <w:r>
        <w:rPr>
          <w:spacing w:val="-5"/>
        </w:rPr>
        <w:t> </w:t>
      </w:r>
      <w:r>
        <w:rPr/>
        <w:t>distance</w:t>
      </w:r>
      <w:r>
        <w:rPr>
          <w:spacing w:val="-5"/>
        </w:rPr>
        <w:t> </w:t>
      </w:r>
      <w:r>
        <w:rPr/>
        <w:t>required</w:t>
      </w:r>
      <w:r>
        <w:rPr>
          <w:spacing w:val="-5"/>
        </w:rPr>
        <w:t> </w:t>
      </w:r>
      <w:r>
        <w:rPr/>
        <w:t>to</w:t>
      </w:r>
      <w:r>
        <w:rPr>
          <w:spacing w:val="-5"/>
        </w:rPr>
        <w:t> </w:t>
      </w:r>
      <w:r>
        <w:rPr/>
        <w:t>move</w:t>
      </w:r>
      <w:r>
        <w:rPr>
          <w:spacing w:val="-5"/>
        </w:rPr>
        <w:t> </w:t>
      </w:r>
      <w:r>
        <w:rPr/>
        <w:t>to</w:t>
      </w:r>
      <w:r>
        <w:rPr>
          <w:spacing w:val="-5"/>
        </w:rPr>
        <w:t> </w:t>
      </w:r>
      <w:r>
        <w:rPr/>
        <w:t>any</w:t>
      </w:r>
      <w:r>
        <w:rPr>
          <w:spacing w:val="-5"/>
        </w:rPr>
        <w:t> </w:t>
      </w:r>
      <w:r>
        <w:rPr/>
        <w:t>other</w:t>
      </w:r>
      <w:r>
        <w:rPr>
          <w:spacing w:val="-5"/>
        </w:rPr>
        <w:t> </w:t>
      </w:r>
      <w:r>
        <w:rPr/>
        <w:t>location</w:t>
      </w:r>
      <w:r>
        <w:rPr>
          <w:spacing w:val="-5"/>
        </w:rPr>
        <w:t> </w:t>
      </w:r>
      <w:r>
        <w:rPr/>
        <w:t>on</w:t>
      </w:r>
      <w:r>
        <w:rPr>
          <w:spacing w:val="-5"/>
        </w:rPr>
        <w:t> </w:t>
      </w:r>
      <w:r>
        <w:rPr/>
        <w:t>the</w:t>
      </w:r>
      <w:r>
        <w:rPr>
          <w:spacing w:val="-5"/>
        </w:rPr>
        <w:t> </w:t>
      </w:r>
      <w:r>
        <w:rPr/>
        <w:t>pitch. The</w:t>
      </w:r>
      <w:r>
        <w:rPr>
          <w:spacing w:val="-5"/>
        </w:rPr>
        <w:t> </w:t>
      </w:r>
      <w:r>
        <w:rPr/>
        <w:t>second</w:t>
      </w:r>
      <w:r>
        <w:rPr>
          <w:spacing w:val="-5"/>
        </w:rPr>
        <w:t> </w:t>
      </w:r>
      <w:r>
        <w:rPr/>
        <w:t>is the limited relationship present with the points scored by teams without additional con- textual information being provided.</w:t>
      </w:r>
      <w:r>
        <w:rPr>
          <w:spacing w:val="40"/>
        </w:rPr>
        <w:t> </w:t>
      </w:r>
      <w:r>
        <w:rPr/>
        <w:t>Such a limitation is understandable as all locations on the pitch were treated equally within the KDE analyses, which is not the case within the sport where controlling the ball closer to the opposition try line is significantly more valuable. As</w:t>
      </w:r>
      <w:r>
        <w:rPr>
          <w:spacing w:val="-3"/>
        </w:rPr>
        <w:t> </w:t>
      </w:r>
      <w:r>
        <w:rPr/>
        <w:t>such,</w:t>
      </w:r>
      <w:r>
        <w:rPr>
          <w:spacing w:val="-3"/>
        </w:rPr>
        <w:t> </w:t>
      </w:r>
      <w:r>
        <w:rPr/>
        <w:t>combining</w:t>
      </w:r>
      <w:r>
        <w:rPr>
          <w:spacing w:val="-3"/>
        </w:rPr>
        <w:t> </w:t>
      </w:r>
      <w:r>
        <w:rPr/>
        <w:t>the</w:t>
      </w:r>
      <w:r>
        <w:rPr>
          <w:spacing w:val="-3"/>
        </w:rPr>
        <w:t> </w:t>
      </w:r>
      <w:r>
        <w:rPr/>
        <w:t>results</w:t>
      </w:r>
      <w:r>
        <w:rPr>
          <w:spacing w:val="-3"/>
        </w:rPr>
        <w:t> </w:t>
      </w:r>
      <w:r>
        <w:rPr/>
        <w:t>of</w:t>
      </w:r>
      <w:r>
        <w:rPr>
          <w:spacing w:val="-3"/>
        </w:rPr>
        <w:t> </w:t>
      </w:r>
      <w:r>
        <w:rPr/>
        <w:t>the</w:t>
      </w:r>
      <w:r>
        <w:rPr>
          <w:spacing w:val="-3"/>
        </w:rPr>
        <w:t> </w:t>
      </w:r>
      <w:r>
        <w:rPr/>
        <w:t>analyses</w:t>
      </w:r>
      <w:r>
        <w:rPr>
          <w:spacing w:val="-3"/>
        </w:rPr>
        <w:t> </w:t>
      </w:r>
      <w:r>
        <w:rPr/>
        <w:t>here</w:t>
      </w:r>
      <w:r>
        <w:rPr>
          <w:spacing w:val="-3"/>
        </w:rPr>
        <w:t> </w:t>
      </w:r>
      <w:r>
        <w:rPr/>
        <w:t>with</w:t>
      </w:r>
      <w:r>
        <w:rPr>
          <w:spacing w:val="-3"/>
        </w:rPr>
        <w:t> </w:t>
      </w:r>
      <w:r>
        <w:rPr/>
        <w:t>a</w:t>
      </w:r>
      <w:r>
        <w:rPr>
          <w:spacing w:val="-3"/>
        </w:rPr>
        <w:t> </w:t>
      </w:r>
      <w:r>
        <w:rPr/>
        <w:t>model</w:t>
      </w:r>
      <w:r>
        <w:rPr>
          <w:spacing w:val="-3"/>
        </w:rPr>
        <w:t> </w:t>
      </w:r>
      <w:r>
        <w:rPr/>
        <w:t>which</w:t>
      </w:r>
      <w:r>
        <w:rPr>
          <w:spacing w:val="-3"/>
        </w:rPr>
        <w:t> </w:t>
      </w:r>
      <w:r>
        <w:rPr/>
        <w:t>is</w:t>
      </w:r>
      <w:r>
        <w:rPr>
          <w:spacing w:val="-3"/>
        </w:rPr>
        <w:t> </w:t>
      </w:r>
      <w:r>
        <w:rPr/>
        <w:t>able to value locations on the pitch like Chapter</w:t>
      </w:r>
      <w:r>
        <w:rPr>
          <w:color w:val="0000FF"/>
        </w:rPr>
        <w:t>3</w:t>
      </w:r>
      <w:hyperlink w:history="true" w:anchor="_bookmark48">
        <w:r>
          <w:rPr/>
          <w:t>,</w:t>
        </w:r>
      </w:hyperlink>
      <w:r>
        <w:rPr/>
        <w:t> but in a smooth manner could prove to be an extremely powerful performance measurement tool.</w:t>
      </w:r>
    </w:p>
    <w:p>
      <w:pPr>
        <w:pStyle w:val="BodyText"/>
        <w:spacing w:line="312" w:lineRule="auto"/>
        <w:ind w:left="610" w:right="389" w:firstLine="351"/>
        <w:jc w:val="both"/>
      </w:pPr>
      <w:r>
        <w:rPr/>
        <w:t>Building on the work of this study, which deliberately simplified the research ques- tion to only consider the probability of controlling the ball in a given location, the next study will produce a model which provides a smooth surface estimating the value of </w:t>
      </w:r>
      <w:r>
        <w:rPr/>
        <w:t>an action conditional on its location.</w:t>
      </w:r>
      <w:r>
        <w:rPr>
          <w:spacing w:val="26"/>
        </w:rPr>
        <w:t> </w:t>
      </w:r>
      <w:r>
        <w:rPr/>
        <w:t>This will allow context to be added to the team KDEs produced in this chapter in a systematic and quantitative manner.</w:t>
      </w:r>
      <w:r>
        <w:rPr>
          <w:spacing w:val="40"/>
        </w:rPr>
        <w:t> </w:t>
      </w:r>
      <w:r>
        <w:rPr/>
        <w:t>The model will also provide</w:t>
      </w:r>
      <w:r>
        <w:rPr>
          <w:spacing w:val="-13"/>
        </w:rPr>
        <w:t> </w:t>
      </w:r>
      <w:r>
        <w:rPr/>
        <w:t>a</w:t>
      </w:r>
      <w:r>
        <w:rPr>
          <w:spacing w:val="-13"/>
        </w:rPr>
        <w:t> </w:t>
      </w:r>
      <w:r>
        <w:rPr/>
        <w:t>method</w:t>
      </w:r>
      <w:r>
        <w:rPr>
          <w:spacing w:val="-13"/>
        </w:rPr>
        <w:t> </w:t>
      </w:r>
      <w:r>
        <w:rPr/>
        <w:t>of</w:t>
      </w:r>
      <w:r>
        <w:rPr>
          <w:spacing w:val="-13"/>
        </w:rPr>
        <w:t> </w:t>
      </w:r>
      <w:r>
        <w:rPr/>
        <w:t>rating</w:t>
      </w:r>
      <w:r>
        <w:rPr>
          <w:spacing w:val="-13"/>
        </w:rPr>
        <w:t> </w:t>
      </w:r>
      <w:r>
        <w:rPr/>
        <w:t>player</w:t>
      </w:r>
      <w:r>
        <w:rPr>
          <w:spacing w:val="-13"/>
        </w:rPr>
        <w:t> </w:t>
      </w:r>
      <w:r>
        <w:rPr/>
        <w:t>performances,</w:t>
      </w:r>
      <w:r>
        <w:rPr>
          <w:spacing w:val="-12"/>
        </w:rPr>
        <w:t> </w:t>
      </w:r>
      <w:r>
        <w:rPr/>
        <w:t>building</w:t>
      </w:r>
      <w:r>
        <w:rPr>
          <w:spacing w:val="-13"/>
        </w:rPr>
        <w:t> </w:t>
      </w:r>
      <w:r>
        <w:rPr/>
        <w:t>on</w:t>
      </w:r>
      <w:r>
        <w:rPr>
          <w:spacing w:val="-13"/>
        </w:rPr>
        <w:t> </w:t>
      </w:r>
      <w:r>
        <w:rPr/>
        <w:t>the</w:t>
      </w:r>
      <w:r>
        <w:rPr>
          <w:spacing w:val="-13"/>
        </w:rPr>
        <w:t> </w:t>
      </w:r>
      <w:r>
        <w:rPr/>
        <w:t>expert</w:t>
      </w:r>
      <w:r>
        <w:rPr>
          <w:spacing w:val="-13"/>
        </w:rPr>
        <w:t> </w:t>
      </w:r>
      <w:r>
        <w:rPr/>
        <w:t>feedback</w:t>
      </w:r>
      <w:r>
        <w:rPr>
          <w:spacing w:val="-13"/>
        </w:rPr>
        <w:t> </w:t>
      </w:r>
      <w:r>
        <w:rPr/>
        <w:t>received in Chapter</w:t>
      </w:r>
      <w:r>
        <w:rPr>
          <w:color w:val="0000FF"/>
        </w:rPr>
        <w:t>4</w:t>
      </w:r>
      <w:hyperlink w:history="true" w:anchor="_bookmark92">
        <w:r>
          <w:rPr/>
          <w:t>.</w:t>
        </w:r>
      </w:hyperlink>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1"/>
        <w:tabs>
          <w:tab w:pos="9388" w:val="left" w:leader="none"/>
        </w:tabs>
        <w:spacing w:line="314" w:lineRule="auto"/>
        <w:ind w:right="115"/>
      </w:pPr>
      <w:r>
        <w:rPr/>
        <w:pict>
          <v:group style="position:absolute;margin-left:114.519997pt;margin-top:28.578819pt;width:55.5pt;height:28.5pt;mso-position-horizontal-relative:page;mso-position-vertical-relative:paragraph;z-index:-21741568" id="docshapegroup168" coordorigin="2290,572" coordsize="1110,570">
            <v:line style="position:absolute" from="2300,1141" to="2300,591" stroked="true" strokeweight=".996pt" strokecolor="#000000">
              <v:stroke dashstyle="solid"/>
            </v:line>
            <v:line style="position:absolute" from="2290,582" to="3400,582" stroked="true" strokeweight=".996pt" strokecolor="#000000">
              <v:stroke dashstyle="solid"/>
            </v:line>
            <w10:wrap type="none"/>
          </v:group>
        </w:pict>
      </w:r>
      <w:r>
        <w:rPr/>
        <w:pict>
          <v:group style="position:absolute;margin-left:202.770004pt;margin-top:28.578819pt;width:336.95pt;height:39.8pt;mso-position-horizontal-relative:page;mso-position-vertical-relative:paragraph;z-index:-21741056" id="docshapegroup169" coordorigin="4055,572" coordsize="6739,796">
            <v:line style="position:absolute" from="10784,1367" to="10784,591" stroked="true" strokeweight=".996pt" strokecolor="#000000">
              <v:stroke dashstyle="solid"/>
            </v:line>
            <v:line style="position:absolute" from="4055,582" to="10794,582" stroked="true" strokeweight=".996pt" strokecolor="#000000">
              <v:stroke dashstyle="solid"/>
            </v:line>
            <w10:wrap type="none"/>
          </v:group>
        </w:pict>
      </w:r>
      <w:bookmarkStart w:name="6 A Bayesian Approach to the Evaluation " w:id="291"/>
      <w:bookmarkEnd w:id="291"/>
      <w:r>
        <w:rPr/>
      </w:r>
      <w:bookmarkStart w:name="_bookmark170" w:id="292"/>
      <w:bookmarkEnd w:id="292"/>
      <w:r>
        <w:rPr/>
      </w:r>
      <w:r>
        <w:rPr>
          <w:rFonts w:ascii="Arial"/>
          <w:sz w:val="28"/>
        </w:rPr>
        <w:t>Chapter</w:t>
      </w:r>
      <w:r>
        <w:rPr>
          <w:rFonts w:ascii="Arial"/>
          <w:spacing w:val="40"/>
          <w:sz w:val="28"/>
        </w:rPr>
        <w:t> </w:t>
      </w:r>
      <w:r>
        <w:rPr>
          <w:spacing w:val="19"/>
          <w:sz w:val="119"/>
        </w:rPr>
        <w:t>6</w:t>
      </w:r>
      <w:r>
        <w:rPr>
          <w:sz w:val="119"/>
          <w:u w:val="single"/>
        </w:rPr>
        <w:tab/>
      </w:r>
      <w:r>
        <w:rPr>
          <w:sz w:val="119"/>
        </w:rPr>
        <w:t> </w:t>
      </w:r>
      <w:r>
        <w:rPr/>
        <w:t>A Bayesian Approach to the Evaluation of Team and Player Performances</w:t>
      </w:r>
    </w:p>
    <w:p>
      <w:pPr>
        <w:pStyle w:val="BodyText"/>
        <w:spacing w:before="1"/>
        <w:rPr>
          <w:sz w:val="65"/>
        </w:rPr>
      </w:pPr>
    </w:p>
    <w:p>
      <w:pPr>
        <w:pStyle w:val="Heading2"/>
        <w:numPr>
          <w:ilvl w:val="1"/>
          <w:numId w:val="24"/>
        </w:numPr>
        <w:tabs>
          <w:tab w:pos="1385" w:val="left" w:leader="none"/>
          <w:tab w:pos="1386" w:val="left" w:leader="none"/>
        </w:tabs>
        <w:spacing w:line="240" w:lineRule="auto" w:before="0" w:after="0"/>
        <w:ind w:left="1385" w:right="0" w:hanging="776"/>
        <w:jc w:val="left"/>
      </w:pPr>
      <w:bookmarkStart w:name="_TOC_250014" w:id="293"/>
      <w:bookmarkStart w:name="6.1 Introduction" w:id="294"/>
      <w:r>
        <w:rPr>
          <w:b w:val="0"/>
        </w:rPr>
      </w:r>
      <w:bookmarkStart w:name="_bookmark171" w:id="295"/>
      <w:bookmarkEnd w:id="295"/>
      <w:r>
        <w:rPr>
          <w:spacing w:val="-2"/>
        </w:rPr>
        <w:t>Int</w:t>
      </w:r>
      <w:bookmarkEnd w:id="293"/>
      <w:r>
        <w:rPr>
          <w:spacing w:val="-2"/>
        </w:rPr>
        <w:t>roduction</w:t>
      </w:r>
    </w:p>
    <w:p>
      <w:pPr>
        <w:pStyle w:val="BodyText"/>
        <w:spacing w:line="312" w:lineRule="auto" w:before="308"/>
        <w:ind w:left="610" w:right="389"/>
        <w:jc w:val="both"/>
      </w:pPr>
      <w:r>
        <w:rPr/>
        <w:t>In</w:t>
      </w:r>
      <w:r>
        <w:rPr>
          <w:spacing w:val="-15"/>
        </w:rPr>
        <w:t> </w:t>
      </w:r>
      <w:r>
        <w:rPr/>
        <w:t>Chapter</w:t>
      </w:r>
      <w:hyperlink w:history="true" w:anchor="_bookmark122">
        <w:r>
          <w:rPr>
            <w:color w:val="0000FF"/>
          </w:rPr>
          <w:t>5</w:t>
        </w:r>
        <w:r>
          <w:rPr/>
          <w:t>,</w:t>
        </w:r>
      </w:hyperlink>
      <w:r>
        <w:rPr>
          <w:spacing w:val="-15"/>
        </w:rPr>
        <w:t> </w:t>
      </w:r>
      <w:r>
        <w:rPr/>
        <w:t>the</w:t>
      </w:r>
      <w:r>
        <w:rPr>
          <w:spacing w:val="-15"/>
        </w:rPr>
        <w:t> </w:t>
      </w:r>
      <w:r>
        <w:rPr/>
        <w:t>spatial</w:t>
      </w:r>
      <w:r>
        <w:rPr>
          <w:spacing w:val="-15"/>
        </w:rPr>
        <w:t> </w:t>
      </w:r>
      <w:r>
        <w:rPr/>
        <w:t>trends</w:t>
      </w:r>
      <w:r>
        <w:rPr>
          <w:spacing w:val="-15"/>
        </w:rPr>
        <w:t> </w:t>
      </w:r>
      <w:r>
        <w:rPr/>
        <w:t>of</w:t>
      </w:r>
      <w:r>
        <w:rPr>
          <w:spacing w:val="-15"/>
        </w:rPr>
        <w:t> </w:t>
      </w:r>
      <w:r>
        <w:rPr/>
        <w:t>team</w:t>
      </w:r>
      <w:r>
        <w:rPr>
          <w:spacing w:val="-15"/>
        </w:rPr>
        <w:t> </w:t>
      </w:r>
      <w:r>
        <w:rPr/>
        <w:t>attacking</w:t>
      </w:r>
      <w:r>
        <w:rPr>
          <w:spacing w:val="-15"/>
        </w:rPr>
        <w:t> </w:t>
      </w:r>
      <w:r>
        <w:rPr/>
        <w:t>performances</w:t>
      </w:r>
      <w:r>
        <w:rPr>
          <w:spacing w:val="-15"/>
        </w:rPr>
        <w:t> </w:t>
      </w:r>
      <w:r>
        <w:rPr/>
        <w:t>were</w:t>
      </w:r>
      <w:r>
        <w:rPr>
          <w:spacing w:val="-15"/>
        </w:rPr>
        <w:t> </w:t>
      </w:r>
      <w:r>
        <w:rPr/>
        <w:t>evaluated</w:t>
      </w:r>
      <w:r>
        <w:rPr>
          <w:spacing w:val="-14"/>
        </w:rPr>
        <w:t> </w:t>
      </w:r>
      <w:r>
        <w:rPr/>
        <w:t>in</w:t>
      </w:r>
      <w:r>
        <w:rPr>
          <w:spacing w:val="-15"/>
        </w:rPr>
        <w:t> </w:t>
      </w:r>
      <w:r>
        <w:rPr/>
        <w:t>a</w:t>
      </w:r>
      <w:r>
        <w:rPr>
          <w:spacing w:val="-15"/>
        </w:rPr>
        <w:t> </w:t>
      </w:r>
      <w:r>
        <w:rPr/>
        <w:t>smooth </w:t>
      </w:r>
      <w:r>
        <w:rPr>
          <w:spacing w:val="-2"/>
        </w:rPr>
        <w:t>manner</w:t>
      </w:r>
      <w:r>
        <w:rPr>
          <w:spacing w:val="-11"/>
        </w:rPr>
        <w:t> </w:t>
      </w:r>
      <w:r>
        <w:rPr>
          <w:spacing w:val="-2"/>
        </w:rPr>
        <w:t>using</w:t>
      </w:r>
      <w:r>
        <w:rPr>
          <w:spacing w:val="-10"/>
        </w:rPr>
        <w:t> </w:t>
      </w:r>
      <w:r>
        <w:rPr>
          <w:spacing w:val="-2"/>
        </w:rPr>
        <w:t>KDEs.</w:t>
      </w:r>
      <w:r>
        <w:rPr>
          <w:spacing w:val="16"/>
        </w:rPr>
        <w:t> </w:t>
      </w:r>
      <w:r>
        <w:rPr>
          <w:spacing w:val="-2"/>
        </w:rPr>
        <w:t>The</w:t>
      </w:r>
      <w:r>
        <w:rPr>
          <w:spacing w:val="-11"/>
        </w:rPr>
        <w:t> </w:t>
      </w:r>
      <w:r>
        <w:rPr>
          <w:spacing w:val="-2"/>
        </w:rPr>
        <w:t>work</w:t>
      </w:r>
      <w:r>
        <w:rPr>
          <w:spacing w:val="-10"/>
        </w:rPr>
        <w:t> </w:t>
      </w:r>
      <w:r>
        <w:rPr>
          <w:spacing w:val="-2"/>
        </w:rPr>
        <w:t>was</w:t>
      </w:r>
      <w:r>
        <w:rPr>
          <w:spacing w:val="-11"/>
        </w:rPr>
        <w:t> </w:t>
      </w:r>
      <w:r>
        <w:rPr>
          <w:spacing w:val="-2"/>
        </w:rPr>
        <w:t>well</w:t>
      </w:r>
      <w:r>
        <w:rPr>
          <w:spacing w:val="-10"/>
        </w:rPr>
        <w:t> </w:t>
      </w:r>
      <w:r>
        <w:rPr>
          <w:spacing w:val="-2"/>
        </w:rPr>
        <w:t>received</w:t>
      </w:r>
      <w:r>
        <w:rPr>
          <w:spacing w:val="-11"/>
        </w:rPr>
        <w:t> </w:t>
      </w:r>
      <w:r>
        <w:rPr>
          <w:spacing w:val="-2"/>
        </w:rPr>
        <w:t>by</w:t>
      </w:r>
      <w:r>
        <w:rPr>
          <w:spacing w:val="-10"/>
        </w:rPr>
        <w:t> </w:t>
      </w:r>
      <w:r>
        <w:rPr>
          <w:spacing w:val="-2"/>
        </w:rPr>
        <w:t>coaches</w:t>
      </w:r>
      <w:r>
        <w:rPr>
          <w:spacing w:val="-11"/>
        </w:rPr>
        <w:t> </w:t>
      </w:r>
      <w:r>
        <w:rPr>
          <w:spacing w:val="-2"/>
        </w:rPr>
        <w:t>at</w:t>
      </w:r>
      <w:r>
        <w:rPr>
          <w:spacing w:val="-11"/>
        </w:rPr>
        <w:t> </w:t>
      </w:r>
      <w:r>
        <w:rPr>
          <w:spacing w:val="-2"/>
        </w:rPr>
        <w:t>Leeds</w:t>
      </w:r>
      <w:r>
        <w:rPr>
          <w:spacing w:val="-10"/>
        </w:rPr>
        <w:t> </w:t>
      </w:r>
      <w:r>
        <w:rPr>
          <w:spacing w:val="-2"/>
        </w:rPr>
        <w:t>Rhinos</w:t>
      </w:r>
      <w:r>
        <w:rPr>
          <w:spacing w:val="-11"/>
        </w:rPr>
        <w:t> </w:t>
      </w:r>
      <w:r>
        <w:rPr>
          <w:spacing w:val="-2"/>
        </w:rPr>
        <w:t>but</w:t>
      </w:r>
      <w:r>
        <w:rPr>
          <w:spacing w:val="-10"/>
        </w:rPr>
        <w:t> </w:t>
      </w:r>
      <w:r>
        <w:rPr>
          <w:spacing w:val="-2"/>
        </w:rPr>
        <w:t>required </w:t>
      </w:r>
      <w:r>
        <w:rPr/>
        <w:t>further information regarding performances (e.g.</w:t>
      </w:r>
      <w:r>
        <w:rPr>
          <w:spacing w:val="40"/>
        </w:rPr>
        <w:t> </w:t>
      </w:r>
      <w:r>
        <w:rPr/>
        <w:t>the number of points a team scored against the opposition, or the league position of a team) to be used most effectively </w:t>
      </w:r>
      <w:r>
        <w:rPr/>
        <w:t>in practice. Furthermore, it was unsuitable for the analysis of player performances.</w:t>
      </w:r>
    </w:p>
    <w:p>
      <w:pPr>
        <w:pStyle w:val="BodyText"/>
        <w:spacing w:line="312" w:lineRule="auto"/>
        <w:ind w:left="610" w:right="389" w:firstLine="351"/>
        <w:jc w:val="both"/>
      </w:pPr>
      <w:r>
        <w:rPr/>
        <w:t>This</w:t>
      </w:r>
      <w:r>
        <w:rPr>
          <w:spacing w:val="-12"/>
        </w:rPr>
        <w:t> </w:t>
      </w:r>
      <w:r>
        <w:rPr/>
        <w:t>study</w:t>
      </w:r>
      <w:r>
        <w:rPr>
          <w:spacing w:val="-12"/>
        </w:rPr>
        <w:t> </w:t>
      </w:r>
      <w:r>
        <w:rPr/>
        <w:t>provides</w:t>
      </w:r>
      <w:r>
        <w:rPr>
          <w:spacing w:val="-12"/>
        </w:rPr>
        <w:t> </w:t>
      </w:r>
      <w:r>
        <w:rPr/>
        <w:t>a</w:t>
      </w:r>
      <w:r>
        <w:rPr>
          <w:spacing w:val="-12"/>
        </w:rPr>
        <w:t> </w:t>
      </w:r>
      <w:r>
        <w:rPr/>
        <w:t>framework</w:t>
      </w:r>
      <w:r>
        <w:rPr>
          <w:spacing w:val="-13"/>
        </w:rPr>
        <w:t> </w:t>
      </w:r>
      <w:r>
        <w:rPr/>
        <w:t>through</w:t>
      </w:r>
      <w:r>
        <w:rPr>
          <w:spacing w:val="-12"/>
        </w:rPr>
        <w:t> </w:t>
      </w:r>
      <w:r>
        <w:rPr/>
        <w:t>which</w:t>
      </w:r>
      <w:r>
        <w:rPr>
          <w:spacing w:val="-12"/>
        </w:rPr>
        <w:t> </w:t>
      </w:r>
      <w:r>
        <w:rPr/>
        <w:t>team</w:t>
      </w:r>
      <w:r>
        <w:rPr>
          <w:spacing w:val="-12"/>
        </w:rPr>
        <w:t> </w:t>
      </w:r>
      <w:r>
        <w:rPr/>
        <w:t>and</w:t>
      </w:r>
      <w:r>
        <w:rPr>
          <w:spacing w:val="-12"/>
        </w:rPr>
        <w:t> </w:t>
      </w:r>
      <w:r>
        <w:rPr/>
        <w:t>player</w:t>
      </w:r>
      <w:r>
        <w:rPr>
          <w:spacing w:val="-13"/>
        </w:rPr>
        <w:t> </w:t>
      </w:r>
      <w:r>
        <w:rPr/>
        <w:t>performances</w:t>
      </w:r>
      <w:r>
        <w:rPr>
          <w:spacing w:val="-12"/>
        </w:rPr>
        <w:t> </w:t>
      </w:r>
      <w:r>
        <w:rPr/>
        <w:t>can</w:t>
      </w:r>
      <w:r>
        <w:rPr>
          <w:spacing w:val="-12"/>
        </w:rPr>
        <w:t> </w:t>
      </w:r>
      <w:r>
        <w:rPr/>
        <w:t>be evaluated</w:t>
      </w:r>
      <w:r>
        <w:rPr>
          <w:spacing w:val="-15"/>
        </w:rPr>
        <w:t> </w:t>
      </w:r>
      <w:r>
        <w:rPr/>
        <w:t>in</w:t>
      </w:r>
      <w:r>
        <w:rPr>
          <w:spacing w:val="-15"/>
        </w:rPr>
        <w:t> </w:t>
      </w:r>
      <w:r>
        <w:rPr/>
        <w:t>a</w:t>
      </w:r>
      <w:r>
        <w:rPr>
          <w:spacing w:val="-15"/>
        </w:rPr>
        <w:t> </w:t>
      </w:r>
      <w:r>
        <w:rPr/>
        <w:t>data</w:t>
      </w:r>
      <w:r>
        <w:rPr>
          <w:spacing w:val="-15"/>
        </w:rPr>
        <w:t> </w:t>
      </w:r>
      <w:r>
        <w:rPr/>
        <w:t>driven</w:t>
      </w:r>
      <w:r>
        <w:rPr>
          <w:spacing w:val="-15"/>
        </w:rPr>
        <w:t> </w:t>
      </w:r>
      <w:r>
        <w:rPr/>
        <w:t>manner</w:t>
      </w:r>
      <w:r>
        <w:rPr>
          <w:spacing w:val="-15"/>
        </w:rPr>
        <w:t> </w:t>
      </w:r>
      <w:r>
        <w:rPr/>
        <w:t>(i.e.</w:t>
      </w:r>
      <w:r>
        <w:rPr>
          <w:spacing w:val="-15"/>
        </w:rPr>
        <w:t> </w:t>
      </w:r>
      <w:r>
        <w:rPr/>
        <w:t>without</w:t>
      </w:r>
      <w:r>
        <w:rPr>
          <w:spacing w:val="-15"/>
        </w:rPr>
        <w:t> </w:t>
      </w:r>
      <w:r>
        <w:rPr/>
        <w:t>needing</w:t>
      </w:r>
      <w:r>
        <w:rPr>
          <w:spacing w:val="-15"/>
        </w:rPr>
        <w:t> </w:t>
      </w:r>
      <w:r>
        <w:rPr/>
        <w:t>additional</w:t>
      </w:r>
      <w:r>
        <w:rPr>
          <w:spacing w:val="-15"/>
        </w:rPr>
        <w:t> </w:t>
      </w:r>
      <w:r>
        <w:rPr/>
        <w:t>contextual</w:t>
      </w:r>
      <w:r>
        <w:rPr>
          <w:spacing w:val="-15"/>
        </w:rPr>
        <w:t> </w:t>
      </w:r>
      <w:r>
        <w:rPr/>
        <w:t>information) in rugby league.</w:t>
      </w:r>
      <w:r>
        <w:rPr>
          <w:spacing w:val="40"/>
        </w:rPr>
        <w:t> </w:t>
      </w:r>
      <w:r>
        <w:rPr/>
        <w:t>A novel EPV model, which uses a Bayesian Mixture Model approach to provide a smooth pitch surface is proposed, improving upon previous zonal aggrega- tion methods (Chapters</w:t>
      </w:r>
      <w:r>
        <w:rPr>
          <w:color w:val="0000FF"/>
        </w:rPr>
        <w:t>3</w:t>
      </w:r>
      <w:r>
        <w:rPr/>
        <w:t>and</w:t>
      </w:r>
      <w:r>
        <w:rPr>
          <w:color w:val="0000FF"/>
        </w:rPr>
        <w:t>4</w:t>
      </w:r>
      <w:r>
        <w:rPr/>
        <w:t>;</w:t>
      </w:r>
      <w:hyperlink w:history="true" w:anchor="_bookmark92">
        <w:r>
          <w:rPr>
            <w:color w:val="FF0000"/>
          </w:rPr>
          <w:t>Cerv</w:t>
        </w:r>
      </w:hyperlink>
      <w:hyperlink w:history="true" w:anchor="_bookmark231">
        <w:r>
          <w:rPr>
            <w:color w:val="FF0000"/>
          </w:rPr>
          <w:t>one et al.</w:t>
        </w:r>
        <w:r>
          <w:rPr/>
          <w:t>(</w:t>
        </w:r>
      </w:hyperlink>
      <w:r>
        <w:rPr>
          <w:color w:val="FF0000"/>
        </w:rPr>
        <w:t>2016</w:t>
      </w:r>
      <w:hyperlink w:history="true" w:anchor="_bookmark231">
        <w:r>
          <w:rPr/>
          <w:t>);</w:t>
        </w:r>
        <w:r>
          <w:rPr>
            <w:color w:val="FF0000"/>
          </w:rPr>
          <w:t>K</w:t>
        </w:r>
      </w:hyperlink>
      <w:r>
        <w:rPr>
          <w:color w:val="FF0000"/>
        </w:rPr>
        <w:t>empton </w:t>
      </w:r>
      <w:hyperlink w:history="true" w:anchor="_bookmark263">
        <w:r>
          <w:rPr>
            <w:color w:val="FF0000"/>
          </w:rPr>
          <w:t>et al.</w:t>
        </w:r>
        <w:r>
          <w:rPr/>
          <w:t>(</w:t>
        </w:r>
        <w:r>
          <w:rPr>
            <w:color w:val="FF0000"/>
          </w:rPr>
          <w:t>2016</w:t>
        </w:r>
      </w:hyperlink>
      <w:r>
        <w:rPr/>
        <w:t>);</w:t>
      </w:r>
      <w:hyperlink w:history="true" w:anchor="_bookmark263">
        <w:r>
          <w:rPr>
            <w:color w:val="FF0000"/>
          </w:rPr>
          <w:t>Singh</w:t>
        </w:r>
      </w:hyperlink>
    </w:p>
    <w:p>
      <w:pPr>
        <w:pStyle w:val="BodyText"/>
        <w:spacing w:line="312" w:lineRule="auto"/>
        <w:ind w:left="610" w:right="389"/>
      </w:pPr>
      <w:r>
        <w:rPr/>
        <w:t>(</w:t>
      </w:r>
      <w:hyperlink w:history="true" w:anchor="_bookmark294">
        <w:r>
          <w:rPr>
            <w:color w:val="FF0000"/>
          </w:rPr>
          <w:t>n.d.</w:t>
        </w:r>
      </w:hyperlink>
      <w:r>
        <w:rPr/>
        <w:t>)).</w:t>
      </w:r>
      <w:r>
        <w:rPr>
          <w:spacing w:val="26"/>
        </w:rPr>
        <w:t> </w:t>
      </w:r>
      <w:r>
        <w:rPr/>
        <w:t>The model derives the EPV from estimates of the probability of each point </w:t>
      </w:r>
      <w:r>
        <w:rPr/>
        <w:t>scor- ing outcome occurring at the end of the possession.</w:t>
      </w:r>
      <w:r>
        <w:rPr>
          <w:spacing w:val="24"/>
        </w:rPr>
        <w:t> </w:t>
      </w:r>
      <w:r>
        <w:rPr/>
        <w:t>By estimating individual possession outcome probabilities in a single model, this study improves all previous work, which</w:t>
      </w:r>
      <w:r>
        <w:rPr>
          <w:spacing w:val="40"/>
        </w:rPr>
        <w:t> </w:t>
      </w:r>
      <w:r>
        <w:rPr/>
        <w:t>has either aggregated the calculation of all possession outcome probabilities (Chapters </w:t>
      </w:r>
      <w:hyperlink w:history="true" w:anchor="_bookmark48">
        <w:r>
          <w:rPr>
            <w:color w:val="0000FF"/>
          </w:rPr>
          <w:t>3</w:t>
        </w:r>
      </w:hyperlink>
      <w:r>
        <w:rPr/>
        <w:t>and</w:t>
      </w:r>
      <w:r>
        <w:rPr>
          <w:color w:val="0000FF"/>
        </w:rPr>
        <w:t>4</w:t>
      </w:r>
      <w:hyperlink w:history="true" w:anchor="_bookmark92">
        <w:r>
          <w:rPr/>
          <w:t>;</w:t>
        </w:r>
      </w:hyperlink>
      <w:r>
        <w:rPr>
          <w:color w:val="FF0000"/>
        </w:rPr>
        <w:t>Cerv</w:t>
      </w:r>
      <w:hyperlink w:history="true" w:anchor="_bookmark231">
        <w:r>
          <w:rPr>
            <w:color w:val="FF0000"/>
          </w:rPr>
          <w:t>one et al.</w:t>
        </w:r>
        <w:r>
          <w:rPr/>
          <w:t>(</w:t>
        </w:r>
      </w:hyperlink>
      <w:r>
        <w:rPr>
          <w:color w:val="FF0000"/>
        </w:rPr>
        <w:t>2016</w:t>
      </w:r>
      <w:hyperlink w:history="true" w:anchor="_bookmark231">
        <w:r>
          <w:rPr/>
          <w:t>);</w:t>
        </w:r>
      </w:hyperlink>
      <w:r>
        <w:rPr>
          <w:color w:val="FF0000"/>
        </w:rPr>
        <w:t>Chan </w:t>
      </w:r>
      <w:hyperlink w:history="true" w:anchor="_bookmark232">
        <w:r>
          <w:rPr>
            <w:color w:val="FF0000"/>
          </w:rPr>
          <w:t>et al.</w:t>
        </w:r>
        <w:r>
          <w:rPr/>
          <w:t>(</w:t>
        </w:r>
      </w:hyperlink>
      <w:r>
        <w:rPr>
          <w:color w:val="FF0000"/>
        </w:rPr>
        <w:t>2021</w:t>
      </w:r>
      <w:hyperlink w:history="true" w:anchor="_bookmark232">
        <w:r>
          <w:rPr/>
          <w:t>);</w:t>
        </w:r>
        <w:r>
          <w:rPr>
            <w:color w:val="FF0000"/>
          </w:rPr>
          <w:t>K</w:t>
        </w:r>
      </w:hyperlink>
      <w:r>
        <w:rPr>
          <w:color w:val="FF0000"/>
        </w:rPr>
        <w:t>empton </w:t>
      </w:r>
      <w:hyperlink w:history="true" w:anchor="_bookmark263">
        <w:r>
          <w:rPr>
            <w:color w:val="FF0000"/>
          </w:rPr>
          <w:t>et al.</w:t>
        </w:r>
        <w:r>
          <w:rPr/>
          <w:t>(</w:t>
        </w:r>
        <w:r>
          <w:rPr>
            <w:color w:val="FF0000"/>
          </w:rPr>
          <w:t>2016</w:t>
        </w:r>
      </w:hyperlink>
      <w:r>
        <w:rPr/>
        <w:t>)) </w:t>
      </w:r>
      <w:hyperlink w:history="true" w:anchor="_bookmark263">
        <w:r>
          <w:rPr/>
          <w:t>or</w:t>
        </w:r>
      </w:hyperlink>
      <w:r>
        <w:rPr/>
        <w:t> produced separate models for different possession outcomes (</w:t>
      </w:r>
      <w:hyperlink w:history="true" w:anchor="_bookmark239">
        <w:r>
          <w:rPr>
            <w:color w:val="FF0000"/>
          </w:rPr>
          <w:t>Decroos et al.</w:t>
        </w:r>
      </w:hyperlink>
      <w:r>
        <w:rPr/>
        <w:t>,</w:t>
      </w:r>
      <w:hyperlink w:history="true" w:anchor="_bookmark239">
        <w:r>
          <w:rPr>
            <w:color w:val="FF0000"/>
          </w:rPr>
          <w:t>2019</w:t>
        </w:r>
        <w:r>
          <w:rPr/>
          <w:t>).</w:t>
        </w:r>
      </w:hyperlink>
      <w:r>
        <w:rPr>
          <w:spacing w:val="80"/>
        </w:rPr>
        <w:t> </w:t>
      </w:r>
      <w:r>
        <w:rPr/>
        <w:t>It provides</w:t>
      </w:r>
      <w:r>
        <w:rPr>
          <w:spacing w:val="40"/>
        </w:rPr>
        <w:t> </w:t>
      </w:r>
      <w:r>
        <w:rPr/>
        <w:t>significantly</w:t>
      </w:r>
      <w:r>
        <w:rPr>
          <w:spacing w:val="-8"/>
        </w:rPr>
        <w:t> </w:t>
      </w:r>
      <w:r>
        <w:rPr/>
        <w:t>greater</w:t>
      </w:r>
      <w:r>
        <w:rPr>
          <w:spacing w:val="-8"/>
        </w:rPr>
        <w:t> </w:t>
      </w:r>
      <w:r>
        <w:rPr/>
        <w:t>flexibility</w:t>
      </w:r>
      <w:r>
        <w:rPr>
          <w:spacing w:val="-8"/>
        </w:rPr>
        <w:t> </w:t>
      </w:r>
      <w:r>
        <w:rPr/>
        <w:t>to</w:t>
      </w:r>
      <w:r>
        <w:rPr>
          <w:spacing w:val="-8"/>
        </w:rPr>
        <w:t> </w:t>
      </w:r>
      <w:r>
        <w:rPr/>
        <w:t>the</w:t>
      </w:r>
      <w:r>
        <w:rPr>
          <w:spacing w:val="-8"/>
        </w:rPr>
        <w:t> </w:t>
      </w:r>
      <w:r>
        <w:rPr/>
        <w:t>model</w:t>
      </w:r>
      <w:r>
        <w:rPr>
          <w:spacing w:val="-8"/>
        </w:rPr>
        <w:t> </w:t>
      </w:r>
      <w:r>
        <w:rPr/>
        <w:t>as</w:t>
      </w:r>
      <w:r>
        <w:rPr>
          <w:spacing w:val="-8"/>
        </w:rPr>
        <w:t> </w:t>
      </w:r>
      <w:r>
        <w:rPr/>
        <w:t>possession</w:t>
      </w:r>
      <w:r>
        <w:rPr>
          <w:spacing w:val="-8"/>
        </w:rPr>
        <w:t> </w:t>
      </w:r>
      <w:r>
        <w:rPr/>
        <w:t>outcome</w:t>
      </w:r>
      <w:r>
        <w:rPr>
          <w:spacing w:val="-8"/>
        </w:rPr>
        <w:t> </w:t>
      </w:r>
      <w:r>
        <w:rPr/>
        <w:t>probabilities</w:t>
      </w:r>
      <w:r>
        <w:rPr>
          <w:spacing w:val="-8"/>
        </w:rPr>
        <w:t> </w:t>
      </w:r>
      <w:r>
        <w:rPr/>
        <w:t>have</w:t>
      </w:r>
      <w:r>
        <w:rPr>
          <w:spacing w:val="-8"/>
        </w:rPr>
        <w:t> </w:t>
      </w:r>
      <w:r>
        <w:rPr/>
        <w:t>the</w:t>
      </w:r>
    </w:p>
    <w:p>
      <w:pPr>
        <w:spacing w:after="0" w:line="312" w:lineRule="auto"/>
        <w:sectPr>
          <w:headerReference w:type="default" r:id="rId123"/>
          <w:footerReference w:type="default" r:id="rId124"/>
          <w:pgSz w:w="11910" w:h="16840"/>
          <w:pgMar w:header="0" w:footer="1428" w:top="192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potential</w:t>
      </w:r>
      <w:r>
        <w:rPr>
          <w:spacing w:val="-8"/>
        </w:rPr>
        <w:t> </w:t>
      </w:r>
      <w:r>
        <w:rPr/>
        <w:t>to</w:t>
      </w:r>
      <w:r>
        <w:rPr>
          <w:spacing w:val="-8"/>
        </w:rPr>
        <w:t> </w:t>
      </w:r>
      <w:r>
        <w:rPr/>
        <w:t>provide</w:t>
      </w:r>
      <w:r>
        <w:rPr>
          <w:spacing w:val="-8"/>
        </w:rPr>
        <w:t> </w:t>
      </w:r>
      <w:r>
        <w:rPr/>
        <w:t>extensive</w:t>
      </w:r>
      <w:r>
        <w:rPr>
          <w:spacing w:val="-8"/>
        </w:rPr>
        <w:t> </w:t>
      </w:r>
      <w:r>
        <w:rPr/>
        <w:t>tactical</w:t>
      </w:r>
      <w:r>
        <w:rPr>
          <w:spacing w:val="-8"/>
        </w:rPr>
        <w:t> </w:t>
      </w:r>
      <w:r>
        <w:rPr/>
        <w:t>insight</w:t>
      </w:r>
      <w:r>
        <w:rPr>
          <w:spacing w:val="-8"/>
        </w:rPr>
        <w:t> </w:t>
      </w:r>
      <w:r>
        <w:rPr/>
        <w:t>into</w:t>
      </w:r>
      <w:r>
        <w:rPr>
          <w:spacing w:val="-8"/>
        </w:rPr>
        <w:t> </w:t>
      </w:r>
      <w:r>
        <w:rPr/>
        <w:t>player</w:t>
      </w:r>
      <w:r>
        <w:rPr>
          <w:spacing w:val="-8"/>
        </w:rPr>
        <w:t> </w:t>
      </w:r>
      <w:r>
        <w:rPr/>
        <w:t>and</w:t>
      </w:r>
      <w:r>
        <w:rPr>
          <w:spacing w:val="-8"/>
        </w:rPr>
        <w:t> </w:t>
      </w:r>
      <w:r>
        <w:rPr/>
        <w:t>team</w:t>
      </w:r>
      <w:r>
        <w:rPr>
          <w:spacing w:val="-8"/>
        </w:rPr>
        <w:t> </w:t>
      </w:r>
      <w:r>
        <w:rPr/>
        <w:t>performances</w:t>
      </w:r>
      <w:r>
        <w:rPr>
          <w:spacing w:val="-8"/>
        </w:rPr>
        <w:t> </w:t>
      </w:r>
      <w:r>
        <w:rPr/>
        <w:t>(e.g. </w:t>
      </w:r>
      <w:r>
        <w:rPr/>
        <w:t>are there areas on the pitch where a team is more likely to score a converted try or a penalty goal?). Novel</w:t>
      </w:r>
      <w:r>
        <w:rPr>
          <w:spacing w:val="-9"/>
        </w:rPr>
        <w:t> </w:t>
      </w:r>
      <w:r>
        <w:rPr/>
        <w:t>performance</w:t>
      </w:r>
      <w:r>
        <w:rPr>
          <w:spacing w:val="-9"/>
        </w:rPr>
        <w:t> </w:t>
      </w:r>
      <w:r>
        <w:rPr/>
        <w:t>metrics</w:t>
      </w:r>
      <w:r>
        <w:rPr>
          <w:spacing w:val="-10"/>
        </w:rPr>
        <w:t> </w:t>
      </w:r>
      <w:r>
        <w:rPr/>
        <w:t>are</w:t>
      </w:r>
      <w:r>
        <w:rPr>
          <w:spacing w:val="-9"/>
        </w:rPr>
        <w:t> </w:t>
      </w:r>
      <w:r>
        <w:rPr/>
        <w:t>proposed,</w:t>
      </w:r>
      <w:r>
        <w:rPr>
          <w:spacing w:val="-9"/>
        </w:rPr>
        <w:t> </w:t>
      </w:r>
      <w:r>
        <w:rPr/>
        <w:t>combining</w:t>
      </w:r>
      <w:r>
        <w:rPr>
          <w:spacing w:val="-9"/>
        </w:rPr>
        <w:t> </w:t>
      </w:r>
      <w:r>
        <w:rPr/>
        <w:t>the</w:t>
      </w:r>
      <w:r>
        <w:rPr>
          <w:spacing w:val="-9"/>
        </w:rPr>
        <w:t> </w:t>
      </w:r>
      <w:r>
        <w:rPr/>
        <w:t>results</w:t>
      </w:r>
      <w:r>
        <w:rPr>
          <w:spacing w:val="-9"/>
        </w:rPr>
        <w:t> </w:t>
      </w:r>
      <w:r>
        <w:rPr/>
        <w:t>of</w:t>
      </w:r>
      <w:r>
        <w:rPr>
          <w:spacing w:val="-10"/>
        </w:rPr>
        <w:t> </w:t>
      </w:r>
      <w:r>
        <w:rPr/>
        <w:t>this</w:t>
      </w:r>
      <w:r>
        <w:rPr>
          <w:spacing w:val="-9"/>
        </w:rPr>
        <w:t> </w:t>
      </w:r>
      <w:r>
        <w:rPr/>
        <w:t>study</w:t>
      </w:r>
      <w:r>
        <w:rPr>
          <w:spacing w:val="-9"/>
        </w:rPr>
        <w:t> </w:t>
      </w:r>
      <w:r>
        <w:rPr/>
        <w:t>with the KDE model from Chapter</w:t>
      </w:r>
      <w:r>
        <w:rPr>
          <w:color w:val="0000FF"/>
        </w:rPr>
        <w:t>5</w:t>
      </w:r>
      <w:hyperlink w:history="true" w:anchor="_bookmark122">
        <w:r>
          <w:rPr/>
          <w:t>,</w:t>
        </w:r>
      </w:hyperlink>
      <w:r>
        <w:rPr/>
        <w:t> allowing team and player performances to be evaluated in</w:t>
      </w:r>
      <w:r>
        <w:rPr>
          <w:spacing w:val="-4"/>
        </w:rPr>
        <w:t> </w:t>
      </w:r>
      <w:r>
        <w:rPr/>
        <w:t>an</w:t>
      </w:r>
      <w:r>
        <w:rPr>
          <w:spacing w:val="-4"/>
        </w:rPr>
        <w:t> </w:t>
      </w:r>
      <w:r>
        <w:rPr/>
        <w:t>objective,</w:t>
      </w:r>
      <w:r>
        <w:rPr>
          <w:spacing w:val="-3"/>
        </w:rPr>
        <w:t> </w:t>
      </w:r>
      <w:r>
        <w:rPr/>
        <w:t>data</w:t>
      </w:r>
      <w:r>
        <w:rPr>
          <w:spacing w:val="-4"/>
        </w:rPr>
        <w:t> </w:t>
      </w:r>
      <w:r>
        <w:rPr/>
        <w:t>driven</w:t>
      </w:r>
      <w:r>
        <w:rPr>
          <w:spacing w:val="-4"/>
        </w:rPr>
        <w:t> </w:t>
      </w:r>
      <w:r>
        <w:rPr/>
        <w:t>manner. The</w:t>
      </w:r>
      <w:r>
        <w:rPr>
          <w:spacing w:val="-4"/>
        </w:rPr>
        <w:t> </w:t>
      </w:r>
      <w:r>
        <w:rPr/>
        <w:t>results</w:t>
      </w:r>
      <w:r>
        <w:rPr>
          <w:spacing w:val="-4"/>
        </w:rPr>
        <w:t> </w:t>
      </w:r>
      <w:r>
        <w:rPr/>
        <w:t>have</w:t>
      </w:r>
      <w:r>
        <w:rPr>
          <w:spacing w:val="-4"/>
        </w:rPr>
        <w:t> </w:t>
      </w:r>
      <w:r>
        <w:rPr/>
        <w:t>been</w:t>
      </w:r>
      <w:r>
        <w:rPr>
          <w:spacing w:val="-4"/>
        </w:rPr>
        <w:t> </w:t>
      </w:r>
      <w:r>
        <w:rPr/>
        <w:t>presented</w:t>
      </w:r>
      <w:r>
        <w:rPr>
          <w:spacing w:val="-4"/>
        </w:rPr>
        <w:t> </w:t>
      </w:r>
      <w:r>
        <w:rPr/>
        <w:t>to</w:t>
      </w:r>
      <w:r>
        <w:rPr>
          <w:spacing w:val="-4"/>
        </w:rPr>
        <w:t> </w:t>
      </w:r>
      <w:r>
        <w:rPr/>
        <w:t>coaches</w:t>
      </w:r>
      <w:r>
        <w:rPr>
          <w:spacing w:val="-4"/>
        </w:rPr>
        <w:t> </w:t>
      </w:r>
      <w:r>
        <w:rPr/>
        <w:t>at</w:t>
      </w:r>
      <w:r>
        <w:rPr>
          <w:spacing w:val="-4"/>
        </w:rPr>
        <w:t> </w:t>
      </w:r>
      <w:r>
        <w:rPr/>
        <w:t>Leeds Rhinos</w:t>
      </w:r>
      <w:r>
        <w:rPr>
          <w:spacing w:val="-7"/>
        </w:rPr>
        <w:t> </w:t>
      </w:r>
      <w:r>
        <w:rPr/>
        <w:t>(Appendix</w:t>
      </w:r>
      <w:r>
        <w:rPr>
          <w:color w:val="0000FF"/>
        </w:rPr>
        <w:t>D</w:t>
      </w:r>
      <w:r>
        <w:rPr/>
        <w:t>provides</w:t>
      </w:r>
      <w:r>
        <w:rPr>
          <w:spacing w:val="-7"/>
        </w:rPr>
        <w:t> </w:t>
      </w:r>
      <w:r>
        <w:rPr/>
        <w:t>an</w:t>
      </w:r>
      <w:r>
        <w:rPr>
          <w:spacing w:val="-7"/>
        </w:rPr>
        <w:t> </w:t>
      </w:r>
      <w:r>
        <w:rPr/>
        <w:t>impact</w:t>
      </w:r>
      <w:r>
        <w:rPr>
          <w:spacing w:val="-7"/>
        </w:rPr>
        <w:t> </w:t>
      </w:r>
      <w:r>
        <w:rPr/>
        <w:t>statement),</w:t>
      </w:r>
      <w:r>
        <w:rPr>
          <w:spacing w:val="-6"/>
        </w:rPr>
        <w:t> </w:t>
      </w:r>
      <w:r>
        <w:rPr/>
        <w:t>who</w:t>
      </w:r>
      <w:r>
        <w:rPr>
          <w:spacing w:val="-7"/>
        </w:rPr>
        <w:t> </w:t>
      </w:r>
      <w:r>
        <w:rPr/>
        <w:t>provided</w:t>
      </w:r>
      <w:r>
        <w:rPr>
          <w:spacing w:val="-7"/>
        </w:rPr>
        <w:t> </w:t>
      </w:r>
      <w:r>
        <w:rPr/>
        <w:t>support</w:t>
      </w:r>
      <w:r>
        <w:rPr>
          <w:spacing w:val="-7"/>
        </w:rPr>
        <w:t> </w:t>
      </w:r>
      <w:r>
        <w:rPr/>
        <w:t>for</w:t>
      </w:r>
      <w:r>
        <w:rPr>
          <w:spacing w:val="-7"/>
        </w:rPr>
        <w:t> </w:t>
      </w:r>
      <w:r>
        <w:rPr/>
        <w:t>its</w:t>
      </w:r>
      <w:r>
        <w:rPr>
          <w:spacing w:val="-7"/>
        </w:rPr>
        <w:t> </w:t>
      </w:r>
      <w:r>
        <w:rPr/>
        <w:t>validity.</w:t>
      </w:r>
    </w:p>
    <w:p>
      <w:pPr>
        <w:pStyle w:val="BodyText"/>
        <w:spacing w:before="7"/>
        <w:rPr>
          <w:sz w:val="40"/>
        </w:rPr>
      </w:pPr>
    </w:p>
    <w:p>
      <w:pPr>
        <w:pStyle w:val="Heading2"/>
        <w:numPr>
          <w:ilvl w:val="1"/>
          <w:numId w:val="24"/>
        </w:numPr>
        <w:tabs>
          <w:tab w:pos="1385" w:val="left" w:leader="none"/>
          <w:tab w:pos="1386" w:val="left" w:leader="none"/>
        </w:tabs>
        <w:spacing w:line="240" w:lineRule="auto" w:before="1" w:after="0"/>
        <w:ind w:left="1385" w:right="0" w:hanging="776"/>
        <w:jc w:val="left"/>
      </w:pPr>
      <w:bookmarkStart w:name="_TOC_250013" w:id="296"/>
      <w:bookmarkStart w:name="6.2 Methodology" w:id="297"/>
      <w:r>
        <w:rPr>
          <w:b w:val="0"/>
        </w:rPr>
      </w:r>
      <w:bookmarkStart w:name="_bookmark172" w:id="298"/>
      <w:bookmarkEnd w:id="296"/>
      <w:r>
        <w:rPr>
          <w:spacing w:val="-2"/>
        </w:rPr>
        <w:t>Methodology</w:t>
      </w:r>
    </w:p>
    <w:p>
      <w:pPr>
        <w:pStyle w:val="BodyText"/>
        <w:spacing w:line="312" w:lineRule="auto" w:before="308"/>
        <w:ind w:left="610" w:right="389"/>
        <w:jc w:val="both"/>
      </w:pPr>
      <w:r>
        <w:rPr/>
        <w:t>In</w:t>
      </w:r>
      <w:r>
        <w:rPr>
          <w:spacing w:val="-1"/>
        </w:rPr>
        <w:t> </w:t>
      </w:r>
      <w:r>
        <w:rPr/>
        <w:t>this</w:t>
      </w:r>
      <w:r>
        <w:rPr>
          <w:spacing w:val="-1"/>
        </w:rPr>
        <w:t> </w:t>
      </w:r>
      <w:r>
        <w:rPr/>
        <w:t>section, the</w:t>
      </w:r>
      <w:r>
        <w:rPr>
          <w:spacing w:val="-1"/>
        </w:rPr>
        <w:t> </w:t>
      </w:r>
      <w:r>
        <w:rPr/>
        <w:t>methodology</w:t>
      </w:r>
      <w:r>
        <w:rPr>
          <w:spacing w:val="-1"/>
        </w:rPr>
        <w:t> </w:t>
      </w:r>
      <w:r>
        <w:rPr/>
        <w:t>for</w:t>
      </w:r>
      <w:r>
        <w:rPr>
          <w:spacing w:val="-1"/>
        </w:rPr>
        <w:t> </w:t>
      </w:r>
      <w:r>
        <w:rPr/>
        <w:t>the</w:t>
      </w:r>
      <w:r>
        <w:rPr>
          <w:spacing w:val="-1"/>
        </w:rPr>
        <w:t> </w:t>
      </w:r>
      <w:r>
        <w:rPr/>
        <w:t>study</w:t>
      </w:r>
      <w:r>
        <w:rPr>
          <w:spacing w:val="-1"/>
        </w:rPr>
        <w:t> </w:t>
      </w:r>
      <w:r>
        <w:rPr/>
        <w:t>is</w:t>
      </w:r>
      <w:r>
        <w:rPr>
          <w:spacing w:val="-1"/>
        </w:rPr>
        <w:t> </w:t>
      </w:r>
      <w:r>
        <w:rPr/>
        <w:t>described. It</w:t>
      </w:r>
      <w:r>
        <w:rPr>
          <w:spacing w:val="-1"/>
        </w:rPr>
        <w:t> </w:t>
      </w:r>
      <w:r>
        <w:rPr/>
        <w:t>describes</w:t>
      </w:r>
      <w:r>
        <w:rPr>
          <w:spacing w:val="-1"/>
        </w:rPr>
        <w:t> </w:t>
      </w:r>
      <w:r>
        <w:rPr/>
        <w:t>the</w:t>
      </w:r>
      <w:r>
        <w:rPr>
          <w:spacing w:val="-1"/>
        </w:rPr>
        <w:t> </w:t>
      </w:r>
      <w:r>
        <w:rPr/>
        <w:t>data</w:t>
      </w:r>
      <w:r>
        <w:rPr>
          <w:spacing w:val="-1"/>
        </w:rPr>
        <w:t> </w:t>
      </w:r>
      <w:r>
        <w:rPr/>
        <w:t>and</w:t>
      </w:r>
      <w:r>
        <w:rPr>
          <w:spacing w:val="-1"/>
        </w:rPr>
        <w:t> </w:t>
      </w:r>
      <w:r>
        <w:rPr/>
        <w:t>data preprocessing</w:t>
      </w:r>
      <w:r>
        <w:rPr>
          <w:spacing w:val="-1"/>
        </w:rPr>
        <w:t> </w:t>
      </w:r>
      <w:r>
        <w:rPr/>
        <w:t>steps</w:t>
      </w:r>
      <w:r>
        <w:rPr>
          <w:spacing w:val="-1"/>
        </w:rPr>
        <w:t> </w:t>
      </w:r>
      <w:r>
        <w:rPr/>
        <w:t>used</w:t>
      </w:r>
      <w:r>
        <w:rPr>
          <w:spacing w:val="-1"/>
        </w:rPr>
        <w:t> </w:t>
      </w:r>
      <w:r>
        <w:rPr/>
        <w:t>in</w:t>
      </w:r>
      <w:r>
        <w:rPr>
          <w:spacing w:val="-1"/>
        </w:rPr>
        <w:t> </w:t>
      </w:r>
      <w:r>
        <w:rPr/>
        <w:t>this</w:t>
      </w:r>
      <w:r>
        <w:rPr>
          <w:spacing w:val="-1"/>
        </w:rPr>
        <w:t> </w:t>
      </w:r>
      <w:r>
        <w:rPr/>
        <w:t>study.</w:t>
      </w:r>
      <w:r>
        <w:rPr>
          <w:spacing w:val="21"/>
        </w:rPr>
        <w:t> </w:t>
      </w:r>
      <w:r>
        <w:rPr/>
        <w:t>The</w:t>
      </w:r>
      <w:r>
        <w:rPr>
          <w:spacing w:val="-1"/>
        </w:rPr>
        <w:t> </w:t>
      </w:r>
      <w:r>
        <w:rPr/>
        <w:t>novel</w:t>
      </w:r>
      <w:r>
        <w:rPr>
          <w:spacing w:val="-1"/>
        </w:rPr>
        <w:t> </w:t>
      </w:r>
      <w:r>
        <w:rPr/>
        <w:t>EPV</w:t>
      </w:r>
      <w:r>
        <w:rPr>
          <w:spacing w:val="-1"/>
        </w:rPr>
        <w:t> </w:t>
      </w:r>
      <w:r>
        <w:rPr/>
        <w:t>model, which</w:t>
      </w:r>
      <w:r>
        <w:rPr>
          <w:spacing w:val="-1"/>
        </w:rPr>
        <w:t> </w:t>
      </w:r>
      <w:r>
        <w:rPr/>
        <w:t>estimates</w:t>
      </w:r>
      <w:r>
        <w:rPr>
          <w:spacing w:val="-1"/>
        </w:rPr>
        <w:t> </w:t>
      </w:r>
      <w:r>
        <w:rPr/>
        <w:t>the</w:t>
      </w:r>
      <w:r>
        <w:rPr>
          <w:spacing w:val="-1"/>
        </w:rPr>
        <w:t> </w:t>
      </w:r>
      <w:r>
        <w:rPr/>
        <w:t>prob- ability of individual possession outcomes using a Bayesian Mixture Model approach, is outlined.</w:t>
      </w:r>
      <w:r>
        <w:rPr>
          <w:spacing w:val="40"/>
        </w:rPr>
        <w:t> </w:t>
      </w:r>
      <w:r>
        <w:rPr/>
        <w:t>Novel expected points scored and actual vs expected ratings metrics are pro- posed to evaluate team and player performances.</w:t>
      </w:r>
    </w:p>
    <w:p>
      <w:pPr>
        <w:pStyle w:val="BodyText"/>
        <w:spacing w:before="7"/>
        <w:rPr>
          <w:sz w:val="34"/>
        </w:rPr>
      </w:pPr>
    </w:p>
    <w:p>
      <w:pPr>
        <w:pStyle w:val="Heading3"/>
        <w:numPr>
          <w:ilvl w:val="2"/>
          <w:numId w:val="24"/>
        </w:numPr>
        <w:tabs>
          <w:tab w:pos="1471" w:val="left" w:leader="none"/>
          <w:tab w:pos="1472" w:val="left" w:leader="none"/>
        </w:tabs>
        <w:spacing w:line="240" w:lineRule="auto" w:before="0" w:after="0"/>
        <w:ind w:left="1471" w:right="0" w:hanging="862"/>
        <w:jc w:val="left"/>
      </w:pPr>
      <w:bookmarkStart w:name="_TOC_250012" w:id="299"/>
      <w:bookmarkStart w:name="6.2.1 Data" w:id="300"/>
      <w:r>
        <w:rPr>
          <w:b w:val="0"/>
        </w:rPr>
      </w:r>
      <w:bookmarkStart w:name="_bookmark173" w:id="301"/>
      <w:bookmarkEnd w:id="299"/>
      <w:r>
        <w:rPr>
          <w:spacing w:val="-4"/>
        </w:rPr>
        <w:t>Data</w:t>
      </w:r>
    </w:p>
    <w:p>
      <w:pPr>
        <w:pStyle w:val="BodyText"/>
        <w:spacing w:line="312" w:lineRule="auto" w:before="235"/>
        <w:ind w:left="610" w:right="389"/>
        <w:jc w:val="both"/>
      </w:pPr>
      <w:r>
        <w:rPr/>
        <w:t>In this study, event level match-play data were obtained from Opta (Stats Perform, </w:t>
      </w:r>
      <w:r>
        <w:rPr/>
        <w:t>Lon- don, UK) for the 2021 Super League season.</w:t>
      </w:r>
      <w:r>
        <w:rPr>
          <w:spacing w:val="40"/>
        </w:rPr>
        <w:t> </w:t>
      </w:r>
      <w:r>
        <w:rPr/>
        <w:t>The data was produced via human anno- tation</w:t>
      </w:r>
      <w:r>
        <w:rPr>
          <w:spacing w:val="-1"/>
        </w:rPr>
        <w:t> </w:t>
      </w:r>
      <w:r>
        <w:rPr/>
        <w:t>of</w:t>
      </w:r>
      <w:r>
        <w:rPr>
          <w:spacing w:val="-1"/>
        </w:rPr>
        <w:t> </w:t>
      </w:r>
      <w:r>
        <w:rPr/>
        <w:t>the</w:t>
      </w:r>
      <w:r>
        <w:rPr>
          <w:spacing w:val="-1"/>
        </w:rPr>
        <w:t> </w:t>
      </w:r>
      <w:r>
        <w:rPr/>
        <w:t>actions</w:t>
      </w:r>
      <w:r>
        <w:rPr>
          <w:spacing w:val="-1"/>
        </w:rPr>
        <w:t> </w:t>
      </w:r>
      <w:r>
        <w:rPr/>
        <w:t>taking</w:t>
      </w:r>
      <w:r>
        <w:rPr>
          <w:spacing w:val="-1"/>
        </w:rPr>
        <w:t> </w:t>
      </w:r>
      <w:r>
        <w:rPr/>
        <w:t>place</w:t>
      </w:r>
      <w:r>
        <w:rPr>
          <w:spacing w:val="-1"/>
        </w:rPr>
        <w:t> </w:t>
      </w:r>
      <w:r>
        <w:rPr/>
        <w:t>and</w:t>
      </w:r>
      <w:r>
        <w:rPr>
          <w:spacing w:val="-1"/>
        </w:rPr>
        <w:t> </w:t>
      </w:r>
      <w:r>
        <w:rPr/>
        <w:t>was</w:t>
      </w:r>
      <w:r>
        <w:rPr>
          <w:spacing w:val="-1"/>
        </w:rPr>
        <w:t> </w:t>
      </w:r>
      <w:r>
        <w:rPr/>
        <w:t>downloaded</w:t>
      </w:r>
      <w:r>
        <w:rPr>
          <w:spacing w:val="-1"/>
        </w:rPr>
        <w:t> </w:t>
      </w:r>
      <w:r>
        <w:rPr/>
        <w:t>from</w:t>
      </w:r>
      <w:r>
        <w:rPr>
          <w:spacing w:val="-1"/>
        </w:rPr>
        <w:t> </w:t>
      </w:r>
      <w:hyperlink r:id="rId86">
        <w:r>
          <w:rPr/>
          <w:t>www.optaprorugby.com.</w:t>
        </w:r>
      </w:hyperlink>
      <w:r>
        <w:rPr>
          <w:spacing w:val="26"/>
        </w:rPr>
        <w:t> </w:t>
      </w:r>
      <w:r>
        <w:rPr/>
        <w:t>In the</w:t>
      </w:r>
      <w:r>
        <w:rPr>
          <w:spacing w:val="-10"/>
        </w:rPr>
        <w:t> </w:t>
      </w:r>
      <w:r>
        <w:rPr/>
        <w:t>2021</w:t>
      </w:r>
      <w:r>
        <w:rPr>
          <w:spacing w:val="-10"/>
        </w:rPr>
        <w:t> </w:t>
      </w:r>
      <w:r>
        <w:rPr/>
        <w:t>Super</w:t>
      </w:r>
      <w:r>
        <w:rPr>
          <w:spacing w:val="-10"/>
        </w:rPr>
        <w:t> </w:t>
      </w:r>
      <w:r>
        <w:rPr/>
        <w:t>League</w:t>
      </w:r>
      <w:r>
        <w:rPr>
          <w:spacing w:val="-10"/>
        </w:rPr>
        <w:t> </w:t>
      </w:r>
      <w:r>
        <w:rPr/>
        <w:t>season,</w:t>
      </w:r>
      <w:r>
        <w:rPr>
          <w:spacing w:val="-9"/>
        </w:rPr>
        <w:t> </w:t>
      </w:r>
      <w:r>
        <w:rPr/>
        <w:t>138</w:t>
      </w:r>
      <w:r>
        <w:rPr>
          <w:spacing w:val="-10"/>
        </w:rPr>
        <w:t> </w:t>
      </w:r>
      <w:r>
        <w:rPr/>
        <w:t>matches</w:t>
      </w:r>
      <w:r>
        <w:rPr>
          <w:spacing w:val="-10"/>
        </w:rPr>
        <w:t> </w:t>
      </w:r>
      <w:r>
        <w:rPr/>
        <w:t>were</w:t>
      </w:r>
      <w:r>
        <w:rPr>
          <w:spacing w:val="-10"/>
        </w:rPr>
        <w:t> </w:t>
      </w:r>
      <w:r>
        <w:rPr/>
        <w:t>contested</w:t>
      </w:r>
      <w:r>
        <w:rPr>
          <w:spacing w:val="-10"/>
        </w:rPr>
        <w:t> </w:t>
      </w:r>
      <w:r>
        <w:rPr/>
        <w:t>by</w:t>
      </w:r>
      <w:r>
        <w:rPr>
          <w:spacing w:val="-10"/>
        </w:rPr>
        <w:t> </w:t>
      </w:r>
      <w:r>
        <w:rPr/>
        <w:t>12</w:t>
      </w:r>
      <w:r>
        <w:rPr>
          <w:spacing w:val="-10"/>
        </w:rPr>
        <w:t> </w:t>
      </w:r>
      <w:r>
        <w:rPr/>
        <w:t>teams</w:t>
      </w:r>
      <w:r>
        <w:rPr>
          <w:spacing w:val="-10"/>
        </w:rPr>
        <w:t> </w:t>
      </w:r>
      <w:r>
        <w:rPr/>
        <w:t>and</w:t>
      </w:r>
      <w:r>
        <w:rPr>
          <w:spacing w:val="-10"/>
        </w:rPr>
        <w:t> </w:t>
      </w:r>
      <w:r>
        <w:rPr/>
        <w:t>373</w:t>
      </w:r>
      <w:r>
        <w:rPr>
          <w:spacing w:val="-10"/>
        </w:rPr>
        <w:t> </w:t>
      </w:r>
      <w:r>
        <w:rPr/>
        <w:t>players. A total of 557,050 match events were completed (median 4003 events per match, in- terquartile range 3857-4200).</w:t>
      </w:r>
      <w:r>
        <w:rPr>
          <w:spacing w:val="27"/>
        </w:rPr>
        <w:t> </w:t>
      </w:r>
      <w:r>
        <w:rPr/>
        <w:t>Across the season, 1001 tries were scored (768 successful conversion</w:t>
      </w:r>
      <w:r>
        <w:rPr>
          <w:spacing w:val="-3"/>
        </w:rPr>
        <w:t> </w:t>
      </w:r>
      <w:r>
        <w:rPr/>
        <w:t>kicks,</w:t>
      </w:r>
      <w:r>
        <w:rPr>
          <w:spacing w:val="-1"/>
        </w:rPr>
        <w:t> </w:t>
      </w:r>
      <w:r>
        <w:rPr/>
        <w:t>233</w:t>
      </w:r>
      <w:r>
        <w:rPr>
          <w:spacing w:val="-3"/>
        </w:rPr>
        <w:t> </w:t>
      </w:r>
      <w:r>
        <w:rPr/>
        <w:t>unsuccessful</w:t>
      </w:r>
      <w:r>
        <w:rPr>
          <w:spacing w:val="-3"/>
        </w:rPr>
        <w:t> </w:t>
      </w:r>
      <w:r>
        <w:rPr/>
        <w:t>conversion</w:t>
      </w:r>
      <w:r>
        <w:rPr>
          <w:spacing w:val="-3"/>
        </w:rPr>
        <w:t> </w:t>
      </w:r>
      <w:r>
        <w:rPr/>
        <w:t>kicks),</w:t>
      </w:r>
      <w:r>
        <w:rPr>
          <w:spacing w:val="-1"/>
        </w:rPr>
        <w:t> </w:t>
      </w:r>
      <w:r>
        <w:rPr/>
        <w:t>175</w:t>
      </w:r>
      <w:r>
        <w:rPr>
          <w:spacing w:val="-3"/>
        </w:rPr>
        <w:t> </w:t>
      </w:r>
      <w:r>
        <w:rPr/>
        <w:t>penalty</w:t>
      </w:r>
      <w:r>
        <w:rPr>
          <w:spacing w:val="-3"/>
        </w:rPr>
        <w:t> </w:t>
      </w:r>
      <w:r>
        <w:rPr/>
        <w:t>goals</w:t>
      </w:r>
      <w:r>
        <w:rPr>
          <w:spacing w:val="-3"/>
        </w:rPr>
        <w:t> </w:t>
      </w:r>
      <w:r>
        <w:rPr/>
        <w:t>were</w:t>
      </w:r>
      <w:r>
        <w:rPr>
          <w:spacing w:val="-3"/>
        </w:rPr>
        <w:t> </w:t>
      </w:r>
      <w:r>
        <w:rPr/>
        <w:t>attempted (158 successful, 17 unsuccessful) and 83 drop goals were attempted (37 successful, 46 </w:t>
      </w:r>
      <w:r>
        <w:rPr>
          <w:spacing w:val="-2"/>
        </w:rPr>
        <w:t>unsuccessful).</w:t>
      </w:r>
    </w:p>
    <w:p>
      <w:pPr>
        <w:pStyle w:val="BodyText"/>
        <w:spacing w:line="312" w:lineRule="auto"/>
        <w:ind w:left="610" w:right="232" w:firstLine="351"/>
      </w:pPr>
      <w:r>
        <w:rPr/>
        <w:pict>
          <v:line style="position:absolute;mso-position-horizontal-relative:page;mso-position-vertical-relative:paragraph;z-index:-21740544" from="469.178009pt,28.931124pt" to="472.765009pt,28.931124pt" stroked="true" strokeweight=".398pt" strokecolor="#000000">
            <v:stroke dashstyle="solid"/>
            <w10:wrap type="none"/>
          </v:line>
        </w:pict>
      </w:r>
      <w:r>
        <w:rPr/>
        <w:pict>
          <v:line style="position:absolute;mso-position-horizontal-relative:page;mso-position-vertical-relative:paragraph;z-index:-21740032" from="121.214996pt,46.858124pt" to="124.801996pt,46.858124pt" stroked="true" strokeweight=".398pt" strokecolor="#000000">
            <v:stroke dashstyle="solid"/>
            <w10:wrap type="none"/>
          </v:line>
        </w:pict>
      </w:r>
      <w:r>
        <w:rPr/>
        <w:pict>
          <v:line style="position:absolute;mso-position-horizontal-relative:page;mso-position-vertical-relative:paragraph;z-index:-21739520" from="165.367996pt,46.858124pt" to="168.954996pt,46.858124pt" stroked="true" strokeweight=".398pt" strokecolor="#000000">
            <v:stroke dashstyle="solid"/>
            <w10:wrap type="none"/>
          </v:line>
        </w:pict>
      </w:r>
      <w:r>
        <w:rPr/>
        <w:t>Chapter</w:t>
      </w:r>
      <w:r>
        <w:rPr>
          <w:color w:val="0000FF"/>
        </w:rPr>
        <w:t>3</w:t>
      </w:r>
      <w:r>
        <w:rPr/>
        <w:t>introduces the data provided by Opta.</w:t>
      </w:r>
      <w:r>
        <w:rPr>
          <w:spacing w:val="40"/>
        </w:rPr>
        <w:t> </w:t>
      </w:r>
      <w:r>
        <w:rPr/>
        <w:t>Like all previous chapters, 13 vari- ables</w:t>
      </w:r>
      <w:r>
        <w:rPr>
          <w:spacing w:val="-15"/>
        </w:rPr>
        <w:t> </w:t>
      </w:r>
      <w:r>
        <w:rPr/>
        <w:t>were</w:t>
      </w:r>
      <w:r>
        <w:rPr>
          <w:spacing w:val="-15"/>
        </w:rPr>
        <w:t> </w:t>
      </w:r>
      <w:r>
        <w:rPr/>
        <w:t>considered</w:t>
      </w:r>
      <w:r>
        <w:rPr>
          <w:spacing w:val="-15"/>
        </w:rPr>
        <w:t> </w:t>
      </w:r>
      <w:r>
        <w:rPr/>
        <w:t>for</w:t>
      </w:r>
      <w:r>
        <w:rPr>
          <w:spacing w:val="-15"/>
        </w:rPr>
        <w:t> </w:t>
      </w:r>
      <w:r>
        <w:rPr/>
        <w:t>this</w:t>
      </w:r>
      <w:r>
        <w:rPr>
          <w:spacing w:val="-15"/>
        </w:rPr>
        <w:t> </w:t>
      </w:r>
      <w:r>
        <w:rPr/>
        <w:t>analysis.</w:t>
      </w:r>
      <w:r>
        <w:rPr>
          <w:spacing w:val="-15"/>
        </w:rPr>
        <w:t> </w:t>
      </w:r>
      <w:r>
        <w:rPr/>
        <w:t>These</w:t>
      </w:r>
      <w:r>
        <w:rPr>
          <w:spacing w:val="-15"/>
        </w:rPr>
        <w:t> </w:t>
      </w:r>
      <w:r>
        <w:rPr/>
        <w:t>were:</w:t>
      </w:r>
      <w:r>
        <w:rPr>
          <w:spacing w:val="-15"/>
        </w:rPr>
        <w:t> </w:t>
      </w:r>
      <w:r>
        <w:rPr/>
        <w:t>ID,</w:t>
      </w:r>
      <w:r>
        <w:rPr>
          <w:spacing w:val="-15"/>
        </w:rPr>
        <w:t> </w:t>
      </w:r>
      <w:r>
        <w:rPr/>
        <w:t>FXID,</w:t>
      </w:r>
      <w:r>
        <w:rPr>
          <w:spacing w:val="-15"/>
        </w:rPr>
        <w:t> </w:t>
      </w:r>
      <w:r>
        <w:rPr/>
        <w:t>PLID,</w:t>
      </w:r>
      <w:r>
        <w:rPr>
          <w:spacing w:val="-15"/>
        </w:rPr>
        <w:t> </w:t>
      </w:r>
      <w:r>
        <w:rPr/>
        <w:t>team</w:t>
      </w:r>
      <w:r>
        <w:rPr>
          <w:spacing w:val="8"/>
        </w:rPr>
        <w:t> </w:t>
      </w:r>
      <w:r>
        <w:rPr/>
        <w:t>id,</w:t>
      </w:r>
      <w:r>
        <w:rPr>
          <w:spacing w:val="-15"/>
        </w:rPr>
        <w:t> </w:t>
      </w:r>
      <w:r>
        <w:rPr/>
        <w:t>MatchTime, x coord, y coord, action, ActionType, Actionresult, Metres, PlayNum and SetNum.</w:t>
      </w:r>
      <w:r>
        <w:rPr>
          <w:spacing w:val="40"/>
        </w:rPr>
        <w:t> </w:t>
      </w:r>
      <w:r>
        <w:rPr/>
        <w:t>Ta- ble</w:t>
      </w:r>
      <w:hyperlink w:history="true" w:anchor="_bookmark53">
        <w:r>
          <w:rPr>
            <w:color w:val="0000FF"/>
          </w:rPr>
          <w:t>3.2</w:t>
        </w:r>
      </w:hyperlink>
      <w:r>
        <w:rPr/>
        <w:t>defines these variables.</w:t>
      </w:r>
      <w:r>
        <w:rPr>
          <w:spacing w:val="23"/>
        </w:rPr>
        <w:t> </w:t>
      </w:r>
      <w:r>
        <w:rPr/>
        <w:t>The dataset is identical to that used in Chapter</w:t>
      </w:r>
      <w:r>
        <w:rPr>
          <w:color w:val="0000FF"/>
        </w:rPr>
        <w:t>5</w:t>
      </w:r>
      <w:r>
        <w:rPr/>
        <w:t>, so action by action location data were available.</w:t>
      </w:r>
      <w:r>
        <w:rPr>
          <w:spacing w:val="37"/>
        </w:rPr>
        <w:t> </w:t>
      </w:r>
      <w:r>
        <w:rPr/>
        <w:t>Section</w:t>
      </w:r>
      <w:hyperlink w:history="true" w:anchor="_bookmark125">
        <w:r>
          <w:rPr>
            <w:color w:val="0000FF"/>
          </w:rPr>
          <w:t>5.2.1</w:t>
        </w:r>
      </w:hyperlink>
      <w:r>
        <w:rPr/>
        <w:t>provides an overview of the actions</w:t>
      </w:r>
    </w:p>
    <w:p>
      <w:pPr>
        <w:pStyle w:val="BodyText"/>
        <w:spacing w:line="275" w:lineRule="exact"/>
        <w:ind w:left="610"/>
      </w:pPr>
      <w:r>
        <w:rPr/>
        <w:t>in</w:t>
      </w:r>
      <w:r>
        <w:rPr>
          <w:spacing w:val="-7"/>
        </w:rPr>
        <w:t> </w:t>
      </w:r>
      <w:r>
        <w:rPr/>
        <w:t>the</w:t>
      </w:r>
      <w:r>
        <w:rPr>
          <w:spacing w:val="-6"/>
        </w:rPr>
        <w:t> </w:t>
      </w:r>
      <w:r>
        <w:rPr/>
        <w:t>data</w:t>
      </w:r>
      <w:r>
        <w:rPr>
          <w:spacing w:val="-6"/>
        </w:rPr>
        <w:t> </w:t>
      </w:r>
      <w:r>
        <w:rPr/>
        <w:t>and</w:t>
      </w:r>
      <w:r>
        <w:rPr>
          <w:spacing w:val="-7"/>
        </w:rPr>
        <w:t> </w:t>
      </w:r>
      <w:r>
        <w:rPr/>
        <w:t>its</w:t>
      </w:r>
      <w:r>
        <w:rPr>
          <w:spacing w:val="-6"/>
        </w:rPr>
        <w:t> </w:t>
      </w:r>
      <w:r>
        <w:rPr/>
        <w:t>presentation</w:t>
      </w:r>
      <w:r>
        <w:rPr>
          <w:spacing w:val="-6"/>
        </w:rPr>
        <w:t> </w:t>
      </w:r>
      <w:r>
        <w:rPr/>
        <w:t>in</w:t>
      </w:r>
      <w:r>
        <w:rPr>
          <w:spacing w:val="-7"/>
        </w:rPr>
        <w:t> </w:t>
      </w:r>
      <w:r>
        <w:rPr/>
        <w:t>individual</w:t>
      </w:r>
      <w:r>
        <w:rPr>
          <w:spacing w:val="-6"/>
        </w:rPr>
        <w:t> </w:t>
      </w:r>
      <w:r>
        <w:rPr/>
        <w:t>xml</w:t>
      </w:r>
      <w:r>
        <w:rPr>
          <w:spacing w:val="-6"/>
        </w:rPr>
        <w:t> </w:t>
      </w:r>
      <w:r>
        <w:rPr>
          <w:spacing w:val="-2"/>
        </w:rPr>
        <w:t>files.</w:t>
      </w:r>
    </w:p>
    <w:p>
      <w:pPr>
        <w:spacing w:after="0" w:line="275" w:lineRule="exact"/>
        <w:sectPr>
          <w:headerReference w:type="default" r:id="rId125"/>
          <w:footerReference w:type="default" r:id="rId126"/>
          <w:pgSz w:w="11910" w:h="16840"/>
          <w:pgMar w:header="1961" w:footer="1428" w:top="2280" w:bottom="1620" w:left="1680" w:right="720"/>
        </w:sectPr>
      </w:pPr>
    </w:p>
    <w:p>
      <w:pPr>
        <w:pStyle w:val="BodyText"/>
        <w:rPr>
          <w:sz w:val="20"/>
        </w:rPr>
      </w:pPr>
    </w:p>
    <w:p>
      <w:pPr>
        <w:pStyle w:val="BodyText"/>
        <w:spacing w:before="6"/>
        <w:rPr>
          <w:sz w:val="16"/>
        </w:rPr>
      </w:pPr>
    </w:p>
    <w:p>
      <w:pPr>
        <w:pStyle w:val="Heading3"/>
        <w:numPr>
          <w:ilvl w:val="2"/>
          <w:numId w:val="24"/>
        </w:numPr>
        <w:tabs>
          <w:tab w:pos="1471" w:val="left" w:leader="none"/>
          <w:tab w:pos="1472" w:val="left" w:leader="none"/>
        </w:tabs>
        <w:spacing w:line="240" w:lineRule="auto" w:before="114" w:after="0"/>
        <w:ind w:left="1471" w:right="0" w:hanging="862"/>
        <w:jc w:val="left"/>
      </w:pPr>
      <w:bookmarkStart w:name="_TOC_250011" w:id="302"/>
      <w:bookmarkStart w:name="6.2.2 Data Preprocessing" w:id="303"/>
      <w:r>
        <w:rPr>
          <w:b w:val="0"/>
        </w:rPr>
      </w:r>
      <w:bookmarkStart w:name="_bookmark174" w:id="304"/>
      <w:bookmarkEnd w:id="304"/>
      <w:r>
        <w:rPr/>
        <w:t>Data</w:t>
      </w:r>
      <w:r>
        <w:rPr>
          <w:spacing w:val="12"/>
        </w:rPr>
        <w:t> </w:t>
      </w:r>
      <w:bookmarkEnd w:id="302"/>
      <w:r>
        <w:rPr>
          <w:spacing w:val="-2"/>
        </w:rPr>
        <w:t>Preprocessing</w:t>
      </w:r>
    </w:p>
    <w:p>
      <w:pPr>
        <w:pStyle w:val="BodyText"/>
        <w:spacing w:line="312" w:lineRule="auto" w:before="236"/>
        <w:ind w:left="610" w:right="389"/>
      </w:pPr>
      <w:r>
        <w:rPr/>
        <w:t>This study used the same dataset and initial preprocessing steps as Chapter</w:t>
      </w:r>
      <w:r>
        <w:rPr>
          <w:color w:val="0000FF"/>
        </w:rPr>
        <w:t>5</w:t>
      </w:r>
      <w:hyperlink w:history="true" w:anchor="_bookmark122">
        <w:r>
          <w:rPr/>
          <w:t>.</w:t>
        </w:r>
      </w:hyperlink>
      <w:r>
        <w:rPr>
          <w:spacing w:val="40"/>
        </w:rPr>
        <w:t> </w:t>
      </w:r>
      <w:r>
        <w:rPr/>
        <w:t>Section</w:t>
      </w:r>
      <w:r>
        <w:rPr>
          <w:spacing w:val="40"/>
        </w:rPr>
        <w:t> </w:t>
      </w:r>
      <w:hyperlink w:history="true" w:anchor="_bookmark127">
        <w:r>
          <w:rPr>
            <w:color w:val="0000FF"/>
          </w:rPr>
          <w:t>5.2.2</w:t>
        </w:r>
      </w:hyperlink>
      <w:r>
        <w:rPr/>
        <w:t>describes</w:t>
      </w:r>
      <w:r>
        <w:rPr>
          <w:spacing w:val="33"/>
        </w:rPr>
        <w:t> </w:t>
      </w:r>
      <w:r>
        <w:rPr/>
        <w:t>the</w:t>
      </w:r>
      <w:r>
        <w:rPr>
          <w:spacing w:val="34"/>
        </w:rPr>
        <w:t> </w:t>
      </w:r>
      <w:r>
        <w:rPr/>
        <w:t>steps</w:t>
      </w:r>
      <w:r>
        <w:rPr>
          <w:spacing w:val="33"/>
        </w:rPr>
        <w:t> </w:t>
      </w:r>
      <w:r>
        <w:rPr/>
        <w:t>taken</w:t>
      </w:r>
      <w:r>
        <w:rPr>
          <w:spacing w:val="34"/>
        </w:rPr>
        <w:t> </w:t>
      </w:r>
      <w:r>
        <w:rPr/>
        <w:t>to</w:t>
      </w:r>
      <w:r>
        <w:rPr>
          <w:spacing w:val="34"/>
        </w:rPr>
        <w:t> </w:t>
      </w:r>
      <w:r>
        <w:rPr/>
        <w:t>convert</w:t>
      </w:r>
      <w:r>
        <w:rPr>
          <w:spacing w:val="33"/>
        </w:rPr>
        <w:t> </w:t>
      </w:r>
      <w:r>
        <w:rPr/>
        <w:t>the</w:t>
      </w:r>
      <w:r>
        <w:rPr>
          <w:spacing w:val="34"/>
        </w:rPr>
        <w:t> </w:t>
      </w:r>
      <w:r>
        <w:rPr/>
        <w:t>138</w:t>
      </w:r>
      <w:r>
        <w:rPr>
          <w:spacing w:val="33"/>
        </w:rPr>
        <w:t> </w:t>
      </w:r>
      <w:r>
        <w:rPr/>
        <w:t>raw</w:t>
      </w:r>
      <w:r>
        <w:rPr>
          <w:spacing w:val="34"/>
        </w:rPr>
        <w:t> </w:t>
      </w:r>
      <w:r>
        <w:rPr/>
        <w:t>xml</w:t>
      </w:r>
      <w:r>
        <w:rPr>
          <w:spacing w:val="34"/>
        </w:rPr>
        <w:t> </w:t>
      </w:r>
      <w:r>
        <w:rPr/>
        <w:t>files</w:t>
      </w:r>
      <w:r>
        <w:rPr>
          <w:spacing w:val="34"/>
        </w:rPr>
        <w:t> </w:t>
      </w:r>
      <w:r>
        <w:rPr/>
        <w:t>described</w:t>
      </w:r>
      <w:r>
        <w:rPr>
          <w:spacing w:val="34"/>
        </w:rPr>
        <w:t> </w:t>
      </w:r>
      <w:r>
        <w:rPr/>
        <w:t>above</w:t>
      </w:r>
      <w:r>
        <w:rPr>
          <w:spacing w:val="33"/>
        </w:rPr>
        <w:t> </w:t>
      </w:r>
      <w:r>
        <w:rPr/>
        <w:t>to</w:t>
      </w:r>
      <w:r>
        <w:rPr>
          <w:spacing w:val="34"/>
        </w:rPr>
        <w:t> </w:t>
      </w:r>
      <w:r>
        <w:rPr/>
        <w:t>a single</w:t>
      </w:r>
      <w:r>
        <w:rPr>
          <w:spacing w:val="-3"/>
        </w:rPr>
        <w:t> </w:t>
      </w:r>
      <w:r>
        <w:rPr/>
        <w:t>file</w:t>
      </w:r>
      <w:r>
        <w:rPr>
          <w:spacing w:val="-3"/>
        </w:rPr>
        <w:t> </w:t>
      </w:r>
      <w:r>
        <w:rPr/>
        <w:t>of</w:t>
      </w:r>
      <w:r>
        <w:rPr>
          <w:spacing w:val="-3"/>
        </w:rPr>
        <w:t> </w:t>
      </w:r>
      <w:r>
        <w:rPr/>
        <w:t>99,966</w:t>
      </w:r>
      <w:r>
        <w:rPr>
          <w:spacing w:val="-3"/>
        </w:rPr>
        <w:t> </w:t>
      </w:r>
      <w:r>
        <w:rPr/>
        <w:t>rows</w:t>
      </w:r>
      <w:r>
        <w:rPr>
          <w:spacing w:val="-3"/>
        </w:rPr>
        <w:t> </w:t>
      </w:r>
      <w:r>
        <w:rPr/>
        <w:t>and</w:t>
      </w:r>
      <w:r>
        <w:rPr>
          <w:spacing w:val="-3"/>
        </w:rPr>
        <w:t> </w:t>
      </w:r>
      <w:r>
        <w:rPr/>
        <w:t>4</w:t>
      </w:r>
      <w:r>
        <w:rPr>
          <w:spacing w:val="-3"/>
        </w:rPr>
        <w:t> </w:t>
      </w:r>
      <w:r>
        <w:rPr/>
        <w:t>columns. In</w:t>
      </w:r>
      <w:r>
        <w:rPr>
          <w:spacing w:val="-3"/>
        </w:rPr>
        <w:t> </w:t>
      </w:r>
      <w:r>
        <w:rPr/>
        <w:t>this</w:t>
      </w:r>
      <w:r>
        <w:rPr>
          <w:spacing w:val="-3"/>
        </w:rPr>
        <w:t> </w:t>
      </w:r>
      <w:r>
        <w:rPr/>
        <w:t>study,</w:t>
      </w:r>
      <w:r>
        <w:rPr>
          <w:spacing w:val="-3"/>
        </w:rPr>
        <w:t> </w:t>
      </w:r>
      <w:r>
        <w:rPr/>
        <w:t>these</w:t>
      </w:r>
      <w:r>
        <w:rPr>
          <w:spacing w:val="-3"/>
        </w:rPr>
        <w:t> </w:t>
      </w:r>
      <w:r>
        <w:rPr/>
        <w:t>steps</w:t>
      </w:r>
      <w:r>
        <w:rPr>
          <w:spacing w:val="-3"/>
        </w:rPr>
        <w:t> </w:t>
      </w:r>
      <w:r>
        <w:rPr/>
        <w:t>are</w:t>
      </w:r>
      <w:r>
        <w:rPr>
          <w:spacing w:val="-3"/>
        </w:rPr>
        <w:t> </w:t>
      </w:r>
      <w:r>
        <w:rPr/>
        <w:t>followed</w:t>
      </w:r>
      <w:r>
        <w:rPr>
          <w:spacing w:val="-3"/>
        </w:rPr>
        <w:t> </w:t>
      </w:r>
      <w:r>
        <w:rPr/>
        <w:t>until</w:t>
      </w:r>
      <w:r>
        <w:rPr>
          <w:spacing w:val="-3"/>
        </w:rPr>
        <w:t> </w:t>
      </w:r>
      <w:r>
        <w:rPr/>
        <w:t>the file</w:t>
      </w:r>
      <w:r>
        <w:rPr>
          <w:spacing w:val="-8"/>
        </w:rPr>
        <w:t> </w:t>
      </w:r>
      <w:r>
        <w:rPr/>
        <w:t>contained</w:t>
      </w:r>
      <w:r>
        <w:rPr>
          <w:spacing w:val="-9"/>
        </w:rPr>
        <w:t> </w:t>
      </w:r>
      <w:r>
        <w:rPr/>
        <w:t>99,966</w:t>
      </w:r>
      <w:r>
        <w:rPr>
          <w:spacing w:val="-8"/>
        </w:rPr>
        <w:t> </w:t>
      </w:r>
      <w:r>
        <w:rPr/>
        <w:t>rows</w:t>
      </w:r>
      <w:r>
        <w:rPr>
          <w:spacing w:val="-9"/>
        </w:rPr>
        <w:t> </w:t>
      </w:r>
      <w:r>
        <w:rPr/>
        <w:t>and</w:t>
      </w:r>
      <w:r>
        <w:rPr>
          <w:spacing w:val="-8"/>
        </w:rPr>
        <w:t> </w:t>
      </w:r>
      <w:r>
        <w:rPr/>
        <w:t>18</w:t>
      </w:r>
      <w:r>
        <w:rPr>
          <w:spacing w:val="-8"/>
        </w:rPr>
        <w:t> </w:t>
      </w:r>
      <w:r>
        <w:rPr/>
        <w:t>columns</w:t>
      </w:r>
      <w:r>
        <w:rPr>
          <w:spacing w:val="-9"/>
        </w:rPr>
        <w:t> </w:t>
      </w:r>
      <w:r>
        <w:rPr/>
        <w:t>(i.e. until</w:t>
      </w:r>
      <w:r>
        <w:rPr>
          <w:spacing w:val="-8"/>
        </w:rPr>
        <w:t> </w:t>
      </w:r>
      <w:r>
        <w:rPr/>
        <w:t>the</w:t>
      </w:r>
      <w:r>
        <w:rPr>
          <w:spacing w:val="-8"/>
        </w:rPr>
        <w:t> </w:t>
      </w:r>
      <w:r>
        <w:rPr/>
        <w:t>penultimate</w:t>
      </w:r>
      <w:r>
        <w:rPr>
          <w:spacing w:val="-9"/>
        </w:rPr>
        <w:t> </w:t>
      </w:r>
      <w:r>
        <w:rPr/>
        <w:t>step,</w:t>
      </w:r>
      <w:r>
        <w:rPr>
          <w:spacing w:val="-8"/>
        </w:rPr>
        <w:t> </w:t>
      </w:r>
      <w:r>
        <w:rPr/>
        <w:t>as</w:t>
      </w:r>
      <w:r>
        <w:rPr>
          <w:spacing w:val="-8"/>
        </w:rPr>
        <w:t> </w:t>
      </w:r>
      <w:r>
        <w:rPr/>
        <w:t>the</w:t>
      </w:r>
      <w:r>
        <w:rPr>
          <w:spacing w:val="-9"/>
        </w:rPr>
        <w:t> </w:t>
      </w:r>
      <w:r>
        <w:rPr/>
        <w:t>last</w:t>
      </w:r>
      <w:r>
        <w:rPr>
          <w:spacing w:val="-8"/>
        </w:rPr>
        <w:t> </w:t>
      </w:r>
      <w:r>
        <w:rPr/>
        <w:t>step filtered the data to the four columns used in Chapter</w:t>
      </w:r>
      <w:r>
        <w:rPr>
          <w:color w:val="0000FF"/>
        </w:rPr>
        <w:t>5</w:t>
      </w:r>
      <w:r>
        <w:rPr/>
        <w:t>).</w:t>
      </w:r>
    </w:p>
    <w:p>
      <w:pPr>
        <w:pStyle w:val="BodyText"/>
        <w:spacing w:line="312" w:lineRule="auto"/>
        <w:ind w:left="610" w:right="389" w:firstLine="351"/>
      </w:pPr>
      <w:r>
        <w:rPr/>
        <w:t>The</w:t>
      </w:r>
      <w:r>
        <w:rPr>
          <w:spacing w:val="-6"/>
        </w:rPr>
        <w:t> </w:t>
      </w:r>
      <w:r>
        <w:rPr/>
        <w:t>dataset</w:t>
      </w:r>
      <w:r>
        <w:rPr>
          <w:spacing w:val="-6"/>
        </w:rPr>
        <w:t> </w:t>
      </w:r>
      <w:r>
        <w:rPr/>
        <w:t>for</w:t>
      </w:r>
      <w:r>
        <w:rPr>
          <w:spacing w:val="-6"/>
        </w:rPr>
        <w:t> </w:t>
      </w:r>
      <w:r>
        <w:rPr/>
        <w:t>this</w:t>
      </w:r>
      <w:r>
        <w:rPr>
          <w:spacing w:val="-6"/>
        </w:rPr>
        <w:t> </w:t>
      </w:r>
      <w:r>
        <w:rPr/>
        <w:t>study</w:t>
      </w:r>
      <w:r>
        <w:rPr>
          <w:spacing w:val="-6"/>
        </w:rPr>
        <w:t> </w:t>
      </w:r>
      <w:r>
        <w:rPr/>
        <w:t>was</w:t>
      </w:r>
      <w:r>
        <w:rPr>
          <w:spacing w:val="-6"/>
        </w:rPr>
        <w:t> </w:t>
      </w:r>
      <w:r>
        <w:rPr/>
        <w:t>devised</w:t>
      </w:r>
      <w:r>
        <w:rPr>
          <w:spacing w:val="-6"/>
        </w:rPr>
        <w:t> </w:t>
      </w:r>
      <w:r>
        <w:rPr/>
        <w:t>using</w:t>
      </w:r>
      <w:r>
        <w:rPr>
          <w:spacing w:val="-6"/>
        </w:rPr>
        <w:t> </w:t>
      </w:r>
      <w:r>
        <w:rPr/>
        <w:t>different</w:t>
      </w:r>
      <w:r>
        <w:rPr>
          <w:spacing w:val="-6"/>
        </w:rPr>
        <w:t> </w:t>
      </w:r>
      <w:r>
        <w:rPr/>
        <w:t>inclusion</w:t>
      </w:r>
      <w:r>
        <w:rPr>
          <w:spacing w:val="-6"/>
        </w:rPr>
        <w:t> </w:t>
      </w:r>
      <w:r>
        <w:rPr/>
        <w:t>and</w:t>
      </w:r>
      <w:r>
        <w:rPr>
          <w:spacing w:val="-6"/>
        </w:rPr>
        <w:t> </w:t>
      </w:r>
      <w:r>
        <w:rPr/>
        <w:t>exclusion</w:t>
      </w:r>
      <w:r>
        <w:rPr>
          <w:spacing w:val="-6"/>
        </w:rPr>
        <w:t> </w:t>
      </w:r>
      <w:r>
        <w:rPr/>
        <w:t>criteria for actions compared to Chapter</w:t>
      </w:r>
      <w:r>
        <w:rPr>
          <w:color w:val="0000FF"/>
        </w:rPr>
        <w:t>4</w:t>
      </w:r>
      <w:hyperlink w:history="true" w:anchor="_bookmark92">
        <w:r>
          <w:rPr/>
          <w:t>,</w:t>
        </w:r>
      </w:hyperlink>
      <w:r>
        <w:rPr/>
        <w:t> due to the two studies having subtly different aims. Chapter</w:t>
      </w:r>
      <w:r>
        <w:rPr>
          <w:color w:val="0000FF"/>
        </w:rPr>
        <w:t>4</w:t>
      </w:r>
      <w:r>
        <w:rPr/>
        <w:t>attempted to estimate the expected value of a possession conditional on its</w:t>
      </w:r>
      <w:r>
        <w:rPr>
          <w:spacing w:val="80"/>
        </w:rPr>
        <w:t> </w:t>
      </w:r>
      <w:r>
        <w:rPr/>
        <w:t>location, action tuple.</w:t>
      </w:r>
      <w:r>
        <w:rPr>
          <w:spacing w:val="40"/>
        </w:rPr>
        <w:t> </w:t>
      </w:r>
      <w:r>
        <w:rPr/>
        <w:t>This resulted in the study’s possessions being defined to </w:t>
      </w:r>
      <w:r>
        <w:rPr/>
        <w:t>clearly replicate</w:t>
      </w:r>
      <w:r>
        <w:rPr>
          <w:spacing w:val="-14"/>
        </w:rPr>
        <w:t> </w:t>
      </w:r>
      <w:r>
        <w:rPr/>
        <w:t>sequences</w:t>
      </w:r>
      <w:r>
        <w:rPr>
          <w:spacing w:val="-14"/>
        </w:rPr>
        <w:t> </w:t>
      </w:r>
      <w:r>
        <w:rPr/>
        <w:t>of</w:t>
      </w:r>
      <w:r>
        <w:rPr>
          <w:spacing w:val="-14"/>
        </w:rPr>
        <w:t> </w:t>
      </w:r>
      <w:r>
        <w:rPr/>
        <w:t>actions</w:t>
      </w:r>
      <w:r>
        <w:rPr>
          <w:spacing w:val="-14"/>
        </w:rPr>
        <w:t> </w:t>
      </w:r>
      <w:r>
        <w:rPr/>
        <w:t>within</w:t>
      </w:r>
      <w:r>
        <w:rPr>
          <w:spacing w:val="-14"/>
        </w:rPr>
        <w:t> </w:t>
      </w:r>
      <w:r>
        <w:rPr/>
        <w:t>match</w:t>
      </w:r>
      <w:r>
        <w:rPr>
          <w:spacing w:val="-14"/>
        </w:rPr>
        <w:t> </w:t>
      </w:r>
      <w:r>
        <w:rPr/>
        <w:t>play. However,</w:t>
      </w:r>
      <w:r>
        <w:rPr>
          <w:spacing w:val="-13"/>
        </w:rPr>
        <w:t> </w:t>
      </w:r>
      <w:r>
        <w:rPr/>
        <w:t>in</w:t>
      </w:r>
      <w:r>
        <w:rPr>
          <w:spacing w:val="-14"/>
        </w:rPr>
        <w:t> </w:t>
      </w:r>
      <w:r>
        <w:rPr/>
        <w:t>this</w:t>
      </w:r>
      <w:r>
        <w:rPr>
          <w:spacing w:val="-14"/>
        </w:rPr>
        <w:t> </w:t>
      </w:r>
      <w:r>
        <w:rPr/>
        <w:t>chapter,</w:t>
      </w:r>
      <w:r>
        <w:rPr>
          <w:spacing w:val="-13"/>
        </w:rPr>
        <w:t> </w:t>
      </w:r>
      <w:r>
        <w:rPr/>
        <w:t>the</w:t>
      </w:r>
      <w:r>
        <w:rPr>
          <w:spacing w:val="-14"/>
        </w:rPr>
        <w:t> </w:t>
      </w:r>
      <w:r>
        <w:rPr/>
        <w:t>aim</w:t>
      </w:r>
      <w:r>
        <w:rPr>
          <w:spacing w:val="-14"/>
        </w:rPr>
        <w:t> </w:t>
      </w:r>
      <w:r>
        <w:rPr/>
        <w:t>was</w:t>
      </w:r>
      <w:r>
        <w:rPr>
          <w:spacing w:val="-14"/>
        </w:rPr>
        <w:t> </w:t>
      </w:r>
      <w:r>
        <w:rPr/>
        <w:t>to estimate</w:t>
      </w:r>
      <w:r>
        <w:rPr>
          <w:spacing w:val="-1"/>
        </w:rPr>
        <w:t> </w:t>
      </w:r>
      <w:r>
        <w:rPr/>
        <w:t>the</w:t>
      </w:r>
      <w:r>
        <w:rPr>
          <w:spacing w:val="-1"/>
        </w:rPr>
        <w:t> </w:t>
      </w:r>
      <w:r>
        <w:rPr/>
        <w:t>probability</w:t>
      </w:r>
      <w:r>
        <w:rPr>
          <w:spacing w:val="-1"/>
        </w:rPr>
        <w:t> </w:t>
      </w:r>
      <w:r>
        <w:rPr/>
        <w:t>of</w:t>
      </w:r>
      <w:r>
        <w:rPr>
          <w:spacing w:val="-1"/>
        </w:rPr>
        <w:t> </w:t>
      </w:r>
      <w:r>
        <w:rPr/>
        <w:t>scoring</w:t>
      </w:r>
      <w:r>
        <w:rPr>
          <w:spacing w:val="-1"/>
        </w:rPr>
        <w:t> </w:t>
      </w:r>
      <w:r>
        <w:rPr/>
        <w:t>points</w:t>
      </w:r>
      <w:r>
        <w:rPr>
          <w:spacing w:val="-1"/>
        </w:rPr>
        <w:t> </w:t>
      </w:r>
      <w:r>
        <w:rPr/>
        <w:t>conditional</w:t>
      </w:r>
      <w:r>
        <w:rPr>
          <w:spacing w:val="-1"/>
        </w:rPr>
        <w:t> </w:t>
      </w:r>
      <w:r>
        <w:rPr/>
        <w:t>on</w:t>
      </w:r>
      <w:r>
        <w:rPr>
          <w:spacing w:val="-1"/>
        </w:rPr>
        <w:t> </w:t>
      </w:r>
      <w:r>
        <w:rPr/>
        <w:t>the</w:t>
      </w:r>
      <w:r>
        <w:rPr>
          <w:spacing w:val="-1"/>
        </w:rPr>
        <w:t> </w:t>
      </w:r>
      <w:r>
        <w:rPr/>
        <w:t>location</w:t>
      </w:r>
      <w:r>
        <w:rPr>
          <w:spacing w:val="-1"/>
        </w:rPr>
        <w:t> </w:t>
      </w:r>
      <w:r>
        <w:rPr/>
        <w:t>on</w:t>
      </w:r>
      <w:r>
        <w:rPr>
          <w:spacing w:val="-1"/>
        </w:rPr>
        <w:t> </w:t>
      </w:r>
      <w:r>
        <w:rPr/>
        <w:t>the</w:t>
      </w:r>
      <w:r>
        <w:rPr>
          <w:spacing w:val="-1"/>
        </w:rPr>
        <w:t> </w:t>
      </w:r>
      <w:r>
        <w:rPr/>
        <w:t>pitch.</w:t>
      </w:r>
      <w:r>
        <w:rPr>
          <w:spacing w:val="21"/>
        </w:rPr>
        <w:t> </w:t>
      </w:r>
      <w:r>
        <w:rPr/>
        <w:t>It</w:t>
      </w:r>
      <w:r>
        <w:rPr>
          <w:spacing w:val="-1"/>
        </w:rPr>
        <w:t> </w:t>
      </w:r>
      <w:r>
        <w:rPr/>
        <w:t>was therefore necessary to reduce the number actions included in any given location so that only</w:t>
      </w:r>
      <w:r>
        <w:rPr>
          <w:spacing w:val="-11"/>
        </w:rPr>
        <w:t> </w:t>
      </w:r>
      <w:r>
        <w:rPr/>
        <w:t>sequences</w:t>
      </w:r>
      <w:r>
        <w:rPr>
          <w:spacing w:val="-11"/>
        </w:rPr>
        <w:t> </w:t>
      </w:r>
      <w:r>
        <w:rPr/>
        <w:t>of</w:t>
      </w:r>
      <w:r>
        <w:rPr>
          <w:spacing w:val="-11"/>
        </w:rPr>
        <w:t> </w:t>
      </w:r>
      <w:r>
        <w:rPr/>
        <w:t>location</w:t>
      </w:r>
      <w:r>
        <w:rPr>
          <w:spacing w:val="-11"/>
        </w:rPr>
        <w:t> </w:t>
      </w:r>
      <w:r>
        <w:rPr/>
        <w:t>changes</w:t>
      </w:r>
      <w:r>
        <w:rPr>
          <w:spacing w:val="-10"/>
        </w:rPr>
        <w:t> </w:t>
      </w:r>
      <w:r>
        <w:rPr/>
        <w:t>are</w:t>
      </w:r>
      <w:r>
        <w:rPr>
          <w:spacing w:val="-11"/>
        </w:rPr>
        <w:t> </w:t>
      </w:r>
      <w:r>
        <w:rPr/>
        <w:t>provided</w:t>
      </w:r>
      <w:r>
        <w:rPr>
          <w:spacing w:val="-11"/>
        </w:rPr>
        <w:t> </w:t>
      </w:r>
      <w:r>
        <w:rPr/>
        <w:t>to</w:t>
      </w:r>
      <w:r>
        <w:rPr>
          <w:spacing w:val="-11"/>
        </w:rPr>
        <w:t> </w:t>
      </w:r>
      <w:r>
        <w:rPr/>
        <w:t>the</w:t>
      </w:r>
      <w:r>
        <w:rPr>
          <w:spacing w:val="-11"/>
        </w:rPr>
        <w:t> </w:t>
      </w:r>
      <w:r>
        <w:rPr/>
        <w:t>model. For</w:t>
      </w:r>
      <w:r>
        <w:rPr>
          <w:spacing w:val="-11"/>
        </w:rPr>
        <w:t> </w:t>
      </w:r>
      <w:r>
        <w:rPr/>
        <w:t>example,</w:t>
      </w:r>
      <w:r>
        <w:rPr>
          <w:spacing w:val="-10"/>
        </w:rPr>
        <w:t> </w:t>
      </w:r>
      <w:r>
        <w:rPr/>
        <w:t>after</w:t>
      </w:r>
      <w:r>
        <w:rPr>
          <w:spacing w:val="-11"/>
        </w:rPr>
        <w:t> </w:t>
      </w:r>
      <w:r>
        <w:rPr/>
        <w:t>a</w:t>
      </w:r>
      <w:r>
        <w:rPr>
          <w:spacing w:val="-11"/>
        </w:rPr>
        <w:t> </w:t>
      </w:r>
      <w:r>
        <w:rPr/>
        <w:t>tackle has been completed, a play-the-ball occurs, which is received by a player, who chooses to pass or run with the ball.</w:t>
      </w:r>
      <w:r>
        <w:rPr>
          <w:spacing w:val="34"/>
        </w:rPr>
        <w:t> </w:t>
      </w:r>
      <w:r>
        <w:rPr/>
        <w:t>All of these actions typically occur in the same location.</w:t>
      </w:r>
      <w:r>
        <w:rPr>
          <w:spacing w:val="34"/>
        </w:rPr>
        <w:t> </w:t>
      </w:r>
      <w:r>
        <w:rPr/>
        <w:t>In Chapter</w:t>
      </w:r>
      <w:r>
        <w:rPr>
          <w:color w:val="0000FF"/>
        </w:rPr>
        <w:t>4</w:t>
      </w:r>
      <w:hyperlink w:history="true" w:anchor="_bookmark92">
        <w:r>
          <w:rPr/>
          <w:t>,</w:t>
        </w:r>
      </w:hyperlink>
      <w:r>
        <w:rPr>
          <w:spacing w:val="26"/>
        </w:rPr>
        <w:t> </w:t>
      </w:r>
      <w:r>
        <w:rPr/>
        <w:t>all</w:t>
      </w:r>
      <w:r>
        <w:rPr>
          <w:spacing w:val="21"/>
        </w:rPr>
        <w:t> </w:t>
      </w:r>
      <w:r>
        <w:rPr/>
        <w:t>three</w:t>
      </w:r>
      <w:r>
        <w:rPr>
          <w:spacing w:val="21"/>
        </w:rPr>
        <w:t> </w:t>
      </w:r>
      <w:r>
        <w:rPr/>
        <w:t>actions</w:t>
      </w:r>
      <w:r>
        <w:rPr>
          <w:spacing w:val="21"/>
        </w:rPr>
        <w:t> </w:t>
      </w:r>
      <w:r>
        <w:rPr/>
        <w:t>were</w:t>
      </w:r>
      <w:r>
        <w:rPr>
          <w:spacing w:val="21"/>
        </w:rPr>
        <w:t> </w:t>
      </w:r>
      <w:r>
        <w:rPr/>
        <w:t>included</w:t>
      </w:r>
      <w:r>
        <w:rPr>
          <w:spacing w:val="21"/>
        </w:rPr>
        <w:t> </w:t>
      </w:r>
      <w:r>
        <w:rPr/>
        <w:t>as</w:t>
      </w:r>
      <w:r>
        <w:rPr>
          <w:spacing w:val="21"/>
        </w:rPr>
        <w:t> </w:t>
      </w:r>
      <w:r>
        <w:rPr/>
        <w:t>they</w:t>
      </w:r>
      <w:r>
        <w:rPr>
          <w:spacing w:val="21"/>
        </w:rPr>
        <w:t> </w:t>
      </w:r>
      <w:r>
        <w:rPr/>
        <w:t>allowed</w:t>
      </w:r>
      <w:r>
        <w:rPr>
          <w:spacing w:val="21"/>
        </w:rPr>
        <w:t> </w:t>
      </w:r>
      <w:r>
        <w:rPr/>
        <w:t>for</w:t>
      </w:r>
      <w:r>
        <w:rPr>
          <w:spacing w:val="21"/>
        </w:rPr>
        <w:t> </w:t>
      </w:r>
      <w:r>
        <w:rPr/>
        <w:t>the</w:t>
      </w:r>
      <w:r>
        <w:rPr>
          <w:spacing w:val="21"/>
        </w:rPr>
        <w:t> </w:t>
      </w:r>
      <w:r>
        <w:rPr/>
        <w:t>value</w:t>
      </w:r>
      <w:r>
        <w:rPr>
          <w:spacing w:val="21"/>
        </w:rPr>
        <w:t> </w:t>
      </w:r>
      <w:r>
        <w:rPr/>
        <w:t>of</w:t>
      </w:r>
      <w:r>
        <w:rPr>
          <w:spacing w:val="21"/>
        </w:rPr>
        <w:t> </w:t>
      </w:r>
      <w:r>
        <w:rPr/>
        <w:t>each</w:t>
      </w:r>
      <w:r>
        <w:rPr>
          <w:spacing w:val="21"/>
        </w:rPr>
        <w:t> </w:t>
      </w:r>
      <w:r>
        <w:rPr/>
        <w:t>action to be estimated.</w:t>
      </w:r>
      <w:r>
        <w:rPr>
          <w:spacing w:val="40"/>
        </w:rPr>
        <w:t> </w:t>
      </w:r>
      <w:r>
        <w:rPr/>
        <w:t>However, in this chapter only one of the actions (the pass or run) was included as including all three actions would ensure the sequence of location changes</w:t>
      </w:r>
      <w:r>
        <w:rPr>
          <w:spacing w:val="80"/>
        </w:rPr>
        <w:t> </w:t>
      </w:r>
      <w:r>
        <w:rPr/>
        <w:t>was coded incorrectly.</w:t>
      </w:r>
      <w:r>
        <w:rPr>
          <w:spacing w:val="40"/>
        </w:rPr>
        <w:t> </w:t>
      </w:r>
      <w:r>
        <w:rPr/>
        <w:t>As a result of the different inclusion and exclusion criteria, the</w:t>
      </w:r>
      <w:r>
        <w:rPr>
          <w:spacing w:val="40"/>
        </w:rPr>
        <w:t> </w:t>
      </w:r>
      <w:r>
        <w:rPr/>
        <w:t>key actions removed from this study’s dataset compared to Chapter</w:t>
      </w:r>
      <w:r>
        <w:rPr>
          <w:color w:val="0000FF"/>
        </w:rPr>
        <w:t>4</w:t>
      </w:r>
      <w:r>
        <w:rPr/>
        <w:t>were play-the-balls (39,752)</w:t>
      </w:r>
      <w:r>
        <w:rPr>
          <w:spacing w:val="-9"/>
        </w:rPr>
        <w:t> </w:t>
      </w:r>
      <w:r>
        <w:rPr/>
        <w:t>and</w:t>
      </w:r>
      <w:r>
        <w:rPr>
          <w:spacing w:val="-9"/>
        </w:rPr>
        <w:t> </w:t>
      </w:r>
      <w:r>
        <w:rPr/>
        <w:t>pass</w:t>
      </w:r>
      <w:r>
        <w:rPr>
          <w:spacing w:val="-9"/>
        </w:rPr>
        <w:t> </w:t>
      </w:r>
      <w:r>
        <w:rPr/>
        <w:t>catches</w:t>
      </w:r>
      <w:r>
        <w:rPr>
          <w:spacing w:val="-9"/>
        </w:rPr>
        <w:t> </w:t>
      </w:r>
      <w:r>
        <w:rPr/>
        <w:t>(100,952). Kick</w:t>
      </w:r>
      <w:r>
        <w:rPr>
          <w:spacing w:val="-9"/>
        </w:rPr>
        <w:t> </w:t>
      </w:r>
      <w:r>
        <w:rPr/>
        <w:t>catches</w:t>
      </w:r>
      <w:r>
        <w:rPr>
          <w:spacing w:val="-9"/>
        </w:rPr>
        <w:t> </w:t>
      </w:r>
      <w:r>
        <w:rPr/>
        <w:t>remained</w:t>
      </w:r>
      <w:r>
        <w:rPr>
          <w:spacing w:val="-9"/>
        </w:rPr>
        <w:t> </w:t>
      </w:r>
      <w:r>
        <w:rPr/>
        <w:t>in</w:t>
      </w:r>
      <w:r>
        <w:rPr>
          <w:spacing w:val="-9"/>
        </w:rPr>
        <w:t> </w:t>
      </w:r>
      <w:r>
        <w:rPr/>
        <w:t>the</w:t>
      </w:r>
      <w:r>
        <w:rPr>
          <w:spacing w:val="-9"/>
        </w:rPr>
        <w:t> </w:t>
      </w:r>
      <w:r>
        <w:rPr/>
        <w:t>dataset</w:t>
      </w:r>
      <w:r>
        <w:rPr>
          <w:spacing w:val="-9"/>
        </w:rPr>
        <w:t> </w:t>
      </w:r>
      <w:r>
        <w:rPr/>
        <w:t>as</w:t>
      </w:r>
      <w:r>
        <w:rPr>
          <w:spacing w:val="-9"/>
        </w:rPr>
        <w:t> </w:t>
      </w:r>
      <w:r>
        <w:rPr/>
        <w:t>these</w:t>
      </w:r>
      <w:r>
        <w:rPr>
          <w:spacing w:val="-9"/>
        </w:rPr>
        <w:t> </w:t>
      </w:r>
      <w:r>
        <w:rPr/>
        <w:t>would typically begin (when receiving a kick from the opposition team) or end (when catching a kick from the same team and trying to score a try) a possession.</w:t>
      </w:r>
    </w:p>
    <w:p>
      <w:pPr>
        <w:pStyle w:val="BodyText"/>
        <w:spacing w:line="312" w:lineRule="auto"/>
        <w:ind w:left="610" w:right="389" w:firstLine="351"/>
      </w:pPr>
      <w:r>
        <w:rPr/>
        <w:t>Possessions followed the same definition as episodes in Chapters</w:t>
      </w:r>
      <w:r>
        <w:rPr>
          <w:color w:val="0000FF"/>
        </w:rPr>
        <w:t>3</w:t>
      </w:r>
      <w:r>
        <w:rPr/>
        <w:t>and</w:t>
      </w:r>
      <w:r>
        <w:rPr>
          <w:color w:val="0000FF"/>
        </w:rPr>
        <w:t>4</w:t>
      </w:r>
      <w:r>
        <w:rPr/>
        <w:t>.</w:t>
      </w:r>
      <w:r>
        <w:rPr>
          <w:spacing w:val="40"/>
        </w:rPr>
        <w:t> </w:t>
      </w:r>
      <w:r>
        <w:rPr/>
        <w:t>A posses- sion was defined to begin when a team successfully gained possession of the ball </w:t>
      </w:r>
      <w:r>
        <w:rPr/>
        <w:t>and</w:t>
      </w:r>
      <w:r>
        <w:rPr>
          <w:spacing w:val="80"/>
          <w:w w:val="150"/>
        </w:rPr>
        <w:t> </w:t>
      </w:r>
      <w:r>
        <w:rPr/>
        <w:t>ended</w:t>
      </w:r>
      <w:r>
        <w:rPr>
          <w:spacing w:val="-7"/>
        </w:rPr>
        <w:t> </w:t>
      </w:r>
      <w:r>
        <w:rPr/>
        <w:t>due</w:t>
      </w:r>
      <w:r>
        <w:rPr>
          <w:spacing w:val="-7"/>
        </w:rPr>
        <w:t> </w:t>
      </w:r>
      <w:r>
        <w:rPr/>
        <w:t>to</w:t>
      </w:r>
      <w:r>
        <w:rPr>
          <w:spacing w:val="-7"/>
        </w:rPr>
        <w:t> </w:t>
      </w:r>
      <w:r>
        <w:rPr/>
        <w:t>a</w:t>
      </w:r>
      <w:r>
        <w:rPr>
          <w:spacing w:val="-7"/>
        </w:rPr>
        <w:t> </w:t>
      </w:r>
      <w:r>
        <w:rPr/>
        <w:t>handover,</w:t>
      </w:r>
      <w:r>
        <w:rPr>
          <w:spacing w:val="-7"/>
        </w:rPr>
        <w:t> </w:t>
      </w:r>
      <w:r>
        <w:rPr/>
        <w:t>loss</w:t>
      </w:r>
      <w:r>
        <w:rPr>
          <w:spacing w:val="-7"/>
        </w:rPr>
        <w:t> </w:t>
      </w:r>
      <w:r>
        <w:rPr/>
        <w:t>of</w:t>
      </w:r>
      <w:r>
        <w:rPr>
          <w:spacing w:val="-7"/>
        </w:rPr>
        <w:t> </w:t>
      </w:r>
      <w:r>
        <w:rPr/>
        <w:t>possession</w:t>
      </w:r>
      <w:r>
        <w:rPr>
          <w:spacing w:val="-7"/>
        </w:rPr>
        <w:t> </w:t>
      </w:r>
      <w:r>
        <w:rPr/>
        <w:t>due</w:t>
      </w:r>
      <w:r>
        <w:rPr>
          <w:spacing w:val="-7"/>
        </w:rPr>
        <w:t> </w:t>
      </w:r>
      <w:r>
        <w:rPr/>
        <w:t>to</w:t>
      </w:r>
      <w:r>
        <w:rPr>
          <w:spacing w:val="-7"/>
        </w:rPr>
        <w:t> </w:t>
      </w:r>
      <w:r>
        <w:rPr/>
        <w:t>an</w:t>
      </w:r>
      <w:r>
        <w:rPr>
          <w:spacing w:val="-7"/>
        </w:rPr>
        <w:t> </w:t>
      </w:r>
      <w:r>
        <w:rPr/>
        <w:t>error/foul</w:t>
      </w:r>
      <w:r>
        <w:rPr>
          <w:spacing w:val="-7"/>
        </w:rPr>
        <w:t> </w:t>
      </w:r>
      <w:r>
        <w:rPr/>
        <w:t>play,</w:t>
      </w:r>
      <w:r>
        <w:rPr>
          <w:spacing w:val="-7"/>
        </w:rPr>
        <w:t> </w:t>
      </w:r>
      <w:r>
        <w:rPr/>
        <w:t>points</w:t>
      </w:r>
      <w:r>
        <w:rPr>
          <w:spacing w:val="-7"/>
        </w:rPr>
        <w:t> </w:t>
      </w:r>
      <w:r>
        <w:rPr/>
        <w:t>being</w:t>
      </w:r>
      <w:r>
        <w:rPr>
          <w:spacing w:val="-7"/>
        </w:rPr>
        <w:t> </w:t>
      </w:r>
      <w:r>
        <w:rPr/>
        <w:t>scored or</w:t>
      </w:r>
      <w:r>
        <w:rPr>
          <w:spacing w:val="-9"/>
        </w:rPr>
        <w:t> </w:t>
      </w:r>
      <w:r>
        <w:rPr/>
        <w:t>a</w:t>
      </w:r>
      <w:r>
        <w:rPr>
          <w:spacing w:val="-9"/>
        </w:rPr>
        <w:t> </w:t>
      </w:r>
      <w:r>
        <w:rPr/>
        <w:t>goal</w:t>
      </w:r>
      <w:r>
        <w:rPr>
          <w:spacing w:val="-9"/>
        </w:rPr>
        <w:t> </w:t>
      </w:r>
      <w:r>
        <w:rPr/>
        <w:t>kick</w:t>
      </w:r>
      <w:r>
        <w:rPr>
          <w:spacing w:val="-9"/>
        </w:rPr>
        <w:t> </w:t>
      </w:r>
      <w:r>
        <w:rPr/>
        <w:t>attempt. As</w:t>
      </w:r>
      <w:r>
        <w:rPr>
          <w:spacing w:val="-9"/>
        </w:rPr>
        <w:t> </w:t>
      </w:r>
      <w:r>
        <w:rPr/>
        <w:t>with</w:t>
      </w:r>
      <w:r>
        <w:rPr>
          <w:spacing w:val="-9"/>
        </w:rPr>
        <w:t> </w:t>
      </w:r>
      <w:r>
        <w:rPr/>
        <w:t>previous</w:t>
      </w:r>
      <w:r>
        <w:rPr>
          <w:spacing w:val="-9"/>
        </w:rPr>
        <w:t> </w:t>
      </w:r>
      <w:r>
        <w:rPr/>
        <w:t>chapters,</w:t>
      </w:r>
      <w:r>
        <w:rPr>
          <w:spacing w:val="-8"/>
        </w:rPr>
        <w:t> </w:t>
      </w:r>
      <w:r>
        <w:rPr/>
        <w:t>it</w:t>
      </w:r>
      <w:r>
        <w:rPr>
          <w:spacing w:val="-9"/>
        </w:rPr>
        <w:t> </w:t>
      </w:r>
      <w:r>
        <w:rPr/>
        <w:t>was</w:t>
      </w:r>
      <w:r>
        <w:rPr>
          <w:spacing w:val="-9"/>
        </w:rPr>
        <w:t> </w:t>
      </w:r>
      <w:r>
        <w:rPr/>
        <w:t>possible</w:t>
      </w:r>
      <w:r>
        <w:rPr>
          <w:spacing w:val="-9"/>
        </w:rPr>
        <w:t> </w:t>
      </w:r>
      <w:r>
        <w:rPr/>
        <w:t>for</w:t>
      </w:r>
      <w:r>
        <w:rPr>
          <w:spacing w:val="-9"/>
        </w:rPr>
        <w:t> </w:t>
      </w:r>
      <w:r>
        <w:rPr/>
        <w:t>an</w:t>
      </w:r>
      <w:r>
        <w:rPr>
          <w:spacing w:val="-9"/>
        </w:rPr>
        <w:t> </w:t>
      </w:r>
      <w:r>
        <w:rPr/>
        <w:t>attacking</w:t>
      </w:r>
      <w:r>
        <w:rPr>
          <w:spacing w:val="-9"/>
        </w:rPr>
        <w:t> </w:t>
      </w:r>
      <w:r>
        <w:rPr/>
        <w:t>posses- sion to encompass more plays than the typical attacking set of 6 tackles if an error/foul was made by the opposition team.</w:t>
      </w:r>
    </w:p>
    <w:p>
      <w:pPr>
        <w:pStyle w:val="BodyText"/>
        <w:spacing w:line="312" w:lineRule="auto"/>
        <w:ind w:left="610" w:right="389" w:firstLine="351"/>
      </w:pPr>
      <w:r>
        <w:rPr/>
        <w:t>Possession outcomes were treated as discrete categories in this study to enable </w:t>
      </w:r>
      <w:r>
        <w:rPr/>
        <w:t>the</w:t>
      </w:r>
      <w:r>
        <w:rPr>
          <w:spacing w:val="40"/>
        </w:rPr>
        <w:t> </w:t>
      </w:r>
      <w:r>
        <w:rPr/>
        <w:t>estimation of individual probabilities.</w:t>
      </w:r>
      <w:r>
        <w:rPr>
          <w:spacing w:val="40"/>
        </w:rPr>
        <w:t> </w:t>
      </w:r>
      <w:r>
        <w:rPr/>
        <w:t>Unlike Chapters</w:t>
      </w:r>
      <w:r>
        <w:rPr>
          <w:color w:val="0000FF"/>
        </w:rPr>
        <w:t>3</w:t>
      </w:r>
      <w:r>
        <w:rPr/>
        <w:t>and</w:t>
      </w:r>
      <w:r>
        <w:rPr>
          <w:color w:val="0000FF"/>
        </w:rPr>
        <w:t>4</w:t>
      </w:r>
      <w:r>
        <w:rPr/>
        <w:t>, where every action was</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coded</w:t>
      </w:r>
      <w:r>
        <w:rPr>
          <w:spacing w:val="-6"/>
        </w:rPr>
        <w:t> </w:t>
      </w:r>
      <w:r>
        <w:rPr/>
        <w:t>based</w:t>
      </w:r>
      <w:r>
        <w:rPr>
          <w:spacing w:val="-6"/>
        </w:rPr>
        <w:t> </w:t>
      </w:r>
      <w:r>
        <w:rPr/>
        <w:t>on</w:t>
      </w:r>
      <w:r>
        <w:rPr>
          <w:spacing w:val="-6"/>
        </w:rPr>
        <w:t> </w:t>
      </w:r>
      <w:r>
        <w:rPr/>
        <w:t>its</w:t>
      </w:r>
      <w:r>
        <w:rPr>
          <w:spacing w:val="-6"/>
        </w:rPr>
        <w:t> </w:t>
      </w:r>
      <w:r>
        <w:rPr/>
        <w:t>unique</w:t>
      </w:r>
      <w:r>
        <w:rPr>
          <w:spacing w:val="-6"/>
        </w:rPr>
        <w:t> </w:t>
      </w:r>
      <w:r>
        <w:rPr/>
        <w:t>possession</w:t>
      </w:r>
      <w:r>
        <w:rPr>
          <w:spacing w:val="-6"/>
        </w:rPr>
        <w:t> </w:t>
      </w:r>
      <w:r>
        <w:rPr/>
        <w:t>outcome,</w:t>
      </w:r>
      <w:r>
        <w:rPr>
          <w:spacing w:val="-6"/>
        </w:rPr>
        <w:t> </w:t>
      </w:r>
      <w:r>
        <w:rPr/>
        <w:t>in</w:t>
      </w:r>
      <w:r>
        <w:rPr>
          <w:spacing w:val="-6"/>
        </w:rPr>
        <w:t> </w:t>
      </w:r>
      <w:r>
        <w:rPr/>
        <w:t>this</w:t>
      </w:r>
      <w:r>
        <w:rPr>
          <w:spacing w:val="-6"/>
        </w:rPr>
        <w:t> </w:t>
      </w:r>
      <w:r>
        <w:rPr/>
        <w:t>study,</w:t>
      </w:r>
      <w:r>
        <w:rPr>
          <w:spacing w:val="-5"/>
        </w:rPr>
        <w:t> </w:t>
      </w:r>
      <w:r>
        <w:rPr/>
        <w:t>every</w:t>
      </w:r>
      <w:r>
        <w:rPr>
          <w:spacing w:val="-6"/>
        </w:rPr>
        <w:t> </w:t>
      </w:r>
      <w:r>
        <w:rPr/>
        <w:t>action</w:t>
      </w:r>
      <w:r>
        <w:rPr>
          <w:spacing w:val="-6"/>
        </w:rPr>
        <w:t> </w:t>
      </w:r>
      <w:r>
        <w:rPr/>
        <w:t>in</w:t>
      </w:r>
      <w:r>
        <w:rPr>
          <w:spacing w:val="-6"/>
        </w:rPr>
        <w:t> </w:t>
      </w:r>
      <w:r>
        <w:rPr/>
        <w:t>a</w:t>
      </w:r>
      <w:r>
        <w:rPr>
          <w:spacing w:val="-6"/>
        </w:rPr>
        <w:t> </w:t>
      </w:r>
      <w:r>
        <w:rPr/>
        <w:t>possession was marked with the possession outcome category from the end of the possession.</w:t>
      </w:r>
      <w:r>
        <w:rPr>
          <w:spacing w:val="35"/>
        </w:rPr>
        <w:t> </w:t>
      </w:r>
      <w:r>
        <w:rPr/>
        <w:t>Five possession outcome categories were used:</w:t>
      </w:r>
      <w:r>
        <w:rPr>
          <w:spacing w:val="29"/>
        </w:rPr>
        <w:t> </w:t>
      </w:r>
      <w:r>
        <w:rPr/>
        <w:t>converted try; unconverted try; penalty goal; drop</w:t>
      </w:r>
      <w:r>
        <w:rPr>
          <w:spacing w:val="-11"/>
        </w:rPr>
        <w:t> </w:t>
      </w:r>
      <w:r>
        <w:rPr/>
        <w:t>goal;</w:t>
      </w:r>
      <w:r>
        <w:rPr>
          <w:spacing w:val="-10"/>
        </w:rPr>
        <w:t> </w:t>
      </w:r>
      <w:r>
        <w:rPr/>
        <w:t>and</w:t>
      </w:r>
      <w:r>
        <w:rPr>
          <w:spacing w:val="-11"/>
        </w:rPr>
        <w:t> </w:t>
      </w:r>
      <w:r>
        <w:rPr/>
        <w:t>no</w:t>
      </w:r>
      <w:r>
        <w:rPr>
          <w:spacing w:val="-11"/>
        </w:rPr>
        <w:t> </w:t>
      </w:r>
      <w:r>
        <w:rPr/>
        <w:t>try. These</w:t>
      </w:r>
      <w:r>
        <w:rPr>
          <w:spacing w:val="-11"/>
        </w:rPr>
        <w:t> </w:t>
      </w:r>
      <w:r>
        <w:rPr/>
        <w:t>are</w:t>
      </w:r>
      <w:r>
        <w:rPr>
          <w:spacing w:val="-11"/>
        </w:rPr>
        <w:t> </w:t>
      </w:r>
      <w:r>
        <w:rPr/>
        <w:t>the</w:t>
      </w:r>
      <w:r>
        <w:rPr>
          <w:spacing w:val="-11"/>
        </w:rPr>
        <w:t> </w:t>
      </w:r>
      <w:r>
        <w:rPr/>
        <w:t>same</w:t>
      </w:r>
      <w:r>
        <w:rPr>
          <w:spacing w:val="-11"/>
        </w:rPr>
        <w:t> </w:t>
      </w:r>
      <w:r>
        <w:rPr/>
        <w:t>as</w:t>
      </w:r>
      <w:r>
        <w:rPr>
          <w:spacing w:val="-11"/>
        </w:rPr>
        <w:t> </w:t>
      </w:r>
      <w:r>
        <w:rPr/>
        <w:t>the</w:t>
      </w:r>
      <w:r>
        <w:rPr>
          <w:spacing w:val="-11"/>
        </w:rPr>
        <w:t> </w:t>
      </w:r>
      <w:r>
        <w:rPr/>
        <w:t>rewards</w:t>
      </w:r>
      <w:r>
        <w:rPr>
          <w:spacing w:val="-11"/>
        </w:rPr>
        <w:t> </w:t>
      </w:r>
      <w:r>
        <w:rPr/>
        <w:t>previously</w:t>
      </w:r>
      <w:r>
        <w:rPr>
          <w:spacing w:val="-11"/>
        </w:rPr>
        <w:t> </w:t>
      </w:r>
      <w:r>
        <w:rPr/>
        <w:t>described</w:t>
      </w:r>
      <w:r>
        <w:rPr>
          <w:spacing w:val="-11"/>
        </w:rPr>
        <w:t> </w:t>
      </w:r>
      <w:r>
        <w:rPr/>
        <w:t>in</w:t>
      </w:r>
      <w:r>
        <w:rPr>
          <w:spacing w:val="-11"/>
        </w:rPr>
        <w:t> </w:t>
      </w:r>
      <w:r>
        <w:rPr/>
        <w:t>Chapters </w:t>
      </w:r>
      <w:hyperlink w:history="true" w:anchor="_bookmark48">
        <w:r>
          <w:rPr>
            <w:color w:val="0000FF"/>
          </w:rPr>
          <w:t>3</w:t>
        </w:r>
      </w:hyperlink>
      <w:r>
        <w:rPr/>
        <w:t>and</w:t>
      </w:r>
      <w:r>
        <w:rPr>
          <w:color w:val="0000FF"/>
        </w:rPr>
        <w:t>4</w:t>
      </w:r>
      <w:hyperlink w:history="true" w:anchor="_bookmark92">
        <w:r>
          <w:rPr/>
          <w:t>.</w:t>
        </w:r>
      </w:hyperlink>
      <w:r>
        <w:rPr/>
        <w:t> However, by considering the outcomes discretely (i.e. as categories), rather than providing</w:t>
      </w:r>
      <w:r>
        <w:rPr>
          <w:spacing w:val="-9"/>
        </w:rPr>
        <w:t> </w:t>
      </w:r>
      <w:r>
        <w:rPr/>
        <w:t>a</w:t>
      </w:r>
      <w:r>
        <w:rPr>
          <w:spacing w:val="-8"/>
        </w:rPr>
        <w:t> </w:t>
      </w:r>
      <w:r>
        <w:rPr/>
        <w:t>numerical</w:t>
      </w:r>
      <w:r>
        <w:rPr>
          <w:spacing w:val="-9"/>
        </w:rPr>
        <w:t> </w:t>
      </w:r>
      <w:r>
        <w:rPr/>
        <w:t>value</w:t>
      </w:r>
      <w:r>
        <w:rPr>
          <w:spacing w:val="-8"/>
        </w:rPr>
        <w:t> </w:t>
      </w:r>
      <w:r>
        <w:rPr/>
        <w:t>(e.g. 6</w:t>
      </w:r>
      <w:r>
        <w:rPr>
          <w:spacing w:val="-8"/>
        </w:rPr>
        <w:t> </w:t>
      </w:r>
      <w:r>
        <w:rPr/>
        <w:t>points</w:t>
      </w:r>
      <w:r>
        <w:rPr>
          <w:spacing w:val="-9"/>
        </w:rPr>
        <w:t> </w:t>
      </w:r>
      <w:r>
        <w:rPr/>
        <w:t>for</w:t>
      </w:r>
      <w:r>
        <w:rPr>
          <w:spacing w:val="-8"/>
        </w:rPr>
        <w:t> </w:t>
      </w:r>
      <w:r>
        <w:rPr/>
        <w:t>a</w:t>
      </w:r>
      <w:r>
        <w:rPr>
          <w:spacing w:val="-9"/>
        </w:rPr>
        <w:t> </w:t>
      </w:r>
      <w:r>
        <w:rPr/>
        <w:t>converted</w:t>
      </w:r>
      <w:r>
        <w:rPr>
          <w:spacing w:val="-8"/>
        </w:rPr>
        <w:t> </w:t>
      </w:r>
      <w:r>
        <w:rPr/>
        <w:t>try),</w:t>
      </w:r>
      <w:r>
        <w:rPr>
          <w:spacing w:val="-8"/>
        </w:rPr>
        <w:t> </w:t>
      </w:r>
      <w:r>
        <w:rPr/>
        <w:t>it</w:t>
      </w:r>
      <w:r>
        <w:rPr>
          <w:spacing w:val="-9"/>
        </w:rPr>
        <w:t> </w:t>
      </w:r>
      <w:r>
        <w:rPr/>
        <w:t>was</w:t>
      </w:r>
      <w:r>
        <w:rPr>
          <w:spacing w:val="-8"/>
        </w:rPr>
        <w:t> </w:t>
      </w:r>
      <w:r>
        <w:rPr/>
        <w:t>possible</w:t>
      </w:r>
      <w:r>
        <w:rPr>
          <w:spacing w:val="-9"/>
        </w:rPr>
        <w:t> </w:t>
      </w:r>
      <w:r>
        <w:rPr/>
        <w:t>to</w:t>
      </w:r>
      <w:r>
        <w:rPr>
          <w:spacing w:val="-8"/>
        </w:rPr>
        <w:t> </w:t>
      </w:r>
      <w:r>
        <w:rPr/>
        <w:t>estimate the</w:t>
      </w:r>
      <w:r>
        <w:rPr>
          <w:spacing w:val="-11"/>
        </w:rPr>
        <w:t> </w:t>
      </w:r>
      <w:r>
        <w:rPr/>
        <w:t>probability</w:t>
      </w:r>
      <w:r>
        <w:rPr>
          <w:spacing w:val="-11"/>
        </w:rPr>
        <w:t> </w:t>
      </w:r>
      <w:r>
        <w:rPr/>
        <w:t>of</w:t>
      </w:r>
      <w:r>
        <w:rPr>
          <w:spacing w:val="-11"/>
        </w:rPr>
        <w:t> </w:t>
      </w:r>
      <w:r>
        <w:rPr/>
        <w:t>all</w:t>
      </w:r>
      <w:r>
        <w:rPr>
          <w:spacing w:val="-11"/>
        </w:rPr>
        <w:t> </w:t>
      </w:r>
      <w:r>
        <w:rPr/>
        <w:t>five</w:t>
      </w:r>
      <w:r>
        <w:rPr>
          <w:spacing w:val="-11"/>
        </w:rPr>
        <w:t> </w:t>
      </w:r>
      <w:r>
        <w:rPr/>
        <w:t>possession</w:t>
      </w:r>
      <w:r>
        <w:rPr>
          <w:spacing w:val="-11"/>
        </w:rPr>
        <w:t> </w:t>
      </w:r>
      <w:r>
        <w:rPr/>
        <w:t>outcomes</w:t>
      </w:r>
      <w:r>
        <w:rPr>
          <w:spacing w:val="-11"/>
        </w:rPr>
        <w:t> </w:t>
      </w:r>
      <w:r>
        <w:rPr/>
        <w:t>occurring</w:t>
      </w:r>
      <w:r>
        <w:rPr>
          <w:spacing w:val="-11"/>
        </w:rPr>
        <w:t> </w:t>
      </w:r>
      <w:r>
        <w:rPr/>
        <w:t>from</w:t>
      </w:r>
      <w:r>
        <w:rPr>
          <w:spacing w:val="-11"/>
        </w:rPr>
        <w:t> </w:t>
      </w:r>
      <w:r>
        <w:rPr/>
        <w:t>a</w:t>
      </w:r>
      <w:r>
        <w:rPr>
          <w:spacing w:val="-11"/>
        </w:rPr>
        <w:t> </w:t>
      </w:r>
      <w:r>
        <w:rPr/>
        <w:t>given</w:t>
      </w:r>
      <w:r>
        <w:rPr>
          <w:spacing w:val="-11"/>
        </w:rPr>
        <w:t> </w:t>
      </w:r>
      <w:r>
        <w:rPr/>
        <w:t>location</w:t>
      </w:r>
      <w:r>
        <w:rPr>
          <w:spacing w:val="-11"/>
        </w:rPr>
        <w:t> </w:t>
      </w:r>
      <w:r>
        <w:rPr/>
        <w:t>in</w:t>
      </w:r>
      <w:r>
        <w:rPr>
          <w:spacing w:val="-11"/>
        </w:rPr>
        <w:t> </w:t>
      </w:r>
      <w:r>
        <w:rPr/>
        <w:t>a</w:t>
      </w:r>
      <w:r>
        <w:rPr>
          <w:spacing w:val="-11"/>
        </w:rPr>
        <w:t> </w:t>
      </w:r>
      <w:r>
        <w:rPr/>
        <w:t>single model.</w:t>
      </w:r>
      <w:r>
        <w:rPr>
          <w:spacing w:val="40"/>
        </w:rPr>
        <w:t> </w:t>
      </w:r>
      <w:r>
        <w:rPr/>
        <w:t>No study has yet attempted this method of analysing possession outcomes, but doing so creates an extremely flexible model which can provide detailed insights into</w:t>
      </w:r>
      <w:r>
        <w:rPr>
          <w:spacing w:val="80"/>
        </w:rPr>
        <w:t> </w:t>
      </w:r>
      <w:r>
        <w:rPr/>
        <w:t>team</w:t>
      </w:r>
      <w:r>
        <w:rPr>
          <w:spacing w:val="28"/>
        </w:rPr>
        <w:t> </w:t>
      </w:r>
      <w:r>
        <w:rPr/>
        <w:t>performances.</w:t>
      </w:r>
      <w:r>
        <w:rPr>
          <w:spacing w:val="80"/>
        </w:rPr>
        <w:t> </w:t>
      </w:r>
      <w:r>
        <w:rPr/>
        <w:t>For</w:t>
      </w:r>
      <w:r>
        <w:rPr>
          <w:spacing w:val="28"/>
        </w:rPr>
        <w:t> </w:t>
      </w:r>
      <w:r>
        <w:rPr/>
        <w:t>example,</w:t>
      </w:r>
      <w:r>
        <w:rPr>
          <w:spacing w:val="36"/>
        </w:rPr>
        <w:t> </w:t>
      </w:r>
      <w:r>
        <w:rPr/>
        <w:t>understanding</w:t>
      </w:r>
      <w:r>
        <w:rPr>
          <w:spacing w:val="28"/>
        </w:rPr>
        <w:t> </w:t>
      </w:r>
      <w:r>
        <w:rPr/>
        <w:t>where</w:t>
      </w:r>
      <w:r>
        <w:rPr>
          <w:spacing w:val="28"/>
        </w:rPr>
        <w:t> </w:t>
      </w:r>
      <w:r>
        <w:rPr/>
        <w:t>teams</w:t>
      </w:r>
      <w:r>
        <w:rPr>
          <w:spacing w:val="28"/>
        </w:rPr>
        <w:t> </w:t>
      </w:r>
      <w:r>
        <w:rPr/>
        <w:t>are</w:t>
      </w:r>
      <w:r>
        <w:rPr>
          <w:spacing w:val="28"/>
        </w:rPr>
        <w:t> </w:t>
      </w:r>
      <w:r>
        <w:rPr/>
        <w:t>more</w:t>
      </w:r>
      <w:r>
        <w:rPr>
          <w:spacing w:val="28"/>
        </w:rPr>
        <w:t> </w:t>
      </w:r>
      <w:r>
        <w:rPr/>
        <w:t>likely</w:t>
      </w:r>
      <w:r>
        <w:rPr>
          <w:spacing w:val="28"/>
        </w:rPr>
        <w:t> </w:t>
      </w:r>
      <w:r>
        <w:rPr/>
        <w:t>to</w:t>
      </w:r>
      <w:r>
        <w:rPr>
          <w:spacing w:val="28"/>
        </w:rPr>
        <w:t> </w:t>
      </w:r>
      <w:r>
        <w:rPr/>
        <w:t>end possessions</w:t>
      </w:r>
      <w:r>
        <w:rPr>
          <w:spacing w:val="-2"/>
        </w:rPr>
        <w:t> </w:t>
      </w:r>
      <w:r>
        <w:rPr/>
        <w:t>by</w:t>
      </w:r>
      <w:r>
        <w:rPr>
          <w:spacing w:val="-2"/>
        </w:rPr>
        <w:t> </w:t>
      </w:r>
      <w:r>
        <w:rPr/>
        <w:t>scoring</w:t>
      </w:r>
      <w:r>
        <w:rPr>
          <w:spacing w:val="-1"/>
        </w:rPr>
        <w:t> </w:t>
      </w:r>
      <w:r>
        <w:rPr/>
        <w:t>drop</w:t>
      </w:r>
      <w:r>
        <w:rPr>
          <w:spacing w:val="-2"/>
        </w:rPr>
        <w:t> </w:t>
      </w:r>
      <w:r>
        <w:rPr/>
        <w:t>goals</w:t>
      </w:r>
      <w:r>
        <w:rPr>
          <w:spacing w:val="-2"/>
        </w:rPr>
        <w:t> </w:t>
      </w:r>
      <w:r>
        <w:rPr/>
        <w:t>or</w:t>
      </w:r>
      <w:r>
        <w:rPr>
          <w:spacing w:val="-2"/>
        </w:rPr>
        <w:t> </w:t>
      </w:r>
      <w:r>
        <w:rPr/>
        <w:t>penalty</w:t>
      </w:r>
      <w:r>
        <w:rPr>
          <w:spacing w:val="-1"/>
        </w:rPr>
        <w:t> </w:t>
      </w:r>
      <w:r>
        <w:rPr/>
        <w:t>goals</w:t>
      </w:r>
      <w:r>
        <w:rPr>
          <w:spacing w:val="-2"/>
        </w:rPr>
        <w:t> </w:t>
      </w:r>
      <w:r>
        <w:rPr/>
        <w:t>is</w:t>
      </w:r>
      <w:r>
        <w:rPr>
          <w:spacing w:val="-2"/>
        </w:rPr>
        <w:t> </w:t>
      </w:r>
      <w:r>
        <w:rPr/>
        <w:t>useful</w:t>
      </w:r>
      <w:r>
        <w:rPr>
          <w:spacing w:val="-2"/>
        </w:rPr>
        <w:t> </w:t>
      </w:r>
      <w:r>
        <w:rPr/>
        <w:t>when</w:t>
      </w:r>
      <w:r>
        <w:rPr>
          <w:spacing w:val="-2"/>
        </w:rPr>
        <w:t> </w:t>
      </w:r>
      <w:r>
        <w:rPr/>
        <w:t>preparing</w:t>
      </w:r>
      <w:r>
        <w:rPr>
          <w:spacing w:val="-1"/>
        </w:rPr>
        <w:t> </w:t>
      </w:r>
      <w:r>
        <w:rPr/>
        <w:t>strategies</w:t>
      </w:r>
      <w:r>
        <w:rPr>
          <w:spacing w:val="-2"/>
        </w:rPr>
        <w:t> </w:t>
      </w:r>
      <w:r>
        <w:rPr/>
        <w:t>to face</w:t>
      </w:r>
      <w:r>
        <w:rPr>
          <w:spacing w:val="-15"/>
        </w:rPr>
        <w:t> </w:t>
      </w:r>
      <w:r>
        <w:rPr/>
        <w:t>opposition</w:t>
      </w:r>
      <w:r>
        <w:rPr>
          <w:spacing w:val="-15"/>
        </w:rPr>
        <w:t> </w:t>
      </w:r>
      <w:r>
        <w:rPr/>
        <w:t>teams.</w:t>
      </w:r>
      <w:r>
        <w:rPr>
          <w:spacing w:val="-1"/>
        </w:rPr>
        <w:t> </w:t>
      </w:r>
      <w:r>
        <w:rPr/>
        <w:t>Similarly,</w:t>
      </w:r>
      <w:r>
        <w:rPr>
          <w:spacing w:val="-13"/>
        </w:rPr>
        <w:t> </w:t>
      </w:r>
      <w:r>
        <w:rPr/>
        <w:t>it</w:t>
      </w:r>
      <w:r>
        <w:rPr>
          <w:spacing w:val="-15"/>
        </w:rPr>
        <w:t> </w:t>
      </w:r>
      <w:r>
        <w:rPr/>
        <w:t>allows</w:t>
      </w:r>
      <w:r>
        <w:rPr>
          <w:spacing w:val="-15"/>
        </w:rPr>
        <w:t> </w:t>
      </w:r>
      <w:r>
        <w:rPr/>
        <w:t>visualisation</w:t>
      </w:r>
      <w:r>
        <w:rPr>
          <w:spacing w:val="-15"/>
        </w:rPr>
        <w:t> </w:t>
      </w:r>
      <w:r>
        <w:rPr/>
        <w:t>of</w:t>
      </w:r>
      <w:r>
        <w:rPr>
          <w:spacing w:val="-15"/>
        </w:rPr>
        <w:t> </w:t>
      </w:r>
      <w:r>
        <w:rPr/>
        <w:t>those</w:t>
      </w:r>
      <w:r>
        <w:rPr>
          <w:spacing w:val="-15"/>
        </w:rPr>
        <w:t> </w:t>
      </w:r>
      <w:r>
        <w:rPr/>
        <w:t>areas</w:t>
      </w:r>
      <w:r>
        <w:rPr>
          <w:spacing w:val="-15"/>
        </w:rPr>
        <w:t> </w:t>
      </w:r>
      <w:r>
        <w:rPr/>
        <w:t>on</w:t>
      </w:r>
      <w:r>
        <w:rPr>
          <w:spacing w:val="-15"/>
        </w:rPr>
        <w:t> </w:t>
      </w:r>
      <w:r>
        <w:rPr/>
        <w:t>the</w:t>
      </w:r>
      <w:r>
        <w:rPr>
          <w:spacing w:val="-15"/>
        </w:rPr>
        <w:t> </w:t>
      </w:r>
      <w:r>
        <w:rPr/>
        <w:t>pitch</w:t>
      </w:r>
      <w:r>
        <w:rPr>
          <w:spacing w:val="-15"/>
        </w:rPr>
        <w:t> </w:t>
      </w:r>
      <w:r>
        <w:rPr/>
        <w:t>that</w:t>
      </w:r>
      <w:r>
        <w:rPr>
          <w:spacing w:val="-15"/>
        </w:rPr>
        <w:t> </w:t>
      </w:r>
      <w:r>
        <w:rPr/>
        <w:t>are most</w:t>
      </w:r>
      <w:r>
        <w:rPr>
          <w:spacing w:val="-9"/>
        </w:rPr>
        <w:t> </w:t>
      </w:r>
      <w:r>
        <w:rPr/>
        <w:t>likely</w:t>
      </w:r>
      <w:r>
        <w:rPr>
          <w:spacing w:val="-9"/>
        </w:rPr>
        <w:t> </w:t>
      </w:r>
      <w:r>
        <w:rPr/>
        <w:t>to</w:t>
      </w:r>
      <w:r>
        <w:rPr>
          <w:spacing w:val="-9"/>
        </w:rPr>
        <w:t> </w:t>
      </w:r>
      <w:r>
        <w:rPr/>
        <w:t>result</w:t>
      </w:r>
      <w:r>
        <w:rPr>
          <w:spacing w:val="-9"/>
        </w:rPr>
        <w:t> </w:t>
      </w:r>
      <w:r>
        <w:rPr/>
        <w:t>in</w:t>
      </w:r>
      <w:r>
        <w:rPr>
          <w:spacing w:val="-9"/>
        </w:rPr>
        <w:t> </w:t>
      </w:r>
      <w:r>
        <w:rPr/>
        <w:t>tries</w:t>
      </w:r>
      <w:r>
        <w:rPr>
          <w:spacing w:val="-9"/>
        </w:rPr>
        <w:t> </w:t>
      </w:r>
      <w:r>
        <w:rPr/>
        <w:t>being</w:t>
      </w:r>
      <w:r>
        <w:rPr>
          <w:spacing w:val="-9"/>
        </w:rPr>
        <w:t> </w:t>
      </w:r>
      <w:r>
        <w:rPr/>
        <w:t>scored</w:t>
      </w:r>
      <w:r>
        <w:rPr>
          <w:spacing w:val="-9"/>
        </w:rPr>
        <w:t> </w:t>
      </w:r>
      <w:r>
        <w:rPr/>
        <w:t>by</w:t>
      </w:r>
      <w:r>
        <w:rPr>
          <w:spacing w:val="-9"/>
        </w:rPr>
        <w:t> </w:t>
      </w:r>
      <w:r>
        <w:rPr/>
        <w:t>the</w:t>
      </w:r>
      <w:r>
        <w:rPr>
          <w:spacing w:val="-9"/>
        </w:rPr>
        <w:t> </w:t>
      </w:r>
      <w:r>
        <w:rPr/>
        <w:t>opposition</w:t>
      </w:r>
      <w:r>
        <w:rPr>
          <w:spacing w:val="-9"/>
        </w:rPr>
        <w:t> </w:t>
      </w:r>
      <w:r>
        <w:rPr/>
        <w:t>team. It</w:t>
      </w:r>
      <w:r>
        <w:rPr>
          <w:spacing w:val="-9"/>
        </w:rPr>
        <w:t> </w:t>
      </w:r>
      <w:r>
        <w:rPr/>
        <w:t>would</w:t>
      </w:r>
      <w:r>
        <w:rPr>
          <w:spacing w:val="-9"/>
        </w:rPr>
        <w:t> </w:t>
      </w:r>
      <w:r>
        <w:rPr/>
        <w:t>not</w:t>
      </w:r>
      <w:r>
        <w:rPr>
          <w:spacing w:val="-9"/>
        </w:rPr>
        <w:t> </w:t>
      </w:r>
      <w:r>
        <w:rPr/>
        <w:t>be</w:t>
      </w:r>
      <w:r>
        <w:rPr>
          <w:spacing w:val="-9"/>
        </w:rPr>
        <w:t> </w:t>
      </w:r>
      <w:r>
        <w:rPr/>
        <w:t>possible to gain these insights if the numerical value of the possession outcome was aggregated like in previous Markov models (Chapters</w:t>
      </w:r>
      <w:r>
        <w:rPr>
          <w:color w:val="0000FF"/>
        </w:rPr>
        <w:t>3</w:t>
      </w:r>
      <w:r>
        <w:rPr/>
        <w:t>and</w:t>
      </w:r>
      <w:r>
        <w:rPr>
          <w:color w:val="0000FF"/>
        </w:rPr>
        <w:t>4</w:t>
      </w:r>
      <w:r>
        <w:rPr/>
        <w:t>;</w:t>
      </w:r>
      <w:hyperlink w:history="true" w:anchor="_bookmark92">
        <w:r>
          <w:rPr>
            <w:color w:val="FF0000"/>
          </w:rPr>
          <w:t>Cerv</w:t>
        </w:r>
      </w:hyperlink>
      <w:hyperlink w:history="true" w:anchor="_bookmark231">
        <w:r>
          <w:rPr>
            <w:color w:val="FF0000"/>
          </w:rPr>
          <w:t>one et al.</w:t>
        </w:r>
        <w:r>
          <w:rPr/>
          <w:t>(</w:t>
        </w:r>
      </w:hyperlink>
      <w:r>
        <w:rPr>
          <w:color w:val="FF0000"/>
        </w:rPr>
        <w:t>2016</w:t>
      </w:r>
      <w:hyperlink w:history="true" w:anchor="_bookmark231">
        <w:r>
          <w:rPr/>
          <w:t>);</w:t>
        </w:r>
      </w:hyperlink>
      <w:r>
        <w:rPr>
          <w:color w:val="FF0000"/>
        </w:rPr>
        <w:t>Chan </w:t>
      </w:r>
      <w:hyperlink w:history="true" w:anchor="_bookmark232">
        <w:r>
          <w:rPr>
            <w:color w:val="FF0000"/>
          </w:rPr>
          <w:t>et al.</w:t>
        </w:r>
      </w:hyperlink>
      <w:r>
        <w:rPr>
          <w:color w:val="FF0000"/>
        </w:rPr>
        <w:t> </w:t>
      </w:r>
      <w:r>
        <w:rPr/>
        <w:t>(</w:t>
      </w:r>
      <w:hyperlink w:history="true" w:anchor="_bookmark232">
        <w:r>
          <w:rPr>
            <w:color w:val="FF0000"/>
          </w:rPr>
          <w:t>2021</w:t>
        </w:r>
      </w:hyperlink>
      <w:r>
        <w:rPr/>
        <w:t>);</w:t>
      </w:r>
      <w:hyperlink w:history="true" w:anchor="_bookmark263">
        <w:r>
          <w:rPr>
            <w:color w:val="FF0000"/>
          </w:rPr>
          <w:t>Kempton et al.</w:t>
        </w:r>
        <w:r>
          <w:rPr/>
          <w:t>(</w:t>
        </w:r>
      </w:hyperlink>
      <w:hyperlink w:history="true" w:anchor="_bookmark263">
        <w:r>
          <w:rPr>
            <w:color w:val="FF0000"/>
          </w:rPr>
          <w:t>2016</w:t>
        </w:r>
      </w:hyperlink>
      <w:r>
        <w:rPr/>
        <w:t>)).</w:t>
      </w:r>
    </w:p>
    <w:p>
      <w:pPr>
        <w:pStyle w:val="BodyText"/>
        <w:spacing w:line="312" w:lineRule="auto"/>
        <w:ind w:left="610" w:right="389" w:firstLine="351"/>
      </w:pPr>
      <w:r>
        <w:rPr/>
        <w:t>To</w:t>
      </w:r>
      <w:r>
        <w:rPr>
          <w:spacing w:val="-10"/>
        </w:rPr>
        <w:t> </w:t>
      </w:r>
      <w:r>
        <w:rPr/>
        <w:t>enable</w:t>
      </w:r>
      <w:r>
        <w:rPr>
          <w:spacing w:val="-11"/>
        </w:rPr>
        <w:t> </w:t>
      </w:r>
      <w:r>
        <w:rPr/>
        <w:t>the</w:t>
      </w:r>
      <w:r>
        <w:rPr>
          <w:spacing w:val="-10"/>
        </w:rPr>
        <w:t> </w:t>
      </w:r>
      <w:r>
        <w:rPr/>
        <w:t>estimation</w:t>
      </w:r>
      <w:r>
        <w:rPr>
          <w:spacing w:val="-11"/>
        </w:rPr>
        <w:t> </w:t>
      </w:r>
      <w:r>
        <w:rPr/>
        <w:t>of</w:t>
      </w:r>
      <w:r>
        <w:rPr>
          <w:spacing w:val="-10"/>
        </w:rPr>
        <w:t> </w:t>
      </w:r>
      <w:r>
        <w:rPr/>
        <w:t>individual</w:t>
      </w:r>
      <w:r>
        <w:rPr>
          <w:spacing w:val="-10"/>
        </w:rPr>
        <w:t> </w:t>
      </w:r>
      <w:r>
        <w:rPr/>
        <w:t>possession</w:t>
      </w:r>
      <w:r>
        <w:rPr>
          <w:spacing w:val="-11"/>
        </w:rPr>
        <w:t> </w:t>
      </w:r>
      <w:r>
        <w:rPr/>
        <w:t>outcomes</w:t>
      </w:r>
      <w:r>
        <w:rPr>
          <w:spacing w:val="-10"/>
        </w:rPr>
        <w:t> </w:t>
      </w:r>
      <w:r>
        <w:rPr/>
        <w:t>at</w:t>
      </w:r>
      <w:r>
        <w:rPr>
          <w:spacing w:val="-11"/>
        </w:rPr>
        <w:t> </w:t>
      </w:r>
      <w:r>
        <w:rPr/>
        <w:t>multiple</w:t>
      </w:r>
      <w:r>
        <w:rPr>
          <w:spacing w:val="-10"/>
        </w:rPr>
        <w:t> </w:t>
      </w:r>
      <w:r>
        <w:rPr/>
        <w:t>levels</w:t>
      </w:r>
      <w:r>
        <w:rPr>
          <w:spacing w:val="-10"/>
        </w:rPr>
        <w:t> </w:t>
      </w:r>
      <w:r>
        <w:rPr/>
        <w:t>of</w:t>
      </w:r>
      <w:r>
        <w:rPr>
          <w:spacing w:val="-11"/>
        </w:rPr>
        <w:t> </w:t>
      </w:r>
      <w:r>
        <w:rPr/>
        <w:t>anal- ysis, the data for this study were organised into 25 subsets.</w:t>
      </w:r>
      <w:r>
        <w:rPr>
          <w:spacing w:val="40"/>
        </w:rPr>
        <w:t> </w:t>
      </w:r>
      <w:r>
        <w:rPr/>
        <w:t>Similar to Chapter</w:t>
      </w:r>
      <w:r>
        <w:rPr>
          <w:color w:val="0000FF"/>
        </w:rPr>
        <w:t>5</w:t>
      </w:r>
      <w:hyperlink w:history="true" w:anchor="_bookmark122">
        <w:r>
          <w:rPr/>
          <w:t>,</w:t>
        </w:r>
      </w:hyperlink>
      <w:r>
        <w:rPr/>
        <w:t> 13 of these subsets represented the whole league data (1) and team attacking data (12).</w:t>
      </w:r>
      <w:r>
        <w:rPr>
          <w:spacing w:val="40"/>
        </w:rPr>
        <w:t> </w:t>
      </w:r>
      <w:r>
        <w:rPr/>
        <w:t>After considering the feedback from Chapter</w:t>
      </w:r>
      <w:r>
        <w:rPr>
          <w:color w:val="0000FF"/>
        </w:rPr>
        <w:t>5</w:t>
      </w:r>
      <w:hyperlink w:history="true" w:anchor="_bookmark122">
        <w:r>
          <w:rPr/>
          <w:t>,</w:t>
        </w:r>
      </w:hyperlink>
      <w:r>
        <w:rPr/>
        <w:t> this study also utilised 12 subsets representing team defending data (i.e.</w:t>
      </w:r>
      <w:r>
        <w:rPr>
          <w:spacing w:val="80"/>
        </w:rPr>
        <w:t> </w:t>
      </w:r>
      <w:r>
        <w:rPr/>
        <w:t>all actions taken against that team).</w:t>
      </w:r>
      <w:r>
        <w:rPr>
          <w:spacing w:val="80"/>
        </w:rPr>
        <w:t> </w:t>
      </w:r>
      <w:r>
        <w:rPr/>
        <w:t>Table</w:t>
      </w:r>
      <w:hyperlink w:history="true" w:anchor="_bookmark175">
        <w:r>
          <w:rPr>
            <w:color w:val="0000FF"/>
          </w:rPr>
          <w:t>6.1</w:t>
        </w:r>
      </w:hyperlink>
      <w:r>
        <w:rPr/>
        <w:t>provides de-</w:t>
      </w:r>
      <w:r>
        <w:rPr>
          <w:spacing w:val="40"/>
        </w:rPr>
        <w:t> </w:t>
      </w:r>
      <w:r>
        <w:rPr/>
        <w:t>scriptive statistics for the subsets of data included within the study.</w:t>
      </w:r>
      <w:r>
        <w:rPr>
          <w:spacing w:val="31"/>
        </w:rPr>
        <w:t> </w:t>
      </w:r>
      <w:r>
        <w:rPr/>
        <w:t>There is remarkable similarity in the median number of observations per team attacking and team defending subsets,</w:t>
      </w:r>
      <w:r>
        <w:rPr>
          <w:spacing w:val="-13"/>
        </w:rPr>
        <w:t> </w:t>
      </w:r>
      <w:r>
        <w:rPr/>
        <w:t>but</w:t>
      </w:r>
      <w:r>
        <w:rPr>
          <w:spacing w:val="-15"/>
        </w:rPr>
        <w:t> </w:t>
      </w:r>
      <w:r>
        <w:rPr/>
        <w:t>more</w:t>
      </w:r>
      <w:r>
        <w:rPr>
          <w:spacing w:val="-15"/>
        </w:rPr>
        <w:t> </w:t>
      </w:r>
      <w:r>
        <w:rPr/>
        <w:t>variability</w:t>
      </w:r>
      <w:r>
        <w:rPr>
          <w:spacing w:val="-15"/>
        </w:rPr>
        <w:t> </w:t>
      </w:r>
      <w:r>
        <w:rPr/>
        <w:t>in</w:t>
      </w:r>
      <w:r>
        <w:rPr>
          <w:spacing w:val="-15"/>
        </w:rPr>
        <w:t> </w:t>
      </w:r>
      <w:r>
        <w:rPr/>
        <w:t>the</w:t>
      </w:r>
      <w:r>
        <w:rPr>
          <w:spacing w:val="-15"/>
        </w:rPr>
        <w:t> </w:t>
      </w:r>
      <w:r>
        <w:rPr/>
        <w:t>attacking</w:t>
      </w:r>
      <w:r>
        <w:rPr>
          <w:spacing w:val="-15"/>
        </w:rPr>
        <w:t> </w:t>
      </w:r>
      <w:r>
        <w:rPr/>
        <w:t>subsets.</w:t>
      </w:r>
      <w:r>
        <w:rPr>
          <w:spacing w:val="3"/>
        </w:rPr>
        <w:t> </w:t>
      </w:r>
      <w:r>
        <w:rPr/>
        <w:t>This</w:t>
      </w:r>
      <w:r>
        <w:rPr>
          <w:spacing w:val="-15"/>
        </w:rPr>
        <w:t> </w:t>
      </w:r>
      <w:r>
        <w:rPr/>
        <w:t>variability</w:t>
      </w:r>
      <w:r>
        <w:rPr>
          <w:spacing w:val="-15"/>
        </w:rPr>
        <w:t> </w:t>
      </w:r>
      <w:r>
        <w:rPr/>
        <w:t>suggests</w:t>
      </w:r>
      <w:r>
        <w:rPr>
          <w:spacing w:val="-15"/>
        </w:rPr>
        <w:t> </w:t>
      </w:r>
      <w:r>
        <w:rPr/>
        <w:t>the</w:t>
      </w:r>
      <w:r>
        <w:rPr>
          <w:spacing w:val="-15"/>
        </w:rPr>
        <w:t> </w:t>
      </w:r>
      <w:r>
        <w:rPr/>
        <w:t>number of</w:t>
      </w:r>
      <w:r>
        <w:rPr>
          <w:spacing w:val="-9"/>
        </w:rPr>
        <w:t> </w:t>
      </w:r>
      <w:r>
        <w:rPr/>
        <w:t>actions</w:t>
      </w:r>
      <w:r>
        <w:rPr>
          <w:spacing w:val="-9"/>
        </w:rPr>
        <w:t> </w:t>
      </w:r>
      <w:r>
        <w:rPr/>
        <w:t>a</w:t>
      </w:r>
      <w:r>
        <w:rPr>
          <w:spacing w:val="-9"/>
        </w:rPr>
        <w:t> </w:t>
      </w:r>
      <w:r>
        <w:rPr/>
        <w:t>team</w:t>
      </w:r>
      <w:r>
        <w:rPr>
          <w:spacing w:val="-9"/>
        </w:rPr>
        <w:t> </w:t>
      </w:r>
      <w:r>
        <w:rPr/>
        <w:t>performs</w:t>
      </w:r>
      <w:r>
        <w:rPr>
          <w:spacing w:val="-9"/>
        </w:rPr>
        <w:t> </w:t>
      </w:r>
      <w:r>
        <w:rPr/>
        <w:t>when</w:t>
      </w:r>
      <w:r>
        <w:rPr>
          <w:spacing w:val="-9"/>
        </w:rPr>
        <w:t> </w:t>
      </w:r>
      <w:r>
        <w:rPr/>
        <w:t>attacking</w:t>
      </w:r>
      <w:r>
        <w:rPr>
          <w:spacing w:val="-9"/>
        </w:rPr>
        <w:t> </w:t>
      </w:r>
      <w:r>
        <w:rPr/>
        <w:t>is</w:t>
      </w:r>
      <w:r>
        <w:rPr>
          <w:spacing w:val="-9"/>
        </w:rPr>
        <w:t> </w:t>
      </w:r>
      <w:r>
        <w:rPr/>
        <w:t>more</w:t>
      </w:r>
      <w:r>
        <w:rPr>
          <w:spacing w:val="-9"/>
        </w:rPr>
        <w:t> </w:t>
      </w:r>
      <w:r>
        <w:rPr/>
        <w:t>varied</w:t>
      </w:r>
      <w:r>
        <w:rPr>
          <w:spacing w:val="-9"/>
        </w:rPr>
        <w:t> </w:t>
      </w:r>
      <w:r>
        <w:rPr/>
        <w:t>than</w:t>
      </w:r>
      <w:r>
        <w:rPr>
          <w:spacing w:val="-9"/>
        </w:rPr>
        <w:t> </w:t>
      </w:r>
      <w:r>
        <w:rPr/>
        <w:t>the</w:t>
      </w:r>
      <w:r>
        <w:rPr>
          <w:spacing w:val="-9"/>
        </w:rPr>
        <w:t> </w:t>
      </w:r>
      <w:r>
        <w:rPr/>
        <w:t>number</w:t>
      </w:r>
      <w:r>
        <w:rPr>
          <w:spacing w:val="-9"/>
        </w:rPr>
        <w:t> </w:t>
      </w:r>
      <w:r>
        <w:rPr/>
        <w:t>of</w:t>
      </w:r>
      <w:r>
        <w:rPr>
          <w:spacing w:val="-9"/>
        </w:rPr>
        <w:t> </w:t>
      </w:r>
      <w:r>
        <w:rPr/>
        <w:t>actions</w:t>
      </w:r>
      <w:r>
        <w:rPr>
          <w:spacing w:val="-9"/>
        </w:rPr>
        <w:t> </w:t>
      </w:r>
      <w:r>
        <w:rPr/>
        <w:t>they face when defending.</w:t>
      </w:r>
    </w:p>
    <w:p>
      <w:pPr>
        <w:pStyle w:val="BodyText"/>
        <w:spacing w:line="309" w:lineRule="auto"/>
        <w:ind w:left="610" w:right="389" w:firstLine="351"/>
      </w:pPr>
      <w:r>
        <w:rPr/>
        <w:t>The</w:t>
      </w:r>
      <w:r>
        <w:rPr>
          <w:spacing w:val="-12"/>
        </w:rPr>
        <w:t> </w:t>
      </w:r>
      <w:r>
        <w:rPr/>
        <w:t>final</w:t>
      </w:r>
      <w:r>
        <w:rPr>
          <w:spacing w:val="-12"/>
        </w:rPr>
        <w:t> </w:t>
      </w:r>
      <w:r>
        <w:rPr/>
        <w:t>dataset</w:t>
      </w:r>
      <w:r>
        <w:rPr>
          <w:spacing w:val="-12"/>
        </w:rPr>
        <w:t> </w:t>
      </w:r>
      <w:r>
        <w:rPr/>
        <w:t>contained</w:t>
      </w:r>
      <w:r>
        <w:rPr>
          <w:spacing w:val="-12"/>
        </w:rPr>
        <w:t> </w:t>
      </w:r>
      <w:r>
        <w:rPr/>
        <w:t>99,966</w:t>
      </w:r>
      <w:r>
        <w:rPr>
          <w:spacing w:val="-12"/>
        </w:rPr>
        <w:t> </w:t>
      </w:r>
      <w:r>
        <w:rPr/>
        <w:t>observations</w:t>
      </w:r>
      <w:r>
        <w:rPr>
          <w:spacing w:val="-12"/>
        </w:rPr>
        <w:t> </w:t>
      </w:r>
      <w:r>
        <w:rPr/>
        <w:t>and</w:t>
      </w:r>
      <w:r>
        <w:rPr>
          <w:spacing w:val="-12"/>
        </w:rPr>
        <w:t> </w:t>
      </w:r>
      <w:r>
        <w:rPr/>
        <w:t>7</w:t>
      </w:r>
      <w:r>
        <w:rPr>
          <w:spacing w:val="-12"/>
        </w:rPr>
        <w:t> </w:t>
      </w:r>
      <w:r>
        <w:rPr/>
        <w:t>columns. Included</w:t>
      </w:r>
      <w:r>
        <w:rPr>
          <w:spacing w:val="-12"/>
        </w:rPr>
        <w:t> </w:t>
      </w:r>
      <w:r>
        <w:rPr/>
        <w:t>within</w:t>
      </w:r>
      <w:r>
        <w:rPr>
          <w:spacing w:val="-12"/>
        </w:rPr>
        <w:t> </w:t>
      </w:r>
      <w:r>
        <w:rPr/>
        <w:t>these columns</w:t>
      </w:r>
      <w:r>
        <w:rPr>
          <w:spacing w:val="-3"/>
        </w:rPr>
        <w:t> </w:t>
      </w:r>
      <w:r>
        <w:rPr/>
        <w:t>were: the</w:t>
      </w:r>
      <w:r>
        <w:rPr>
          <w:spacing w:val="-3"/>
        </w:rPr>
        <w:t> </w:t>
      </w:r>
      <w:r>
        <w:rPr/>
        <w:t>attacking</w:t>
      </w:r>
      <w:r>
        <w:rPr>
          <w:spacing w:val="-3"/>
        </w:rPr>
        <w:t> </w:t>
      </w:r>
      <w:r>
        <w:rPr/>
        <w:t>and</w:t>
      </w:r>
      <w:r>
        <w:rPr>
          <w:spacing w:val="-3"/>
        </w:rPr>
        <w:t> </w:t>
      </w:r>
      <w:r>
        <w:rPr/>
        <w:t>defending</w:t>
      </w:r>
      <w:r>
        <w:rPr>
          <w:spacing w:val="-3"/>
        </w:rPr>
        <w:t> </w:t>
      </w:r>
      <w:r>
        <w:rPr/>
        <w:t>team,</w:t>
      </w:r>
      <w:r>
        <w:rPr>
          <w:spacing w:val="-2"/>
        </w:rPr>
        <w:t> </w:t>
      </w:r>
      <w:r>
        <w:rPr/>
        <w:t>which</w:t>
      </w:r>
      <w:r>
        <w:rPr>
          <w:spacing w:val="-3"/>
        </w:rPr>
        <w:t> </w:t>
      </w:r>
      <w:r>
        <w:rPr/>
        <w:t>acted</w:t>
      </w:r>
      <w:r>
        <w:rPr>
          <w:spacing w:val="-3"/>
        </w:rPr>
        <w:t> </w:t>
      </w:r>
      <w:r>
        <w:rPr/>
        <w:t>as</w:t>
      </w:r>
      <w:r>
        <w:rPr>
          <w:spacing w:val="-3"/>
        </w:rPr>
        <w:t> </w:t>
      </w:r>
      <w:r>
        <w:rPr/>
        <w:t>identifiers</w:t>
      </w:r>
      <w:r>
        <w:rPr>
          <w:spacing w:val="-3"/>
        </w:rPr>
        <w:t> </w:t>
      </w:r>
      <w:r>
        <w:rPr/>
        <w:t>for</w:t>
      </w:r>
      <w:r>
        <w:rPr>
          <w:spacing w:val="-3"/>
        </w:rPr>
        <w:t> </w:t>
      </w:r>
      <w:r>
        <w:rPr/>
        <w:t>data</w:t>
      </w:r>
      <w:r>
        <w:rPr>
          <w:spacing w:val="-3"/>
        </w:rPr>
        <w:t> </w:t>
      </w:r>
      <w:r>
        <w:rPr/>
        <w:t>sub- sets;</w:t>
      </w:r>
      <w:r>
        <w:rPr>
          <w:spacing w:val="-8"/>
        </w:rPr>
        <w:t> </w:t>
      </w:r>
      <w:r>
        <w:rPr/>
        <w:t>the</w:t>
      </w:r>
      <w:r>
        <w:rPr>
          <w:spacing w:val="-8"/>
        </w:rPr>
        <w:t> </w:t>
      </w:r>
      <w:r>
        <w:rPr/>
        <w:t>player</w:t>
      </w:r>
      <w:r>
        <w:rPr>
          <w:spacing w:val="-7"/>
        </w:rPr>
        <w:t> </w:t>
      </w:r>
      <w:r>
        <w:rPr/>
        <w:t>ID,</w:t>
      </w:r>
      <w:r>
        <w:rPr>
          <w:spacing w:val="-7"/>
        </w:rPr>
        <w:t> </w:t>
      </w:r>
      <w:r>
        <w:rPr/>
        <w:t>which</w:t>
      </w:r>
      <w:r>
        <w:rPr>
          <w:spacing w:val="-7"/>
        </w:rPr>
        <w:t> </w:t>
      </w:r>
      <w:r>
        <w:rPr/>
        <w:t>allowed</w:t>
      </w:r>
      <w:r>
        <w:rPr>
          <w:spacing w:val="-7"/>
        </w:rPr>
        <w:t> </w:t>
      </w:r>
      <w:r>
        <w:rPr/>
        <w:t>player</w:t>
      </w:r>
      <w:r>
        <w:rPr>
          <w:spacing w:val="-7"/>
        </w:rPr>
        <w:t> </w:t>
      </w:r>
      <w:r>
        <w:rPr/>
        <w:t>performances</w:t>
      </w:r>
      <w:r>
        <w:rPr>
          <w:spacing w:val="-7"/>
        </w:rPr>
        <w:t> </w:t>
      </w:r>
      <w:r>
        <w:rPr/>
        <w:t>to</w:t>
      </w:r>
      <w:r>
        <w:rPr>
          <w:spacing w:val="-8"/>
        </w:rPr>
        <w:t> </w:t>
      </w:r>
      <w:r>
        <w:rPr/>
        <w:t>be</w:t>
      </w:r>
      <w:r>
        <w:rPr>
          <w:spacing w:val="-7"/>
        </w:rPr>
        <w:t> </w:t>
      </w:r>
      <w:r>
        <w:rPr/>
        <w:t>evaluated;</w:t>
      </w:r>
      <w:r>
        <w:rPr>
          <w:spacing w:val="-6"/>
        </w:rPr>
        <w:t> </w:t>
      </w:r>
      <w:r>
        <w:rPr/>
        <w:t>the</w:t>
      </w:r>
      <w:r>
        <w:rPr>
          <w:spacing w:val="-7"/>
        </w:rPr>
        <w:t> </w:t>
      </w:r>
      <w:r>
        <w:rPr>
          <w:rFonts w:ascii="Cambria"/>
        </w:rPr>
        <w:t>x,</w:t>
      </w:r>
      <w:r>
        <w:rPr>
          <w:rFonts w:ascii="Cambria"/>
          <w:spacing w:val="-14"/>
        </w:rPr>
        <w:t> </w:t>
      </w:r>
      <w:r>
        <w:rPr>
          <w:rFonts w:ascii="Cambria"/>
        </w:rPr>
        <w:t>y </w:t>
      </w:r>
      <w:r>
        <w:rPr/>
        <w:t>locations of</w:t>
      </w:r>
      <w:r>
        <w:rPr>
          <w:spacing w:val="-8"/>
        </w:rPr>
        <w:t> </w:t>
      </w:r>
      <w:r>
        <w:rPr/>
        <w:t>every</w:t>
      </w:r>
      <w:r>
        <w:rPr>
          <w:spacing w:val="-8"/>
        </w:rPr>
        <w:t> </w:t>
      </w:r>
      <w:r>
        <w:rPr/>
        <w:t>action;</w:t>
      </w:r>
      <w:r>
        <w:rPr>
          <w:spacing w:val="-8"/>
        </w:rPr>
        <w:t> </w:t>
      </w:r>
      <w:r>
        <w:rPr/>
        <w:t>the</w:t>
      </w:r>
      <w:r>
        <w:rPr>
          <w:spacing w:val="-9"/>
        </w:rPr>
        <w:t> </w:t>
      </w:r>
      <w:r>
        <w:rPr/>
        <w:t>possession</w:t>
      </w:r>
      <w:r>
        <w:rPr>
          <w:spacing w:val="-8"/>
        </w:rPr>
        <w:t> </w:t>
      </w:r>
      <w:r>
        <w:rPr/>
        <w:t>number,</w:t>
      </w:r>
      <w:r>
        <w:rPr>
          <w:spacing w:val="-8"/>
        </w:rPr>
        <w:t> </w:t>
      </w:r>
      <w:r>
        <w:rPr/>
        <w:t>which</w:t>
      </w:r>
      <w:r>
        <w:rPr>
          <w:spacing w:val="-8"/>
        </w:rPr>
        <w:t> </w:t>
      </w:r>
      <w:r>
        <w:rPr/>
        <w:t>identified</w:t>
      </w:r>
      <w:r>
        <w:rPr>
          <w:spacing w:val="-8"/>
        </w:rPr>
        <w:t> </w:t>
      </w:r>
      <w:r>
        <w:rPr/>
        <w:t>unique</w:t>
      </w:r>
      <w:r>
        <w:rPr>
          <w:spacing w:val="-9"/>
        </w:rPr>
        <w:t> </w:t>
      </w:r>
      <w:r>
        <w:rPr/>
        <w:t>possessions;</w:t>
      </w:r>
      <w:r>
        <w:rPr>
          <w:spacing w:val="-8"/>
        </w:rPr>
        <w:t> </w:t>
      </w:r>
      <w:r>
        <w:rPr/>
        <w:t>and</w:t>
      </w:r>
      <w:r>
        <w:rPr>
          <w:spacing w:val="-8"/>
        </w:rPr>
        <w:t> </w:t>
      </w:r>
      <w:r>
        <w:rPr/>
        <w:t>the</w:t>
      </w:r>
      <w:r>
        <w:rPr>
          <w:spacing w:val="-8"/>
        </w:rPr>
        <w:t> </w:t>
      </w:r>
      <w:r>
        <w:rPr/>
        <w:t>dis- crete possession outcome.</w:t>
      </w:r>
      <w:r>
        <w:rPr>
          <w:spacing w:val="40"/>
        </w:rPr>
        <w:t> </w:t>
      </w:r>
      <w:r>
        <w:rPr/>
        <w:t>Table</w:t>
      </w:r>
      <w:hyperlink w:history="true" w:anchor="_bookmark176">
        <w:r>
          <w:rPr>
            <w:color w:val="0000FF"/>
          </w:rPr>
          <w:t>6.2</w:t>
        </w:r>
      </w:hyperlink>
      <w:r>
        <w:rPr/>
        <w:t>provides a sample of the final dataset.</w:t>
      </w:r>
      <w:r>
        <w:rPr>
          <w:spacing w:val="40"/>
        </w:rPr>
        <w:t> </w:t>
      </w:r>
      <w:r>
        <w:rPr/>
        <w:t>It shows an attacking possession for St Helens against Salford, where seven players are involved in advancing the ball towards the opposition try line, but no points are scored.</w:t>
      </w:r>
    </w:p>
    <w:p>
      <w:pPr>
        <w:spacing w:after="0" w:line="309" w:lineRule="auto"/>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pPr>
      <w:bookmarkStart w:name="_bookmark175" w:id="305"/>
      <w:bookmarkEnd w:id="305"/>
      <w:r>
        <w:rPr/>
      </w:r>
      <w:r>
        <w:rPr>
          <w:b/>
        </w:rPr>
        <w:t>Table</w:t>
      </w:r>
      <w:r>
        <w:rPr>
          <w:b/>
          <w:spacing w:val="-1"/>
        </w:rPr>
        <w:t> </w:t>
      </w:r>
      <w:r>
        <w:rPr>
          <w:b/>
        </w:rPr>
        <w:t>6.1: </w:t>
      </w:r>
      <w:r>
        <w:rPr/>
        <w:t>Descriptive</w:t>
      </w:r>
      <w:r>
        <w:rPr>
          <w:spacing w:val="-1"/>
        </w:rPr>
        <w:t> </w:t>
      </w:r>
      <w:r>
        <w:rPr/>
        <w:t>data for data</w:t>
      </w:r>
      <w:r>
        <w:rPr>
          <w:spacing w:val="-1"/>
        </w:rPr>
        <w:t> </w:t>
      </w:r>
      <w:r>
        <w:rPr/>
        <w:t>subsets.</w:t>
      </w:r>
      <w:r>
        <w:rPr>
          <w:spacing w:val="26"/>
        </w:rPr>
        <w:t> </w:t>
      </w:r>
      <w:r>
        <w:rPr/>
        <w:t>IQR</w:t>
      </w:r>
      <w:r>
        <w:rPr>
          <w:spacing w:val="-1"/>
        </w:rPr>
        <w:t> </w:t>
      </w:r>
      <w:r>
        <w:rPr/>
        <w:t>is interquartile</w:t>
      </w:r>
      <w:r>
        <w:rPr>
          <w:spacing w:val="-1"/>
        </w:rPr>
        <w:t> </w:t>
      </w:r>
      <w:r>
        <w:rPr/>
        <w:t>range; Min/Max</w:t>
      </w:r>
      <w:r>
        <w:rPr>
          <w:spacing w:val="-1"/>
        </w:rPr>
        <w:t> </w:t>
      </w:r>
      <w:r>
        <w:rPr/>
        <w:t>refers to minimum and maximum number of observations.</w:t>
      </w:r>
    </w:p>
    <w:p>
      <w:pPr>
        <w:pStyle w:val="BodyText"/>
        <w:rPr>
          <w:sz w:val="20"/>
        </w:rPr>
      </w:pPr>
    </w:p>
    <w:p>
      <w:pPr>
        <w:pStyle w:val="BodyText"/>
        <w:spacing w:before="10"/>
        <w:rPr>
          <w:sz w:val="19"/>
        </w:rPr>
      </w:pPr>
      <w:r>
        <w:rPr/>
        <w:pict>
          <v:shape style="position:absolute;margin-left:167.649002pt;margin-top:12.624072pt;width:318.95pt;height:.1pt;mso-position-horizontal-relative:page;mso-position-vertical-relative:paragraph;z-index:-15651328;mso-wrap-distance-left:0;mso-wrap-distance-right:0" id="docshape172" coordorigin="3353,252" coordsize="6379,0" path="m3353,252l9732,252e" filled="false" stroked="true" strokeweight=".398pt" strokecolor="#000000">
            <v:path arrowok="t"/>
            <v:stroke dashstyle="solid"/>
            <w10:wrap type="topAndBottom"/>
          </v:shape>
        </w:pict>
      </w:r>
    </w:p>
    <w:p>
      <w:pPr>
        <w:pStyle w:val="BodyText"/>
        <w:tabs>
          <w:tab w:pos="1882" w:val="left" w:leader="none"/>
          <w:tab w:pos="2851" w:val="left" w:leader="none"/>
          <w:tab w:pos="4133" w:val="left" w:leader="none"/>
          <w:tab w:pos="5216" w:val="left" w:leader="none"/>
        </w:tabs>
        <w:spacing w:line="255" w:lineRule="exact" w:after="39"/>
        <w:ind w:left="286"/>
        <w:jc w:val="center"/>
      </w:pPr>
      <w:r>
        <w:rPr>
          <w:spacing w:val="-2"/>
        </w:rPr>
        <w:t>Comparison</w:t>
      </w:r>
      <w:r>
        <w:rPr/>
        <w:tab/>
      </w:r>
      <w:r>
        <w:rPr>
          <w:spacing w:val="-2"/>
        </w:rPr>
        <w:t>Subsets</w:t>
      </w:r>
      <w:r>
        <w:rPr/>
        <w:tab/>
      </w:r>
      <w:r>
        <w:rPr>
          <w:spacing w:val="-2"/>
        </w:rPr>
        <w:t>Median</w:t>
      </w:r>
      <w:r>
        <w:rPr/>
        <w:tab/>
      </w:r>
      <w:r>
        <w:rPr>
          <w:spacing w:val="-5"/>
        </w:rPr>
        <w:t>IQR</w:t>
      </w:r>
      <w:r>
        <w:rPr/>
        <w:tab/>
      </w:r>
      <w:r>
        <w:rPr>
          <w:spacing w:val="-2"/>
        </w:rPr>
        <w:t>Min/Max</w:t>
      </w:r>
    </w:p>
    <w:tbl>
      <w:tblPr>
        <w:tblW w:w="0" w:type="auto"/>
        <w:jc w:val="left"/>
        <w:tblInd w:w="16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06"/>
        <w:gridCol w:w="758"/>
        <w:gridCol w:w="1027"/>
        <w:gridCol w:w="2691"/>
      </w:tblGrid>
      <w:tr>
        <w:trPr>
          <w:trHeight w:val="268" w:hRule="atLeast"/>
        </w:trPr>
        <w:tc>
          <w:tcPr>
            <w:tcW w:w="1906" w:type="dxa"/>
            <w:tcBorders>
              <w:top w:val="single" w:sz="4" w:space="0" w:color="000000"/>
            </w:tcBorders>
          </w:tcPr>
          <w:p>
            <w:pPr>
              <w:pStyle w:val="TableParagraph"/>
              <w:spacing w:line="249" w:lineRule="exact"/>
              <w:ind w:left="110" w:right="231"/>
              <w:rPr>
                <w:sz w:val="24"/>
              </w:rPr>
            </w:pPr>
            <w:r>
              <w:rPr>
                <w:sz w:val="24"/>
              </w:rPr>
              <w:t>Whole</w:t>
            </w:r>
            <w:r>
              <w:rPr>
                <w:spacing w:val="-8"/>
                <w:sz w:val="24"/>
              </w:rPr>
              <w:t> </w:t>
            </w:r>
            <w:r>
              <w:rPr>
                <w:spacing w:val="-2"/>
                <w:sz w:val="24"/>
              </w:rPr>
              <w:t>league</w:t>
            </w:r>
          </w:p>
        </w:tc>
        <w:tc>
          <w:tcPr>
            <w:tcW w:w="758" w:type="dxa"/>
            <w:tcBorders>
              <w:top w:val="single" w:sz="4" w:space="0" w:color="000000"/>
            </w:tcBorders>
          </w:tcPr>
          <w:p>
            <w:pPr>
              <w:pStyle w:val="TableParagraph"/>
              <w:spacing w:line="249" w:lineRule="exact"/>
              <w:ind w:right="334"/>
              <w:jc w:val="right"/>
              <w:rPr>
                <w:sz w:val="24"/>
              </w:rPr>
            </w:pPr>
            <w:r>
              <w:rPr>
                <w:w w:val="99"/>
                <w:sz w:val="24"/>
              </w:rPr>
              <w:t>1</w:t>
            </w:r>
          </w:p>
        </w:tc>
        <w:tc>
          <w:tcPr>
            <w:tcW w:w="1027" w:type="dxa"/>
            <w:tcBorders>
              <w:top w:val="single" w:sz="4" w:space="0" w:color="000000"/>
            </w:tcBorders>
          </w:tcPr>
          <w:p>
            <w:pPr>
              <w:pStyle w:val="TableParagraph"/>
              <w:spacing w:line="249" w:lineRule="exact"/>
              <w:ind w:left="274"/>
              <w:jc w:val="left"/>
              <w:rPr>
                <w:sz w:val="24"/>
              </w:rPr>
            </w:pPr>
            <w:r>
              <w:rPr>
                <w:spacing w:val="-2"/>
                <w:sz w:val="24"/>
              </w:rPr>
              <w:t>99966</w:t>
            </w:r>
          </w:p>
        </w:tc>
        <w:tc>
          <w:tcPr>
            <w:tcW w:w="2691" w:type="dxa"/>
            <w:tcBorders>
              <w:top w:val="single" w:sz="4" w:space="0" w:color="000000"/>
            </w:tcBorders>
          </w:tcPr>
          <w:p>
            <w:pPr>
              <w:pStyle w:val="TableParagraph"/>
              <w:spacing w:line="240" w:lineRule="auto"/>
              <w:jc w:val="left"/>
              <w:rPr>
                <w:sz w:val="18"/>
              </w:rPr>
            </w:pPr>
          </w:p>
        </w:tc>
      </w:tr>
      <w:tr>
        <w:trPr>
          <w:trHeight w:val="288" w:hRule="atLeast"/>
        </w:trPr>
        <w:tc>
          <w:tcPr>
            <w:tcW w:w="1906" w:type="dxa"/>
          </w:tcPr>
          <w:p>
            <w:pPr>
              <w:pStyle w:val="TableParagraph"/>
              <w:ind w:left="110" w:right="231"/>
              <w:rPr>
                <w:sz w:val="24"/>
              </w:rPr>
            </w:pPr>
            <w:r>
              <w:rPr>
                <w:spacing w:val="-4"/>
                <w:sz w:val="24"/>
              </w:rPr>
              <w:t>Team</w:t>
            </w:r>
            <w:r>
              <w:rPr>
                <w:spacing w:val="-8"/>
                <w:sz w:val="24"/>
              </w:rPr>
              <w:t> </w:t>
            </w:r>
            <w:r>
              <w:rPr>
                <w:spacing w:val="-2"/>
                <w:sz w:val="24"/>
              </w:rPr>
              <w:t>attacking</w:t>
            </w:r>
          </w:p>
        </w:tc>
        <w:tc>
          <w:tcPr>
            <w:tcW w:w="758" w:type="dxa"/>
          </w:tcPr>
          <w:p>
            <w:pPr>
              <w:pStyle w:val="TableParagraph"/>
              <w:ind w:right="274"/>
              <w:jc w:val="right"/>
              <w:rPr>
                <w:sz w:val="24"/>
              </w:rPr>
            </w:pPr>
            <w:r>
              <w:rPr>
                <w:spacing w:val="-5"/>
                <w:sz w:val="24"/>
              </w:rPr>
              <w:t>12</w:t>
            </w:r>
          </w:p>
        </w:tc>
        <w:tc>
          <w:tcPr>
            <w:tcW w:w="1027" w:type="dxa"/>
          </w:tcPr>
          <w:p>
            <w:pPr>
              <w:pStyle w:val="TableParagraph"/>
              <w:ind w:left="334"/>
              <w:jc w:val="left"/>
              <w:rPr>
                <w:sz w:val="24"/>
              </w:rPr>
            </w:pPr>
            <w:r>
              <w:rPr>
                <w:spacing w:val="-4"/>
                <w:sz w:val="24"/>
              </w:rPr>
              <w:t>8105</w:t>
            </w:r>
          </w:p>
        </w:tc>
        <w:tc>
          <w:tcPr>
            <w:tcW w:w="2691" w:type="dxa"/>
          </w:tcPr>
          <w:p>
            <w:pPr>
              <w:pStyle w:val="TableParagraph"/>
              <w:tabs>
                <w:tab w:pos="1302" w:val="left" w:leader="none"/>
              </w:tabs>
              <w:ind w:left="27"/>
              <w:rPr>
                <w:sz w:val="24"/>
              </w:rPr>
            </w:pPr>
            <w:r>
              <w:rPr>
                <w:spacing w:val="-2"/>
                <w:sz w:val="24"/>
              </w:rPr>
              <w:t>7596-</w:t>
            </w:r>
            <w:r>
              <w:rPr>
                <w:spacing w:val="-4"/>
                <w:sz w:val="24"/>
              </w:rPr>
              <w:t>8937</w:t>
            </w:r>
            <w:r>
              <w:rPr>
                <w:sz w:val="24"/>
              </w:rPr>
              <w:tab/>
            </w:r>
            <w:r>
              <w:rPr>
                <w:spacing w:val="-2"/>
                <w:sz w:val="24"/>
              </w:rPr>
              <w:t>7203/10324</w:t>
            </w:r>
          </w:p>
        </w:tc>
      </w:tr>
      <w:tr>
        <w:trPr>
          <w:trHeight w:val="306" w:hRule="atLeast"/>
        </w:trPr>
        <w:tc>
          <w:tcPr>
            <w:tcW w:w="1906" w:type="dxa"/>
            <w:tcBorders>
              <w:bottom w:val="single" w:sz="4" w:space="0" w:color="000000"/>
            </w:tcBorders>
          </w:tcPr>
          <w:p>
            <w:pPr>
              <w:pStyle w:val="TableParagraph"/>
              <w:spacing w:line="273" w:lineRule="exact"/>
              <w:ind w:left="110" w:right="231"/>
              <w:rPr>
                <w:sz w:val="24"/>
              </w:rPr>
            </w:pPr>
            <w:r>
              <w:rPr>
                <w:spacing w:val="-4"/>
                <w:sz w:val="24"/>
              </w:rPr>
              <w:t>Team</w:t>
            </w:r>
            <w:r>
              <w:rPr>
                <w:spacing w:val="-8"/>
                <w:sz w:val="24"/>
              </w:rPr>
              <w:t> </w:t>
            </w:r>
            <w:r>
              <w:rPr>
                <w:spacing w:val="-2"/>
                <w:sz w:val="24"/>
              </w:rPr>
              <w:t>defending</w:t>
            </w:r>
          </w:p>
        </w:tc>
        <w:tc>
          <w:tcPr>
            <w:tcW w:w="758" w:type="dxa"/>
            <w:tcBorders>
              <w:bottom w:val="single" w:sz="4" w:space="0" w:color="000000"/>
            </w:tcBorders>
          </w:tcPr>
          <w:p>
            <w:pPr>
              <w:pStyle w:val="TableParagraph"/>
              <w:spacing w:line="273" w:lineRule="exact"/>
              <w:ind w:right="274"/>
              <w:jc w:val="right"/>
              <w:rPr>
                <w:sz w:val="24"/>
              </w:rPr>
            </w:pPr>
            <w:r>
              <w:rPr>
                <w:spacing w:val="-5"/>
                <w:sz w:val="24"/>
              </w:rPr>
              <w:t>12</w:t>
            </w:r>
          </w:p>
        </w:tc>
        <w:tc>
          <w:tcPr>
            <w:tcW w:w="1027" w:type="dxa"/>
            <w:tcBorders>
              <w:bottom w:val="single" w:sz="4" w:space="0" w:color="000000"/>
            </w:tcBorders>
          </w:tcPr>
          <w:p>
            <w:pPr>
              <w:pStyle w:val="TableParagraph"/>
              <w:spacing w:line="273" w:lineRule="exact"/>
              <w:ind w:left="334"/>
              <w:jc w:val="left"/>
              <w:rPr>
                <w:sz w:val="24"/>
              </w:rPr>
            </w:pPr>
            <w:r>
              <w:rPr>
                <w:spacing w:val="-4"/>
                <w:sz w:val="24"/>
              </w:rPr>
              <w:t>8077</w:t>
            </w:r>
          </w:p>
        </w:tc>
        <w:tc>
          <w:tcPr>
            <w:tcW w:w="2691" w:type="dxa"/>
            <w:tcBorders>
              <w:bottom w:val="single" w:sz="4" w:space="0" w:color="000000"/>
            </w:tcBorders>
          </w:tcPr>
          <w:p>
            <w:pPr>
              <w:pStyle w:val="TableParagraph"/>
              <w:tabs>
                <w:tab w:pos="1334" w:val="left" w:leader="none"/>
              </w:tabs>
              <w:spacing w:line="273" w:lineRule="exact"/>
              <w:ind w:right="29"/>
              <w:rPr>
                <w:sz w:val="24"/>
              </w:rPr>
            </w:pPr>
            <w:r>
              <w:rPr>
                <w:spacing w:val="-2"/>
                <w:sz w:val="24"/>
              </w:rPr>
              <w:t>7878-</w:t>
            </w:r>
            <w:r>
              <w:rPr>
                <w:spacing w:val="-4"/>
                <w:sz w:val="24"/>
              </w:rPr>
              <w:t>8700</w:t>
            </w:r>
            <w:r>
              <w:rPr>
                <w:sz w:val="24"/>
              </w:rPr>
              <w:tab/>
            </w:r>
            <w:r>
              <w:rPr>
                <w:spacing w:val="-2"/>
                <w:sz w:val="24"/>
              </w:rPr>
              <w:t>7579/9620</w:t>
            </w:r>
          </w:p>
        </w:tc>
      </w:tr>
    </w:tbl>
    <w:p>
      <w:pPr>
        <w:pStyle w:val="BodyText"/>
        <w:spacing w:before="1"/>
        <w:rPr>
          <w:sz w:val="41"/>
        </w:rPr>
      </w:pPr>
    </w:p>
    <w:p>
      <w:pPr>
        <w:pStyle w:val="BodyText"/>
        <w:spacing w:line="249" w:lineRule="auto"/>
        <w:ind w:left="610" w:right="389"/>
        <w:jc w:val="both"/>
      </w:pPr>
      <w:bookmarkStart w:name="_bookmark176" w:id="306"/>
      <w:bookmarkEnd w:id="306"/>
      <w:r>
        <w:rPr/>
      </w:r>
      <w:r>
        <w:rPr>
          <w:b/>
        </w:rPr>
        <w:t>Table 6.2:</w:t>
      </w:r>
      <w:r>
        <w:rPr>
          <w:b/>
          <w:spacing w:val="40"/>
        </w:rPr>
        <w:t> </w:t>
      </w:r>
      <w:r>
        <w:rPr/>
        <w:t>Sample possession within the dataset.</w:t>
      </w:r>
      <w:r>
        <w:rPr>
          <w:spacing w:val="40"/>
        </w:rPr>
        <w:t> </w:t>
      </w:r>
      <w:r>
        <w:rPr/>
        <w:t>Data includes the teams involved in the possession, the player ID, the </w:t>
      </w:r>
      <w:r>
        <w:rPr>
          <w:rFonts w:ascii="Cambria"/>
        </w:rPr>
        <w:t>x,</w:t>
      </w:r>
      <w:r>
        <w:rPr>
          <w:rFonts w:ascii="Cambria"/>
          <w:spacing w:val="-14"/>
        </w:rPr>
        <w:t> </w:t>
      </w:r>
      <w:r>
        <w:rPr>
          <w:rFonts w:ascii="Cambria"/>
        </w:rPr>
        <w:t>y </w:t>
      </w:r>
      <w:r>
        <w:rPr/>
        <w:t>coordinates of the action, the possession number (PosNum) and the possession outcome (PosCat; in this case no try for all rows).</w:t>
      </w:r>
    </w:p>
    <w:p>
      <w:pPr>
        <w:pStyle w:val="BodyText"/>
        <w:rPr>
          <w:sz w:val="20"/>
        </w:rPr>
      </w:pPr>
    </w:p>
    <w:p>
      <w:pPr>
        <w:pStyle w:val="BodyText"/>
        <w:spacing w:before="1"/>
        <w:rPr>
          <w:sz w:val="22"/>
        </w:rPr>
      </w:pPr>
    </w:p>
    <w:tbl>
      <w:tblPr>
        <w:tblW w:w="0" w:type="auto"/>
        <w:jc w:val="left"/>
        <w:tblInd w:w="1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770"/>
        <w:gridCol w:w="1836"/>
        <w:gridCol w:w="1162"/>
        <w:gridCol w:w="478"/>
        <w:gridCol w:w="478"/>
        <w:gridCol w:w="1063"/>
        <w:gridCol w:w="917"/>
      </w:tblGrid>
      <w:tr>
        <w:trPr>
          <w:trHeight w:val="272" w:hRule="atLeast"/>
        </w:trPr>
        <w:tc>
          <w:tcPr>
            <w:tcW w:w="1770" w:type="dxa"/>
            <w:tcBorders>
              <w:top w:val="single" w:sz="4" w:space="0" w:color="000000"/>
              <w:bottom w:val="single" w:sz="4" w:space="0" w:color="000000"/>
            </w:tcBorders>
          </w:tcPr>
          <w:p>
            <w:pPr>
              <w:pStyle w:val="TableParagraph"/>
              <w:spacing w:line="253" w:lineRule="exact"/>
              <w:ind w:left="102" w:right="102"/>
              <w:rPr>
                <w:sz w:val="24"/>
              </w:rPr>
            </w:pPr>
            <w:r>
              <w:rPr>
                <w:sz w:val="24"/>
              </w:rPr>
              <w:t>Attacking</w:t>
            </w:r>
            <w:r>
              <w:rPr>
                <w:spacing w:val="-11"/>
                <w:sz w:val="24"/>
              </w:rPr>
              <w:t> </w:t>
            </w:r>
            <w:r>
              <w:rPr>
                <w:spacing w:val="-4"/>
                <w:sz w:val="24"/>
              </w:rPr>
              <w:t>Team</w:t>
            </w:r>
          </w:p>
        </w:tc>
        <w:tc>
          <w:tcPr>
            <w:tcW w:w="1836" w:type="dxa"/>
            <w:tcBorders>
              <w:top w:val="single" w:sz="4" w:space="0" w:color="000000"/>
              <w:bottom w:val="single" w:sz="4" w:space="0" w:color="000000"/>
            </w:tcBorders>
          </w:tcPr>
          <w:p>
            <w:pPr>
              <w:pStyle w:val="TableParagraph"/>
              <w:spacing w:line="253" w:lineRule="exact"/>
              <w:ind w:left="102" w:right="102"/>
              <w:rPr>
                <w:sz w:val="24"/>
              </w:rPr>
            </w:pPr>
            <w:r>
              <w:rPr>
                <w:sz w:val="24"/>
              </w:rPr>
              <w:t>Defending</w:t>
            </w:r>
            <w:r>
              <w:rPr>
                <w:spacing w:val="-12"/>
                <w:sz w:val="24"/>
              </w:rPr>
              <w:t> </w:t>
            </w:r>
            <w:r>
              <w:rPr>
                <w:spacing w:val="-4"/>
                <w:sz w:val="24"/>
              </w:rPr>
              <w:t>Team</w:t>
            </w:r>
          </w:p>
        </w:tc>
        <w:tc>
          <w:tcPr>
            <w:tcW w:w="1162" w:type="dxa"/>
            <w:tcBorders>
              <w:top w:val="single" w:sz="4" w:space="0" w:color="000000"/>
              <w:bottom w:val="single" w:sz="4" w:space="0" w:color="000000"/>
            </w:tcBorders>
          </w:tcPr>
          <w:p>
            <w:pPr>
              <w:pStyle w:val="TableParagraph"/>
              <w:spacing w:line="253" w:lineRule="exact"/>
              <w:ind w:left="104" w:right="105"/>
              <w:rPr>
                <w:sz w:val="24"/>
              </w:rPr>
            </w:pPr>
            <w:r>
              <w:rPr>
                <w:sz w:val="24"/>
              </w:rPr>
              <w:t>Player</w:t>
            </w:r>
            <w:r>
              <w:rPr>
                <w:spacing w:val="-8"/>
                <w:sz w:val="24"/>
              </w:rPr>
              <w:t> </w:t>
            </w:r>
            <w:r>
              <w:rPr>
                <w:spacing w:val="-5"/>
                <w:sz w:val="24"/>
              </w:rPr>
              <w:t>ID</w:t>
            </w:r>
          </w:p>
        </w:tc>
        <w:tc>
          <w:tcPr>
            <w:tcW w:w="478" w:type="dxa"/>
            <w:tcBorders>
              <w:top w:val="single" w:sz="4" w:space="0" w:color="000000"/>
              <w:bottom w:val="single" w:sz="4" w:space="0" w:color="000000"/>
            </w:tcBorders>
          </w:tcPr>
          <w:p>
            <w:pPr>
              <w:pStyle w:val="TableParagraph"/>
              <w:spacing w:line="255" w:lineRule="exact"/>
              <w:ind w:right="1"/>
              <w:rPr>
                <w:rFonts w:ascii="Cambria"/>
                <w:sz w:val="24"/>
              </w:rPr>
            </w:pPr>
            <w:r>
              <w:rPr>
                <w:rFonts w:ascii="Cambria"/>
                <w:w w:val="114"/>
                <w:sz w:val="24"/>
              </w:rPr>
              <w:t>x</w:t>
            </w:r>
          </w:p>
        </w:tc>
        <w:tc>
          <w:tcPr>
            <w:tcW w:w="478" w:type="dxa"/>
            <w:tcBorders>
              <w:top w:val="single" w:sz="4" w:space="0" w:color="000000"/>
              <w:bottom w:val="single" w:sz="4" w:space="0" w:color="000000"/>
            </w:tcBorders>
          </w:tcPr>
          <w:p>
            <w:pPr>
              <w:pStyle w:val="TableParagraph"/>
              <w:spacing w:line="255" w:lineRule="exact"/>
              <w:ind w:left="177"/>
              <w:jc w:val="left"/>
              <w:rPr>
                <w:rFonts w:ascii="Cambria"/>
                <w:sz w:val="24"/>
              </w:rPr>
            </w:pPr>
            <w:r>
              <w:rPr>
                <w:rFonts w:ascii="Cambria"/>
                <w:w w:val="94"/>
                <w:sz w:val="24"/>
              </w:rPr>
              <w:t>y</w:t>
            </w:r>
          </w:p>
        </w:tc>
        <w:tc>
          <w:tcPr>
            <w:tcW w:w="1063" w:type="dxa"/>
            <w:tcBorders>
              <w:top w:val="single" w:sz="4" w:space="0" w:color="000000"/>
              <w:bottom w:val="single" w:sz="4" w:space="0" w:color="000000"/>
            </w:tcBorders>
          </w:tcPr>
          <w:p>
            <w:pPr>
              <w:pStyle w:val="TableParagraph"/>
              <w:spacing w:line="253" w:lineRule="exact"/>
              <w:ind w:left="103" w:right="103"/>
              <w:rPr>
                <w:sz w:val="24"/>
              </w:rPr>
            </w:pPr>
            <w:r>
              <w:rPr>
                <w:spacing w:val="-2"/>
                <w:sz w:val="24"/>
              </w:rPr>
              <w:t>PosNum</w:t>
            </w:r>
          </w:p>
        </w:tc>
        <w:tc>
          <w:tcPr>
            <w:tcW w:w="917" w:type="dxa"/>
            <w:tcBorders>
              <w:top w:val="single" w:sz="4" w:space="0" w:color="000000"/>
              <w:bottom w:val="single" w:sz="4" w:space="0" w:color="000000"/>
            </w:tcBorders>
          </w:tcPr>
          <w:p>
            <w:pPr>
              <w:pStyle w:val="TableParagraph"/>
              <w:spacing w:line="253" w:lineRule="exact"/>
              <w:ind w:left="104" w:right="104"/>
              <w:rPr>
                <w:sz w:val="24"/>
              </w:rPr>
            </w:pPr>
            <w:r>
              <w:rPr>
                <w:spacing w:val="-2"/>
                <w:sz w:val="24"/>
              </w:rPr>
              <w:t>PosCat</w:t>
            </w:r>
          </w:p>
        </w:tc>
      </w:tr>
      <w:tr>
        <w:trPr>
          <w:trHeight w:val="283" w:hRule="atLeast"/>
        </w:trPr>
        <w:tc>
          <w:tcPr>
            <w:tcW w:w="1770" w:type="dxa"/>
            <w:tcBorders>
              <w:top w:val="single" w:sz="4" w:space="0" w:color="000000"/>
            </w:tcBorders>
          </w:tcPr>
          <w:p>
            <w:pPr>
              <w:pStyle w:val="TableParagraph"/>
              <w:spacing w:line="249" w:lineRule="exact"/>
              <w:ind w:left="102" w:right="102"/>
              <w:rPr>
                <w:sz w:val="24"/>
              </w:rPr>
            </w:pPr>
            <w:r>
              <w:rPr>
                <w:sz w:val="24"/>
              </w:rPr>
              <w:t>St</w:t>
            </w:r>
            <w:r>
              <w:rPr>
                <w:spacing w:val="-5"/>
                <w:sz w:val="24"/>
              </w:rPr>
              <w:t> </w:t>
            </w:r>
            <w:r>
              <w:rPr>
                <w:spacing w:val="-2"/>
                <w:sz w:val="24"/>
              </w:rPr>
              <w:t>Helens</w:t>
            </w:r>
          </w:p>
        </w:tc>
        <w:tc>
          <w:tcPr>
            <w:tcW w:w="1836" w:type="dxa"/>
            <w:tcBorders>
              <w:top w:val="single" w:sz="4" w:space="0" w:color="000000"/>
            </w:tcBorders>
          </w:tcPr>
          <w:p>
            <w:pPr>
              <w:pStyle w:val="TableParagraph"/>
              <w:spacing w:line="249" w:lineRule="exact"/>
              <w:ind w:left="102" w:right="102"/>
              <w:rPr>
                <w:sz w:val="24"/>
              </w:rPr>
            </w:pPr>
            <w:r>
              <w:rPr>
                <w:spacing w:val="-2"/>
                <w:sz w:val="24"/>
              </w:rPr>
              <w:t>Salford</w:t>
            </w:r>
          </w:p>
        </w:tc>
        <w:tc>
          <w:tcPr>
            <w:tcW w:w="1162" w:type="dxa"/>
            <w:tcBorders>
              <w:top w:val="single" w:sz="4" w:space="0" w:color="000000"/>
            </w:tcBorders>
          </w:tcPr>
          <w:p>
            <w:pPr>
              <w:pStyle w:val="TableParagraph"/>
              <w:spacing w:line="249" w:lineRule="exact"/>
              <w:ind w:left="104" w:right="105"/>
              <w:rPr>
                <w:sz w:val="24"/>
              </w:rPr>
            </w:pPr>
            <w:r>
              <w:rPr>
                <w:spacing w:val="-4"/>
                <w:sz w:val="24"/>
              </w:rPr>
              <w:t>3107</w:t>
            </w:r>
          </w:p>
        </w:tc>
        <w:tc>
          <w:tcPr>
            <w:tcW w:w="478" w:type="dxa"/>
            <w:tcBorders>
              <w:top w:val="single" w:sz="4" w:space="0" w:color="000000"/>
            </w:tcBorders>
          </w:tcPr>
          <w:p>
            <w:pPr>
              <w:pStyle w:val="TableParagraph"/>
              <w:spacing w:line="249" w:lineRule="exact"/>
              <w:rPr>
                <w:sz w:val="24"/>
              </w:rPr>
            </w:pPr>
            <w:r>
              <w:rPr>
                <w:w w:val="99"/>
                <w:sz w:val="24"/>
              </w:rPr>
              <w:t>9</w:t>
            </w:r>
          </w:p>
        </w:tc>
        <w:tc>
          <w:tcPr>
            <w:tcW w:w="478" w:type="dxa"/>
            <w:tcBorders>
              <w:top w:val="single" w:sz="4" w:space="0" w:color="000000"/>
            </w:tcBorders>
          </w:tcPr>
          <w:p>
            <w:pPr>
              <w:pStyle w:val="TableParagraph"/>
              <w:spacing w:line="249" w:lineRule="exact"/>
              <w:ind w:left="179"/>
              <w:jc w:val="left"/>
              <w:rPr>
                <w:sz w:val="24"/>
              </w:rPr>
            </w:pPr>
            <w:r>
              <w:rPr>
                <w:w w:val="99"/>
                <w:sz w:val="24"/>
              </w:rPr>
              <w:t>4</w:t>
            </w:r>
          </w:p>
        </w:tc>
        <w:tc>
          <w:tcPr>
            <w:tcW w:w="1063" w:type="dxa"/>
            <w:tcBorders>
              <w:top w:val="single" w:sz="4" w:space="0" w:color="000000"/>
            </w:tcBorders>
          </w:tcPr>
          <w:p>
            <w:pPr>
              <w:pStyle w:val="TableParagraph"/>
              <w:spacing w:line="249" w:lineRule="exact"/>
              <w:rPr>
                <w:sz w:val="24"/>
              </w:rPr>
            </w:pPr>
            <w:r>
              <w:rPr>
                <w:w w:val="99"/>
                <w:sz w:val="24"/>
              </w:rPr>
              <w:t>1</w:t>
            </w:r>
          </w:p>
        </w:tc>
        <w:tc>
          <w:tcPr>
            <w:tcW w:w="917" w:type="dxa"/>
            <w:tcBorders>
              <w:top w:val="single" w:sz="4" w:space="0" w:color="000000"/>
            </w:tcBorders>
          </w:tcPr>
          <w:p>
            <w:pPr>
              <w:pStyle w:val="TableParagraph"/>
              <w:spacing w:line="249" w:lineRule="exact"/>
              <w:rPr>
                <w:sz w:val="24"/>
              </w:rPr>
            </w:pPr>
            <w:r>
              <w:rPr>
                <w:w w:val="99"/>
                <w:sz w:val="24"/>
              </w:rPr>
              <w:t>0</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1162" w:type="dxa"/>
          </w:tcPr>
          <w:p>
            <w:pPr>
              <w:pStyle w:val="TableParagraph"/>
              <w:ind w:left="104" w:right="105"/>
              <w:rPr>
                <w:sz w:val="24"/>
              </w:rPr>
            </w:pPr>
            <w:r>
              <w:rPr>
                <w:spacing w:val="-2"/>
                <w:sz w:val="24"/>
              </w:rPr>
              <w:t>21716</w:t>
            </w:r>
          </w:p>
        </w:tc>
        <w:tc>
          <w:tcPr>
            <w:tcW w:w="478" w:type="dxa"/>
          </w:tcPr>
          <w:p>
            <w:pPr>
              <w:pStyle w:val="TableParagraph"/>
              <w:rPr>
                <w:sz w:val="24"/>
              </w:rPr>
            </w:pPr>
            <w:r>
              <w:rPr>
                <w:w w:val="99"/>
                <w:sz w:val="24"/>
              </w:rPr>
              <w:t>9</w:t>
            </w:r>
          </w:p>
        </w:tc>
        <w:tc>
          <w:tcPr>
            <w:tcW w:w="478" w:type="dxa"/>
          </w:tcPr>
          <w:p>
            <w:pPr>
              <w:pStyle w:val="TableParagraph"/>
              <w:ind w:left="179"/>
              <w:jc w:val="left"/>
              <w:rPr>
                <w:sz w:val="24"/>
              </w:rPr>
            </w:pPr>
            <w:r>
              <w:rPr>
                <w:w w:val="99"/>
                <w:sz w:val="24"/>
              </w:rPr>
              <w:t>6</w:t>
            </w:r>
          </w:p>
        </w:tc>
        <w:tc>
          <w:tcPr>
            <w:tcW w:w="1063" w:type="dxa"/>
          </w:tcPr>
          <w:p>
            <w:pPr>
              <w:pStyle w:val="TableParagraph"/>
              <w:rPr>
                <w:sz w:val="24"/>
              </w:rPr>
            </w:pPr>
            <w:r>
              <w:rPr>
                <w:w w:val="99"/>
                <w:sz w:val="24"/>
              </w:rPr>
              <w:t>1</w:t>
            </w:r>
          </w:p>
        </w:tc>
        <w:tc>
          <w:tcPr>
            <w:tcW w:w="917" w:type="dxa"/>
          </w:tcPr>
          <w:p>
            <w:pPr>
              <w:pStyle w:val="TableParagraph"/>
              <w:rPr>
                <w:sz w:val="24"/>
              </w:rPr>
            </w:pPr>
            <w:r>
              <w:rPr>
                <w:w w:val="99"/>
                <w:sz w:val="24"/>
              </w:rPr>
              <w:t>0</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1162" w:type="dxa"/>
          </w:tcPr>
          <w:p>
            <w:pPr>
              <w:pStyle w:val="TableParagraph"/>
              <w:ind w:left="104" w:right="105"/>
              <w:rPr>
                <w:sz w:val="24"/>
              </w:rPr>
            </w:pPr>
            <w:r>
              <w:rPr>
                <w:spacing w:val="-4"/>
                <w:sz w:val="24"/>
              </w:rPr>
              <w:t>1983</w:t>
            </w:r>
          </w:p>
        </w:tc>
        <w:tc>
          <w:tcPr>
            <w:tcW w:w="478" w:type="dxa"/>
          </w:tcPr>
          <w:p>
            <w:pPr>
              <w:pStyle w:val="TableParagraph"/>
              <w:ind w:left="103" w:right="103"/>
              <w:rPr>
                <w:sz w:val="24"/>
              </w:rPr>
            </w:pPr>
            <w:r>
              <w:rPr>
                <w:spacing w:val="-5"/>
                <w:sz w:val="24"/>
              </w:rPr>
              <w:t>14</w:t>
            </w:r>
          </w:p>
        </w:tc>
        <w:tc>
          <w:tcPr>
            <w:tcW w:w="478" w:type="dxa"/>
          </w:tcPr>
          <w:p>
            <w:pPr>
              <w:pStyle w:val="TableParagraph"/>
              <w:ind w:left="119"/>
              <w:jc w:val="left"/>
              <w:rPr>
                <w:sz w:val="24"/>
              </w:rPr>
            </w:pPr>
            <w:r>
              <w:rPr>
                <w:spacing w:val="-5"/>
                <w:sz w:val="24"/>
              </w:rPr>
              <w:t>11</w:t>
            </w:r>
          </w:p>
        </w:tc>
        <w:tc>
          <w:tcPr>
            <w:tcW w:w="1063" w:type="dxa"/>
          </w:tcPr>
          <w:p>
            <w:pPr>
              <w:pStyle w:val="TableParagraph"/>
              <w:rPr>
                <w:sz w:val="24"/>
              </w:rPr>
            </w:pPr>
            <w:r>
              <w:rPr>
                <w:w w:val="99"/>
                <w:sz w:val="24"/>
              </w:rPr>
              <w:t>1</w:t>
            </w:r>
          </w:p>
        </w:tc>
        <w:tc>
          <w:tcPr>
            <w:tcW w:w="917" w:type="dxa"/>
          </w:tcPr>
          <w:p>
            <w:pPr>
              <w:pStyle w:val="TableParagraph"/>
              <w:rPr>
                <w:sz w:val="24"/>
              </w:rPr>
            </w:pPr>
            <w:r>
              <w:rPr>
                <w:w w:val="99"/>
                <w:sz w:val="24"/>
              </w:rPr>
              <w:t>0</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1162" w:type="dxa"/>
          </w:tcPr>
          <w:p>
            <w:pPr>
              <w:pStyle w:val="TableParagraph"/>
              <w:ind w:left="104" w:right="105"/>
              <w:rPr>
                <w:sz w:val="24"/>
              </w:rPr>
            </w:pPr>
            <w:r>
              <w:rPr>
                <w:spacing w:val="-4"/>
                <w:sz w:val="24"/>
              </w:rPr>
              <w:t>2904</w:t>
            </w:r>
          </w:p>
        </w:tc>
        <w:tc>
          <w:tcPr>
            <w:tcW w:w="478" w:type="dxa"/>
          </w:tcPr>
          <w:p>
            <w:pPr>
              <w:pStyle w:val="TableParagraph"/>
              <w:ind w:left="103" w:right="103"/>
              <w:rPr>
                <w:sz w:val="24"/>
              </w:rPr>
            </w:pPr>
            <w:r>
              <w:rPr>
                <w:spacing w:val="-5"/>
                <w:sz w:val="24"/>
              </w:rPr>
              <w:t>22</w:t>
            </w:r>
          </w:p>
        </w:tc>
        <w:tc>
          <w:tcPr>
            <w:tcW w:w="478" w:type="dxa"/>
          </w:tcPr>
          <w:p>
            <w:pPr>
              <w:pStyle w:val="TableParagraph"/>
              <w:ind w:left="119"/>
              <w:jc w:val="left"/>
              <w:rPr>
                <w:sz w:val="24"/>
              </w:rPr>
            </w:pPr>
            <w:r>
              <w:rPr>
                <w:spacing w:val="-5"/>
                <w:sz w:val="24"/>
              </w:rPr>
              <w:t>13</w:t>
            </w:r>
          </w:p>
        </w:tc>
        <w:tc>
          <w:tcPr>
            <w:tcW w:w="1063" w:type="dxa"/>
          </w:tcPr>
          <w:p>
            <w:pPr>
              <w:pStyle w:val="TableParagraph"/>
              <w:rPr>
                <w:sz w:val="24"/>
              </w:rPr>
            </w:pPr>
            <w:r>
              <w:rPr>
                <w:w w:val="99"/>
                <w:sz w:val="24"/>
              </w:rPr>
              <w:t>1</w:t>
            </w:r>
          </w:p>
        </w:tc>
        <w:tc>
          <w:tcPr>
            <w:tcW w:w="917" w:type="dxa"/>
          </w:tcPr>
          <w:p>
            <w:pPr>
              <w:pStyle w:val="TableParagraph"/>
              <w:rPr>
                <w:sz w:val="24"/>
              </w:rPr>
            </w:pPr>
            <w:r>
              <w:rPr>
                <w:w w:val="99"/>
                <w:sz w:val="24"/>
              </w:rPr>
              <w:t>0</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1162" w:type="dxa"/>
          </w:tcPr>
          <w:p>
            <w:pPr>
              <w:pStyle w:val="TableParagraph"/>
              <w:ind w:left="104" w:right="105"/>
              <w:rPr>
                <w:sz w:val="24"/>
              </w:rPr>
            </w:pPr>
            <w:r>
              <w:rPr>
                <w:spacing w:val="-2"/>
                <w:sz w:val="24"/>
              </w:rPr>
              <w:t>11439</w:t>
            </w:r>
          </w:p>
        </w:tc>
        <w:tc>
          <w:tcPr>
            <w:tcW w:w="478" w:type="dxa"/>
          </w:tcPr>
          <w:p>
            <w:pPr>
              <w:pStyle w:val="TableParagraph"/>
              <w:ind w:left="103" w:right="103"/>
              <w:rPr>
                <w:sz w:val="24"/>
              </w:rPr>
            </w:pPr>
            <w:r>
              <w:rPr>
                <w:spacing w:val="-5"/>
                <w:sz w:val="24"/>
              </w:rPr>
              <w:t>12</w:t>
            </w:r>
          </w:p>
        </w:tc>
        <w:tc>
          <w:tcPr>
            <w:tcW w:w="478" w:type="dxa"/>
          </w:tcPr>
          <w:p>
            <w:pPr>
              <w:pStyle w:val="TableParagraph"/>
              <w:ind w:left="119"/>
              <w:jc w:val="left"/>
              <w:rPr>
                <w:sz w:val="24"/>
              </w:rPr>
            </w:pPr>
            <w:r>
              <w:rPr>
                <w:spacing w:val="-5"/>
                <w:sz w:val="24"/>
              </w:rPr>
              <w:t>12</w:t>
            </w:r>
          </w:p>
        </w:tc>
        <w:tc>
          <w:tcPr>
            <w:tcW w:w="1063" w:type="dxa"/>
          </w:tcPr>
          <w:p>
            <w:pPr>
              <w:pStyle w:val="TableParagraph"/>
              <w:rPr>
                <w:sz w:val="24"/>
              </w:rPr>
            </w:pPr>
            <w:r>
              <w:rPr>
                <w:w w:val="99"/>
                <w:sz w:val="24"/>
              </w:rPr>
              <w:t>1</w:t>
            </w:r>
          </w:p>
        </w:tc>
        <w:tc>
          <w:tcPr>
            <w:tcW w:w="917" w:type="dxa"/>
          </w:tcPr>
          <w:p>
            <w:pPr>
              <w:pStyle w:val="TableParagraph"/>
              <w:rPr>
                <w:sz w:val="24"/>
              </w:rPr>
            </w:pPr>
            <w:r>
              <w:rPr>
                <w:w w:val="99"/>
                <w:sz w:val="24"/>
              </w:rPr>
              <w:t>0</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1162" w:type="dxa"/>
          </w:tcPr>
          <w:p>
            <w:pPr>
              <w:pStyle w:val="TableParagraph"/>
              <w:ind w:left="104" w:right="105"/>
              <w:rPr>
                <w:sz w:val="24"/>
              </w:rPr>
            </w:pPr>
            <w:r>
              <w:rPr>
                <w:spacing w:val="-2"/>
                <w:sz w:val="24"/>
              </w:rPr>
              <w:t>21795</w:t>
            </w:r>
          </w:p>
        </w:tc>
        <w:tc>
          <w:tcPr>
            <w:tcW w:w="478" w:type="dxa"/>
          </w:tcPr>
          <w:p>
            <w:pPr>
              <w:pStyle w:val="TableParagraph"/>
              <w:ind w:left="103" w:right="103"/>
              <w:rPr>
                <w:sz w:val="24"/>
              </w:rPr>
            </w:pPr>
            <w:r>
              <w:rPr>
                <w:spacing w:val="-5"/>
                <w:sz w:val="24"/>
              </w:rPr>
              <w:t>37</w:t>
            </w:r>
          </w:p>
        </w:tc>
        <w:tc>
          <w:tcPr>
            <w:tcW w:w="478" w:type="dxa"/>
          </w:tcPr>
          <w:p>
            <w:pPr>
              <w:pStyle w:val="TableParagraph"/>
              <w:ind w:left="119"/>
              <w:jc w:val="left"/>
              <w:rPr>
                <w:sz w:val="24"/>
              </w:rPr>
            </w:pPr>
            <w:r>
              <w:rPr>
                <w:spacing w:val="-5"/>
                <w:sz w:val="24"/>
              </w:rPr>
              <w:t>16</w:t>
            </w:r>
          </w:p>
        </w:tc>
        <w:tc>
          <w:tcPr>
            <w:tcW w:w="1063" w:type="dxa"/>
          </w:tcPr>
          <w:p>
            <w:pPr>
              <w:pStyle w:val="TableParagraph"/>
              <w:rPr>
                <w:sz w:val="24"/>
              </w:rPr>
            </w:pPr>
            <w:r>
              <w:rPr>
                <w:w w:val="99"/>
                <w:sz w:val="24"/>
              </w:rPr>
              <w:t>1</w:t>
            </w:r>
          </w:p>
        </w:tc>
        <w:tc>
          <w:tcPr>
            <w:tcW w:w="917" w:type="dxa"/>
          </w:tcPr>
          <w:p>
            <w:pPr>
              <w:pStyle w:val="TableParagraph"/>
              <w:rPr>
                <w:sz w:val="24"/>
              </w:rPr>
            </w:pPr>
            <w:r>
              <w:rPr>
                <w:w w:val="99"/>
                <w:sz w:val="24"/>
              </w:rPr>
              <w:t>0</w:t>
            </w:r>
          </w:p>
        </w:tc>
      </w:tr>
      <w:tr>
        <w:trPr>
          <w:trHeight w:val="288" w:hRule="atLeast"/>
        </w:trPr>
        <w:tc>
          <w:tcPr>
            <w:tcW w:w="1770" w:type="dxa"/>
          </w:tcPr>
          <w:p>
            <w:pPr>
              <w:pStyle w:val="TableParagraph"/>
              <w:ind w:left="102" w:right="102"/>
              <w:rPr>
                <w:sz w:val="24"/>
              </w:rPr>
            </w:pPr>
            <w:r>
              <w:rPr>
                <w:sz w:val="24"/>
              </w:rPr>
              <w:t>St</w:t>
            </w:r>
            <w:r>
              <w:rPr>
                <w:spacing w:val="-5"/>
                <w:sz w:val="24"/>
              </w:rPr>
              <w:t> </w:t>
            </w:r>
            <w:r>
              <w:rPr>
                <w:spacing w:val="-2"/>
                <w:sz w:val="24"/>
              </w:rPr>
              <w:t>Helens</w:t>
            </w:r>
          </w:p>
        </w:tc>
        <w:tc>
          <w:tcPr>
            <w:tcW w:w="1836" w:type="dxa"/>
          </w:tcPr>
          <w:p>
            <w:pPr>
              <w:pStyle w:val="TableParagraph"/>
              <w:ind w:left="102" w:right="102"/>
              <w:rPr>
                <w:sz w:val="24"/>
              </w:rPr>
            </w:pPr>
            <w:r>
              <w:rPr>
                <w:spacing w:val="-2"/>
                <w:sz w:val="24"/>
              </w:rPr>
              <w:t>Salford</w:t>
            </w:r>
          </w:p>
        </w:tc>
        <w:tc>
          <w:tcPr>
            <w:tcW w:w="1162" w:type="dxa"/>
          </w:tcPr>
          <w:p>
            <w:pPr>
              <w:pStyle w:val="TableParagraph"/>
              <w:ind w:left="104" w:right="105"/>
              <w:rPr>
                <w:sz w:val="24"/>
              </w:rPr>
            </w:pPr>
            <w:r>
              <w:rPr>
                <w:spacing w:val="-2"/>
                <w:sz w:val="24"/>
              </w:rPr>
              <w:t>20567</w:t>
            </w:r>
          </w:p>
        </w:tc>
        <w:tc>
          <w:tcPr>
            <w:tcW w:w="478" w:type="dxa"/>
          </w:tcPr>
          <w:p>
            <w:pPr>
              <w:pStyle w:val="TableParagraph"/>
              <w:ind w:left="103" w:right="103"/>
              <w:rPr>
                <w:sz w:val="24"/>
              </w:rPr>
            </w:pPr>
            <w:r>
              <w:rPr>
                <w:spacing w:val="-5"/>
                <w:sz w:val="24"/>
              </w:rPr>
              <w:t>36</w:t>
            </w:r>
          </w:p>
        </w:tc>
        <w:tc>
          <w:tcPr>
            <w:tcW w:w="478" w:type="dxa"/>
          </w:tcPr>
          <w:p>
            <w:pPr>
              <w:pStyle w:val="TableParagraph"/>
              <w:ind w:left="119"/>
              <w:jc w:val="left"/>
              <w:rPr>
                <w:sz w:val="24"/>
              </w:rPr>
            </w:pPr>
            <w:r>
              <w:rPr>
                <w:spacing w:val="-5"/>
                <w:sz w:val="24"/>
              </w:rPr>
              <w:t>24</w:t>
            </w:r>
          </w:p>
        </w:tc>
        <w:tc>
          <w:tcPr>
            <w:tcW w:w="1063" w:type="dxa"/>
          </w:tcPr>
          <w:p>
            <w:pPr>
              <w:pStyle w:val="TableParagraph"/>
              <w:rPr>
                <w:sz w:val="24"/>
              </w:rPr>
            </w:pPr>
            <w:r>
              <w:rPr>
                <w:w w:val="99"/>
                <w:sz w:val="24"/>
              </w:rPr>
              <w:t>1</w:t>
            </w:r>
          </w:p>
        </w:tc>
        <w:tc>
          <w:tcPr>
            <w:tcW w:w="917" w:type="dxa"/>
          </w:tcPr>
          <w:p>
            <w:pPr>
              <w:pStyle w:val="TableParagraph"/>
              <w:rPr>
                <w:sz w:val="24"/>
              </w:rPr>
            </w:pPr>
            <w:r>
              <w:rPr>
                <w:w w:val="99"/>
                <w:sz w:val="24"/>
              </w:rPr>
              <w:t>0</w:t>
            </w:r>
          </w:p>
        </w:tc>
      </w:tr>
      <w:tr>
        <w:trPr>
          <w:trHeight w:val="306" w:hRule="atLeast"/>
        </w:trPr>
        <w:tc>
          <w:tcPr>
            <w:tcW w:w="1770" w:type="dxa"/>
            <w:tcBorders>
              <w:bottom w:val="single" w:sz="4" w:space="0" w:color="000000"/>
            </w:tcBorders>
          </w:tcPr>
          <w:p>
            <w:pPr>
              <w:pStyle w:val="TableParagraph"/>
              <w:spacing w:line="273" w:lineRule="exact"/>
              <w:ind w:left="102" w:right="102"/>
              <w:rPr>
                <w:sz w:val="24"/>
              </w:rPr>
            </w:pPr>
            <w:r>
              <w:rPr>
                <w:sz w:val="24"/>
              </w:rPr>
              <w:t>St</w:t>
            </w:r>
            <w:r>
              <w:rPr>
                <w:spacing w:val="-5"/>
                <w:sz w:val="24"/>
              </w:rPr>
              <w:t> </w:t>
            </w:r>
            <w:r>
              <w:rPr>
                <w:spacing w:val="-2"/>
                <w:sz w:val="24"/>
              </w:rPr>
              <w:t>Helens</w:t>
            </w:r>
          </w:p>
        </w:tc>
        <w:tc>
          <w:tcPr>
            <w:tcW w:w="1836" w:type="dxa"/>
            <w:tcBorders>
              <w:bottom w:val="single" w:sz="4" w:space="0" w:color="000000"/>
            </w:tcBorders>
          </w:tcPr>
          <w:p>
            <w:pPr>
              <w:pStyle w:val="TableParagraph"/>
              <w:spacing w:line="273" w:lineRule="exact"/>
              <w:ind w:left="102" w:right="102"/>
              <w:rPr>
                <w:sz w:val="24"/>
              </w:rPr>
            </w:pPr>
            <w:r>
              <w:rPr>
                <w:spacing w:val="-2"/>
                <w:sz w:val="24"/>
              </w:rPr>
              <w:t>Salford</w:t>
            </w:r>
          </w:p>
        </w:tc>
        <w:tc>
          <w:tcPr>
            <w:tcW w:w="1162" w:type="dxa"/>
            <w:tcBorders>
              <w:bottom w:val="single" w:sz="4" w:space="0" w:color="000000"/>
            </w:tcBorders>
          </w:tcPr>
          <w:p>
            <w:pPr>
              <w:pStyle w:val="TableParagraph"/>
              <w:spacing w:line="273" w:lineRule="exact"/>
              <w:ind w:left="104" w:right="105"/>
              <w:rPr>
                <w:sz w:val="24"/>
              </w:rPr>
            </w:pPr>
            <w:r>
              <w:rPr>
                <w:spacing w:val="-4"/>
                <w:sz w:val="24"/>
              </w:rPr>
              <w:t>2904</w:t>
            </w:r>
          </w:p>
        </w:tc>
        <w:tc>
          <w:tcPr>
            <w:tcW w:w="478" w:type="dxa"/>
            <w:tcBorders>
              <w:bottom w:val="single" w:sz="4" w:space="0" w:color="000000"/>
            </w:tcBorders>
          </w:tcPr>
          <w:p>
            <w:pPr>
              <w:pStyle w:val="TableParagraph"/>
              <w:spacing w:line="273" w:lineRule="exact"/>
              <w:ind w:left="103" w:right="103"/>
              <w:rPr>
                <w:sz w:val="24"/>
              </w:rPr>
            </w:pPr>
            <w:r>
              <w:rPr>
                <w:spacing w:val="-5"/>
                <w:sz w:val="24"/>
              </w:rPr>
              <w:t>54</w:t>
            </w:r>
          </w:p>
        </w:tc>
        <w:tc>
          <w:tcPr>
            <w:tcW w:w="478" w:type="dxa"/>
            <w:tcBorders>
              <w:bottom w:val="single" w:sz="4" w:space="0" w:color="000000"/>
            </w:tcBorders>
          </w:tcPr>
          <w:p>
            <w:pPr>
              <w:pStyle w:val="TableParagraph"/>
              <w:spacing w:line="273" w:lineRule="exact"/>
              <w:ind w:left="119"/>
              <w:jc w:val="left"/>
              <w:rPr>
                <w:sz w:val="24"/>
              </w:rPr>
            </w:pPr>
            <w:r>
              <w:rPr>
                <w:spacing w:val="-5"/>
                <w:sz w:val="24"/>
              </w:rPr>
              <w:t>35</w:t>
            </w:r>
          </w:p>
        </w:tc>
        <w:tc>
          <w:tcPr>
            <w:tcW w:w="1063" w:type="dxa"/>
            <w:tcBorders>
              <w:bottom w:val="single" w:sz="4" w:space="0" w:color="000000"/>
            </w:tcBorders>
          </w:tcPr>
          <w:p>
            <w:pPr>
              <w:pStyle w:val="TableParagraph"/>
              <w:spacing w:line="273" w:lineRule="exact"/>
              <w:rPr>
                <w:sz w:val="24"/>
              </w:rPr>
            </w:pPr>
            <w:r>
              <w:rPr>
                <w:w w:val="99"/>
                <w:sz w:val="24"/>
              </w:rPr>
              <w:t>1</w:t>
            </w:r>
          </w:p>
        </w:tc>
        <w:tc>
          <w:tcPr>
            <w:tcW w:w="917" w:type="dxa"/>
            <w:tcBorders>
              <w:bottom w:val="single" w:sz="4" w:space="0" w:color="000000"/>
            </w:tcBorders>
          </w:tcPr>
          <w:p>
            <w:pPr>
              <w:pStyle w:val="TableParagraph"/>
              <w:spacing w:line="273" w:lineRule="exact"/>
              <w:rPr>
                <w:sz w:val="24"/>
              </w:rPr>
            </w:pPr>
            <w:r>
              <w:rPr>
                <w:w w:val="99"/>
                <w:sz w:val="24"/>
              </w:rPr>
              <w:t>0</w:t>
            </w:r>
          </w:p>
        </w:tc>
      </w:tr>
    </w:tbl>
    <w:p>
      <w:pPr>
        <w:pStyle w:val="BodyText"/>
        <w:rPr>
          <w:sz w:val="20"/>
        </w:rPr>
      </w:pPr>
    </w:p>
    <w:p>
      <w:pPr>
        <w:pStyle w:val="BodyText"/>
        <w:spacing w:before="4"/>
        <w:rPr>
          <w:sz w:val="25"/>
        </w:rPr>
      </w:pPr>
    </w:p>
    <w:p>
      <w:pPr>
        <w:pStyle w:val="Heading3"/>
        <w:numPr>
          <w:ilvl w:val="2"/>
          <w:numId w:val="24"/>
        </w:numPr>
        <w:tabs>
          <w:tab w:pos="1471" w:val="left" w:leader="none"/>
          <w:tab w:pos="1472" w:val="left" w:leader="none"/>
        </w:tabs>
        <w:spacing w:line="240" w:lineRule="auto" w:before="115" w:after="0"/>
        <w:ind w:left="1471" w:right="0" w:hanging="862"/>
        <w:jc w:val="left"/>
      </w:pPr>
      <w:bookmarkStart w:name="_TOC_250010" w:id="307"/>
      <w:bookmarkStart w:name="6.2.3 Bayesian Mixture Model" w:id="308"/>
      <w:r>
        <w:rPr>
          <w:b w:val="0"/>
        </w:rPr>
      </w:r>
      <w:bookmarkStart w:name="_bookmark177" w:id="309"/>
      <w:bookmarkEnd w:id="309"/>
      <w:r>
        <w:rPr/>
        <w:t>Ba</w:t>
      </w:r>
      <w:r>
        <w:rPr/>
        <w:t>yesian</w:t>
      </w:r>
      <w:r>
        <w:rPr>
          <w:spacing w:val="17"/>
        </w:rPr>
        <w:t> </w:t>
      </w:r>
      <w:r>
        <w:rPr/>
        <w:t>Mixture</w:t>
      </w:r>
      <w:r>
        <w:rPr>
          <w:spacing w:val="17"/>
        </w:rPr>
        <w:t> </w:t>
      </w:r>
      <w:bookmarkEnd w:id="307"/>
      <w:r>
        <w:rPr>
          <w:spacing w:val="-2"/>
        </w:rPr>
        <w:t>Model</w:t>
      </w:r>
    </w:p>
    <w:p>
      <w:pPr>
        <w:pStyle w:val="BodyText"/>
        <w:spacing w:line="312" w:lineRule="auto" w:before="235"/>
        <w:ind w:left="610" w:right="389"/>
      </w:pPr>
      <w:r>
        <w:rPr/>
        <w:t>In</w:t>
      </w:r>
      <w:r>
        <w:rPr>
          <w:spacing w:val="-9"/>
        </w:rPr>
        <w:t> </w:t>
      </w:r>
      <w:r>
        <w:rPr/>
        <w:t>this</w:t>
      </w:r>
      <w:r>
        <w:rPr>
          <w:spacing w:val="-9"/>
        </w:rPr>
        <w:t> </w:t>
      </w:r>
      <w:r>
        <w:rPr/>
        <w:t>study,</w:t>
      </w:r>
      <w:r>
        <w:rPr>
          <w:spacing w:val="-8"/>
        </w:rPr>
        <w:t> </w:t>
      </w:r>
      <w:r>
        <w:rPr/>
        <w:t>a</w:t>
      </w:r>
      <w:r>
        <w:rPr>
          <w:spacing w:val="-9"/>
        </w:rPr>
        <w:t> </w:t>
      </w:r>
      <w:r>
        <w:rPr/>
        <w:t>Bayesian</w:t>
      </w:r>
      <w:r>
        <w:rPr>
          <w:spacing w:val="-9"/>
        </w:rPr>
        <w:t> </w:t>
      </w:r>
      <w:r>
        <w:rPr/>
        <w:t>Mixture</w:t>
      </w:r>
      <w:r>
        <w:rPr>
          <w:spacing w:val="-9"/>
        </w:rPr>
        <w:t> </w:t>
      </w:r>
      <w:r>
        <w:rPr/>
        <w:t>Model</w:t>
      </w:r>
      <w:r>
        <w:rPr>
          <w:spacing w:val="-9"/>
        </w:rPr>
        <w:t> </w:t>
      </w:r>
      <w:r>
        <w:rPr/>
        <w:t>was</w:t>
      </w:r>
      <w:r>
        <w:rPr>
          <w:spacing w:val="-9"/>
        </w:rPr>
        <w:t> </w:t>
      </w:r>
      <w:r>
        <w:rPr/>
        <w:t>used</w:t>
      </w:r>
      <w:r>
        <w:rPr>
          <w:spacing w:val="-9"/>
        </w:rPr>
        <w:t> </w:t>
      </w:r>
      <w:r>
        <w:rPr/>
        <w:t>to</w:t>
      </w:r>
      <w:r>
        <w:rPr>
          <w:spacing w:val="-9"/>
        </w:rPr>
        <w:t> </w:t>
      </w:r>
      <w:r>
        <w:rPr/>
        <w:t>develop</w:t>
      </w:r>
      <w:r>
        <w:rPr>
          <w:spacing w:val="-9"/>
        </w:rPr>
        <w:t> </w:t>
      </w:r>
      <w:r>
        <w:rPr/>
        <w:t>a</w:t>
      </w:r>
      <w:r>
        <w:rPr>
          <w:spacing w:val="-9"/>
        </w:rPr>
        <w:t> </w:t>
      </w:r>
      <w:r>
        <w:rPr/>
        <w:t>novel</w:t>
      </w:r>
      <w:r>
        <w:rPr>
          <w:spacing w:val="-9"/>
        </w:rPr>
        <w:t> </w:t>
      </w:r>
      <w:r>
        <w:rPr/>
        <w:t>EPV</w:t>
      </w:r>
      <w:r>
        <w:rPr>
          <w:spacing w:val="-9"/>
        </w:rPr>
        <w:t> </w:t>
      </w:r>
      <w:r>
        <w:rPr/>
        <w:t>model</w:t>
      </w:r>
      <w:r>
        <w:rPr>
          <w:spacing w:val="-9"/>
        </w:rPr>
        <w:t> </w:t>
      </w:r>
      <w:r>
        <w:rPr/>
        <w:t>capable of evaluating team and player performances.</w:t>
      </w:r>
      <w:r>
        <w:rPr>
          <w:spacing w:val="34"/>
        </w:rPr>
        <w:t> </w:t>
      </w:r>
      <w:r>
        <w:rPr/>
        <w:t>Bayesian analysis (Definition</w:t>
      </w:r>
      <w:hyperlink w:history="true" w:anchor="_bookmark178">
        <w:r>
          <w:rPr>
            <w:color w:val="0000FF"/>
          </w:rPr>
          <w:t>6.2.1</w:t>
        </w:r>
        <w:r>
          <w:rPr/>
          <w:t>)</w:t>
        </w:r>
      </w:hyperlink>
      <w:r>
        <w:rPr/>
        <w:t> is ide- ally suited to the estimation of this model in rugby league for several reasons.</w:t>
      </w:r>
      <w:r>
        <w:rPr>
          <w:spacing w:val="32"/>
        </w:rPr>
        <w:t> </w:t>
      </w:r>
      <w:r>
        <w:rPr/>
        <w:t>Firstly, it adopts</w:t>
      </w:r>
      <w:r>
        <w:rPr>
          <w:spacing w:val="-4"/>
        </w:rPr>
        <w:t> </w:t>
      </w:r>
      <w:r>
        <w:rPr/>
        <w:t>an</w:t>
      </w:r>
      <w:r>
        <w:rPr>
          <w:spacing w:val="-4"/>
        </w:rPr>
        <w:t> </w:t>
      </w:r>
      <w:r>
        <w:rPr/>
        <w:t>evidence</w:t>
      </w:r>
      <w:r>
        <w:rPr>
          <w:spacing w:val="-4"/>
        </w:rPr>
        <w:t> </w:t>
      </w:r>
      <w:r>
        <w:rPr/>
        <w:t>based</w:t>
      </w:r>
      <w:r>
        <w:rPr>
          <w:spacing w:val="-4"/>
        </w:rPr>
        <w:t> </w:t>
      </w:r>
      <w:r>
        <w:rPr/>
        <w:t>approach,</w:t>
      </w:r>
      <w:r>
        <w:rPr>
          <w:spacing w:val="-3"/>
        </w:rPr>
        <w:t> </w:t>
      </w:r>
      <w:r>
        <w:rPr/>
        <w:t>which</w:t>
      </w:r>
      <w:r>
        <w:rPr>
          <w:spacing w:val="-4"/>
        </w:rPr>
        <w:t> </w:t>
      </w:r>
      <w:r>
        <w:rPr/>
        <w:t>allows</w:t>
      </w:r>
      <w:r>
        <w:rPr>
          <w:spacing w:val="-4"/>
        </w:rPr>
        <w:t> </w:t>
      </w:r>
      <w:r>
        <w:rPr/>
        <w:t>it</w:t>
      </w:r>
      <w:r>
        <w:rPr>
          <w:spacing w:val="-4"/>
        </w:rPr>
        <w:t> </w:t>
      </w:r>
      <w:r>
        <w:rPr/>
        <w:t>to</w:t>
      </w:r>
      <w:r>
        <w:rPr>
          <w:spacing w:val="-4"/>
        </w:rPr>
        <w:t> </w:t>
      </w:r>
      <w:r>
        <w:rPr/>
        <w:t>estimate</w:t>
      </w:r>
      <w:r>
        <w:rPr>
          <w:spacing w:val="-4"/>
        </w:rPr>
        <w:t> </w:t>
      </w:r>
      <w:r>
        <w:rPr/>
        <w:t>certainty</w:t>
      </w:r>
      <w:r>
        <w:rPr>
          <w:spacing w:val="-4"/>
        </w:rPr>
        <w:t> </w:t>
      </w:r>
      <w:r>
        <w:rPr/>
        <w:t>and</w:t>
      </w:r>
      <w:r>
        <w:rPr>
          <w:spacing w:val="-4"/>
        </w:rPr>
        <w:t> </w:t>
      </w:r>
      <w:r>
        <w:rPr/>
        <w:t>uncertainty within</w:t>
      </w:r>
      <w:r>
        <w:rPr>
          <w:spacing w:val="-8"/>
        </w:rPr>
        <w:t> </w:t>
      </w:r>
      <w:r>
        <w:rPr/>
        <w:t>parameter</w:t>
      </w:r>
      <w:r>
        <w:rPr>
          <w:spacing w:val="-8"/>
        </w:rPr>
        <w:t> </w:t>
      </w:r>
      <w:r>
        <w:rPr/>
        <w:t>estimates. This</w:t>
      </w:r>
      <w:r>
        <w:rPr>
          <w:spacing w:val="-8"/>
        </w:rPr>
        <w:t> </w:t>
      </w:r>
      <w:r>
        <w:rPr/>
        <w:t>ensures</w:t>
      </w:r>
      <w:r>
        <w:rPr>
          <w:spacing w:val="-8"/>
        </w:rPr>
        <w:t> </w:t>
      </w:r>
      <w:r>
        <w:rPr/>
        <w:t>that</w:t>
      </w:r>
      <w:r>
        <w:rPr>
          <w:spacing w:val="-8"/>
        </w:rPr>
        <w:t> </w:t>
      </w:r>
      <w:r>
        <w:rPr/>
        <w:t>in</w:t>
      </w:r>
      <w:r>
        <w:rPr>
          <w:spacing w:val="-8"/>
        </w:rPr>
        <w:t> </w:t>
      </w:r>
      <w:r>
        <w:rPr/>
        <w:t>areas</w:t>
      </w:r>
      <w:r>
        <w:rPr>
          <w:spacing w:val="-8"/>
        </w:rPr>
        <w:t> </w:t>
      </w:r>
      <w:r>
        <w:rPr/>
        <w:t>of</w:t>
      </w:r>
      <w:r>
        <w:rPr>
          <w:spacing w:val="-8"/>
        </w:rPr>
        <w:t> </w:t>
      </w:r>
      <w:r>
        <w:rPr/>
        <w:t>the</w:t>
      </w:r>
      <w:r>
        <w:rPr>
          <w:spacing w:val="-8"/>
        </w:rPr>
        <w:t> </w:t>
      </w:r>
      <w:r>
        <w:rPr/>
        <w:t>pitch</w:t>
      </w:r>
      <w:r>
        <w:rPr>
          <w:spacing w:val="-8"/>
        </w:rPr>
        <w:t> </w:t>
      </w:r>
      <w:r>
        <w:rPr/>
        <w:t>where</w:t>
      </w:r>
      <w:r>
        <w:rPr>
          <w:spacing w:val="-8"/>
        </w:rPr>
        <w:t> </w:t>
      </w:r>
      <w:r>
        <w:rPr/>
        <w:t>little</w:t>
      </w:r>
      <w:r>
        <w:rPr>
          <w:spacing w:val="-8"/>
        </w:rPr>
        <w:t> </w:t>
      </w:r>
      <w:r>
        <w:rPr/>
        <w:t>evidence</w:t>
      </w:r>
      <w:r>
        <w:rPr>
          <w:spacing w:val="-8"/>
        </w:rPr>
        <w:t> </w:t>
      </w:r>
      <w:r>
        <w:rPr/>
        <w:t>is available, a parameter value can be estimated, but confidence within the estimate can </w:t>
      </w:r>
      <w:r>
        <w:rPr/>
        <w:t>be tempered as appropriate.</w:t>
      </w:r>
      <w:r>
        <w:rPr>
          <w:spacing w:val="40"/>
        </w:rPr>
        <w:t> </w:t>
      </w:r>
      <w:r>
        <w:rPr/>
        <w:t>Using the Markovian approaches of Chapters</w:t>
      </w:r>
      <w:r>
        <w:rPr>
          <w:color w:val="0000FF"/>
        </w:rPr>
        <w:t>3</w:t>
      </w:r>
      <w:r>
        <w:rPr/>
        <w:t>and</w:t>
      </w:r>
      <w:r>
        <w:rPr>
          <w:color w:val="0000FF"/>
        </w:rPr>
        <w:t>4</w:t>
      </w:r>
      <w:r>
        <w:rPr/>
        <w:t>, this was not possible.</w:t>
      </w:r>
      <w:r>
        <w:rPr>
          <w:spacing w:val="27"/>
        </w:rPr>
        <w:t> </w:t>
      </w:r>
      <w:r>
        <w:rPr/>
        <w:t>Secondly, the use of prior distributions can assist the model in understand- ing likely parameter values, reducing the amount of data required to generate plausible parameter estimates.</w:t>
      </w:r>
      <w:r>
        <w:rPr>
          <w:spacing w:val="40"/>
        </w:rPr>
        <w:t> </w:t>
      </w:r>
      <w:r>
        <w:rPr/>
        <w:t>This is in contrast to the machine learning (</w:t>
      </w:r>
      <w:hyperlink w:history="true" w:anchor="_bookmark239">
        <w:r>
          <w:rPr>
            <w:color w:val="FF0000"/>
          </w:rPr>
          <w:t>Decroos et al.</w:t>
        </w:r>
      </w:hyperlink>
      <w:r>
        <w:rPr/>
        <w:t>,</w:t>
      </w:r>
      <w:hyperlink w:history="true" w:anchor="_bookmark239">
        <w:r>
          <w:rPr>
            <w:color w:val="FF0000"/>
          </w:rPr>
          <w:t>2019</w:t>
        </w:r>
        <w:r>
          <w:rPr/>
          <w:t>)</w:t>
        </w:r>
      </w:hyperlink>
      <w:r>
        <w:rPr>
          <w:spacing w:val="40"/>
        </w:rPr>
        <w:t> </w:t>
      </w:r>
      <w:r>
        <w:rPr/>
        <w:t>and deep learning </w:t>
      </w:r>
      <w:r>
        <w:rPr>
          <w:spacing w:val="7"/>
        </w:rPr>
        <w:t>(</w:t>
      </w:r>
      <w:hyperlink w:history="true" w:anchor="_bookmark243">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1"/>
          </w:rPr>
          <w:t> </w:t>
        </w:r>
        <w:r>
          <w:rPr>
            <w:color w:val="FF0000"/>
          </w:rPr>
          <w:t>et al.</w:t>
        </w:r>
      </w:hyperlink>
      <w:r>
        <w:rPr/>
        <w:t>,</w:t>
      </w:r>
      <w:hyperlink w:history="true" w:anchor="_bookmark243">
        <w:r>
          <w:rPr>
            <w:color w:val="FF0000"/>
          </w:rPr>
          <w:t>2021</w:t>
        </w:r>
        <w:r>
          <w:rPr/>
          <w:t>;</w:t>
        </w:r>
      </w:hyperlink>
      <w:r>
        <w:rPr>
          <w:color w:val="FF0000"/>
        </w:rPr>
        <w:t>Liu </w:t>
      </w:r>
      <w:hyperlink w:history="true" w:anchor="_bookmark269">
        <w:r>
          <w:rPr>
            <w:color w:val="FF0000"/>
          </w:rPr>
          <w:t>et al.</w:t>
        </w:r>
        <w:r>
          <w:rPr/>
          <w:t>,</w:t>
        </w:r>
      </w:hyperlink>
      <w:r>
        <w:rPr>
          <w:color w:val="FF0000"/>
        </w:rPr>
        <w:t>2020</w:t>
      </w:r>
      <w:hyperlink w:history="true" w:anchor="_bookmark269">
        <w:r>
          <w:rPr/>
          <w:t>)</w:t>
        </w:r>
      </w:hyperlink>
      <w:r>
        <w:rPr/>
        <w:t> approaches previously used</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in</w:t>
      </w:r>
      <w:r>
        <w:rPr>
          <w:spacing w:val="-2"/>
        </w:rPr>
        <w:t> </w:t>
      </w:r>
      <w:r>
        <w:rPr/>
        <w:t>sport,</w:t>
      </w:r>
      <w:r>
        <w:rPr>
          <w:spacing w:val="-1"/>
        </w:rPr>
        <w:t> </w:t>
      </w:r>
      <w:r>
        <w:rPr/>
        <w:t>which</w:t>
      </w:r>
      <w:r>
        <w:rPr>
          <w:spacing w:val="-2"/>
        </w:rPr>
        <w:t> </w:t>
      </w:r>
      <w:r>
        <w:rPr/>
        <w:t>randomly</w:t>
      </w:r>
      <w:r>
        <w:rPr>
          <w:spacing w:val="-2"/>
        </w:rPr>
        <w:t> </w:t>
      </w:r>
      <w:r>
        <w:rPr/>
        <w:t>initialise</w:t>
      </w:r>
      <w:r>
        <w:rPr>
          <w:spacing w:val="-2"/>
        </w:rPr>
        <w:t> </w:t>
      </w:r>
      <w:r>
        <w:rPr/>
        <w:t>parameters,</w:t>
      </w:r>
      <w:r>
        <w:rPr>
          <w:spacing w:val="-1"/>
        </w:rPr>
        <w:t> </w:t>
      </w:r>
      <w:r>
        <w:rPr/>
        <w:t>and</w:t>
      </w:r>
      <w:r>
        <w:rPr>
          <w:spacing w:val="-2"/>
        </w:rPr>
        <w:t> </w:t>
      </w:r>
      <w:r>
        <w:rPr/>
        <w:t>is</w:t>
      </w:r>
      <w:r>
        <w:rPr>
          <w:spacing w:val="-2"/>
        </w:rPr>
        <w:t> </w:t>
      </w:r>
      <w:r>
        <w:rPr/>
        <w:t>particularly</w:t>
      </w:r>
      <w:r>
        <w:rPr>
          <w:spacing w:val="-2"/>
        </w:rPr>
        <w:t> </w:t>
      </w:r>
      <w:r>
        <w:rPr/>
        <w:t>important</w:t>
      </w:r>
      <w:r>
        <w:rPr>
          <w:spacing w:val="-2"/>
        </w:rPr>
        <w:t> </w:t>
      </w:r>
      <w:r>
        <w:rPr/>
        <w:t>in</w:t>
      </w:r>
      <w:r>
        <w:rPr>
          <w:spacing w:val="-2"/>
        </w:rPr>
        <w:t> </w:t>
      </w:r>
      <w:r>
        <w:rPr/>
        <w:t>this</w:t>
      </w:r>
      <w:r>
        <w:rPr>
          <w:spacing w:val="-2"/>
        </w:rPr>
        <w:t> </w:t>
      </w:r>
      <w:r>
        <w:rPr/>
        <w:t>study where</w:t>
      </w:r>
      <w:r>
        <w:rPr>
          <w:spacing w:val="-5"/>
        </w:rPr>
        <w:t> </w:t>
      </w:r>
      <w:r>
        <w:rPr/>
        <w:t>only</w:t>
      </w:r>
      <w:r>
        <w:rPr>
          <w:spacing w:val="-5"/>
        </w:rPr>
        <w:t> </w:t>
      </w:r>
      <w:r>
        <w:rPr/>
        <w:t>99,966</w:t>
      </w:r>
      <w:r>
        <w:rPr>
          <w:spacing w:val="-5"/>
        </w:rPr>
        <w:t> </w:t>
      </w:r>
      <w:r>
        <w:rPr/>
        <w:t>observations</w:t>
      </w:r>
      <w:r>
        <w:rPr>
          <w:spacing w:val="-5"/>
        </w:rPr>
        <w:t> </w:t>
      </w:r>
      <w:r>
        <w:rPr/>
        <w:t>are</w:t>
      </w:r>
      <w:r>
        <w:rPr>
          <w:spacing w:val="-5"/>
        </w:rPr>
        <w:t> </w:t>
      </w:r>
      <w:r>
        <w:rPr/>
        <w:t>available.</w:t>
      </w:r>
      <w:r>
        <w:rPr>
          <w:spacing w:val="18"/>
        </w:rPr>
        <w:t> </w:t>
      </w:r>
      <w:r>
        <w:rPr/>
        <w:t>Finally,</w:t>
      </w:r>
      <w:r>
        <w:rPr>
          <w:spacing w:val="-4"/>
        </w:rPr>
        <w:t> </w:t>
      </w:r>
      <w:r>
        <w:rPr/>
        <w:t>the</w:t>
      </w:r>
      <w:r>
        <w:rPr>
          <w:spacing w:val="-5"/>
        </w:rPr>
        <w:t> </w:t>
      </w:r>
      <w:r>
        <w:rPr/>
        <w:t>complexity</w:t>
      </w:r>
      <w:r>
        <w:rPr>
          <w:spacing w:val="-5"/>
        </w:rPr>
        <w:t> </w:t>
      </w:r>
      <w:r>
        <w:rPr/>
        <w:t>of</w:t>
      </w:r>
      <w:r>
        <w:rPr>
          <w:spacing w:val="-5"/>
        </w:rPr>
        <w:t> </w:t>
      </w:r>
      <w:r>
        <w:rPr/>
        <w:t>the</w:t>
      </w:r>
      <w:r>
        <w:rPr>
          <w:spacing w:val="-5"/>
        </w:rPr>
        <w:t> </w:t>
      </w:r>
      <w:r>
        <w:rPr/>
        <w:t>output</w:t>
      </w:r>
      <w:r>
        <w:rPr>
          <w:spacing w:val="-5"/>
        </w:rPr>
        <w:t> </w:t>
      </w:r>
      <w:r>
        <w:rPr/>
        <w:t>(five possession</w:t>
      </w:r>
      <w:r>
        <w:rPr>
          <w:spacing w:val="-4"/>
        </w:rPr>
        <w:t> </w:t>
      </w:r>
      <w:r>
        <w:rPr/>
        <w:t>outcome</w:t>
      </w:r>
      <w:r>
        <w:rPr>
          <w:spacing w:val="-4"/>
        </w:rPr>
        <w:t> </w:t>
      </w:r>
      <w:r>
        <w:rPr/>
        <w:t>probabilities</w:t>
      </w:r>
      <w:r>
        <w:rPr>
          <w:spacing w:val="-4"/>
        </w:rPr>
        <w:t> </w:t>
      </w:r>
      <w:r>
        <w:rPr/>
        <w:t>for</w:t>
      </w:r>
      <w:r>
        <w:rPr>
          <w:spacing w:val="-4"/>
        </w:rPr>
        <w:t> </w:t>
      </w:r>
      <w:r>
        <w:rPr/>
        <w:t>33</w:t>
      </w:r>
      <w:r>
        <w:rPr>
          <w:spacing w:val="-4"/>
        </w:rPr>
        <w:t> </w:t>
      </w:r>
      <w:r>
        <w:rPr/>
        <w:t>centres)</w:t>
      </w:r>
      <w:r>
        <w:rPr>
          <w:spacing w:val="-4"/>
        </w:rPr>
        <w:t> </w:t>
      </w:r>
      <w:r>
        <w:rPr/>
        <w:t>is</w:t>
      </w:r>
      <w:r>
        <w:rPr>
          <w:spacing w:val="-4"/>
        </w:rPr>
        <w:t> </w:t>
      </w:r>
      <w:r>
        <w:rPr/>
        <w:t>well</w:t>
      </w:r>
      <w:r>
        <w:rPr>
          <w:spacing w:val="-4"/>
        </w:rPr>
        <w:t> </w:t>
      </w:r>
      <w:r>
        <w:rPr/>
        <w:t>suited</w:t>
      </w:r>
      <w:r>
        <w:rPr>
          <w:spacing w:val="-4"/>
        </w:rPr>
        <w:t> </w:t>
      </w:r>
      <w:r>
        <w:rPr/>
        <w:t>to</w:t>
      </w:r>
      <w:r>
        <w:rPr>
          <w:spacing w:val="-4"/>
        </w:rPr>
        <w:t> </w:t>
      </w:r>
      <w:r>
        <w:rPr/>
        <w:t>a</w:t>
      </w:r>
      <w:r>
        <w:rPr>
          <w:spacing w:val="-4"/>
        </w:rPr>
        <w:t> </w:t>
      </w:r>
      <w:r>
        <w:rPr/>
        <w:t>custom</w:t>
      </w:r>
      <w:r>
        <w:rPr>
          <w:spacing w:val="-4"/>
        </w:rPr>
        <w:t> </w:t>
      </w:r>
      <w:r>
        <w:rPr/>
        <w:t>model</w:t>
      </w:r>
      <w:r>
        <w:rPr>
          <w:spacing w:val="-4"/>
        </w:rPr>
        <w:t> </w:t>
      </w:r>
      <w:r>
        <w:rPr/>
        <w:t>formu- lation, which is easier to solve using an evidence based Bayesian approach than through machine learning methods.</w:t>
      </w:r>
    </w:p>
    <w:p>
      <w:pPr>
        <w:pStyle w:val="BodyText"/>
        <w:spacing w:line="312" w:lineRule="auto" w:before="103"/>
        <w:ind w:left="610" w:right="389"/>
        <w:jc w:val="both"/>
      </w:pPr>
      <w:bookmarkStart w:name="_bookmark178" w:id="310"/>
      <w:bookmarkEnd w:id="310"/>
      <w:r>
        <w:rPr/>
      </w:r>
      <w:r>
        <w:rPr>
          <w:b/>
        </w:rPr>
        <w:t>Definition</w:t>
      </w:r>
      <w:r>
        <w:rPr>
          <w:b/>
          <w:spacing w:val="-12"/>
        </w:rPr>
        <w:t> </w:t>
      </w:r>
      <w:r>
        <w:rPr>
          <w:b/>
        </w:rPr>
        <w:t>6.2.1.</w:t>
      </w:r>
      <w:r>
        <w:rPr>
          <w:b/>
          <w:spacing w:val="21"/>
        </w:rPr>
        <w:t> </w:t>
      </w:r>
      <w:r>
        <w:rPr/>
        <w:t>Bayesian</w:t>
      </w:r>
      <w:r>
        <w:rPr>
          <w:spacing w:val="-12"/>
        </w:rPr>
        <w:t> </w:t>
      </w:r>
      <w:r>
        <w:rPr/>
        <w:t>statistics</w:t>
      </w:r>
      <w:r>
        <w:rPr>
          <w:spacing w:val="-12"/>
        </w:rPr>
        <w:t> </w:t>
      </w:r>
      <w:r>
        <w:rPr/>
        <w:t>is</w:t>
      </w:r>
      <w:r>
        <w:rPr>
          <w:spacing w:val="-12"/>
        </w:rPr>
        <w:t> </w:t>
      </w:r>
      <w:r>
        <w:rPr/>
        <w:t>an</w:t>
      </w:r>
      <w:r>
        <w:rPr>
          <w:spacing w:val="-12"/>
        </w:rPr>
        <w:t> </w:t>
      </w:r>
      <w:r>
        <w:rPr/>
        <w:t>approach</w:t>
      </w:r>
      <w:r>
        <w:rPr>
          <w:spacing w:val="-12"/>
        </w:rPr>
        <w:t> </w:t>
      </w:r>
      <w:r>
        <w:rPr/>
        <w:t>to</w:t>
      </w:r>
      <w:r>
        <w:rPr>
          <w:spacing w:val="-12"/>
        </w:rPr>
        <w:t> </w:t>
      </w:r>
      <w:r>
        <w:rPr/>
        <w:t>data</w:t>
      </w:r>
      <w:r>
        <w:rPr>
          <w:spacing w:val="-12"/>
        </w:rPr>
        <w:t> </w:t>
      </w:r>
      <w:r>
        <w:rPr/>
        <w:t>analysis</w:t>
      </w:r>
      <w:r>
        <w:rPr>
          <w:spacing w:val="-12"/>
        </w:rPr>
        <w:t> </w:t>
      </w:r>
      <w:r>
        <w:rPr/>
        <w:t>centred</w:t>
      </w:r>
      <w:r>
        <w:rPr>
          <w:spacing w:val="-12"/>
        </w:rPr>
        <w:t> </w:t>
      </w:r>
      <w:r>
        <w:rPr/>
        <w:t>around</w:t>
      </w:r>
      <w:r>
        <w:rPr>
          <w:spacing w:val="-12"/>
        </w:rPr>
        <w:t> </w:t>
      </w:r>
      <w:r>
        <w:rPr/>
        <w:t>Bayes Theorem (Equation</w:t>
      </w:r>
      <w:hyperlink w:history="true" w:anchor="_bookmark179">
        <w:r>
          <w:rPr>
            <w:color w:val="0000FF"/>
          </w:rPr>
          <w:t>6.1</w:t>
        </w:r>
      </w:hyperlink>
      <w:r>
        <w:rPr/>
        <w:t>). It consists of three main elements</w:t>
      </w:r>
      <w:r>
        <w:rPr>
          <w:color w:val="FF0000"/>
        </w:rPr>
        <w:t>v</w:t>
      </w:r>
      <w:hyperlink w:history="true" w:anchor="_bookmark304">
        <w:r>
          <w:rPr>
            <w:color w:val="FF0000"/>
          </w:rPr>
          <w:t>an de Schoot et al.</w:t>
        </w:r>
        <w:r>
          <w:rPr/>
          <w:t>(</w:t>
        </w:r>
      </w:hyperlink>
      <w:r>
        <w:rPr>
          <w:color w:val="FF0000"/>
        </w:rPr>
        <w:t>2021</w:t>
      </w:r>
      <w:hyperlink w:history="true" w:anchor="_bookmark304">
        <w:r>
          <w:rPr/>
          <w:t>):</w:t>
        </w:r>
      </w:hyperlink>
    </w:p>
    <w:p>
      <w:pPr>
        <w:pStyle w:val="ListParagraph"/>
        <w:numPr>
          <w:ilvl w:val="0"/>
          <w:numId w:val="25"/>
        </w:numPr>
        <w:tabs>
          <w:tab w:pos="1080" w:val="left" w:leader="none"/>
        </w:tabs>
        <w:spacing w:line="240" w:lineRule="auto" w:before="104" w:after="0"/>
        <w:ind w:left="1079" w:right="0" w:hanging="86"/>
        <w:jc w:val="both"/>
        <w:rPr>
          <w:sz w:val="24"/>
        </w:rPr>
      </w:pPr>
      <w:r>
        <w:rPr>
          <w:sz w:val="24"/>
        </w:rPr>
        <w:t>the</w:t>
      </w:r>
      <w:r>
        <w:rPr>
          <w:spacing w:val="67"/>
          <w:w w:val="150"/>
          <w:sz w:val="24"/>
        </w:rPr>
        <w:t> </w:t>
      </w:r>
      <w:r>
        <w:rPr>
          <w:i/>
          <w:sz w:val="24"/>
        </w:rPr>
        <w:t>prior</w:t>
      </w:r>
      <w:r>
        <w:rPr>
          <w:i/>
          <w:spacing w:val="-8"/>
          <w:sz w:val="24"/>
        </w:rPr>
        <w:t> </w:t>
      </w:r>
      <w:r>
        <w:rPr>
          <w:i/>
          <w:sz w:val="24"/>
        </w:rPr>
        <w:t>distribution</w:t>
      </w:r>
      <w:r>
        <w:rPr>
          <w:sz w:val="24"/>
        </w:rPr>
        <w:t>,</w:t>
      </w:r>
      <w:r>
        <w:rPr>
          <w:spacing w:val="-7"/>
          <w:sz w:val="24"/>
        </w:rPr>
        <w:t> </w:t>
      </w:r>
      <w:r>
        <w:rPr>
          <w:sz w:val="24"/>
        </w:rPr>
        <w:t>which</w:t>
      </w:r>
      <w:r>
        <w:rPr>
          <w:spacing w:val="-7"/>
          <w:sz w:val="24"/>
        </w:rPr>
        <w:t> </w:t>
      </w:r>
      <w:r>
        <w:rPr>
          <w:sz w:val="24"/>
        </w:rPr>
        <w:t>outlines</w:t>
      </w:r>
      <w:r>
        <w:rPr>
          <w:spacing w:val="-8"/>
          <w:sz w:val="24"/>
        </w:rPr>
        <w:t> </w:t>
      </w:r>
      <w:r>
        <w:rPr>
          <w:sz w:val="24"/>
        </w:rPr>
        <w:t>current</w:t>
      </w:r>
      <w:r>
        <w:rPr>
          <w:spacing w:val="-7"/>
          <w:sz w:val="24"/>
        </w:rPr>
        <w:t> </w:t>
      </w:r>
      <w:r>
        <w:rPr>
          <w:sz w:val="24"/>
        </w:rPr>
        <w:t>knowledge</w:t>
      </w:r>
      <w:r>
        <w:rPr>
          <w:spacing w:val="-8"/>
          <w:sz w:val="24"/>
        </w:rPr>
        <w:t> </w:t>
      </w:r>
      <w:r>
        <w:rPr>
          <w:sz w:val="24"/>
        </w:rPr>
        <w:t>about</w:t>
      </w:r>
      <w:r>
        <w:rPr>
          <w:spacing w:val="-7"/>
          <w:sz w:val="24"/>
        </w:rPr>
        <w:t> </w:t>
      </w:r>
      <w:r>
        <w:rPr>
          <w:sz w:val="24"/>
        </w:rPr>
        <w:t>the</w:t>
      </w:r>
      <w:r>
        <w:rPr>
          <w:spacing w:val="-7"/>
          <w:sz w:val="24"/>
        </w:rPr>
        <w:t> </w:t>
      </w:r>
      <w:r>
        <w:rPr>
          <w:spacing w:val="-2"/>
          <w:sz w:val="24"/>
        </w:rPr>
        <w:t>parameter</w:t>
      </w:r>
    </w:p>
    <w:p>
      <w:pPr>
        <w:pStyle w:val="ListParagraph"/>
        <w:numPr>
          <w:ilvl w:val="0"/>
          <w:numId w:val="25"/>
        </w:numPr>
        <w:tabs>
          <w:tab w:pos="1080" w:val="left" w:leader="none"/>
        </w:tabs>
        <w:spacing w:line="312" w:lineRule="auto" w:before="250" w:after="0"/>
        <w:ind w:left="1195" w:right="389" w:hanging="201"/>
        <w:jc w:val="both"/>
        <w:rPr>
          <w:sz w:val="24"/>
        </w:rPr>
      </w:pPr>
      <w:r>
        <w:rPr>
          <w:sz w:val="24"/>
        </w:rPr>
        <w:t>the</w:t>
      </w:r>
      <w:r>
        <w:rPr>
          <w:spacing w:val="80"/>
          <w:sz w:val="24"/>
        </w:rPr>
        <w:t> </w:t>
      </w:r>
      <w:r>
        <w:rPr>
          <w:i/>
          <w:sz w:val="24"/>
        </w:rPr>
        <w:t>likelihood</w:t>
      </w:r>
      <w:r>
        <w:rPr>
          <w:i/>
          <w:spacing w:val="-6"/>
          <w:sz w:val="24"/>
        </w:rPr>
        <w:t> </w:t>
      </w:r>
      <w:r>
        <w:rPr>
          <w:i/>
          <w:sz w:val="24"/>
        </w:rPr>
        <w:t>function</w:t>
      </w:r>
      <w:r>
        <w:rPr>
          <w:sz w:val="24"/>
        </w:rPr>
        <w:t>,</w:t>
      </w:r>
      <w:r>
        <w:rPr>
          <w:spacing w:val="-6"/>
          <w:sz w:val="24"/>
        </w:rPr>
        <w:t> </w:t>
      </w:r>
      <w:r>
        <w:rPr>
          <w:sz w:val="24"/>
        </w:rPr>
        <w:t>which</w:t>
      </w:r>
      <w:r>
        <w:rPr>
          <w:spacing w:val="-6"/>
          <w:sz w:val="24"/>
        </w:rPr>
        <w:t> </w:t>
      </w:r>
      <w:r>
        <w:rPr>
          <w:sz w:val="24"/>
        </w:rPr>
        <w:t>is</w:t>
      </w:r>
      <w:r>
        <w:rPr>
          <w:spacing w:val="-6"/>
          <w:sz w:val="24"/>
        </w:rPr>
        <w:t> </w:t>
      </w:r>
      <w:r>
        <w:rPr>
          <w:sz w:val="24"/>
        </w:rPr>
        <w:t>the</w:t>
      </w:r>
      <w:r>
        <w:rPr>
          <w:spacing w:val="-6"/>
          <w:sz w:val="24"/>
        </w:rPr>
        <w:t> </w:t>
      </w:r>
      <w:r>
        <w:rPr>
          <w:sz w:val="24"/>
        </w:rPr>
        <w:t>function</w:t>
      </w:r>
      <w:r>
        <w:rPr>
          <w:spacing w:val="-6"/>
          <w:sz w:val="24"/>
        </w:rPr>
        <w:t> </w:t>
      </w:r>
      <w:r>
        <w:rPr>
          <w:sz w:val="24"/>
        </w:rPr>
        <w:t>through</w:t>
      </w:r>
      <w:r>
        <w:rPr>
          <w:spacing w:val="-6"/>
          <w:sz w:val="24"/>
        </w:rPr>
        <w:t> </w:t>
      </w:r>
      <w:r>
        <w:rPr>
          <w:sz w:val="24"/>
        </w:rPr>
        <w:t>which</w:t>
      </w:r>
      <w:r>
        <w:rPr>
          <w:spacing w:val="-6"/>
          <w:sz w:val="24"/>
        </w:rPr>
        <w:t> </w:t>
      </w:r>
      <w:r>
        <w:rPr>
          <w:sz w:val="24"/>
        </w:rPr>
        <w:t>the</w:t>
      </w:r>
      <w:r>
        <w:rPr>
          <w:spacing w:val="-6"/>
          <w:sz w:val="24"/>
        </w:rPr>
        <w:t> </w:t>
      </w:r>
      <w:r>
        <w:rPr>
          <w:sz w:val="24"/>
        </w:rPr>
        <w:t>data</w:t>
      </w:r>
      <w:r>
        <w:rPr>
          <w:spacing w:val="-6"/>
          <w:sz w:val="24"/>
        </w:rPr>
        <w:t> </w:t>
      </w:r>
      <w:r>
        <w:rPr>
          <w:sz w:val="24"/>
        </w:rPr>
        <w:t>influences</w:t>
      </w:r>
      <w:r>
        <w:rPr>
          <w:spacing w:val="-6"/>
          <w:sz w:val="24"/>
        </w:rPr>
        <w:t> </w:t>
      </w:r>
      <w:r>
        <w:rPr>
          <w:sz w:val="24"/>
        </w:rPr>
        <w:t>the posterior distribution</w:t>
      </w:r>
    </w:p>
    <w:p>
      <w:pPr>
        <w:pStyle w:val="ListParagraph"/>
        <w:numPr>
          <w:ilvl w:val="0"/>
          <w:numId w:val="25"/>
        </w:numPr>
        <w:tabs>
          <w:tab w:pos="1080" w:val="left" w:leader="none"/>
        </w:tabs>
        <w:spacing w:line="312" w:lineRule="auto" w:before="167" w:after="0"/>
        <w:ind w:left="1195" w:right="389" w:hanging="201"/>
        <w:jc w:val="both"/>
        <w:rPr>
          <w:sz w:val="24"/>
        </w:rPr>
      </w:pPr>
      <w:r>
        <w:rPr>
          <w:sz w:val="24"/>
        </w:rPr>
        <w:t>the</w:t>
      </w:r>
      <w:r>
        <w:rPr>
          <w:spacing w:val="76"/>
          <w:sz w:val="24"/>
        </w:rPr>
        <w:t> </w:t>
      </w:r>
      <w:r>
        <w:rPr>
          <w:i/>
          <w:sz w:val="24"/>
        </w:rPr>
        <w:t>posterior</w:t>
      </w:r>
      <w:r>
        <w:rPr>
          <w:i/>
          <w:spacing w:val="-15"/>
          <w:sz w:val="24"/>
        </w:rPr>
        <w:t> </w:t>
      </w:r>
      <w:r>
        <w:rPr>
          <w:i/>
          <w:sz w:val="24"/>
        </w:rPr>
        <w:t>distribution</w:t>
      </w:r>
      <w:r>
        <w:rPr>
          <w:sz w:val="24"/>
        </w:rPr>
        <w:t>,</w:t>
      </w:r>
      <w:r>
        <w:rPr>
          <w:spacing w:val="-15"/>
          <w:sz w:val="24"/>
        </w:rPr>
        <w:t> </w:t>
      </w:r>
      <w:r>
        <w:rPr>
          <w:sz w:val="24"/>
        </w:rPr>
        <w:t>which</w:t>
      </w:r>
      <w:r>
        <w:rPr>
          <w:spacing w:val="-15"/>
          <w:sz w:val="24"/>
        </w:rPr>
        <w:t> </w:t>
      </w:r>
      <w:r>
        <w:rPr>
          <w:sz w:val="24"/>
        </w:rPr>
        <w:t>balances</w:t>
      </w:r>
      <w:r>
        <w:rPr>
          <w:spacing w:val="-15"/>
          <w:sz w:val="24"/>
        </w:rPr>
        <w:t> </w:t>
      </w:r>
      <w:r>
        <w:rPr>
          <w:sz w:val="24"/>
        </w:rPr>
        <w:t>the</w:t>
      </w:r>
      <w:r>
        <w:rPr>
          <w:spacing w:val="-15"/>
          <w:sz w:val="24"/>
        </w:rPr>
        <w:t> </w:t>
      </w:r>
      <w:r>
        <w:rPr>
          <w:sz w:val="24"/>
        </w:rPr>
        <w:t>prior</w:t>
      </w:r>
      <w:r>
        <w:rPr>
          <w:spacing w:val="-15"/>
          <w:sz w:val="24"/>
        </w:rPr>
        <w:t> </w:t>
      </w:r>
      <w:r>
        <w:rPr>
          <w:sz w:val="24"/>
        </w:rPr>
        <w:t>knowledge</w:t>
      </w:r>
      <w:r>
        <w:rPr>
          <w:spacing w:val="-15"/>
          <w:sz w:val="24"/>
        </w:rPr>
        <w:t> </w:t>
      </w:r>
      <w:r>
        <w:rPr>
          <w:sz w:val="24"/>
        </w:rPr>
        <w:t>(as</w:t>
      </w:r>
      <w:r>
        <w:rPr>
          <w:spacing w:val="-15"/>
          <w:sz w:val="24"/>
        </w:rPr>
        <w:t> </w:t>
      </w:r>
      <w:r>
        <w:rPr>
          <w:sz w:val="24"/>
        </w:rPr>
        <w:t>provided</w:t>
      </w:r>
      <w:r>
        <w:rPr>
          <w:spacing w:val="-15"/>
          <w:sz w:val="24"/>
        </w:rPr>
        <w:t> </w:t>
      </w:r>
      <w:r>
        <w:rPr>
          <w:sz w:val="24"/>
        </w:rPr>
        <w:t>through the</w:t>
      </w:r>
      <w:r>
        <w:rPr>
          <w:spacing w:val="-1"/>
          <w:sz w:val="24"/>
        </w:rPr>
        <w:t> </w:t>
      </w:r>
      <w:r>
        <w:rPr>
          <w:sz w:val="24"/>
        </w:rPr>
        <w:t>prior</w:t>
      </w:r>
      <w:r>
        <w:rPr>
          <w:spacing w:val="-1"/>
          <w:sz w:val="24"/>
        </w:rPr>
        <w:t> </w:t>
      </w:r>
      <w:r>
        <w:rPr>
          <w:sz w:val="24"/>
        </w:rPr>
        <w:t>distribution)</w:t>
      </w:r>
      <w:r>
        <w:rPr>
          <w:spacing w:val="-1"/>
          <w:sz w:val="24"/>
        </w:rPr>
        <w:t> </w:t>
      </w:r>
      <w:r>
        <w:rPr>
          <w:sz w:val="24"/>
        </w:rPr>
        <w:t>with</w:t>
      </w:r>
      <w:r>
        <w:rPr>
          <w:spacing w:val="-1"/>
          <w:sz w:val="24"/>
        </w:rPr>
        <w:t> </w:t>
      </w:r>
      <w:r>
        <w:rPr>
          <w:sz w:val="24"/>
        </w:rPr>
        <w:t>the</w:t>
      </w:r>
      <w:r>
        <w:rPr>
          <w:spacing w:val="-1"/>
          <w:sz w:val="24"/>
        </w:rPr>
        <w:t> </w:t>
      </w:r>
      <w:r>
        <w:rPr>
          <w:sz w:val="24"/>
        </w:rPr>
        <w:t>observed</w:t>
      </w:r>
      <w:r>
        <w:rPr>
          <w:spacing w:val="-1"/>
          <w:sz w:val="24"/>
        </w:rPr>
        <w:t> </w:t>
      </w:r>
      <w:r>
        <w:rPr>
          <w:sz w:val="24"/>
        </w:rPr>
        <w:t>data</w:t>
      </w:r>
      <w:r>
        <w:rPr>
          <w:spacing w:val="-1"/>
          <w:sz w:val="24"/>
        </w:rPr>
        <w:t> </w:t>
      </w:r>
      <w:r>
        <w:rPr>
          <w:sz w:val="24"/>
        </w:rPr>
        <w:t>to</w:t>
      </w:r>
      <w:r>
        <w:rPr>
          <w:spacing w:val="-1"/>
          <w:sz w:val="24"/>
        </w:rPr>
        <w:t> </w:t>
      </w:r>
      <w:r>
        <w:rPr>
          <w:sz w:val="24"/>
        </w:rPr>
        <w:t>identify</w:t>
      </w:r>
      <w:r>
        <w:rPr>
          <w:spacing w:val="-1"/>
          <w:sz w:val="24"/>
        </w:rPr>
        <w:t> </w:t>
      </w:r>
      <w:r>
        <w:rPr>
          <w:sz w:val="24"/>
        </w:rPr>
        <w:t>the</w:t>
      </w:r>
      <w:r>
        <w:rPr>
          <w:spacing w:val="-1"/>
          <w:sz w:val="24"/>
        </w:rPr>
        <w:t> </w:t>
      </w:r>
      <w:r>
        <w:rPr>
          <w:sz w:val="24"/>
        </w:rPr>
        <w:t>most</w:t>
      </w:r>
      <w:r>
        <w:rPr>
          <w:spacing w:val="-1"/>
          <w:sz w:val="24"/>
        </w:rPr>
        <w:t> </w:t>
      </w:r>
      <w:r>
        <w:rPr>
          <w:sz w:val="24"/>
        </w:rPr>
        <w:t>plausible</w:t>
      </w:r>
      <w:r>
        <w:rPr>
          <w:spacing w:val="-1"/>
          <w:sz w:val="24"/>
        </w:rPr>
        <w:t> </w:t>
      </w:r>
      <w:r>
        <w:rPr>
          <w:sz w:val="24"/>
        </w:rPr>
        <w:t>param-</w:t>
      </w:r>
      <w:r>
        <w:rPr>
          <w:sz w:val="24"/>
        </w:rPr>
        <w:t> eter values given the evidence available</w:t>
      </w:r>
    </w:p>
    <w:p>
      <w:pPr>
        <w:pStyle w:val="BodyText"/>
        <w:spacing w:line="358" w:lineRule="exact" w:before="37"/>
        <w:ind w:left="610" w:right="389" w:firstLine="351"/>
        <w:jc w:val="both"/>
      </w:pPr>
      <w:r>
        <w:rPr/>
        <w:t>For</w:t>
      </w:r>
      <w:r>
        <w:rPr>
          <w:spacing w:val="-14"/>
        </w:rPr>
        <w:t> </w:t>
      </w:r>
      <w:r>
        <w:rPr/>
        <w:t>use</w:t>
      </w:r>
      <w:r>
        <w:rPr>
          <w:spacing w:val="-14"/>
        </w:rPr>
        <w:t> </w:t>
      </w:r>
      <w:r>
        <w:rPr/>
        <w:t>within</w:t>
      </w:r>
      <w:r>
        <w:rPr>
          <w:spacing w:val="-14"/>
        </w:rPr>
        <w:t> </w:t>
      </w:r>
      <w:r>
        <w:rPr/>
        <w:t>Bayesian</w:t>
      </w:r>
      <w:r>
        <w:rPr>
          <w:spacing w:val="-14"/>
        </w:rPr>
        <w:t> </w:t>
      </w:r>
      <w:r>
        <w:rPr/>
        <w:t>analysis,</w:t>
      </w:r>
      <w:r>
        <w:rPr>
          <w:spacing w:val="-12"/>
        </w:rPr>
        <w:t> </w:t>
      </w:r>
      <w:r>
        <w:rPr/>
        <w:t>Bayes</w:t>
      </w:r>
      <w:r>
        <w:rPr>
          <w:spacing w:val="-14"/>
        </w:rPr>
        <w:t> </w:t>
      </w:r>
      <w:r>
        <w:rPr/>
        <w:t>Theorem</w:t>
      </w:r>
      <w:r>
        <w:rPr>
          <w:spacing w:val="-14"/>
        </w:rPr>
        <w:t> </w:t>
      </w:r>
      <w:r>
        <w:rPr/>
        <w:t>(Equation</w:t>
      </w:r>
      <w:hyperlink w:history="true" w:anchor="_bookmark179">
        <w:r>
          <w:rPr>
            <w:color w:val="0000FF"/>
          </w:rPr>
          <w:t>6.1</w:t>
        </w:r>
        <w:r>
          <w:rPr/>
          <w:t>)</w:t>
        </w:r>
      </w:hyperlink>
      <w:r>
        <w:rPr>
          <w:spacing w:val="-14"/>
        </w:rPr>
        <w:t> </w:t>
      </w:r>
      <w:r>
        <w:rPr/>
        <w:t>is</w:t>
      </w:r>
      <w:r>
        <w:rPr>
          <w:spacing w:val="-14"/>
        </w:rPr>
        <w:t> </w:t>
      </w:r>
      <w:r>
        <w:rPr/>
        <w:t>normally</w:t>
      </w:r>
      <w:r>
        <w:rPr>
          <w:spacing w:val="-14"/>
        </w:rPr>
        <w:t> </w:t>
      </w:r>
      <w:r>
        <w:rPr/>
        <w:t>rewritten as</w:t>
      </w:r>
      <w:r>
        <w:rPr>
          <w:spacing w:val="-15"/>
        </w:rPr>
        <w:t> </w:t>
      </w:r>
      <w:r>
        <w:rPr/>
        <w:t>Equation</w:t>
      </w:r>
      <w:hyperlink w:history="true" w:anchor="_bookmark180">
        <w:r>
          <w:rPr>
            <w:color w:val="0000FF"/>
          </w:rPr>
          <w:t>6.2</w:t>
        </w:r>
      </w:hyperlink>
      <w:r>
        <w:rPr/>
        <w:t>allowing</w:t>
      </w:r>
      <w:r>
        <w:rPr>
          <w:spacing w:val="-15"/>
        </w:rPr>
        <w:t> </w:t>
      </w:r>
      <w:r>
        <w:rPr/>
        <w:t>it</w:t>
      </w:r>
      <w:r>
        <w:rPr>
          <w:spacing w:val="-15"/>
        </w:rPr>
        <w:t> </w:t>
      </w:r>
      <w:r>
        <w:rPr/>
        <w:t>to</w:t>
      </w:r>
      <w:r>
        <w:rPr>
          <w:spacing w:val="-15"/>
        </w:rPr>
        <w:t> </w:t>
      </w:r>
      <w:r>
        <w:rPr/>
        <w:t>produce</w:t>
      </w:r>
      <w:r>
        <w:rPr>
          <w:spacing w:val="-15"/>
        </w:rPr>
        <w:t> </w:t>
      </w:r>
      <w:r>
        <w:rPr/>
        <w:t>parameter</w:t>
      </w:r>
      <w:r>
        <w:rPr>
          <w:spacing w:val="-15"/>
        </w:rPr>
        <w:t> </w:t>
      </w:r>
      <w:r>
        <w:rPr/>
        <w:t>estimates</w:t>
      </w:r>
      <w:r>
        <w:rPr>
          <w:spacing w:val="-15"/>
        </w:rPr>
        <w:t> </w:t>
      </w:r>
      <w:r>
        <w:rPr/>
        <w:t>(</w:t>
      </w:r>
      <w:r>
        <w:rPr>
          <w:spacing w:val="-7"/>
        </w:rPr>
        <w:t> </w:t>
      </w:r>
      <w:r>
        <w:rPr>
          <w:rFonts w:ascii="Cambria" w:hAnsi="Cambria"/>
        </w:rPr>
        <w:t>θ</w:t>
      </w:r>
      <w:r>
        <w:rPr/>
        <w:t>)</w:t>
      </w:r>
      <w:r>
        <w:rPr>
          <w:spacing w:val="-15"/>
        </w:rPr>
        <w:t> </w:t>
      </w:r>
      <w:r>
        <w:rPr/>
        <w:t>conditional</w:t>
      </w:r>
      <w:r>
        <w:rPr>
          <w:spacing w:val="-15"/>
        </w:rPr>
        <w:t> </w:t>
      </w:r>
      <w:r>
        <w:rPr/>
        <w:t>on</w:t>
      </w:r>
      <w:r>
        <w:rPr>
          <w:spacing w:val="-15"/>
        </w:rPr>
        <w:t> </w:t>
      </w:r>
      <w:r>
        <w:rPr/>
        <w:t>the</w:t>
      </w:r>
      <w:r>
        <w:rPr>
          <w:spacing w:val="-15"/>
        </w:rPr>
        <w:t> </w:t>
      </w:r>
      <w:r>
        <w:rPr/>
        <w:t>observed data (</w:t>
      </w:r>
      <w:r>
        <w:rPr>
          <w:rFonts w:ascii="Cambria" w:hAnsi="Cambria"/>
        </w:rPr>
        <w:t>y</w:t>
      </w:r>
      <w:r>
        <w:rPr/>
        <w:t>):</w:t>
      </w:r>
    </w:p>
    <w:p>
      <w:pPr>
        <w:spacing w:after="0" w:line="358" w:lineRule="exact"/>
        <w:jc w:val="both"/>
        <w:sectPr>
          <w:pgSz w:w="11910" w:h="16840"/>
          <w:pgMar w:header="1961" w:footer="1428" w:top="2280" w:bottom="1620" w:left="1680" w:right="720"/>
        </w:sectPr>
      </w:pPr>
    </w:p>
    <w:p>
      <w:pPr>
        <w:pStyle w:val="BodyText"/>
        <w:spacing w:before="78"/>
        <w:jc w:val="right"/>
        <w:rPr>
          <w:rFonts w:ascii="Garamond"/>
        </w:rPr>
      </w:pPr>
      <w:bookmarkStart w:name="_bookmark179" w:id="311"/>
      <w:bookmarkEnd w:id="311"/>
      <w:r>
        <w:rPr/>
      </w:r>
      <w:r>
        <w:rPr>
          <w:rFonts w:ascii="Cambria"/>
          <w:w w:val="110"/>
        </w:rPr>
        <w:t>p</w:t>
      </w:r>
      <w:r>
        <w:rPr>
          <w:rFonts w:ascii="Garamond"/>
          <w:w w:val="110"/>
        </w:rPr>
        <w:t>(</w:t>
      </w:r>
      <w:r>
        <w:rPr>
          <w:rFonts w:ascii="Cambria"/>
          <w:w w:val="110"/>
        </w:rPr>
        <w:t>B</w:t>
      </w:r>
      <w:r>
        <w:rPr>
          <w:rFonts w:ascii="Lucida Sans Unicode"/>
          <w:w w:val="110"/>
        </w:rPr>
        <w:t>|</w:t>
      </w:r>
      <w:r>
        <w:rPr>
          <w:rFonts w:ascii="Cambria"/>
          <w:w w:val="110"/>
        </w:rPr>
        <w:t>A</w:t>
      </w:r>
      <w:r>
        <w:rPr>
          <w:rFonts w:ascii="Garamond"/>
          <w:w w:val="110"/>
        </w:rPr>
        <w:t>)</w:t>
      </w:r>
      <w:r>
        <w:rPr>
          <w:rFonts w:ascii="Garamond"/>
          <w:spacing w:val="1"/>
          <w:w w:val="110"/>
        </w:rPr>
        <w:t> </w:t>
      </w:r>
      <w:r>
        <w:rPr>
          <w:rFonts w:ascii="Garamond"/>
          <w:spacing w:val="-10"/>
          <w:w w:val="110"/>
        </w:rPr>
        <w:t>=</w:t>
      </w:r>
    </w:p>
    <w:p>
      <w:pPr>
        <w:pStyle w:val="BodyText"/>
        <w:spacing w:line="281" w:lineRule="exact"/>
        <w:ind w:left="60" w:right="10"/>
        <w:jc w:val="center"/>
        <w:rPr>
          <w:rFonts w:ascii="Garamond" w:hAnsi="Garamond"/>
        </w:rPr>
      </w:pPr>
      <w:r>
        <w:rPr/>
        <w:br w:type="column"/>
      </w:r>
      <w:r>
        <w:rPr>
          <w:rFonts w:ascii="Cambria" w:hAnsi="Cambria"/>
        </w:rPr>
        <w:t>p</w:t>
      </w:r>
      <w:r>
        <w:rPr>
          <w:rFonts w:ascii="Garamond" w:hAnsi="Garamond"/>
        </w:rPr>
        <w:t>(</w:t>
      </w:r>
      <w:r>
        <w:rPr>
          <w:rFonts w:ascii="Cambria" w:hAnsi="Cambria"/>
        </w:rPr>
        <w:t>B</w:t>
      </w:r>
      <w:r>
        <w:rPr>
          <w:rFonts w:ascii="Cambria" w:hAnsi="Cambria"/>
          <w:spacing w:val="12"/>
        </w:rPr>
        <w:t> </w:t>
      </w:r>
      <w:r>
        <w:rPr>
          <w:rFonts w:ascii="Lucida Sans Unicode" w:hAnsi="Lucida Sans Unicode"/>
        </w:rPr>
        <w:t>∩</w:t>
      </w:r>
      <w:r>
        <w:rPr>
          <w:rFonts w:ascii="Lucida Sans Unicode" w:hAnsi="Lucida Sans Unicode"/>
          <w:spacing w:val="-22"/>
        </w:rPr>
        <w:t> </w:t>
      </w:r>
      <w:r>
        <w:rPr>
          <w:rFonts w:ascii="Cambria" w:hAnsi="Cambria"/>
          <w:spacing w:val="-5"/>
        </w:rPr>
        <w:t>A</w:t>
      </w:r>
      <w:r>
        <w:rPr>
          <w:rFonts w:ascii="Garamond" w:hAnsi="Garamond"/>
          <w:spacing w:val="-5"/>
        </w:rPr>
        <w:t>)</w:t>
      </w:r>
    </w:p>
    <w:p>
      <w:pPr>
        <w:pStyle w:val="BodyText"/>
        <w:spacing w:line="287" w:lineRule="exact"/>
        <w:ind w:left="60" w:right="10"/>
        <w:jc w:val="center"/>
        <w:rPr>
          <w:rFonts w:ascii="Garamond"/>
        </w:rPr>
      </w:pPr>
      <w:r>
        <w:rPr/>
        <w:pict>
          <v:line style="position:absolute;mso-position-horizontal-relative:page;mso-position-vertical-relative:paragraph;z-index:15806464" from="328.384003pt,.016021pt" to="374.919003pt,.016021pt" stroked="true" strokeweight=".478pt" strokecolor="#000000">
            <v:stroke dashstyle="solid"/>
            <w10:wrap type="none"/>
          </v:line>
        </w:pict>
      </w:r>
      <w:r>
        <w:rPr>
          <w:rFonts w:ascii="Cambria"/>
          <w:spacing w:val="-4"/>
          <w:w w:val="115"/>
        </w:rPr>
        <w:t>p</w:t>
      </w:r>
      <w:r>
        <w:rPr>
          <w:rFonts w:ascii="Garamond"/>
          <w:spacing w:val="-4"/>
          <w:w w:val="115"/>
        </w:rPr>
        <w:t>(</w:t>
      </w:r>
      <w:r>
        <w:rPr>
          <w:rFonts w:ascii="Cambria"/>
          <w:spacing w:val="-4"/>
          <w:w w:val="115"/>
        </w:rPr>
        <w:t>A</w:t>
      </w:r>
      <w:r>
        <w:rPr>
          <w:rFonts w:ascii="Garamond"/>
          <w:spacing w:val="-4"/>
          <w:w w:val="115"/>
        </w:rPr>
        <w:t>)</w:t>
      </w:r>
    </w:p>
    <w:p>
      <w:pPr>
        <w:pStyle w:val="BodyText"/>
        <w:tabs>
          <w:tab w:pos="2797" w:val="left" w:leader="none"/>
        </w:tabs>
        <w:spacing w:before="113"/>
        <w:ind w:left="-16"/>
      </w:pPr>
      <w:r>
        <w:rPr/>
        <w:br w:type="column"/>
      </w:r>
      <w:r>
        <w:rPr>
          <w:rFonts w:ascii="Cambria"/>
          <w:spacing w:val="-10"/>
          <w:w w:val="110"/>
        </w:rPr>
        <w:t>,</w:t>
      </w:r>
      <w:r>
        <w:rPr>
          <w:rFonts w:ascii="Cambria"/>
        </w:rPr>
        <w:tab/>
      </w:r>
      <w:r>
        <w:rPr>
          <w:spacing w:val="-2"/>
          <w:w w:val="110"/>
        </w:rPr>
        <w:t>(6.1)</w:t>
      </w:r>
    </w:p>
    <w:p>
      <w:pPr>
        <w:spacing w:after="0"/>
        <w:sectPr>
          <w:type w:val="continuous"/>
          <w:pgSz w:w="11910" w:h="16840"/>
          <w:pgMar w:header="1961" w:footer="1428" w:top="1920" w:bottom="280" w:left="1680" w:right="720"/>
          <w:cols w:num="3" w:equalWidth="0">
            <w:col w:w="4798" w:space="40"/>
            <w:col w:w="981" w:space="39"/>
            <w:col w:w="3652"/>
          </w:cols>
        </w:sectPr>
      </w:pPr>
    </w:p>
    <w:p>
      <w:pPr>
        <w:pStyle w:val="BodyText"/>
        <w:spacing w:before="4"/>
        <w:rPr>
          <w:sz w:val="19"/>
        </w:rPr>
      </w:pPr>
    </w:p>
    <w:p>
      <w:pPr>
        <w:pStyle w:val="BodyText"/>
        <w:jc w:val="right"/>
        <w:rPr>
          <w:rFonts w:ascii="Garamond" w:hAnsi="Garamond"/>
        </w:rPr>
      </w:pPr>
      <w:bookmarkStart w:name="_bookmark180" w:id="312"/>
      <w:bookmarkEnd w:id="312"/>
      <w:r>
        <w:rPr/>
      </w:r>
      <w:r>
        <w:rPr>
          <w:rFonts w:ascii="Cambria" w:hAnsi="Cambria"/>
        </w:rPr>
        <w:t>p</w:t>
      </w:r>
      <w:r>
        <w:rPr>
          <w:rFonts w:ascii="Garamond" w:hAnsi="Garamond"/>
        </w:rPr>
        <w:t>(</w:t>
      </w:r>
      <w:r>
        <w:rPr>
          <w:rFonts w:ascii="Cambria" w:hAnsi="Cambria"/>
        </w:rPr>
        <w:t>θ</w:t>
      </w:r>
      <w:r>
        <w:rPr>
          <w:rFonts w:ascii="Lucida Sans Unicode" w:hAnsi="Lucida Sans Unicode"/>
        </w:rPr>
        <w:t>|</w:t>
      </w:r>
      <w:r>
        <w:rPr>
          <w:rFonts w:ascii="Cambria" w:hAnsi="Cambria"/>
        </w:rPr>
        <w:t>y</w:t>
      </w:r>
      <w:r>
        <w:rPr>
          <w:rFonts w:ascii="Garamond" w:hAnsi="Garamond"/>
        </w:rPr>
        <w:t>)</w:t>
      </w:r>
      <w:r>
        <w:rPr>
          <w:rFonts w:ascii="Garamond" w:hAnsi="Garamond"/>
          <w:spacing w:val="-11"/>
        </w:rPr>
        <w:t> </w:t>
      </w:r>
      <w:r>
        <w:rPr>
          <w:rFonts w:ascii="Garamond" w:hAnsi="Garamond"/>
          <w:spacing w:val="-10"/>
        </w:rPr>
        <w:t>=</w:t>
      </w:r>
    </w:p>
    <w:p>
      <w:pPr>
        <w:pStyle w:val="BodyText"/>
        <w:spacing w:line="235" w:lineRule="auto" w:before="66"/>
        <w:ind w:left="349" w:hanging="299"/>
        <w:rPr>
          <w:rFonts w:ascii="Garamond" w:hAnsi="Garamond"/>
        </w:rPr>
      </w:pPr>
      <w:r>
        <w:rPr/>
        <w:br w:type="column"/>
      </w:r>
      <w:r>
        <w:rPr>
          <w:rFonts w:ascii="Cambria" w:hAnsi="Cambria"/>
          <w:spacing w:val="-2"/>
        </w:rPr>
        <w:t>p</w:t>
      </w:r>
      <w:r>
        <w:rPr>
          <w:rFonts w:ascii="Garamond" w:hAnsi="Garamond"/>
          <w:spacing w:val="-2"/>
        </w:rPr>
        <w:t>(</w:t>
      </w:r>
      <w:r>
        <w:rPr>
          <w:rFonts w:ascii="Cambria" w:hAnsi="Cambria"/>
          <w:spacing w:val="-2"/>
        </w:rPr>
        <w:t>y</w:t>
      </w:r>
      <w:r>
        <w:rPr>
          <w:rFonts w:ascii="Lucida Sans Unicode" w:hAnsi="Lucida Sans Unicode"/>
          <w:spacing w:val="-2"/>
        </w:rPr>
        <w:t>|</w:t>
      </w:r>
      <w:r>
        <w:rPr>
          <w:rFonts w:ascii="Cambria" w:hAnsi="Cambria"/>
          <w:spacing w:val="-2"/>
        </w:rPr>
        <w:t>θ</w:t>
      </w:r>
      <w:r>
        <w:rPr>
          <w:rFonts w:ascii="Garamond" w:hAnsi="Garamond"/>
          <w:spacing w:val="-2"/>
        </w:rPr>
        <w:t>)</w:t>
      </w:r>
      <w:r>
        <w:rPr>
          <w:rFonts w:ascii="Cambria" w:hAnsi="Cambria"/>
          <w:spacing w:val="-2"/>
        </w:rPr>
        <w:t>p</w:t>
      </w:r>
      <w:r>
        <w:rPr>
          <w:rFonts w:ascii="Garamond" w:hAnsi="Garamond"/>
          <w:spacing w:val="-2"/>
        </w:rPr>
        <w:t>(</w:t>
      </w:r>
      <w:r>
        <w:rPr>
          <w:rFonts w:ascii="Cambria" w:hAnsi="Cambria"/>
          <w:spacing w:val="-2"/>
        </w:rPr>
        <w:t>θ</w:t>
      </w:r>
      <w:r>
        <w:rPr>
          <w:rFonts w:ascii="Garamond" w:hAnsi="Garamond"/>
          <w:spacing w:val="-2"/>
        </w:rPr>
        <w:t>) </w:t>
      </w:r>
      <w:r>
        <w:rPr>
          <w:rFonts w:ascii="Cambria" w:hAnsi="Cambria"/>
          <w:spacing w:val="-4"/>
          <w:w w:val="105"/>
        </w:rPr>
        <w:t>p</w:t>
      </w:r>
      <w:r>
        <w:rPr>
          <w:rFonts w:ascii="Garamond" w:hAnsi="Garamond"/>
          <w:spacing w:val="-4"/>
          <w:w w:val="105"/>
        </w:rPr>
        <w:t>(</w:t>
      </w:r>
      <w:r>
        <w:rPr>
          <w:rFonts w:ascii="Cambria" w:hAnsi="Cambria"/>
          <w:spacing w:val="-4"/>
          <w:w w:val="105"/>
        </w:rPr>
        <w:t>y</w:t>
      </w:r>
      <w:r>
        <w:rPr>
          <w:rFonts w:ascii="Garamond" w:hAnsi="Garamond"/>
          <w:spacing w:val="-4"/>
          <w:w w:val="105"/>
        </w:rPr>
        <w:t>)</w:t>
      </w:r>
    </w:p>
    <w:p>
      <w:pPr>
        <w:spacing w:line="240" w:lineRule="auto" w:before="10"/>
        <w:rPr>
          <w:rFonts w:ascii="Garamond"/>
          <w:sz w:val="22"/>
        </w:rPr>
      </w:pPr>
      <w:r>
        <w:rPr/>
        <w:br w:type="column"/>
      </w:r>
      <w:r>
        <w:rPr>
          <w:rFonts w:ascii="Garamond"/>
          <w:sz w:val="22"/>
        </w:rPr>
      </w:r>
    </w:p>
    <w:p>
      <w:pPr>
        <w:pStyle w:val="BodyText"/>
        <w:tabs>
          <w:tab w:pos="2817" w:val="left" w:leader="none"/>
        </w:tabs>
        <w:ind w:left="-16"/>
      </w:pPr>
      <w:r>
        <w:rPr/>
        <w:pict>
          <v:line style="position:absolute;mso-position-horizontal-relative:page;mso-position-vertical-relative:paragraph;z-index:-21737984" from="322.984985pt,8.413347pt" to="373.962985pt,8.413347pt" stroked="true" strokeweight=".478pt" strokecolor="#000000">
            <v:stroke dashstyle="solid"/>
            <w10:wrap type="none"/>
          </v:line>
        </w:pict>
      </w:r>
      <w:r>
        <w:rPr>
          <w:rFonts w:ascii="Cambria"/>
          <w:spacing w:val="-10"/>
          <w:w w:val="110"/>
        </w:rPr>
        <w:t>,</w:t>
      </w:r>
      <w:r>
        <w:rPr>
          <w:rFonts w:ascii="Cambria"/>
        </w:rPr>
        <w:tab/>
      </w:r>
      <w:r>
        <w:rPr>
          <w:spacing w:val="-2"/>
          <w:w w:val="110"/>
        </w:rPr>
        <w:t>(6.2)</w:t>
      </w:r>
    </w:p>
    <w:p>
      <w:pPr>
        <w:spacing w:after="0"/>
        <w:sectPr>
          <w:type w:val="continuous"/>
          <w:pgSz w:w="11910" w:h="16840"/>
          <w:pgMar w:header="1961" w:footer="1428" w:top="1920" w:bottom="280" w:left="1680" w:right="720"/>
          <w:cols w:num="3" w:equalWidth="0">
            <w:col w:w="4690" w:space="40"/>
            <w:col w:w="1070" w:space="39"/>
            <w:col w:w="3671"/>
          </w:cols>
        </w:sectPr>
      </w:pPr>
    </w:p>
    <w:p>
      <w:pPr>
        <w:pStyle w:val="BodyText"/>
        <w:spacing w:before="10"/>
        <w:rPr>
          <w:sz w:val="14"/>
        </w:rPr>
      </w:pPr>
    </w:p>
    <w:p>
      <w:pPr>
        <w:pStyle w:val="BodyText"/>
        <w:spacing w:line="256" w:lineRule="auto" w:before="58"/>
        <w:ind w:left="610" w:right="389"/>
        <w:jc w:val="both"/>
      </w:pPr>
      <w:r>
        <w:rPr/>
        <w:t>where </w:t>
      </w:r>
      <w:r>
        <w:rPr>
          <w:rFonts w:ascii="Cambria" w:hAnsi="Cambria"/>
        </w:rPr>
        <w:t>p</w:t>
      </w:r>
      <w:r>
        <w:rPr>
          <w:rFonts w:ascii="Garamond" w:hAnsi="Garamond"/>
        </w:rPr>
        <w:t>(</w:t>
      </w:r>
      <w:r>
        <w:rPr>
          <w:rFonts w:ascii="Cambria" w:hAnsi="Cambria"/>
        </w:rPr>
        <w:t>θ</w:t>
      </w:r>
      <w:r>
        <w:rPr>
          <w:rFonts w:ascii="Lucida Sans Unicode" w:hAnsi="Lucida Sans Unicode"/>
        </w:rPr>
        <w:t>|</w:t>
      </w:r>
      <w:r>
        <w:rPr>
          <w:rFonts w:ascii="Cambria" w:hAnsi="Cambria"/>
        </w:rPr>
        <w:t>y</w:t>
      </w:r>
      <w:r>
        <w:rPr>
          <w:rFonts w:ascii="Garamond" w:hAnsi="Garamond"/>
        </w:rPr>
        <w:t>) </w:t>
      </w:r>
      <w:r>
        <w:rPr/>
        <w:t>and </w:t>
      </w:r>
      <w:r>
        <w:rPr>
          <w:rFonts w:ascii="Cambria" w:hAnsi="Cambria"/>
        </w:rPr>
        <w:t>p</w:t>
      </w:r>
      <w:r>
        <w:rPr>
          <w:rFonts w:ascii="Garamond" w:hAnsi="Garamond"/>
        </w:rPr>
        <w:t>(</w:t>
      </w:r>
      <w:r>
        <w:rPr>
          <w:rFonts w:ascii="Cambria" w:hAnsi="Cambria"/>
        </w:rPr>
        <w:t>y</w:t>
      </w:r>
      <w:r>
        <w:rPr>
          <w:rFonts w:ascii="Lucida Sans Unicode" w:hAnsi="Lucida Sans Unicode"/>
        </w:rPr>
        <w:t>|</w:t>
      </w:r>
      <w:r>
        <w:rPr>
          <w:rFonts w:ascii="Cambria" w:hAnsi="Cambria"/>
        </w:rPr>
        <w:t>θ</w:t>
      </w:r>
      <w:r>
        <w:rPr>
          <w:rFonts w:ascii="Garamond" w:hAnsi="Garamond"/>
        </w:rPr>
        <w:t>) </w:t>
      </w:r>
      <w:r>
        <w:rPr/>
        <w:t>are conditional likelihoods of </w:t>
      </w:r>
      <w:r>
        <w:rPr>
          <w:rFonts w:ascii="Cambria" w:hAnsi="Cambria"/>
        </w:rPr>
        <w:t>θ </w:t>
      </w:r>
      <w:r>
        <w:rPr/>
        <w:t>given </w:t>
      </w:r>
      <w:r>
        <w:rPr>
          <w:rFonts w:ascii="Cambria" w:hAnsi="Cambria"/>
        </w:rPr>
        <w:t>y </w:t>
      </w:r>
      <w:r>
        <w:rPr/>
        <w:t>and </w:t>
      </w:r>
      <w:r>
        <w:rPr>
          <w:rFonts w:ascii="Cambria" w:hAnsi="Cambria"/>
        </w:rPr>
        <w:t>y </w:t>
      </w:r>
      <w:r>
        <w:rPr/>
        <w:t>given </w:t>
      </w:r>
      <w:r>
        <w:rPr>
          <w:rFonts w:ascii="Cambria" w:hAnsi="Cambria"/>
        </w:rPr>
        <w:t>θ</w:t>
      </w:r>
      <w:r>
        <w:rPr/>
        <w:t>, respec- tively, and </w:t>
      </w:r>
      <w:r>
        <w:rPr>
          <w:rFonts w:ascii="Cambria" w:hAnsi="Cambria"/>
        </w:rPr>
        <w:t>p</w:t>
      </w:r>
      <w:r>
        <w:rPr>
          <w:rFonts w:ascii="Garamond" w:hAnsi="Garamond"/>
        </w:rPr>
        <w:t>(</w:t>
      </w:r>
      <w:r>
        <w:rPr>
          <w:rFonts w:ascii="Cambria" w:hAnsi="Cambria"/>
        </w:rPr>
        <w:t>θ</w:t>
      </w:r>
      <w:r>
        <w:rPr>
          <w:rFonts w:ascii="Garamond" w:hAnsi="Garamond"/>
        </w:rPr>
        <w:t>) </w:t>
      </w:r>
      <w:r>
        <w:rPr/>
        <w:t>and </w:t>
      </w:r>
      <w:r>
        <w:rPr>
          <w:rFonts w:ascii="Cambria" w:hAnsi="Cambria"/>
        </w:rPr>
        <w:t>p</w:t>
      </w:r>
      <w:r>
        <w:rPr>
          <w:rFonts w:ascii="Garamond" w:hAnsi="Garamond"/>
        </w:rPr>
        <w:t>(</w:t>
      </w:r>
      <w:r>
        <w:rPr>
          <w:rFonts w:ascii="Cambria" w:hAnsi="Cambria"/>
        </w:rPr>
        <w:t>y</w:t>
      </w:r>
      <w:r>
        <w:rPr>
          <w:rFonts w:ascii="Garamond" w:hAnsi="Garamond"/>
        </w:rPr>
        <w:t>) </w:t>
      </w:r>
      <w:r>
        <w:rPr/>
        <w:t>are the likelihoods of </w:t>
      </w:r>
      <w:r>
        <w:rPr>
          <w:rFonts w:ascii="Cambria" w:hAnsi="Cambria"/>
        </w:rPr>
        <w:t>θ </w:t>
      </w:r>
      <w:r>
        <w:rPr/>
        <w:t>and </w:t>
      </w:r>
      <w:r>
        <w:rPr>
          <w:rFonts w:ascii="Cambria" w:hAnsi="Cambria"/>
        </w:rPr>
        <w:t>y</w:t>
      </w:r>
      <w:r>
        <w:rPr/>
        <w:t>, respectively.</w:t>
      </w:r>
    </w:p>
    <w:p>
      <w:pPr>
        <w:pStyle w:val="BodyText"/>
        <w:spacing w:line="295" w:lineRule="auto" w:before="51"/>
        <w:ind w:left="610" w:right="389" w:firstLine="351"/>
        <w:jc w:val="both"/>
      </w:pPr>
      <w:r>
        <w:rPr/>
        <w:t>The novel EPV model produced in this study used a Bayesian Mixture Model </w:t>
      </w:r>
      <w:r>
        <w:rPr/>
        <w:t>ap- proach</w:t>
      </w:r>
      <w:r>
        <w:rPr>
          <w:spacing w:val="-7"/>
        </w:rPr>
        <w:t> </w:t>
      </w:r>
      <w:r>
        <w:rPr/>
        <w:t>to</w:t>
      </w:r>
      <w:r>
        <w:rPr>
          <w:spacing w:val="-7"/>
        </w:rPr>
        <w:t> </w:t>
      </w:r>
      <w:r>
        <w:rPr/>
        <w:t>provide</w:t>
      </w:r>
      <w:r>
        <w:rPr>
          <w:spacing w:val="-7"/>
        </w:rPr>
        <w:t> </w:t>
      </w:r>
      <w:r>
        <w:rPr/>
        <w:t>a</w:t>
      </w:r>
      <w:r>
        <w:rPr>
          <w:spacing w:val="-7"/>
        </w:rPr>
        <w:t> </w:t>
      </w:r>
      <w:r>
        <w:rPr/>
        <w:t>smooth</w:t>
      </w:r>
      <w:r>
        <w:rPr>
          <w:spacing w:val="-7"/>
        </w:rPr>
        <w:t> </w:t>
      </w:r>
      <w:r>
        <w:rPr/>
        <w:t>pitch</w:t>
      </w:r>
      <w:r>
        <w:rPr>
          <w:spacing w:val="-7"/>
        </w:rPr>
        <w:t> </w:t>
      </w:r>
      <w:r>
        <w:rPr/>
        <w:t>surface. In</w:t>
      </w:r>
      <w:r>
        <w:rPr>
          <w:spacing w:val="-7"/>
        </w:rPr>
        <w:t> </w:t>
      </w:r>
      <w:r>
        <w:rPr/>
        <w:t>this</w:t>
      </w:r>
      <w:r>
        <w:rPr>
          <w:spacing w:val="-7"/>
        </w:rPr>
        <w:t> </w:t>
      </w:r>
      <w:r>
        <w:rPr/>
        <w:t>approach,</w:t>
      </w:r>
      <w:r>
        <w:rPr>
          <w:spacing w:val="-7"/>
        </w:rPr>
        <w:t> </w:t>
      </w:r>
      <w:r>
        <w:rPr/>
        <w:t>the</w:t>
      </w:r>
      <w:r>
        <w:rPr>
          <w:spacing w:val="-7"/>
        </w:rPr>
        <w:t> </w:t>
      </w:r>
      <w:r>
        <w:rPr/>
        <w:t>model</w:t>
      </w:r>
      <w:r>
        <w:rPr>
          <w:spacing w:val="-7"/>
        </w:rPr>
        <w:t> </w:t>
      </w:r>
      <w:r>
        <w:rPr/>
        <w:t>estimates</w:t>
      </w:r>
      <w:r>
        <w:rPr>
          <w:spacing w:val="-7"/>
        </w:rPr>
        <w:t> </w:t>
      </w:r>
      <w:r>
        <w:rPr/>
        <w:t>the</w:t>
      </w:r>
      <w:r>
        <w:rPr>
          <w:spacing w:val="-7"/>
        </w:rPr>
        <w:t> </w:t>
      </w:r>
      <w:r>
        <w:rPr/>
        <w:t>prob- ability</w:t>
      </w:r>
      <w:r>
        <w:rPr>
          <w:spacing w:val="1"/>
        </w:rPr>
        <w:t> </w:t>
      </w:r>
      <w:r>
        <w:rPr/>
        <w:t>of</w:t>
      </w:r>
      <w:r>
        <w:rPr>
          <w:spacing w:val="2"/>
        </w:rPr>
        <w:t> </w:t>
      </w:r>
      <w:r>
        <w:rPr/>
        <w:t>each</w:t>
      </w:r>
      <w:r>
        <w:rPr>
          <w:spacing w:val="2"/>
        </w:rPr>
        <w:t> </w:t>
      </w:r>
      <w:r>
        <w:rPr/>
        <w:t>possession</w:t>
      </w:r>
      <w:r>
        <w:rPr>
          <w:spacing w:val="2"/>
        </w:rPr>
        <w:t> </w:t>
      </w:r>
      <w:r>
        <w:rPr/>
        <w:t>outcome</w:t>
      </w:r>
      <w:r>
        <w:rPr>
          <w:spacing w:val="2"/>
        </w:rPr>
        <w:t> </w:t>
      </w:r>
      <w:r>
        <w:rPr/>
        <w:t>(</w:t>
      </w:r>
      <w:r>
        <w:rPr>
          <w:rFonts w:ascii="Cambria" w:hAnsi="Cambria"/>
        </w:rPr>
        <w:t>s</w:t>
      </w:r>
      <w:r>
        <w:rPr>
          <w:rFonts w:ascii="Cambria" w:hAnsi="Cambria"/>
          <w:spacing w:val="21"/>
        </w:rPr>
        <w:t> </w:t>
      </w:r>
      <w:r>
        <w:rPr>
          <w:rFonts w:ascii="Lucida Sans Unicode" w:hAnsi="Lucida Sans Unicode"/>
        </w:rPr>
        <w:t>∈</w:t>
      </w:r>
      <w:r>
        <w:rPr>
          <w:rFonts w:ascii="Lucida Sans Unicode" w:hAnsi="Lucida Sans Unicode"/>
          <w:spacing w:val="-3"/>
        </w:rPr>
        <w:t> </w:t>
      </w:r>
      <w:r>
        <w:rPr>
          <w:rFonts w:ascii="Cambria" w:hAnsi="Cambria"/>
        </w:rPr>
        <w:t>S</w:t>
      </w:r>
      <w:r>
        <w:rPr/>
        <w:t>)</w:t>
      </w:r>
      <w:r>
        <w:rPr>
          <w:spacing w:val="2"/>
        </w:rPr>
        <w:t> </w:t>
      </w:r>
      <w:r>
        <w:rPr/>
        <w:t>for</w:t>
      </w:r>
      <w:r>
        <w:rPr>
          <w:spacing w:val="2"/>
        </w:rPr>
        <w:t> </w:t>
      </w:r>
      <w:r>
        <w:rPr/>
        <w:t>a</w:t>
      </w:r>
      <w:r>
        <w:rPr>
          <w:spacing w:val="2"/>
        </w:rPr>
        <w:t> </w:t>
      </w:r>
      <w:r>
        <w:rPr/>
        <w:t>set</w:t>
      </w:r>
      <w:r>
        <w:rPr>
          <w:spacing w:val="2"/>
        </w:rPr>
        <w:t> </w:t>
      </w:r>
      <w:r>
        <w:rPr/>
        <w:t>of</w:t>
      </w:r>
      <w:r>
        <w:rPr>
          <w:spacing w:val="2"/>
        </w:rPr>
        <w:t> </w:t>
      </w:r>
      <w:r>
        <w:rPr/>
        <w:t>centres</w:t>
      </w:r>
      <w:r>
        <w:rPr>
          <w:spacing w:val="2"/>
        </w:rPr>
        <w:t> </w:t>
      </w:r>
      <w:r>
        <w:rPr/>
        <w:t>on</w:t>
      </w:r>
      <w:r>
        <w:rPr>
          <w:spacing w:val="2"/>
        </w:rPr>
        <w:t> </w:t>
      </w:r>
      <w:r>
        <w:rPr/>
        <w:t>the</w:t>
      </w:r>
      <w:r>
        <w:rPr>
          <w:spacing w:val="2"/>
        </w:rPr>
        <w:t> </w:t>
      </w:r>
      <w:r>
        <w:rPr/>
        <w:t>pitch.</w:t>
      </w:r>
      <w:r>
        <w:rPr>
          <w:spacing w:val="27"/>
        </w:rPr>
        <w:t> </w:t>
      </w:r>
      <w:r>
        <w:rPr/>
        <w:t>Each</w:t>
      </w:r>
      <w:r>
        <w:rPr>
          <w:spacing w:val="2"/>
        </w:rPr>
        <w:t> </w:t>
      </w:r>
      <w:r>
        <w:rPr>
          <w:spacing w:val="-2"/>
        </w:rPr>
        <w:t>centre</w:t>
      </w:r>
    </w:p>
    <w:p>
      <w:pPr>
        <w:pStyle w:val="BodyText"/>
        <w:spacing w:line="219" w:lineRule="exact"/>
        <w:ind w:left="610"/>
        <w:jc w:val="both"/>
      </w:pPr>
      <w:r>
        <w:rPr/>
        <w:t>holds</w:t>
      </w:r>
      <w:r>
        <w:rPr>
          <w:spacing w:val="-7"/>
        </w:rPr>
        <w:t> </w:t>
      </w:r>
      <w:r>
        <w:rPr/>
        <w:t>probabilities</w:t>
      </w:r>
      <w:r>
        <w:rPr>
          <w:spacing w:val="-7"/>
        </w:rPr>
        <w:t> </w:t>
      </w:r>
      <w:r>
        <w:rPr/>
        <w:t>for</w:t>
      </w:r>
      <w:r>
        <w:rPr>
          <w:spacing w:val="-7"/>
        </w:rPr>
        <w:t> </w:t>
      </w:r>
      <w:r>
        <w:rPr/>
        <w:t>the</w:t>
      </w:r>
      <w:r>
        <w:rPr>
          <w:spacing w:val="-7"/>
        </w:rPr>
        <w:t> </w:t>
      </w:r>
      <w:r>
        <w:rPr/>
        <w:t>five</w:t>
      </w:r>
      <w:r>
        <w:rPr>
          <w:spacing w:val="-7"/>
        </w:rPr>
        <w:t> </w:t>
      </w:r>
      <w:r>
        <w:rPr/>
        <w:t>possession</w:t>
      </w:r>
      <w:r>
        <w:rPr>
          <w:spacing w:val="-7"/>
        </w:rPr>
        <w:t> </w:t>
      </w:r>
      <w:r>
        <w:rPr/>
        <w:t>outcomes,</w:t>
      </w:r>
      <w:r>
        <w:rPr>
          <w:spacing w:val="-6"/>
        </w:rPr>
        <w:t> </w:t>
      </w:r>
      <w:r>
        <w:rPr/>
        <w:t>represented</w:t>
      </w:r>
      <w:r>
        <w:rPr>
          <w:spacing w:val="-7"/>
        </w:rPr>
        <w:t> </w:t>
      </w:r>
      <w:r>
        <w:rPr/>
        <w:t>as</w:t>
      </w:r>
      <w:r>
        <w:rPr>
          <w:spacing w:val="-7"/>
        </w:rPr>
        <w:t> </w:t>
      </w:r>
      <w:r>
        <w:rPr/>
        <w:t>a</w:t>
      </w:r>
      <w:r>
        <w:rPr>
          <w:spacing w:val="-6"/>
        </w:rPr>
        <w:t> </w:t>
      </w:r>
      <w:r>
        <w:rPr/>
        <w:t>5-dimensional</w:t>
      </w:r>
      <w:r>
        <w:rPr>
          <w:spacing w:val="-7"/>
        </w:rPr>
        <w:t> </w:t>
      </w:r>
      <w:r>
        <w:rPr>
          <w:spacing w:val="-4"/>
        </w:rPr>
        <w:t>vec-</w:t>
      </w:r>
    </w:p>
    <w:p>
      <w:pPr>
        <w:pStyle w:val="BodyText"/>
        <w:spacing w:line="304" w:lineRule="auto" w:before="78"/>
        <w:ind w:left="610" w:right="389"/>
        <w:jc w:val="both"/>
      </w:pPr>
      <w:r>
        <w:rPr/>
        <w:pict>
          <v:shape style="position:absolute;margin-left:316.404999pt;margin-top:63.596947pt;width:17.3pt;height:44.4pt;mso-position-horizontal-relative:page;mso-position-vertical-relative:paragraph;z-index:-21737472" type="#_x0000_t202" id="docshape173" filled="false" stroked="false">
            <v:textbox inset="0,0,0,0">
              <w:txbxContent>
                <w:p>
                  <w:pPr>
                    <w:pStyle w:val="BodyText"/>
                    <w:spacing w:line="230" w:lineRule="exact"/>
                    <w:rPr>
                      <w:rFonts w:ascii="Arial"/>
                    </w:rPr>
                  </w:pPr>
                  <w:r>
                    <w:rPr>
                      <w:rFonts w:ascii="Arial"/>
                      <w:w w:val="258"/>
                    </w:rPr>
                    <w:t>L</w:t>
                  </w:r>
                </w:p>
              </w:txbxContent>
            </v:textbox>
            <w10:wrap type="none"/>
          </v:shape>
        </w:pict>
      </w:r>
      <w:r>
        <w:rPr/>
        <w:t>tor.</w:t>
      </w:r>
      <w:r>
        <w:rPr>
          <w:spacing w:val="5"/>
        </w:rPr>
        <w:t> </w:t>
      </w:r>
      <w:r>
        <w:rPr/>
        <w:t>The</w:t>
      </w:r>
      <w:r>
        <w:rPr>
          <w:spacing w:val="-13"/>
        </w:rPr>
        <w:t> </w:t>
      </w:r>
      <w:r>
        <w:rPr/>
        <w:t>probabilities</w:t>
      </w:r>
      <w:r>
        <w:rPr>
          <w:spacing w:val="-13"/>
        </w:rPr>
        <w:t> </w:t>
      </w:r>
      <w:r>
        <w:rPr/>
        <w:t>for</w:t>
      </w:r>
      <w:r>
        <w:rPr>
          <w:spacing w:val="-13"/>
        </w:rPr>
        <w:t> </w:t>
      </w:r>
      <w:r>
        <w:rPr/>
        <w:t>any</w:t>
      </w:r>
      <w:r>
        <w:rPr>
          <w:spacing w:val="-13"/>
        </w:rPr>
        <w:t> </w:t>
      </w:r>
      <w:r>
        <w:rPr>
          <w:rFonts w:ascii="Cambria"/>
        </w:rPr>
        <w:t>x,</w:t>
      </w:r>
      <w:r>
        <w:rPr>
          <w:rFonts w:ascii="Cambria"/>
          <w:spacing w:val="-14"/>
        </w:rPr>
        <w:t> </w:t>
      </w:r>
      <w:r>
        <w:rPr>
          <w:rFonts w:ascii="Cambria"/>
        </w:rPr>
        <w:t>y </w:t>
      </w:r>
      <w:r>
        <w:rPr/>
        <w:t>location</w:t>
      </w:r>
      <w:r>
        <w:rPr>
          <w:spacing w:val="-13"/>
        </w:rPr>
        <w:t> </w:t>
      </w:r>
      <w:r>
        <w:rPr/>
        <w:t>on</w:t>
      </w:r>
      <w:r>
        <w:rPr>
          <w:spacing w:val="-13"/>
        </w:rPr>
        <w:t> </w:t>
      </w:r>
      <w:r>
        <w:rPr/>
        <w:t>the</w:t>
      </w:r>
      <w:r>
        <w:rPr>
          <w:spacing w:val="-13"/>
        </w:rPr>
        <w:t> </w:t>
      </w:r>
      <w:r>
        <w:rPr/>
        <w:t>pitch</w:t>
      </w:r>
      <w:r>
        <w:rPr>
          <w:spacing w:val="-13"/>
        </w:rPr>
        <w:t> </w:t>
      </w:r>
      <w:r>
        <w:rPr/>
        <w:t>are</w:t>
      </w:r>
      <w:r>
        <w:rPr>
          <w:spacing w:val="-13"/>
        </w:rPr>
        <w:t> </w:t>
      </w:r>
      <w:r>
        <w:rPr/>
        <w:t>calculated</w:t>
      </w:r>
      <w:r>
        <w:rPr>
          <w:spacing w:val="-13"/>
        </w:rPr>
        <w:t> </w:t>
      </w:r>
      <w:r>
        <w:rPr/>
        <w:t>by</w:t>
      </w:r>
      <w:r>
        <w:rPr>
          <w:spacing w:val="-13"/>
        </w:rPr>
        <w:t> </w:t>
      </w:r>
      <w:r>
        <w:rPr/>
        <w:t>taking</w:t>
      </w:r>
      <w:r>
        <w:rPr>
          <w:spacing w:val="-13"/>
        </w:rPr>
        <w:t> </w:t>
      </w:r>
      <w:r>
        <w:rPr/>
        <w:t>a</w:t>
      </w:r>
      <w:r>
        <w:rPr>
          <w:spacing w:val="-13"/>
        </w:rPr>
        <w:t> </w:t>
      </w:r>
      <w:r>
        <w:rPr/>
        <w:t>weighted average of probabilities at all centres on the pitch using a set of weights </w:t>
      </w:r>
      <w:r>
        <w:rPr>
          <w:rFonts w:ascii="Cambria"/>
        </w:rPr>
        <w:t>Z</w:t>
      </w:r>
      <w:r>
        <w:rPr/>
        <w:t>.</w:t>
      </w:r>
      <w:r>
        <w:rPr>
          <w:spacing w:val="30"/>
        </w:rPr>
        <w:t> </w:t>
      </w:r>
      <w:r>
        <w:rPr/>
        <w:t>Denoting by </w:t>
      </w:r>
      <w:r>
        <w:rPr>
          <w:rFonts w:ascii="Cambria"/>
        </w:rPr>
        <w:t>P</w:t>
      </w:r>
      <w:r>
        <w:rPr>
          <w:rFonts w:ascii="Garamond"/>
        </w:rPr>
        <w:t>(</w:t>
      </w:r>
      <w:r>
        <w:rPr>
          <w:rFonts w:ascii="Cambria"/>
        </w:rPr>
        <w:t>s</w:t>
      </w:r>
      <w:r>
        <w:rPr>
          <w:rFonts w:ascii="Garamond"/>
        </w:rPr>
        <w:t>;</w:t>
      </w:r>
      <w:r>
        <w:rPr>
          <w:rFonts w:ascii="Garamond"/>
          <w:spacing w:val="-3"/>
        </w:rPr>
        <w:t> </w:t>
      </w:r>
      <w:r>
        <w:rPr>
          <w:rFonts w:ascii="Cambria"/>
        </w:rPr>
        <w:t>x, y</w:t>
      </w:r>
      <w:r>
        <w:rPr>
          <w:rFonts w:ascii="Garamond"/>
        </w:rPr>
        <w:t>) </w:t>
      </w:r>
      <w:r>
        <w:rPr/>
        <w:t>the probability of possession outcome </w:t>
      </w:r>
      <w:r>
        <w:rPr>
          <w:rFonts w:ascii="Cambria"/>
        </w:rPr>
        <w:t>s</w:t>
      </w:r>
      <w:r>
        <w:rPr>
          <w:rFonts w:ascii="Cambria"/>
          <w:spacing w:val="31"/>
        </w:rPr>
        <w:t> </w:t>
      </w:r>
      <w:r>
        <w:rPr/>
        <w:t>at location </w:t>
      </w:r>
      <w:r>
        <w:rPr>
          <w:rFonts w:ascii="Garamond"/>
        </w:rPr>
        <w:t>(</w:t>
      </w:r>
      <w:r>
        <w:rPr>
          <w:rFonts w:ascii="Cambria"/>
        </w:rPr>
        <w:t>x, y</w:t>
      </w:r>
      <w:r>
        <w:rPr>
          <w:rFonts w:ascii="Garamond"/>
        </w:rPr>
        <w:t>) </w:t>
      </w:r>
      <w:r>
        <w:rPr/>
        <w:t>is calculated as</w:t>
      </w:r>
    </w:p>
    <w:p>
      <w:pPr>
        <w:pStyle w:val="BodyText"/>
        <w:spacing w:before="3"/>
        <w:rPr>
          <w:sz w:val="25"/>
        </w:rPr>
      </w:pPr>
    </w:p>
    <w:p>
      <w:pPr>
        <w:pStyle w:val="BodyText"/>
        <w:tabs>
          <w:tab w:pos="5033" w:val="left" w:leader="none"/>
          <w:tab w:pos="8656" w:val="left" w:leader="none"/>
        </w:tabs>
        <w:ind w:left="3391"/>
      </w:pPr>
      <w:bookmarkStart w:name="_bookmark181" w:id="313"/>
      <w:bookmarkEnd w:id="313"/>
      <w:r>
        <w:rPr/>
      </w:r>
      <w:r>
        <w:rPr>
          <w:rFonts w:ascii="Cambria"/>
          <w:w w:val="115"/>
        </w:rPr>
        <w:t>P</w:t>
      </w:r>
      <w:r>
        <w:rPr>
          <w:rFonts w:ascii="Garamond"/>
          <w:w w:val="115"/>
        </w:rPr>
        <w:t>(</w:t>
      </w:r>
      <w:r>
        <w:rPr>
          <w:rFonts w:ascii="Cambria"/>
          <w:w w:val="115"/>
        </w:rPr>
        <w:t>s</w:t>
      </w:r>
      <w:r>
        <w:rPr>
          <w:rFonts w:ascii="Garamond"/>
          <w:w w:val="115"/>
        </w:rPr>
        <w:t>;</w:t>
      </w:r>
      <w:r>
        <w:rPr>
          <w:rFonts w:ascii="Garamond"/>
          <w:spacing w:val="-22"/>
          <w:w w:val="115"/>
        </w:rPr>
        <w:t> </w:t>
      </w:r>
      <w:r>
        <w:rPr>
          <w:rFonts w:ascii="Cambria"/>
          <w:w w:val="115"/>
        </w:rPr>
        <w:t>x,</w:t>
      </w:r>
      <w:r>
        <w:rPr>
          <w:rFonts w:ascii="Cambria"/>
          <w:spacing w:val="-13"/>
          <w:w w:val="115"/>
        </w:rPr>
        <w:t> </w:t>
      </w:r>
      <w:r>
        <w:rPr>
          <w:rFonts w:ascii="Cambria"/>
          <w:w w:val="115"/>
        </w:rPr>
        <w:t>y</w:t>
      </w:r>
      <w:r>
        <w:rPr>
          <w:rFonts w:ascii="Garamond"/>
          <w:w w:val="115"/>
        </w:rPr>
        <w:t>)</w:t>
      </w:r>
      <w:r>
        <w:rPr>
          <w:rFonts w:ascii="Garamond"/>
          <w:spacing w:val="10"/>
          <w:w w:val="115"/>
        </w:rPr>
        <w:t> </w:t>
      </w:r>
      <w:r>
        <w:rPr>
          <w:rFonts w:ascii="Garamond"/>
          <w:spacing w:val="-12"/>
          <w:w w:val="115"/>
        </w:rPr>
        <w:t>=</w:t>
      </w:r>
      <w:r>
        <w:rPr>
          <w:rFonts w:ascii="Garamond"/>
        </w:rPr>
        <w:tab/>
      </w:r>
      <w:r>
        <w:rPr>
          <w:rFonts w:ascii="Cambria"/>
          <w:w w:val="110"/>
        </w:rPr>
        <w:t>z</w:t>
      </w:r>
      <w:r>
        <w:rPr>
          <w:rFonts w:ascii="Cambria"/>
          <w:w w:val="110"/>
          <w:vertAlign w:val="subscript"/>
        </w:rPr>
        <w:t>k</w:t>
      </w:r>
      <w:r>
        <w:rPr>
          <w:rFonts w:ascii="Garamond"/>
          <w:w w:val="110"/>
          <w:vertAlign w:val="baseline"/>
        </w:rPr>
        <w:t>(</w:t>
      </w:r>
      <w:r>
        <w:rPr>
          <w:rFonts w:ascii="Cambria"/>
          <w:w w:val="110"/>
          <w:vertAlign w:val="baseline"/>
        </w:rPr>
        <w:t>x,</w:t>
      </w:r>
      <w:r>
        <w:rPr>
          <w:rFonts w:ascii="Cambria"/>
          <w:spacing w:val="4"/>
          <w:w w:val="115"/>
          <w:vertAlign w:val="baseline"/>
        </w:rPr>
        <w:t> </w:t>
      </w:r>
      <w:r>
        <w:rPr>
          <w:rFonts w:ascii="Cambria"/>
          <w:spacing w:val="-2"/>
          <w:w w:val="115"/>
          <w:vertAlign w:val="baseline"/>
        </w:rPr>
        <w:t>y</w:t>
      </w:r>
      <w:r>
        <w:rPr>
          <w:rFonts w:ascii="Garamond"/>
          <w:spacing w:val="-2"/>
          <w:w w:val="115"/>
          <w:vertAlign w:val="baseline"/>
        </w:rPr>
        <w:t>)</w:t>
      </w:r>
      <w:r>
        <w:rPr>
          <w:rFonts w:ascii="Cambria"/>
          <w:spacing w:val="-2"/>
          <w:w w:val="115"/>
          <w:vertAlign w:val="baseline"/>
        </w:rPr>
        <w:t>P</w:t>
      </w:r>
      <w:r>
        <w:rPr>
          <w:rFonts w:ascii="Cambria"/>
          <w:spacing w:val="-2"/>
          <w:w w:val="115"/>
          <w:vertAlign w:val="subscript"/>
        </w:rPr>
        <w:t>k</w:t>
      </w:r>
      <w:r>
        <w:rPr>
          <w:rFonts w:ascii="Garamond"/>
          <w:spacing w:val="-2"/>
          <w:w w:val="115"/>
          <w:vertAlign w:val="baseline"/>
        </w:rPr>
        <w:t>(</w:t>
      </w:r>
      <w:r>
        <w:rPr>
          <w:rFonts w:ascii="Cambria"/>
          <w:spacing w:val="-2"/>
          <w:w w:val="115"/>
          <w:vertAlign w:val="baseline"/>
        </w:rPr>
        <w:t>s</w:t>
      </w:r>
      <w:r>
        <w:rPr>
          <w:rFonts w:ascii="Garamond"/>
          <w:spacing w:val="-2"/>
          <w:w w:val="115"/>
          <w:vertAlign w:val="baseline"/>
        </w:rPr>
        <w:t>)</w:t>
      </w:r>
      <w:r>
        <w:rPr>
          <w:rFonts w:ascii="Garamond"/>
          <w:vertAlign w:val="baseline"/>
        </w:rPr>
        <w:tab/>
      </w:r>
      <w:r>
        <w:rPr>
          <w:spacing w:val="-2"/>
          <w:w w:val="115"/>
          <w:vertAlign w:val="baseline"/>
        </w:rPr>
        <w:t>(6.3)</w:t>
      </w:r>
    </w:p>
    <w:p>
      <w:pPr>
        <w:spacing w:before="67"/>
        <w:ind w:left="131" w:right="0" w:firstLine="0"/>
        <w:jc w:val="center"/>
        <w:rPr>
          <w:rFonts w:ascii="Cambria"/>
          <w:sz w:val="16"/>
        </w:rPr>
      </w:pPr>
      <w:r>
        <w:rPr>
          <w:rFonts w:ascii="Cambria"/>
          <w:w w:val="105"/>
          <w:sz w:val="16"/>
        </w:rPr>
        <w:t>k</w:t>
      </w:r>
    </w:p>
    <w:p>
      <w:pPr>
        <w:spacing w:after="0"/>
        <w:jc w:val="center"/>
        <w:rPr>
          <w:rFonts w:ascii="Cambria"/>
          <w:sz w:val="16"/>
        </w:rPr>
        <w:sectPr>
          <w:type w:val="continuous"/>
          <w:pgSz w:w="11910" w:h="16840"/>
          <w:pgMar w:header="1961" w:footer="1428" w:top="1920" w:bottom="280" w:left="1680" w:right="720"/>
        </w:sectPr>
      </w:pPr>
    </w:p>
    <w:p>
      <w:pPr>
        <w:pStyle w:val="BodyText"/>
        <w:rPr>
          <w:rFonts w:ascii="Cambria"/>
          <w:sz w:val="20"/>
        </w:rPr>
      </w:pPr>
    </w:p>
    <w:p>
      <w:pPr>
        <w:pStyle w:val="BodyText"/>
        <w:spacing w:before="6"/>
        <w:rPr>
          <w:rFonts w:ascii="Cambria"/>
          <w:sz w:val="20"/>
        </w:rPr>
      </w:pPr>
    </w:p>
    <w:p>
      <w:pPr>
        <w:pStyle w:val="BodyText"/>
        <w:spacing w:before="93"/>
        <w:ind w:left="610"/>
        <w:jc w:val="both"/>
        <w:rPr>
          <w:rFonts w:ascii="Garamond"/>
        </w:rPr>
      </w:pPr>
      <w:r>
        <w:rPr/>
        <w:t>where</w:t>
      </w:r>
      <w:r>
        <w:rPr>
          <w:spacing w:val="-5"/>
        </w:rPr>
        <w:t> </w:t>
      </w:r>
      <w:r>
        <w:rPr>
          <w:rFonts w:ascii="Cambria"/>
        </w:rPr>
        <w:t>z</w:t>
      </w:r>
      <w:r>
        <w:rPr>
          <w:rFonts w:ascii="Cambria"/>
          <w:vertAlign w:val="subscript"/>
        </w:rPr>
        <w:t>k</w:t>
      </w:r>
      <w:r>
        <w:rPr>
          <w:rFonts w:ascii="Garamond"/>
          <w:vertAlign w:val="baseline"/>
        </w:rPr>
        <w:t>(</w:t>
      </w:r>
      <w:r>
        <w:rPr>
          <w:rFonts w:ascii="Cambria"/>
          <w:vertAlign w:val="baseline"/>
        </w:rPr>
        <w:t>x,</w:t>
      </w:r>
      <w:r>
        <w:rPr>
          <w:rFonts w:ascii="Cambria"/>
          <w:spacing w:val="-7"/>
          <w:vertAlign w:val="baseline"/>
        </w:rPr>
        <w:t> </w:t>
      </w:r>
      <w:r>
        <w:rPr>
          <w:rFonts w:ascii="Cambria"/>
          <w:vertAlign w:val="baseline"/>
        </w:rPr>
        <w:t>y</w:t>
      </w:r>
      <w:r>
        <w:rPr>
          <w:rFonts w:ascii="Garamond"/>
          <w:vertAlign w:val="baseline"/>
        </w:rPr>
        <w:t>)</w:t>
      </w:r>
      <w:r>
        <w:rPr>
          <w:rFonts w:ascii="Garamond"/>
          <w:spacing w:val="-4"/>
          <w:vertAlign w:val="baseline"/>
        </w:rPr>
        <w:t> </w:t>
      </w:r>
      <w:r>
        <w:rPr>
          <w:vertAlign w:val="baseline"/>
        </w:rPr>
        <w:t>is</w:t>
      </w:r>
      <w:r>
        <w:rPr>
          <w:spacing w:val="-5"/>
          <w:vertAlign w:val="baseline"/>
        </w:rPr>
        <w:t> </w:t>
      </w:r>
      <w:r>
        <w:rPr>
          <w:vertAlign w:val="baseline"/>
        </w:rPr>
        <w:t>the</w:t>
      </w:r>
      <w:r>
        <w:rPr>
          <w:spacing w:val="-4"/>
          <w:vertAlign w:val="baseline"/>
        </w:rPr>
        <w:t> </w:t>
      </w:r>
      <w:r>
        <w:rPr>
          <w:vertAlign w:val="baseline"/>
        </w:rPr>
        <w:t>weight</w:t>
      </w:r>
      <w:r>
        <w:rPr>
          <w:spacing w:val="-4"/>
          <w:vertAlign w:val="baseline"/>
        </w:rPr>
        <w:t> </w:t>
      </w:r>
      <w:r>
        <w:rPr>
          <w:vertAlign w:val="baseline"/>
        </w:rPr>
        <w:t>corresponding</w:t>
      </w:r>
      <w:r>
        <w:rPr>
          <w:spacing w:val="-4"/>
          <w:vertAlign w:val="baseline"/>
        </w:rPr>
        <w:t> </w:t>
      </w:r>
      <w:r>
        <w:rPr>
          <w:vertAlign w:val="baseline"/>
        </w:rPr>
        <w:t>to</w:t>
      </w:r>
      <w:r>
        <w:rPr>
          <w:spacing w:val="-4"/>
          <w:vertAlign w:val="baseline"/>
        </w:rPr>
        <w:t> </w:t>
      </w:r>
      <w:r>
        <w:rPr>
          <w:vertAlign w:val="baseline"/>
        </w:rPr>
        <w:t>the</w:t>
      </w:r>
      <w:r>
        <w:rPr>
          <w:spacing w:val="-5"/>
          <w:vertAlign w:val="baseline"/>
        </w:rPr>
        <w:t> </w:t>
      </w:r>
      <w:r>
        <w:rPr>
          <w:vertAlign w:val="baseline"/>
        </w:rPr>
        <w:t>location</w:t>
      </w:r>
      <w:r>
        <w:rPr>
          <w:spacing w:val="-4"/>
          <w:vertAlign w:val="baseline"/>
        </w:rPr>
        <w:t> </w:t>
      </w:r>
      <w:r>
        <w:rPr>
          <w:rFonts w:ascii="Garamond"/>
          <w:vertAlign w:val="baseline"/>
        </w:rPr>
        <w:t>(</w:t>
      </w:r>
      <w:r>
        <w:rPr>
          <w:rFonts w:ascii="Cambria"/>
          <w:vertAlign w:val="baseline"/>
        </w:rPr>
        <w:t>x,</w:t>
      </w:r>
      <w:r>
        <w:rPr>
          <w:rFonts w:ascii="Cambria"/>
          <w:spacing w:val="-7"/>
          <w:vertAlign w:val="baseline"/>
        </w:rPr>
        <w:t> </w:t>
      </w:r>
      <w:r>
        <w:rPr>
          <w:rFonts w:ascii="Cambria"/>
          <w:vertAlign w:val="baseline"/>
        </w:rPr>
        <w:t>y</w:t>
      </w:r>
      <w:r>
        <w:rPr>
          <w:rFonts w:ascii="Garamond"/>
          <w:vertAlign w:val="baseline"/>
        </w:rPr>
        <w:t>)</w:t>
      </w:r>
      <w:r>
        <w:rPr>
          <w:rFonts w:ascii="Garamond"/>
          <w:spacing w:val="-5"/>
          <w:vertAlign w:val="baseline"/>
        </w:rPr>
        <w:t> </w:t>
      </w:r>
      <w:r>
        <w:rPr>
          <w:vertAlign w:val="baseline"/>
        </w:rPr>
        <w:t>and</w:t>
      </w:r>
      <w:r>
        <w:rPr>
          <w:spacing w:val="-4"/>
          <w:vertAlign w:val="baseline"/>
        </w:rPr>
        <w:t> </w:t>
      </w:r>
      <w:r>
        <w:rPr>
          <w:rFonts w:ascii="Cambria"/>
          <w:vertAlign w:val="baseline"/>
        </w:rPr>
        <w:t>k</w:t>
      </w:r>
      <w:r>
        <w:rPr>
          <w:vertAlign w:val="baseline"/>
        </w:rPr>
        <w:t>-th</w:t>
      </w:r>
      <w:r>
        <w:rPr>
          <w:spacing w:val="-4"/>
          <w:vertAlign w:val="baseline"/>
        </w:rPr>
        <w:t> </w:t>
      </w:r>
      <w:r>
        <w:rPr>
          <w:vertAlign w:val="baseline"/>
        </w:rPr>
        <w:t>centre</w:t>
      </w:r>
      <w:r>
        <w:rPr>
          <w:spacing w:val="-4"/>
          <w:vertAlign w:val="baseline"/>
        </w:rPr>
        <w:t> </w:t>
      </w:r>
      <w:r>
        <w:rPr>
          <w:vertAlign w:val="baseline"/>
        </w:rPr>
        <w:t>and</w:t>
      </w:r>
      <w:r>
        <w:rPr>
          <w:spacing w:val="-4"/>
          <w:vertAlign w:val="baseline"/>
        </w:rPr>
        <w:t> </w:t>
      </w:r>
      <w:r>
        <w:rPr>
          <w:rFonts w:ascii="Cambria"/>
          <w:spacing w:val="-2"/>
          <w:vertAlign w:val="baseline"/>
        </w:rPr>
        <w:t>P</w:t>
      </w:r>
      <w:r>
        <w:rPr>
          <w:rFonts w:ascii="Cambria"/>
          <w:spacing w:val="-2"/>
          <w:vertAlign w:val="subscript"/>
        </w:rPr>
        <w:t>k</w:t>
      </w:r>
      <w:r>
        <w:rPr>
          <w:rFonts w:ascii="Garamond"/>
          <w:spacing w:val="-2"/>
          <w:vertAlign w:val="baseline"/>
        </w:rPr>
        <w:t>(</w:t>
      </w:r>
      <w:r>
        <w:rPr>
          <w:rFonts w:ascii="Cambria"/>
          <w:spacing w:val="-2"/>
          <w:vertAlign w:val="baseline"/>
        </w:rPr>
        <w:t>s</w:t>
      </w:r>
      <w:r>
        <w:rPr>
          <w:rFonts w:ascii="Garamond"/>
          <w:spacing w:val="-2"/>
          <w:vertAlign w:val="baseline"/>
        </w:rPr>
        <w:t>)</w:t>
      </w:r>
    </w:p>
    <w:p>
      <w:pPr>
        <w:pStyle w:val="BodyText"/>
        <w:spacing w:before="67"/>
        <w:ind w:left="610"/>
        <w:jc w:val="both"/>
      </w:pPr>
      <w:r>
        <w:rPr/>
        <w:t>is</w:t>
      </w:r>
      <w:r>
        <w:rPr>
          <w:spacing w:val="-5"/>
        </w:rPr>
        <w:t> </w:t>
      </w:r>
      <w:r>
        <w:rPr/>
        <w:t>the</w:t>
      </w:r>
      <w:r>
        <w:rPr>
          <w:spacing w:val="-5"/>
        </w:rPr>
        <w:t> </w:t>
      </w:r>
      <w:r>
        <w:rPr/>
        <w:t>probability</w:t>
      </w:r>
      <w:r>
        <w:rPr>
          <w:spacing w:val="-5"/>
        </w:rPr>
        <w:t> </w:t>
      </w:r>
      <w:r>
        <w:rPr/>
        <w:t>of</w:t>
      </w:r>
      <w:r>
        <w:rPr>
          <w:spacing w:val="-5"/>
        </w:rPr>
        <w:t> </w:t>
      </w:r>
      <w:r>
        <w:rPr/>
        <w:t>possession</w:t>
      </w:r>
      <w:r>
        <w:rPr>
          <w:spacing w:val="-5"/>
        </w:rPr>
        <w:t> </w:t>
      </w:r>
      <w:r>
        <w:rPr/>
        <w:t>outcome</w:t>
      </w:r>
      <w:r>
        <w:rPr>
          <w:spacing w:val="-5"/>
        </w:rPr>
        <w:t> </w:t>
      </w:r>
      <w:r>
        <w:rPr>
          <w:rFonts w:ascii="Cambria"/>
        </w:rPr>
        <w:t>s</w:t>
      </w:r>
      <w:r>
        <w:rPr>
          <w:rFonts w:ascii="Cambria"/>
          <w:spacing w:val="2"/>
        </w:rPr>
        <w:t> </w:t>
      </w:r>
      <w:r>
        <w:rPr/>
        <w:t>at</w:t>
      </w:r>
      <w:r>
        <w:rPr>
          <w:spacing w:val="-5"/>
        </w:rPr>
        <w:t> </w:t>
      </w:r>
      <w:r>
        <w:rPr/>
        <w:t>the</w:t>
      </w:r>
      <w:r>
        <w:rPr>
          <w:spacing w:val="-5"/>
        </w:rPr>
        <w:t> </w:t>
      </w:r>
      <w:r>
        <w:rPr/>
        <w:t>centre</w:t>
      </w:r>
      <w:r>
        <w:rPr>
          <w:spacing w:val="-5"/>
        </w:rPr>
        <w:t> </w:t>
      </w:r>
      <w:r>
        <w:rPr>
          <w:rFonts w:ascii="Cambria"/>
          <w:spacing w:val="-5"/>
        </w:rPr>
        <w:t>k</w:t>
      </w:r>
      <w:r>
        <w:rPr>
          <w:spacing w:val="-5"/>
        </w:rPr>
        <w:t>.</w:t>
      </w:r>
    </w:p>
    <w:p>
      <w:pPr>
        <w:pStyle w:val="BodyText"/>
        <w:spacing w:line="307" w:lineRule="auto" w:before="77"/>
        <w:ind w:left="610" w:right="389" w:firstLine="351"/>
        <w:jc w:val="both"/>
      </w:pPr>
      <w:r>
        <w:rPr/>
        <w:t>The weights for each centre were treated as fixed for every </w:t>
      </w:r>
      <w:r>
        <w:rPr>
          <w:rFonts w:ascii="Cambria" w:hAnsi="Cambria"/>
        </w:rPr>
        <w:t>x,</w:t>
      </w:r>
      <w:r>
        <w:rPr>
          <w:rFonts w:ascii="Cambria" w:hAnsi="Cambria"/>
          <w:spacing w:val="-14"/>
        </w:rPr>
        <w:t> </w:t>
      </w:r>
      <w:r>
        <w:rPr>
          <w:rFonts w:ascii="Cambria" w:hAnsi="Cambria"/>
        </w:rPr>
        <w:t>y </w:t>
      </w:r>
      <w:r>
        <w:rPr/>
        <w:t>location on the pitch (Section</w:t>
      </w:r>
      <w:hyperlink w:history="true" w:anchor="_bookmark182">
        <w:r>
          <w:rPr>
            <w:color w:val="0000FF"/>
          </w:rPr>
          <w:t>6.2.3.1</w:t>
        </w:r>
        <w:r>
          <w:rPr/>
          <w:t>)</w:t>
        </w:r>
      </w:hyperlink>
      <w:r>
        <w:rPr>
          <w:spacing w:val="-5"/>
        </w:rPr>
        <w:t> </w:t>
      </w:r>
      <w:r>
        <w:rPr/>
        <w:t>so</w:t>
      </w:r>
      <w:r>
        <w:rPr>
          <w:spacing w:val="-5"/>
        </w:rPr>
        <w:t> </w:t>
      </w:r>
      <w:r>
        <w:rPr/>
        <w:t>Bayesian</w:t>
      </w:r>
      <w:r>
        <w:rPr>
          <w:spacing w:val="-5"/>
        </w:rPr>
        <w:t> </w:t>
      </w:r>
      <w:r>
        <w:rPr/>
        <w:t>analysis</w:t>
      </w:r>
      <w:r>
        <w:rPr>
          <w:spacing w:val="-5"/>
        </w:rPr>
        <w:t> </w:t>
      </w:r>
      <w:r>
        <w:rPr/>
        <w:t>was</w:t>
      </w:r>
      <w:r>
        <w:rPr>
          <w:spacing w:val="-5"/>
        </w:rPr>
        <w:t> </w:t>
      </w:r>
      <w:r>
        <w:rPr/>
        <w:t>used</w:t>
      </w:r>
      <w:r>
        <w:rPr>
          <w:spacing w:val="-5"/>
        </w:rPr>
        <w:t> </w:t>
      </w:r>
      <w:r>
        <w:rPr/>
        <w:t>to</w:t>
      </w:r>
      <w:r>
        <w:rPr>
          <w:spacing w:val="-5"/>
        </w:rPr>
        <w:t> </w:t>
      </w:r>
      <w:r>
        <w:rPr/>
        <w:t>compute</w:t>
      </w:r>
      <w:r>
        <w:rPr>
          <w:spacing w:val="-5"/>
        </w:rPr>
        <w:t> </w:t>
      </w:r>
      <w:r>
        <w:rPr/>
        <w:t>the</w:t>
      </w:r>
      <w:r>
        <w:rPr>
          <w:spacing w:val="-5"/>
        </w:rPr>
        <w:t> </w:t>
      </w:r>
      <w:r>
        <w:rPr/>
        <w:t>distribution</w:t>
      </w:r>
      <w:r>
        <w:rPr>
          <w:spacing w:val="-5"/>
        </w:rPr>
        <w:t> </w:t>
      </w:r>
      <w:r>
        <w:rPr/>
        <w:t>of</w:t>
      </w:r>
      <w:r>
        <w:rPr>
          <w:spacing w:val="-5"/>
        </w:rPr>
        <w:t> </w:t>
      </w:r>
      <w:r>
        <w:rPr/>
        <w:t>possession outcome probabilities at all centres </w:t>
      </w:r>
      <w:r>
        <w:rPr>
          <w:rFonts w:ascii="Cambria" w:hAnsi="Cambria"/>
        </w:rPr>
        <w:t>P</w:t>
      </w:r>
      <w:r>
        <w:rPr>
          <w:rFonts w:ascii="Cambria" w:hAnsi="Cambria"/>
          <w:vertAlign w:val="subscript"/>
        </w:rPr>
        <w:t>k</w:t>
      </w:r>
      <w:r>
        <w:rPr>
          <w:vertAlign w:val="baseline"/>
        </w:rPr>
        <w:t>. The prior distribution for </w:t>
      </w:r>
      <w:r>
        <w:rPr>
          <w:rFonts w:ascii="Cambria" w:hAnsi="Cambria"/>
          <w:vertAlign w:val="baseline"/>
        </w:rPr>
        <w:t>P</w:t>
      </w:r>
      <w:r>
        <w:rPr>
          <w:rFonts w:ascii="Cambria" w:hAnsi="Cambria"/>
          <w:vertAlign w:val="subscript"/>
        </w:rPr>
        <w:t>k</w:t>
      </w:r>
      <w:r>
        <w:rPr>
          <w:rFonts w:ascii="Cambria" w:hAnsi="Cambria"/>
          <w:vertAlign w:val="baseline"/>
        </w:rPr>
        <w:t> </w:t>
      </w:r>
      <w:r>
        <w:rPr>
          <w:vertAlign w:val="baseline"/>
        </w:rPr>
        <w:t>is Dirichlet with </w:t>
      </w:r>
      <w:r>
        <w:rPr>
          <w:vertAlign w:val="baseline"/>
        </w:rPr>
        <w:t>the parameter, </w:t>
      </w:r>
      <w:r>
        <w:rPr>
          <w:rFonts w:ascii="Cambria" w:hAnsi="Cambria"/>
          <w:vertAlign w:val="baseline"/>
        </w:rPr>
        <w:t>α</w:t>
      </w:r>
      <w:r>
        <w:rPr>
          <w:vertAlign w:val="baseline"/>
        </w:rPr>
        <w:t>:</w:t>
      </w:r>
    </w:p>
    <w:p>
      <w:pPr>
        <w:pStyle w:val="BodyText"/>
        <w:spacing w:line="335" w:lineRule="exact"/>
        <w:ind w:left="757" w:right="539"/>
        <w:jc w:val="center"/>
        <w:rPr>
          <w:rFonts w:ascii="Cambria" w:hAnsi="Cambria"/>
        </w:rPr>
      </w:pPr>
      <w:r>
        <w:rPr>
          <w:rFonts w:ascii="Cambria" w:hAnsi="Cambria"/>
          <w:w w:val="105"/>
        </w:rPr>
        <w:t>P</w:t>
      </w:r>
      <w:r>
        <w:rPr>
          <w:rFonts w:ascii="Cambria" w:hAnsi="Cambria"/>
          <w:w w:val="105"/>
          <w:vertAlign w:val="subscript"/>
        </w:rPr>
        <w:t>k</w:t>
      </w:r>
      <w:r>
        <w:rPr>
          <w:rFonts w:ascii="Cambria" w:hAnsi="Cambria"/>
          <w:spacing w:val="18"/>
          <w:w w:val="105"/>
          <w:vertAlign w:val="baseline"/>
        </w:rPr>
        <w:t> </w:t>
      </w:r>
      <w:r>
        <w:rPr>
          <w:rFonts w:ascii="Lucida Sans Unicode" w:hAnsi="Lucida Sans Unicode"/>
          <w:w w:val="105"/>
          <w:vertAlign w:val="baseline"/>
        </w:rPr>
        <w:t>∼</w:t>
      </w:r>
      <w:r>
        <w:rPr>
          <w:rFonts w:ascii="Lucida Sans Unicode" w:hAnsi="Lucida Sans Unicode"/>
          <w:spacing w:val="-18"/>
          <w:w w:val="105"/>
          <w:vertAlign w:val="baseline"/>
        </w:rPr>
        <w:t> </w:t>
      </w:r>
      <w:r>
        <w:rPr>
          <w:spacing w:val="-2"/>
          <w:w w:val="105"/>
          <w:vertAlign w:val="baseline"/>
        </w:rPr>
        <w:t>Dirichlet</w:t>
      </w:r>
      <w:r>
        <w:rPr>
          <w:rFonts w:ascii="Garamond" w:hAnsi="Garamond"/>
          <w:spacing w:val="-2"/>
          <w:w w:val="105"/>
          <w:vertAlign w:val="baseline"/>
        </w:rPr>
        <w:t>(</w:t>
      </w:r>
      <w:r>
        <w:rPr>
          <w:rFonts w:ascii="Cambria" w:hAnsi="Cambria"/>
          <w:spacing w:val="-2"/>
          <w:w w:val="105"/>
          <w:vertAlign w:val="baseline"/>
        </w:rPr>
        <w:t>α</w:t>
      </w:r>
      <w:r>
        <w:rPr>
          <w:rFonts w:ascii="Garamond" w:hAnsi="Garamond"/>
          <w:spacing w:val="-2"/>
          <w:w w:val="105"/>
          <w:vertAlign w:val="baseline"/>
        </w:rPr>
        <w:t>)</w:t>
      </w:r>
      <w:r>
        <w:rPr>
          <w:rFonts w:ascii="Cambria" w:hAnsi="Cambria"/>
          <w:spacing w:val="-2"/>
          <w:w w:val="105"/>
          <w:vertAlign w:val="baseline"/>
        </w:rPr>
        <w:t>.</w:t>
      </w:r>
    </w:p>
    <w:p>
      <w:pPr>
        <w:pStyle w:val="BodyText"/>
        <w:spacing w:line="309" w:lineRule="auto" w:before="189"/>
        <w:ind w:left="610" w:right="389"/>
        <w:jc w:val="both"/>
      </w:pPr>
      <w:r>
        <w:rPr/>
        <w:t>The</w:t>
      </w:r>
      <w:r>
        <w:rPr>
          <w:spacing w:val="-2"/>
        </w:rPr>
        <w:t> </w:t>
      </w:r>
      <w:r>
        <w:rPr/>
        <w:t>prior</w:t>
      </w:r>
      <w:r>
        <w:rPr>
          <w:spacing w:val="-2"/>
        </w:rPr>
        <w:t> </w:t>
      </w:r>
      <w:r>
        <w:rPr/>
        <w:t>distributions</w:t>
      </w:r>
      <w:r>
        <w:rPr>
          <w:spacing w:val="-2"/>
        </w:rPr>
        <w:t> </w:t>
      </w:r>
      <w:r>
        <w:rPr/>
        <w:t>are</w:t>
      </w:r>
      <w:r>
        <w:rPr>
          <w:spacing w:val="-2"/>
        </w:rPr>
        <w:t> </w:t>
      </w:r>
      <w:r>
        <w:rPr/>
        <w:t>independent</w:t>
      </w:r>
      <w:r>
        <w:rPr>
          <w:spacing w:val="-2"/>
        </w:rPr>
        <w:t> </w:t>
      </w:r>
      <w:r>
        <w:rPr/>
        <w:t>between</w:t>
      </w:r>
      <w:r>
        <w:rPr>
          <w:spacing w:val="-2"/>
        </w:rPr>
        <w:t> </w:t>
      </w:r>
      <w:r>
        <w:rPr/>
        <w:t>centres</w:t>
      </w:r>
      <w:r>
        <w:rPr>
          <w:spacing w:val="-2"/>
        </w:rPr>
        <w:t> </w:t>
      </w:r>
      <w:r>
        <w:rPr/>
        <w:t>(i.e. there</w:t>
      </w:r>
      <w:r>
        <w:rPr>
          <w:spacing w:val="-2"/>
        </w:rPr>
        <w:t> </w:t>
      </w:r>
      <w:r>
        <w:rPr/>
        <w:t>are</w:t>
      </w:r>
      <w:r>
        <w:rPr>
          <w:spacing w:val="-2"/>
        </w:rPr>
        <w:t> </w:t>
      </w:r>
      <w:r>
        <w:rPr/>
        <w:t>separate</w:t>
      </w:r>
      <w:r>
        <w:rPr>
          <w:spacing w:val="-2"/>
        </w:rPr>
        <w:t> </w:t>
      </w:r>
      <w:r>
        <w:rPr/>
        <w:t>prior</w:t>
      </w:r>
      <w:r>
        <w:rPr>
          <w:spacing w:val="-2"/>
        </w:rPr>
        <w:t> </w:t>
      </w:r>
      <w:r>
        <w:rPr/>
        <w:t>dis- tributions, denoting the prior probabilities of all five possession outcomes occurring, for centres 1, 2, 3, 4 etc.).</w:t>
      </w:r>
      <w:r>
        <w:rPr>
          <w:spacing w:val="40"/>
        </w:rPr>
        <w:t> </w:t>
      </w:r>
      <w:r>
        <w:rPr/>
        <w:t>The Dirichlet distribution is a multivariate generalisation of the beta distribution,</w:t>
      </w:r>
      <w:r>
        <w:rPr>
          <w:spacing w:val="20"/>
        </w:rPr>
        <w:t> </w:t>
      </w:r>
      <w:r>
        <w:rPr/>
        <w:t>parameterised by a vector of positive reals (</w:t>
      </w:r>
      <w:r>
        <w:rPr>
          <w:rFonts w:ascii="Cambria" w:hAnsi="Cambria"/>
        </w:rPr>
        <w:t>α</w:t>
      </w:r>
      <w:r>
        <w:rPr/>
        <w:t>).</w:t>
      </w:r>
      <w:r>
        <w:rPr>
          <w:spacing w:val="40"/>
        </w:rPr>
        <w:t> </w:t>
      </w:r>
      <w:r>
        <w:rPr/>
        <w:t>Its output is a vector</w:t>
      </w:r>
      <w:r>
        <w:rPr>
          <w:spacing w:val="80"/>
        </w:rPr>
        <w:t> </w:t>
      </w:r>
      <w:r>
        <w:rPr/>
        <w:t>of non-negative numbers summing up to one, i.e., a vector of probabilities.</w:t>
      </w:r>
      <w:r>
        <w:rPr>
          <w:spacing w:val="28"/>
        </w:rPr>
        <w:t> </w:t>
      </w:r>
      <w:r>
        <w:rPr/>
        <w:t>As it is only possible for one possession outcome to occur every possession in rugby league, this dis- tribution is ideally suited as the prior for possession outcome probabilities.</w:t>
      </w:r>
    </w:p>
    <w:p>
      <w:pPr>
        <w:pStyle w:val="BodyText"/>
        <w:tabs>
          <w:tab w:pos="6695" w:val="left" w:leader="none"/>
        </w:tabs>
        <w:spacing w:before="7"/>
        <w:ind w:left="961"/>
      </w:pPr>
      <w:r>
        <w:rPr/>
        <w:pict>
          <v:shape style="position:absolute;margin-left:401.591003pt;margin-top:8.730781pt;width:13.75pt;height:8pt;mso-position-horizontal-relative:page;mso-position-vertical-relative:paragraph;z-index:-21735936" type="#_x0000_t202" id="docshape174" filled="false" stroked="false">
            <v:textbox inset="0,0,0,0">
              <w:txbxContent>
                <w:p>
                  <w:pPr>
                    <w:spacing w:line="155" w:lineRule="exact" w:before="0"/>
                    <w:ind w:left="0" w:right="0" w:firstLine="0"/>
                    <w:jc w:val="left"/>
                    <w:rPr>
                      <w:rFonts w:ascii="Georgia"/>
                      <w:sz w:val="16"/>
                    </w:rPr>
                  </w:pPr>
                  <w:r>
                    <w:rPr>
                      <w:rFonts w:ascii="Cambria"/>
                      <w:spacing w:val="-5"/>
                      <w:w w:val="125"/>
                      <w:sz w:val="16"/>
                    </w:rPr>
                    <w:t>i</w:t>
                  </w:r>
                  <w:r>
                    <w:rPr>
                      <w:rFonts w:ascii="Georgia"/>
                      <w:spacing w:val="-5"/>
                      <w:w w:val="125"/>
                      <w:sz w:val="16"/>
                    </w:rPr>
                    <w:t>=1</w:t>
                  </w:r>
                </w:p>
              </w:txbxContent>
            </v:textbox>
            <w10:wrap type="none"/>
          </v:shape>
        </w:pict>
      </w:r>
      <w:r>
        <w:rPr/>
        <w:t>The</w:t>
      </w:r>
      <w:r>
        <w:rPr>
          <w:spacing w:val="9"/>
        </w:rPr>
        <w:t> </w:t>
      </w:r>
      <w:r>
        <w:rPr/>
        <w:t>likelihood</w:t>
      </w:r>
      <w:r>
        <w:rPr>
          <w:spacing w:val="9"/>
        </w:rPr>
        <w:t> </w:t>
      </w:r>
      <w:r>
        <w:rPr/>
        <w:t>function</w:t>
      </w:r>
      <w:r>
        <w:rPr>
          <w:spacing w:val="10"/>
        </w:rPr>
        <w:t> </w:t>
      </w:r>
      <w:r>
        <w:rPr/>
        <w:t>for</w:t>
      </w:r>
      <w:r>
        <w:rPr>
          <w:spacing w:val="9"/>
        </w:rPr>
        <w:t> </w:t>
      </w:r>
      <w:r>
        <w:rPr/>
        <w:t>a</w:t>
      </w:r>
      <w:r>
        <w:rPr>
          <w:spacing w:val="10"/>
        </w:rPr>
        <w:t> </w:t>
      </w:r>
      <w:r>
        <w:rPr/>
        <w:t>set</w:t>
      </w:r>
      <w:r>
        <w:rPr>
          <w:spacing w:val="9"/>
        </w:rPr>
        <w:t> </w:t>
      </w:r>
      <w:r>
        <w:rPr/>
        <w:t>of</w:t>
      </w:r>
      <w:r>
        <w:rPr>
          <w:spacing w:val="10"/>
        </w:rPr>
        <w:t> </w:t>
      </w:r>
      <w:r>
        <w:rPr/>
        <w:t>data,</w:t>
      </w:r>
      <w:r>
        <w:rPr>
          <w:spacing w:val="9"/>
        </w:rPr>
        <w:t> </w:t>
      </w:r>
      <w:r>
        <w:rPr>
          <w:rFonts w:ascii="Cambria"/>
        </w:rPr>
        <w:t>D</w:t>
      </w:r>
      <w:r>
        <w:rPr>
          <w:rFonts w:ascii="Cambria"/>
          <w:spacing w:val="33"/>
        </w:rPr>
        <w:t> </w:t>
      </w:r>
      <w:r>
        <w:rPr>
          <w:rFonts w:ascii="Garamond"/>
        </w:rPr>
        <w:t>=</w:t>
      </w:r>
      <w:r>
        <w:rPr>
          <w:rFonts w:ascii="Garamond"/>
          <w:spacing w:val="18"/>
        </w:rPr>
        <w:t> </w:t>
      </w:r>
      <w:r>
        <w:rPr>
          <w:rFonts w:ascii="Garamond"/>
        </w:rPr>
        <w:t>(</w:t>
      </w:r>
      <w:r>
        <w:rPr>
          <w:rFonts w:ascii="Cambria"/>
        </w:rPr>
        <w:t>x</w:t>
      </w:r>
      <w:r>
        <w:rPr>
          <w:rFonts w:ascii="Cambria"/>
          <w:vertAlign w:val="subscript"/>
        </w:rPr>
        <w:t>i</w:t>
      </w:r>
      <w:r>
        <w:rPr>
          <w:rFonts w:ascii="Cambria"/>
          <w:vertAlign w:val="baseline"/>
        </w:rPr>
        <w:t>,</w:t>
      </w:r>
      <w:r>
        <w:rPr>
          <w:rFonts w:ascii="Cambria"/>
          <w:spacing w:val="-6"/>
          <w:vertAlign w:val="baseline"/>
        </w:rPr>
        <w:t> </w:t>
      </w:r>
      <w:r>
        <w:rPr>
          <w:rFonts w:ascii="Cambria"/>
          <w:vertAlign w:val="baseline"/>
        </w:rPr>
        <w:t>y</w:t>
      </w:r>
      <w:r>
        <w:rPr>
          <w:rFonts w:ascii="Cambria"/>
          <w:vertAlign w:val="subscript"/>
        </w:rPr>
        <w:t>i</w:t>
      </w:r>
      <w:r>
        <w:rPr>
          <w:rFonts w:ascii="Cambria"/>
          <w:vertAlign w:val="baseline"/>
        </w:rPr>
        <w:t>,</w:t>
      </w:r>
      <w:r>
        <w:rPr>
          <w:rFonts w:ascii="Cambria"/>
          <w:spacing w:val="-6"/>
          <w:vertAlign w:val="baseline"/>
        </w:rPr>
        <w:t> </w:t>
      </w:r>
      <w:r>
        <w:rPr>
          <w:rFonts w:ascii="Cambria"/>
          <w:spacing w:val="-4"/>
          <w:vertAlign w:val="baseline"/>
        </w:rPr>
        <w:t>s</w:t>
      </w:r>
      <w:r>
        <w:rPr>
          <w:rFonts w:ascii="Cambria"/>
          <w:spacing w:val="-4"/>
          <w:vertAlign w:val="subscript"/>
        </w:rPr>
        <w:t>i</w:t>
      </w:r>
      <w:r>
        <w:rPr>
          <w:rFonts w:ascii="Garamond"/>
          <w:spacing w:val="-4"/>
          <w:vertAlign w:val="baseline"/>
        </w:rPr>
        <w:t>)</w:t>
      </w:r>
      <w:r>
        <w:rPr>
          <w:rFonts w:ascii="Cambria"/>
          <w:spacing w:val="-4"/>
          <w:vertAlign w:val="superscript"/>
        </w:rPr>
        <w:t>n</w:t>
      </w:r>
      <w:r>
        <w:rPr>
          <w:rFonts w:ascii="Cambria"/>
          <w:vertAlign w:val="baseline"/>
        </w:rPr>
        <w:tab/>
      </w:r>
      <w:r>
        <w:rPr>
          <w:vertAlign w:val="baseline"/>
        </w:rPr>
        <w:t>is</w:t>
      </w:r>
      <w:r>
        <w:rPr>
          <w:spacing w:val="-10"/>
          <w:vertAlign w:val="baseline"/>
        </w:rPr>
        <w:t> </w:t>
      </w:r>
      <w:r>
        <w:rPr>
          <w:vertAlign w:val="baseline"/>
        </w:rPr>
        <w:t>given</w:t>
      </w:r>
      <w:r>
        <w:rPr>
          <w:spacing w:val="-9"/>
          <w:vertAlign w:val="baseline"/>
        </w:rPr>
        <w:t> </w:t>
      </w:r>
      <w:r>
        <w:rPr>
          <w:spacing w:val="-5"/>
          <w:vertAlign w:val="baseline"/>
        </w:rPr>
        <w:t>by:</w:t>
      </w:r>
    </w:p>
    <w:p>
      <w:pPr>
        <w:pStyle w:val="BodyText"/>
        <w:spacing w:before="3"/>
        <w:rPr>
          <w:sz w:val="17"/>
        </w:rPr>
      </w:pPr>
    </w:p>
    <w:p>
      <w:pPr>
        <w:pStyle w:val="BodyText"/>
        <w:spacing w:before="51"/>
        <w:ind w:left="757" w:right="539"/>
        <w:jc w:val="center"/>
        <w:rPr>
          <w:rFonts w:ascii="Cambria" w:hAnsi="Cambria"/>
        </w:rPr>
      </w:pPr>
      <w:r>
        <w:rPr/>
        <w:pict>
          <v:shape style="position:absolute;margin-left:290.963989pt;margin-top:33.165291pt;width:13.75pt;height:8pt;mso-position-horizontal-relative:page;mso-position-vertical-relative:paragraph;z-index:-15649280;mso-wrap-distance-left:0;mso-wrap-distance-right:0" type="#_x0000_t202" id="docshape175" filled="false" stroked="false">
            <v:textbox inset="0,0,0,0">
              <w:txbxContent>
                <w:p>
                  <w:pPr>
                    <w:spacing w:line="155" w:lineRule="exact" w:before="0"/>
                    <w:ind w:left="0" w:right="0" w:firstLine="0"/>
                    <w:jc w:val="left"/>
                    <w:rPr>
                      <w:rFonts w:ascii="Georgia"/>
                      <w:sz w:val="16"/>
                    </w:rPr>
                  </w:pPr>
                  <w:r>
                    <w:rPr>
                      <w:rFonts w:ascii="Cambria"/>
                      <w:spacing w:val="-5"/>
                      <w:w w:val="125"/>
                      <w:sz w:val="16"/>
                    </w:rPr>
                    <w:t>i</w:t>
                  </w:r>
                  <w:r>
                    <w:rPr>
                      <w:rFonts w:ascii="Georgia"/>
                      <w:spacing w:val="-5"/>
                      <w:w w:val="125"/>
                      <w:sz w:val="16"/>
                    </w:rPr>
                    <w:t>=1</w:t>
                  </w:r>
                </w:p>
              </w:txbxContent>
            </v:textbox>
            <w10:wrap type="topAndBottom"/>
          </v:shape>
        </w:pict>
      </w:r>
      <w:r>
        <w:rPr/>
        <w:pict>
          <v:shape style="position:absolute;margin-left:313.769989pt;margin-top:33.431290pt;width:4.45pt;height:8pt;mso-position-horizontal-relative:page;mso-position-vertical-relative:paragraph;z-index:-15648768;mso-wrap-distance-left:0;mso-wrap-distance-right:0" type="#_x0000_t202" id="docshape176" filled="false" stroked="false">
            <v:textbox inset="0,0,0,0">
              <w:txbxContent>
                <w:p>
                  <w:pPr>
                    <w:spacing w:line="155" w:lineRule="exact" w:before="0"/>
                    <w:ind w:left="0" w:right="0" w:firstLine="0"/>
                    <w:jc w:val="left"/>
                    <w:rPr>
                      <w:rFonts w:ascii="Cambria"/>
                      <w:sz w:val="16"/>
                    </w:rPr>
                  </w:pPr>
                  <w:r>
                    <w:rPr>
                      <w:rFonts w:ascii="Cambria"/>
                      <w:w w:val="105"/>
                      <w:sz w:val="16"/>
                    </w:rPr>
                    <w:t>k</w:t>
                  </w:r>
                </w:p>
              </w:txbxContent>
            </v:textbox>
            <w10:wrap type="topAndBottom"/>
          </v:shape>
        </w:pict>
      </w:r>
      <w:r>
        <w:rPr/>
        <w:pict>
          <v:shape style="position:absolute;margin-left:295.247009pt;margin-top:4.384291pt;width:5.15pt;height:8pt;mso-position-horizontal-relative:page;mso-position-vertical-relative:paragraph;z-index:-21735424" type="#_x0000_t202" id="docshape177" filled="false" stroked="false">
            <v:textbox inset="0,0,0,0">
              <w:txbxContent>
                <w:p>
                  <w:pPr>
                    <w:spacing w:line="155" w:lineRule="exact" w:before="0"/>
                    <w:ind w:left="0" w:right="0" w:firstLine="0"/>
                    <w:jc w:val="left"/>
                    <w:rPr>
                      <w:rFonts w:ascii="Cambria"/>
                      <w:sz w:val="16"/>
                    </w:rPr>
                  </w:pPr>
                  <w:r>
                    <w:rPr>
                      <w:rFonts w:ascii="Cambria"/>
                      <w:w w:val="114"/>
                      <w:sz w:val="16"/>
                    </w:rPr>
                    <w:t>n</w:t>
                  </w:r>
                </w:p>
              </w:txbxContent>
            </v:textbox>
            <w10:wrap type="none"/>
          </v:shape>
        </w:pict>
      </w:r>
      <w:r>
        <w:rPr>
          <w:rFonts w:ascii="Cambria" w:hAnsi="Cambria"/>
          <w:w w:val="125"/>
        </w:rPr>
        <w:t>P</w:t>
      </w:r>
      <w:r>
        <w:rPr>
          <w:rFonts w:ascii="Garamond" w:hAnsi="Garamond"/>
          <w:w w:val="125"/>
        </w:rPr>
        <w:t>(</w:t>
      </w:r>
      <w:r>
        <w:rPr>
          <w:rFonts w:ascii="Cambria" w:hAnsi="Cambria"/>
          <w:w w:val="125"/>
        </w:rPr>
        <w:t>D</w:t>
      </w:r>
      <w:r>
        <w:rPr>
          <w:rFonts w:ascii="Lucida Sans Unicode" w:hAnsi="Lucida Sans Unicode"/>
          <w:w w:val="125"/>
        </w:rPr>
        <w:t>|</w:t>
      </w:r>
      <w:r>
        <w:rPr>
          <w:b/>
          <w:i/>
          <w:w w:val="125"/>
        </w:rPr>
        <w:t>α</w:t>
      </w:r>
      <w:r>
        <w:rPr>
          <w:rFonts w:ascii="Garamond" w:hAnsi="Garamond"/>
          <w:w w:val="125"/>
        </w:rPr>
        <w:t>)</w:t>
      </w:r>
      <w:r>
        <w:rPr>
          <w:rFonts w:ascii="Garamond" w:hAnsi="Garamond"/>
          <w:spacing w:val="2"/>
          <w:w w:val="125"/>
        </w:rPr>
        <w:t> </w:t>
      </w:r>
      <w:r>
        <w:rPr>
          <w:rFonts w:ascii="Garamond" w:hAnsi="Garamond"/>
          <w:w w:val="125"/>
        </w:rPr>
        <w:t>=</w:t>
      </w:r>
      <w:r>
        <w:rPr>
          <w:rFonts w:ascii="Garamond" w:hAnsi="Garamond"/>
          <w:spacing w:val="-9"/>
          <w:w w:val="145"/>
        </w:rPr>
        <w:t> </w:t>
      </w:r>
      <w:r>
        <w:rPr>
          <w:rFonts w:ascii="Arial" w:hAnsi="Arial"/>
          <w:w w:val="145"/>
          <w:position w:val="23"/>
        </w:rPr>
        <w:t>IJ</w:t>
      </w:r>
      <w:r>
        <w:rPr>
          <w:rFonts w:ascii="Arial" w:hAnsi="Arial"/>
          <w:spacing w:val="-51"/>
          <w:w w:val="145"/>
          <w:position w:val="23"/>
        </w:rPr>
        <w:t> </w:t>
      </w:r>
      <w:r>
        <w:rPr>
          <w:rFonts w:ascii="Arial" w:hAnsi="Arial"/>
          <w:w w:val="205"/>
          <w:position w:val="23"/>
        </w:rPr>
        <w:t>L</w:t>
      </w:r>
      <w:r>
        <w:rPr>
          <w:rFonts w:ascii="Arial" w:hAnsi="Arial"/>
          <w:spacing w:val="-90"/>
          <w:w w:val="205"/>
          <w:position w:val="23"/>
        </w:rPr>
        <w:t> </w:t>
      </w:r>
      <w:r>
        <w:rPr>
          <w:rFonts w:ascii="Cambria" w:hAnsi="Cambria"/>
          <w:w w:val="125"/>
        </w:rPr>
        <w:t>z</w:t>
      </w:r>
      <w:r>
        <w:rPr>
          <w:rFonts w:ascii="Cambria" w:hAnsi="Cambria"/>
          <w:w w:val="125"/>
          <w:vertAlign w:val="subscript"/>
        </w:rPr>
        <w:t>k</w:t>
      </w:r>
      <w:r>
        <w:rPr>
          <w:rFonts w:ascii="Garamond" w:hAnsi="Garamond"/>
          <w:w w:val="125"/>
          <w:vertAlign w:val="baseline"/>
        </w:rPr>
        <w:t>(</w:t>
      </w:r>
      <w:r>
        <w:rPr>
          <w:rFonts w:ascii="Cambria" w:hAnsi="Cambria"/>
          <w:w w:val="125"/>
          <w:vertAlign w:val="baseline"/>
        </w:rPr>
        <w:t>x</w:t>
      </w:r>
      <w:r>
        <w:rPr>
          <w:rFonts w:ascii="Cambria" w:hAnsi="Cambria"/>
          <w:w w:val="125"/>
          <w:vertAlign w:val="subscript"/>
        </w:rPr>
        <w:t>i</w:t>
      </w:r>
      <w:r>
        <w:rPr>
          <w:rFonts w:ascii="Cambria" w:hAnsi="Cambria"/>
          <w:w w:val="125"/>
          <w:vertAlign w:val="baseline"/>
        </w:rPr>
        <w:t>,</w:t>
      </w:r>
      <w:r>
        <w:rPr>
          <w:rFonts w:ascii="Cambria" w:hAnsi="Cambria"/>
          <w:spacing w:val="-19"/>
          <w:w w:val="125"/>
          <w:vertAlign w:val="baseline"/>
        </w:rPr>
        <w:t> </w:t>
      </w:r>
      <w:r>
        <w:rPr>
          <w:rFonts w:ascii="Cambria" w:hAnsi="Cambria"/>
          <w:spacing w:val="-2"/>
          <w:w w:val="125"/>
          <w:vertAlign w:val="baseline"/>
        </w:rPr>
        <w:t>y</w:t>
      </w:r>
      <w:r>
        <w:rPr>
          <w:rFonts w:ascii="Cambria" w:hAnsi="Cambria"/>
          <w:spacing w:val="-2"/>
          <w:w w:val="125"/>
          <w:vertAlign w:val="subscript"/>
        </w:rPr>
        <w:t>i</w:t>
      </w:r>
      <w:r>
        <w:rPr>
          <w:rFonts w:ascii="Garamond" w:hAnsi="Garamond"/>
          <w:spacing w:val="-2"/>
          <w:w w:val="125"/>
          <w:vertAlign w:val="baseline"/>
        </w:rPr>
        <w:t>)</w:t>
      </w:r>
      <w:r>
        <w:rPr>
          <w:rFonts w:ascii="Cambria" w:hAnsi="Cambria"/>
          <w:spacing w:val="-2"/>
          <w:w w:val="125"/>
          <w:vertAlign w:val="baseline"/>
        </w:rPr>
        <w:t>P</w:t>
      </w:r>
      <w:r>
        <w:rPr>
          <w:rFonts w:ascii="Cambria" w:hAnsi="Cambria"/>
          <w:spacing w:val="-2"/>
          <w:w w:val="125"/>
          <w:vertAlign w:val="subscript"/>
        </w:rPr>
        <w:t>k</w:t>
      </w:r>
      <w:r>
        <w:rPr>
          <w:rFonts w:ascii="Garamond" w:hAnsi="Garamond"/>
          <w:spacing w:val="-2"/>
          <w:w w:val="125"/>
          <w:vertAlign w:val="baseline"/>
        </w:rPr>
        <w:t>(</w:t>
      </w:r>
      <w:r>
        <w:rPr>
          <w:rFonts w:ascii="Cambria" w:hAnsi="Cambria"/>
          <w:spacing w:val="-2"/>
          <w:w w:val="125"/>
          <w:vertAlign w:val="baseline"/>
        </w:rPr>
        <w:t>s</w:t>
      </w:r>
      <w:r>
        <w:rPr>
          <w:rFonts w:ascii="Cambria" w:hAnsi="Cambria"/>
          <w:spacing w:val="-2"/>
          <w:w w:val="125"/>
          <w:vertAlign w:val="subscript"/>
        </w:rPr>
        <w:t>i</w:t>
      </w:r>
      <w:r>
        <w:rPr>
          <w:rFonts w:ascii="Lucida Sans Unicode" w:hAnsi="Lucida Sans Unicode"/>
          <w:spacing w:val="-2"/>
          <w:w w:val="125"/>
          <w:vertAlign w:val="baseline"/>
        </w:rPr>
        <w:t>|</w:t>
      </w:r>
      <w:r>
        <w:rPr>
          <w:rFonts w:ascii="Cambria" w:hAnsi="Cambria"/>
          <w:spacing w:val="-2"/>
          <w:w w:val="125"/>
          <w:vertAlign w:val="baseline"/>
        </w:rPr>
        <w:t>α</w:t>
      </w:r>
      <w:r>
        <w:rPr>
          <w:rFonts w:ascii="Cambria" w:hAnsi="Cambria"/>
          <w:spacing w:val="-2"/>
          <w:w w:val="125"/>
          <w:vertAlign w:val="subscript"/>
        </w:rPr>
        <w:t>k</w:t>
      </w:r>
      <w:r>
        <w:rPr>
          <w:rFonts w:ascii="Garamond" w:hAnsi="Garamond"/>
          <w:spacing w:val="-2"/>
          <w:w w:val="125"/>
          <w:vertAlign w:val="baseline"/>
        </w:rPr>
        <w:t>)</w:t>
      </w:r>
      <w:r>
        <w:rPr>
          <w:rFonts w:ascii="Cambria" w:hAnsi="Cambria"/>
          <w:spacing w:val="-2"/>
          <w:w w:val="125"/>
          <w:vertAlign w:val="baseline"/>
        </w:rPr>
        <w:t>,</w:t>
      </w:r>
    </w:p>
    <w:p>
      <w:pPr>
        <w:pStyle w:val="BodyText"/>
        <w:spacing w:before="6"/>
        <w:rPr>
          <w:rFonts w:ascii="Cambria"/>
          <w:sz w:val="13"/>
        </w:rPr>
      </w:pPr>
    </w:p>
    <w:p>
      <w:pPr>
        <w:pStyle w:val="BodyText"/>
        <w:spacing w:before="93"/>
        <w:ind w:left="610"/>
        <w:jc w:val="both"/>
      </w:pPr>
      <w:r>
        <w:rPr/>
        <w:t>where</w:t>
      </w:r>
      <w:r>
        <w:rPr>
          <w:spacing w:val="7"/>
        </w:rPr>
        <w:t> </w:t>
      </w:r>
      <w:r>
        <w:rPr>
          <w:b/>
          <w:i/>
        </w:rPr>
        <w:t>α</w:t>
      </w:r>
      <w:r>
        <w:rPr>
          <w:b/>
          <w:i/>
          <w:spacing w:val="15"/>
        </w:rPr>
        <w:t> </w:t>
      </w:r>
      <w:r>
        <w:rPr>
          <w:rFonts w:ascii="Garamond" w:hAnsi="Garamond"/>
        </w:rPr>
        <w:t>=</w:t>
      </w:r>
      <w:r>
        <w:rPr>
          <w:rFonts w:ascii="Garamond" w:hAnsi="Garamond"/>
          <w:spacing w:val="14"/>
        </w:rPr>
        <w:t> </w:t>
      </w:r>
      <w:r>
        <w:rPr>
          <w:rFonts w:ascii="Garamond" w:hAnsi="Garamond"/>
        </w:rPr>
        <w:t>(</w:t>
      </w:r>
      <w:r>
        <w:rPr>
          <w:rFonts w:ascii="Cambria" w:hAnsi="Cambria"/>
        </w:rPr>
        <w:t>α</w:t>
      </w:r>
      <w:r>
        <w:rPr>
          <w:rFonts w:ascii="Cambria" w:hAnsi="Cambria"/>
          <w:vertAlign w:val="subscript"/>
        </w:rPr>
        <w:t>k</w:t>
      </w:r>
      <w:r>
        <w:rPr>
          <w:rFonts w:ascii="Garamond" w:hAnsi="Garamond"/>
          <w:vertAlign w:val="baseline"/>
        </w:rPr>
        <w:t>)</w:t>
      </w:r>
      <w:r>
        <w:rPr>
          <w:rFonts w:ascii="Cambria" w:hAnsi="Cambria"/>
          <w:vertAlign w:val="subscript"/>
        </w:rPr>
        <w:t>k</w:t>
      </w:r>
      <w:r>
        <w:rPr>
          <w:rFonts w:ascii="Cambria" w:hAnsi="Cambria"/>
          <w:spacing w:val="32"/>
          <w:vertAlign w:val="baseline"/>
        </w:rPr>
        <w:t> </w:t>
      </w:r>
      <w:r>
        <w:rPr>
          <w:vertAlign w:val="baseline"/>
        </w:rPr>
        <w:t>is</w:t>
      </w:r>
      <w:r>
        <w:rPr>
          <w:spacing w:val="7"/>
          <w:vertAlign w:val="baseline"/>
        </w:rPr>
        <w:t> </w:t>
      </w:r>
      <w:r>
        <w:rPr>
          <w:vertAlign w:val="baseline"/>
        </w:rPr>
        <w:t>the</w:t>
      </w:r>
      <w:r>
        <w:rPr>
          <w:spacing w:val="7"/>
          <w:vertAlign w:val="baseline"/>
        </w:rPr>
        <w:t> </w:t>
      </w:r>
      <w:r>
        <w:rPr>
          <w:vertAlign w:val="baseline"/>
        </w:rPr>
        <w:t>vector</w:t>
      </w:r>
      <w:r>
        <w:rPr>
          <w:spacing w:val="7"/>
          <w:vertAlign w:val="baseline"/>
        </w:rPr>
        <w:t> </w:t>
      </w:r>
      <w:r>
        <w:rPr>
          <w:vertAlign w:val="baseline"/>
        </w:rPr>
        <w:t>of</w:t>
      </w:r>
      <w:r>
        <w:rPr>
          <w:spacing w:val="7"/>
          <w:vertAlign w:val="baseline"/>
        </w:rPr>
        <w:t> </w:t>
      </w:r>
      <w:r>
        <w:rPr>
          <w:vertAlign w:val="baseline"/>
        </w:rPr>
        <w:t>centre</w:t>
      </w:r>
      <w:r>
        <w:rPr>
          <w:spacing w:val="7"/>
          <w:vertAlign w:val="baseline"/>
        </w:rPr>
        <w:t> </w:t>
      </w:r>
      <w:r>
        <w:rPr>
          <w:vertAlign w:val="baseline"/>
        </w:rPr>
        <w:t>Dirichlet</w:t>
      </w:r>
      <w:r>
        <w:rPr>
          <w:spacing w:val="7"/>
          <w:vertAlign w:val="baseline"/>
        </w:rPr>
        <w:t> </w:t>
      </w:r>
      <w:r>
        <w:rPr>
          <w:vertAlign w:val="baseline"/>
        </w:rPr>
        <w:t>parameters</w:t>
      </w:r>
      <w:r>
        <w:rPr>
          <w:spacing w:val="7"/>
          <w:vertAlign w:val="baseline"/>
        </w:rPr>
        <w:t> </w:t>
      </w:r>
      <w:r>
        <w:rPr>
          <w:spacing w:val="-5"/>
          <w:vertAlign w:val="baseline"/>
        </w:rPr>
        <w:t>and</w:t>
      </w:r>
    </w:p>
    <w:p>
      <w:pPr>
        <w:pStyle w:val="BodyText"/>
        <w:spacing w:before="84"/>
        <w:ind w:left="757" w:right="538"/>
        <w:jc w:val="center"/>
        <w:rPr>
          <w:rFonts w:ascii="Cambria" w:hAnsi="Cambria"/>
        </w:rPr>
      </w:pPr>
      <w:r>
        <w:rPr>
          <w:rFonts w:ascii="Cambria" w:hAnsi="Cambria"/>
          <w:w w:val="115"/>
        </w:rPr>
        <w:t>P</w:t>
      </w:r>
      <w:r>
        <w:rPr>
          <w:rFonts w:ascii="Cambria" w:hAnsi="Cambria"/>
          <w:w w:val="115"/>
          <w:vertAlign w:val="subscript"/>
        </w:rPr>
        <w:t>k</w:t>
      </w:r>
      <w:r>
        <w:rPr>
          <w:rFonts w:ascii="Garamond" w:hAnsi="Garamond"/>
          <w:w w:val="115"/>
          <w:vertAlign w:val="baseline"/>
        </w:rPr>
        <w:t>(</w:t>
      </w:r>
      <w:r>
        <w:rPr>
          <w:rFonts w:ascii="Cambria" w:hAnsi="Cambria"/>
          <w:w w:val="115"/>
          <w:vertAlign w:val="baseline"/>
        </w:rPr>
        <w:t>s</w:t>
      </w:r>
      <w:r>
        <w:rPr>
          <w:rFonts w:ascii="Lucida Sans Unicode" w:hAnsi="Lucida Sans Unicode"/>
          <w:w w:val="115"/>
          <w:vertAlign w:val="baseline"/>
        </w:rPr>
        <w:t>|</w:t>
      </w:r>
      <w:r>
        <w:rPr>
          <w:rFonts w:ascii="Cambria" w:hAnsi="Cambria"/>
          <w:w w:val="115"/>
          <w:vertAlign w:val="baseline"/>
        </w:rPr>
        <w:t>α</w:t>
      </w:r>
      <w:r>
        <w:rPr>
          <w:rFonts w:ascii="Cambria" w:hAnsi="Cambria"/>
          <w:w w:val="115"/>
          <w:vertAlign w:val="subscript"/>
        </w:rPr>
        <w:t>k</w:t>
      </w:r>
      <w:r>
        <w:rPr>
          <w:rFonts w:ascii="Garamond" w:hAnsi="Garamond"/>
          <w:w w:val="115"/>
          <w:vertAlign w:val="baseline"/>
        </w:rPr>
        <w:t>)</w:t>
      </w:r>
      <w:r>
        <w:rPr>
          <w:rFonts w:ascii="Garamond" w:hAnsi="Garamond"/>
          <w:spacing w:val="-7"/>
          <w:w w:val="115"/>
          <w:vertAlign w:val="baseline"/>
        </w:rPr>
        <w:t> </w:t>
      </w:r>
      <w:r>
        <w:rPr>
          <w:rFonts w:ascii="Garamond" w:hAnsi="Garamond"/>
          <w:w w:val="115"/>
          <w:vertAlign w:val="baseline"/>
        </w:rPr>
        <w:t>=</w:t>
      </w:r>
      <w:r>
        <w:rPr>
          <w:rFonts w:ascii="Garamond" w:hAnsi="Garamond"/>
          <w:spacing w:val="-6"/>
          <w:w w:val="115"/>
          <w:vertAlign w:val="baseline"/>
        </w:rPr>
        <w:t> </w:t>
      </w:r>
      <w:r>
        <w:rPr>
          <w:rFonts w:ascii="Arial" w:hAnsi="Arial"/>
          <w:w w:val="135"/>
          <w:position w:val="33"/>
          <w:vertAlign w:val="baseline"/>
        </w:rPr>
        <w:t>r</w:t>
      </w:r>
      <w:r>
        <w:rPr>
          <w:rFonts w:ascii="Arial" w:hAnsi="Arial"/>
          <w:spacing w:val="47"/>
          <w:w w:val="135"/>
          <w:position w:val="33"/>
          <w:vertAlign w:val="baseline"/>
        </w:rPr>
        <w:t> </w:t>
      </w:r>
      <w:r>
        <w:rPr>
          <w:rFonts w:ascii="Cambria" w:hAnsi="Cambria"/>
          <w:spacing w:val="-2"/>
          <w:w w:val="110"/>
          <w:vertAlign w:val="baseline"/>
        </w:rPr>
        <w:t>π</w:t>
      </w:r>
      <w:r>
        <w:rPr>
          <w:rFonts w:ascii="Cambria" w:hAnsi="Cambria"/>
          <w:spacing w:val="-2"/>
          <w:w w:val="110"/>
          <w:vertAlign w:val="subscript"/>
        </w:rPr>
        <w:t>s</w:t>
      </w:r>
      <w:r>
        <w:rPr>
          <w:rFonts w:ascii="Cambria" w:hAnsi="Cambria"/>
          <w:spacing w:val="-2"/>
          <w:w w:val="110"/>
          <w:vertAlign w:val="baseline"/>
        </w:rPr>
        <w:t>p</w:t>
      </w:r>
      <w:r>
        <w:rPr>
          <w:spacing w:val="-2"/>
          <w:w w:val="110"/>
          <w:vertAlign w:val="subscript"/>
        </w:rPr>
        <w:t>Dirichlet</w:t>
      </w:r>
      <w:r>
        <w:rPr>
          <w:rFonts w:ascii="Garamond" w:hAnsi="Garamond"/>
          <w:spacing w:val="-2"/>
          <w:w w:val="110"/>
          <w:vertAlign w:val="baseline"/>
        </w:rPr>
        <w:t>(</w:t>
      </w:r>
      <w:r>
        <w:rPr>
          <w:rFonts w:ascii="Cambria" w:hAnsi="Cambria"/>
          <w:spacing w:val="-2"/>
          <w:w w:val="110"/>
          <w:vertAlign w:val="baseline"/>
        </w:rPr>
        <w:t>p</w:t>
      </w:r>
      <w:r>
        <w:rPr>
          <w:rFonts w:ascii="Lucida Sans Unicode" w:hAnsi="Lucida Sans Unicode"/>
          <w:spacing w:val="-2"/>
          <w:w w:val="110"/>
          <w:vertAlign w:val="baseline"/>
        </w:rPr>
        <w:t>|</w:t>
      </w:r>
      <w:r>
        <w:rPr>
          <w:rFonts w:ascii="Cambria" w:hAnsi="Cambria"/>
          <w:spacing w:val="-2"/>
          <w:w w:val="110"/>
          <w:vertAlign w:val="baseline"/>
        </w:rPr>
        <w:t>α</w:t>
      </w:r>
      <w:r>
        <w:rPr>
          <w:rFonts w:ascii="Cambria" w:hAnsi="Cambria"/>
          <w:spacing w:val="-2"/>
          <w:w w:val="110"/>
          <w:vertAlign w:val="subscript"/>
        </w:rPr>
        <w:t>k</w:t>
      </w:r>
      <w:r>
        <w:rPr>
          <w:rFonts w:ascii="Garamond" w:hAnsi="Garamond"/>
          <w:spacing w:val="-2"/>
          <w:w w:val="110"/>
          <w:vertAlign w:val="baseline"/>
        </w:rPr>
        <w:t>)</w:t>
      </w:r>
      <w:r>
        <w:rPr>
          <w:rFonts w:ascii="Cambria" w:hAnsi="Cambria"/>
          <w:spacing w:val="-2"/>
          <w:w w:val="110"/>
          <w:vertAlign w:val="baseline"/>
        </w:rPr>
        <w:t>dπ,</w:t>
      </w:r>
    </w:p>
    <w:p>
      <w:pPr>
        <w:pStyle w:val="BodyText"/>
        <w:spacing w:line="364" w:lineRule="exact" w:before="333"/>
        <w:ind w:left="610"/>
        <w:jc w:val="both"/>
      </w:pPr>
      <w:r>
        <w:rPr/>
        <w:t>where</w:t>
      </w:r>
      <w:r>
        <w:rPr>
          <w:spacing w:val="28"/>
        </w:rPr>
        <w:t> </w:t>
      </w:r>
      <w:r>
        <w:rPr>
          <w:rFonts w:ascii="Cambria" w:hAnsi="Cambria"/>
        </w:rPr>
        <w:t>p</w:t>
      </w:r>
      <w:r>
        <w:rPr>
          <w:vertAlign w:val="subscript"/>
        </w:rPr>
        <w:t>Dirichlet</w:t>
      </w:r>
      <w:r>
        <w:rPr>
          <w:rFonts w:ascii="Garamond" w:hAnsi="Garamond"/>
          <w:vertAlign w:val="baseline"/>
        </w:rPr>
        <w:t>(</w:t>
      </w:r>
      <w:r>
        <w:rPr>
          <w:rFonts w:ascii="Cambria" w:hAnsi="Cambria"/>
          <w:vertAlign w:val="baseline"/>
        </w:rPr>
        <w:t>π</w:t>
      </w:r>
      <w:r>
        <w:rPr>
          <w:rFonts w:ascii="Lucida Sans Unicode" w:hAnsi="Lucida Sans Unicode"/>
          <w:vertAlign w:val="baseline"/>
        </w:rPr>
        <w:t>|</w:t>
      </w:r>
      <w:r>
        <w:rPr>
          <w:rFonts w:ascii="Cambria" w:hAnsi="Cambria"/>
          <w:vertAlign w:val="baseline"/>
        </w:rPr>
        <w:t>α</w:t>
      </w:r>
      <w:r>
        <w:rPr>
          <w:rFonts w:ascii="Cambria" w:hAnsi="Cambria"/>
          <w:vertAlign w:val="subscript"/>
        </w:rPr>
        <w:t>k</w:t>
      </w:r>
      <w:r>
        <w:rPr>
          <w:rFonts w:ascii="Garamond" w:hAnsi="Garamond"/>
          <w:vertAlign w:val="baseline"/>
        </w:rPr>
        <w:t>)</w:t>
      </w:r>
      <w:r>
        <w:rPr>
          <w:rFonts w:ascii="Garamond" w:hAnsi="Garamond"/>
          <w:spacing w:val="29"/>
          <w:vertAlign w:val="baseline"/>
        </w:rPr>
        <w:t> </w:t>
      </w:r>
      <w:r>
        <w:rPr>
          <w:vertAlign w:val="baseline"/>
        </w:rPr>
        <w:t>is</w:t>
      </w:r>
      <w:r>
        <w:rPr>
          <w:spacing w:val="29"/>
          <w:vertAlign w:val="baseline"/>
        </w:rPr>
        <w:t> </w:t>
      </w:r>
      <w:r>
        <w:rPr>
          <w:vertAlign w:val="baseline"/>
        </w:rPr>
        <w:t>the</w:t>
      </w:r>
      <w:r>
        <w:rPr>
          <w:spacing w:val="29"/>
          <w:vertAlign w:val="baseline"/>
        </w:rPr>
        <w:t> </w:t>
      </w:r>
      <w:r>
        <w:rPr>
          <w:vertAlign w:val="baseline"/>
        </w:rPr>
        <w:t>density</w:t>
      </w:r>
      <w:r>
        <w:rPr>
          <w:spacing w:val="28"/>
          <w:vertAlign w:val="baseline"/>
        </w:rPr>
        <w:t> </w:t>
      </w:r>
      <w:r>
        <w:rPr>
          <w:vertAlign w:val="baseline"/>
        </w:rPr>
        <w:t>of</w:t>
      </w:r>
      <w:r>
        <w:rPr>
          <w:spacing w:val="29"/>
          <w:vertAlign w:val="baseline"/>
        </w:rPr>
        <w:t> </w:t>
      </w:r>
      <w:r>
        <w:rPr>
          <w:vertAlign w:val="baseline"/>
        </w:rPr>
        <w:t>Dirichlet</w:t>
      </w:r>
      <w:r>
        <w:rPr>
          <w:spacing w:val="29"/>
          <w:vertAlign w:val="baseline"/>
        </w:rPr>
        <w:t> </w:t>
      </w:r>
      <w:r>
        <w:rPr>
          <w:vertAlign w:val="baseline"/>
        </w:rPr>
        <w:t>distribution</w:t>
      </w:r>
      <w:r>
        <w:rPr>
          <w:spacing w:val="29"/>
          <w:vertAlign w:val="baseline"/>
        </w:rPr>
        <w:t> </w:t>
      </w:r>
      <w:r>
        <w:rPr>
          <w:vertAlign w:val="baseline"/>
        </w:rPr>
        <w:t>with</w:t>
      </w:r>
      <w:r>
        <w:rPr>
          <w:spacing w:val="29"/>
          <w:vertAlign w:val="baseline"/>
        </w:rPr>
        <w:t> </w:t>
      </w:r>
      <w:r>
        <w:rPr>
          <w:vertAlign w:val="baseline"/>
        </w:rPr>
        <w:t>parameter</w:t>
      </w:r>
      <w:r>
        <w:rPr>
          <w:spacing w:val="28"/>
          <w:vertAlign w:val="baseline"/>
        </w:rPr>
        <w:t> </w:t>
      </w:r>
      <w:r>
        <w:rPr>
          <w:rFonts w:ascii="Cambria" w:hAnsi="Cambria"/>
          <w:vertAlign w:val="baseline"/>
        </w:rPr>
        <w:t>α</w:t>
      </w:r>
      <w:r>
        <w:rPr>
          <w:rFonts w:ascii="Cambria" w:hAnsi="Cambria"/>
          <w:spacing w:val="37"/>
          <w:vertAlign w:val="baseline"/>
        </w:rPr>
        <w:t> </w:t>
      </w:r>
      <w:r>
        <w:rPr>
          <w:vertAlign w:val="baseline"/>
        </w:rPr>
        <w:t>at</w:t>
      </w:r>
      <w:r>
        <w:rPr>
          <w:spacing w:val="29"/>
          <w:vertAlign w:val="baseline"/>
        </w:rPr>
        <w:t> </w:t>
      </w:r>
      <w:r>
        <w:rPr>
          <w:spacing w:val="-2"/>
          <w:vertAlign w:val="baseline"/>
        </w:rPr>
        <w:t>point</w:t>
      </w:r>
    </w:p>
    <w:p>
      <w:pPr>
        <w:pStyle w:val="BodyText"/>
        <w:spacing w:line="364" w:lineRule="exact"/>
        <w:ind w:left="610"/>
        <w:jc w:val="both"/>
      </w:pPr>
      <w:r>
        <w:rPr>
          <w:rFonts w:ascii="Cambria" w:hAnsi="Cambria"/>
          <w:w w:val="110"/>
        </w:rPr>
        <w:t>π</w:t>
      </w:r>
      <w:r>
        <w:rPr>
          <w:rFonts w:ascii="Cambria" w:hAnsi="Cambria"/>
          <w:spacing w:val="-10"/>
          <w:w w:val="110"/>
        </w:rPr>
        <w:t> </w:t>
      </w:r>
      <w:r>
        <w:rPr>
          <w:rFonts w:ascii="Lucida Sans Unicode" w:hAnsi="Lucida Sans Unicode"/>
          <w:w w:val="110"/>
        </w:rPr>
        <w:t>∈</w:t>
      </w:r>
      <w:r>
        <w:rPr>
          <w:rFonts w:ascii="Lucida Sans Unicode" w:hAnsi="Lucida Sans Unicode"/>
          <w:spacing w:val="-21"/>
          <w:w w:val="110"/>
        </w:rPr>
        <w:t> </w:t>
      </w:r>
      <w:r>
        <w:rPr>
          <w:rFonts w:ascii="Lucida Sans Unicode" w:hAnsi="Lucida Sans Unicode"/>
          <w:w w:val="110"/>
        </w:rPr>
        <w:t>{</w:t>
      </w:r>
      <w:r>
        <w:rPr>
          <w:rFonts w:ascii="Garamond" w:hAnsi="Garamond"/>
          <w:w w:val="110"/>
        </w:rPr>
        <w:t>(</w:t>
      </w:r>
      <w:r>
        <w:rPr>
          <w:rFonts w:ascii="Cambria" w:hAnsi="Cambria"/>
          <w:w w:val="110"/>
        </w:rPr>
        <w:t>π</w:t>
      </w:r>
      <w:r>
        <w:rPr>
          <w:rFonts w:ascii="Georgia" w:hAnsi="Georgia"/>
          <w:w w:val="110"/>
          <w:vertAlign w:val="subscript"/>
        </w:rPr>
        <w:t>1</w:t>
      </w:r>
      <w:r>
        <w:rPr>
          <w:rFonts w:ascii="Cambria" w:hAnsi="Cambria"/>
          <w:w w:val="110"/>
          <w:vertAlign w:val="baseline"/>
        </w:rPr>
        <w:t>,</w:t>
      </w:r>
      <w:r>
        <w:rPr>
          <w:rFonts w:ascii="Cambria" w:hAnsi="Cambria"/>
          <w:spacing w:val="-18"/>
          <w:w w:val="110"/>
          <w:vertAlign w:val="baseline"/>
        </w:rPr>
        <w:t> </w:t>
      </w:r>
      <w:r>
        <w:rPr>
          <w:rFonts w:ascii="Cambria" w:hAnsi="Cambria"/>
          <w:w w:val="110"/>
          <w:vertAlign w:val="baseline"/>
        </w:rPr>
        <w:t>.</w:t>
      </w:r>
      <w:r>
        <w:rPr>
          <w:rFonts w:ascii="Cambria" w:hAnsi="Cambria"/>
          <w:spacing w:val="-18"/>
          <w:w w:val="110"/>
          <w:vertAlign w:val="baseline"/>
        </w:rPr>
        <w:t> </w:t>
      </w:r>
      <w:r>
        <w:rPr>
          <w:rFonts w:ascii="Cambria" w:hAnsi="Cambria"/>
          <w:w w:val="110"/>
          <w:vertAlign w:val="baseline"/>
        </w:rPr>
        <w:t>.</w:t>
      </w:r>
      <w:r>
        <w:rPr>
          <w:rFonts w:ascii="Cambria" w:hAnsi="Cambria"/>
          <w:spacing w:val="-19"/>
          <w:w w:val="110"/>
          <w:vertAlign w:val="baseline"/>
        </w:rPr>
        <w:t> </w:t>
      </w:r>
      <w:r>
        <w:rPr>
          <w:rFonts w:ascii="Cambria" w:hAnsi="Cambria"/>
          <w:w w:val="110"/>
          <w:vertAlign w:val="baseline"/>
        </w:rPr>
        <w:t>.</w:t>
      </w:r>
      <w:r>
        <w:rPr>
          <w:rFonts w:ascii="Cambria" w:hAnsi="Cambria"/>
          <w:spacing w:val="-18"/>
          <w:w w:val="110"/>
          <w:vertAlign w:val="baseline"/>
        </w:rPr>
        <w:t> </w:t>
      </w:r>
      <w:r>
        <w:rPr>
          <w:rFonts w:ascii="Cambria" w:hAnsi="Cambria"/>
          <w:w w:val="110"/>
          <w:vertAlign w:val="baseline"/>
        </w:rPr>
        <w:t>,</w:t>
      </w:r>
      <w:r>
        <w:rPr>
          <w:rFonts w:ascii="Cambria" w:hAnsi="Cambria"/>
          <w:spacing w:val="-18"/>
          <w:w w:val="110"/>
          <w:vertAlign w:val="baseline"/>
        </w:rPr>
        <w:t> </w:t>
      </w:r>
      <w:r>
        <w:rPr>
          <w:rFonts w:ascii="Cambria" w:hAnsi="Cambria"/>
          <w:w w:val="110"/>
          <w:vertAlign w:val="baseline"/>
        </w:rPr>
        <w:t>π</w:t>
      </w:r>
      <w:r>
        <w:rPr>
          <w:rFonts w:ascii="Georgia" w:hAnsi="Georgia"/>
          <w:w w:val="110"/>
          <w:vertAlign w:val="subscript"/>
        </w:rPr>
        <w:t>5</w:t>
      </w:r>
      <w:r>
        <w:rPr>
          <w:rFonts w:ascii="Garamond" w:hAnsi="Garamond"/>
          <w:w w:val="110"/>
          <w:vertAlign w:val="baseline"/>
        </w:rPr>
        <w:t>)</w:t>
      </w:r>
      <w:r>
        <w:rPr>
          <w:rFonts w:ascii="Garamond" w:hAnsi="Garamond"/>
          <w:spacing w:val="-13"/>
          <w:w w:val="110"/>
          <w:vertAlign w:val="baseline"/>
        </w:rPr>
        <w:t> </w:t>
      </w:r>
      <w:r>
        <w:rPr>
          <w:rFonts w:ascii="Lucida Sans Unicode" w:hAnsi="Lucida Sans Unicode"/>
          <w:w w:val="110"/>
          <w:vertAlign w:val="baseline"/>
        </w:rPr>
        <w:t>∈</w:t>
      </w:r>
      <w:r>
        <w:rPr>
          <w:rFonts w:ascii="Lucida Sans Unicode" w:hAnsi="Lucida Sans Unicode"/>
          <w:spacing w:val="-21"/>
          <w:w w:val="110"/>
          <w:vertAlign w:val="baseline"/>
        </w:rPr>
        <w:t> </w:t>
      </w:r>
      <w:r>
        <w:rPr>
          <w:rFonts w:ascii="Garamond" w:hAnsi="Garamond"/>
          <w:w w:val="110"/>
          <w:vertAlign w:val="baseline"/>
        </w:rPr>
        <w:t>[0</w:t>
      </w:r>
      <w:r>
        <w:rPr>
          <w:rFonts w:ascii="Cambria" w:hAnsi="Cambria"/>
          <w:w w:val="110"/>
          <w:vertAlign w:val="baseline"/>
        </w:rPr>
        <w:t>,</w:t>
      </w:r>
      <w:r>
        <w:rPr>
          <w:rFonts w:ascii="Cambria" w:hAnsi="Cambria"/>
          <w:spacing w:val="-18"/>
          <w:w w:val="110"/>
          <w:vertAlign w:val="baseline"/>
        </w:rPr>
        <w:t> </w:t>
      </w:r>
      <w:r>
        <w:rPr>
          <w:rFonts w:ascii="Garamond" w:hAnsi="Garamond"/>
          <w:w w:val="110"/>
          <w:vertAlign w:val="baseline"/>
        </w:rPr>
        <w:t>1]</w:t>
      </w:r>
      <w:r>
        <w:rPr>
          <w:rFonts w:ascii="Georgia" w:hAnsi="Georgia"/>
          <w:w w:val="110"/>
          <w:vertAlign w:val="superscript"/>
        </w:rPr>
        <w:t>5</w:t>
      </w:r>
      <w:r>
        <w:rPr>
          <w:rFonts w:ascii="Georgia" w:hAnsi="Georgia"/>
          <w:spacing w:val="7"/>
          <w:w w:val="110"/>
          <w:vertAlign w:val="baseline"/>
        </w:rPr>
        <w:t> </w:t>
      </w:r>
      <w:r>
        <w:rPr>
          <w:rFonts w:ascii="Garamond" w:hAnsi="Garamond"/>
          <w:w w:val="110"/>
          <w:vertAlign w:val="baseline"/>
        </w:rPr>
        <w:t>:</w:t>
      </w:r>
      <w:r>
        <w:rPr>
          <w:rFonts w:ascii="Garamond" w:hAnsi="Garamond"/>
          <w:spacing w:val="50"/>
          <w:w w:val="110"/>
          <w:vertAlign w:val="baseline"/>
        </w:rPr>
        <w:t> </w:t>
      </w:r>
      <w:r>
        <w:rPr>
          <w:rFonts w:ascii="Cambria" w:hAnsi="Cambria"/>
          <w:w w:val="110"/>
          <w:vertAlign w:val="baseline"/>
        </w:rPr>
        <w:t>π</w:t>
      </w:r>
      <w:r>
        <w:rPr>
          <w:rFonts w:ascii="Georgia" w:hAnsi="Georgia"/>
          <w:w w:val="110"/>
          <w:vertAlign w:val="subscript"/>
        </w:rPr>
        <w:t>1</w:t>
      </w:r>
      <w:r>
        <w:rPr>
          <w:rFonts w:ascii="Georgia" w:hAnsi="Georgia"/>
          <w:spacing w:val="-5"/>
          <w:w w:val="110"/>
          <w:vertAlign w:val="baseline"/>
        </w:rPr>
        <w:t> </w:t>
      </w:r>
      <w:r>
        <w:rPr>
          <w:rFonts w:ascii="Garamond" w:hAnsi="Garamond"/>
          <w:w w:val="110"/>
          <w:vertAlign w:val="baseline"/>
        </w:rPr>
        <w:t>+</w:t>
      </w:r>
      <w:r>
        <w:rPr>
          <w:rFonts w:ascii="Garamond" w:hAnsi="Garamond"/>
          <w:spacing w:val="-17"/>
          <w:w w:val="110"/>
          <w:vertAlign w:val="baseline"/>
        </w:rPr>
        <w:t> </w:t>
      </w:r>
      <w:r>
        <w:rPr>
          <w:rFonts w:ascii="Cambria" w:hAnsi="Cambria"/>
          <w:w w:val="110"/>
          <w:vertAlign w:val="baseline"/>
        </w:rPr>
        <w:t>.</w:t>
      </w:r>
      <w:r>
        <w:rPr>
          <w:rFonts w:ascii="Cambria" w:hAnsi="Cambria"/>
          <w:spacing w:val="-18"/>
          <w:w w:val="110"/>
          <w:vertAlign w:val="baseline"/>
        </w:rPr>
        <w:t> </w:t>
      </w:r>
      <w:r>
        <w:rPr>
          <w:rFonts w:ascii="Cambria" w:hAnsi="Cambria"/>
          <w:w w:val="110"/>
          <w:vertAlign w:val="baseline"/>
        </w:rPr>
        <w:t>.</w:t>
      </w:r>
      <w:r>
        <w:rPr>
          <w:rFonts w:ascii="Cambria" w:hAnsi="Cambria"/>
          <w:spacing w:val="-18"/>
          <w:w w:val="110"/>
          <w:vertAlign w:val="baseline"/>
        </w:rPr>
        <w:t> </w:t>
      </w:r>
      <w:r>
        <w:rPr>
          <w:rFonts w:ascii="Cambria" w:hAnsi="Cambria"/>
          <w:w w:val="110"/>
          <w:vertAlign w:val="baseline"/>
        </w:rPr>
        <w:t>.</w:t>
      </w:r>
      <w:r>
        <w:rPr>
          <w:rFonts w:ascii="Cambria" w:hAnsi="Cambria"/>
          <w:spacing w:val="-10"/>
          <w:w w:val="110"/>
          <w:vertAlign w:val="baseline"/>
        </w:rPr>
        <w:t> </w:t>
      </w:r>
      <w:r>
        <w:rPr>
          <w:rFonts w:ascii="Garamond" w:hAnsi="Garamond"/>
          <w:w w:val="110"/>
          <w:vertAlign w:val="baseline"/>
        </w:rPr>
        <w:t>+</w:t>
      </w:r>
      <w:r>
        <w:rPr>
          <w:rFonts w:ascii="Garamond" w:hAnsi="Garamond"/>
          <w:spacing w:val="-16"/>
          <w:w w:val="110"/>
          <w:vertAlign w:val="baseline"/>
        </w:rPr>
        <w:t> </w:t>
      </w:r>
      <w:r>
        <w:rPr>
          <w:rFonts w:ascii="Cambria" w:hAnsi="Cambria"/>
          <w:w w:val="110"/>
          <w:vertAlign w:val="baseline"/>
        </w:rPr>
        <w:t>π</w:t>
      </w:r>
      <w:r>
        <w:rPr>
          <w:rFonts w:ascii="Georgia" w:hAnsi="Georgia"/>
          <w:w w:val="110"/>
          <w:vertAlign w:val="subscript"/>
        </w:rPr>
        <w:t>5</w:t>
      </w:r>
      <w:r>
        <w:rPr>
          <w:rFonts w:ascii="Georgia" w:hAnsi="Georgia"/>
          <w:spacing w:val="6"/>
          <w:w w:val="110"/>
          <w:vertAlign w:val="baseline"/>
        </w:rPr>
        <w:t> </w:t>
      </w:r>
      <w:r>
        <w:rPr>
          <w:rFonts w:ascii="Garamond" w:hAnsi="Garamond"/>
          <w:w w:val="110"/>
          <w:vertAlign w:val="baseline"/>
        </w:rPr>
        <w:t>=</w:t>
      </w:r>
      <w:r>
        <w:rPr>
          <w:rFonts w:ascii="Garamond" w:hAnsi="Garamond"/>
          <w:spacing w:val="-5"/>
          <w:w w:val="110"/>
          <w:vertAlign w:val="baseline"/>
        </w:rPr>
        <w:t> 1</w:t>
      </w:r>
      <w:r>
        <w:rPr>
          <w:rFonts w:ascii="Lucida Sans Unicode" w:hAnsi="Lucida Sans Unicode"/>
          <w:spacing w:val="-5"/>
          <w:w w:val="110"/>
          <w:vertAlign w:val="baseline"/>
        </w:rPr>
        <w:t>}</w:t>
      </w:r>
      <w:r>
        <w:rPr>
          <w:spacing w:val="-5"/>
          <w:w w:val="110"/>
          <w:vertAlign w:val="baseline"/>
        </w:rPr>
        <w:t>.</w:t>
      </w:r>
    </w:p>
    <w:p>
      <w:pPr>
        <w:pStyle w:val="BodyText"/>
        <w:spacing w:line="261" w:lineRule="auto" w:before="25"/>
        <w:ind w:left="610" w:right="389" w:firstLine="351"/>
        <w:jc w:val="both"/>
      </w:pPr>
      <w:r>
        <w:rPr/>
        <w:t>With the above notation,</w:t>
      </w:r>
      <w:r>
        <w:rPr>
          <w:spacing w:val="26"/>
        </w:rPr>
        <w:t> </w:t>
      </w:r>
      <w:r>
        <w:rPr/>
        <w:t>the prior is </w:t>
      </w:r>
      <w:r>
        <w:rPr>
          <w:rFonts w:ascii="Cambria" w:hAnsi="Cambria"/>
        </w:rPr>
        <w:t>α</w:t>
      </w:r>
      <w:r>
        <w:rPr>
          <w:rFonts w:ascii="Cambria" w:hAnsi="Cambria"/>
          <w:vertAlign w:val="subscript"/>
        </w:rPr>
        <w:t>k</w:t>
      </w:r>
      <w:r>
        <w:rPr>
          <w:rFonts w:ascii="Cambria" w:hAnsi="Cambria"/>
          <w:spacing w:val="40"/>
          <w:vertAlign w:val="baseline"/>
        </w:rPr>
        <w:t> </w:t>
      </w:r>
      <w:r>
        <w:rPr>
          <w:rFonts w:ascii="Garamond" w:hAnsi="Garamond"/>
          <w:vertAlign w:val="baseline"/>
        </w:rPr>
        <w:t>=</w:t>
      </w:r>
      <w:r>
        <w:rPr>
          <w:rFonts w:ascii="Garamond" w:hAnsi="Garamond"/>
          <w:spacing w:val="40"/>
          <w:vertAlign w:val="baseline"/>
        </w:rPr>
        <w:t> </w:t>
      </w:r>
      <w:r>
        <w:rPr>
          <w:rFonts w:ascii="Cambria" w:hAnsi="Cambria"/>
          <w:vertAlign w:val="baseline"/>
        </w:rPr>
        <w:t>α</w:t>
      </w:r>
      <w:r>
        <w:rPr>
          <w:rFonts w:ascii="Cambria" w:hAnsi="Cambria"/>
          <w:spacing w:val="28"/>
          <w:vertAlign w:val="baseline"/>
        </w:rPr>
        <w:t> </w:t>
      </w:r>
      <w:r>
        <w:rPr>
          <w:vertAlign w:val="baseline"/>
        </w:rPr>
        <w:t>for all </w:t>
      </w:r>
      <w:r>
        <w:rPr>
          <w:rFonts w:ascii="Cambria" w:hAnsi="Cambria"/>
          <w:vertAlign w:val="baseline"/>
        </w:rPr>
        <w:t>k</w:t>
      </w:r>
      <w:r>
        <w:rPr>
          <w:vertAlign w:val="baseline"/>
        </w:rPr>
        <w:t>;</w:t>
      </w:r>
      <w:r>
        <w:rPr>
          <w:spacing w:val="30"/>
          <w:vertAlign w:val="baseline"/>
        </w:rPr>
        <w:t> </w:t>
      </w:r>
      <w:r>
        <w:rPr>
          <w:vertAlign w:val="baseline"/>
        </w:rPr>
        <w:t>the posterior distribution is the distribution of </w:t>
      </w:r>
      <w:r>
        <w:rPr>
          <w:rFonts w:ascii="Cambria" w:hAnsi="Cambria"/>
          <w:vertAlign w:val="baseline"/>
        </w:rPr>
        <w:t>p</w:t>
      </w:r>
      <w:r>
        <w:rPr>
          <w:rFonts w:ascii="Garamond" w:hAnsi="Garamond"/>
          <w:vertAlign w:val="baseline"/>
        </w:rPr>
        <w:t>(</w:t>
      </w:r>
      <w:r>
        <w:rPr>
          <w:rFonts w:ascii="Georgia" w:hAnsi="Georgia"/>
          <w:b/>
          <w:vertAlign w:val="baseline"/>
        </w:rPr>
        <w:t>(</w:t>
      </w:r>
      <w:r>
        <w:rPr>
          <w:rFonts w:ascii="Cambria" w:hAnsi="Cambria"/>
          <w:vertAlign w:val="baseline"/>
        </w:rPr>
        <w:t>α</w:t>
      </w:r>
      <w:r>
        <w:rPr>
          <w:rFonts w:ascii="Garamond" w:hAnsi="Garamond"/>
          <w:vertAlign w:val="baseline"/>
        </w:rPr>
        <w:t>)</w:t>
      </w:r>
      <w:r>
        <w:rPr>
          <w:rFonts w:ascii="Lucida Sans Unicode" w:hAnsi="Lucida Sans Unicode"/>
          <w:vertAlign w:val="baseline"/>
        </w:rPr>
        <w:t>|</w:t>
      </w:r>
      <w:r>
        <w:rPr>
          <w:rFonts w:ascii="Cambria" w:hAnsi="Cambria"/>
          <w:vertAlign w:val="baseline"/>
        </w:rPr>
        <w:t>D</w:t>
      </w:r>
      <w:r>
        <w:rPr>
          <w:rFonts w:ascii="Garamond" w:hAnsi="Garamond"/>
          <w:vertAlign w:val="baseline"/>
        </w:rPr>
        <w:t>)</w:t>
      </w:r>
      <w:r>
        <w:rPr>
          <w:vertAlign w:val="baseline"/>
        </w:rPr>
        <w:t>. It is intractable as each observation influences 4 centres (in the field</w:t>
      </w:r>
      <w:r>
        <w:rPr>
          <w:spacing w:val="-1"/>
          <w:vertAlign w:val="baseline"/>
        </w:rPr>
        <w:t> </w:t>
      </w:r>
      <w:r>
        <w:rPr>
          <w:vertAlign w:val="baseline"/>
        </w:rPr>
        <w:t>of play)</w:t>
      </w:r>
      <w:r>
        <w:rPr>
          <w:spacing w:val="1"/>
          <w:vertAlign w:val="baseline"/>
        </w:rPr>
        <w:t> </w:t>
      </w:r>
      <w:r>
        <w:rPr>
          <w:vertAlign w:val="baseline"/>
        </w:rPr>
        <w:t>or 2 centres (in the try</w:t>
      </w:r>
      <w:r>
        <w:rPr>
          <w:spacing w:val="1"/>
          <w:vertAlign w:val="baseline"/>
        </w:rPr>
        <w:t> </w:t>
      </w:r>
      <w:r>
        <w:rPr>
          <w:vertAlign w:val="baseline"/>
        </w:rPr>
        <w:t>area),</w:t>
      </w:r>
      <w:r>
        <w:rPr>
          <w:spacing w:val="2"/>
          <w:vertAlign w:val="baseline"/>
        </w:rPr>
        <w:t> </w:t>
      </w:r>
      <w:r>
        <w:rPr>
          <w:vertAlign w:val="baseline"/>
        </w:rPr>
        <w:t>and the weights and</w:t>
      </w:r>
      <w:r>
        <w:rPr>
          <w:spacing w:val="1"/>
          <w:vertAlign w:val="baseline"/>
        </w:rPr>
        <w:t> </w:t>
      </w:r>
      <w:r>
        <w:rPr>
          <w:vertAlign w:val="baseline"/>
        </w:rPr>
        <w:t>centres vary </w:t>
      </w:r>
      <w:r>
        <w:rPr>
          <w:spacing w:val="-2"/>
          <w:vertAlign w:val="baseline"/>
        </w:rPr>
        <w:t>between</w:t>
      </w:r>
    </w:p>
    <w:p>
      <w:pPr>
        <w:pStyle w:val="BodyText"/>
        <w:spacing w:line="312" w:lineRule="auto" w:before="60"/>
        <w:ind w:left="610" w:right="389"/>
        <w:jc w:val="both"/>
      </w:pPr>
      <w:r>
        <w:rPr/>
        <w:t>observations. Therefore,</w:t>
      </w:r>
      <w:r>
        <w:rPr>
          <w:spacing w:val="-4"/>
        </w:rPr>
        <w:t> </w:t>
      </w:r>
      <w:r>
        <w:rPr/>
        <w:t>Markov</w:t>
      </w:r>
      <w:r>
        <w:rPr>
          <w:spacing w:val="-5"/>
        </w:rPr>
        <w:t> </w:t>
      </w:r>
      <w:r>
        <w:rPr/>
        <w:t>Chain</w:t>
      </w:r>
      <w:r>
        <w:rPr>
          <w:spacing w:val="-5"/>
        </w:rPr>
        <w:t> </w:t>
      </w:r>
      <w:r>
        <w:rPr/>
        <w:t>Monte</w:t>
      </w:r>
      <w:r>
        <w:rPr>
          <w:spacing w:val="-5"/>
        </w:rPr>
        <w:t> </w:t>
      </w:r>
      <w:r>
        <w:rPr/>
        <w:t>Carlo</w:t>
      </w:r>
      <w:r>
        <w:rPr>
          <w:spacing w:val="-5"/>
        </w:rPr>
        <w:t> </w:t>
      </w:r>
      <w:r>
        <w:rPr/>
        <w:t>(MCMC)</w:t>
      </w:r>
      <w:r>
        <w:rPr>
          <w:spacing w:val="-5"/>
        </w:rPr>
        <w:t> </w:t>
      </w:r>
      <w:r>
        <w:rPr/>
        <w:t>sampling</w:t>
      </w:r>
      <w:r>
        <w:rPr>
          <w:spacing w:val="-5"/>
        </w:rPr>
        <w:t> </w:t>
      </w:r>
      <w:r>
        <w:rPr/>
        <w:t>was</w:t>
      </w:r>
      <w:r>
        <w:rPr>
          <w:spacing w:val="-5"/>
        </w:rPr>
        <w:t> </w:t>
      </w:r>
      <w:r>
        <w:rPr/>
        <w:t>used</w:t>
      </w:r>
      <w:r>
        <w:rPr>
          <w:spacing w:val="-5"/>
        </w:rPr>
        <w:t> </w:t>
      </w:r>
      <w:r>
        <w:rPr/>
        <w:t>to</w:t>
      </w:r>
      <w:r>
        <w:rPr>
          <w:spacing w:val="-5"/>
        </w:rPr>
        <w:t> </w:t>
      </w:r>
      <w:r>
        <w:rPr/>
        <w:t>es- timate</w:t>
      </w:r>
      <w:r>
        <w:rPr>
          <w:spacing w:val="-15"/>
        </w:rPr>
        <w:t> </w:t>
      </w:r>
      <w:r>
        <w:rPr/>
        <w:t>the</w:t>
      </w:r>
      <w:r>
        <w:rPr>
          <w:spacing w:val="-15"/>
        </w:rPr>
        <w:t> </w:t>
      </w:r>
      <w:r>
        <w:rPr/>
        <w:t>probabilities</w:t>
      </w:r>
      <w:r>
        <w:rPr>
          <w:spacing w:val="-15"/>
        </w:rPr>
        <w:t> </w:t>
      </w:r>
      <w:r>
        <w:rPr/>
        <w:t>at</w:t>
      </w:r>
      <w:r>
        <w:rPr>
          <w:spacing w:val="-15"/>
        </w:rPr>
        <w:t> </w:t>
      </w:r>
      <w:r>
        <w:rPr/>
        <w:t>each</w:t>
      </w:r>
      <w:r>
        <w:rPr>
          <w:spacing w:val="-15"/>
        </w:rPr>
        <w:t> </w:t>
      </w:r>
      <w:r>
        <w:rPr/>
        <w:t>centre.</w:t>
      </w:r>
      <w:r>
        <w:rPr>
          <w:spacing w:val="3"/>
        </w:rPr>
        <w:t> </w:t>
      </w:r>
      <w:r>
        <w:rPr/>
        <w:t>MCMC</w:t>
      </w:r>
      <w:r>
        <w:rPr>
          <w:spacing w:val="-15"/>
        </w:rPr>
        <w:t> </w:t>
      </w:r>
      <w:r>
        <w:rPr/>
        <w:t>sampling</w:t>
      </w:r>
      <w:r>
        <w:rPr>
          <w:spacing w:val="-15"/>
        </w:rPr>
        <w:t> </w:t>
      </w:r>
      <w:r>
        <w:rPr/>
        <w:t>methods</w:t>
      </w:r>
      <w:r>
        <w:rPr>
          <w:spacing w:val="-15"/>
        </w:rPr>
        <w:t> </w:t>
      </w:r>
      <w:r>
        <w:rPr/>
        <w:t>allow</w:t>
      </w:r>
      <w:r>
        <w:rPr>
          <w:spacing w:val="-15"/>
        </w:rPr>
        <w:t> </w:t>
      </w:r>
      <w:r>
        <w:rPr/>
        <w:t>for</w:t>
      </w:r>
      <w:r>
        <w:rPr>
          <w:spacing w:val="-15"/>
        </w:rPr>
        <w:t> </w:t>
      </w:r>
      <w:r>
        <w:rPr/>
        <w:t>the</w:t>
      </w:r>
      <w:r>
        <w:rPr>
          <w:spacing w:val="-15"/>
        </w:rPr>
        <w:t> </w:t>
      </w:r>
      <w:r>
        <w:rPr/>
        <w:t>systematic random</w:t>
      </w:r>
      <w:r>
        <w:rPr>
          <w:spacing w:val="-15"/>
        </w:rPr>
        <w:t> </w:t>
      </w:r>
      <w:r>
        <w:rPr/>
        <w:t>sampling</w:t>
      </w:r>
      <w:r>
        <w:rPr>
          <w:spacing w:val="-15"/>
        </w:rPr>
        <w:t> </w:t>
      </w:r>
      <w:r>
        <w:rPr/>
        <w:t>from</w:t>
      </w:r>
      <w:r>
        <w:rPr>
          <w:spacing w:val="-15"/>
        </w:rPr>
        <w:t> </w:t>
      </w:r>
      <w:r>
        <w:rPr/>
        <w:t>high</w:t>
      </w:r>
      <w:r>
        <w:rPr>
          <w:spacing w:val="-15"/>
        </w:rPr>
        <w:t> </w:t>
      </w:r>
      <w:r>
        <w:rPr/>
        <w:t>dimensional</w:t>
      </w:r>
      <w:r>
        <w:rPr>
          <w:spacing w:val="-15"/>
        </w:rPr>
        <w:t> </w:t>
      </w:r>
      <w:r>
        <w:rPr/>
        <w:t>probability</w:t>
      </w:r>
      <w:r>
        <w:rPr>
          <w:spacing w:val="-15"/>
        </w:rPr>
        <w:t> </w:t>
      </w:r>
      <w:r>
        <w:rPr/>
        <w:t>distributions</w:t>
      </w:r>
      <w:r>
        <w:rPr>
          <w:spacing w:val="-15"/>
        </w:rPr>
        <w:t> </w:t>
      </w:r>
      <w:r>
        <w:rPr/>
        <w:t>and</w:t>
      </w:r>
      <w:r>
        <w:rPr>
          <w:spacing w:val="-15"/>
        </w:rPr>
        <w:t> </w:t>
      </w:r>
      <w:r>
        <w:rPr/>
        <w:t>those</w:t>
      </w:r>
      <w:r>
        <w:rPr>
          <w:spacing w:val="-15"/>
        </w:rPr>
        <w:t> </w:t>
      </w:r>
      <w:r>
        <w:rPr/>
        <w:t>samples</w:t>
      </w:r>
      <w:r>
        <w:rPr>
          <w:spacing w:val="-15"/>
        </w:rPr>
        <w:t> </w:t>
      </w:r>
      <w:r>
        <w:rPr/>
        <w:t>were used to draw conclusions on the posterior distribution of probabilities on the pitch.</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6"/>
        <w:rPr>
          <w:sz w:val="20"/>
        </w:rPr>
      </w:pPr>
    </w:p>
    <w:p>
      <w:pPr>
        <w:pStyle w:val="Heading4"/>
        <w:numPr>
          <w:ilvl w:val="3"/>
          <w:numId w:val="24"/>
        </w:numPr>
        <w:tabs>
          <w:tab w:pos="1508" w:val="left" w:leader="none"/>
        </w:tabs>
        <w:spacing w:line="240" w:lineRule="auto" w:before="106" w:after="0"/>
        <w:ind w:left="1507" w:right="0" w:hanging="898"/>
        <w:jc w:val="both"/>
      </w:pPr>
      <w:bookmarkStart w:name="_TOC_250009" w:id="314"/>
      <w:bookmarkStart w:name="6.2.3.1 Centre Weights" w:id="315"/>
      <w:r>
        <w:rPr>
          <w:b w:val="0"/>
        </w:rPr>
      </w:r>
      <w:bookmarkStart w:name="_bookmark182" w:id="316"/>
      <w:bookmarkEnd w:id="316"/>
      <w:r>
        <w:rPr/>
        <w:t>Cent</w:t>
      </w:r>
      <w:r>
        <w:rPr/>
        <w:t>re</w:t>
      </w:r>
      <w:r>
        <w:rPr>
          <w:spacing w:val="-14"/>
        </w:rPr>
        <w:t> </w:t>
      </w:r>
      <w:bookmarkEnd w:id="314"/>
      <w:r>
        <w:rPr>
          <w:spacing w:val="-2"/>
        </w:rPr>
        <w:t>Weights</w:t>
      </w:r>
    </w:p>
    <w:p>
      <w:pPr>
        <w:pStyle w:val="BodyText"/>
        <w:spacing w:line="309" w:lineRule="auto" w:before="244"/>
        <w:ind w:left="610" w:right="433"/>
      </w:pPr>
      <w:r>
        <w:rPr/>
        <w:t>Within a Bayesian</w:t>
      </w:r>
      <w:r>
        <w:rPr>
          <w:spacing w:val="21"/>
        </w:rPr>
        <w:t> </w:t>
      </w:r>
      <w:r>
        <w:rPr/>
        <w:t>Mixture</w:t>
      </w:r>
      <w:r>
        <w:rPr>
          <w:spacing w:val="21"/>
        </w:rPr>
        <w:t> </w:t>
      </w:r>
      <w:r>
        <w:rPr/>
        <w:t>Model approach,</w:t>
      </w:r>
      <w:r>
        <w:rPr>
          <w:spacing w:val="27"/>
        </w:rPr>
        <w:t> </w:t>
      </w:r>
      <w:r>
        <w:rPr/>
        <w:t>a</w:t>
      </w:r>
      <w:r>
        <w:rPr>
          <w:spacing w:val="21"/>
        </w:rPr>
        <w:t> </w:t>
      </w:r>
      <w:r>
        <w:rPr/>
        <w:t>set of centres are defined on</w:t>
      </w:r>
      <w:r>
        <w:rPr>
          <w:spacing w:val="21"/>
        </w:rPr>
        <w:t> </w:t>
      </w:r>
      <w:r>
        <w:rPr/>
        <w:t>the pitch, through which the data is aggregated using a set of weights.</w:t>
      </w:r>
      <w:r>
        <w:rPr>
          <w:spacing w:val="28"/>
        </w:rPr>
        <w:t> </w:t>
      </w:r>
      <w:r>
        <w:rPr/>
        <w:t>Previous EPV models </w:t>
      </w:r>
      <w:r>
        <w:rPr/>
        <w:t>have aggregated </w:t>
      </w:r>
      <w:r>
        <w:rPr>
          <w:rFonts w:ascii="Cambria" w:hAnsi="Cambria"/>
        </w:rPr>
        <w:t>x,</w:t>
      </w:r>
      <w:r>
        <w:rPr>
          <w:rFonts w:ascii="Cambria" w:hAnsi="Cambria"/>
          <w:spacing w:val="-3"/>
        </w:rPr>
        <w:t> </w:t>
      </w:r>
      <w:r>
        <w:rPr>
          <w:rFonts w:ascii="Cambria" w:hAnsi="Cambria"/>
        </w:rPr>
        <w:t>y </w:t>
      </w:r>
      <w:r>
        <w:rPr/>
        <w:t>locations on the pitch into zones (Chapters</w:t>
      </w:r>
      <w:r>
        <w:rPr>
          <w:color w:val="0000FF"/>
        </w:rPr>
        <w:t>3</w:t>
      </w:r>
      <w:r>
        <w:rPr/>
        <w:t>and</w:t>
      </w:r>
      <w:r>
        <w:rPr>
          <w:color w:val="0000FF"/>
        </w:rPr>
        <w:t>4</w:t>
      </w:r>
      <w:r>
        <w:rPr/>
        <w:t>;</w:t>
      </w:r>
      <w:r>
        <w:rPr>
          <w:color w:val="FF0000"/>
        </w:rPr>
        <w:t>Cerv</w:t>
      </w:r>
      <w:hyperlink w:history="true" w:anchor="_bookmark231">
        <w:r>
          <w:rPr>
            <w:color w:val="FF0000"/>
          </w:rPr>
          <w:t>one et al.</w:t>
        </w:r>
        <w:r>
          <w:rPr/>
          <w:t>(</w:t>
        </w:r>
      </w:hyperlink>
      <w:r>
        <w:rPr>
          <w:color w:val="FF0000"/>
        </w:rPr>
        <w:t>2016</w:t>
      </w:r>
      <w:hyperlink w:history="true" w:anchor="_bookmark231">
        <w:r>
          <w:rPr/>
          <w:t>);</w:t>
        </w:r>
      </w:hyperlink>
      <w:r>
        <w:rPr/>
        <w:t> </w:t>
      </w:r>
      <w:hyperlink w:history="true" w:anchor="_bookmark263">
        <w:r>
          <w:rPr>
            <w:color w:val="FF0000"/>
          </w:rPr>
          <w:t>Kempton et al.</w:t>
        </w:r>
      </w:hyperlink>
      <w:r>
        <w:rPr/>
        <w:t>(</w:t>
      </w:r>
      <w:hyperlink w:history="true" w:anchor="_bookmark263">
        <w:r>
          <w:rPr>
            <w:color w:val="FF0000"/>
          </w:rPr>
          <w:t>2016</w:t>
        </w:r>
      </w:hyperlink>
      <w:r>
        <w:rPr/>
        <w:t>);</w:t>
      </w:r>
      <w:hyperlink w:history="true" w:anchor="_bookmark294">
        <w:r>
          <w:rPr>
            <w:color w:val="FF0000"/>
          </w:rPr>
          <w:t>Singh</w:t>
        </w:r>
        <w:r>
          <w:rPr/>
          <w:t>(</w:t>
        </w:r>
      </w:hyperlink>
      <w:r>
        <w:rPr>
          <w:color w:val="FF0000"/>
        </w:rPr>
        <w:t>n.d.</w:t>
      </w:r>
      <w:hyperlink w:history="true" w:anchor="_bookmark294">
        <w:r>
          <w:rPr/>
          <w:t>)).</w:t>
        </w:r>
      </w:hyperlink>
      <w:r>
        <w:rPr/>
        <w:t> Using a zonal approach, the data for every location within the zone is aggregated equally resulting in dichotomous “boxed” values (Figure </w:t>
      </w:r>
      <w:hyperlink w:history="true" w:anchor="_bookmark72">
        <w:r>
          <w:rPr>
            <w:color w:val="0000FF"/>
          </w:rPr>
          <w:t>3.6</w:t>
        </w:r>
      </w:hyperlink>
      <w:r>
        <w:rPr/>
        <w:t>).</w:t>
      </w:r>
      <w:r>
        <w:rPr>
          <w:spacing w:val="76"/>
        </w:rPr>
        <w:t> </w:t>
      </w:r>
      <w:r>
        <w:rPr/>
        <w:t>This aggregation is necessary to allow EPV estimates to be produced but results</w:t>
      </w:r>
      <w:r>
        <w:rPr>
          <w:spacing w:val="80"/>
        </w:rPr>
        <w:t> </w:t>
      </w:r>
      <w:r>
        <w:rPr/>
        <w:t>in situations where moving 1m from the current location could lead to an unreasonably large</w:t>
      </w:r>
      <w:r>
        <w:rPr>
          <w:spacing w:val="28"/>
        </w:rPr>
        <w:t> </w:t>
      </w:r>
      <w:r>
        <w:rPr/>
        <w:t>difference</w:t>
      </w:r>
      <w:r>
        <w:rPr>
          <w:spacing w:val="28"/>
        </w:rPr>
        <w:t> </w:t>
      </w:r>
      <w:r>
        <w:rPr/>
        <w:t>in</w:t>
      </w:r>
      <w:r>
        <w:rPr>
          <w:spacing w:val="28"/>
        </w:rPr>
        <w:t> </w:t>
      </w:r>
      <w:r>
        <w:rPr/>
        <w:t>EPV</w:t>
      </w:r>
      <w:r>
        <w:rPr>
          <w:spacing w:val="28"/>
        </w:rPr>
        <w:t> </w:t>
      </w:r>
      <w:r>
        <w:rPr/>
        <w:t>if</w:t>
      </w:r>
      <w:r>
        <w:rPr>
          <w:spacing w:val="28"/>
        </w:rPr>
        <w:t> </w:t>
      </w:r>
      <w:r>
        <w:rPr/>
        <w:t>it</w:t>
      </w:r>
      <w:r>
        <w:rPr>
          <w:spacing w:val="28"/>
        </w:rPr>
        <w:t> </w:t>
      </w:r>
      <w:r>
        <w:rPr/>
        <w:t>results</w:t>
      </w:r>
      <w:r>
        <w:rPr>
          <w:spacing w:val="28"/>
        </w:rPr>
        <w:t> </w:t>
      </w:r>
      <w:r>
        <w:rPr/>
        <w:t>in</w:t>
      </w:r>
      <w:r>
        <w:rPr>
          <w:spacing w:val="28"/>
        </w:rPr>
        <w:t> </w:t>
      </w:r>
      <w:r>
        <w:rPr/>
        <w:t>moving</w:t>
      </w:r>
      <w:r>
        <w:rPr>
          <w:spacing w:val="28"/>
        </w:rPr>
        <w:t> </w:t>
      </w:r>
      <w:r>
        <w:rPr/>
        <w:t>to</w:t>
      </w:r>
      <w:r>
        <w:rPr>
          <w:spacing w:val="28"/>
        </w:rPr>
        <w:t> </w:t>
      </w:r>
      <w:r>
        <w:rPr/>
        <w:t>a</w:t>
      </w:r>
      <w:r>
        <w:rPr>
          <w:spacing w:val="28"/>
        </w:rPr>
        <w:t> </w:t>
      </w:r>
      <w:r>
        <w:rPr/>
        <w:t>different</w:t>
      </w:r>
      <w:r>
        <w:rPr>
          <w:spacing w:val="28"/>
        </w:rPr>
        <w:t> </w:t>
      </w:r>
      <w:r>
        <w:rPr/>
        <w:t>zone.</w:t>
      </w:r>
      <w:r>
        <w:rPr>
          <w:spacing w:val="80"/>
        </w:rPr>
        <w:t> </w:t>
      </w:r>
      <w:r>
        <w:rPr/>
        <w:t>In</w:t>
      </w:r>
      <w:r>
        <w:rPr>
          <w:spacing w:val="28"/>
        </w:rPr>
        <w:t> </w:t>
      </w:r>
      <w:r>
        <w:rPr/>
        <w:t>this</w:t>
      </w:r>
      <w:r>
        <w:rPr>
          <w:spacing w:val="28"/>
        </w:rPr>
        <w:t> </w:t>
      </w:r>
      <w:r>
        <w:rPr/>
        <w:t>study,</w:t>
      </w:r>
      <w:r>
        <w:rPr>
          <w:spacing w:val="36"/>
        </w:rPr>
        <w:t> </w:t>
      </w:r>
      <w:r>
        <w:rPr/>
        <w:t>the centres can be considered analogous to the corners of zones.</w:t>
      </w:r>
      <w:r>
        <w:rPr>
          <w:spacing w:val="40"/>
        </w:rPr>
        <w:t> </w:t>
      </w:r>
      <w:r>
        <w:rPr/>
        <w:t>However, by treating the centres individually, rather than together as a zone, a custom set of unequal weightings can</w:t>
      </w:r>
      <w:r>
        <w:rPr>
          <w:spacing w:val="-2"/>
        </w:rPr>
        <w:t> </w:t>
      </w:r>
      <w:r>
        <w:rPr/>
        <w:t>be</w:t>
      </w:r>
      <w:r>
        <w:rPr>
          <w:spacing w:val="-1"/>
        </w:rPr>
        <w:t> </w:t>
      </w:r>
      <w:r>
        <w:rPr/>
        <w:t>produced, which</w:t>
      </w:r>
      <w:r>
        <w:rPr>
          <w:spacing w:val="-1"/>
        </w:rPr>
        <w:t> </w:t>
      </w:r>
      <w:r>
        <w:rPr/>
        <w:t>better</w:t>
      </w:r>
      <w:r>
        <w:rPr>
          <w:spacing w:val="-1"/>
        </w:rPr>
        <w:t> </w:t>
      </w:r>
      <w:r>
        <w:rPr/>
        <w:t>reflect</w:t>
      </w:r>
      <w:r>
        <w:rPr>
          <w:spacing w:val="-1"/>
        </w:rPr>
        <w:t> </w:t>
      </w:r>
      <w:r>
        <w:rPr/>
        <w:t>the</w:t>
      </w:r>
      <w:r>
        <w:rPr>
          <w:spacing w:val="-1"/>
        </w:rPr>
        <w:t> </w:t>
      </w:r>
      <w:r>
        <w:rPr/>
        <w:t>proximity</w:t>
      </w:r>
      <w:r>
        <w:rPr>
          <w:spacing w:val="-1"/>
        </w:rPr>
        <w:t> </w:t>
      </w:r>
      <w:r>
        <w:rPr/>
        <w:t>of</w:t>
      </w:r>
      <w:r>
        <w:rPr>
          <w:spacing w:val="-1"/>
        </w:rPr>
        <w:t> </w:t>
      </w:r>
      <w:r>
        <w:rPr/>
        <w:t>the</w:t>
      </w:r>
      <w:r>
        <w:rPr>
          <w:spacing w:val="-1"/>
        </w:rPr>
        <w:t> </w:t>
      </w:r>
      <w:r>
        <w:rPr>
          <w:rFonts w:ascii="Cambria" w:hAnsi="Cambria"/>
        </w:rPr>
        <w:t>x,</w:t>
      </w:r>
      <w:r>
        <w:rPr>
          <w:rFonts w:ascii="Cambria" w:hAnsi="Cambria"/>
          <w:spacing w:val="-14"/>
        </w:rPr>
        <w:t> </w:t>
      </w:r>
      <w:r>
        <w:rPr>
          <w:rFonts w:ascii="Cambria" w:hAnsi="Cambria"/>
        </w:rPr>
        <w:t>y </w:t>
      </w:r>
      <w:r>
        <w:rPr/>
        <w:t>location</w:t>
      </w:r>
      <w:r>
        <w:rPr>
          <w:spacing w:val="-1"/>
        </w:rPr>
        <w:t> </w:t>
      </w:r>
      <w:r>
        <w:rPr/>
        <w:t>to</w:t>
      </w:r>
      <w:r>
        <w:rPr>
          <w:spacing w:val="-1"/>
        </w:rPr>
        <w:t> </w:t>
      </w:r>
      <w:r>
        <w:rPr/>
        <w:t>the</w:t>
      </w:r>
      <w:r>
        <w:rPr>
          <w:spacing w:val="-1"/>
        </w:rPr>
        <w:t> </w:t>
      </w:r>
      <w:r>
        <w:rPr/>
        <w:t>centre. For example,</w:t>
      </w:r>
      <w:r>
        <w:rPr>
          <w:spacing w:val="14"/>
        </w:rPr>
        <w:t> </w:t>
      </w:r>
      <w:r>
        <w:rPr/>
        <w:t>suppose</w:t>
      </w:r>
      <w:r>
        <w:rPr>
          <w:spacing w:val="11"/>
        </w:rPr>
        <w:t> </w:t>
      </w:r>
      <w:r>
        <w:rPr/>
        <w:t>a</w:t>
      </w:r>
      <w:r>
        <w:rPr>
          <w:spacing w:val="11"/>
        </w:rPr>
        <w:t> </w:t>
      </w:r>
      <w:r>
        <w:rPr/>
        <w:t>location</w:t>
      </w:r>
      <w:r>
        <w:rPr>
          <w:spacing w:val="11"/>
        </w:rPr>
        <w:t> </w:t>
      </w:r>
      <w:r>
        <w:rPr/>
        <w:t>is</w:t>
      </w:r>
      <w:r>
        <w:rPr>
          <w:spacing w:val="11"/>
        </w:rPr>
        <w:t> </w:t>
      </w:r>
      <w:r>
        <w:rPr/>
        <w:t>20m</w:t>
      </w:r>
      <w:r>
        <w:rPr>
          <w:spacing w:val="11"/>
        </w:rPr>
        <w:t> </w:t>
      </w:r>
      <w:r>
        <w:rPr/>
        <w:t>away</w:t>
      </w:r>
      <w:r>
        <w:rPr>
          <w:spacing w:val="11"/>
        </w:rPr>
        <w:t> </w:t>
      </w:r>
      <w:r>
        <w:rPr/>
        <w:t>from</w:t>
      </w:r>
      <w:r>
        <w:rPr>
          <w:spacing w:val="11"/>
        </w:rPr>
        <w:t> </w:t>
      </w:r>
      <w:r>
        <w:rPr/>
        <w:t>centre</w:t>
      </w:r>
      <w:r>
        <w:rPr>
          <w:spacing w:val="11"/>
        </w:rPr>
        <w:t> </w:t>
      </w:r>
      <w:r>
        <w:rPr/>
        <w:t>1</w:t>
      </w:r>
      <w:r>
        <w:rPr>
          <w:spacing w:val="11"/>
        </w:rPr>
        <w:t> </w:t>
      </w:r>
      <w:r>
        <w:rPr/>
        <w:t>but</w:t>
      </w:r>
      <w:r>
        <w:rPr>
          <w:spacing w:val="11"/>
        </w:rPr>
        <w:t> </w:t>
      </w:r>
      <w:r>
        <w:rPr/>
        <w:t>only</w:t>
      </w:r>
      <w:r>
        <w:rPr>
          <w:spacing w:val="11"/>
        </w:rPr>
        <w:t> </w:t>
      </w:r>
      <w:r>
        <w:rPr/>
        <w:t>2m</w:t>
      </w:r>
      <w:r>
        <w:rPr>
          <w:spacing w:val="11"/>
        </w:rPr>
        <w:t> </w:t>
      </w:r>
      <w:r>
        <w:rPr/>
        <w:t>away</w:t>
      </w:r>
      <w:r>
        <w:rPr>
          <w:spacing w:val="11"/>
        </w:rPr>
        <w:t> </w:t>
      </w:r>
      <w:r>
        <w:rPr/>
        <w:t>from</w:t>
      </w:r>
      <w:r>
        <w:rPr>
          <w:spacing w:val="10"/>
        </w:rPr>
        <w:t> </w:t>
      </w:r>
      <w:r>
        <w:rPr>
          <w:spacing w:val="-2"/>
        </w:rPr>
        <w:t>centre</w:t>
      </w:r>
    </w:p>
    <w:p>
      <w:pPr>
        <w:pStyle w:val="BodyText"/>
        <w:spacing w:line="312" w:lineRule="auto" w:before="16"/>
        <w:ind w:left="610" w:right="389"/>
        <w:jc w:val="both"/>
      </w:pPr>
      <w:r>
        <w:rPr/>
        <w:t>2. Using</w:t>
      </w:r>
      <w:r>
        <w:rPr>
          <w:spacing w:val="-4"/>
        </w:rPr>
        <w:t> </w:t>
      </w:r>
      <w:r>
        <w:rPr/>
        <w:t>a</w:t>
      </w:r>
      <w:r>
        <w:rPr>
          <w:spacing w:val="-4"/>
        </w:rPr>
        <w:t> </w:t>
      </w:r>
      <w:r>
        <w:rPr/>
        <w:t>zonal</w:t>
      </w:r>
      <w:r>
        <w:rPr>
          <w:spacing w:val="-4"/>
        </w:rPr>
        <w:t> </w:t>
      </w:r>
      <w:r>
        <w:rPr/>
        <w:t>approach,</w:t>
      </w:r>
      <w:r>
        <w:rPr>
          <w:spacing w:val="-3"/>
        </w:rPr>
        <w:t> </w:t>
      </w:r>
      <w:r>
        <w:rPr/>
        <w:t>the</w:t>
      </w:r>
      <w:r>
        <w:rPr>
          <w:spacing w:val="-4"/>
        </w:rPr>
        <w:t> </w:t>
      </w:r>
      <w:r>
        <w:rPr/>
        <w:t>two</w:t>
      </w:r>
      <w:r>
        <w:rPr>
          <w:spacing w:val="-4"/>
        </w:rPr>
        <w:t> </w:t>
      </w:r>
      <w:r>
        <w:rPr/>
        <w:t>centres</w:t>
      </w:r>
      <w:r>
        <w:rPr>
          <w:spacing w:val="-4"/>
        </w:rPr>
        <w:t> </w:t>
      </w:r>
      <w:r>
        <w:rPr/>
        <w:t>would</w:t>
      </w:r>
      <w:r>
        <w:rPr>
          <w:spacing w:val="-4"/>
        </w:rPr>
        <w:t> </w:t>
      </w:r>
      <w:r>
        <w:rPr/>
        <w:t>be</w:t>
      </w:r>
      <w:r>
        <w:rPr>
          <w:spacing w:val="-4"/>
        </w:rPr>
        <w:t> </w:t>
      </w:r>
      <w:r>
        <w:rPr/>
        <w:t>equally</w:t>
      </w:r>
      <w:r>
        <w:rPr>
          <w:spacing w:val="-4"/>
        </w:rPr>
        <w:t> </w:t>
      </w:r>
      <w:r>
        <w:rPr/>
        <w:t>weighted</w:t>
      </w:r>
      <w:r>
        <w:rPr>
          <w:spacing w:val="-4"/>
        </w:rPr>
        <w:t> </w:t>
      </w:r>
      <w:r>
        <w:rPr/>
        <w:t>when</w:t>
      </w:r>
      <w:r>
        <w:rPr>
          <w:spacing w:val="-4"/>
        </w:rPr>
        <w:t> </w:t>
      </w:r>
      <w:r>
        <w:rPr/>
        <w:t>aggregating data. In</w:t>
      </w:r>
      <w:r>
        <w:rPr>
          <w:spacing w:val="-11"/>
        </w:rPr>
        <w:t> </w:t>
      </w:r>
      <w:r>
        <w:rPr/>
        <w:t>this</w:t>
      </w:r>
      <w:r>
        <w:rPr>
          <w:spacing w:val="-11"/>
        </w:rPr>
        <w:t> </w:t>
      </w:r>
      <w:r>
        <w:rPr/>
        <w:t>study,</w:t>
      </w:r>
      <w:r>
        <w:rPr>
          <w:spacing w:val="-10"/>
        </w:rPr>
        <w:t> </w:t>
      </w:r>
      <w:r>
        <w:rPr/>
        <w:t>using</w:t>
      </w:r>
      <w:r>
        <w:rPr>
          <w:spacing w:val="-11"/>
        </w:rPr>
        <w:t> </w:t>
      </w:r>
      <w:r>
        <w:rPr/>
        <w:t>linear</w:t>
      </w:r>
      <w:r>
        <w:rPr>
          <w:spacing w:val="-11"/>
        </w:rPr>
        <w:t> </w:t>
      </w:r>
      <w:r>
        <w:rPr/>
        <w:t>and</w:t>
      </w:r>
      <w:r>
        <w:rPr>
          <w:spacing w:val="-11"/>
        </w:rPr>
        <w:t> </w:t>
      </w:r>
      <w:r>
        <w:rPr/>
        <w:t>bilinear</w:t>
      </w:r>
      <w:r>
        <w:rPr>
          <w:spacing w:val="-11"/>
        </w:rPr>
        <w:t> </w:t>
      </w:r>
      <w:r>
        <w:rPr/>
        <w:t>interpolation</w:t>
      </w:r>
      <w:r>
        <w:rPr>
          <w:spacing w:val="-11"/>
        </w:rPr>
        <w:t> </w:t>
      </w:r>
      <w:r>
        <w:rPr/>
        <w:t>techniques,</w:t>
      </w:r>
      <w:r>
        <w:rPr>
          <w:spacing w:val="-10"/>
        </w:rPr>
        <w:t> </w:t>
      </w:r>
      <w:r>
        <w:rPr/>
        <w:t>centre</w:t>
      </w:r>
      <w:r>
        <w:rPr>
          <w:spacing w:val="-11"/>
        </w:rPr>
        <w:t> </w:t>
      </w:r>
      <w:r>
        <w:rPr/>
        <w:t>2</w:t>
      </w:r>
      <w:r>
        <w:rPr>
          <w:spacing w:val="-11"/>
        </w:rPr>
        <w:t> </w:t>
      </w:r>
      <w:r>
        <w:rPr/>
        <w:t>would</w:t>
      </w:r>
      <w:r>
        <w:rPr>
          <w:spacing w:val="-11"/>
        </w:rPr>
        <w:t> </w:t>
      </w:r>
      <w:r>
        <w:rPr/>
        <w:t>have a much larger weight than centre 1, reflecting the spatial proximity of the location </w:t>
      </w:r>
      <w:r>
        <w:rPr/>
        <w:t>much</w:t>
      </w:r>
      <w:r>
        <w:rPr/>
        <w:t> more accurately and allowing a smooth pitch surface to be formed.</w:t>
      </w:r>
    </w:p>
    <w:p>
      <w:pPr>
        <w:pStyle w:val="BodyText"/>
        <w:spacing w:line="256" w:lineRule="auto"/>
        <w:ind w:left="610" w:right="389" w:firstLine="351"/>
        <w:jc w:val="both"/>
      </w:pPr>
      <w:r>
        <w:rPr/>
        <w:t>After</w:t>
      </w:r>
      <w:r>
        <w:rPr>
          <w:spacing w:val="-8"/>
        </w:rPr>
        <w:t> </w:t>
      </w:r>
      <w:r>
        <w:rPr/>
        <w:t>consultation</w:t>
      </w:r>
      <w:r>
        <w:rPr>
          <w:spacing w:val="-8"/>
        </w:rPr>
        <w:t> </w:t>
      </w:r>
      <w:r>
        <w:rPr/>
        <w:t>with</w:t>
      </w:r>
      <w:r>
        <w:rPr>
          <w:spacing w:val="-8"/>
        </w:rPr>
        <w:t> </w:t>
      </w:r>
      <w:r>
        <w:rPr/>
        <w:t>professional</w:t>
      </w:r>
      <w:r>
        <w:rPr>
          <w:spacing w:val="-8"/>
        </w:rPr>
        <w:t> </w:t>
      </w:r>
      <w:r>
        <w:rPr/>
        <w:t>experts,</w:t>
      </w:r>
      <w:r>
        <w:rPr>
          <w:spacing w:val="-8"/>
        </w:rPr>
        <w:t> </w:t>
      </w:r>
      <w:r>
        <w:rPr/>
        <w:t>33</w:t>
      </w:r>
      <w:r>
        <w:rPr>
          <w:spacing w:val="-8"/>
        </w:rPr>
        <w:t> </w:t>
      </w:r>
      <w:r>
        <w:rPr/>
        <w:t>centres</w:t>
      </w:r>
      <w:r>
        <w:rPr>
          <w:spacing w:val="-8"/>
        </w:rPr>
        <w:t> </w:t>
      </w:r>
      <w:r>
        <w:rPr/>
        <w:t>were</w:t>
      </w:r>
      <w:r>
        <w:rPr>
          <w:spacing w:val="-8"/>
        </w:rPr>
        <w:t> </w:t>
      </w:r>
      <w:r>
        <w:rPr/>
        <w:t>placed</w:t>
      </w:r>
      <w:r>
        <w:rPr>
          <w:spacing w:val="-8"/>
        </w:rPr>
        <w:t> </w:t>
      </w:r>
      <w:r>
        <w:rPr/>
        <w:t>around</w:t>
      </w:r>
      <w:r>
        <w:rPr>
          <w:spacing w:val="-8"/>
        </w:rPr>
        <w:t> </w:t>
      </w:r>
      <w:r>
        <w:rPr/>
        <w:t>the</w:t>
      </w:r>
      <w:r>
        <w:rPr>
          <w:spacing w:val="-8"/>
        </w:rPr>
        <w:t> </w:t>
      </w:r>
      <w:r>
        <w:rPr/>
        <w:t>pitch. 30 centres were located in the field of play, uniformly positioned at </w:t>
      </w:r>
      <w:r>
        <w:rPr>
          <w:rFonts w:ascii="Cambria" w:hAnsi="Cambria"/>
        </w:rPr>
        <w:t>x </w:t>
      </w:r>
      <w:r>
        <w:rPr>
          <w:rFonts w:ascii="Lucida Sans Unicode" w:hAnsi="Lucida Sans Unicode"/>
        </w:rPr>
        <w:t>∈</w:t>
      </w:r>
      <w:r>
        <w:rPr>
          <w:rFonts w:ascii="Lucida Sans Unicode" w:hAnsi="Lucida Sans Unicode"/>
          <w:spacing w:val="-6"/>
        </w:rPr>
        <w:t> </w:t>
      </w:r>
      <w:r>
        <w:rPr>
          <w:rFonts w:ascii="Lucida Sans Unicode" w:hAnsi="Lucida Sans Unicode"/>
        </w:rPr>
        <w:t>{</w:t>
      </w:r>
      <w:r>
        <w:rPr/>
        <w:t>0, 20, 35, 50, 70</w:t>
      </w:r>
      <w:r>
        <w:rPr>
          <w:rFonts w:ascii="Lucida Sans Unicode" w:hAnsi="Lucida Sans Unicode"/>
        </w:rPr>
        <w:t>}</w:t>
      </w:r>
      <w:r>
        <w:rPr>
          <w:rFonts w:ascii="Lucida Sans Unicode" w:hAnsi="Lucida Sans Unicode"/>
          <w:spacing w:val="-16"/>
        </w:rPr>
        <w:t> </w:t>
      </w:r>
      <w:r>
        <w:rPr/>
        <w:t>and </w:t>
      </w:r>
      <w:r>
        <w:rPr>
          <w:rFonts w:ascii="Cambria" w:hAnsi="Cambria"/>
        </w:rPr>
        <w:t>y </w:t>
      </w:r>
      <w:r>
        <w:rPr>
          <w:rFonts w:ascii="Lucida Sans Unicode" w:hAnsi="Lucida Sans Unicode"/>
        </w:rPr>
        <w:t>∈</w:t>
      </w:r>
      <w:r>
        <w:rPr>
          <w:rFonts w:ascii="Lucida Sans Unicode" w:hAnsi="Lucida Sans Unicode"/>
          <w:spacing w:val="-15"/>
        </w:rPr>
        <w:t> </w:t>
      </w:r>
      <w:r>
        <w:rPr>
          <w:rFonts w:ascii="Lucida Sans Unicode" w:hAnsi="Lucida Sans Unicode"/>
        </w:rPr>
        <w:t>{</w:t>
      </w:r>
      <w:r>
        <w:rPr/>
        <w:t>-10, 20, 35, 65, 90, 100</w:t>
      </w:r>
      <w:r>
        <w:rPr>
          <w:rFonts w:ascii="Lucida Sans Unicode" w:hAnsi="Lucida Sans Unicode"/>
        </w:rPr>
        <w:t>}</w:t>
      </w:r>
      <w:r>
        <w:rPr/>
        <w:t>. These locations were chosen to ensure that every location</w:t>
      </w:r>
      <w:r>
        <w:rPr>
          <w:spacing w:val="-15"/>
        </w:rPr>
        <w:t> </w:t>
      </w:r>
      <w:r>
        <w:rPr/>
        <w:t>within</w:t>
      </w:r>
      <w:r>
        <w:rPr>
          <w:spacing w:val="-15"/>
        </w:rPr>
        <w:t> </w:t>
      </w:r>
      <w:r>
        <w:rPr/>
        <w:t>the</w:t>
      </w:r>
      <w:r>
        <w:rPr>
          <w:spacing w:val="-15"/>
        </w:rPr>
        <w:t> </w:t>
      </w:r>
      <w:r>
        <w:rPr/>
        <w:t>field</w:t>
      </w:r>
      <w:r>
        <w:rPr>
          <w:spacing w:val="-15"/>
        </w:rPr>
        <w:t> </w:t>
      </w:r>
      <w:r>
        <w:rPr/>
        <w:t>of</w:t>
      </w:r>
      <w:r>
        <w:rPr>
          <w:spacing w:val="-15"/>
        </w:rPr>
        <w:t> </w:t>
      </w:r>
      <w:r>
        <w:rPr/>
        <w:t>play</w:t>
      </w:r>
      <w:r>
        <w:rPr>
          <w:spacing w:val="-15"/>
        </w:rPr>
        <w:t> </w:t>
      </w:r>
      <w:r>
        <w:rPr/>
        <w:t>would</w:t>
      </w:r>
      <w:r>
        <w:rPr>
          <w:spacing w:val="-15"/>
        </w:rPr>
        <w:t> </w:t>
      </w:r>
      <w:r>
        <w:rPr/>
        <w:t>fall</w:t>
      </w:r>
      <w:r>
        <w:rPr>
          <w:spacing w:val="-15"/>
        </w:rPr>
        <w:t> </w:t>
      </w:r>
      <w:r>
        <w:rPr/>
        <w:t>within</w:t>
      </w:r>
      <w:r>
        <w:rPr>
          <w:spacing w:val="-15"/>
        </w:rPr>
        <w:t> </w:t>
      </w:r>
      <w:r>
        <w:rPr/>
        <w:t>a</w:t>
      </w:r>
      <w:r>
        <w:rPr>
          <w:spacing w:val="-15"/>
        </w:rPr>
        <w:t> </w:t>
      </w:r>
      <w:r>
        <w:rPr/>
        <w:t>“zone”</w:t>
      </w:r>
      <w:r>
        <w:rPr>
          <w:spacing w:val="-15"/>
        </w:rPr>
        <w:t> </w:t>
      </w:r>
      <w:r>
        <w:rPr/>
        <w:t>defined</w:t>
      </w:r>
      <w:r>
        <w:rPr>
          <w:spacing w:val="-15"/>
        </w:rPr>
        <w:t> </w:t>
      </w:r>
      <w:r>
        <w:rPr/>
        <w:t>by</w:t>
      </w:r>
      <w:r>
        <w:rPr>
          <w:spacing w:val="-15"/>
        </w:rPr>
        <w:t> </w:t>
      </w:r>
      <w:r>
        <w:rPr/>
        <w:t>four</w:t>
      </w:r>
      <w:r>
        <w:rPr>
          <w:spacing w:val="-15"/>
        </w:rPr>
        <w:t> </w:t>
      </w:r>
      <w:r>
        <w:rPr/>
        <w:t>centres.</w:t>
      </w:r>
      <w:r>
        <w:rPr>
          <w:spacing w:val="-6"/>
        </w:rPr>
        <w:t> </w:t>
      </w:r>
      <w:r>
        <w:rPr>
          <w:spacing w:val="-2"/>
        </w:rPr>
        <w:t>Figure</w:t>
      </w:r>
    </w:p>
    <w:p>
      <w:pPr>
        <w:pStyle w:val="BodyText"/>
        <w:spacing w:line="266" w:lineRule="auto" w:before="54"/>
        <w:ind w:left="610" w:right="389"/>
        <w:jc w:val="both"/>
      </w:pPr>
      <w:hyperlink w:history="true" w:anchor="_bookmark183">
        <w:r>
          <w:rPr>
            <w:color w:val="0000FF"/>
          </w:rPr>
          <w:t>6.1</w:t>
        </w:r>
      </w:hyperlink>
      <w:r>
        <w:rPr/>
        <w:t>plots</w:t>
      </w:r>
      <w:r>
        <w:rPr>
          <w:spacing w:val="-7"/>
        </w:rPr>
        <w:t> </w:t>
      </w:r>
      <w:r>
        <w:rPr/>
        <w:t>the</w:t>
      </w:r>
      <w:r>
        <w:rPr>
          <w:spacing w:val="-7"/>
        </w:rPr>
        <w:t> </w:t>
      </w:r>
      <w:r>
        <w:rPr/>
        <w:t>centre</w:t>
      </w:r>
      <w:r>
        <w:rPr>
          <w:spacing w:val="-7"/>
        </w:rPr>
        <w:t> </w:t>
      </w:r>
      <w:r>
        <w:rPr/>
        <w:t>locations</w:t>
      </w:r>
      <w:r>
        <w:rPr>
          <w:spacing w:val="-7"/>
        </w:rPr>
        <w:t> </w:t>
      </w:r>
      <w:r>
        <w:rPr/>
        <w:t>for</w:t>
      </w:r>
      <w:r>
        <w:rPr>
          <w:spacing w:val="-7"/>
        </w:rPr>
        <w:t> </w:t>
      </w:r>
      <w:r>
        <w:rPr/>
        <w:t>the</w:t>
      </w:r>
      <w:r>
        <w:rPr>
          <w:spacing w:val="-7"/>
        </w:rPr>
        <w:t> </w:t>
      </w:r>
      <w:r>
        <w:rPr/>
        <w:t>field</w:t>
      </w:r>
      <w:r>
        <w:rPr>
          <w:spacing w:val="-7"/>
        </w:rPr>
        <w:t> </w:t>
      </w:r>
      <w:r>
        <w:rPr/>
        <w:t>of</w:t>
      </w:r>
      <w:r>
        <w:rPr>
          <w:spacing w:val="-7"/>
        </w:rPr>
        <w:t> </w:t>
      </w:r>
      <w:r>
        <w:rPr/>
        <w:t>play. 3</w:t>
      </w:r>
      <w:r>
        <w:rPr>
          <w:spacing w:val="-7"/>
        </w:rPr>
        <w:t> </w:t>
      </w:r>
      <w:r>
        <w:rPr/>
        <w:t>centres</w:t>
      </w:r>
      <w:r>
        <w:rPr>
          <w:spacing w:val="-7"/>
        </w:rPr>
        <w:t> </w:t>
      </w:r>
      <w:r>
        <w:rPr/>
        <w:t>were</w:t>
      </w:r>
      <w:r>
        <w:rPr>
          <w:spacing w:val="-7"/>
        </w:rPr>
        <w:t> </w:t>
      </w:r>
      <w:r>
        <w:rPr/>
        <w:t>located</w:t>
      </w:r>
      <w:r>
        <w:rPr>
          <w:spacing w:val="-7"/>
        </w:rPr>
        <w:t> </w:t>
      </w:r>
      <w:r>
        <w:rPr/>
        <w:t>in</w:t>
      </w:r>
      <w:r>
        <w:rPr>
          <w:spacing w:val="-7"/>
        </w:rPr>
        <w:t> </w:t>
      </w:r>
      <w:r>
        <w:rPr/>
        <w:t>the</w:t>
      </w:r>
      <w:r>
        <w:rPr>
          <w:spacing w:val="-7"/>
        </w:rPr>
        <w:t> </w:t>
      </w:r>
      <w:r>
        <w:rPr/>
        <w:t>opposition team try area (</w:t>
      </w:r>
      <w:r>
        <w:rPr>
          <w:rFonts w:ascii="Cambria" w:hAnsi="Cambria"/>
        </w:rPr>
        <w:t>x </w:t>
      </w:r>
      <w:r>
        <w:rPr>
          <w:rFonts w:ascii="Lucida Sans Unicode" w:hAnsi="Lucida Sans Unicode"/>
        </w:rPr>
        <w:t>∈ {</w:t>
      </w:r>
      <w:r>
        <w:rPr/>
        <w:t>0, 35, 70</w:t>
      </w:r>
      <w:r>
        <w:rPr>
          <w:rFonts w:ascii="Lucida Sans Unicode" w:hAnsi="Lucida Sans Unicode"/>
        </w:rPr>
        <w:t>}</w:t>
      </w:r>
      <w:r>
        <w:rPr/>
        <w:t>).</w:t>
      </w:r>
      <w:r>
        <w:rPr>
          <w:spacing w:val="40"/>
        </w:rPr>
        <w:t> </w:t>
      </w:r>
      <w:r>
        <w:rPr/>
        <w:t>No </w:t>
      </w:r>
      <w:r>
        <w:rPr>
          <w:rFonts w:ascii="Cambria" w:hAnsi="Cambria"/>
        </w:rPr>
        <w:t>y</w:t>
      </w:r>
      <w:r>
        <w:rPr>
          <w:rFonts w:ascii="Cambria" w:hAnsi="Cambria"/>
          <w:spacing w:val="32"/>
        </w:rPr>
        <w:t> </w:t>
      </w:r>
      <w:r>
        <w:rPr/>
        <w:t>coordinate was considered for centres in the try area</w:t>
      </w:r>
      <w:r>
        <w:rPr>
          <w:spacing w:val="13"/>
        </w:rPr>
        <w:t> </w:t>
      </w:r>
      <w:r>
        <w:rPr/>
        <w:t>as</w:t>
      </w:r>
      <w:r>
        <w:rPr>
          <w:spacing w:val="14"/>
        </w:rPr>
        <w:t> </w:t>
      </w:r>
      <w:r>
        <w:rPr/>
        <w:t>the</w:t>
      </w:r>
      <w:r>
        <w:rPr>
          <w:spacing w:val="14"/>
        </w:rPr>
        <w:t> </w:t>
      </w:r>
      <w:r>
        <w:rPr/>
        <w:t>actions</w:t>
      </w:r>
      <w:r>
        <w:rPr>
          <w:spacing w:val="13"/>
        </w:rPr>
        <w:t> </w:t>
      </w:r>
      <w:r>
        <w:rPr/>
        <w:t>players</w:t>
      </w:r>
      <w:r>
        <w:rPr>
          <w:spacing w:val="14"/>
        </w:rPr>
        <w:t> </w:t>
      </w:r>
      <w:r>
        <w:rPr/>
        <w:t>choose</w:t>
      </w:r>
      <w:r>
        <w:rPr>
          <w:spacing w:val="14"/>
        </w:rPr>
        <w:t> </w:t>
      </w:r>
      <w:r>
        <w:rPr/>
        <w:t>in</w:t>
      </w:r>
      <w:r>
        <w:rPr>
          <w:spacing w:val="13"/>
        </w:rPr>
        <w:t> </w:t>
      </w:r>
      <w:r>
        <w:rPr/>
        <w:t>this</w:t>
      </w:r>
      <w:r>
        <w:rPr>
          <w:spacing w:val="14"/>
        </w:rPr>
        <w:t> </w:t>
      </w:r>
      <w:r>
        <w:rPr/>
        <w:t>area</w:t>
      </w:r>
      <w:r>
        <w:rPr>
          <w:spacing w:val="14"/>
        </w:rPr>
        <w:t> </w:t>
      </w:r>
      <w:r>
        <w:rPr/>
        <w:t>are</w:t>
      </w:r>
      <w:r>
        <w:rPr>
          <w:spacing w:val="14"/>
        </w:rPr>
        <w:t> </w:t>
      </w:r>
      <w:r>
        <w:rPr/>
        <w:t>not</w:t>
      </w:r>
      <w:r>
        <w:rPr>
          <w:spacing w:val="13"/>
        </w:rPr>
        <w:t> </w:t>
      </w:r>
      <w:r>
        <w:rPr/>
        <w:t>influenced</w:t>
      </w:r>
      <w:r>
        <w:rPr>
          <w:spacing w:val="14"/>
        </w:rPr>
        <w:t> </w:t>
      </w:r>
      <w:r>
        <w:rPr/>
        <w:t>by</w:t>
      </w:r>
      <w:r>
        <w:rPr>
          <w:spacing w:val="14"/>
        </w:rPr>
        <w:t> </w:t>
      </w:r>
      <w:r>
        <w:rPr/>
        <w:t>their</w:t>
      </w:r>
      <w:r>
        <w:rPr>
          <w:spacing w:val="13"/>
        </w:rPr>
        <w:t> </w:t>
      </w:r>
      <w:r>
        <w:rPr>
          <w:rFonts w:ascii="Cambria" w:hAnsi="Cambria"/>
        </w:rPr>
        <w:t>y</w:t>
      </w:r>
      <w:r>
        <w:rPr>
          <w:rFonts w:ascii="Cambria" w:hAnsi="Cambria"/>
          <w:spacing w:val="29"/>
        </w:rPr>
        <w:t> </w:t>
      </w:r>
      <w:r>
        <w:rPr>
          <w:spacing w:val="-2"/>
        </w:rPr>
        <w:t>coordinate</w:t>
      </w:r>
      <w:r>
        <w:rPr>
          <w:spacing w:val="-2"/>
        </w:rPr>
        <w:t>.</w:t>
      </w:r>
    </w:p>
    <w:p>
      <w:pPr>
        <w:pStyle w:val="BodyText"/>
        <w:spacing w:line="312" w:lineRule="auto" w:before="43"/>
        <w:ind w:left="610" w:right="389"/>
        <w:jc w:val="both"/>
      </w:pPr>
      <w:r>
        <w:rPr/>
        <w:t>The</w:t>
      </w:r>
      <w:r>
        <w:rPr>
          <w:spacing w:val="-6"/>
        </w:rPr>
        <w:t> </w:t>
      </w:r>
      <w:r>
        <w:rPr/>
        <w:t>three</w:t>
      </w:r>
      <w:r>
        <w:rPr>
          <w:spacing w:val="-6"/>
        </w:rPr>
        <w:t> </w:t>
      </w:r>
      <w:r>
        <w:rPr/>
        <w:t>try</w:t>
      </w:r>
      <w:r>
        <w:rPr>
          <w:spacing w:val="-6"/>
        </w:rPr>
        <w:t> </w:t>
      </w:r>
      <w:r>
        <w:rPr/>
        <w:t>area</w:t>
      </w:r>
      <w:r>
        <w:rPr>
          <w:spacing w:val="-6"/>
        </w:rPr>
        <w:t> </w:t>
      </w:r>
      <w:r>
        <w:rPr/>
        <w:t>centre</w:t>
      </w:r>
      <w:r>
        <w:rPr>
          <w:spacing w:val="-6"/>
        </w:rPr>
        <w:t> </w:t>
      </w:r>
      <w:r>
        <w:rPr/>
        <w:t>locations</w:t>
      </w:r>
      <w:r>
        <w:rPr>
          <w:spacing w:val="-6"/>
        </w:rPr>
        <w:t> </w:t>
      </w:r>
      <w:r>
        <w:rPr/>
        <w:t>were</w:t>
      </w:r>
      <w:r>
        <w:rPr>
          <w:spacing w:val="-6"/>
        </w:rPr>
        <w:t> </w:t>
      </w:r>
      <w:r>
        <w:rPr/>
        <w:t>produced</w:t>
      </w:r>
      <w:r>
        <w:rPr>
          <w:spacing w:val="-6"/>
        </w:rPr>
        <w:t> </w:t>
      </w:r>
      <w:r>
        <w:rPr/>
        <w:t>to</w:t>
      </w:r>
      <w:r>
        <w:rPr>
          <w:spacing w:val="-6"/>
        </w:rPr>
        <w:t> </w:t>
      </w:r>
      <w:r>
        <w:rPr/>
        <w:t>ensure</w:t>
      </w:r>
      <w:r>
        <w:rPr>
          <w:spacing w:val="-6"/>
        </w:rPr>
        <w:t> </w:t>
      </w:r>
      <w:r>
        <w:rPr/>
        <w:t>that</w:t>
      </w:r>
      <w:r>
        <w:rPr>
          <w:spacing w:val="-6"/>
        </w:rPr>
        <w:t> </w:t>
      </w:r>
      <w:r>
        <w:rPr/>
        <w:t>the</w:t>
      </w:r>
      <w:r>
        <w:rPr>
          <w:spacing w:val="-6"/>
        </w:rPr>
        <w:t> </w:t>
      </w:r>
      <w:r>
        <w:rPr>
          <w:rFonts w:ascii="Cambria"/>
        </w:rPr>
        <w:t>x </w:t>
      </w:r>
      <w:r>
        <w:rPr/>
        <w:t>coordinate</w:t>
      </w:r>
      <w:r>
        <w:rPr>
          <w:spacing w:val="-6"/>
        </w:rPr>
        <w:t> </w:t>
      </w:r>
      <w:r>
        <w:rPr/>
        <w:t>of</w:t>
      </w:r>
      <w:r>
        <w:rPr>
          <w:spacing w:val="-6"/>
        </w:rPr>
        <w:t> </w:t>
      </w:r>
      <w:r>
        <w:rPr/>
        <w:t>every location in the try area fell between two centres.</w:t>
      </w:r>
      <w:r>
        <w:rPr>
          <w:spacing w:val="40"/>
        </w:rPr>
        <w:t> </w:t>
      </w:r>
      <w:r>
        <w:rPr/>
        <w:t>The field of play and try area centres were</w:t>
      </w:r>
      <w:r>
        <w:rPr>
          <w:spacing w:val="-9"/>
        </w:rPr>
        <w:t> </w:t>
      </w:r>
      <w:r>
        <w:rPr/>
        <w:t>evaluated</w:t>
      </w:r>
      <w:r>
        <w:rPr>
          <w:spacing w:val="-9"/>
        </w:rPr>
        <w:t> </w:t>
      </w:r>
      <w:r>
        <w:rPr/>
        <w:t>separately. This</w:t>
      </w:r>
      <w:r>
        <w:rPr>
          <w:spacing w:val="-9"/>
        </w:rPr>
        <w:t> </w:t>
      </w:r>
      <w:r>
        <w:rPr/>
        <w:t>decision</w:t>
      </w:r>
      <w:r>
        <w:rPr>
          <w:spacing w:val="-9"/>
        </w:rPr>
        <w:t> </w:t>
      </w:r>
      <w:r>
        <w:rPr/>
        <w:t>was</w:t>
      </w:r>
      <w:r>
        <w:rPr>
          <w:spacing w:val="-9"/>
        </w:rPr>
        <w:t> </w:t>
      </w:r>
      <w:r>
        <w:rPr/>
        <w:t>made</w:t>
      </w:r>
      <w:r>
        <w:rPr>
          <w:spacing w:val="-9"/>
        </w:rPr>
        <w:t> </w:t>
      </w:r>
      <w:r>
        <w:rPr/>
        <w:t>due</w:t>
      </w:r>
      <w:r>
        <w:rPr>
          <w:spacing w:val="-9"/>
        </w:rPr>
        <w:t> </w:t>
      </w:r>
      <w:r>
        <w:rPr/>
        <w:t>to</w:t>
      </w:r>
      <w:r>
        <w:rPr>
          <w:spacing w:val="-9"/>
        </w:rPr>
        <w:t> </w:t>
      </w:r>
      <w:r>
        <w:rPr/>
        <w:t>the</w:t>
      </w:r>
      <w:r>
        <w:rPr>
          <w:spacing w:val="-9"/>
        </w:rPr>
        <w:t> </w:t>
      </w:r>
      <w:r>
        <w:rPr/>
        <w:t>different</w:t>
      </w:r>
      <w:r>
        <w:rPr>
          <w:spacing w:val="-9"/>
        </w:rPr>
        <w:t> </w:t>
      </w:r>
      <w:r>
        <w:rPr/>
        <w:t>player</w:t>
      </w:r>
      <w:r>
        <w:rPr>
          <w:spacing w:val="-9"/>
        </w:rPr>
        <w:t> </w:t>
      </w:r>
      <w:r>
        <w:rPr/>
        <w:t>behaviours that</w:t>
      </w:r>
      <w:r>
        <w:rPr>
          <w:spacing w:val="-10"/>
        </w:rPr>
        <w:t> </w:t>
      </w:r>
      <w:r>
        <w:rPr/>
        <w:t>are</w:t>
      </w:r>
      <w:r>
        <w:rPr>
          <w:spacing w:val="-10"/>
        </w:rPr>
        <w:t> </w:t>
      </w:r>
      <w:r>
        <w:rPr/>
        <w:t>observed</w:t>
      </w:r>
      <w:r>
        <w:rPr>
          <w:spacing w:val="-10"/>
        </w:rPr>
        <w:t> </w:t>
      </w:r>
      <w:r>
        <w:rPr/>
        <w:t>in</w:t>
      </w:r>
      <w:r>
        <w:rPr>
          <w:spacing w:val="-10"/>
        </w:rPr>
        <w:t> </w:t>
      </w:r>
      <w:r>
        <w:rPr/>
        <w:t>the</w:t>
      </w:r>
      <w:r>
        <w:rPr>
          <w:spacing w:val="-10"/>
        </w:rPr>
        <w:t> </w:t>
      </w:r>
      <w:r>
        <w:rPr/>
        <w:t>two</w:t>
      </w:r>
      <w:r>
        <w:rPr>
          <w:spacing w:val="-10"/>
        </w:rPr>
        <w:t> </w:t>
      </w:r>
      <w:r>
        <w:rPr/>
        <w:t>areas: in</w:t>
      </w:r>
      <w:r>
        <w:rPr>
          <w:spacing w:val="-10"/>
        </w:rPr>
        <w:t> </w:t>
      </w:r>
      <w:r>
        <w:rPr/>
        <w:t>the</w:t>
      </w:r>
      <w:r>
        <w:rPr>
          <w:spacing w:val="-10"/>
        </w:rPr>
        <w:t> </w:t>
      </w:r>
      <w:r>
        <w:rPr/>
        <w:t>field</w:t>
      </w:r>
      <w:r>
        <w:rPr>
          <w:spacing w:val="-10"/>
        </w:rPr>
        <w:t> </w:t>
      </w:r>
      <w:r>
        <w:rPr/>
        <w:t>of</w:t>
      </w:r>
      <w:r>
        <w:rPr>
          <w:spacing w:val="-10"/>
        </w:rPr>
        <w:t> </w:t>
      </w:r>
      <w:r>
        <w:rPr/>
        <w:t>play,</w:t>
      </w:r>
      <w:r>
        <w:rPr>
          <w:spacing w:val="-10"/>
        </w:rPr>
        <w:t> </w:t>
      </w:r>
      <w:r>
        <w:rPr/>
        <w:t>players</w:t>
      </w:r>
      <w:r>
        <w:rPr>
          <w:spacing w:val="-10"/>
        </w:rPr>
        <w:t> </w:t>
      </w:r>
      <w:r>
        <w:rPr/>
        <w:t>are</w:t>
      </w:r>
      <w:r>
        <w:rPr>
          <w:spacing w:val="-10"/>
        </w:rPr>
        <w:t> </w:t>
      </w:r>
      <w:r>
        <w:rPr/>
        <w:t>equally</w:t>
      </w:r>
      <w:r>
        <w:rPr>
          <w:spacing w:val="-10"/>
        </w:rPr>
        <w:t> </w:t>
      </w:r>
      <w:r>
        <w:rPr/>
        <w:t>likely</w:t>
      </w:r>
      <w:r>
        <w:rPr>
          <w:spacing w:val="-10"/>
        </w:rPr>
        <w:t> </w:t>
      </w:r>
      <w:r>
        <w:rPr/>
        <w:t>to</w:t>
      </w:r>
      <w:r>
        <w:rPr>
          <w:spacing w:val="-10"/>
        </w:rPr>
        <w:t> </w:t>
      </w:r>
      <w:r>
        <w:rPr/>
        <w:t>choose different actions dependent on the game situation; in the try area, players will attempt to ground the ball for a try as soon as possible irrespective of the game situation.</w:t>
      </w:r>
    </w:p>
    <w:p>
      <w:pPr>
        <w:pStyle w:val="BodyText"/>
        <w:spacing w:line="309" w:lineRule="auto"/>
        <w:ind w:left="610" w:right="389" w:firstLine="351"/>
        <w:jc w:val="both"/>
      </w:pPr>
      <w:r>
        <w:rPr/>
        <w:t>Every</w:t>
      </w:r>
      <w:r>
        <w:rPr>
          <w:spacing w:val="-11"/>
        </w:rPr>
        <w:t> </w:t>
      </w:r>
      <w:r>
        <w:rPr>
          <w:rFonts w:ascii="Cambria"/>
        </w:rPr>
        <w:t>x,</w:t>
      </w:r>
      <w:r>
        <w:rPr>
          <w:rFonts w:ascii="Cambria"/>
          <w:spacing w:val="-14"/>
        </w:rPr>
        <w:t> </w:t>
      </w:r>
      <w:r>
        <w:rPr>
          <w:rFonts w:ascii="Cambria"/>
        </w:rPr>
        <w:t>y </w:t>
      </w:r>
      <w:r>
        <w:rPr/>
        <w:t>location</w:t>
      </w:r>
      <w:r>
        <w:rPr>
          <w:spacing w:val="-9"/>
        </w:rPr>
        <w:t> </w:t>
      </w:r>
      <w:r>
        <w:rPr/>
        <w:t>was</w:t>
      </w:r>
      <w:r>
        <w:rPr>
          <w:spacing w:val="-9"/>
        </w:rPr>
        <w:t> </w:t>
      </w:r>
      <w:r>
        <w:rPr/>
        <w:t>assigned</w:t>
      </w:r>
      <w:r>
        <w:rPr>
          <w:spacing w:val="-9"/>
        </w:rPr>
        <w:t> </w:t>
      </w:r>
      <w:r>
        <w:rPr/>
        <w:t>33</w:t>
      </w:r>
      <w:r>
        <w:rPr>
          <w:spacing w:val="-9"/>
        </w:rPr>
        <w:t> </w:t>
      </w:r>
      <w:r>
        <w:rPr/>
        <w:t>weights,</w:t>
      </w:r>
      <w:r>
        <w:rPr>
          <w:spacing w:val="-8"/>
        </w:rPr>
        <w:t> </w:t>
      </w:r>
      <w:r>
        <w:rPr/>
        <w:t>which</w:t>
      </w:r>
      <w:r>
        <w:rPr>
          <w:spacing w:val="-9"/>
        </w:rPr>
        <w:t> </w:t>
      </w:r>
      <w:r>
        <w:rPr/>
        <w:t>described</w:t>
      </w:r>
      <w:r>
        <w:rPr>
          <w:spacing w:val="-9"/>
        </w:rPr>
        <w:t> </w:t>
      </w:r>
      <w:r>
        <w:rPr/>
        <w:t>the</w:t>
      </w:r>
      <w:r>
        <w:rPr>
          <w:spacing w:val="-9"/>
        </w:rPr>
        <w:t> </w:t>
      </w:r>
      <w:r>
        <w:rPr/>
        <w:t>aggregation</w:t>
      </w:r>
      <w:r>
        <w:rPr>
          <w:spacing w:val="-9"/>
        </w:rPr>
        <w:t> </w:t>
      </w:r>
      <w:r>
        <w:rPr/>
        <w:t>of</w:t>
      </w:r>
      <w:r>
        <w:rPr>
          <w:spacing w:val="-9"/>
        </w:rPr>
        <w:t> </w:t>
      </w:r>
      <w:r>
        <w:rPr/>
        <w:t>their data</w:t>
      </w:r>
      <w:r>
        <w:rPr>
          <w:spacing w:val="16"/>
        </w:rPr>
        <w:t> </w:t>
      </w:r>
      <w:r>
        <w:rPr/>
        <w:t>to</w:t>
      </w:r>
      <w:r>
        <w:rPr>
          <w:spacing w:val="16"/>
        </w:rPr>
        <w:t> </w:t>
      </w:r>
      <w:r>
        <w:rPr/>
        <w:t>the</w:t>
      </w:r>
      <w:r>
        <w:rPr>
          <w:spacing w:val="16"/>
        </w:rPr>
        <w:t> </w:t>
      </w:r>
      <w:r>
        <w:rPr/>
        <w:t>centres</w:t>
      </w:r>
      <w:r>
        <w:rPr>
          <w:spacing w:val="16"/>
        </w:rPr>
        <w:t> </w:t>
      </w:r>
      <w:r>
        <w:rPr/>
        <w:t>in</w:t>
      </w:r>
      <w:r>
        <w:rPr>
          <w:spacing w:val="17"/>
        </w:rPr>
        <w:t> </w:t>
      </w:r>
      <w:r>
        <w:rPr/>
        <w:t>the</w:t>
      </w:r>
      <w:r>
        <w:rPr>
          <w:spacing w:val="16"/>
        </w:rPr>
        <w:t> </w:t>
      </w:r>
      <w:r>
        <w:rPr/>
        <w:t>model.</w:t>
      </w:r>
      <w:r>
        <w:rPr>
          <w:spacing w:val="71"/>
        </w:rPr>
        <w:t> </w:t>
      </w:r>
      <w:r>
        <w:rPr/>
        <w:t>30</w:t>
      </w:r>
      <w:r>
        <w:rPr>
          <w:spacing w:val="16"/>
        </w:rPr>
        <w:t> </w:t>
      </w:r>
      <w:r>
        <w:rPr/>
        <w:t>weights</w:t>
      </w:r>
      <w:r>
        <w:rPr>
          <w:spacing w:val="16"/>
        </w:rPr>
        <w:t> </w:t>
      </w:r>
      <w:r>
        <w:rPr/>
        <w:t>were</w:t>
      </w:r>
      <w:r>
        <w:rPr>
          <w:spacing w:val="16"/>
        </w:rPr>
        <w:t> </w:t>
      </w:r>
      <w:r>
        <w:rPr/>
        <w:t>calculated</w:t>
      </w:r>
      <w:r>
        <w:rPr>
          <w:spacing w:val="17"/>
        </w:rPr>
        <w:t> </w:t>
      </w:r>
      <w:r>
        <w:rPr/>
        <w:t>in</w:t>
      </w:r>
      <w:r>
        <w:rPr>
          <w:spacing w:val="16"/>
        </w:rPr>
        <w:t> </w:t>
      </w:r>
      <w:r>
        <w:rPr/>
        <w:t>the</w:t>
      </w:r>
      <w:r>
        <w:rPr>
          <w:spacing w:val="16"/>
        </w:rPr>
        <w:t> </w:t>
      </w:r>
      <w:r>
        <w:rPr/>
        <w:t>field</w:t>
      </w:r>
      <w:r>
        <w:rPr>
          <w:spacing w:val="16"/>
        </w:rPr>
        <w:t> </w:t>
      </w:r>
      <w:r>
        <w:rPr/>
        <w:t>of</w:t>
      </w:r>
      <w:r>
        <w:rPr>
          <w:spacing w:val="17"/>
        </w:rPr>
        <w:t> </w:t>
      </w:r>
      <w:r>
        <w:rPr/>
        <w:t>play</w:t>
      </w:r>
      <w:r>
        <w:rPr>
          <w:spacing w:val="16"/>
        </w:rPr>
        <w:t> </w:t>
      </w:r>
      <w:r>
        <w:rPr>
          <w:spacing w:val="-2"/>
        </w:rPr>
        <w:t>using</w:t>
      </w:r>
    </w:p>
    <w:p>
      <w:pPr>
        <w:spacing w:after="0" w:line="309"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
        <w:rPr>
          <w:sz w:val="15"/>
        </w:rPr>
      </w:pPr>
    </w:p>
    <w:p>
      <w:pPr>
        <w:pStyle w:val="BodyText"/>
        <w:ind w:left="3161"/>
        <w:rPr>
          <w:sz w:val="20"/>
        </w:rPr>
      </w:pPr>
      <w:r>
        <w:rPr>
          <w:sz w:val="20"/>
        </w:rPr>
        <w:drawing>
          <wp:inline distT="0" distB="0" distL="0" distR="0">
            <wp:extent cx="1951786" cy="3267455"/>
            <wp:effectExtent l="0" t="0" r="0" b="0"/>
            <wp:docPr id="101" name="image51.jpeg"/>
            <wp:cNvGraphicFramePr>
              <a:graphicFrameLocks noChangeAspect="1"/>
            </wp:cNvGraphicFramePr>
            <a:graphic>
              <a:graphicData uri="http://schemas.openxmlformats.org/drawingml/2006/picture">
                <pic:pic>
                  <pic:nvPicPr>
                    <pic:cNvPr id="102" name="image51.jpeg"/>
                    <pic:cNvPicPr/>
                  </pic:nvPicPr>
                  <pic:blipFill>
                    <a:blip r:embed="rId127" cstate="print"/>
                    <a:stretch>
                      <a:fillRect/>
                    </a:stretch>
                  </pic:blipFill>
                  <pic:spPr>
                    <a:xfrm>
                      <a:off x="0" y="0"/>
                      <a:ext cx="1951786" cy="3267455"/>
                    </a:xfrm>
                    <a:prstGeom prst="rect">
                      <a:avLst/>
                    </a:prstGeom>
                  </pic:spPr>
                </pic:pic>
              </a:graphicData>
            </a:graphic>
          </wp:inline>
        </w:drawing>
      </w:r>
      <w:r>
        <w:rPr>
          <w:sz w:val="20"/>
        </w:rPr>
      </w:r>
    </w:p>
    <w:p>
      <w:pPr>
        <w:pStyle w:val="BodyText"/>
        <w:spacing w:before="6"/>
        <w:rPr>
          <w:sz w:val="10"/>
        </w:rPr>
      </w:pPr>
    </w:p>
    <w:p>
      <w:pPr>
        <w:pStyle w:val="BodyText"/>
        <w:spacing w:line="213" w:lineRule="auto" w:before="130"/>
        <w:ind w:left="610" w:right="389"/>
        <w:jc w:val="both"/>
      </w:pPr>
      <w:bookmarkStart w:name="_bookmark183" w:id="317"/>
      <w:bookmarkEnd w:id="317"/>
      <w:r>
        <w:rPr/>
      </w:r>
      <w:r>
        <w:rPr>
          <w:b/>
        </w:rPr>
        <w:t>Figure 6.1: </w:t>
      </w:r>
      <w:r>
        <w:rPr/>
        <w:t>Location of 30 centres used in this study.</w:t>
      </w:r>
      <w:r>
        <w:rPr>
          <w:spacing w:val="40"/>
        </w:rPr>
        <w:t> </w:t>
      </w:r>
      <w:r>
        <w:rPr/>
        <w:t>Three centres (not plotted) </w:t>
      </w:r>
      <w:r>
        <w:rPr/>
        <w:t>were included</w:t>
      </w:r>
      <w:r>
        <w:rPr>
          <w:spacing w:val="-1"/>
        </w:rPr>
        <w:t> </w:t>
      </w:r>
      <w:r>
        <w:rPr/>
        <w:t>in the</w:t>
      </w:r>
      <w:r>
        <w:rPr>
          <w:spacing w:val="-1"/>
        </w:rPr>
        <w:t> </w:t>
      </w:r>
      <w:r>
        <w:rPr/>
        <w:t>try area</w:t>
      </w:r>
      <w:r>
        <w:rPr>
          <w:spacing w:val="-1"/>
        </w:rPr>
        <w:t> </w:t>
      </w:r>
      <w:r>
        <w:rPr/>
        <w:t>at</w:t>
      </w:r>
      <w:r>
        <w:rPr>
          <w:spacing w:val="-1"/>
        </w:rPr>
        <w:t> </w:t>
      </w:r>
      <w:r>
        <w:rPr>
          <w:rFonts w:ascii="Cambria" w:hAnsi="Cambria"/>
        </w:rPr>
        <w:t>x </w:t>
      </w:r>
      <w:r>
        <w:rPr>
          <w:rFonts w:ascii="Lucida Sans Unicode" w:hAnsi="Lucida Sans Unicode"/>
        </w:rPr>
        <w:t>∈</w:t>
      </w:r>
      <w:r>
        <w:rPr>
          <w:rFonts w:ascii="Lucida Sans Unicode" w:hAnsi="Lucida Sans Unicode"/>
          <w:spacing w:val="-16"/>
        </w:rPr>
        <w:t> </w:t>
      </w:r>
      <w:r>
        <w:rPr>
          <w:rFonts w:ascii="Lucida Sans Unicode" w:hAnsi="Lucida Sans Unicode"/>
        </w:rPr>
        <w:t>{</w:t>
      </w:r>
      <w:r>
        <w:rPr/>
        <w:t>0, 35,</w:t>
      </w:r>
      <w:r>
        <w:rPr>
          <w:spacing w:val="-1"/>
        </w:rPr>
        <w:t> </w:t>
      </w:r>
      <w:r>
        <w:rPr/>
        <w:t>70</w:t>
      </w:r>
      <w:r>
        <w:rPr>
          <w:rFonts w:ascii="Lucida Sans Unicode" w:hAnsi="Lucida Sans Unicode"/>
        </w:rPr>
        <w:t>}</w:t>
      </w:r>
      <w:r>
        <w:rPr/>
        <w:t>, equivalent</w:t>
      </w:r>
      <w:r>
        <w:rPr>
          <w:spacing w:val="-1"/>
        </w:rPr>
        <w:t> </w:t>
      </w:r>
      <w:r>
        <w:rPr/>
        <w:t>to the left, middle</w:t>
      </w:r>
      <w:r>
        <w:rPr>
          <w:spacing w:val="-1"/>
        </w:rPr>
        <w:t> </w:t>
      </w:r>
      <w:r>
        <w:rPr/>
        <w:t>and</w:t>
      </w:r>
      <w:r>
        <w:rPr>
          <w:spacing w:val="-1"/>
        </w:rPr>
        <w:t> </w:t>
      </w:r>
      <w:r>
        <w:rPr/>
        <w:t>right centres in the field of play. No </w:t>
      </w:r>
      <w:r>
        <w:rPr>
          <w:rFonts w:ascii="Cambria" w:hAnsi="Cambria"/>
        </w:rPr>
        <w:t>y </w:t>
      </w:r>
      <w:r>
        <w:rPr/>
        <w:t>coordinate was considered for these centres.</w:t>
      </w:r>
    </w:p>
    <w:p>
      <w:pPr>
        <w:pStyle w:val="BodyText"/>
        <w:spacing w:before="5"/>
        <w:rPr>
          <w:sz w:val="39"/>
        </w:rPr>
      </w:pPr>
    </w:p>
    <w:p>
      <w:pPr>
        <w:pStyle w:val="BodyText"/>
        <w:spacing w:line="304" w:lineRule="auto"/>
        <w:ind w:left="610" w:right="389"/>
        <w:jc w:val="both"/>
      </w:pPr>
      <w:r>
        <w:rPr/>
        <w:t>bilinear</w:t>
      </w:r>
      <w:r>
        <w:rPr>
          <w:spacing w:val="-6"/>
        </w:rPr>
        <w:t> </w:t>
      </w:r>
      <w:r>
        <w:rPr/>
        <w:t>interpolation,</w:t>
      </w:r>
      <w:r>
        <w:rPr>
          <w:spacing w:val="-6"/>
        </w:rPr>
        <w:t> </w:t>
      </w:r>
      <w:r>
        <w:rPr/>
        <w:t>3</w:t>
      </w:r>
      <w:r>
        <w:rPr>
          <w:spacing w:val="-6"/>
        </w:rPr>
        <w:t> </w:t>
      </w:r>
      <w:r>
        <w:rPr/>
        <w:t>weights</w:t>
      </w:r>
      <w:r>
        <w:rPr>
          <w:spacing w:val="-7"/>
        </w:rPr>
        <w:t> </w:t>
      </w:r>
      <w:r>
        <w:rPr/>
        <w:t>were</w:t>
      </w:r>
      <w:r>
        <w:rPr>
          <w:spacing w:val="-6"/>
        </w:rPr>
        <w:t> </w:t>
      </w:r>
      <w:r>
        <w:rPr/>
        <w:t>calculated</w:t>
      </w:r>
      <w:r>
        <w:rPr>
          <w:spacing w:val="-6"/>
        </w:rPr>
        <w:t> </w:t>
      </w:r>
      <w:r>
        <w:rPr/>
        <w:t>in</w:t>
      </w:r>
      <w:r>
        <w:rPr>
          <w:spacing w:val="-7"/>
        </w:rPr>
        <w:t> </w:t>
      </w:r>
      <w:r>
        <w:rPr/>
        <w:t>the</w:t>
      </w:r>
      <w:r>
        <w:rPr>
          <w:spacing w:val="-6"/>
        </w:rPr>
        <w:t> </w:t>
      </w:r>
      <w:r>
        <w:rPr/>
        <w:t>try</w:t>
      </w:r>
      <w:r>
        <w:rPr>
          <w:spacing w:val="-6"/>
        </w:rPr>
        <w:t> </w:t>
      </w:r>
      <w:r>
        <w:rPr/>
        <w:t>area</w:t>
      </w:r>
      <w:r>
        <w:rPr>
          <w:spacing w:val="-6"/>
        </w:rPr>
        <w:t> </w:t>
      </w:r>
      <w:r>
        <w:rPr/>
        <w:t>using</w:t>
      </w:r>
      <w:r>
        <w:rPr>
          <w:spacing w:val="-7"/>
        </w:rPr>
        <w:t> </w:t>
      </w:r>
      <w:r>
        <w:rPr/>
        <w:t>linear</w:t>
      </w:r>
      <w:r>
        <w:rPr>
          <w:spacing w:val="-6"/>
        </w:rPr>
        <w:t> </w:t>
      </w:r>
      <w:r>
        <w:rPr/>
        <w:t>interpolation. In line with the assumption of independence between the two areas of the pitch, any location</w:t>
      </w:r>
      <w:r>
        <w:rPr>
          <w:spacing w:val="-4"/>
        </w:rPr>
        <w:t> </w:t>
      </w:r>
      <w:r>
        <w:rPr/>
        <w:t>in</w:t>
      </w:r>
      <w:r>
        <w:rPr>
          <w:spacing w:val="-4"/>
        </w:rPr>
        <w:t> </w:t>
      </w:r>
      <w:r>
        <w:rPr/>
        <w:t>the</w:t>
      </w:r>
      <w:r>
        <w:rPr>
          <w:spacing w:val="-4"/>
        </w:rPr>
        <w:t> </w:t>
      </w:r>
      <w:r>
        <w:rPr/>
        <w:t>field</w:t>
      </w:r>
      <w:r>
        <w:rPr>
          <w:spacing w:val="-4"/>
        </w:rPr>
        <w:t> </w:t>
      </w:r>
      <w:r>
        <w:rPr/>
        <w:t>of</w:t>
      </w:r>
      <w:r>
        <w:rPr>
          <w:spacing w:val="-4"/>
        </w:rPr>
        <w:t> </w:t>
      </w:r>
      <w:r>
        <w:rPr/>
        <w:t>play</w:t>
      </w:r>
      <w:r>
        <w:rPr>
          <w:spacing w:val="-4"/>
        </w:rPr>
        <w:t> </w:t>
      </w:r>
      <w:r>
        <w:rPr/>
        <w:t>was</w:t>
      </w:r>
      <w:r>
        <w:rPr>
          <w:spacing w:val="-4"/>
        </w:rPr>
        <w:t> </w:t>
      </w:r>
      <w:r>
        <w:rPr/>
        <w:t>automatically</w:t>
      </w:r>
      <w:r>
        <w:rPr>
          <w:spacing w:val="-4"/>
        </w:rPr>
        <w:t> </w:t>
      </w:r>
      <w:r>
        <w:rPr/>
        <w:t>given</w:t>
      </w:r>
      <w:r>
        <w:rPr>
          <w:spacing w:val="-4"/>
        </w:rPr>
        <w:t> </w:t>
      </w:r>
      <w:r>
        <w:rPr/>
        <w:t>weights</w:t>
      </w:r>
      <w:r>
        <w:rPr>
          <w:spacing w:val="-4"/>
        </w:rPr>
        <w:t> </w:t>
      </w:r>
      <w:r>
        <w:rPr/>
        <w:t>of</w:t>
      </w:r>
      <w:r>
        <w:rPr>
          <w:spacing w:val="-4"/>
        </w:rPr>
        <w:t> </w:t>
      </w:r>
      <w:r>
        <w:rPr>
          <w:rFonts w:ascii="Garamond"/>
        </w:rPr>
        <w:t>0</w:t>
      </w:r>
      <w:r>
        <w:rPr>
          <w:rFonts w:ascii="Garamond"/>
          <w:spacing w:val="-4"/>
        </w:rPr>
        <w:t> </w:t>
      </w:r>
      <w:r>
        <w:rPr/>
        <w:t>for</w:t>
      </w:r>
      <w:r>
        <w:rPr>
          <w:spacing w:val="-4"/>
        </w:rPr>
        <w:t> </w:t>
      </w:r>
      <w:r>
        <w:rPr/>
        <w:t>the</w:t>
      </w:r>
      <w:r>
        <w:rPr>
          <w:spacing w:val="-4"/>
        </w:rPr>
        <w:t> </w:t>
      </w:r>
      <w:r>
        <w:rPr/>
        <w:t>try</w:t>
      </w:r>
      <w:r>
        <w:rPr>
          <w:spacing w:val="-4"/>
        </w:rPr>
        <w:t> </w:t>
      </w:r>
      <w:r>
        <w:rPr/>
        <w:t>area</w:t>
      </w:r>
      <w:r>
        <w:rPr>
          <w:spacing w:val="-4"/>
        </w:rPr>
        <w:t> </w:t>
      </w:r>
      <w:r>
        <w:rPr/>
        <w:t>centres; any location in the try area was automatically given weights of </w:t>
      </w:r>
      <w:r>
        <w:rPr>
          <w:rFonts w:ascii="Garamond"/>
        </w:rPr>
        <w:t>0 </w:t>
      </w:r>
      <w:r>
        <w:rPr/>
        <w:t>for the field of play </w:t>
      </w:r>
      <w:r>
        <w:rPr>
          <w:spacing w:val="-2"/>
        </w:rPr>
        <w:t>centres.</w:t>
      </w:r>
    </w:p>
    <w:p>
      <w:pPr>
        <w:pStyle w:val="BodyText"/>
        <w:tabs>
          <w:tab w:pos="6966" w:val="left" w:leader="none"/>
        </w:tabs>
        <w:spacing w:line="307" w:lineRule="auto" w:before="18"/>
        <w:ind w:left="610" w:right="389" w:firstLine="351"/>
      </w:pPr>
      <w:r>
        <w:rPr/>
        <w:t>Locations in the field of play had a maximum of four non-zero weights.</w:t>
      </w:r>
      <w:r>
        <w:rPr>
          <w:spacing w:val="40"/>
        </w:rPr>
        <w:t> </w:t>
      </w:r>
      <w:r>
        <w:rPr/>
        <w:t>The value</w:t>
      </w:r>
      <w:r>
        <w:rPr>
          <w:spacing w:val="40"/>
        </w:rPr>
        <w:t> </w:t>
      </w:r>
      <w:r>
        <w:rPr/>
        <w:t>of the weights for each </w:t>
      </w:r>
      <w:r>
        <w:rPr>
          <w:rFonts w:ascii="Cambria"/>
        </w:rPr>
        <w:t>x,</w:t>
      </w:r>
      <w:r>
        <w:rPr>
          <w:rFonts w:ascii="Cambria"/>
          <w:spacing w:val="-14"/>
        </w:rPr>
        <w:t> </w:t>
      </w:r>
      <w:r>
        <w:rPr>
          <w:rFonts w:ascii="Cambria"/>
        </w:rPr>
        <w:t>y</w:t>
      </w:r>
      <w:r>
        <w:rPr>
          <w:rFonts w:ascii="Cambria"/>
          <w:spacing w:val="32"/>
        </w:rPr>
        <w:t> </w:t>
      </w:r>
      <w:r>
        <w:rPr/>
        <w:t>location in the field of play was derived from the distance</w:t>
      </w:r>
      <w:r>
        <w:rPr>
          <w:spacing w:val="80"/>
        </w:rPr>
        <w:t> </w:t>
      </w:r>
      <w:r>
        <w:rPr/>
        <w:t>between</w:t>
      </w:r>
      <w:r>
        <w:rPr>
          <w:spacing w:val="27"/>
        </w:rPr>
        <w:t> </w:t>
      </w:r>
      <w:r>
        <w:rPr/>
        <w:t>the</w:t>
      </w:r>
      <w:r>
        <w:rPr>
          <w:spacing w:val="28"/>
        </w:rPr>
        <w:t> </w:t>
      </w:r>
      <w:r>
        <w:rPr>
          <w:rFonts w:ascii="Cambria"/>
        </w:rPr>
        <w:t>x,</w:t>
      </w:r>
      <w:r>
        <w:rPr>
          <w:rFonts w:ascii="Cambria"/>
          <w:spacing w:val="-14"/>
        </w:rPr>
        <w:t> </w:t>
      </w:r>
      <w:r>
        <w:rPr>
          <w:rFonts w:ascii="Cambria"/>
        </w:rPr>
        <w:t>y</w:t>
      </w:r>
      <w:r>
        <w:rPr>
          <w:rFonts w:ascii="Cambria"/>
          <w:spacing w:val="40"/>
        </w:rPr>
        <w:t> </w:t>
      </w:r>
      <w:r>
        <w:rPr/>
        <w:t>location</w:t>
      </w:r>
      <w:r>
        <w:rPr>
          <w:spacing w:val="28"/>
        </w:rPr>
        <w:t> </w:t>
      </w:r>
      <w:r>
        <w:rPr/>
        <w:t>and</w:t>
      </w:r>
      <w:r>
        <w:rPr>
          <w:spacing w:val="28"/>
        </w:rPr>
        <w:t> </w:t>
      </w:r>
      <w:r>
        <w:rPr/>
        <w:t>the</w:t>
      </w:r>
      <w:r>
        <w:rPr>
          <w:spacing w:val="28"/>
        </w:rPr>
        <w:t> </w:t>
      </w:r>
      <w:r>
        <w:rPr/>
        <w:t>four</w:t>
      </w:r>
      <w:r>
        <w:rPr>
          <w:spacing w:val="28"/>
        </w:rPr>
        <w:t> </w:t>
      </w:r>
      <w:r>
        <w:rPr/>
        <w:t>centres</w:t>
      </w:r>
      <w:r>
        <w:rPr>
          <w:spacing w:val="28"/>
        </w:rPr>
        <w:t> </w:t>
      </w:r>
      <w:r>
        <w:rPr/>
        <w:t>surrounding</w:t>
      </w:r>
      <w:r>
        <w:rPr>
          <w:spacing w:val="28"/>
        </w:rPr>
        <w:t> </w:t>
      </w:r>
      <w:r>
        <w:rPr/>
        <w:t>it</w:t>
      </w:r>
      <w:r>
        <w:rPr>
          <w:spacing w:val="28"/>
        </w:rPr>
        <w:t> </w:t>
      </w:r>
      <w:r>
        <w:rPr/>
        <w:t>in</w:t>
      </w:r>
      <w:r>
        <w:rPr>
          <w:spacing w:val="28"/>
        </w:rPr>
        <w:t> </w:t>
      </w:r>
      <w:r>
        <w:rPr/>
        <w:t>a</w:t>
      </w:r>
      <w:r>
        <w:rPr>
          <w:spacing w:val="28"/>
        </w:rPr>
        <w:t> </w:t>
      </w:r>
      <w:r>
        <w:rPr/>
        <w:t>quadrilateral</w:t>
      </w:r>
      <w:r>
        <w:rPr>
          <w:spacing w:val="28"/>
        </w:rPr>
        <w:t> </w:t>
      </w:r>
      <w:r>
        <w:rPr/>
        <w:t>shape. These</w:t>
      </w:r>
      <w:r>
        <w:rPr>
          <w:spacing w:val="21"/>
        </w:rPr>
        <w:t> </w:t>
      </w:r>
      <w:r>
        <w:rPr/>
        <w:t>centres</w:t>
      </w:r>
      <w:r>
        <w:rPr>
          <w:spacing w:val="21"/>
        </w:rPr>
        <w:t> </w:t>
      </w:r>
      <w:r>
        <w:rPr/>
        <w:t>had</w:t>
      </w:r>
      <w:r>
        <w:rPr>
          <w:spacing w:val="21"/>
        </w:rPr>
        <w:t> </w:t>
      </w:r>
      <w:r>
        <w:rPr/>
        <w:t>coordinates</w:t>
      </w:r>
      <w:r>
        <w:rPr>
          <w:spacing w:val="21"/>
        </w:rPr>
        <w:t> </w:t>
      </w:r>
      <w:r>
        <w:rPr/>
        <w:t>(</w:t>
      </w:r>
      <w:r>
        <w:rPr>
          <w:rFonts w:ascii="Cambria"/>
        </w:rPr>
        <w:t>x</w:t>
      </w:r>
      <w:r>
        <w:rPr>
          <w:rFonts w:ascii="Georgia"/>
          <w:vertAlign w:val="subscript"/>
        </w:rPr>
        <w:t>1</w:t>
      </w:r>
      <w:r>
        <w:rPr>
          <w:vertAlign w:val="baseline"/>
        </w:rPr>
        <w:t>,</w:t>
      </w:r>
      <w:r>
        <w:rPr>
          <w:spacing w:val="23"/>
          <w:vertAlign w:val="baseline"/>
        </w:rPr>
        <w:t> </w:t>
      </w:r>
      <w:r>
        <w:rPr>
          <w:rFonts w:ascii="Cambria"/>
          <w:vertAlign w:val="baseline"/>
        </w:rPr>
        <w:t>y</w:t>
      </w:r>
      <w:r>
        <w:rPr>
          <w:rFonts w:ascii="Georgia"/>
          <w:vertAlign w:val="subscript"/>
        </w:rPr>
        <w:t>1</w:t>
      </w:r>
      <w:r>
        <w:rPr>
          <w:vertAlign w:val="baseline"/>
        </w:rPr>
        <w:t>),</w:t>
      </w:r>
      <w:r>
        <w:rPr>
          <w:spacing w:val="23"/>
          <w:vertAlign w:val="baseline"/>
        </w:rPr>
        <w:t> </w:t>
      </w:r>
      <w:r>
        <w:rPr>
          <w:vertAlign w:val="baseline"/>
        </w:rPr>
        <w:t>(</w:t>
      </w:r>
      <w:r>
        <w:rPr>
          <w:rFonts w:ascii="Cambria"/>
          <w:vertAlign w:val="baseline"/>
        </w:rPr>
        <w:t>x</w:t>
      </w:r>
      <w:r>
        <w:rPr>
          <w:rFonts w:ascii="Georgia"/>
          <w:vertAlign w:val="subscript"/>
        </w:rPr>
        <w:t>1</w:t>
      </w:r>
      <w:r>
        <w:rPr>
          <w:vertAlign w:val="baseline"/>
        </w:rPr>
        <w:t>,</w:t>
      </w:r>
      <w:r>
        <w:rPr>
          <w:spacing w:val="23"/>
          <w:vertAlign w:val="baseline"/>
        </w:rPr>
        <w:t> </w:t>
      </w:r>
      <w:r>
        <w:rPr>
          <w:rFonts w:ascii="Cambria"/>
          <w:vertAlign w:val="baseline"/>
        </w:rPr>
        <w:t>y</w:t>
      </w:r>
      <w:r>
        <w:rPr>
          <w:rFonts w:ascii="Georgia"/>
          <w:vertAlign w:val="subscript"/>
        </w:rPr>
        <w:t>2</w:t>
      </w:r>
      <w:r>
        <w:rPr>
          <w:vertAlign w:val="baseline"/>
        </w:rPr>
        <w:t>),</w:t>
      </w:r>
      <w:r>
        <w:rPr>
          <w:spacing w:val="23"/>
          <w:vertAlign w:val="baseline"/>
        </w:rPr>
        <w:t> </w:t>
      </w:r>
      <w:r>
        <w:rPr>
          <w:vertAlign w:val="baseline"/>
        </w:rPr>
        <w:t>(</w:t>
      </w:r>
      <w:r>
        <w:rPr>
          <w:rFonts w:ascii="Cambria"/>
          <w:vertAlign w:val="baseline"/>
        </w:rPr>
        <w:t>x</w:t>
      </w:r>
      <w:r>
        <w:rPr>
          <w:rFonts w:ascii="Georgia"/>
          <w:vertAlign w:val="subscript"/>
        </w:rPr>
        <w:t>2</w:t>
      </w:r>
      <w:r>
        <w:rPr>
          <w:vertAlign w:val="baseline"/>
        </w:rPr>
        <w:t>,</w:t>
      </w:r>
      <w:r>
        <w:rPr>
          <w:spacing w:val="23"/>
          <w:vertAlign w:val="baseline"/>
        </w:rPr>
        <w:t> </w:t>
      </w:r>
      <w:r>
        <w:rPr>
          <w:rFonts w:ascii="Cambria"/>
          <w:vertAlign w:val="baseline"/>
        </w:rPr>
        <w:t>y</w:t>
      </w:r>
      <w:r>
        <w:rPr>
          <w:rFonts w:ascii="Georgia"/>
          <w:vertAlign w:val="subscript"/>
        </w:rPr>
        <w:t>1</w:t>
      </w:r>
      <w:r>
        <w:rPr>
          <w:vertAlign w:val="baseline"/>
        </w:rPr>
        <w:t>)</w:t>
      </w:r>
      <w:r>
        <w:rPr>
          <w:spacing w:val="21"/>
          <w:vertAlign w:val="baseline"/>
        </w:rPr>
        <w:t> </w:t>
      </w:r>
      <w:r>
        <w:rPr>
          <w:vertAlign w:val="baseline"/>
        </w:rPr>
        <w:t>and</w:t>
      </w:r>
      <w:r>
        <w:rPr>
          <w:spacing w:val="21"/>
          <w:vertAlign w:val="baseline"/>
        </w:rPr>
        <w:t> </w:t>
      </w:r>
      <w:r>
        <w:rPr>
          <w:vertAlign w:val="baseline"/>
        </w:rPr>
        <w:t>(</w:t>
      </w:r>
      <w:r>
        <w:rPr>
          <w:rFonts w:ascii="Cambria"/>
          <w:vertAlign w:val="baseline"/>
        </w:rPr>
        <w:t>x</w:t>
      </w:r>
      <w:r>
        <w:rPr>
          <w:rFonts w:ascii="Georgia"/>
          <w:vertAlign w:val="subscript"/>
        </w:rPr>
        <w:t>2</w:t>
      </w:r>
      <w:r>
        <w:rPr>
          <w:vertAlign w:val="baseline"/>
        </w:rPr>
        <w:t>,</w:t>
      </w:r>
      <w:r>
        <w:rPr>
          <w:spacing w:val="23"/>
          <w:vertAlign w:val="baseline"/>
        </w:rPr>
        <w:t> </w:t>
      </w:r>
      <w:r>
        <w:rPr>
          <w:rFonts w:ascii="Cambria"/>
          <w:vertAlign w:val="baseline"/>
        </w:rPr>
        <w:t>y</w:t>
      </w:r>
      <w:r>
        <w:rPr>
          <w:rFonts w:ascii="Georgia"/>
          <w:vertAlign w:val="subscript"/>
        </w:rPr>
        <w:t>2</w:t>
      </w:r>
      <w:r>
        <w:rPr>
          <w:vertAlign w:val="baseline"/>
        </w:rPr>
        <w:t>).</w:t>
      </w:r>
      <w:r>
        <w:rPr>
          <w:spacing w:val="40"/>
          <w:vertAlign w:val="baseline"/>
        </w:rPr>
        <w:t> </w:t>
      </w:r>
      <w:r>
        <w:rPr>
          <w:vertAlign w:val="baseline"/>
        </w:rPr>
        <w:t>The</w:t>
      </w:r>
      <w:r>
        <w:rPr>
          <w:spacing w:val="21"/>
          <w:vertAlign w:val="baseline"/>
        </w:rPr>
        <w:t> </w:t>
      </w:r>
      <w:r>
        <w:rPr>
          <w:vertAlign w:val="baseline"/>
        </w:rPr>
        <w:t>weights</w:t>
      </w:r>
      <w:r>
        <w:rPr>
          <w:spacing w:val="21"/>
          <w:vertAlign w:val="baseline"/>
        </w:rPr>
        <w:t> </w:t>
      </w:r>
      <w:r>
        <w:rPr>
          <w:vertAlign w:val="baseline"/>
        </w:rPr>
        <w:t>(</w:t>
      </w:r>
      <w:r>
        <w:rPr>
          <w:rFonts w:ascii="Cambria"/>
          <w:vertAlign w:val="baseline"/>
        </w:rPr>
        <w:t>z</w:t>
      </w:r>
      <w:r>
        <w:rPr>
          <w:rFonts w:ascii="Georgia"/>
          <w:vertAlign w:val="subscript"/>
        </w:rPr>
        <w:t>11</w:t>
      </w:r>
      <w:r>
        <w:rPr>
          <w:vertAlign w:val="baseline"/>
        </w:rPr>
        <w:t>, </w:t>
      </w:r>
      <w:r>
        <w:rPr>
          <w:rFonts w:ascii="Cambria"/>
          <w:vertAlign w:val="baseline"/>
        </w:rPr>
        <w:t>z</w:t>
      </w:r>
      <w:r>
        <w:rPr>
          <w:rFonts w:ascii="Georgia"/>
          <w:vertAlign w:val="subscript"/>
        </w:rPr>
        <w:t>12</w:t>
      </w:r>
      <w:r>
        <w:rPr>
          <w:vertAlign w:val="baseline"/>
        </w:rPr>
        <w:t>,</w:t>
      </w:r>
      <w:r>
        <w:rPr>
          <w:spacing w:val="30"/>
          <w:vertAlign w:val="baseline"/>
        </w:rPr>
        <w:t> </w:t>
      </w:r>
      <w:r>
        <w:rPr>
          <w:rFonts w:ascii="Cambria"/>
          <w:vertAlign w:val="baseline"/>
        </w:rPr>
        <w:t>z</w:t>
      </w:r>
      <w:r>
        <w:rPr>
          <w:rFonts w:ascii="Georgia"/>
          <w:vertAlign w:val="subscript"/>
        </w:rPr>
        <w:t>21</w:t>
      </w:r>
      <w:r>
        <w:rPr>
          <w:rFonts w:ascii="Georgia"/>
          <w:spacing w:val="37"/>
          <w:vertAlign w:val="baseline"/>
        </w:rPr>
        <w:t> </w:t>
      </w:r>
      <w:r>
        <w:rPr>
          <w:vertAlign w:val="baseline"/>
        </w:rPr>
        <w:t>and </w:t>
      </w:r>
      <w:r>
        <w:rPr>
          <w:rFonts w:ascii="Cambria"/>
          <w:vertAlign w:val="baseline"/>
        </w:rPr>
        <w:t>z</w:t>
      </w:r>
      <w:r>
        <w:rPr>
          <w:rFonts w:ascii="Georgia"/>
          <w:vertAlign w:val="subscript"/>
        </w:rPr>
        <w:t>22</w:t>
      </w:r>
      <w:r>
        <w:rPr>
          <w:vertAlign w:val="baseline"/>
        </w:rPr>
        <w:t>) of these centres for location </w:t>
      </w:r>
      <w:r>
        <w:rPr>
          <w:rFonts w:ascii="Cambria"/>
          <w:vertAlign w:val="baseline"/>
        </w:rPr>
        <w:t>x,</w:t>
      </w:r>
      <w:r>
        <w:rPr>
          <w:rFonts w:ascii="Cambria"/>
          <w:spacing w:val="-10"/>
          <w:vertAlign w:val="baseline"/>
        </w:rPr>
        <w:t> </w:t>
      </w:r>
      <w:r>
        <w:rPr>
          <w:rFonts w:ascii="Cambria"/>
          <w:vertAlign w:val="baseline"/>
        </w:rPr>
        <w:t>y</w:t>
      </w:r>
      <w:r>
        <w:rPr>
          <w:rFonts w:ascii="Cambria"/>
          <w:spacing w:val="40"/>
          <w:vertAlign w:val="baseline"/>
        </w:rPr>
        <w:t> </w:t>
      </w:r>
      <w:r>
        <w:rPr>
          <w:vertAlign w:val="baseline"/>
        </w:rPr>
        <w:t>were calculated using Equations</w:t>
      </w:r>
      <w:hyperlink w:history="true" w:anchor="_bookmark184">
        <w:r>
          <w:rPr>
            <w:color w:val="0000FF"/>
            <w:vertAlign w:val="baseline"/>
          </w:rPr>
          <w:t>6.4</w:t>
        </w:r>
        <w:r>
          <w:rPr>
            <w:vertAlign w:val="baseline"/>
          </w:rPr>
          <w:t>,</w:t>
        </w:r>
      </w:hyperlink>
      <w:r>
        <w:rPr>
          <w:vertAlign w:val="baseline"/>
        </w:rPr>
        <w:t> </w:t>
      </w:r>
      <w:hyperlink w:history="true" w:anchor="_bookmark185">
        <w:r>
          <w:rPr>
            <w:color w:val="0000FF"/>
            <w:vertAlign w:val="baseline"/>
          </w:rPr>
          <w:t>6.5</w:t>
        </w:r>
      </w:hyperlink>
      <w:r>
        <w:rPr>
          <w:vertAlign w:val="baseline"/>
        </w:rPr>
        <w:t>,</w:t>
      </w:r>
      <w:hyperlink w:history="true" w:anchor="_bookmark186">
        <w:r>
          <w:rPr>
            <w:color w:val="0000FF"/>
            <w:vertAlign w:val="baseline"/>
          </w:rPr>
          <w:t>6.6</w:t>
        </w:r>
      </w:hyperlink>
      <w:r>
        <w:rPr>
          <w:vertAlign w:val="baseline"/>
        </w:rPr>
        <w:t>and</w:t>
      </w:r>
      <w:r>
        <w:rPr>
          <w:color w:val="0000FF"/>
          <w:vertAlign w:val="baseline"/>
        </w:rPr>
        <w:t>6.7</w:t>
      </w:r>
      <w:hyperlink w:history="true" w:anchor="_bookmark187">
        <w:r>
          <w:rPr>
            <w:vertAlign w:val="baseline"/>
          </w:rPr>
          <w:t>.</w:t>
        </w:r>
      </w:hyperlink>
      <w:r>
        <w:rPr>
          <w:vertAlign w:val="baseline"/>
        </w:rPr>
        <w:t> The remaining centres were assigned a weight of</w:t>
        <w:tab/>
      </w:r>
      <w:r>
        <w:rPr>
          <w:rFonts w:ascii="Garamond"/>
          <w:spacing w:val="-6"/>
          <w:vertAlign w:val="baseline"/>
        </w:rPr>
        <w:t>0</w:t>
      </w:r>
      <w:r>
        <w:rPr>
          <w:spacing w:val="-6"/>
          <w:vertAlign w:val="baseline"/>
        </w:rPr>
        <w:t>.</w:t>
      </w:r>
    </w:p>
    <w:p>
      <w:pPr>
        <w:pStyle w:val="BodyText"/>
        <w:spacing w:line="283" w:lineRule="exact" w:before="143"/>
        <w:ind w:left="757"/>
        <w:jc w:val="center"/>
        <w:rPr>
          <w:rFonts w:ascii="Garamond" w:hAnsi="Garamond"/>
        </w:rPr>
      </w:pPr>
      <w:bookmarkStart w:name="_bookmark184" w:id="318"/>
      <w:bookmarkEnd w:id="318"/>
      <w:r>
        <w:rPr/>
      </w:r>
      <w:r>
        <w:rPr>
          <w:spacing w:val="46"/>
          <w:u w:val="single"/>
        </w:rPr>
        <w:t> </w:t>
      </w:r>
      <w:r>
        <w:rPr>
          <w:rFonts w:ascii="Garamond" w:hAnsi="Garamond"/>
          <w:u w:val="single"/>
        </w:rPr>
        <w:t>(</w:t>
      </w:r>
      <w:r>
        <w:rPr>
          <w:rFonts w:ascii="Cambria" w:hAnsi="Cambria"/>
          <w:u w:val="single"/>
        </w:rPr>
        <w:t>x</w:t>
      </w:r>
      <w:r>
        <w:rPr>
          <w:rFonts w:ascii="Georgia" w:hAnsi="Georgia"/>
          <w:u w:val="single"/>
          <w:vertAlign w:val="subscript"/>
        </w:rPr>
        <w:t>2</w:t>
      </w:r>
      <w:r>
        <w:rPr>
          <w:rFonts w:ascii="Georgia" w:hAnsi="Georgia"/>
          <w:spacing w:val="18"/>
          <w:u w:val="single"/>
          <w:vertAlign w:val="baseline"/>
        </w:rPr>
        <w:t> </w:t>
      </w:r>
      <w:r>
        <w:rPr>
          <w:rFonts w:ascii="Lucida Sans Unicode" w:hAnsi="Lucida Sans Unicode"/>
          <w:u w:val="single"/>
          <w:vertAlign w:val="baseline"/>
        </w:rPr>
        <w:t>−</w:t>
      </w:r>
      <w:r>
        <w:rPr>
          <w:rFonts w:ascii="Lucida Sans Unicode" w:hAnsi="Lucida Sans Unicode"/>
          <w:spacing w:val="-13"/>
          <w:u w:val="single"/>
          <w:vertAlign w:val="baseline"/>
        </w:rPr>
        <w:t> </w:t>
      </w:r>
      <w:r>
        <w:rPr>
          <w:rFonts w:ascii="Cambria" w:hAnsi="Cambria"/>
          <w:u w:val="single"/>
          <w:vertAlign w:val="baseline"/>
        </w:rPr>
        <w:t>x</w:t>
      </w:r>
      <w:r>
        <w:rPr>
          <w:rFonts w:ascii="Garamond" w:hAnsi="Garamond"/>
          <w:u w:val="single"/>
          <w:vertAlign w:val="baseline"/>
        </w:rPr>
        <w:t>)(</w:t>
      </w:r>
      <w:r>
        <w:rPr>
          <w:rFonts w:ascii="Cambria" w:hAnsi="Cambria"/>
          <w:u w:val="single"/>
          <w:vertAlign w:val="baseline"/>
        </w:rPr>
        <w:t>y</w:t>
      </w:r>
      <w:r>
        <w:rPr>
          <w:rFonts w:ascii="Georgia" w:hAnsi="Georgia"/>
          <w:u w:val="single"/>
          <w:vertAlign w:val="subscript"/>
        </w:rPr>
        <w:t>2</w:t>
      </w:r>
      <w:r>
        <w:rPr>
          <w:rFonts w:ascii="Georgia" w:hAnsi="Georgia"/>
          <w:spacing w:val="18"/>
          <w:u w:val="single"/>
          <w:vertAlign w:val="baseline"/>
        </w:rPr>
        <w:t> </w:t>
      </w:r>
      <w:r>
        <w:rPr>
          <w:rFonts w:ascii="Lucida Sans Unicode" w:hAnsi="Lucida Sans Unicode"/>
          <w:u w:val="single"/>
          <w:vertAlign w:val="baseline"/>
        </w:rPr>
        <w:t>−</w:t>
      </w:r>
      <w:r>
        <w:rPr>
          <w:rFonts w:ascii="Lucida Sans Unicode" w:hAnsi="Lucida Sans Unicode"/>
          <w:spacing w:val="-13"/>
          <w:u w:val="single"/>
          <w:vertAlign w:val="baseline"/>
        </w:rPr>
        <w:t> </w:t>
      </w:r>
      <w:r>
        <w:rPr>
          <w:rFonts w:ascii="Cambria" w:hAnsi="Cambria"/>
          <w:spacing w:val="-5"/>
          <w:u w:val="single"/>
          <w:vertAlign w:val="baseline"/>
        </w:rPr>
        <w:t>y</w:t>
      </w:r>
      <w:r>
        <w:rPr>
          <w:rFonts w:ascii="Garamond" w:hAnsi="Garamond"/>
          <w:spacing w:val="-5"/>
          <w:u w:val="single"/>
          <w:vertAlign w:val="baseline"/>
        </w:rPr>
        <w:t>)</w:t>
      </w:r>
      <w:r>
        <w:rPr>
          <w:rFonts w:ascii="Garamond" w:hAnsi="Garamond"/>
          <w:spacing w:val="40"/>
          <w:u w:val="single"/>
          <w:vertAlign w:val="baseline"/>
        </w:rPr>
        <w:t> </w:t>
      </w:r>
    </w:p>
    <w:p>
      <w:pPr>
        <w:pStyle w:val="BodyText"/>
        <w:tabs>
          <w:tab w:pos="3948" w:val="left" w:leader="none"/>
          <w:tab w:pos="6065" w:val="left" w:leader="none"/>
          <w:tab w:pos="8656" w:val="left" w:leader="none"/>
        </w:tabs>
        <w:spacing w:line="58" w:lineRule="exact"/>
        <w:ind w:left="3593"/>
      </w:pPr>
      <w:r>
        <w:rPr>
          <w:rFonts w:ascii="Cambria"/>
          <w:spacing w:val="-10"/>
          <w:w w:val="110"/>
        </w:rPr>
        <w:t>z</w:t>
      </w:r>
      <w:r>
        <w:rPr>
          <w:rFonts w:ascii="Cambria"/>
        </w:rPr>
        <w:tab/>
      </w:r>
      <w:r>
        <w:rPr>
          <w:rFonts w:ascii="Garamond"/>
          <w:spacing w:val="-10"/>
          <w:w w:val="110"/>
        </w:rPr>
        <w:t>=</w:t>
      </w:r>
      <w:r>
        <w:rPr>
          <w:rFonts w:ascii="Garamond"/>
        </w:rPr>
        <w:tab/>
      </w:r>
      <w:r>
        <w:rPr>
          <w:rFonts w:ascii="Cambria"/>
          <w:spacing w:val="-10"/>
          <w:w w:val="110"/>
        </w:rPr>
        <w:t>,</w:t>
      </w:r>
      <w:r>
        <w:rPr>
          <w:rFonts w:ascii="Cambria"/>
        </w:rPr>
        <w:tab/>
      </w:r>
      <w:r>
        <w:rPr>
          <w:spacing w:val="-2"/>
          <w:w w:val="110"/>
        </w:rPr>
        <w:t>(6.4)</w:t>
      </w:r>
    </w:p>
    <w:p>
      <w:pPr>
        <w:spacing w:after="0" w:line="58" w:lineRule="exact"/>
        <w:sectPr>
          <w:pgSz w:w="11910" w:h="16840"/>
          <w:pgMar w:header="1961" w:footer="1428" w:top="2280" w:bottom="1620" w:left="1680" w:right="720"/>
        </w:sectPr>
      </w:pPr>
    </w:p>
    <w:p>
      <w:pPr>
        <w:tabs>
          <w:tab w:pos="518" w:val="left" w:leader="none"/>
        </w:tabs>
        <w:spacing w:line="124" w:lineRule="auto" w:before="15"/>
        <w:ind w:left="0" w:right="82" w:firstLine="0"/>
        <w:jc w:val="right"/>
        <w:rPr>
          <w:rFonts w:ascii="Cambria"/>
          <w:sz w:val="24"/>
        </w:rPr>
      </w:pPr>
      <w:r>
        <w:rPr/>
        <w:pict>
          <v:shape style="position:absolute;margin-left:306.230988pt;margin-top:8.192486pt;width:4.25pt;height:8pt;mso-position-horizontal-relative:page;mso-position-vertical-relative:paragraph;z-index:15810048" type="#_x0000_t202" id="docshape178" filled="false" stroked="false">
            <v:textbox inset="0,0,0,0">
              <w:txbxContent>
                <w:p>
                  <w:pPr>
                    <w:spacing w:line="155" w:lineRule="exact" w:before="0"/>
                    <w:ind w:left="0" w:right="0" w:firstLine="0"/>
                    <w:jc w:val="left"/>
                    <w:rPr>
                      <w:rFonts w:ascii="Georgia"/>
                      <w:sz w:val="16"/>
                    </w:rPr>
                  </w:pPr>
                  <w:r>
                    <w:rPr>
                      <w:rFonts w:ascii="Georgia"/>
                      <w:w w:val="94"/>
                      <w:sz w:val="16"/>
                    </w:rPr>
                    <w:t>2</w:t>
                  </w:r>
                </w:p>
              </w:txbxContent>
            </v:textbox>
            <w10:wrap type="none"/>
          </v:shape>
        </w:pict>
      </w:r>
      <w:r>
        <w:rPr>
          <w:rFonts w:ascii="Georgia"/>
          <w:spacing w:val="-5"/>
          <w:w w:val="120"/>
          <w:sz w:val="16"/>
        </w:rPr>
        <w:t>11</w:t>
      </w:r>
      <w:r>
        <w:rPr>
          <w:rFonts w:ascii="Georgia"/>
          <w:sz w:val="16"/>
        </w:rPr>
        <w:tab/>
      </w:r>
      <w:r>
        <w:rPr>
          <w:rFonts w:ascii="Garamond"/>
          <w:spacing w:val="-5"/>
          <w:w w:val="120"/>
          <w:position w:val="-12"/>
          <w:sz w:val="24"/>
        </w:rPr>
        <w:t>(</w:t>
      </w:r>
      <w:r>
        <w:rPr>
          <w:rFonts w:ascii="Cambria"/>
          <w:spacing w:val="-5"/>
          <w:w w:val="120"/>
          <w:position w:val="-12"/>
          <w:sz w:val="24"/>
        </w:rPr>
        <w:t>x</w:t>
      </w:r>
    </w:p>
    <w:p>
      <w:pPr>
        <w:pStyle w:val="BodyText"/>
        <w:spacing w:line="353" w:lineRule="exact"/>
        <w:ind w:left="23"/>
        <w:rPr>
          <w:rFonts w:ascii="Georgia" w:hAnsi="Georgia"/>
        </w:rPr>
      </w:pPr>
      <w:r>
        <w:rPr/>
        <w:br w:type="column"/>
      </w:r>
      <w:r>
        <w:rPr>
          <w:rFonts w:ascii="Lucida Sans Unicode" w:hAnsi="Lucida Sans Unicode"/>
          <w:w w:val="95"/>
        </w:rPr>
        <w:t>−</w:t>
      </w:r>
      <w:r>
        <w:rPr>
          <w:rFonts w:ascii="Lucida Sans Unicode" w:hAnsi="Lucida Sans Unicode"/>
          <w:spacing w:val="-16"/>
          <w:w w:val="95"/>
        </w:rPr>
        <w:t> </w:t>
      </w:r>
      <w:r>
        <w:rPr>
          <w:rFonts w:ascii="Cambria" w:hAnsi="Cambria"/>
          <w:spacing w:val="-2"/>
          <w:w w:val="110"/>
        </w:rPr>
        <w:t>x</w:t>
      </w:r>
      <w:r>
        <w:rPr>
          <w:rFonts w:ascii="Georgia" w:hAnsi="Georgia"/>
          <w:spacing w:val="-2"/>
          <w:w w:val="110"/>
          <w:vertAlign w:val="subscript"/>
        </w:rPr>
        <w:t>1</w:t>
      </w:r>
      <w:r>
        <w:rPr>
          <w:rFonts w:ascii="Garamond" w:hAnsi="Garamond"/>
          <w:spacing w:val="-2"/>
          <w:w w:val="110"/>
          <w:vertAlign w:val="baseline"/>
        </w:rPr>
        <w:t>)(</w:t>
      </w:r>
      <w:r>
        <w:rPr>
          <w:rFonts w:ascii="Cambria" w:hAnsi="Cambria"/>
          <w:spacing w:val="-2"/>
          <w:w w:val="110"/>
          <w:vertAlign w:val="baseline"/>
        </w:rPr>
        <w:t>y</w:t>
      </w:r>
      <w:r>
        <w:rPr>
          <w:rFonts w:ascii="Georgia" w:hAnsi="Georgia"/>
          <w:spacing w:val="-2"/>
          <w:w w:val="110"/>
          <w:vertAlign w:val="subscript"/>
        </w:rPr>
        <w:t>2</w:t>
      </w:r>
    </w:p>
    <w:p>
      <w:pPr>
        <w:pStyle w:val="BodyText"/>
        <w:spacing w:line="353" w:lineRule="exact"/>
        <w:ind w:left="23"/>
        <w:rPr>
          <w:rFonts w:ascii="Garamond" w:hAnsi="Garamond"/>
        </w:rPr>
      </w:pPr>
      <w:r>
        <w:rPr/>
        <w:br w:type="column"/>
      </w:r>
      <w:r>
        <w:rPr>
          <w:rFonts w:ascii="Lucida Sans Unicode" w:hAnsi="Lucida Sans Unicode"/>
          <w:w w:val="95"/>
        </w:rPr>
        <w:t>−</w:t>
      </w:r>
      <w:r>
        <w:rPr>
          <w:rFonts w:ascii="Lucida Sans Unicode" w:hAnsi="Lucida Sans Unicode"/>
          <w:spacing w:val="-16"/>
          <w:w w:val="95"/>
        </w:rPr>
        <w:t> </w:t>
      </w:r>
      <w:r>
        <w:rPr>
          <w:rFonts w:ascii="Cambria" w:hAnsi="Cambria"/>
          <w:spacing w:val="-5"/>
          <w:w w:val="110"/>
        </w:rPr>
        <w:t>y</w:t>
      </w:r>
      <w:r>
        <w:rPr>
          <w:rFonts w:ascii="Georgia" w:hAnsi="Georgia"/>
          <w:spacing w:val="-5"/>
          <w:w w:val="110"/>
          <w:vertAlign w:val="subscript"/>
        </w:rPr>
        <w:t>1</w:t>
      </w:r>
      <w:r>
        <w:rPr>
          <w:rFonts w:ascii="Garamond" w:hAnsi="Garamond"/>
          <w:spacing w:val="-5"/>
          <w:w w:val="110"/>
          <w:vertAlign w:val="baseline"/>
        </w:rPr>
        <w:t>)</w:t>
      </w:r>
    </w:p>
    <w:p>
      <w:pPr>
        <w:spacing w:after="0" w:line="353" w:lineRule="exact"/>
        <w:rPr>
          <w:rFonts w:ascii="Garamond" w:hAnsi="Garamond"/>
        </w:rPr>
        <w:sectPr>
          <w:type w:val="continuous"/>
          <w:pgSz w:w="11910" w:h="16840"/>
          <w:pgMar w:header="1961" w:footer="1428" w:top="1920" w:bottom="280" w:left="1680" w:right="720"/>
          <w:cols w:num="3" w:equalWidth="0">
            <w:col w:w="4530" w:space="40"/>
            <w:col w:w="871" w:space="39"/>
            <w:col w:w="4030"/>
          </w:cols>
        </w:sectPr>
      </w:pPr>
    </w:p>
    <w:p>
      <w:pPr>
        <w:pStyle w:val="BodyText"/>
        <w:rPr>
          <w:rFonts w:ascii="Garamond"/>
          <w:sz w:val="20"/>
        </w:rPr>
      </w:pPr>
    </w:p>
    <w:p>
      <w:pPr>
        <w:pStyle w:val="BodyText"/>
        <w:spacing w:before="6"/>
        <w:rPr>
          <w:rFonts w:ascii="Garamond"/>
          <w:sz w:val="17"/>
        </w:rPr>
      </w:pPr>
    </w:p>
    <w:p>
      <w:pPr>
        <w:pStyle w:val="BodyText"/>
        <w:spacing w:line="283" w:lineRule="exact" w:before="51"/>
        <w:ind w:left="757"/>
        <w:jc w:val="center"/>
        <w:rPr>
          <w:rFonts w:ascii="Garamond" w:hAnsi="Garamond"/>
        </w:rPr>
      </w:pPr>
      <w:bookmarkStart w:name="_bookmark185" w:id="319"/>
      <w:bookmarkEnd w:id="319"/>
      <w:r>
        <w:rPr/>
      </w:r>
      <w:r>
        <w:rPr>
          <w:spacing w:val="48"/>
          <w:u w:val="single"/>
        </w:rPr>
        <w:t> </w:t>
      </w:r>
      <w:r>
        <w:rPr>
          <w:rFonts w:ascii="Garamond" w:hAnsi="Garamond"/>
          <w:u w:val="single"/>
        </w:rPr>
        <w:t>(</w:t>
      </w:r>
      <w:r>
        <w:rPr>
          <w:rFonts w:ascii="Cambria" w:hAnsi="Cambria"/>
          <w:u w:val="single"/>
        </w:rPr>
        <w:t>x</w:t>
      </w:r>
      <w:r>
        <w:rPr>
          <w:rFonts w:ascii="Georgia" w:hAnsi="Georgia"/>
          <w:u w:val="single"/>
          <w:vertAlign w:val="subscript"/>
        </w:rPr>
        <w:t>2</w:t>
      </w:r>
      <w:r>
        <w:rPr>
          <w:rFonts w:ascii="Georgia" w:hAnsi="Georgia"/>
          <w:spacing w:val="19"/>
          <w:u w:val="single"/>
          <w:vertAlign w:val="baseline"/>
        </w:rPr>
        <w:t> </w:t>
      </w:r>
      <w:r>
        <w:rPr>
          <w:rFonts w:ascii="Lucida Sans Unicode" w:hAnsi="Lucida Sans Unicode"/>
          <w:u w:val="single"/>
          <w:vertAlign w:val="baseline"/>
        </w:rPr>
        <w:t>−</w:t>
      </w:r>
      <w:r>
        <w:rPr>
          <w:rFonts w:ascii="Lucida Sans Unicode" w:hAnsi="Lucida Sans Unicode"/>
          <w:spacing w:val="-12"/>
          <w:u w:val="single"/>
          <w:vertAlign w:val="baseline"/>
        </w:rPr>
        <w:t> </w:t>
      </w:r>
      <w:r>
        <w:rPr>
          <w:rFonts w:ascii="Cambria" w:hAnsi="Cambria"/>
          <w:u w:val="single"/>
          <w:vertAlign w:val="baseline"/>
        </w:rPr>
        <w:t>x</w:t>
      </w:r>
      <w:r>
        <w:rPr>
          <w:rFonts w:ascii="Garamond" w:hAnsi="Garamond"/>
          <w:u w:val="single"/>
          <w:vertAlign w:val="baseline"/>
        </w:rPr>
        <w:t>)(</w:t>
      </w:r>
      <w:r>
        <w:rPr>
          <w:rFonts w:ascii="Cambria" w:hAnsi="Cambria"/>
          <w:u w:val="single"/>
          <w:vertAlign w:val="baseline"/>
        </w:rPr>
        <w:t>y</w:t>
      </w:r>
      <w:r>
        <w:rPr>
          <w:rFonts w:ascii="Cambria" w:hAnsi="Cambria"/>
          <w:spacing w:val="21"/>
          <w:u w:val="single"/>
          <w:vertAlign w:val="baseline"/>
        </w:rPr>
        <w:t> </w:t>
      </w:r>
      <w:r>
        <w:rPr>
          <w:rFonts w:ascii="Lucida Sans Unicode" w:hAnsi="Lucida Sans Unicode"/>
          <w:u w:val="single"/>
          <w:vertAlign w:val="baseline"/>
        </w:rPr>
        <w:t>−</w:t>
      </w:r>
      <w:r>
        <w:rPr>
          <w:rFonts w:ascii="Lucida Sans Unicode" w:hAnsi="Lucida Sans Unicode"/>
          <w:spacing w:val="-11"/>
          <w:u w:val="single"/>
          <w:vertAlign w:val="baseline"/>
        </w:rPr>
        <w:t> </w:t>
      </w:r>
      <w:r>
        <w:rPr>
          <w:rFonts w:ascii="Cambria" w:hAnsi="Cambria"/>
          <w:spacing w:val="-5"/>
          <w:u w:val="single"/>
          <w:vertAlign w:val="baseline"/>
        </w:rPr>
        <w:t>y</w:t>
      </w:r>
      <w:r>
        <w:rPr>
          <w:rFonts w:ascii="Georgia" w:hAnsi="Georgia"/>
          <w:spacing w:val="-5"/>
          <w:u w:val="single"/>
          <w:vertAlign w:val="subscript"/>
        </w:rPr>
        <w:t>1</w:t>
      </w:r>
      <w:r>
        <w:rPr>
          <w:rFonts w:ascii="Garamond" w:hAnsi="Garamond"/>
          <w:spacing w:val="-5"/>
          <w:u w:val="single"/>
          <w:vertAlign w:val="baseline"/>
        </w:rPr>
        <w:t>)</w:t>
      </w:r>
      <w:r>
        <w:rPr>
          <w:rFonts w:ascii="Garamond" w:hAnsi="Garamond"/>
          <w:spacing w:val="40"/>
          <w:u w:val="single"/>
          <w:vertAlign w:val="baseline"/>
        </w:rPr>
        <w:t> </w:t>
      </w:r>
    </w:p>
    <w:p>
      <w:pPr>
        <w:pStyle w:val="BodyText"/>
        <w:tabs>
          <w:tab w:pos="3948" w:val="left" w:leader="none"/>
          <w:tab w:pos="6065" w:val="left" w:leader="none"/>
          <w:tab w:pos="8656" w:val="left" w:leader="none"/>
        </w:tabs>
        <w:spacing w:line="58" w:lineRule="exact"/>
        <w:ind w:left="3593"/>
      </w:pPr>
      <w:r>
        <w:rPr>
          <w:rFonts w:ascii="Cambria"/>
          <w:spacing w:val="-10"/>
          <w:w w:val="110"/>
        </w:rPr>
        <w:t>z</w:t>
      </w:r>
      <w:r>
        <w:rPr>
          <w:rFonts w:ascii="Cambria"/>
        </w:rPr>
        <w:tab/>
      </w:r>
      <w:r>
        <w:rPr>
          <w:rFonts w:ascii="Garamond"/>
          <w:spacing w:val="-10"/>
          <w:w w:val="110"/>
        </w:rPr>
        <w:t>=</w:t>
      </w:r>
      <w:r>
        <w:rPr>
          <w:rFonts w:ascii="Garamond"/>
        </w:rPr>
        <w:tab/>
      </w:r>
      <w:r>
        <w:rPr>
          <w:rFonts w:ascii="Cambria"/>
          <w:spacing w:val="-10"/>
          <w:w w:val="110"/>
        </w:rPr>
        <w:t>,</w:t>
      </w:r>
      <w:r>
        <w:rPr>
          <w:rFonts w:ascii="Cambria"/>
        </w:rPr>
        <w:tab/>
      </w:r>
      <w:r>
        <w:rPr>
          <w:spacing w:val="-2"/>
          <w:w w:val="110"/>
        </w:rPr>
        <w:t>(6.5)</w:t>
      </w:r>
    </w:p>
    <w:p>
      <w:pPr>
        <w:spacing w:after="0" w:line="58" w:lineRule="exact"/>
        <w:sectPr>
          <w:pgSz w:w="11910" w:h="16840"/>
          <w:pgMar w:header="1961" w:footer="1428" w:top="2280" w:bottom="1620" w:left="1680" w:right="720"/>
        </w:sectPr>
      </w:pPr>
    </w:p>
    <w:p>
      <w:pPr>
        <w:tabs>
          <w:tab w:pos="518" w:val="left" w:leader="none"/>
        </w:tabs>
        <w:spacing w:line="124" w:lineRule="auto" w:before="15"/>
        <w:ind w:left="0" w:right="82" w:firstLine="0"/>
        <w:jc w:val="right"/>
        <w:rPr>
          <w:rFonts w:ascii="Cambria"/>
          <w:sz w:val="24"/>
        </w:rPr>
      </w:pPr>
      <w:r>
        <w:rPr/>
        <w:pict>
          <v:shape style="position:absolute;margin-left:306.230988pt;margin-top:8.192499pt;width:4.25pt;height:8pt;mso-position-horizontal-relative:page;mso-position-vertical-relative:paragraph;z-index:15811072" type="#_x0000_t202" id="docshape179" filled="false" stroked="false">
            <v:textbox inset="0,0,0,0">
              <w:txbxContent>
                <w:p>
                  <w:pPr>
                    <w:spacing w:line="155" w:lineRule="exact" w:before="0"/>
                    <w:ind w:left="0" w:right="0" w:firstLine="0"/>
                    <w:jc w:val="left"/>
                    <w:rPr>
                      <w:rFonts w:ascii="Georgia"/>
                      <w:sz w:val="16"/>
                    </w:rPr>
                  </w:pPr>
                  <w:r>
                    <w:rPr>
                      <w:rFonts w:ascii="Georgia"/>
                      <w:w w:val="94"/>
                      <w:sz w:val="16"/>
                    </w:rPr>
                    <w:t>2</w:t>
                  </w:r>
                </w:p>
              </w:txbxContent>
            </v:textbox>
            <w10:wrap type="none"/>
          </v:shape>
        </w:pict>
      </w:r>
      <w:r>
        <w:rPr>
          <w:rFonts w:ascii="Georgia"/>
          <w:spacing w:val="-5"/>
          <w:w w:val="115"/>
          <w:sz w:val="16"/>
        </w:rPr>
        <w:t>12</w:t>
      </w:r>
      <w:r>
        <w:rPr>
          <w:rFonts w:ascii="Georgia"/>
          <w:sz w:val="16"/>
        </w:rPr>
        <w:tab/>
      </w:r>
      <w:r>
        <w:rPr>
          <w:rFonts w:ascii="Garamond"/>
          <w:spacing w:val="-5"/>
          <w:w w:val="115"/>
          <w:position w:val="-12"/>
          <w:sz w:val="24"/>
        </w:rPr>
        <w:t>(</w:t>
      </w:r>
      <w:r>
        <w:rPr>
          <w:rFonts w:ascii="Cambria"/>
          <w:spacing w:val="-5"/>
          <w:w w:val="115"/>
          <w:position w:val="-12"/>
          <w:sz w:val="24"/>
        </w:rPr>
        <w:t>x</w:t>
      </w:r>
    </w:p>
    <w:p>
      <w:pPr>
        <w:pStyle w:val="BodyText"/>
        <w:spacing w:line="353" w:lineRule="exact"/>
        <w:ind w:left="23"/>
        <w:rPr>
          <w:rFonts w:ascii="Georgia" w:hAnsi="Georgia"/>
        </w:rPr>
      </w:pPr>
      <w:r>
        <w:rPr/>
        <w:br w:type="column"/>
      </w:r>
      <w:r>
        <w:rPr>
          <w:rFonts w:ascii="Lucida Sans Unicode" w:hAnsi="Lucida Sans Unicode"/>
          <w:w w:val="95"/>
        </w:rPr>
        <w:t>−</w:t>
      </w:r>
      <w:r>
        <w:rPr>
          <w:rFonts w:ascii="Lucida Sans Unicode" w:hAnsi="Lucida Sans Unicode"/>
          <w:spacing w:val="-16"/>
          <w:w w:val="95"/>
        </w:rPr>
        <w:t> </w:t>
      </w:r>
      <w:r>
        <w:rPr>
          <w:rFonts w:ascii="Cambria" w:hAnsi="Cambria"/>
          <w:spacing w:val="-2"/>
          <w:w w:val="110"/>
        </w:rPr>
        <w:t>x</w:t>
      </w:r>
      <w:r>
        <w:rPr>
          <w:rFonts w:ascii="Georgia" w:hAnsi="Georgia"/>
          <w:spacing w:val="-2"/>
          <w:w w:val="110"/>
          <w:vertAlign w:val="subscript"/>
        </w:rPr>
        <w:t>1</w:t>
      </w:r>
      <w:r>
        <w:rPr>
          <w:rFonts w:ascii="Garamond" w:hAnsi="Garamond"/>
          <w:spacing w:val="-2"/>
          <w:w w:val="110"/>
          <w:vertAlign w:val="baseline"/>
        </w:rPr>
        <w:t>)(</w:t>
      </w:r>
      <w:r>
        <w:rPr>
          <w:rFonts w:ascii="Cambria" w:hAnsi="Cambria"/>
          <w:spacing w:val="-2"/>
          <w:w w:val="110"/>
          <w:vertAlign w:val="baseline"/>
        </w:rPr>
        <w:t>y</w:t>
      </w:r>
      <w:r>
        <w:rPr>
          <w:rFonts w:ascii="Georgia" w:hAnsi="Georgia"/>
          <w:spacing w:val="-2"/>
          <w:w w:val="110"/>
          <w:vertAlign w:val="subscript"/>
        </w:rPr>
        <w:t>2</w:t>
      </w:r>
    </w:p>
    <w:p>
      <w:pPr>
        <w:pStyle w:val="BodyText"/>
        <w:spacing w:line="353" w:lineRule="exact"/>
        <w:ind w:left="23"/>
        <w:rPr>
          <w:rFonts w:ascii="Garamond" w:hAnsi="Garamond"/>
        </w:rPr>
      </w:pPr>
      <w:r>
        <w:rPr/>
        <w:br w:type="column"/>
      </w:r>
      <w:r>
        <w:rPr>
          <w:rFonts w:ascii="Lucida Sans Unicode" w:hAnsi="Lucida Sans Unicode"/>
          <w:w w:val="95"/>
        </w:rPr>
        <w:t>−</w:t>
      </w:r>
      <w:r>
        <w:rPr>
          <w:rFonts w:ascii="Lucida Sans Unicode" w:hAnsi="Lucida Sans Unicode"/>
          <w:spacing w:val="-16"/>
          <w:w w:val="95"/>
        </w:rPr>
        <w:t> </w:t>
      </w:r>
      <w:r>
        <w:rPr>
          <w:rFonts w:ascii="Cambria" w:hAnsi="Cambria"/>
          <w:spacing w:val="-5"/>
          <w:w w:val="110"/>
        </w:rPr>
        <w:t>y</w:t>
      </w:r>
      <w:r>
        <w:rPr>
          <w:rFonts w:ascii="Georgia" w:hAnsi="Georgia"/>
          <w:spacing w:val="-5"/>
          <w:w w:val="110"/>
          <w:vertAlign w:val="subscript"/>
        </w:rPr>
        <w:t>1</w:t>
      </w:r>
      <w:r>
        <w:rPr>
          <w:rFonts w:ascii="Garamond" w:hAnsi="Garamond"/>
          <w:spacing w:val="-5"/>
          <w:w w:val="110"/>
          <w:vertAlign w:val="baseline"/>
        </w:rPr>
        <w:t>)</w:t>
      </w:r>
    </w:p>
    <w:p>
      <w:pPr>
        <w:spacing w:after="0" w:line="353" w:lineRule="exact"/>
        <w:rPr>
          <w:rFonts w:ascii="Garamond" w:hAnsi="Garamond"/>
        </w:rPr>
        <w:sectPr>
          <w:type w:val="continuous"/>
          <w:pgSz w:w="11910" w:h="16840"/>
          <w:pgMar w:header="1961" w:footer="1428" w:top="1920" w:bottom="280" w:left="1680" w:right="720"/>
          <w:cols w:num="3" w:equalWidth="0">
            <w:col w:w="4530" w:space="40"/>
            <w:col w:w="871" w:space="39"/>
            <w:col w:w="4030"/>
          </w:cols>
        </w:sectPr>
      </w:pPr>
    </w:p>
    <w:p>
      <w:pPr>
        <w:pStyle w:val="BodyText"/>
        <w:spacing w:line="283" w:lineRule="exact" w:before="51"/>
        <w:ind w:left="757"/>
        <w:jc w:val="center"/>
        <w:rPr>
          <w:rFonts w:ascii="Garamond" w:hAnsi="Garamond"/>
        </w:rPr>
      </w:pPr>
      <w:bookmarkStart w:name="_bookmark186" w:id="320"/>
      <w:bookmarkEnd w:id="320"/>
      <w:r>
        <w:rPr/>
      </w:r>
      <w:r>
        <w:rPr>
          <w:spacing w:val="56"/>
          <w:u w:val="single"/>
        </w:rPr>
        <w:t> </w:t>
      </w:r>
      <w:r>
        <w:rPr>
          <w:rFonts w:ascii="Garamond" w:hAnsi="Garamond"/>
          <w:u w:val="single"/>
        </w:rPr>
        <w:t>(</w:t>
      </w:r>
      <w:r>
        <w:rPr>
          <w:rFonts w:ascii="Cambria" w:hAnsi="Cambria"/>
          <w:u w:val="single"/>
        </w:rPr>
        <w:t>x</w:t>
      </w:r>
      <w:r>
        <w:rPr>
          <w:rFonts w:ascii="Cambria" w:hAnsi="Cambria"/>
          <w:spacing w:val="16"/>
          <w:u w:val="single"/>
        </w:rPr>
        <w:t> </w:t>
      </w:r>
      <w:r>
        <w:rPr>
          <w:rFonts w:ascii="Lucida Sans Unicode" w:hAnsi="Lucida Sans Unicode"/>
          <w:u w:val="single"/>
        </w:rPr>
        <w:t>−</w:t>
      </w:r>
      <w:r>
        <w:rPr>
          <w:rFonts w:ascii="Lucida Sans Unicode" w:hAnsi="Lucida Sans Unicode"/>
          <w:spacing w:val="-7"/>
          <w:u w:val="single"/>
        </w:rPr>
        <w:t> </w:t>
      </w:r>
      <w:r>
        <w:rPr>
          <w:rFonts w:ascii="Cambria" w:hAnsi="Cambria"/>
          <w:u w:val="single"/>
        </w:rPr>
        <w:t>x</w:t>
      </w:r>
      <w:r>
        <w:rPr>
          <w:rFonts w:ascii="Georgia" w:hAnsi="Georgia"/>
          <w:u w:val="single"/>
          <w:vertAlign w:val="subscript"/>
        </w:rPr>
        <w:t>1</w:t>
      </w:r>
      <w:r>
        <w:rPr>
          <w:rFonts w:ascii="Garamond" w:hAnsi="Garamond"/>
          <w:u w:val="single"/>
          <w:vertAlign w:val="baseline"/>
        </w:rPr>
        <w:t>)(</w:t>
      </w:r>
      <w:r>
        <w:rPr>
          <w:rFonts w:ascii="Cambria" w:hAnsi="Cambria"/>
          <w:u w:val="single"/>
          <w:vertAlign w:val="baseline"/>
        </w:rPr>
        <w:t>y</w:t>
      </w:r>
      <w:r>
        <w:rPr>
          <w:rFonts w:ascii="Georgia" w:hAnsi="Georgia"/>
          <w:u w:val="single"/>
          <w:vertAlign w:val="subscript"/>
        </w:rPr>
        <w:t>2</w:t>
      </w:r>
      <w:r>
        <w:rPr>
          <w:rFonts w:ascii="Georgia" w:hAnsi="Georgia"/>
          <w:spacing w:val="24"/>
          <w:u w:val="single"/>
          <w:vertAlign w:val="baseline"/>
        </w:rPr>
        <w:t> </w:t>
      </w:r>
      <w:r>
        <w:rPr>
          <w:rFonts w:ascii="Lucida Sans Unicode" w:hAnsi="Lucida Sans Unicode"/>
          <w:u w:val="single"/>
          <w:vertAlign w:val="baseline"/>
        </w:rPr>
        <w:t>−</w:t>
      </w:r>
      <w:r>
        <w:rPr>
          <w:rFonts w:ascii="Lucida Sans Unicode" w:hAnsi="Lucida Sans Unicode"/>
          <w:spacing w:val="-7"/>
          <w:u w:val="single"/>
          <w:vertAlign w:val="baseline"/>
        </w:rPr>
        <w:t> </w:t>
      </w:r>
      <w:r>
        <w:rPr>
          <w:rFonts w:ascii="Cambria" w:hAnsi="Cambria"/>
          <w:spacing w:val="-5"/>
          <w:u w:val="single"/>
          <w:vertAlign w:val="baseline"/>
        </w:rPr>
        <w:t>y</w:t>
      </w:r>
      <w:r>
        <w:rPr>
          <w:rFonts w:ascii="Garamond" w:hAnsi="Garamond"/>
          <w:spacing w:val="-5"/>
          <w:u w:val="single"/>
          <w:vertAlign w:val="baseline"/>
        </w:rPr>
        <w:t>)</w:t>
      </w:r>
      <w:r>
        <w:rPr>
          <w:rFonts w:ascii="Garamond" w:hAnsi="Garamond"/>
          <w:spacing w:val="40"/>
          <w:u w:val="single"/>
          <w:vertAlign w:val="baseline"/>
        </w:rPr>
        <w:t> </w:t>
      </w:r>
    </w:p>
    <w:p>
      <w:pPr>
        <w:pStyle w:val="BodyText"/>
        <w:tabs>
          <w:tab w:pos="3948" w:val="left" w:leader="none"/>
          <w:tab w:pos="6065" w:val="left" w:leader="none"/>
          <w:tab w:pos="8656" w:val="left" w:leader="none"/>
        </w:tabs>
        <w:spacing w:line="58" w:lineRule="exact"/>
        <w:ind w:left="3593"/>
      </w:pPr>
      <w:r>
        <w:rPr>
          <w:rFonts w:ascii="Cambria"/>
          <w:spacing w:val="-10"/>
          <w:w w:val="110"/>
        </w:rPr>
        <w:t>z</w:t>
      </w:r>
      <w:r>
        <w:rPr>
          <w:rFonts w:ascii="Cambria"/>
        </w:rPr>
        <w:tab/>
      </w:r>
      <w:r>
        <w:rPr>
          <w:rFonts w:ascii="Garamond"/>
          <w:spacing w:val="-10"/>
          <w:w w:val="110"/>
        </w:rPr>
        <w:t>=</w:t>
      </w:r>
      <w:r>
        <w:rPr>
          <w:rFonts w:ascii="Garamond"/>
        </w:rPr>
        <w:tab/>
      </w:r>
      <w:r>
        <w:rPr>
          <w:rFonts w:ascii="Cambria"/>
          <w:spacing w:val="-10"/>
          <w:w w:val="110"/>
        </w:rPr>
        <w:t>,</w:t>
      </w:r>
      <w:r>
        <w:rPr>
          <w:rFonts w:ascii="Cambria"/>
        </w:rPr>
        <w:tab/>
      </w:r>
      <w:r>
        <w:rPr>
          <w:spacing w:val="-2"/>
          <w:w w:val="110"/>
        </w:rPr>
        <w:t>(6.6)</w:t>
      </w:r>
    </w:p>
    <w:p>
      <w:pPr>
        <w:spacing w:after="0" w:line="58" w:lineRule="exact"/>
        <w:sectPr>
          <w:type w:val="continuous"/>
          <w:pgSz w:w="11910" w:h="16840"/>
          <w:pgMar w:header="1961" w:footer="1428" w:top="1920" w:bottom="280" w:left="1680" w:right="720"/>
        </w:sectPr>
      </w:pPr>
    </w:p>
    <w:p>
      <w:pPr>
        <w:tabs>
          <w:tab w:pos="518" w:val="left" w:leader="none"/>
        </w:tabs>
        <w:spacing w:line="124" w:lineRule="auto" w:before="15"/>
        <w:ind w:left="0" w:right="82" w:firstLine="0"/>
        <w:jc w:val="right"/>
        <w:rPr>
          <w:rFonts w:ascii="Cambria"/>
          <w:sz w:val="24"/>
        </w:rPr>
      </w:pPr>
      <w:r>
        <w:rPr/>
        <w:pict>
          <v:shape style="position:absolute;margin-left:306.230988pt;margin-top:8.192498pt;width:4.25pt;height:8pt;mso-position-horizontal-relative:page;mso-position-vertical-relative:paragraph;z-index:15811584" type="#_x0000_t202" id="docshape180" filled="false" stroked="false">
            <v:textbox inset="0,0,0,0">
              <w:txbxContent>
                <w:p>
                  <w:pPr>
                    <w:spacing w:line="155" w:lineRule="exact" w:before="0"/>
                    <w:ind w:left="0" w:right="0" w:firstLine="0"/>
                    <w:jc w:val="left"/>
                    <w:rPr>
                      <w:rFonts w:ascii="Georgia"/>
                      <w:sz w:val="16"/>
                    </w:rPr>
                  </w:pPr>
                  <w:r>
                    <w:rPr>
                      <w:rFonts w:ascii="Georgia"/>
                      <w:w w:val="94"/>
                      <w:sz w:val="16"/>
                    </w:rPr>
                    <w:t>2</w:t>
                  </w:r>
                </w:p>
              </w:txbxContent>
            </v:textbox>
            <w10:wrap type="none"/>
          </v:shape>
        </w:pict>
      </w:r>
      <w:r>
        <w:rPr>
          <w:rFonts w:ascii="Georgia"/>
          <w:spacing w:val="-5"/>
          <w:w w:val="115"/>
          <w:sz w:val="16"/>
        </w:rPr>
        <w:t>21</w:t>
      </w:r>
      <w:r>
        <w:rPr>
          <w:rFonts w:ascii="Georgia"/>
          <w:sz w:val="16"/>
        </w:rPr>
        <w:tab/>
      </w:r>
      <w:r>
        <w:rPr>
          <w:rFonts w:ascii="Garamond"/>
          <w:spacing w:val="-5"/>
          <w:w w:val="115"/>
          <w:position w:val="-12"/>
          <w:sz w:val="24"/>
        </w:rPr>
        <w:t>(</w:t>
      </w:r>
      <w:r>
        <w:rPr>
          <w:rFonts w:ascii="Cambria"/>
          <w:spacing w:val="-5"/>
          <w:w w:val="115"/>
          <w:position w:val="-12"/>
          <w:sz w:val="24"/>
        </w:rPr>
        <w:t>x</w:t>
      </w:r>
    </w:p>
    <w:p>
      <w:pPr>
        <w:pStyle w:val="BodyText"/>
        <w:spacing w:line="353" w:lineRule="exact"/>
        <w:ind w:left="23"/>
        <w:rPr>
          <w:rFonts w:ascii="Georgia" w:hAnsi="Georgia"/>
        </w:rPr>
      </w:pPr>
      <w:r>
        <w:rPr/>
        <w:br w:type="column"/>
      </w:r>
      <w:r>
        <w:rPr>
          <w:rFonts w:ascii="Lucida Sans Unicode" w:hAnsi="Lucida Sans Unicode"/>
          <w:w w:val="95"/>
        </w:rPr>
        <w:t>−</w:t>
      </w:r>
      <w:r>
        <w:rPr>
          <w:rFonts w:ascii="Lucida Sans Unicode" w:hAnsi="Lucida Sans Unicode"/>
          <w:spacing w:val="-16"/>
          <w:w w:val="95"/>
        </w:rPr>
        <w:t> </w:t>
      </w:r>
      <w:r>
        <w:rPr>
          <w:rFonts w:ascii="Cambria" w:hAnsi="Cambria"/>
          <w:spacing w:val="-2"/>
          <w:w w:val="110"/>
        </w:rPr>
        <w:t>x</w:t>
      </w:r>
      <w:r>
        <w:rPr>
          <w:rFonts w:ascii="Georgia" w:hAnsi="Georgia"/>
          <w:spacing w:val="-2"/>
          <w:w w:val="110"/>
          <w:vertAlign w:val="subscript"/>
        </w:rPr>
        <w:t>1</w:t>
      </w:r>
      <w:r>
        <w:rPr>
          <w:rFonts w:ascii="Garamond" w:hAnsi="Garamond"/>
          <w:spacing w:val="-2"/>
          <w:w w:val="110"/>
          <w:vertAlign w:val="baseline"/>
        </w:rPr>
        <w:t>)(</w:t>
      </w:r>
      <w:r>
        <w:rPr>
          <w:rFonts w:ascii="Cambria" w:hAnsi="Cambria"/>
          <w:spacing w:val="-2"/>
          <w:w w:val="110"/>
          <w:vertAlign w:val="baseline"/>
        </w:rPr>
        <w:t>y</w:t>
      </w:r>
      <w:r>
        <w:rPr>
          <w:rFonts w:ascii="Georgia" w:hAnsi="Georgia"/>
          <w:spacing w:val="-2"/>
          <w:w w:val="110"/>
          <w:vertAlign w:val="subscript"/>
        </w:rPr>
        <w:t>2</w:t>
      </w:r>
    </w:p>
    <w:p>
      <w:pPr>
        <w:pStyle w:val="BodyText"/>
        <w:spacing w:line="353" w:lineRule="exact"/>
        <w:ind w:left="23"/>
        <w:rPr>
          <w:rFonts w:ascii="Garamond" w:hAnsi="Garamond"/>
        </w:rPr>
      </w:pPr>
      <w:r>
        <w:rPr/>
        <w:br w:type="column"/>
      </w:r>
      <w:r>
        <w:rPr>
          <w:rFonts w:ascii="Lucida Sans Unicode" w:hAnsi="Lucida Sans Unicode"/>
          <w:w w:val="95"/>
        </w:rPr>
        <w:t>−</w:t>
      </w:r>
      <w:r>
        <w:rPr>
          <w:rFonts w:ascii="Lucida Sans Unicode" w:hAnsi="Lucida Sans Unicode"/>
          <w:spacing w:val="-16"/>
          <w:w w:val="95"/>
        </w:rPr>
        <w:t> </w:t>
      </w:r>
      <w:r>
        <w:rPr>
          <w:rFonts w:ascii="Cambria" w:hAnsi="Cambria"/>
          <w:spacing w:val="-5"/>
          <w:w w:val="110"/>
        </w:rPr>
        <w:t>y</w:t>
      </w:r>
      <w:r>
        <w:rPr>
          <w:rFonts w:ascii="Georgia" w:hAnsi="Georgia"/>
          <w:spacing w:val="-5"/>
          <w:w w:val="110"/>
          <w:vertAlign w:val="subscript"/>
        </w:rPr>
        <w:t>1</w:t>
      </w:r>
      <w:r>
        <w:rPr>
          <w:rFonts w:ascii="Garamond" w:hAnsi="Garamond"/>
          <w:spacing w:val="-5"/>
          <w:w w:val="110"/>
          <w:vertAlign w:val="baseline"/>
        </w:rPr>
        <w:t>)</w:t>
      </w:r>
    </w:p>
    <w:p>
      <w:pPr>
        <w:spacing w:after="0" w:line="353" w:lineRule="exact"/>
        <w:rPr>
          <w:rFonts w:ascii="Garamond" w:hAnsi="Garamond"/>
        </w:rPr>
        <w:sectPr>
          <w:type w:val="continuous"/>
          <w:pgSz w:w="11910" w:h="16840"/>
          <w:pgMar w:header="1961" w:footer="1428" w:top="1920" w:bottom="280" w:left="1680" w:right="720"/>
          <w:cols w:num="3" w:equalWidth="0">
            <w:col w:w="4530" w:space="40"/>
            <w:col w:w="871" w:space="39"/>
            <w:col w:w="4030"/>
          </w:cols>
        </w:sectPr>
      </w:pPr>
    </w:p>
    <w:p>
      <w:pPr>
        <w:pStyle w:val="BodyText"/>
        <w:spacing w:line="283" w:lineRule="exact" w:before="51"/>
        <w:ind w:left="757"/>
        <w:jc w:val="center"/>
        <w:rPr>
          <w:rFonts w:ascii="Garamond" w:hAnsi="Garamond"/>
        </w:rPr>
      </w:pPr>
      <w:bookmarkStart w:name="_bookmark187" w:id="321"/>
      <w:bookmarkEnd w:id="321"/>
      <w:r>
        <w:rPr/>
      </w:r>
      <w:r>
        <w:rPr>
          <w:spacing w:val="22"/>
          <w:w w:val="110"/>
          <w:u w:val="single"/>
        </w:rPr>
        <w:t> </w:t>
      </w:r>
      <w:r>
        <w:rPr>
          <w:rFonts w:ascii="Garamond" w:hAnsi="Garamond"/>
          <w:w w:val="110"/>
          <w:u w:val="single"/>
        </w:rPr>
        <w:t>(</w:t>
      </w:r>
      <w:r>
        <w:rPr>
          <w:rFonts w:ascii="Cambria" w:hAnsi="Cambria"/>
          <w:w w:val="110"/>
          <w:u w:val="single"/>
        </w:rPr>
        <w:t>x</w:t>
      </w:r>
      <w:r>
        <w:rPr>
          <w:rFonts w:ascii="Cambria" w:hAnsi="Cambria"/>
          <w:spacing w:val="-6"/>
          <w:w w:val="110"/>
          <w:u w:val="single"/>
        </w:rPr>
        <w:t> </w:t>
      </w:r>
      <w:r>
        <w:rPr>
          <w:rFonts w:ascii="Lucida Sans Unicode" w:hAnsi="Lucida Sans Unicode"/>
          <w:w w:val="110"/>
          <w:u w:val="single"/>
        </w:rPr>
        <w:t>−</w:t>
      </w:r>
      <w:r>
        <w:rPr>
          <w:rFonts w:ascii="Lucida Sans Unicode" w:hAnsi="Lucida Sans Unicode"/>
          <w:spacing w:val="-31"/>
          <w:w w:val="110"/>
          <w:u w:val="single"/>
        </w:rPr>
        <w:t> </w:t>
      </w:r>
      <w:r>
        <w:rPr>
          <w:rFonts w:ascii="Cambria" w:hAnsi="Cambria"/>
          <w:w w:val="110"/>
          <w:u w:val="single"/>
        </w:rPr>
        <w:t>x</w:t>
      </w:r>
      <w:r>
        <w:rPr>
          <w:rFonts w:ascii="Georgia" w:hAnsi="Georgia"/>
          <w:w w:val="110"/>
          <w:u w:val="single"/>
          <w:vertAlign w:val="subscript"/>
        </w:rPr>
        <w:t>1</w:t>
      </w:r>
      <w:r>
        <w:rPr>
          <w:rFonts w:ascii="Garamond" w:hAnsi="Garamond"/>
          <w:w w:val="110"/>
          <w:u w:val="single"/>
          <w:vertAlign w:val="baseline"/>
        </w:rPr>
        <w:t>)(</w:t>
      </w:r>
      <w:r>
        <w:rPr>
          <w:rFonts w:ascii="Cambria" w:hAnsi="Cambria"/>
          <w:w w:val="110"/>
          <w:u w:val="single"/>
          <w:vertAlign w:val="baseline"/>
        </w:rPr>
        <w:t>y</w:t>
      </w:r>
      <w:r>
        <w:rPr>
          <w:rFonts w:ascii="Cambria" w:hAnsi="Cambria"/>
          <w:spacing w:val="3"/>
          <w:w w:val="110"/>
          <w:u w:val="single"/>
          <w:vertAlign w:val="baseline"/>
        </w:rPr>
        <w:t> </w:t>
      </w:r>
      <w:r>
        <w:rPr>
          <w:rFonts w:ascii="Lucida Sans Unicode" w:hAnsi="Lucida Sans Unicode"/>
          <w:w w:val="110"/>
          <w:u w:val="single"/>
          <w:vertAlign w:val="baseline"/>
        </w:rPr>
        <w:t>−</w:t>
      </w:r>
      <w:r>
        <w:rPr>
          <w:rFonts w:ascii="Lucida Sans Unicode" w:hAnsi="Lucida Sans Unicode"/>
          <w:spacing w:val="-31"/>
          <w:w w:val="110"/>
          <w:u w:val="single"/>
          <w:vertAlign w:val="baseline"/>
        </w:rPr>
        <w:t> </w:t>
      </w:r>
      <w:r>
        <w:rPr>
          <w:rFonts w:ascii="Cambria" w:hAnsi="Cambria"/>
          <w:spacing w:val="-5"/>
          <w:w w:val="110"/>
          <w:u w:val="single"/>
          <w:vertAlign w:val="baseline"/>
        </w:rPr>
        <w:t>y</w:t>
      </w:r>
      <w:r>
        <w:rPr>
          <w:rFonts w:ascii="Georgia" w:hAnsi="Georgia"/>
          <w:spacing w:val="-5"/>
          <w:w w:val="110"/>
          <w:u w:val="single"/>
          <w:vertAlign w:val="subscript"/>
        </w:rPr>
        <w:t>1</w:t>
      </w:r>
      <w:r>
        <w:rPr>
          <w:rFonts w:ascii="Garamond" w:hAnsi="Garamond"/>
          <w:spacing w:val="-5"/>
          <w:w w:val="110"/>
          <w:u w:val="single"/>
          <w:vertAlign w:val="baseline"/>
        </w:rPr>
        <w:t>)</w:t>
      </w:r>
      <w:r>
        <w:rPr>
          <w:rFonts w:ascii="Garamond" w:hAnsi="Garamond"/>
          <w:spacing w:val="40"/>
          <w:w w:val="110"/>
          <w:u w:val="single"/>
          <w:vertAlign w:val="baseline"/>
        </w:rPr>
        <w:t> </w:t>
      </w:r>
    </w:p>
    <w:p>
      <w:pPr>
        <w:pStyle w:val="BodyText"/>
        <w:tabs>
          <w:tab w:pos="3948" w:val="left" w:leader="none"/>
          <w:tab w:pos="6065" w:val="left" w:leader="none"/>
          <w:tab w:pos="8656" w:val="left" w:leader="none"/>
        </w:tabs>
        <w:spacing w:line="58" w:lineRule="exact"/>
        <w:ind w:left="3593"/>
      </w:pPr>
      <w:r>
        <w:rPr>
          <w:rFonts w:ascii="Cambria"/>
          <w:spacing w:val="-10"/>
          <w:w w:val="110"/>
        </w:rPr>
        <w:t>z</w:t>
      </w:r>
      <w:r>
        <w:rPr>
          <w:rFonts w:ascii="Cambria"/>
        </w:rPr>
        <w:tab/>
      </w:r>
      <w:r>
        <w:rPr>
          <w:rFonts w:ascii="Garamond"/>
          <w:spacing w:val="-10"/>
          <w:w w:val="110"/>
        </w:rPr>
        <w:t>=</w:t>
      </w:r>
      <w:r>
        <w:rPr>
          <w:rFonts w:ascii="Garamond"/>
        </w:rPr>
        <w:tab/>
      </w:r>
      <w:r>
        <w:rPr>
          <w:rFonts w:ascii="Cambria"/>
          <w:spacing w:val="-10"/>
          <w:w w:val="110"/>
        </w:rPr>
        <w:t>.</w:t>
      </w:r>
      <w:r>
        <w:rPr>
          <w:rFonts w:ascii="Cambria"/>
        </w:rPr>
        <w:tab/>
      </w:r>
      <w:r>
        <w:rPr>
          <w:spacing w:val="-2"/>
          <w:w w:val="110"/>
        </w:rPr>
        <w:t>(6.7)</w:t>
      </w:r>
    </w:p>
    <w:p>
      <w:pPr>
        <w:spacing w:after="0" w:line="58" w:lineRule="exact"/>
        <w:sectPr>
          <w:type w:val="continuous"/>
          <w:pgSz w:w="11910" w:h="16840"/>
          <w:pgMar w:header="1961" w:footer="1428" w:top="1920" w:bottom="280" w:left="1680" w:right="720"/>
        </w:sectPr>
      </w:pPr>
    </w:p>
    <w:p>
      <w:pPr>
        <w:tabs>
          <w:tab w:pos="518" w:val="left" w:leader="none"/>
        </w:tabs>
        <w:spacing w:line="124" w:lineRule="auto" w:before="15"/>
        <w:ind w:left="0" w:right="82" w:firstLine="0"/>
        <w:jc w:val="right"/>
        <w:rPr>
          <w:rFonts w:ascii="Cambria"/>
          <w:sz w:val="24"/>
        </w:rPr>
      </w:pPr>
      <w:r>
        <w:rPr/>
        <w:pict>
          <v:shape style="position:absolute;margin-left:306.230988pt;margin-top:8.192497pt;width:4.25pt;height:8pt;mso-position-horizontal-relative:page;mso-position-vertical-relative:paragraph;z-index:15812096" type="#_x0000_t202" id="docshape181" filled="false" stroked="false">
            <v:textbox inset="0,0,0,0">
              <w:txbxContent>
                <w:p>
                  <w:pPr>
                    <w:spacing w:line="155" w:lineRule="exact" w:before="0"/>
                    <w:ind w:left="0" w:right="0" w:firstLine="0"/>
                    <w:jc w:val="left"/>
                    <w:rPr>
                      <w:rFonts w:ascii="Georgia"/>
                      <w:sz w:val="16"/>
                    </w:rPr>
                  </w:pPr>
                  <w:r>
                    <w:rPr>
                      <w:rFonts w:ascii="Georgia"/>
                      <w:w w:val="94"/>
                      <w:sz w:val="16"/>
                    </w:rPr>
                    <w:t>2</w:t>
                  </w:r>
                </w:p>
              </w:txbxContent>
            </v:textbox>
            <w10:wrap type="none"/>
          </v:shape>
        </w:pict>
      </w:r>
      <w:r>
        <w:rPr>
          <w:rFonts w:ascii="Georgia"/>
          <w:spacing w:val="-5"/>
          <w:w w:val="110"/>
          <w:sz w:val="16"/>
        </w:rPr>
        <w:t>22</w:t>
      </w:r>
      <w:r>
        <w:rPr>
          <w:rFonts w:ascii="Georgia"/>
          <w:sz w:val="16"/>
        </w:rPr>
        <w:tab/>
      </w:r>
      <w:r>
        <w:rPr>
          <w:rFonts w:ascii="Garamond"/>
          <w:spacing w:val="-5"/>
          <w:w w:val="110"/>
          <w:position w:val="-12"/>
          <w:sz w:val="24"/>
        </w:rPr>
        <w:t>(</w:t>
      </w:r>
      <w:r>
        <w:rPr>
          <w:rFonts w:ascii="Cambria"/>
          <w:spacing w:val="-5"/>
          <w:w w:val="110"/>
          <w:position w:val="-12"/>
          <w:sz w:val="24"/>
        </w:rPr>
        <w:t>x</w:t>
      </w:r>
    </w:p>
    <w:p>
      <w:pPr>
        <w:pStyle w:val="BodyText"/>
        <w:spacing w:line="353" w:lineRule="exact"/>
        <w:ind w:left="23"/>
        <w:rPr>
          <w:rFonts w:ascii="Georgia" w:hAnsi="Georgia"/>
        </w:rPr>
      </w:pPr>
      <w:r>
        <w:rPr/>
        <w:br w:type="column"/>
      </w:r>
      <w:r>
        <w:rPr>
          <w:rFonts w:ascii="Lucida Sans Unicode" w:hAnsi="Lucida Sans Unicode"/>
          <w:w w:val="95"/>
        </w:rPr>
        <w:t>−</w:t>
      </w:r>
      <w:r>
        <w:rPr>
          <w:rFonts w:ascii="Lucida Sans Unicode" w:hAnsi="Lucida Sans Unicode"/>
          <w:spacing w:val="-16"/>
          <w:w w:val="95"/>
        </w:rPr>
        <w:t> </w:t>
      </w:r>
      <w:r>
        <w:rPr>
          <w:rFonts w:ascii="Cambria" w:hAnsi="Cambria"/>
          <w:spacing w:val="-2"/>
          <w:w w:val="110"/>
        </w:rPr>
        <w:t>x</w:t>
      </w:r>
      <w:r>
        <w:rPr>
          <w:rFonts w:ascii="Georgia" w:hAnsi="Georgia"/>
          <w:spacing w:val="-2"/>
          <w:w w:val="110"/>
          <w:vertAlign w:val="subscript"/>
        </w:rPr>
        <w:t>1</w:t>
      </w:r>
      <w:r>
        <w:rPr>
          <w:rFonts w:ascii="Garamond" w:hAnsi="Garamond"/>
          <w:spacing w:val="-2"/>
          <w:w w:val="110"/>
          <w:vertAlign w:val="baseline"/>
        </w:rPr>
        <w:t>)(</w:t>
      </w:r>
      <w:r>
        <w:rPr>
          <w:rFonts w:ascii="Cambria" w:hAnsi="Cambria"/>
          <w:spacing w:val="-2"/>
          <w:w w:val="110"/>
          <w:vertAlign w:val="baseline"/>
        </w:rPr>
        <w:t>y</w:t>
      </w:r>
      <w:r>
        <w:rPr>
          <w:rFonts w:ascii="Georgia" w:hAnsi="Georgia"/>
          <w:spacing w:val="-2"/>
          <w:w w:val="110"/>
          <w:vertAlign w:val="subscript"/>
        </w:rPr>
        <w:t>2</w:t>
      </w:r>
    </w:p>
    <w:p>
      <w:pPr>
        <w:pStyle w:val="BodyText"/>
        <w:spacing w:line="353" w:lineRule="exact"/>
        <w:ind w:left="23"/>
        <w:rPr>
          <w:rFonts w:ascii="Garamond" w:hAnsi="Garamond"/>
        </w:rPr>
      </w:pPr>
      <w:r>
        <w:rPr/>
        <w:br w:type="column"/>
      </w:r>
      <w:r>
        <w:rPr>
          <w:rFonts w:ascii="Lucida Sans Unicode" w:hAnsi="Lucida Sans Unicode"/>
          <w:w w:val="95"/>
        </w:rPr>
        <w:t>−</w:t>
      </w:r>
      <w:r>
        <w:rPr>
          <w:rFonts w:ascii="Lucida Sans Unicode" w:hAnsi="Lucida Sans Unicode"/>
          <w:spacing w:val="-16"/>
          <w:w w:val="95"/>
        </w:rPr>
        <w:t> </w:t>
      </w:r>
      <w:r>
        <w:rPr>
          <w:rFonts w:ascii="Cambria" w:hAnsi="Cambria"/>
          <w:spacing w:val="-5"/>
          <w:w w:val="110"/>
        </w:rPr>
        <w:t>y</w:t>
      </w:r>
      <w:r>
        <w:rPr>
          <w:rFonts w:ascii="Georgia" w:hAnsi="Georgia"/>
          <w:spacing w:val="-5"/>
          <w:w w:val="110"/>
          <w:vertAlign w:val="subscript"/>
        </w:rPr>
        <w:t>1</w:t>
      </w:r>
      <w:r>
        <w:rPr>
          <w:rFonts w:ascii="Garamond" w:hAnsi="Garamond"/>
          <w:spacing w:val="-5"/>
          <w:w w:val="110"/>
          <w:vertAlign w:val="baseline"/>
        </w:rPr>
        <w:t>)</w:t>
      </w:r>
    </w:p>
    <w:p>
      <w:pPr>
        <w:spacing w:after="0" w:line="353" w:lineRule="exact"/>
        <w:rPr>
          <w:rFonts w:ascii="Garamond" w:hAnsi="Garamond"/>
        </w:rPr>
        <w:sectPr>
          <w:type w:val="continuous"/>
          <w:pgSz w:w="11910" w:h="16840"/>
          <w:pgMar w:header="1961" w:footer="1428" w:top="1920" w:bottom="280" w:left="1680" w:right="720"/>
          <w:cols w:num="3" w:equalWidth="0">
            <w:col w:w="4530" w:space="40"/>
            <w:col w:w="871" w:space="39"/>
            <w:col w:w="4030"/>
          </w:cols>
        </w:sectPr>
      </w:pPr>
    </w:p>
    <w:p>
      <w:pPr>
        <w:pStyle w:val="BodyText"/>
        <w:spacing w:line="358" w:lineRule="exact"/>
        <w:ind w:left="610" w:right="389" w:firstLine="351"/>
        <w:jc w:val="both"/>
      </w:pPr>
      <w:r>
        <w:rPr>
          <w:w w:val="105"/>
        </w:rPr>
        <w:t>Locations</w:t>
      </w:r>
      <w:r>
        <w:rPr>
          <w:spacing w:val="-10"/>
          <w:w w:val="105"/>
        </w:rPr>
        <w:t> </w:t>
      </w:r>
      <w:r>
        <w:rPr>
          <w:w w:val="105"/>
        </w:rPr>
        <w:t>in</w:t>
      </w:r>
      <w:r>
        <w:rPr>
          <w:spacing w:val="-11"/>
          <w:w w:val="105"/>
        </w:rPr>
        <w:t> </w:t>
      </w:r>
      <w:r>
        <w:rPr>
          <w:w w:val="105"/>
        </w:rPr>
        <w:t>the</w:t>
      </w:r>
      <w:r>
        <w:rPr>
          <w:spacing w:val="-10"/>
          <w:w w:val="105"/>
        </w:rPr>
        <w:t> </w:t>
      </w:r>
      <w:r>
        <w:rPr>
          <w:w w:val="105"/>
        </w:rPr>
        <w:t>try</w:t>
      </w:r>
      <w:r>
        <w:rPr>
          <w:spacing w:val="-10"/>
          <w:w w:val="105"/>
        </w:rPr>
        <w:t> </w:t>
      </w:r>
      <w:r>
        <w:rPr>
          <w:w w:val="105"/>
        </w:rPr>
        <w:t>area</w:t>
      </w:r>
      <w:r>
        <w:rPr>
          <w:spacing w:val="-10"/>
          <w:w w:val="105"/>
        </w:rPr>
        <w:t> </w:t>
      </w:r>
      <w:r>
        <w:rPr>
          <w:w w:val="105"/>
        </w:rPr>
        <w:t>had</w:t>
      </w:r>
      <w:r>
        <w:rPr>
          <w:spacing w:val="-11"/>
          <w:w w:val="105"/>
        </w:rPr>
        <w:t> </w:t>
      </w:r>
      <w:r>
        <w:rPr>
          <w:w w:val="105"/>
        </w:rPr>
        <w:t>a</w:t>
      </w:r>
      <w:r>
        <w:rPr>
          <w:spacing w:val="-10"/>
          <w:w w:val="105"/>
        </w:rPr>
        <w:t> </w:t>
      </w:r>
      <w:r>
        <w:rPr>
          <w:w w:val="105"/>
        </w:rPr>
        <w:t>maximum</w:t>
      </w:r>
      <w:r>
        <w:rPr>
          <w:spacing w:val="-10"/>
          <w:w w:val="105"/>
        </w:rPr>
        <w:t> </w:t>
      </w:r>
      <w:r>
        <w:rPr>
          <w:w w:val="105"/>
        </w:rPr>
        <w:t>of</w:t>
      </w:r>
      <w:r>
        <w:rPr>
          <w:spacing w:val="-10"/>
          <w:w w:val="105"/>
        </w:rPr>
        <w:t> </w:t>
      </w:r>
      <w:r>
        <w:rPr>
          <w:w w:val="105"/>
        </w:rPr>
        <w:t>two</w:t>
      </w:r>
      <w:r>
        <w:rPr>
          <w:spacing w:val="-11"/>
          <w:w w:val="105"/>
        </w:rPr>
        <w:t> </w:t>
      </w:r>
      <w:r>
        <w:rPr>
          <w:w w:val="105"/>
        </w:rPr>
        <w:t>non-zero</w:t>
      </w:r>
      <w:r>
        <w:rPr>
          <w:spacing w:val="-10"/>
          <w:w w:val="105"/>
        </w:rPr>
        <w:t> </w:t>
      </w:r>
      <w:r>
        <w:rPr>
          <w:w w:val="105"/>
        </w:rPr>
        <w:t>weights.</w:t>
      </w:r>
      <w:r>
        <w:rPr>
          <w:spacing w:val="27"/>
          <w:w w:val="105"/>
        </w:rPr>
        <w:t> </w:t>
      </w:r>
      <w:r>
        <w:rPr>
          <w:w w:val="105"/>
        </w:rPr>
        <w:t>Here,</w:t>
      </w:r>
      <w:r>
        <w:rPr>
          <w:spacing w:val="-7"/>
          <w:w w:val="105"/>
        </w:rPr>
        <w:t> </w:t>
      </w:r>
      <w:r>
        <w:rPr>
          <w:w w:val="105"/>
        </w:rPr>
        <w:t>only</w:t>
      </w:r>
      <w:r>
        <w:rPr>
          <w:spacing w:val="-10"/>
          <w:w w:val="105"/>
        </w:rPr>
        <w:t> </w:t>
      </w:r>
      <w:r>
        <w:rPr>
          <w:w w:val="105"/>
        </w:rPr>
        <w:t>the </w:t>
      </w:r>
      <w:r>
        <w:rPr>
          <w:rFonts w:ascii="Cambria" w:hAnsi="Cambria"/>
          <w:w w:val="105"/>
        </w:rPr>
        <w:t>x</w:t>
      </w:r>
      <w:r>
        <w:rPr>
          <w:rFonts w:ascii="Cambria" w:hAnsi="Cambria"/>
          <w:spacing w:val="-14"/>
          <w:w w:val="105"/>
        </w:rPr>
        <w:t> </w:t>
      </w:r>
      <w:r>
        <w:rPr>
          <w:w w:val="105"/>
        </w:rPr>
        <w:t>location</w:t>
      </w:r>
      <w:r>
        <w:rPr>
          <w:spacing w:val="-10"/>
          <w:w w:val="105"/>
        </w:rPr>
        <w:t> </w:t>
      </w:r>
      <w:r>
        <w:rPr>
          <w:w w:val="105"/>
        </w:rPr>
        <w:t>of</w:t>
      </w:r>
      <w:r>
        <w:rPr>
          <w:spacing w:val="-5"/>
          <w:w w:val="105"/>
        </w:rPr>
        <w:t> </w:t>
      </w:r>
      <w:r>
        <w:rPr>
          <w:w w:val="105"/>
        </w:rPr>
        <w:t>the</w:t>
      </w:r>
      <w:r>
        <w:rPr>
          <w:spacing w:val="-5"/>
          <w:w w:val="105"/>
        </w:rPr>
        <w:t> </w:t>
      </w:r>
      <w:r>
        <w:rPr>
          <w:w w:val="105"/>
        </w:rPr>
        <w:t>centres</w:t>
      </w:r>
      <w:r>
        <w:rPr>
          <w:spacing w:val="-5"/>
          <w:w w:val="105"/>
        </w:rPr>
        <w:t> </w:t>
      </w:r>
      <w:r>
        <w:rPr>
          <w:w w:val="105"/>
        </w:rPr>
        <w:t>(</w:t>
      </w:r>
      <w:r>
        <w:rPr>
          <w:rFonts w:ascii="Cambria" w:hAnsi="Cambria"/>
          <w:w w:val="105"/>
        </w:rPr>
        <w:t>x</w:t>
      </w:r>
      <w:r>
        <w:rPr>
          <w:rFonts w:ascii="Cambria" w:hAnsi="Cambria"/>
          <w:spacing w:val="18"/>
          <w:w w:val="105"/>
        </w:rPr>
        <w:t> </w:t>
      </w:r>
      <w:r>
        <w:rPr>
          <w:rFonts w:ascii="Lucida Sans Unicode" w:hAnsi="Lucida Sans Unicode"/>
          <w:w w:val="105"/>
        </w:rPr>
        <w:t>∈</w:t>
      </w:r>
      <w:r>
        <w:rPr>
          <w:rFonts w:ascii="Lucida Sans Unicode" w:hAnsi="Lucida Sans Unicode"/>
          <w:spacing w:val="-6"/>
          <w:w w:val="105"/>
        </w:rPr>
        <w:t> </w:t>
      </w:r>
      <w:r>
        <w:rPr>
          <w:rFonts w:ascii="Lucida Sans Unicode" w:hAnsi="Lucida Sans Unicode"/>
          <w:w w:val="105"/>
        </w:rPr>
        <w:t>{</w:t>
      </w:r>
      <w:r>
        <w:rPr>
          <w:rFonts w:ascii="Garamond" w:hAnsi="Garamond"/>
          <w:w w:val="105"/>
        </w:rPr>
        <w:t>0</w:t>
      </w:r>
      <w:r>
        <w:rPr>
          <w:rFonts w:ascii="Cambria" w:hAnsi="Cambria"/>
          <w:w w:val="105"/>
        </w:rPr>
        <w:t>,</w:t>
      </w:r>
      <w:r>
        <w:rPr>
          <w:rFonts w:ascii="Cambria" w:hAnsi="Cambria"/>
          <w:spacing w:val="-14"/>
          <w:w w:val="105"/>
        </w:rPr>
        <w:t> </w:t>
      </w:r>
      <w:r>
        <w:rPr>
          <w:rFonts w:ascii="Garamond" w:hAnsi="Garamond"/>
          <w:w w:val="105"/>
        </w:rPr>
        <w:t>35</w:t>
      </w:r>
      <w:r>
        <w:rPr>
          <w:rFonts w:ascii="Cambria" w:hAnsi="Cambria"/>
          <w:w w:val="105"/>
        </w:rPr>
        <w:t>,</w:t>
      </w:r>
      <w:r>
        <w:rPr>
          <w:rFonts w:ascii="Cambria" w:hAnsi="Cambria"/>
          <w:spacing w:val="-14"/>
          <w:w w:val="105"/>
        </w:rPr>
        <w:t> </w:t>
      </w:r>
      <w:r>
        <w:rPr>
          <w:rFonts w:ascii="Garamond" w:hAnsi="Garamond"/>
          <w:w w:val="105"/>
        </w:rPr>
        <w:t>70</w:t>
      </w:r>
      <w:r>
        <w:rPr>
          <w:rFonts w:ascii="Lucida Sans Unicode" w:hAnsi="Lucida Sans Unicode"/>
          <w:w w:val="105"/>
        </w:rPr>
        <w:t>}</w:t>
      </w:r>
      <w:r>
        <w:rPr>
          <w:w w:val="105"/>
        </w:rPr>
        <w:t>)</w:t>
      </w:r>
      <w:r>
        <w:rPr>
          <w:spacing w:val="-4"/>
          <w:w w:val="105"/>
        </w:rPr>
        <w:t> </w:t>
      </w:r>
      <w:r>
        <w:rPr>
          <w:w w:val="105"/>
        </w:rPr>
        <w:t>was</w:t>
      </w:r>
      <w:r>
        <w:rPr>
          <w:spacing w:val="-5"/>
          <w:w w:val="105"/>
        </w:rPr>
        <w:t> </w:t>
      </w:r>
      <w:r>
        <w:rPr>
          <w:w w:val="105"/>
        </w:rPr>
        <w:t>considered</w:t>
      </w:r>
      <w:r>
        <w:rPr>
          <w:spacing w:val="-5"/>
          <w:w w:val="105"/>
        </w:rPr>
        <w:t> </w:t>
      </w:r>
      <w:r>
        <w:rPr>
          <w:w w:val="105"/>
        </w:rPr>
        <w:t>so</w:t>
      </w:r>
      <w:r>
        <w:rPr>
          <w:spacing w:val="-5"/>
          <w:w w:val="105"/>
        </w:rPr>
        <w:t> </w:t>
      </w:r>
      <w:r>
        <w:rPr>
          <w:w w:val="105"/>
        </w:rPr>
        <w:t>the</w:t>
      </w:r>
      <w:r>
        <w:rPr>
          <w:spacing w:val="-5"/>
          <w:w w:val="105"/>
        </w:rPr>
        <w:t> </w:t>
      </w:r>
      <w:r>
        <w:rPr>
          <w:w w:val="105"/>
        </w:rPr>
        <w:t>weights</w:t>
      </w:r>
      <w:r>
        <w:rPr>
          <w:spacing w:val="-5"/>
          <w:w w:val="105"/>
        </w:rPr>
        <w:t> </w:t>
      </w:r>
      <w:r>
        <w:rPr>
          <w:w w:val="105"/>
        </w:rPr>
        <w:t>were</w:t>
      </w:r>
      <w:r>
        <w:rPr>
          <w:spacing w:val="-6"/>
          <w:w w:val="105"/>
        </w:rPr>
        <w:t> </w:t>
      </w:r>
      <w:r>
        <w:rPr>
          <w:w w:val="105"/>
        </w:rPr>
        <w:t>derived from</w:t>
      </w:r>
      <w:r>
        <w:rPr>
          <w:spacing w:val="-13"/>
          <w:w w:val="105"/>
        </w:rPr>
        <w:t> </w:t>
      </w:r>
      <w:r>
        <w:rPr>
          <w:w w:val="105"/>
        </w:rPr>
        <w:t>the</w:t>
      </w:r>
      <w:r>
        <w:rPr>
          <w:spacing w:val="-12"/>
          <w:w w:val="105"/>
        </w:rPr>
        <w:t> </w:t>
      </w:r>
      <w:r>
        <w:rPr>
          <w:w w:val="105"/>
        </w:rPr>
        <w:t>distance</w:t>
      </w:r>
      <w:r>
        <w:rPr>
          <w:spacing w:val="-13"/>
          <w:w w:val="105"/>
        </w:rPr>
        <w:t> </w:t>
      </w:r>
      <w:r>
        <w:rPr>
          <w:w w:val="105"/>
        </w:rPr>
        <w:t>between</w:t>
      </w:r>
      <w:r>
        <w:rPr>
          <w:spacing w:val="-12"/>
          <w:w w:val="105"/>
        </w:rPr>
        <w:t> </w:t>
      </w:r>
      <w:r>
        <w:rPr>
          <w:w w:val="105"/>
        </w:rPr>
        <w:t>the</w:t>
      </w:r>
      <w:r>
        <w:rPr>
          <w:spacing w:val="-12"/>
          <w:w w:val="105"/>
        </w:rPr>
        <w:t> </w:t>
      </w:r>
      <w:r>
        <w:rPr>
          <w:rFonts w:ascii="Cambria" w:hAnsi="Cambria"/>
          <w:w w:val="105"/>
        </w:rPr>
        <w:t>x</w:t>
      </w:r>
      <w:r>
        <w:rPr>
          <w:rFonts w:ascii="Cambria" w:hAnsi="Cambria"/>
          <w:spacing w:val="-5"/>
          <w:w w:val="105"/>
        </w:rPr>
        <w:t> </w:t>
      </w:r>
      <w:r>
        <w:rPr>
          <w:w w:val="105"/>
        </w:rPr>
        <w:t>coordinate</w:t>
      </w:r>
      <w:r>
        <w:rPr>
          <w:spacing w:val="-13"/>
          <w:w w:val="105"/>
        </w:rPr>
        <w:t> </w:t>
      </w:r>
      <w:r>
        <w:rPr>
          <w:w w:val="105"/>
        </w:rPr>
        <w:t>of</w:t>
      </w:r>
      <w:r>
        <w:rPr>
          <w:spacing w:val="-12"/>
          <w:w w:val="105"/>
        </w:rPr>
        <w:t> </w:t>
      </w:r>
      <w:r>
        <w:rPr>
          <w:w w:val="105"/>
        </w:rPr>
        <w:t>the</w:t>
      </w:r>
      <w:r>
        <w:rPr>
          <w:spacing w:val="-13"/>
          <w:w w:val="105"/>
        </w:rPr>
        <w:t> </w:t>
      </w:r>
      <w:r>
        <w:rPr>
          <w:w w:val="105"/>
        </w:rPr>
        <w:t>action</w:t>
      </w:r>
      <w:r>
        <w:rPr>
          <w:spacing w:val="-12"/>
          <w:w w:val="105"/>
        </w:rPr>
        <w:t> </w:t>
      </w:r>
      <w:r>
        <w:rPr>
          <w:w w:val="105"/>
        </w:rPr>
        <w:t>location</w:t>
      </w:r>
      <w:r>
        <w:rPr>
          <w:spacing w:val="-13"/>
          <w:w w:val="105"/>
        </w:rPr>
        <w:t> </w:t>
      </w:r>
      <w:r>
        <w:rPr>
          <w:w w:val="105"/>
        </w:rPr>
        <w:t>and</w:t>
      </w:r>
      <w:r>
        <w:rPr>
          <w:spacing w:val="-12"/>
          <w:w w:val="105"/>
        </w:rPr>
        <w:t> </w:t>
      </w:r>
      <w:r>
        <w:rPr>
          <w:w w:val="105"/>
        </w:rPr>
        <w:t>the</w:t>
      </w:r>
      <w:r>
        <w:rPr>
          <w:spacing w:val="-12"/>
          <w:w w:val="105"/>
        </w:rPr>
        <w:t> </w:t>
      </w:r>
      <w:r>
        <w:rPr>
          <w:rFonts w:ascii="Cambria" w:hAnsi="Cambria"/>
          <w:w w:val="105"/>
        </w:rPr>
        <w:t>x</w:t>
      </w:r>
      <w:r>
        <w:rPr>
          <w:rFonts w:ascii="Cambria" w:hAnsi="Cambria"/>
          <w:spacing w:val="-5"/>
          <w:w w:val="105"/>
        </w:rPr>
        <w:t> </w:t>
      </w:r>
      <w:r>
        <w:rPr>
          <w:w w:val="105"/>
        </w:rPr>
        <w:t>coordinate of</w:t>
      </w:r>
      <w:r>
        <w:rPr>
          <w:spacing w:val="-16"/>
          <w:w w:val="105"/>
        </w:rPr>
        <w:t> </w:t>
      </w:r>
      <w:r>
        <w:rPr>
          <w:w w:val="105"/>
        </w:rPr>
        <w:t>the</w:t>
      </w:r>
      <w:r>
        <w:rPr>
          <w:spacing w:val="-11"/>
          <w:w w:val="105"/>
        </w:rPr>
        <w:t> </w:t>
      </w:r>
      <w:r>
        <w:rPr>
          <w:w w:val="105"/>
        </w:rPr>
        <w:t>centre.</w:t>
      </w:r>
      <w:r>
        <w:rPr>
          <w:spacing w:val="32"/>
          <w:w w:val="105"/>
        </w:rPr>
        <w:t> </w:t>
      </w:r>
      <w:r>
        <w:rPr>
          <w:w w:val="105"/>
        </w:rPr>
        <w:t>For</w:t>
      </w:r>
      <w:r>
        <w:rPr>
          <w:spacing w:val="-7"/>
          <w:w w:val="105"/>
        </w:rPr>
        <w:t> </w:t>
      </w:r>
      <w:r>
        <w:rPr>
          <w:w w:val="105"/>
        </w:rPr>
        <w:t>an</w:t>
      </w:r>
      <w:r>
        <w:rPr>
          <w:spacing w:val="-7"/>
          <w:w w:val="105"/>
        </w:rPr>
        <w:t> </w:t>
      </w:r>
      <w:r>
        <w:rPr>
          <w:rFonts w:ascii="Cambria" w:hAnsi="Cambria"/>
          <w:w w:val="105"/>
        </w:rPr>
        <w:t>x,</w:t>
      </w:r>
      <w:r>
        <w:rPr>
          <w:rFonts w:ascii="Cambria" w:hAnsi="Cambria"/>
          <w:spacing w:val="-14"/>
          <w:w w:val="105"/>
        </w:rPr>
        <w:t> </w:t>
      </w:r>
      <w:r>
        <w:rPr>
          <w:rFonts w:ascii="Cambria" w:hAnsi="Cambria"/>
          <w:w w:val="105"/>
        </w:rPr>
        <w:t>y</w:t>
      </w:r>
      <w:r>
        <w:rPr>
          <w:rFonts w:ascii="Cambria" w:hAnsi="Cambria"/>
          <w:w w:val="105"/>
        </w:rPr>
        <w:t> </w:t>
      </w:r>
      <w:r>
        <w:rPr>
          <w:w w:val="105"/>
        </w:rPr>
        <w:t>location</w:t>
      </w:r>
      <w:r>
        <w:rPr>
          <w:spacing w:val="-7"/>
          <w:w w:val="105"/>
        </w:rPr>
        <w:t> </w:t>
      </w:r>
      <w:r>
        <w:rPr>
          <w:w w:val="105"/>
        </w:rPr>
        <w:t>in</w:t>
      </w:r>
      <w:r>
        <w:rPr>
          <w:spacing w:val="-7"/>
          <w:w w:val="105"/>
        </w:rPr>
        <w:t> </w:t>
      </w:r>
      <w:r>
        <w:rPr>
          <w:w w:val="105"/>
        </w:rPr>
        <w:t>the</w:t>
      </w:r>
      <w:r>
        <w:rPr>
          <w:spacing w:val="-7"/>
          <w:w w:val="105"/>
        </w:rPr>
        <w:t> </w:t>
      </w:r>
      <w:r>
        <w:rPr>
          <w:w w:val="105"/>
        </w:rPr>
        <w:t>try</w:t>
      </w:r>
      <w:r>
        <w:rPr>
          <w:spacing w:val="-7"/>
          <w:w w:val="105"/>
        </w:rPr>
        <w:t> </w:t>
      </w:r>
      <w:r>
        <w:rPr>
          <w:w w:val="105"/>
        </w:rPr>
        <w:t>area,</w:t>
      </w:r>
      <w:r>
        <w:rPr>
          <w:spacing w:val="-4"/>
          <w:w w:val="105"/>
        </w:rPr>
        <w:t> </w:t>
      </w:r>
      <w:r>
        <w:rPr>
          <w:w w:val="105"/>
        </w:rPr>
        <w:t>linear</w:t>
      </w:r>
      <w:r>
        <w:rPr>
          <w:spacing w:val="-7"/>
          <w:w w:val="105"/>
        </w:rPr>
        <w:t> </w:t>
      </w:r>
      <w:r>
        <w:rPr>
          <w:w w:val="105"/>
        </w:rPr>
        <w:t>interpolation</w:t>
      </w:r>
      <w:r>
        <w:rPr>
          <w:spacing w:val="-7"/>
          <w:w w:val="105"/>
        </w:rPr>
        <w:t> </w:t>
      </w:r>
      <w:r>
        <w:rPr>
          <w:w w:val="105"/>
        </w:rPr>
        <w:t>between</w:t>
      </w:r>
      <w:r>
        <w:rPr>
          <w:spacing w:val="-7"/>
          <w:w w:val="105"/>
        </w:rPr>
        <w:t> </w:t>
      </w:r>
      <w:r>
        <w:rPr>
          <w:w w:val="105"/>
        </w:rPr>
        <w:t>the</w:t>
      </w:r>
      <w:r>
        <w:rPr>
          <w:spacing w:val="-7"/>
          <w:w w:val="105"/>
        </w:rPr>
        <w:t> </w:t>
      </w:r>
      <w:r>
        <w:rPr>
          <w:w w:val="105"/>
        </w:rPr>
        <w:t>two closest</w:t>
      </w:r>
      <w:r>
        <w:rPr>
          <w:spacing w:val="-3"/>
          <w:w w:val="105"/>
        </w:rPr>
        <w:t> </w:t>
      </w:r>
      <w:r>
        <w:rPr>
          <w:w w:val="105"/>
        </w:rPr>
        <w:t>centres</w:t>
      </w:r>
      <w:r>
        <w:rPr>
          <w:spacing w:val="-3"/>
          <w:w w:val="105"/>
        </w:rPr>
        <w:t> </w:t>
      </w:r>
      <w:r>
        <w:rPr>
          <w:rFonts w:ascii="Cambria" w:hAnsi="Cambria"/>
          <w:w w:val="105"/>
        </w:rPr>
        <w:t>x</w:t>
      </w:r>
      <w:r>
        <w:rPr>
          <w:rFonts w:ascii="Georgia" w:hAnsi="Georgia"/>
          <w:w w:val="105"/>
          <w:vertAlign w:val="subscript"/>
        </w:rPr>
        <w:t>1</w:t>
      </w:r>
      <w:r>
        <w:rPr>
          <w:w w:val="105"/>
          <w:vertAlign w:val="baseline"/>
        </w:rPr>
        <w:t>,</w:t>
      </w:r>
      <w:r>
        <w:rPr>
          <w:spacing w:val="-1"/>
          <w:w w:val="105"/>
          <w:vertAlign w:val="baseline"/>
        </w:rPr>
        <w:t> </w:t>
      </w:r>
      <w:r>
        <w:rPr>
          <w:rFonts w:ascii="Cambria" w:hAnsi="Cambria"/>
          <w:w w:val="105"/>
          <w:vertAlign w:val="baseline"/>
        </w:rPr>
        <w:t>x</w:t>
      </w:r>
      <w:r>
        <w:rPr>
          <w:rFonts w:ascii="Georgia" w:hAnsi="Georgia"/>
          <w:w w:val="105"/>
          <w:vertAlign w:val="subscript"/>
        </w:rPr>
        <w:t>2</w:t>
      </w:r>
      <w:r>
        <w:rPr>
          <w:w w:val="105"/>
          <w:vertAlign w:val="baseline"/>
        </w:rPr>
        <w:t>,</w:t>
      </w:r>
      <w:r>
        <w:rPr>
          <w:spacing w:val="-1"/>
          <w:w w:val="105"/>
          <w:vertAlign w:val="baseline"/>
        </w:rPr>
        <w:t> </w:t>
      </w:r>
      <w:r>
        <w:rPr>
          <w:w w:val="105"/>
          <w:vertAlign w:val="baseline"/>
        </w:rPr>
        <w:t>from</w:t>
      </w:r>
      <w:r>
        <w:rPr>
          <w:spacing w:val="-3"/>
          <w:w w:val="105"/>
          <w:vertAlign w:val="baseline"/>
        </w:rPr>
        <w:t> </w:t>
      </w:r>
      <w:r>
        <w:rPr>
          <w:w w:val="105"/>
          <w:vertAlign w:val="baseline"/>
        </w:rPr>
        <w:t>the</w:t>
      </w:r>
      <w:r>
        <w:rPr>
          <w:spacing w:val="-3"/>
          <w:w w:val="105"/>
          <w:vertAlign w:val="baseline"/>
        </w:rPr>
        <w:t> </w:t>
      </w:r>
      <w:r>
        <w:rPr>
          <w:w w:val="105"/>
          <w:vertAlign w:val="baseline"/>
        </w:rPr>
        <w:t>above</w:t>
      </w:r>
      <w:r>
        <w:rPr>
          <w:spacing w:val="-3"/>
          <w:w w:val="105"/>
          <w:vertAlign w:val="baseline"/>
        </w:rPr>
        <w:t> </w:t>
      </w:r>
      <w:r>
        <w:rPr>
          <w:w w:val="105"/>
          <w:vertAlign w:val="baseline"/>
        </w:rPr>
        <w:t>set</w:t>
      </w:r>
      <w:r>
        <w:rPr>
          <w:spacing w:val="-3"/>
          <w:w w:val="105"/>
          <w:vertAlign w:val="baseline"/>
        </w:rPr>
        <w:t> </w:t>
      </w:r>
      <w:r>
        <w:rPr>
          <w:w w:val="105"/>
          <w:vertAlign w:val="baseline"/>
        </w:rPr>
        <w:t>of</w:t>
      </w:r>
      <w:r>
        <w:rPr>
          <w:spacing w:val="-3"/>
          <w:w w:val="105"/>
          <w:vertAlign w:val="baseline"/>
        </w:rPr>
        <w:t> </w:t>
      </w:r>
      <w:r>
        <w:rPr>
          <w:w w:val="105"/>
          <w:vertAlign w:val="baseline"/>
        </w:rPr>
        <w:t>three,</w:t>
      </w:r>
      <w:r>
        <w:rPr>
          <w:spacing w:val="-1"/>
          <w:w w:val="105"/>
          <w:vertAlign w:val="baseline"/>
        </w:rPr>
        <w:t> </w:t>
      </w:r>
      <w:r>
        <w:rPr>
          <w:w w:val="105"/>
          <w:vertAlign w:val="baseline"/>
        </w:rPr>
        <w:t>with</w:t>
      </w:r>
      <w:r>
        <w:rPr>
          <w:spacing w:val="-3"/>
          <w:w w:val="105"/>
          <w:vertAlign w:val="baseline"/>
        </w:rPr>
        <w:t> </w:t>
      </w:r>
      <w:r>
        <w:rPr>
          <w:rFonts w:ascii="Cambria" w:hAnsi="Cambria"/>
          <w:w w:val="105"/>
          <w:vertAlign w:val="baseline"/>
        </w:rPr>
        <w:t>x</w:t>
      </w:r>
      <w:r>
        <w:rPr>
          <w:rFonts w:ascii="Georgia" w:hAnsi="Georgia"/>
          <w:w w:val="105"/>
          <w:vertAlign w:val="subscript"/>
        </w:rPr>
        <w:t>2</w:t>
      </w:r>
      <w:r>
        <w:rPr>
          <w:rFonts w:ascii="Georgia" w:hAnsi="Georgia"/>
          <w:spacing w:val="22"/>
          <w:w w:val="105"/>
          <w:vertAlign w:val="baseline"/>
        </w:rPr>
        <w:t> </w:t>
      </w:r>
      <w:r>
        <w:rPr>
          <w:rFonts w:ascii="Cambria" w:hAnsi="Cambria"/>
          <w:w w:val="105"/>
          <w:vertAlign w:val="baseline"/>
        </w:rPr>
        <w:t>&gt;</w:t>
      </w:r>
      <w:r>
        <w:rPr>
          <w:rFonts w:ascii="Cambria" w:hAnsi="Cambria"/>
          <w:spacing w:val="19"/>
          <w:w w:val="105"/>
          <w:vertAlign w:val="baseline"/>
        </w:rPr>
        <w:t> </w:t>
      </w:r>
      <w:r>
        <w:rPr>
          <w:rFonts w:ascii="Cambria" w:hAnsi="Cambria"/>
          <w:w w:val="105"/>
          <w:vertAlign w:val="baseline"/>
        </w:rPr>
        <w:t>x</w:t>
      </w:r>
      <w:r>
        <w:rPr>
          <w:rFonts w:ascii="Georgia" w:hAnsi="Georgia"/>
          <w:w w:val="105"/>
          <w:vertAlign w:val="subscript"/>
        </w:rPr>
        <w:t>1</w:t>
      </w:r>
      <w:r>
        <w:rPr>
          <w:w w:val="105"/>
          <w:vertAlign w:val="baseline"/>
        </w:rPr>
        <w:t>,</w:t>
      </w:r>
      <w:r>
        <w:rPr>
          <w:spacing w:val="-1"/>
          <w:w w:val="105"/>
          <w:vertAlign w:val="baseline"/>
        </w:rPr>
        <w:t> </w:t>
      </w:r>
      <w:r>
        <w:rPr>
          <w:w w:val="105"/>
          <w:vertAlign w:val="baseline"/>
        </w:rPr>
        <w:t>was</w:t>
      </w:r>
      <w:r>
        <w:rPr>
          <w:spacing w:val="-3"/>
          <w:w w:val="105"/>
          <w:vertAlign w:val="baseline"/>
        </w:rPr>
        <w:t> </w:t>
      </w:r>
      <w:r>
        <w:rPr>
          <w:w w:val="105"/>
          <w:vertAlign w:val="baseline"/>
        </w:rPr>
        <w:t>used</w:t>
      </w:r>
      <w:r>
        <w:rPr>
          <w:spacing w:val="-3"/>
          <w:w w:val="105"/>
          <w:vertAlign w:val="baseline"/>
        </w:rPr>
        <w:t> </w:t>
      </w:r>
      <w:r>
        <w:rPr>
          <w:w w:val="105"/>
          <w:vertAlign w:val="baseline"/>
        </w:rPr>
        <w:t>to</w:t>
      </w:r>
      <w:r>
        <w:rPr>
          <w:spacing w:val="-3"/>
          <w:w w:val="105"/>
          <w:vertAlign w:val="baseline"/>
        </w:rPr>
        <w:t> </w:t>
      </w:r>
      <w:r>
        <w:rPr>
          <w:w w:val="105"/>
          <w:vertAlign w:val="baseline"/>
        </w:rPr>
        <w:t>calculate </w:t>
      </w:r>
      <w:r>
        <w:rPr>
          <w:vertAlign w:val="baseline"/>
        </w:rPr>
        <w:t>two</w:t>
      </w:r>
      <w:r>
        <w:rPr>
          <w:spacing w:val="-6"/>
          <w:vertAlign w:val="baseline"/>
        </w:rPr>
        <w:t> </w:t>
      </w:r>
      <w:r>
        <w:rPr>
          <w:vertAlign w:val="baseline"/>
        </w:rPr>
        <w:t>weights</w:t>
      </w:r>
      <w:r>
        <w:rPr>
          <w:spacing w:val="-6"/>
          <w:vertAlign w:val="baseline"/>
        </w:rPr>
        <w:t> </w:t>
      </w:r>
      <w:r>
        <w:rPr>
          <w:rFonts w:ascii="Cambria" w:hAnsi="Cambria"/>
          <w:vertAlign w:val="baseline"/>
        </w:rPr>
        <w:t>z</w:t>
      </w:r>
      <w:r>
        <w:rPr>
          <w:rFonts w:ascii="Georgia" w:hAnsi="Georgia"/>
          <w:vertAlign w:val="subscript"/>
        </w:rPr>
        <w:t>1</w:t>
      </w:r>
      <w:r>
        <w:rPr>
          <w:vertAlign w:val="baseline"/>
        </w:rPr>
        <w:t>,</w:t>
      </w:r>
      <w:r>
        <w:rPr>
          <w:spacing w:val="-5"/>
          <w:vertAlign w:val="baseline"/>
        </w:rPr>
        <w:t> </w:t>
      </w:r>
      <w:r>
        <w:rPr>
          <w:rFonts w:ascii="Cambria" w:hAnsi="Cambria"/>
          <w:vertAlign w:val="baseline"/>
        </w:rPr>
        <w:t>z</w:t>
      </w:r>
      <w:r>
        <w:rPr>
          <w:rFonts w:ascii="Georgia" w:hAnsi="Georgia"/>
          <w:vertAlign w:val="subscript"/>
        </w:rPr>
        <w:t>2</w:t>
      </w:r>
      <w:r>
        <w:rPr>
          <w:vertAlign w:val="baseline"/>
        </w:rPr>
        <w:t>;</w:t>
      </w:r>
      <w:r>
        <w:rPr>
          <w:spacing w:val="-5"/>
          <w:vertAlign w:val="baseline"/>
        </w:rPr>
        <w:t> </w:t>
      </w:r>
      <w:r>
        <w:rPr>
          <w:vertAlign w:val="baseline"/>
        </w:rPr>
        <w:t>the</w:t>
      </w:r>
      <w:r>
        <w:rPr>
          <w:spacing w:val="-6"/>
          <w:vertAlign w:val="baseline"/>
        </w:rPr>
        <w:t> </w:t>
      </w:r>
      <w:r>
        <w:rPr>
          <w:vertAlign w:val="baseline"/>
        </w:rPr>
        <w:t>weight</w:t>
      </w:r>
      <w:r>
        <w:rPr>
          <w:spacing w:val="-6"/>
          <w:vertAlign w:val="baseline"/>
        </w:rPr>
        <w:t> </w:t>
      </w:r>
      <w:r>
        <w:rPr>
          <w:vertAlign w:val="baseline"/>
        </w:rPr>
        <w:t>of</w:t>
      </w:r>
      <w:r>
        <w:rPr>
          <w:spacing w:val="-6"/>
          <w:vertAlign w:val="baseline"/>
        </w:rPr>
        <w:t> </w:t>
      </w:r>
      <w:r>
        <w:rPr>
          <w:vertAlign w:val="baseline"/>
        </w:rPr>
        <w:t>the</w:t>
      </w:r>
      <w:r>
        <w:rPr>
          <w:spacing w:val="-6"/>
          <w:vertAlign w:val="baseline"/>
        </w:rPr>
        <w:t> </w:t>
      </w:r>
      <w:r>
        <w:rPr>
          <w:vertAlign w:val="baseline"/>
        </w:rPr>
        <w:t>remaining</w:t>
      </w:r>
      <w:r>
        <w:rPr>
          <w:spacing w:val="-6"/>
          <w:vertAlign w:val="baseline"/>
        </w:rPr>
        <w:t> </w:t>
      </w:r>
      <w:r>
        <w:rPr>
          <w:vertAlign w:val="baseline"/>
        </w:rPr>
        <w:t>centre</w:t>
      </w:r>
      <w:r>
        <w:rPr>
          <w:spacing w:val="-6"/>
          <w:vertAlign w:val="baseline"/>
        </w:rPr>
        <w:t> </w:t>
      </w:r>
      <w:r>
        <w:rPr>
          <w:vertAlign w:val="baseline"/>
        </w:rPr>
        <w:t>was</w:t>
      </w:r>
      <w:r>
        <w:rPr>
          <w:spacing w:val="-6"/>
          <w:vertAlign w:val="baseline"/>
        </w:rPr>
        <w:t> </w:t>
      </w:r>
      <w:r>
        <w:rPr>
          <w:vertAlign w:val="baseline"/>
        </w:rPr>
        <w:t>set</w:t>
      </w:r>
      <w:r>
        <w:rPr>
          <w:spacing w:val="-6"/>
          <w:vertAlign w:val="baseline"/>
        </w:rPr>
        <w:t> </w:t>
      </w:r>
      <w:r>
        <w:rPr>
          <w:vertAlign w:val="baseline"/>
        </w:rPr>
        <w:t>to</w:t>
      </w:r>
      <w:r>
        <w:rPr>
          <w:spacing w:val="-6"/>
          <w:vertAlign w:val="baseline"/>
        </w:rPr>
        <w:t> </w:t>
      </w:r>
      <w:r>
        <w:rPr>
          <w:rFonts w:ascii="Garamond" w:hAnsi="Garamond"/>
          <w:vertAlign w:val="baseline"/>
        </w:rPr>
        <w:t>0</w:t>
      </w:r>
      <w:r>
        <w:rPr>
          <w:vertAlign w:val="baseline"/>
        </w:rPr>
        <w:t>. The</w:t>
      </w:r>
      <w:r>
        <w:rPr>
          <w:spacing w:val="-6"/>
          <w:vertAlign w:val="baseline"/>
        </w:rPr>
        <w:t> </w:t>
      </w:r>
      <w:r>
        <w:rPr>
          <w:vertAlign w:val="baseline"/>
        </w:rPr>
        <w:t>non-zero</w:t>
      </w:r>
      <w:r>
        <w:rPr>
          <w:spacing w:val="-6"/>
          <w:vertAlign w:val="baseline"/>
        </w:rPr>
        <w:t> </w:t>
      </w:r>
      <w:r>
        <w:rPr>
          <w:vertAlign w:val="baseline"/>
        </w:rPr>
        <w:t>weights </w:t>
      </w:r>
      <w:r>
        <w:rPr>
          <w:w w:val="105"/>
          <w:vertAlign w:val="baseline"/>
        </w:rPr>
        <w:t>were given by:</w:t>
      </w:r>
    </w:p>
    <w:p>
      <w:pPr>
        <w:pStyle w:val="BodyText"/>
        <w:tabs>
          <w:tab w:pos="8656" w:val="left" w:leader="none"/>
        </w:tabs>
        <w:spacing w:line="286" w:lineRule="exact"/>
        <w:ind w:left="4172"/>
      </w:pPr>
      <w:r>
        <w:rPr/>
        <w:pict>
          <v:shape style="position:absolute;margin-left:298.085999pt;margin-top:10.901118pt;width:4.25pt;height:8pt;mso-position-horizontal-relative:page;mso-position-vertical-relative:paragraph;z-index:-21732352" type="#_x0000_t202" id="docshape182" filled="false" stroked="false">
            <v:textbox inset="0,0,0,0">
              <w:txbxContent>
                <w:p>
                  <w:pPr>
                    <w:spacing w:line="155" w:lineRule="exact" w:before="0"/>
                    <w:ind w:left="0" w:right="0" w:firstLine="0"/>
                    <w:jc w:val="left"/>
                    <w:rPr>
                      <w:rFonts w:ascii="Georgia"/>
                      <w:sz w:val="16"/>
                    </w:rPr>
                  </w:pPr>
                  <w:r>
                    <w:rPr>
                      <w:rFonts w:ascii="Georgia"/>
                      <w:w w:val="123"/>
                      <w:sz w:val="16"/>
                    </w:rPr>
                    <w:t>1</w:t>
                  </w:r>
                </w:p>
              </w:txbxContent>
            </v:textbox>
            <w10:wrap type="none"/>
          </v:shape>
        </w:pict>
      </w:r>
      <w:r>
        <w:rPr>
          <w:rFonts w:ascii="Cambria" w:hAnsi="Cambria"/>
          <w:w w:val="105"/>
        </w:rPr>
        <w:t>z</w:t>
      </w:r>
      <w:r>
        <w:rPr>
          <w:rFonts w:ascii="Cambria" w:hAnsi="Cambria"/>
          <w:spacing w:val="24"/>
          <w:w w:val="105"/>
        </w:rPr>
        <w:t>  </w:t>
      </w:r>
      <w:r>
        <w:rPr>
          <w:rFonts w:ascii="Garamond" w:hAnsi="Garamond"/>
          <w:w w:val="105"/>
        </w:rPr>
        <w:t>=</w:t>
      </w:r>
      <w:r>
        <w:rPr>
          <w:rFonts w:ascii="Garamond" w:hAnsi="Garamond"/>
          <w:spacing w:val="76"/>
          <w:w w:val="105"/>
        </w:rPr>
        <w:t> </w:t>
      </w:r>
      <w:r>
        <w:rPr>
          <w:rFonts w:ascii="Cambria" w:hAnsi="Cambria"/>
          <w:w w:val="105"/>
          <w:position w:val="16"/>
          <w:u w:val="single"/>
        </w:rPr>
        <w:t>x</w:t>
      </w:r>
      <w:r>
        <w:rPr>
          <w:rFonts w:ascii="Georgia" w:hAnsi="Georgia"/>
          <w:w w:val="105"/>
          <w:position w:val="13"/>
          <w:sz w:val="16"/>
          <w:u w:val="single"/>
        </w:rPr>
        <w:t>2</w:t>
      </w:r>
      <w:r>
        <w:rPr>
          <w:rFonts w:ascii="Georgia" w:hAnsi="Georgia"/>
          <w:spacing w:val="21"/>
          <w:w w:val="105"/>
          <w:position w:val="13"/>
          <w:sz w:val="16"/>
          <w:u w:val="single"/>
        </w:rPr>
        <w:t> </w:t>
      </w:r>
      <w:r>
        <w:rPr>
          <w:rFonts w:ascii="Lucida Sans Unicode" w:hAnsi="Lucida Sans Unicode"/>
          <w:w w:val="105"/>
          <w:position w:val="16"/>
          <w:u w:val="single"/>
        </w:rPr>
        <w:t>−</w:t>
      </w:r>
      <w:r>
        <w:rPr>
          <w:rFonts w:ascii="Lucida Sans Unicode" w:hAnsi="Lucida Sans Unicode"/>
          <w:spacing w:val="-27"/>
          <w:w w:val="105"/>
          <w:position w:val="16"/>
        </w:rPr>
        <w:t> </w:t>
      </w:r>
      <w:r>
        <w:rPr>
          <w:rFonts w:ascii="Cambria" w:hAnsi="Cambria"/>
          <w:w w:val="105"/>
          <w:position w:val="16"/>
          <w:u w:val="single"/>
        </w:rPr>
        <w:t>x</w:t>
      </w:r>
      <w:r>
        <w:rPr>
          <w:rFonts w:ascii="Cambria" w:hAnsi="Cambria"/>
          <w:spacing w:val="16"/>
          <w:w w:val="105"/>
          <w:position w:val="16"/>
        </w:rPr>
        <w:t> </w:t>
      </w:r>
      <w:r>
        <w:rPr>
          <w:rFonts w:ascii="Cambria" w:hAnsi="Cambria"/>
          <w:spacing w:val="-10"/>
          <w:w w:val="105"/>
        </w:rPr>
        <w:t>,</w:t>
      </w:r>
      <w:r>
        <w:rPr>
          <w:rFonts w:ascii="Cambria" w:hAnsi="Cambria"/>
        </w:rPr>
        <w:tab/>
      </w:r>
      <w:r>
        <w:rPr>
          <w:spacing w:val="-4"/>
          <w:w w:val="105"/>
        </w:rPr>
        <w:t>(6.8)</w:t>
      </w:r>
    </w:p>
    <w:p>
      <w:pPr>
        <w:pStyle w:val="BodyText"/>
        <w:spacing w:line="285" w:lineRule="exact"/>
        <w:ind w:left="757" w:right="95"/>
        <w:jc w:val="center"/>
        <w:rPr>
          <w:rFonts w:ascii="Georgia" w:hAnsi="Georgia"/>
        </w:rPr>
      </w:pPr>
      <w:r>
        <w:rPr>
          <w:rFonts w:ascii="Cambria" w:hAnsi="Cambria"/>
          <w:w w:val="105"/>
        </w:rPr>
        <w:t>x</w:t>
      </w:r>
      <w:r>
        <w:rPr>
          <w:rFonts w:ascii="Georgia" w:hAnsi="Georgia"/>
          <w:w w:val="105"/>
          <w:vertAlign w:val="subscript"/>
        </w:rPr>
        <w:t>2</w:t>
      </w:r>
      <w:r>
        <w:rPr>
          <w:rFonts w:ascii="Georgia" w:hAnsi="Georgia"/>
          <w:spacing w:val="-13"/>
          <w:w w:val="105"/>
          <w:vertAlign w:val="baseline"/>
        </w:rPr>
        <w:t> </w:t>
      </w:r>
      <w:r>
        <w:rPr>
          <w:rFonts w:ascii="Lucida Sans Unicode" w:hAnsi="Lucida Sans Unicode"/>
          <w:w w:val="105"/>
          <w:vertAlign w:val="baseline"/>
        </w:rPr>
        <w:t>−</w:t>
      </w:r>
      <w:r>
        <w:rPr>
          <w:rFonts w:ascii="Lucida Sans Unicode" w:hAnsi="Lucida Sans Unicode"/>
          <w:spacing w:val="-27"/>
          <w:w w:val="105"/>
          <w:vertAlign w:val="baseline"/>
        </w:rPr>
        <w:t> </w:t>
      </w:r>
      <w:r>
        <w:rPr>
          <w:rFonts w:ascii="Cambria" w:hAnsi="Cambria"/>
          <w:spacing w:val="-5"/>
          <w:w w:val="105"/>
          <w:vertAlign w:val="baseline"/>
        </w:rPr>
        <w:t>x</w:t>
      </w:r>
      <w:r>
        <w:rPr>
          <w:rFonts w:ascii="Georgia" w:hAnsi="Georgia"/>
          <w:spacing w:val="-5"/>
          <w:w w:val="105"/>
          <w:vertAlign w:val="subscript"/>
        </w:rPr>
        <w:t>1</w:t>
      </w:r>
    </w:p>
    <w:p>
      <w:pPr>
        <w:pStyle w:val="BodyText"/>
        <w:tabs>
          <w:tab w:pos="8656" w:val="left" w:leader="none"/>
        </w:tabs>
        <w:spacing w:line="397" w:lineRule="exact"/>
        <w:ind w:left="4172"/>
      </w:pPr>
      <w:r>
        <w:rPr/>
        <w:pict>
          <v:shape style="position:absolute;margin-left:298.085999pt;margin-top:16.424120pt;width:4.25pt;height:8pt;mso-position-horizontal-relative:page;mso-position-vertical-relative:paragraph;z-index:-21731840" type="#_x0000_t202" id="docshape183" filled="false" stroked="false">
            <v:textbox inset="0,0,0,0">
              <w:txbxContent>
                <w:p>
                  <w:pPr>
                    <w:spacing w:line="155" w:lineRule="exact" w:before="0"/>
                    <w:ind w:left="0" w:right="0" w:firstLine="0"/>
                    <w:jc w:val="left"/>
                    <w:rPr>
                      <w:rFonts w:ascii="Georgia"/>
                      <w:sz w:val="16"/>
                    </w:rPr>
                  </w:pPr>
                  <w:r>
                    <w:rPr>
                      <w:rFonts w:ascii="Georgia"/>
                      <w:w w:val="94"/>
                      <w:sz w:val="16"/>
                    </w:rPr>
                    <w:t>2</w:t>
                  </w:r>
                </w:p>
              </w:txbxContent>
            </v:textbox>
            <w10:wrap type="none"/>
          </v:shape>
        </w:pict>
      </w:r>
      <w:r>
        <w:rPr>
          <w:rFonts w:ascii="Cambria" w:hAnsi="Cambria"/>
          <w:w w:val="105"/>
        </w:rPr>
        <w:t>z</w:t>
      </w:r>
      <w:r>
        <w:rPr>
          <w:rFonts w:ascii="Cambria" w:hAnsi="Cambria"/>
          <w:spacing w:val="77"/>
          <w:w w:val="150"/>
        </w:rPr>
        <w:t> </w:t>
      </w:r>
      <w:r>
        <w:rPr>
          <w:rFonts w:ascii="Garamond" w:hAnsi="Garamond"/>
          <w:w w:val="105"/>
        </w:rPr>
        <w:t>=</w:t>
      </w:r>
      <w:r>
        <w:rPr>
          <w:rFonts w:ascii="Garamond" w:hAnsi="Garamond"/>
          <w:spacing w:val="72"/>
          <w:w w:val="105"/>
        </w:rPr>
        <w:t> </w:t>
      </w:r>
      <w:r>
        <w:rPr>
          <w:rFonts w:ascii="Cambria" w:hAnsi="Cambria"/>
          <w:w w:val="105"/>
          <w:position w:val="16"/>
          <w:u w:val="single"/>
        </w:rPr>
        <w:t>x</w:t>
      </w:r>
      <w:r>
        <w:rPr>
          <w:rFonts w:ascii="Cambria" w:hAnsi="Cambria"/>
          <w:spacing w:val="-4"/>
          <w:w w:val="105"/>
          <w:position w:val="16"/>
          <w:u w:val="single"/>
        </w:rPr>
        <w:t> </w:t>
      </w:r>
      <w:r>
        <w:rPr>
          <w:rFonts w:ascii="Lucida Sans Unicode" w:hAnsi="Lucida Sans Unicode"/>
          <w:w w:val="105"/>
          <w:position w:val="16"/>
          <w:u w:val="single"/>
        </w:rPr>
        <w:t>−</w:t>
      </w:r>
      <w:r>
        <w:rPr>
          <w:rFonts w:ascii="Lucida Sans Unicode" w:hAnsi="Lucida Sans Unicode"/>
          <w:spacing w:val="-26"/>
          <w:w w:val="105"/>
          <w:position w:val="16"/>
          <w:u w:val="single"/>
        </w:rPr>
        <w:t> </w:t>
      </w:r>
      <w:r>
        <w:rPr>
          <w:rFonts w:ascii="Cambria" w:hAnsi="Cambria"/>
          <w:w w:val="105"/>
          <w:position w:val="16"/>
          <w:u w:val="single"/>
        </w:rPr>
        <w:t>x</w:t>
      </w:r>
      <w:r>
        <w:rPr>
          <w:rFonts w:ascii="Georgia" w:hAnsi="Georgia"/>
          <w:w w:val="105"/>
          <w:position w:val="13"/>
          <w:sz w:val="16"/>
          <w:u w:val="single"/>
        </w:rPr>
        <w:t>0</w:t>
      </w:r>
      <w:r>
        <w:rPr>
          <w:rFonts w:ascii="Georgia" w:hAnsi="Georgia"/>
          <w:spacing w:val="15"/>
          <w:w w:val="105"/>
          <w:position w:val="13"/>
          <w:sz w:val="16"/>
          <w:u w:val="single"/>
        </w:rPr>
        <w:t> </w:t>
      </w:r>
      <w:r>
        <w:rPr>
          <w:rFonts w:ascii="Georgia" w:hAnsi="Georgia"/>
          <w:spacing w:val="-17"/>
          <w:w w:val="105"/>
          <w:position w:val="13"/>
          <w:sz w:val="16"/>
        </w:rPr>
        <w:t> </w:t>
      </w:r>
      <w:r>
        <w:rPr>
          <w:rFonts w:ascii="Cambria" w:hAnsi="Cambria"/>
          <w:spacing w:val="-10"/>
          <w:w w:val="105"/>
        </w:rPr>
        <w:t>.</w:t>
      </w:r>
      <w:r>
        <w:rPr>
          <w:rFonts w:ascii="Cambria" w:hAnsi="Cambria"/>
        </w:rPr>
        <w:tab/>
      </w:r>
      <w:r>
        <w:rPr>
          <w:spacing w:val="-4"/>
          <w:w w:val="105"/>
        </w:rPr>
        <w:t>(6.9)</w:t>
      </w:r>
    </w:p>
    <w:p>
      <w:pPr>
        <w:spacing w:after="0" w:line="397" w:lineRule="exact"/>
        <w:sectPr>
          <w:type w:val="continuous"/>
          <w:pgSz w:w="11910" w:h="16840"/>
          <w:pgMar w:header="1961" w:footer="1428" w:top="1920" w:bottom="280" w:left="1680" w:right="720"/>
        </w:sectPr>
      </w:pPr>
    </w:p>
    <w:p>
      <w:pPr>
        <w:pStyle w:val="BodyText"/>
        <w:rPr>
          <w:sz w:val="30"/>
        </w:rPr>
      </w:pPr>
    </w:p>
    <w:p>
      <w:pPr>
        <w:pStyle w:val="Heading4"/>
        <w:numPr>
          <w:ilvl w:val="3"/>
          <w:numId w:val="24"/>
        </w:numPr>
        <w:tabs>
          <w:tab w:pos="1506" w:val="left" w:leader="none"/>
          <w:tab w:pos="1508" w:val="left" w:leader="none"/>
        </w:tabs>
        <w:spacing w:line="240" w:lineRule="auto" w:before="180" w:after="0"/>
        <w:ind w:left="1507" w:right="0" w:hanging="898"/>
        <w:jc w:val="left"/>
      </w:pPr>
      <w:bookmarkStart w:name="_TOC_250008" w:id="322"/>
      <w:bookmarkStart w:name="6.2.3.2 EPV Calculation" w:id="323"/>
      <w:r>
        <w:rPr>
          <w:b w:val="0"/>
        </w:rPr>
      </w:r>
      <w:bookmarkStart w:name="_bookmark188" w:id="324"/>
      <w:bookmarkEnd w:id="324"/>
      <w:r>
        <w:rPr/>
        <w:t>EPV</w:t>
      </w:r>
      <w:r>
        <w:rPr>
          <w:spacing w:val="-6"/>
        </w:rPr>
        <w:t> </w:t>
      </w:r>
      <w:bookmarkEnd w:id="322"/>
      <w:r>
        <w:rPr>
          <w:spacing w:val="-2"/>
        </w:rPr>
        <w:t>Calculation</w:t>
      </w:r>
    </w:p>
    <w:p>
      <w:pPr>
        <w:pStyle w:val="BodyText"/>
        <w:spacing w:line="285" w:lineRule="exact"/>
        <w:ind w:left="1043"/>
        <w:rPr>
          <w:rFonts w:ascii="Georgia" w:hAnsi="Georgia"/>
        </w:rPr>
      </w:pPr>
      <w:r>
        <w:rPr/>
        <w:br w:type="column"/>
      </w:r>
      <w:r>
        <w:rPr>
          <w:rFonts w:ascii="Cambria" w:hAnsi="Cambria"/>
          <w:w w:val="105"/>
        </w:rPr>
        <w:t>x</w:t>
      </w:r>
      <w:r>
        <w:rPr>
          <w:rFonts w:ascii="Georgia" w:hAnsi="Georgia"/>
          <w:w w:val="105"/>
          <w:vertAlign w:val="subscript"/>
        </w:rPr>
        <w:t>2</w:t>
      </w:r>
      <w:r>
        <w:rPr>
          <w:rFonts w:ascii="Georgia" w:hAnsi="Georgia"/>
          <w:spacing w:val="-13"/>
          <w:w w:val="105"/>
          <w:vertAlign w:val="baseline"/>
        </w:rPr>
        <w:t> </w:t>
      </w:r>
      <w:r>
        <w:rPr>
          <w:rFonts w:ascii="Lucida Sans Unicode" w:hAnsi="Lucida Sans Unicode"/>
          <w:w w:val="105"/>
          <w:vertAlign w:val="baseline"/>
        </w:rPr>
        <w:t>−</w:t>
      </w:r>
      <w:r>
        <w:rPr>
          <w:rFonts w:ascii="Lucida Sans Unicode" w:hAnsi="Lucida Sans Unicode"/>
          <w:spacing w:val="-27"/>
          <w:w w:val="105"/>
          <w:vertAlign w:val="baseline"/>
        </w:rPr>
        <w:t> </w:t>
      </w:r>
      <w:r>
        <w:rPr>
          <w:rFonts w:ascii="Cambria" w:hAnsi="Cambria"/>
          <w:spacing w:val="-5"/>
          <w:w w:val="105"/>
          <w:vertAlign w:val="baseline"/>
        </w:rPr>
        <w:t>x</w:t>
      </w:r>
      <w:r>
        <w:rPr>
          <w:rFonts w:ascii="Georgia" w:hAnsi="Georgia"/>
          <w:spacing w:val="-5"/>
          <w:w w:val="105"/>
          <w:vertAlign w:val="subscript"/>
        </w:rPr>
        <w:t>1</w:t>
      </w:r>
    </w:p>
    <w:p>
      <w:pPr>
        <w:spacing w:after="0" w:line="285" w:lineRule="exact"/>
        <w:rPr>
          <w:rFonts w:ascii="Georgia" w:hAnsi="Georgia"/>
        </w:rPr>
        <w:sectPr>
          <w:type w:val="continuous"/>
          <w:pgSz w:w="11910" w:h="16840"/>
          <w:pgMar w:header="1961" w:footer="1428" w:top="1920" w:bottom="280" w:left="1680" w:right="720"/>
          <w:cols w:num="2" w:equalWidth="0">
            <w:col w:w="3268" w:space="403"/>
            <w:col w:w="5839"/>
          </w:cols>
        </w:sectPr>
      </w:pPr>
    </w:p>
    <w:p>
      <w:pPr>
        <w:pStyle w:val="BodyText"/>
        <w:spacing w:before="11"/>
        <w:rPr>
          <w:rFonts w:ascii="Georgia"/>
          <w:sz w:val="12"/>
        </w:rPr>
      </w:pPr>
    </w:p>
    <w:p>
      <w:pPr>
        <w:pStyle w:val="BodyText"/>
        <w:spacing w:line="309" w:lineRule="auto" w:before="97"/>
        <w:ind w:left="610" w:right="389"/>
        <w:jc w:val="both"/>
      </w:pPr>
      <w:r>
        <w:rPr/>
        <w:pict>
          <v:shape style="position:absolute;margin-left:300.197998pt;margin-top:64.346741pt;width:17.3pt;height:44.4pt;mso-position-horizontal-relative:page;mso-position-vertical-relative:paragraph;z-index:-21734400" type="#_x0000_t202" id="docshape184" filled="false" stroked="false">
            <v:textbox inset="0,0,0,0">
              <w:txbxContent>
                <w:p>
                  <w:pPr>
                    <w:pStyle w:val="BodyText"/>
                    <w:spacing w:line="230" w:lineRule="exact"/>
                    <w:rPr>
                      <w:rFonts w:ascii="Arial"/>
                    </w:rPr>
                  </w:pPr>
                  <w:r>
                    <w:rPr>
                      <w:rFonts w:ascii="Arial"/>
                      <w:w w:val="258"/>
                    </w:rPr>
                    <w:t>L</w:t>
                  </w:r>
                </w:p>
              </w:txbxContent>
            </v:textbox>
            <w10:wrap type="none"/>
          </v:shape>
        </w:pict>
      </w:r>
      <w:r>
        <w:rPr/>
        <w:t>The EPV for a location was derived from the possession outcome probabilities.</w:t>
      </w:r>
      <w:r>
        <w:rPr>
          <w:spacing w:val="40"/>
        </w:rPr>
        <w:t> </w:t>
      </w:r>
      <w:r>
        <w:rPr/>
        <w:t>The EPV for a location with coordinates </w:t>
      </w:r>
      <w:r>
        <w:rPr>
          <w:rFonts w:ascii="Cambria"/>
        </w:rPr>
        <w:t>x,</w:t>
      </w:r>
      <w:r>
        <w:rPr>
          <w:rFonts w:ascii="Cambria"/>
          <w:spacing w:val="-14"/>
        </w:rPr>
        <w:t> </w:t>
      </w:r>
      <w:r>
        <w:rPr>
          <w:rFonts w:ascii="Cambria"/>
        </w:rPr>
        <w:t>y </w:t>
      </w:r>
      <w:r>
        <w:rPr/>
        <w:t>was calculated using the probability of the five possession outcomes and their true points scoring values:</w:t>
      </w:r>
    </w:p>
    <w:p>
      <w:pPr>
        <w:pStyle w:val="BodyText"/>
        <w:spacing w:before="6"/>
        <w:rPr>
          <w:sz w:val="25"/>
        </w:rPr>
      </w:pPr>
    </w:p>
    <w:p>
      <w:pPr>
        <w:pStyle w:val="BodyText"/>
        <w:tabs>
          <w:tab w:pos="4709" w:val="left" w:leader="none"/>
          <w:tab w:pos="8536" w:val="left" w:leader="none"/>
        </w:tabs>
        <w:ind w:left="3183"/>
      </w:pPr>
      <w:bookmarkStart w:name="_bookmark189" w:id="325"/>
      <w:bookmarkEnd w:id="325"/>
      <w:r>
        <w:rPr/>
      </w:r>
      <w:r>
        <w:rPr>
          <w:w w:val="105"/>
        </w:rPr>
        <w:t>EPV</w:t>
      </w:r>
      <w:r>
        <w:rPr>
          <w:rFonts w:ascii="Georgia"/>
          <w:w w:val="105"/>
          <w:vertAlign w:val="subscript"/>
        </w:rPr>
        <w:t>(</w:t>
      </w:r>
      <w:r>
        <w:rPr>
          <w:rFonts w:ascii="Cambria"/>
          <w:w w:val="105"/>
          <w:vertAlign w:val="subscript"/>
        </w:rPr>
        <w:t>x,y</w:t>
      </w:r>
      <w:r>
        <w:rPr>
          <w:rFonts w:ascii="Georgia"/>
          <w:w w:val="105"/>
          <w:vertAlign w:val="subscript"/>
        </w:rPr>
        <w:t>)</w:t>
      </w:r>
      <w:r>
        <w:rPr>
          <w:rFonts w:ascii="Georgia"/>
          <w:spacing w:val="19"/>
          <w:w w:val="110"/>
          <w:vertAlign w:val="baseline"/>
        </w:rPr>
        <w:t> </w:t>
      </w:r>
      <w:r>
        <w:rPr>
          <w:rFonts w:ascii="Garamond"/>
          <w:spacing w:val="-10"/>
          <w:w w:val="110"/>
          <w:vertAlign w:val="baseline"/>
        </w:rPr>
        <w:t>=</w:t>
      </w:r>
      <w:r>
        <w:rPr>
          <w:rFonts w:ascii="Garamond"/>
          <w:vertAlign w:val="baseline"/>
        </w:rPr>
        <w:tab/>
      </w:r>
      <w:r>
        <w:rPr>
          <w:rFonts w:ascii="Cambria"/>
          <w:w w:val="110"/>
          <w:vertAlign w:val="baseline"/>
        </w:rPr>
        <w:t>P</w:t>
      </w:r>
      <w:r>
        <w:rPr>
          <w:rFonts w:ascii="Garamond"/>
          <w:w w:val="110"/>
          <w:vertAlign w:val="baseline"/>
        </w:rPr>
        <w:t>(</w:t>
      </w:r>
      <w:r>
        <w:rPr>
          <w:rFonts w:ascii="Cambria"/>
          <w:w w:val="110"/>
          <w:vertAlign w:val="baseline"/>
        </w:rPr>
        <w:t>s</w:t>
      </w:r>
      <w:r>
        <w:rPr>
          <w:rFonts w:ascii="Garamond"/>
          <w:w w:val="110"/>
          <w:vertAlign w:val="baseline"/>
        </w:rPr>
        <w:t>;</w:t>
      </w:r>
      <w:r>
        <w:rPr>
          <w:rFonts w:ascii="Garamond"/>
          <w:spacing w:val="5"/>
          <w:w w:val="110"/>
          <w:vertAlign w:val="baseline"/>
        </w:rPr>
        <w:t> </w:t>
      </w:r>
      <w:r>
        <w:rPr>
          <w:rFonts w:ascii="Cambria"/>
          <w:w w:val="110"/>
          <w:vertAlign w:val="baseline"/>
        </w:rPr>
        <w:t>x,</w:t>
      </w:r>
      <w:r>
        <w:rPr>
          <w:rFonts w:ascii="Cambria"/>
          <w:spacing w:val="13"/>
          <w:w w:val="110"/>
          <w:vertAlign w:val="baseline"/>
        </w:rPr>
        <w:t> </w:t>
      </w:r>
      <w:r>
        <w:rPr>
          <w:rFonts w:ascii="Cambria"/>
          <w:spacing w:val="-2"/>
          <w:w w:val="105"/>
          <w:vertAlign w:val="baseline"/>
        </w:rPr>
        <w:t>y</w:t>
      </w:r>
      <w:r>
        <w:rPr>
          <w:rFonts w:ascii="Garamond"/>
          <w:spacing w:val="-2"/>
          <w:w w:val="105"/>
          <w:vertAlign w:val="baseline"/>
        </w:rPr>
        <w:t>)</w:t>
      </w:r>
      <w:r>
        <w:rPr>
          <w:spacing w:val="-2"/>
          <w:w w:val="105"/>
          <w:vertAlign w:val="baseline"/>
        </w:rPr>
        <w:t>Points</w:t>
      </w:r>
      <w:r>
        <w:rPr>
          <w:rFonts w:ascii="Garamond"/>
          <w:spacing w:val="-2"/>
          <w:w w:val="105"/>
          <w:vertAlign w:val="baseline"/>
        </w:rPr>
        <w:t>(</w:t>
      </w:r>
      <w:r>
        <w:rPr>
          <w:rFonts w:ascii="Cambria"/>
          <w:spacing w:val="-2"/>
          <w:w w:val="105"/>
          <w:vertAlign w:val="baseline"/>
        </w:rPr>
        <w:t>s</w:t>
      </w:r>
      <w:r>
        <w:rPr>
          <w:rFonts w:ascii="Garamond"/>
          <w:spacing w:val="-2"/>
          <w:w w:val="105"/>
          <w:vertAlign w:val="baseline"/>
        </w:rPr>
        <w:t>)</w:t>
      </w:r>
      <w:r>
        <w:rPr>
          <w:rFonts w:ascii="Garamond"/>
          <w:vertAlign w:val="baseline"/>
        </w:rPr>
        <w:tab/>
      </w:r>
      <w:r>
        <w:rPr>
          <w:spacing w:val="-2"/>
          <w:w w:val="110"/>
          <w:vertAlign w:val="baseline"/>
        </w:rPr>
        <w:t>(6.10)</w:t>
      </w:r>
    </w:p>
    <w:p>
      <w:pPr>
        <w:spacing w:before="41"/>
        <w:ind w:left="4193" w:right="4712" w:firstLine="0"/>
        <w:jc w:val="center"/>
        <w:rPr>
          <w:rFonts w:ascii="Cambria" w:hAnsi="Cambria"/>
          <w:sz w:val="16"/>
        </w:rPr>
      </w:pPr>
      <w:r>
        <w:rPr>
          <w:rFonts w:ascii="Cambria" w:hAnsi="Cambria"/>
          <w:spacing w:val="-5"/>
          <w:w w:val="110"/>
          <w:sz w:val="16"/>
        </w:rPr>
        <w:t>s</w:t>
      </w:r>
      <w:r>
        <w:rPr>
          <w:rFonts w:ascii="Lucida Sans Unicode" w:hAnsi="Lucida Sans Unicode"/>
          <w:spacing w:val="-5"/>
          <w:w w:val="110"/>
          <w:sz w:val="16"/>
        </w:rPr>
        <w:t>∈</w:t>
      </w:r>
      <w:r>
        <w:rPr>
          <w:rFonts w:ascii="Cambria" w:hAnsi="Cambria"/>
          <w:spacing w:val="-5"/>
          <w:w w:val="110"/>
          <w:sz w:val="16"/>
        </w:rPr>
        <w:t>S</w:t>
      </w:r>
    </w:p>
    <w:p>
      <w:pPr>
        <w:pStyle w:val="BodyText"/>
        <w:spacing w:before="9"/>
        <w:rPr>
          <w:rFonts w:ascii="Cambria"/>
          <w:sz w:val="19"/>
        </w:rPr>
      </w:pPr>
    </w:p>
    <w:p>
      <w:pPr>
        <w:pStyle w:val="BodyText"/>
        <w:spacing w:line="295" w:lineRule="auto"/>
        <w:ind w:left="610" w:right="232"/>
      </w:pPr>
      <w:r>
        <w:rPr/>
        <w:t>where </w:t>
      </w:r>
      <w:r>
        <w:rPr>
          <w:rFonts w:ascii="Cambria"/>
        </w:rPr>
        <w:t>P</w:t>
      </w:r>
      <w:r>
        <w:rPr>
          <w:rFonts w:ascii="Garamond"/>
        </w:rPr>
        <w:t>(</w:t>
      </w:r>
      <w:r>
        <w:rPr>
          <w:rFonts w:ascii="Cambria"/>
        </w:rPr>
        <w:t>s</w:t>
      </w:r>
      <w:r>
        <w:rPr>
          <w:rFonts w:ascii="Garamond"/>
        </w:rPr>
        <w:t>;</w:t>
      </w:r>
      <w:r>
        <w:rPr>
          <w:rFonts w:ascii="Garamond"/>
          <w:spacing w:val="-14"/>
        </w:rPr>
        <w:t> </w:t>
      </w:r>
      <w:r>
        <w:rPr>
          <w:rFonts w:ascii="Cambria"/>
        </w:rPr>
        <w:t>x,</w:t>
      </w:r>
      <w:r>
        <w:rPr>
          <w:rFonts w:ascii="Cambria"/>
          <w:spacing w:val="-7"/>
        </w:rPr>
        <w:t> </w:t>
      </w:r>
      <w:r>
        <w:rPr>
          <w:rFonts w:ascii="Cambria"/>
        </w:rPr>
        <w:t>y</w:t>
      </w:r>
      <w:r>
        <w:rPr>
          <w:rFonts w:ascii="Garamond"/>
        </w:rPr>
        <w:t>) </w:t>
      </w:r>
      <w:r>
        <w:rPr/>
        <w:t>is the probability of possession outcome </w:t>
      </w:r>
      <w:r>
        <w:rPr>
          <w:rFonts w:ascii="Cambria"/>
        </w:rPr>
        <w:t>s </w:t>
      </w:r>
      <w:r>
        <w:rPr/>
        <w:t>in location </w:t>
      </w:r>
      <w:r>
        <w:rPr>
          <w:rFonts w:ascii="Cambria"/>
        </w:rPr>
        <w:t>x,</w:t>
      </w:r>
      <w:r>
        <w:rPr>
          <w:rFonts w:ascii="Cambria"/>
          <w:spacing w:val="-7"/>
        </w:rPr>
        <w:t> </w:t>
      </w:r>
      <w:r>
        <w:rPr>
          <w:rFonts w:ascii="Cambria"/>
        </w:rPr>
        <w:t>y </w:t>
      </w:r>
      <w:r>
        <w:rPr/>
        <w:t>(Equation</w:t>
      </w:r>
      <w:hyperlink w:history="true" w:anchor="_bookmark181">
        <w:r>
          <w:rPr>
            <w:color w:val="0000FF"/>
          </w:rPr>
          <w:t>6.3</w:t>
        </w:r>
        <w:r>
          <w:rPr/>
          <w:t>)</w:t>
        </w:r>
      </w:hyperlink>
      <w:r>
        <w:rPr/>
        <w:t> and Points(</w:t>
      </w:r>
      <w:r>
        <w:rPr>
          <w:rFonts w:ascii="Cambria"/>
        </w:rPr>
        <w:t>s</w:t>
      </w:r>
      <w:r>
        <w:rPr/>
        <w:t>) is the true point scoring value of possession outcome </w:t>
      </w:r>
      <w:r>
        <w:rPr>
          <w:rFonts w:ascii="Cambria"/>
        </w:rPr>
        <w:t>s </w:t>
      </w:r>
      <w:r>
        <w:rPr/>
        <w:t>(Table</w:t>
      </w:r>
      <w:hyperlink w:history="true" w:anchor="_bookmark36">
        <w:r>
          <w:rPr>
            <w:color w:val="0000FF"/>
          </w:rPr>
          <w:t>2.1</w:t>
        </w:r>
      </w:hyperlink>
      <w:r>
        <w:rPr/>
        <w:t>).</w:t>
      </w:r>
    </w:p>
    <w:p>
      <w:pPr>
        <w:pStyle w:val="BodyText"/>
        <w:spacing w:line="312" w:lineRule="auto" w:before="19"/>
        <w:ind w:left="610" w:right="389" w:firstLine="351"/>
      </w:pPr>
      <w:r>
        <w:rPr/>
        <w:t>The</w:t>
      </w:r>
      <w:r>
        <w:rPr>
          <w:spacing w:val="-12"/>
        </w:rPr>
        <w:t> </w:t>
      </w:r>
      <w:r>
        <w:rPr/>
        <w:t>EPV</w:t>
      </w:r>
      <w:r>
        <w:rPr>
          <w:spacing w:val="-12"/>
        </w:rPr>
        <w:t> </w:t>
      </w:r>
      <w:r>
        <w:rPr/>
        <w:t>provides</w:t>
      </w:r>
      <w:r>
        <w:rPr>
          <w:spacing w:val="-12"/>
        </w:rPr>
        <w:t> </w:t>
      </w:r>
      <w:r>
        <w:rPr/>
        <w:t>a</w:t>
      </w:r>
      <w:r>
        <w:rPr>
          <w:spacing w:val="-12"/>
        </w:rPr>
        <w:t> </w:t>
      </w:r>
      <w:r>
        <w:rPr/>
        <w:t>single</w:t>
      </w:r>
      <w:r>
        <w:rPr>
          <w:spacing w:val="-12"/>
        </w:rPr>
        <w:t> </w:t>
      </w:r>
      <w:r>
        <w:rPr/>
        <w:t>value</w:t>
      </w:r>
      <w:r>
        <w:rPr>
          <w:spacing w:val="-12"/>
        </w:rPr>
        <w:t> </w:t>
      </w:r>
      <w:r>
        <w:rPr/>
        <w:t>which</w:t>
      </w:r>
      <w:r>
        <w:rPr>
          <w:spacing w:val="-12"/>
        </w:rPr>
        <w:t> </w:t>
      </w:r>
      <w:r>
        <w:rPr/>
        <w:t>combines</w:t>
      </w:r>
      <w:r>
        <w:rPr>
          <w:spacing w:val="-12"/>
        </w:rPr>
        <w:t> </w:t>
      </w:r>
      <w:r>
        <w:rPr/>
        <w:t>all</w:t>
      </w:r>
      <w:r>
        <w:rPr>
          <w:spacing w:val="-12"/>
        </w:rPr>
        <w:t> </w:t>
      </w:r>
      <w:r>
        <w:rPr/>
        <w:t>possession</w:t>
      </w:r>
      <w:r>
        <w:rPr>
          <w:spacing w:val="-12"/>
        </w:rPr>
        <w:t> </w:t>
      </w:r>
      <w:r>
        <w:rPr/>
        <w:t>outcome</w:t>
      </w:r>
      <w:r>
        <w:rPr>
          <w:spacing w:val="-12"/>
        </w:rPr>
        <w:t> </w:t>
      </w:r>
      <w:r>
        <w:rPr/>
        <w:t>information like previous studies (Chapters</w:t>
      </w:r>
      <w:r>
        <w:rPr>
          <w:color w:val="0000FF"/>
        </w:rPr>
        <w:t>3</w:t>
      </w:r>
      <w:r>
        <w:rPr/>
        <w:t>and</w:t>
      </w:r>
      <w:r>
        <w:rPr>
          <w:color w:val="0000FF"/>
        </w:rPr>
        <w:t>4</w:t>
      </w:r>
      <w:r>
        <w:rPr/>
        <w:t>;</w:t>
      </w:r>
      <w:hyperlink w:history="true" w:anchor="_bookmark92">
        <w:r>
          <w:rPr>
            <w:color w:val="FF0000"/>
          </w:rPr>
          <w:t>Cerv</w:t>
        </w:r>
      </w:hyperlink>
      <w:hyperlink w:history="true" w:anchor="_bookmark231">
        <w:r>
          <w:rPr>
            <w:color w:val="FF0000"/>
          </w:rPr>
          <w:t>one et al.</w:t>
        </w:r>
        <w:r>
          <w:rPr/>
          <w:t>(</w:t>
        </w:r>
      </w:hyperlink>
      <w:r>
        <w:rPr>
          <w:color w:val="FF0000"/>
        </w:rPr>
        <w:t>2016</w:t>
      </w:r>
      <w:hyperlink w:history="true" w:anchor="_bookmark231">
        <w:r>
          <w:rPr/>
          <w:t>);</w:t>
        </w:r>
      </w:hyperlink>
      <w:r>
        <w:rPr>
          <w:color w:val="FF0000"/>
        </w:rPr>
        <w:t>Chan </w:t>
      </w:r>
      <w:hyperlink w:history="true" w:anchor="_bookmark232">
        <w:r>
          <w:rPr>
            <w:color w:val="FF0000"/>
          </w:rPr>
          <w:t>et al.</w:t>
        </w:r>
        <w:r>
          <w:rPr/>
          <w:t>(</w:t>
        </w:r>
      </w:hyperlink>
      <w:r>
        <w:rPr>
          <w:color w:val="FF0000"/>
        </w:rPr>
        <w:t>2021</w:t>
      </w:r>
      <w:hyperlink w:history="true" w:anchor="_bookmark232">
        <w:r>
          <w:rPr/>
          <w:t>);</w:t>
        </w:r>
        <w:r>
          <w:rPr>
            <w:color w:val="FF0000"/>
          </w:rPr>
          <w:t>K</w:t>
        </w:r>
      </w:hyperlink>
      <w:r>
        <w:rPr>
          <w:color w:val="FF0000"/>
        </w:rPr>
        <w:t>emp-</w:t>
      </w:r>
    </w:p>
    <w:p>
      <w:pPr>
        <w:pStyle w:val="BodyText"/>
        <w:spacing w:line="312" w:lineRule="auto"/>
        <w:ind w:left="610" w:right="389"/>
      </w:pPr>
      <w:hyperlink w:history="true" w:anchor="_bookmark263">
        <w:r>
          <w:rPr>
            <w:color w:val="FF0000"/>
          </w:rPr>
          <w:t>ton et al.</w:t>
        </w:r>
      </w:hyperlink>
      <w:r>
        <w:rPr/>
        <w:t>(</w:t>
      </w:r>
      <w:hyperlink w:history="true" w:anchor="_bookmark263">
        <w:r>
          <w:rPr>
            <w:color w:val="FF0000"/>
          </w:rPr>
          <w:t>2016</w:t>
        </w:r>
      </w:hyperlink>
      <w:r>
        <w:rPr/>
        <w:t>);</w:t>
      </w:r>
      <w:hyperlink w:history="true" w:anchor="_bookmark294">
        <w:r>
          <w:rPr>
            <w:color w:val="FF0000"/>
          </w:rPr>
          <w:t>Singh</w:t>
        </w:r>
        <w:r>
          <w:rPr/>
          <w:t>(</w:t>
        </w:r>
      </w:hyperlink>
      <w:r>
        <w:rPr>
          <w:color w:val="FF0000"/>
        </w:rPr>
        <w:t>n.d.</w:t>
      </w:r>
      <w:hyperlink w:history="true" w:anchor="_bookmark294">
        <w:r>
          <w:rPr/>
          <w:t>)).</w:t>
        </w:r>
      </w:hyperlink>
      <w:r>
        <w:rPr>
          <w:spacing w:val="40"/>
        </w:rPr>
        <w:t> </w:t>
      </w:r>
      <w:r>
        <w:rPr/>
        <w:t>By calculating the EPV in this manner, the approach of this</w:t>
      </w:r>
      <w:r>
        <w:rPr>
          <w:spacing w:val="-5"/>
        </w:rPr>
        <w:t> </w:t>
      </w:r>
      <w:r>
        <w:rPr/>
        <w:t>study</w:t>
      </w:r>
      <w:r>
        <w:rPr>
          <w:spacing w:val="-5"/>
        </w:rPr>
        <w:t> </w:t>
      </w:r>
      <w:r>
        <w:rPr/>
        <w:t>is</w:t>
      </w:r>
      <w:r>
        <w:rPr>
          <w:spacing w:val="-5"/>
        </w:rPr>
        <w:t> </w:t>
      </w:r>
      <w:r>
        <w:rPr/>
        <w:t>not</w:t>
      </w:r>
      <w:r>
        <w:rPr>
          <w:spacing w:val="-5"/>
        </w:rPr>
        <w:t> </w:t>
      </w:r>
      <w:r>
        <w:rPr/>
        <w:t>dissimilar</w:t>
      </w:r>
      <w:r>
        <w:rPr>
          <w:spacing w:val="-5"/>
        </w:rPr>
        <w:t> </w:t>
      </w:r>
      <w:r>
        <w:rPr/>
        <w:t>to</w:t>
      </w:r>
      <w:r>
        <w:rPr>
          <w:spacing w:val="-5"/>
        </w:rPr>
        <w:t> </w:t>
      </w:r>
      <w:r>
        <w:rPr/>
        <w:t>the</w:t>
      </w:r>
      <w:r>
        <w:rPr>
          <w:spacing w:val="-5"/>
        </w:rPr>
        <w:t> </w:t>
      </w:r>
      <w:r>
        <w:rPr/>
        <w:t>decomposed</w:t>
      </w:r>
      <w:r>
        <w:rPr>
          <w:spacing w:val="-5"/>
        </w:rPr>
        <w:t> </w:t>
      </w:r>
      <w:r>
        <w:rPr/>
        <w:t>MDP</w:t>
      </w:r>
      <w:r>
        <w:rPr>
          <w:spacing w:val="-5"/>
        </w:rPr>
        <w:t> </w:t>
      </w:r>
      <w:r>
        <w:rPr/>
        <w:t>approach</w:t>
      </w:r>
      <w:r>
        <w:rPr>
          <w:spacing w:val="-5"/>
        </w:rPr>
        <w:t> </w:t>
      </w:r>
      <w:r>
        <w:rPr/>
        <w:t>of</w:t>
      </w:r>
      <w:hyperlink w:history="true" w:anchor="_bookmark243">
        <w:r>
          <w:rPr>
            <w:color w:val="FF0000"/>
          </w:rPr>
          <w:t>Fern</w:t>
        </w:r>
        <w:r>
          <w:rPr>
            <w:color w:val="FF0000"/>
            <w:spacing w:val="-5"/>
          </w:rPr>
          <w:t> </w:t>
        </w:r>
        <w:r>
          <w:rPr>
            <w:color w:val="FF0000"/>
            <w:spacing w:val="-80"/>
          </w:rPr>
          <w:t>a</w:t>
        </w:r>
        <w:r>
          <w:rPr>
            <w:color w:val="FF0000"/>
            <w:spacing w:val="26"/>
          </w:rPr>
          <w:t>´</w:t>
        </w:r>
        <w:r>
          <w:rPr>
            <w:color w:val="FF0000"/>
            <w:spacing w:val="13"/>
          </w:rPr>
          <w:t>ndez</w:t>
        </w:r>
        <w:r>
          <w:rPr>
            <w:color w:val="FF0000"/>
            <w:spacing w:val="-4"/>
          </w:rPr>
          <w:t> </w:t>
        </w:r>
        <w:r>
          <w:rPr>
            <w:color w:val="FF0000"/>
          </w:rPr>
          <w:t>et</w:t>
        </w:r>
        <w:r>
          <w:rPr>
            <w:color w:val="FF0000"/>
            <w:spacing w:val="-5"/>
          </w:rPr>
          <w:t> </w:t>
        </w:r>
        <w:r>
          <w:rPr>
            <w:color w:val="FF0000"/>
          </w:rPr>
          <w:t>al.</w:t>
        </w:r>
      </w:hyperlink>
      <w:r>
        <w:rPr/>
        <w:t>(</w:t>
      </w:r>
      <w:hyperlink w:history="true" w:anchor="_bookmark243">
        <w:r>
          <w:rPr>
            <w:color w:val="FF0000"/>
          </w:rPr>
          <w:t>2021</w:t>
        </w:r>
      </w:hyperlink>
      <w:r>
        <w:rPr/>
        <w:t>). However, rather than decomposing the EPV calculation into different actions, this </w:t>
      </w:r>
      <w:r>
        <w:rPr/>
        <w:t>study decomposes it into different possession outcomes.</w:t>
      </w:r>
    </w:p>
    <w:p>
      <w:pPr>
        <w:spacing w:after="0" w:line="312" w:lineRule="auto"/>
        <w:sectPr>
          <w:type w:val="continuous"/>
          <w:pgSz w:w="11910" w:h="16840"/>
          <w:pgMar w:header="1961" w:footer="1428" w:top="1920" w:bottom="280" w:left="1680" w:right="720"/>
        </w:sectPr>
      </w:pPr>
    </w:p>
    <w:p>
      <w:pPr>
        <w:pStyle w:val="BodyText"/>
        <w:rPr>
          <w:sz w:val="20"/>
        </w:rPr>
      </w:pPr>
    </w:p>
    <w:p>
      <w:pPr>
        <w:pStyle w:val="BodyText"/>
        <w:spacing w:before="6"/>
        <w:rPr>
          <w:sz w:val="20"/>
        </w:rPr>
      </w:pPr>
    </w:p>
    <w:p>
      <w:pPr>
        <w:pStyle w:val="Heading4"/>
        <w:numPr>
          <w:ilvl w:val="3"/>
          <w:numId w:val="24"/>
        </w:numPr>
        <w:tabs>
          <w:tab w:pos="1506" w:val="left" w:leader="none"/>
          <w:tab w:pos="1508" w:val="left" w:leader="none"/>
        </w:tabs>
        <w:spacing w:line="240" w:lineRule="auto" w:before="106" w:after="0"/>
        <w:ind w:left="1507" w:right="0" w:hanging="898"/>
        <w:jc w:val="left"/>
      </w:pPr>
      <w:bookmarkStart w:name="_TOC_250007" w:id="326"/>
      <w:bookmarkStart w:name="6.2.3.3 Modelling Approach" w:id="327"/>
      <w:r>
        <w:rPr>
          <w:b w:val="0"/>
        </w:rPr>
      </w:r>
      <w:bookmarkStart w:name="_bookmark190" w:id="328"/>
      <w:bookmarkEnd w:id="328"/>
      <w:r>
        <w:rPr/>
        <w:t>Modelling</w:t>
      </w:r>
      <w:r>
        <w:rPr>
          <w:spacing w:val="-12"/>
        </w:rPr>
        <w:t> </w:t>
      </w:r>
      <w:bookmarkEnd w:id="326"/>
      <w:r>
        <w:rPr>
          <w:spacing w:val="-2"/>
        </w:rPr>
        <w:t>Approach</w:t>
      </w:r>
    </w:p>
    <w:p>
      <w:pPr>
        <w:pStyle w:val="BodyText"/>
        <w:spacing w:line="312" w:lineRule="auto" w:before="244"/>
        <w:ind w:left="610" w:right="389"/>
        <w:jc w:val="both"/>
      </w:pPr>
      <w:r>
        <w:rPr/>
        <w:t>The</w:t>
      </w:r>
      <w:r>
        <w:rPr>
          <w:spacing w:val="-14"/>
        </w:rPr>
        <w:t> </w:t>
      </w:r>
      <w:r>
        <w:rPr/>
        <w:t>analysis</w:t>
      </w:r>
      <w:r>
        <w:rPr>
          <w:spacing w:val="-14"/>
        </w:rPr>
        <w:t> </w:t>
      </w:r>
      <w:r>
        <w:rPr/>
        <w:t>for</w:t>
      </w:r>
      <w:r>
        <w:rPr>
          <w:spacing w:val="-14"/>
        </w:rPr>
        <w:t> </w:t>
      </w:r>
      <w:r>
        <w:rPr/>
        <w:t>this</w:t>
      </w:r>
      <w:r>
        <w:rPr>
          <w:spacing w:val="-14"/>
        </w:rPr>
        <w:t> </w:t>
      </w:r>
      <w:r>
        <w:rPr/>
        <w:t>study</w:t>
      </w:r>
      <w:r>
        <w:rPr>
          <w:spacing w:val="-14"/>
        </w:rPr>
        <w:t> </w:t>
      </w:r>
      <w:r>
        <w:rPr/>
        <w:t>was</w:t>
      </w:r>
      <w:r>
        <w:rPr>
          <w:spacing w:val="-14"/>
        </w:rPr>
        <w:t> </w:t>
      </w:r>
      <w:r>
        <w:rPr/>
        <w:t>conducted</w:t>
      </w:r>
      <w:r>
        <w:rPr>
          <w:spacing w:val="-14"/>
        </w:rPr>
        <w:t> </w:t>
      </w:r>
      <w:r>
        <w:rPr/>
        <w:t>at</w:t>
      </w:r>
      <w:r>
        <w:rPr>
          <w:spacing w:val="-14"/>
        </w:rPr>
        <w:t> </w:t>
      </w:r>
      <w:r>
        <w:rPr/>
        <w:t>two</w:t>
      </w:r>
      <w:r>
        <w:rPr>
          <w:spacing w:val="-14"/>
        </w:rPr>
        <w:t> </w:t>
      </w:r>
      <w:r>
        <w:rPr/>
        <w:t>levels.</w:t>
      </w:r>
      <w:r>
        <w:rPr>
          <w:spacing w:val="4"/>
        </w:rPr>
        <w:t> </w:t>
      </w:r>
      <w:r>
        <w:rPr/>
        <w:t>First,</w:t>
      </w:r>
      <w:r>
        <w:rPr>
          <w:spacing w:val="-12"/>
        </w:rPr>
        <w:t> </w:t>
      </w:r>
      <w:r>
        <w:rPr/>
        <w:t>the</w:t>
      </w:r>
      <w:r>
        <w:rPr>
          <w:spacing w:val="-14"/>
        </w:rPr>
        <w:t> </w:t>
      </w:r>
      <w:r>
        <w:rPr/>
        <w:t>model</w:t>
      </w:r>
      <w:r>
        <w:rPr>
          <w:spacing w:val="-14"/>
        </w:rPr>
        <w:t> </w:t>
      </w:r>
      <w:r>
        <w:rPr/>
        <w:t>was</w:t>
      </w:r>
      <w:r>
        <w:rPr>
          <w:spacing w:val="-14"/>
        </w:rPr>
        <w:t> </w:t>
      </w:r>
      <w:r>
        <w:rPr/>
        <w:t>run</w:t>
      </w:r>
      <w:r>
        <w:rPr>
          <w:spacing w:val="-14"/>
        </w:rPr>
        <w:t> </w:t>
      </w:r>
      <w:r>
        <w:rPr/>
        <w:t>using</w:t>
      </w:r>
      <w:r>
        <w:rPr>
          <w:spacing w:val="-14"/>
        </w:rPr>
        <w:t> </w:t>
      </w:r>
      <w:r>
        <w:rPr/>
        <w:t>the whole league data, then the 24 team attacking and defending models were run, using the data subsets described in Section</w:t>
      </w:r>
      <w:hyperlink w:history="true" w:anchor="_bookmark174">
        <w:r>
          <w:rPr>
            <w:color w:val="0000FF"/>
          </w:rPr>
          <w:t>6.2.2</w:t>
        </w:r>
        <w:r>
          <w:rPr/>
          <w:t>.</w:t>
        </w:r>
      </w:hyperlink>
      <w:r>
        <w:rPr>
          <w:spacing w:val="35"/>
        </w:rPr>
        <w:t> </w:t>
      </w:r>
      <w:r>
        <w:rPr/>
        <w:t>It has previously been argued that a hierarchical approach is the most appropriate method of analysing data at multiple levels (</w:t>
      </w:r>
      <w:hyperlink w:history="true" w:anchor="_bookmark304">
        <w:r>
          <w:rPr>
            <w:color w:val="FF0000"/>
          </w:rPr>
          <w:t>van </w:t>
        </w:r>
        <w:r>
          <w:rPr>
            <w:color w:val="FF0000"/>
          </w:rPr>
          <w:t>de</w:t>
        </w:r>
      </w:hyperlink>
      <w:r>
        <w:rPr>
          <w:color w:val="FF0000"/>
        </w:rPr>
        <w:t> </w:t>
      </w:r>
      <w:hyperlink w:history="true" w:anchor="_bookmark304">
        <w:r>
          <w:rPr>
            <w:color w:val="FF0000"/>
          </w:rPr>
          <w:t>Schoot et al.</w:t>
        </w:r>
      </w:hyperlink>
      <w:r>
        <w:rPr/>
        <w:t>,</w:t>
      </w:r>
      <w:hyperlink w:history="true" w:anchor="_bookmark304">
        <w:r>
          <w:rPr>
            <w:color w:val="FF0000"/>
          </w:rPr>
          <w:t>2021</w:t>
        </w:r>
      </w:hyperlink>
      <w:r>
        <w:rPr/>
        <w:t>), however adopting such a method would have only allowed a single averaged</w:t>
      </w:r>
      <w:r>
        <w:rPr>
          <w:spacing w:val="-5"/>
        </w:rPr>
        <w:t> </w:t>
      </w:r>
      <w:r>
        <w:rPr/>
        <w:t>shift</w:t>
      </w:r>
      <w:r>
        <w:rPr>
          <w:spacing w:val="-5"/>
        </w:rPr>
        <w:t> </w:t>
      </w:r>
      <w:r>
        <w:rPr/>
        <w:t>(either</w:t>
      </w:r>
      <w:r>
        <w:rPr>
          <w:spacing w:val="-5"/>
        </w:rPr>
        <w:t> </w:t>
      </w:r>
      <w:r>
        <w:rPr/>
        <w:t>positive</w:t>
      </w:r>
      <w:r>
        <w:rPr>
          <w:spacing w:val="-4"/>
        </w:rPr>
        <w:t> </w:t>
      </w:r>
      <w:r>
        <w:rPr/>
        <w:t>or</w:t>
      </w:r>
      <w:r>
        <w:rPr>
          <w:spacing w:val="-5"/>
        </w:rPr>
        <w:t> </w:t>
      </w:r>
      <w:r>
        <w:rPr/>
        <w:t>negative)</w:t>
      </w:r>
      <w:r>
        <w:rPr>
          <w:spacing w:val="-5"/>
        </w:rPr>
        <w:t> </w:t>
      </w:r>
      <w:r>
        <w:rPr/>
        <w:t>away</w:t>
      </w:r>
      <w:r>
        <w:rPr>
          <w:spacing w:val="-5"/>
        </w:rPr>
        <w:t> </w:t>
      </w:r>
      <w:r>
        <w:rPr/>
        <w:t>from</w:t>
      </w:r>
      <w:r>
        <w:rPr>
          <w:spacing w:val="-5"/>
        </w:rPr>
        <w:t> </w:t>
      </w:r>
      <w:r>
        <w:rPr/>
        <w:t>the</w:t>
      </w:r>
      <w:r>
        <w:rPr>
          <w:spacing w:val="-5"/>
        </w:rPr>
        <w:t> </w:t>
      </w:r>
      <w:r>
        <w:rPr/>
        <w:t>whole</w:t>
      </w:r>
      <w:r>
        <w:rPr>
          <w:spacing w:val="-4"/>
        </w:rPr>
        <w:t> </w:t>
      </w:r>
      <w:r>
        <w:rPr/>
        <w:t>league</w:t>
      </w:r>
      <w:r>
        <w:rPr>
          <w:spacing w:val="-5"/>
        </w:rPr>
        <w:t> </w:t>
      </w:r>
      <w:r>
        <w:rPr/>
        <w:t>model</w:t>
      </w:r>
      <w:r>
        <w:rPr>
          <w:spacing w:val="-5"/>
        </w:rPr>
        <w:t> </w:t>
      </w:r>
      <w:r>
        <w:rPr/>
        <w:t>estimates. As</w:t>
      </w:r>
      <w:r>
        <w:rPr>
          <w:spacing w:val="-3"/>
        </w:rPr>
        <w:t> </w:t>
      </w:r>
      <w:r>
        <w:rPr/>
        <w:t>such,</w:t>
      </w:r>
      <w:r>
        <w:rPr>
          <w:spacing w:val="-3"/>
        </w:rPr>
        <w:t> </w:t>
      </w:r>
      <w:r>
        <w:rPr/>
        <w:t>if</w:t>
      </w:r>
      <w:r>
        <w:rPr>
          <w:spacing w:val="-3"/>
        </w:rPr>
        <w:t> </w:t>
      </w:r>
      <w:r>
        <w:rPr/>
        <w:t>a</w:t>
      </w:r>
      <w:r>
        <w:rPr>
          <w:spacing w:val="-3"/>
        </w:rPr>
        <w:t> </w:t>
      </w:r>
      <w:r>
        <w:rPr/>
        <w:t>team</w:t>
      </w:r>
      <w:r>
        <w:rPr>
          <w:spacing w:val="-3"/>
        </w:rPr>
        <w:t> </w:t>
      </w:r>
      <w:r>
        <w:rPr/>
        <w:t>had</w:t>
      </w:r>
      <w:r>
        <w:rPr>
          <w:spacing w:val="-3"/>
        </w:rPr>
        <w:t> </w:t>
      </w:r>
      <w:r>
        <w:rPr/>
        <w:t>a</w:t>
      </w:r>
      <w:r>
        <w:rPr>
          <w:spacing w:val="-3"/>
        </w:rPr>
        <w:t> </w:t>
      </w:r>
      <w:r>
        <w:rPr/>
        <w:t>greater</w:t>
      </w:r>
      <w:r>
        <w:rPr>
          <w:spacing w:val="-3"/>
        </w:rPr>
        <w:t> </w:t>
      </w:r>
      <w:r>
        <w:rPr/>
        <w:t>probability</w:t>
      </w:r>
      <w:r>
        <w:rPr>
          <w:spacing w:val="-3"/>
        </w:rPr>
        <w:t> </w:t>
      </w:r>
      <w:r>
        <w:rPr/>
        <w:t>of</w:t>
      </w:r>
      <w:r>
        <w:rPr>
          <w:spacing w:val="-3"/>
        </w:rPr>
        <w:t> </w:t>
      </w:r>
      <w:r>
        <w:rPr/>
        <w:t>scoring</w:t>
      </w:r>
      <w:r>
        <w:rPr>
          <w:spacing w:val="-3"/>
        </w:rPr>
        <w:t> </w:t>
      </w:r>
      <w:r>
        <w:rPr/>
        <w:t>a</w:t>
      </w:r>
      <w:r>
        <w:rPr>
          <w:spacing w:val="-3"/>
        </w:rPr>
        <w:t> </w:t>
      </w:r>
      <w:r>
        <w:rPr/>
        <w:t>try</w:t>
      </w:r>
      <w:r>
        <w:rPr>
          <w:spacing w:val="-3"/>
        </w:rPr>
        <w:t> </w:t>
      </w:r>
      <w:r>
        <w:rPr/>
        <w:t>from</w:t>
      </w:r>
      <w:r>
        <w:rPr>
          <w:spacing w:val="-3"/>
        </w:rPr>
        <w:t> </w:t>
      </w:r>
      <w:r>
        <w:rPr/>
        <w:t>the</w:t>
      </w:r>
      <w:r>
        <w:rPr>
          <w:spacing w:val="-3"/>
        </w:rPr>
        <w:t> </w:t>
      </w:r>
      <w:r>
        <w:rPr/>
        <w:t>left</w:t>
      </w:r>
      <w:r>
        <w:rPr>
          <w:spacing w:val="-3"/>
        </w:rPr>
        <w:t> </w:t>
      </w:r>
      <w:r>
        <w:rPr/>
        <w:t>side</w:t>
      </w:r>
      <w:r>
        <w:rPr>
          <w:spacing w:val="-3"/>
        </w:rPr>
        <w:t> </w:t>
      </w:r>
      <w:r>
        <w:rPr/>
        <w:t>of</w:t>
      </w:r>
      <w:r>
        <w:rPr>
          <w:spacing w:val="-3"/>
        </w:rPr>
        <w:t> </w:t>
      </w:r>
      <w:r>
        <w:rPr/>
        <w:t>the</w:t>
      </w:r>
      <w:r>
        <w:rPr>
          <w:spacing w:val="-3"/>
        </w:rPr>
        <w:t> </w:t>
      </w:r>
      <w:r>
        <w:rPr/>
        <w:t>pitch in the opposition try area, but a greater probability of scoring from the right side of the pitch in their own half than the whole league model estimates, it would not be possible to</w:t>
      </w:r>
      <w:r>
        <w:rPr>
          <w:spacing w:val="-3"/>
        </w:rPr>
        <w:t> </w:t>
      </w:r>
      <w:r>
        <w:rPr/>
        <w:t>identify</w:t>
      </w:r>
      <w:r>
        <w:rPr>
          <w:spacing w:val="-3"/>
        </w:rPr>
        <w:t> </w:t>
      </w:r>
      <w:r>
        <w:rPr/>
        <w:t>these</w:t>
      </w:r>
      <w:r>
        <w:rPr>
          <w:spacing w:val="-3"/>
        </w:rPr>
        <w:t> </w:t>
      </w:r>
      <w:r>
        <w:rPr/>
        <w:t>differences</w:t>
      </w:r>
      <w:r>
        <w:rPr>
          <w:spacing w:val="-3"/>
        </w:rPr>
        <w:t> </w:t>
      </w:r>
      <w:r>
        <w:rPr/>
        <w:t>using</w:t>
      </w:r>
      <w:r>
        <w:rPr>
          <w:spacing w:val="-3"/>
        </w:rPr>
        <w:t> </w:t>
      </w:r>
      <w:r>
        <w:rPr/>
        <w:t>a</w:t>
      </w:r>
      <w:r>
        <w:rPr>
          <w:spacing w:val="-3"/>
        </w:rPr>
        <w:t> </w:t>
      </w:r>
      <w:r>
        <w:rPr/>
        <w:t>hierarchical</w:t>
      </w:r>
      <w:r>
        <w:rPr>
          <w:spacing w:val="-3"/>
        </w:rPr>
        <w:t> </w:t>
      </w:r>
      <w:r>
        <w:rPr/>
        <w:t>approach. In</w:t>
      </w:r>
      <w:r>
        <w:rPr>
          <w:spacing w:val="-3"/>
        </w:rPr>
        <w:t> </w:t>
      </w:r>
      <w:r>
        <w:rPr/>
        <w:t>this</w:t>
      </w:r>
      <w:r>
        <w:rPr>
          <w:spacing w:val="-3"/>
        </w:rPr>
        <w:t> </w:t>
      </w:r>
      <w:r>
        <w:rPr/>
        <w:t>study,</w:t>
      </w:r>
      <w:r>
        <w:rPr>
          <w:spacing w:val="-2"/>
        </w:rPr>
        <w:t> </w:t>
      </w:r>
      <w:r>
        <w:rPr/>
        <w:t>completing</w:t>
      </w:r>
      <w:r>
        <w:rPr>
          <w:spacing w:val="-3"/>
        </w:rPr>
        <w:t> </w:t>
      </w:r>
      <w:r>
        <w:rPr/>
        <w:t>two levels</w:t>
      </w:r>
      <w:r>
        <w:rPr>
          <w:spacing w:val="22"/>
        </w:rPr>
        <w:t> </w:t>
      </w:r>
      <w:r>
        <w:rPr/>
        <w:t>of</w:t>
      </w:r>
      <w:r>
        <w:rPr>
          <w:spacing w:val="22"/>
        </w:rPr>
        <w:t> </w:t>
      </w:r>
      <w:r>
        <w:rPr/>
        <w:t>analyses</w:t>
      </w:r>
      <w:r>
        <w:rPr>
          <w:spacing w:val="22"/>
        </w:rPr>
        <w:t> </w:t>
      </w:r>
      <w:r>
        <w:rPr/>
        <w:t>(i.e.</w:t>
      </w:r>
      <w:r>
        <w:rPr>
          <w:spacing w:val="80"/>
        </w:rPr>
        <w:t> </w:t>
      </w:r>
      <w:r>
        <w:rPr/>
        <w:t>whole</w:t>
      </w:r>
      <w:r>
        <w:rPr>
          <w:spacing w:val="22"/>
        </w:rPr>
        <w:t> </w:t>
      </w:r>
      <w:r>
        <w:rPr/>
        <w:t>league,</w:t>
      </w:r>
      <w:r>
        <w:rPr>
          <w:spacing w:val="29"/>
        </w:rPr>
        <w:t> </w:t>
      </w:r>
      <w:r>
        <w:rPr/>
        <w:t>then</w:t>
      </w:r>
      <w:r>
        <w:rPr>
          <w:spacing w:val="22"/>
        </w:rPr>
        <w:t> </w:t>
      </w:r>
      <w:r>
        <w:rPr/>
        <w:t>team</w:t>
      </w:r>
      <w:r>
        <w:rPr>
          <w:spacing w:val="22"/>
        </w:rPr>
        <w:t> </w:t>
      </w:r>
      <w:r>
        <w:rPr/>
        <w:t>level)</w:t>
      </w:r>
      <w:r>
        <w:rPr>
          <w:spacing w:val="22"/>
        </w:rPr>
        <w:t> </w:t>
      </w:r>
      <w:r>
        <w:rPr/>
        <w:t>allowed</w:t>
      </w:r>
      <w:r>
        <w:rPr>
          <w:spacing w:val="22"/>
        </w:rPr>
        <w:t> </w:t>
      </w:r>
      <w:r>
        <w:rPr/>
        <w:t>the</w:t>
      </w:r>
      <w:r>
        <w:rPr>
          <w:spacing w:val="22"/>
        </w:rPr>
        <w:t> </w:t>
      </w:r>
      <w:r>
        <w:rPr/>
        <w:t>team</w:t>
      </w:r>
      <w:r>
        <w:rPr>
          <w:spacing w:val="22"/>
        </w:rPr>
        <w:t> </w:t>
      </w:r>
      <w:r>
        <w:rPr/>
        <w:t>level</w:t>
      </w:r>
      <w:r>
        <w:rPr>
          <w:spacing w:val="22"/>
        </w:rPr>
        <w:t> </w:t>
      </w:r>
      <w:r>
        <w:rPr/>
        <w:t>models to include information already learned about the league within their parameter estimates through</w:t>
      </w:r>
      <w:r>
        <w:rPr>
          <w:spacing w:val="-15"/>
        </w:rPr>
        <w:t> </w:t>
      </w:r>
      <w:r>
        <w:rPr/>
        <w:t>the</w:t>
      </w:r>
      <w:r>
        <w:rPr>
          <w:spacing w:val="-15"/>
        </w:rPr>
        <w:t> </w:t>
      </w:r>
      <w:r>
        <w:rPr/>
        <w:t>use</w:t>
      </w:r>
      <w:r>
        <w:rPr>
          <w:spacing w:val="-15"/>
        </w:rPr>
        <w:t> </w:t>
      </w:r>
      <w:r>
        <w:rPr/>
        <w:t>of</w:t>
      </w:r>
      <w:r>
        <w:rPr>
          <w:spacing w:val="-15"/>
        </w:rPr>
        <w:t> </w:t>
      </w:r>
      <w:r>
        <w:rPr/>
        <w:t>an</w:t>
      </w:r>
      <w:r>
        <w:rPr>
          <w:spacing w:val="-15"/>
        </w:rPr>
        <w:t> </w:t>
      </w:r>
      <w:r>
        <w:rPr>
          <w:rFonts w:ascii="Cambria" w:hAnsi="Cambria"/>
        </w:rPr>
        <w:t>α</w:t>
      </w:r>
      <w:r>
        <w:rPr>
          <w:rFonts w:ascii="Cambria" w:hAnsi="Cambria"/>
          <w:spacing w:val="-10"/>
        </w:rPr>
        <w:t> </w:t>
      </w:r>
      <w:r>
        <w:rPr/>
        <w:t>prior</w:t>
      </w:r>
      <w:r>
        <w:rPr>
          <w:spacing w:val="-15"/>
        </w:rPr>
        <w:t> </w:t>
      </w:r>
      <w:r>
        <w:rPr/>
        <w:t>distribution</w:t>
      </w:r>
      <w:r>
        <w:rPr>
          <w:spacing w:val="-15"/>
        </w:rPr>
        <w:t> </w:t>
      </w:r>
      <w:r>
        <w:rPr/>
        <w:t>estimated</w:t>
      </w:r>
      <w:r>
        <w:rPr>
          <w:spacing w:val="-15"/>
        </w:rPr>
        <w:t> </w:t>
      </w:r>
      <w:r>
        <w:rPr/>
        <w:t>from</w:t>
      </w:r>
      <w:r>
        <w:rPr>
          <w:spacing w:val="-15"/>
        </w:rPr>
        <w:t> </w:t>
      </w:r>
      <w:r>
        <w:rPr/>
        <w:t>the</w:t>
      </w:r>
      <w:r>
        <w:rPr>
          <w:spacing w:val="-15"/>
        </w:rPr>
        <w:t> </w:t>
      </w:r>
      <w:r>
        <w:rPr/>
        <w:t>whole</w:t>
      </w:r>
      <w:r>
        <w:rPr>
          <w:spacing w:val="-15"/>
        </w:rPr>
        <w:t> </w:t>
      </w:r>
      <w:r>
        <w:rPr/>
        <w:t>league</w:t>
      </w:r>
      <w:r>
        <w:rPr>
          <w:spacing w:val="-15"/>
        </w:rPr>
        <w:t> </w:t>
      </w:r>
      <w:r>
        <w:rPr/>
        <w:t>model</w:t>
      </w:r>
      <w:r>
        <w:rPr>
          <w:spacing w:val="-15"/>
        </w:rPr>
        <w:t> </w:t>
      </w:r>
      <w:r>
        <w:rPr/>
        <w:t>posterior </w:t>
      </w:r>
      <w:r>
        <w:rPr>
          <w:spacing w:val="-2"/>
        </w:rPr>
        <w:t>distribution.</w:t>
      </w:r>
    </w:p>
    <w:p>
      <w:pPr>
        <w:pStyle w:val="BodyText"/>
        <w:spacing w:line="312" w:lineRule="auto"/>
        <w:ind w:left="610" w:right="389" w:firstLine="351"/>
      </w:pPr>
      <w:r>
        <w:rPr/>
        <w:t>The</w:t>
      </w:r>
      <w:r>
        <w:rPr>
          <w:spacing w:val="-10"/>
        </w:rPr>
        <w:t> </w:t>
      </w:r>
      <w:r>
        <w:rPr/>
        <w:t>whole</w:t>
      </w:r>
      <w:r>
        <w:rPr>
          <w:spacing w:val="-10"/>
        </w:rPr>
        <w:t> </w:t>
      </w:r>
      <w:r>
        <w:rPr/>
        <w:t>league</w:t>
      </w:r>
      <w:r>
        <w:rPr>
          <w:spacing w:val="-10"/>
        </w:rPr>
        <w:t> </w:t>
      </w:r>
      <w:r>
        <w:rPr/>
        <w:t>data</w:t>
      </w:r>
      <w:r>
        <w:rPr>
          <w:spacing w:val="-10"/>
        </w:rPr>
        <w:t> </w:t>
      </w:r>
      <w:r>
        <w:rPr/>
        <w:t>model</w:t>
      </w:r>
      <w:r>
        <w:rPr>
          <w:spacing w:val="-10"/>
        </w:rPr>
        <w:t> </w:t>
      </w:r>
      <w:r>
        <w:rPr/>
        <w:t>provided</w:t>
      </w:r>
      <w:r>
        <w:rPr>
          <w:spacing w:val="-10"/>
        </w:rPr>
        <w:t> </w:t>
      </w:r>
      <w:r>
        <w:rPr/>
        <w:t>league</w:t>
      </w:r>
      <w:r>
        <w:rPr>
          <w:spacing w:val="-10"/>
        </w:rPr>
        <w:t> </w:t>
      </w:r>
      <w:r>
        <w:rPr/>
        <w:t>average</w:t>
      </w:r>
      <w:r>
        <w:rPr>
          <w:spacing w:val="-10"/>
        </w:rPr>
        <w:t> </w:t>
      </w:r>
      <w:r>
        <w:rPr/>
        <w:t>possession</w:t>
      </w:r>
      <w:r>
        <w:rPr>
          <w:spacing w:val="-10"/>
        </w:rPr>
        <w:t> </w:t>
      </w:r>
      <w:r>
        <w:rPr/>
        <w:t>outcome</w:t>
      </w:r>
      <w:r>
        <w:rPr>
          <w:spacing w:val="-10"/>
        </w:rPr>
        <w:t> </w:t>
      </w:r>
      <w:r>
        <w:rPr/>
        <w:t>probabili- ties. For</w:t>
      </w:r>
      <w:r>
        <w:rPr>
          <w:spacing w:val="-2"/>
        </w:rPr>
        <w:t> </w:t>
      </w:r>
      <w:r>
        <w:rPr/>
        <w:t>this</w:t>
      </w:r>
      <w:r>
        <w:rPr>
          <w:spacing w:val="-2"/>
        </w:rPr>
        <w:t> </w:t>
      </w:r>
      <w:r>
        <w:rPr/>
        <w:t>proof</w:t>
      </w:r>
      <w:r>
        <w:rPr>
          <w:spacing w:val="-2"/>
        </w:rPr>
        <w:t> </w:t>
      </w:r>
      <w:r>
        <w:rPr/>
        <w:t>of</w:t>
      </w:r>
      <w:r>
        <w:rPr>
          <w:spacing w:val="-2"/>
        </w:rPr>
        <w:t> </w:t>
      </w:r>
      <w:r>
        <w:rPr/>
        <w:t>concept</w:t>
      </w:r>
      <w:r>
        <w:rPr>
          <w:spacing w:val="-2"/>
        </w:rPr>
        <w:t> </w:t>
      </w:r>
      <w:r>
        <w:rPr/>
        <w:t>model,</w:t>
      </w:r>
      <w:r>
        <w:rPr>
          <w:spacing w:val="-2"/>
        </w:rPr>
        <w:t> </w:t>
      </w:r>
      <w:r>
        <w:rPr/>
        <w:t>human-defined</w:t>
      </w:r>
      <w:r>
        <w:rPr>
          <w:spacing w:val="-2"/>
        </w:rPr>
        <w:t> </w:t>
      </w:r>
      <w:r>
        <w:rPr/>
        <w:t>priors</w:t>
      </w:r>
      <w:r>
        <w:rPr>
          <w:spacing w:val="-2"/>
        </w:rPr>
        <w:t> </w:t>
      </w:r>
      <w:r>
        <w:rPr/>
        <w:t>were</w:t>
      </w:r>
      <w:r>
        <w:rPr>
          <w:spacing w:val="-2"/>
        </w:rPr>
        <w:t> </w:t>
      </w:r>
      <w:r>
        <w:rPr/>
        <w:t>used</w:t>
      </w:r>
      <w:r>
        <w:rPr>
          <w:spacing w:val="-2"/>
        </w:rPr>
        <w:t> </w:t>
      </w:r>
      <w:r>
        <w:rPr/>
        <w:t>for</w:t>
      </w:r>
      <w:r>
        <w:rPr>
          <w:spacing w:val="-2"/>
        </w:rPr>
        <w:t> </w:t>
      </w:r>
      <w:r>
        <w:rPr>
          <w:rFonts w:ascii="Cambria"/>
        </w:rPr>
        <w:t>P</w:t>
      </w:r>
      <w:r>
        <w:rPr>
          <w:rFonts w:ascii="Cambria"/>
          <w:vertAlign w:val="subscript"/>
        </w:rPr>
        <w:t>k</w:t>
      </w:r>
      <w:r>
        <w:rPr>
          <w:rFonts w:ascii="Cambria"/>
          <w:spacing w:val="20"/>
          <w:vertAlign w:val="baseline"/>
        </w:rPr>
        <w:t> </w:t>
      </w:r>
      <w:r>
        <w:rPr>
          <w:vertAlign w:val="baseline"/>
        </w:rPr>
        <w:t>(Table</w:t>
      </w:r>
      <w:hyperlink w:history="true" w:anchor="_bookmark191">
        <w:r>
          <w:rPr>
            <w:color w:val="0000FF"/>
            <w:vertAlign w:val="baseline"/>
          </w:rPr>
          <w:t>6.3</w:t>
        </w:r>
      </w:hyperlink>
      <w:r>
        <w:rPr>
          <w:vertAlign w:val="baseline"/>
        </w:rPr>
        <w:t>). These</w:t>
      </w:r>
      <w:r>
        <w:rPr>
          <w:spacing w:val="-8"/>
          <w:vertAlign w:val="baseline"/>
        </w:rPr>
        <w:t> </w:t>
      </w:r>
      <w:r>
        <w:rPr>
          <w:vertAlign w:val="baseline"/>
        </w:rPr>
        <w:t>priors</w:t>
      </w:r>
      <w:r>
        <w:rPr>
          <w:spacing w:val="-8"/>
          <w:vertAlign w:val="baseline"/>
        </w:rPr>
        <w:t> </w:t>
      </w:r>
      <w:r>
        <w:rPr>
          <w:vertAlign w:val="baseline"/>
        </w:rPr>
        <w:t>were</w:t>
      </w:r>
      <w:r>
        <w:rPr>
          <w:spacing w:val="-8"/>
          <w:vertAlign w:val="baseline"/>
        </w:rPr>
        <w:t> </w:t>
      </w:r>
      <w:r>
        <w:rPr>
          <w:vertAlign w:val="baseline"/>
        </w:rPr>
        <w:t>selected</w:t>
      </w:r>
      <w:r>
        <w:rPr>
          <w:spacing w:val="-8"/>
          <w:vertAlign w:val="baseline"/>
        </w:rPr>
        <w:t> </w:t>
      </w:r>
      <w:r>
        <w:rPr>
          <w:vertAlign w:val="baseline"/>
        </w:rPr>
        <w:t>after</w:t>
      </w:r>
      <w:r>
        <w:rPr>
          <w:spacing w:val="-8"/>
          <w:vertAlign w:val="baseline"/>
        </w:rPr>
        <w:t> </w:t>
      </w:r>
      <w:r>
        <w:rPr>
          <w:vertAlign w:val="baseline"/>
        </w:rPr>
        <w:t>discussion</w:t>
      </w:r>
      <w:r>
        <w:rPr>
          <w:spacing w:val="-8"/>
          <w:vertAlign w:val="baseline"/>
        </w:rPr>
        <w:t> </w:t>
      </w:r>
      <w:r>
        <w:rPr>
          <w:vertAlign w:val="baseline"/>
        </w:rPr>
        <w:t>with</w:t>
      </w:r>
      <w:r>
        <w:rPr>
          <w:spacing w:val="-8"/>
          <w:vertAlign w:val="baseline"/>
        </w:rPr>
        <w:t> </w:t>
      </w:r>
      <w:r>
        <w:rPr>
          <w:vertAlign w:val="baseline"/>
        </w:rPr>
        <w:t>experts</w:t>
      </w:r>
      <w:r>
        <w:rPr>
          <w:spacing w:val="-8"/>
          <w:vertAlign w:val="baseline"/>
        </w:rPr>
        <w:t> </w:t>
      </w:r>
      <w:r>
        <w:rPr>
          <w:vertAlign w:val="baseline"/>
        </w:rPr>
        <w:t>and</w:t>
      </w:r>
      <w:r>
        <w:rPr>
          <w:spacing w:val="-8"/>
          <w:vertAlign w:val="baseline"/>
        </w:rPr>
        <w:t> </w:t>
      </w:r>
      <w:r>
        <w:rPr>
          <w:vertAlign w:val="baseline"/>
        </w:rPr>
        <w:t>were</w:t>
      </w:r>
      <w:r>
        <w:rPr>
          <w:spacing w:val="-8"/>
          <w:vertAlign w:val="baseline"/>
        </w:rPr>
        <w:t> </w:t>
      </w:r>
      <w:r>
        <w:rPr>
          <w:vertAlign w:val="baseline"/>
        </w:rPr>
        <w:t>informed</w:t>
      </w:r>
      <w:r>
        <w:rPr>
          <w:spacing w:val="-8"/>
          <w:vertAlign w:val="baseline"/>
        </w:rPr>
        <w:t> </w:t>
      </w:r>
      <w:r>
        <w:rPr>
          <w:vertAlign w:val="baseline"/>
        </w:rPr>
        <w:t>by</w:t>
      </w:r>
      <w:r>
        <w:rPr>
          <w:spacing w:val="-8"/>
          <w:vertAlign w:val="baseline"/>
        </w:rPr>
        <w:t> </w:t>
      </w:r>
      <w:r>
        <w:rPr>
          <w:vertAlign w:val="baseline"/>
        </w:rPr>
        <w:t>the</w:t>
      </w:r>
      <w:r>
        <w:rPr>
          <w:spacing w:val="-8"/>
          <w:vertAlign w:val="baseline"/>
        </w:rPr>
        <w:t> </w:t>
      </w:r>
      <w:r>
        <w:rPr>
          <w:vertAlign w:val="baseline"/>
        </w:rPr>
        <w:t>results of Chapters</w:t>
      </w:r>
      <w:r>
        <w:rPr>
          <w:color w:val="0000FF"/>
          <w:vertAlign w:val="baseline"/>
        </w:rPr>
        <w:t>3</w:t>
      </w:r>
      <w:r>
        <w:rPr>
          <w:vertAlign w:val="baseline"/>
        </w:rPr>
        <w:t>and</w:t>
      </w:r>
      <w:r>
        <w:rPr>
          <w:color w:val="0000FF"/>
          <w:vertAlign w:val="baseline"/>
        </w:rPr>
        <w:t>4</w:t>
      </w:r>
      <w:r>
        <w:rPr>
          <w:vertAlign w:val="baseline"/>
        </w:rPr>
        <w:t>. They loosely informed the model that there was a greater chance of points being scored by the end of the possession the closer the location was to the oppo- sition try line.</w:t>
      </w:r>
      <w:r>
        <w:rPr>
          <w:spacing w:val="40"/>
          <w:vertAlign w:val="baseline"/>
        </w:rPr>
        <w:t> </w:t>
      </w:r>
      <w:r>
        <w:rPr>
          <w:vertAlign w:val="baseline"/>
        </w:rPr>
        <w:t>It would have been possible to provide more specific priors suggesting a greater</w:t>
      </w:r>
      <w:r>
        <w:rPr>
          <w:spacing w:val="-10"/>
          <w:vertAlign w:val="baseline"/>
        </w:rPr>
        <w:t> </w:t>
      </w:r>
      <w:r>
        <w:rPr>
          <w:vertAlign w:val="baseline"/>
        </w:rPr>
        <w:t>probability</w:t>
      </w:r>
      <w:r>
        <w:rPr>
          <w:spacing w:val="-10"/>
          <w:vertAlign w:val="baseline"/>
        </w:rPr>
        <w:t> </w:t>
      </w:r>
      <w:r>
        <w:rPr>
          <w:vertAlign w:val="baseline"/>
        </w:rPr>
        <w:t>of</w:t>
      </w:r>
      <w:r>
        <w:rPr>
          <w:spacing w:val="-10"/>
          <w:vertAlign w:val="baseline"/>
        </w:rPr>
        <w:t> </w:t>
      </w:r>
      <w:r>
        <w:rPr>
          <w:vertAlign w:val="baseline"/>
        </w:rPr>
        <w:t>scoring</w:t>
      </w:r>
      <w:r>
        <w:rPr>
          <w:spacing w:val="-10"/>
          <w:vertAlign w:val="baseline"/>
        </w:rPr>
        <w:t> </w:t>
      </w:r>
      <w:r>
        <w:rPr>
          <w:vertAlign w:val="baseline"/>
        </w:rPr>
        <w:t>more</w:t>
      </w:r>
      <w:r>
        <w:rPr>
          <w:spacing w:val="-10"/>
          <w:vertAlign w:val="baseline"/>
        </w:rPr>
        <w:t> </w:t>
      </w:r>
      <w:r>
        <w:rPr>
          <w:vertAlign w:val="baseline"/>
        </w:rPr>
        <w:t>points</w:t>
      </w:r>
      <w:r>
        <w:rPr>
          <w:spacing w:val="-10"/>
          <w:vertAlign w:val="baseline"/>
        </w:rPr>
        <w:t> </w:t>
      </w:r>
      <w:r>
        <w:rPr>
          <w:vertAlign w:val="baseline"/>
        </w:rPr>
        <w:t>in</w:t>
      </w:r>
      <w:r>
        <w:rPr>
          <w:spacing w:val="-10"/>
          <w:vertAlign w:val="baseline"/>
        </w:rPr>
        <w:t> </w:t>
      </w:r>
      <w:r>
        <w:rPr>
          <w:vertAlign w:val="baseline"/>
        </w:rPr>
        <w:t>central</w:t>
      </w:r>
      <w:r>
        <w:rPr>
          <w:spacing w:val="-10"/>
          <w:vertAlign w:val="baseline"/>
        </w:rPr>
        <w:t> </w:t>
      </w:r>
      <w:r>
        <w:rPr>
          <w:vertAlign w:val="baseline"/>
        </w:rPr>
        <w:t>areas</w:t>
      </w:r>
      <w:r>
        <w:rPr>
          <w:spacing w:val="-10"/>
          <w:vertAlign w:val="baseline"/>
        </w:rPr>
        <w:t> </w:t>
      </w:r>
      <w:r>
        <w:rPr>
          <w:vertAlign w:val="baseline"/>
        </w:rPr>
        <w:t>as</w:t>
      </w:r>
      <w:r>
        <w:rPr>
          <w:spacing w:val="-10"/>
          <w:vertAlign w:val="baseline"/>
        </w:rPr>
        <w:t> </w:t>
      </w:r>
      <w:r>
        <w:rPr>
          <w:vertAlign w:val="baseline"/>
        </w:rPr>
        <w:t>was</w:t>
      </w:r>
      <w:r>
        <w:rPr>
          <w:spacing w:val="-10"/>
          <w:vertAlign w:val="baseline"/>
        </w:rPr>
        <w:t> </w:t>
      </w:r>
      <w:r>
        <w:rPr>
          <w:vertAlign w:val="baseline"/>
        </w:rPr>
        <w:t>was</w:t>
      </w:r>
      <w:r>
        <w:rPr>
          <w:spacing w:val="-10"/>
          <w:vertAlign w:val="baseline"/>
        </w:rPr>
        <w:t> </w:t>
      </w:r>
      <w:r>
        <w:rPr>
          <w:vertAlign w:val="baseline"/>
        </w:rPr>
        <w:t>shown</w:t>
      </w:r>
      <w:r>
        <w:rPr>
          <w:spacing w:val="-10"/>
          <w:vertAlign w:val="baseline"/>
        </w:rPr>
        <w:t> </w:t>
      </w:r>
      <w:r>
        <w:rPr>
          <w:vertAlign w:val="baseline"/>
        </w:rPr>
        <w:t>in</w:t>
      </w:r>
      <w:r>
        <w:rPr>
          <w:spacing w:val="-10"/>
          <w:vertAlign w:val="baseline"/>
        </w:rPr>
        <w:t> </w:t>
      </w:r>
      <w:r>
        <w:rPr>
          <w:vertAlign w:val="baseline"/>
        </w:rPr>
        <w:t>the</w:t>
      </w:r>
      <w:r>
        <w:rPr>
          <w:spacing w:val="-10"/>
          <w:vertAlign w:val="baseline"/>
        </w:rPr>
        <w:t> </w:t>
      </w:r>
      <w:r>
        <w:rPr>
          <w:vertAlign w:val="baseline"/>
        </w:rPr>
        <w:t>results of Chapter</w:t>
      </w:r>
      <w:r>
        <w:rPr>
          <w:color w:val="0000FF"/>
          <w:vertAlign w:val="baseline"/>
        </w:rPr>
        <w:t>3</w:t>
      </w:r>
      <w:hyperlink w:history="true" w:anchor="_bookmark48">
        <w:r>
          <w:rPr>
            <w:vertAlign w:val="baseline"/>
          </w:rPr>
          <w:t>.</w:t>
        </w:r>
      </w:hyperlink>
      <w:r>
        <w:rPr>
          <w:spacing w:val="39"/>
          <w:vertAlign w:val="baseline"/>
        </w:rPr>
        <w:t> </w:t>
      </w:r>
      <w:r>
        <w:rPr>
          <w:vertAlign w:val="baseline"/>
        </w:rPr>
        <w:t>However, it was decided that providing more generic, loosely informative priors allowed the model to learn from the data with greater freedom.</w:t>
      </w:r>
    </w:p>
    <w:p>
      <w:pPr>
        <w:pStyle w:val="BodyText"/>
        <w:spacing w:line="309" w:lineRule="auto"/>
        <w:ind w:left="610" w:right="389" w:firstLine="351"/>
        <w:jc w:val="both"/>
      </w:pPr>
      <w:r>
        <w:rPr/>
        <w:t>24</w:t>
      </w:r>
      <w:r>
        <w:rPr>
          <w:spacing w:val="-11"/>
        </w:rPr>
        <w:t> </w:t>
      </w:r>
      <w:r>
        <w:rPr/>
        <w:t>models</w:t>
      </w:r>
      <w:r>
        <w:rPr>
          <w:spacing w:val="-10"/>
        </w:rPr>
        <w:t> </w:t>
      </w:r>
      <w:r>
        <w:rPr/>
        <w:t>were</w:t>
      </w:r>
      <w:r>
        <w:rPr>
          <w:spacing w:val="-11"/>
        </w:rPr>
        <w:t> </w:t>
      </w:r>
      <w:r>
        <w:rPr/>
        <w:t>produced</w:t>
      </w:r>
      <w:r>
        <w:rPr>
          <w:spacing w:val="-10"/>
        </w:rPr>
        <w:t> </w:t>
      </w:r>
      <w:r>
        <w:rPr/>
        <w:t>at</w:t>
      </w:r>
      <w:r>
        <w:rPr>
          <w:spacing w:val="-11"/>
        </w:rPr>
        <w:t> </w:t>
      </w:r>
      <w:r>
        <w:rPr/>
        <w:t>the</w:t>
      </w:r>
      <w:r>
        <w:rPr>
          <w:spacing w:val="-10"/>
        </w:rPr>
        <w:t> </w:t>
      </w:r>
      <w:r>
        <w:rPr/>
        <w:t>team</w:t>
      </w:r>
      <w:r>
        <w:rPr>
          <w:spacing w:val="-11"/>
        </w:rPr>
        <w:t> </w:t>
      </w:r>
      <w:r>
        <w:rPr/>
        <w:t>level,</w:t>
      </w:r>
      <w:r>
        <w:rPr>
          <w:spacing w:val="-10"/>
        </w:rPr>
        <w:t> </w:t>
      </w:r>
      <w:r>
        <w:rPr/>
        <w:t>one</w:t>
      </w:r>
      <w:r>
        <w:rPr>
          <w:spacing w:val="-11"/>
        </w:rPr>
        <w:t> </w:t>
      </w:r>
      <w:r>
        <w:rPr/>
        <w:t>for</w:t>
      </w:r>
      <w:r>
        <w:rPr>
          <w:spacing w:val="-11"/>
        </w:rPr>
        <w:t> </w:t>
      </w:r>
      <w:r>
        <w:rPr/>
        <w:t>each</w:t>
      </w:r>
      <w:r>
        <w:rPr>
          <w:spacing w:val="-10"/>
        </w:rPr>
        <w:t> </w:t>
      </w:r>
      <w:r>
        <w:rPr/>
        <w:t>team’s</w:t>
      </w:r>
      <w:r>
        <w:rPr>
          <w:spacing w:val="-11"/>
        </w:rPr>
        <w:t> </w:t>
      </w:r>
      <w:r>
        <w:rPr/>
        <w:t>attacking</w:t>
      </w:r>
      <w:r>
        <w:rPr>
          <w:spacing w:val="-10"/>
        </w:rPr>
        <w:t> </w:t>
      </w:r>
      <w:r>
        <w:rPr/>
        <w:t>and</w:t>
      </w:r>
      <w:r>
        <w:rPr>
          <w:spacing w:val="-11"/>
        </w:rPr>
        <w:t> </w:t>
      </w:r>
      <w:r>
        <w:rPr/>
        <w:t>defend- ing</w:t>
      </w:r>
      <w:r>
        <w:rPr>
          <w:spacing w:val="-11"/>
        </w:rPr>
        <w:t> </w:t>
      </w:r>
      <w:r>
        <w:rPr/>
        <w:t>data</w:t>
      </w:r>
      <w:r>
        <w:rPr>
          <w:spacing w:val="-11"/>
        </w:rPr>
        <w:t> </w:t>
      </w:r>
      <w:r>
        <w:rPr/>
        <w:t>subsets. The</w:t>
      </w:r>
      <w:r>
        <w:rPr>
          <w:spacing w:val="-11"/>
        </w:rPr>
        <w:t> </w:t>
      </w:r>
      <w:r>
        <w:rPr/>
        <w:t>team</w:t>
      </w:r>
      <w:r>
        <w:rPr>
          <w:spacing w:val="-11"/>
        </w:rPr>
        <w:t> </w:t>
      </w:r>
      <w:r>
        <w:rPr/>
        <w:t>attacking</w:t>
      </w:r>
      <w:r>
        <w:rPr>
          <w:spacing w:val="-11"/>
        </w:rPr>
        <w:t> </w:t>
      </w:r>
      <w:r>
        <w:rPr/>
        <w:t>models</w:t>
      </w:r>
      <w:r>
        <w:rPr>
          <w:spacing w:val="-11"/>
        </w:rPr>
        <w:t> </w:t>
      </w:r>
      <w:r>
        <w:rPr/>
        <w:t>provided</w:t>
      </w:r>
      <w:r>
        <w:rPr>
          <w:spacing w:val="-11"/>
        </w:rPr>
        <w:t> </w:t>
      </w:r>
      <w:r>
        <w:rPr/>
        <w:t>an</w:t>
      </w:r>
      <w:r>
        <w:rPr>
          <w:spacing w:val="-11"/>
        </w:rPr>
        <w:t> </w:t>
      </w:r>
      <w:r>
        <w:rPr/>
        <w:t>understanding</w:t>
      </w:r>
      <w:r>
        <w:rPr>
          <w:spacing w:val="-11"/>
        </w:rPr>
        <w:t> </w:t>
      </w:r>
      <w:r>
        <w:rPr/>
        <w:t>of</w:t>
      </w:r>
      <w:r>
        <w:rPr>
          <w:spacing w:val="-11"/>
        </w:rPr>
        <w:t> </w:t>
      </w:r>
      <w:r>
        <w:rPr/>
        <w:t>the</w:t>
      </w:r>
      <w:r>
        <w:rPr>
          <w:spacing w:val="-11"/>
        </w:rPr>
        <w:t> </w:t>
      </w:r>
      <w:r>
        <w:rPr/>
        <w:t>probability</w:t>
      </w:r>
      <w:r>
        <w:rPr/>
        <w:t> of a team achieving a given possession outcome at the end of their possession from any given location.</w:t>
      </w:r>
      <w:r>
        <w:rPr>
          <w:spacing w:val="40"/>
        </w:rPr>
        <w:t> </w:t>
      </w:r>
      <w:r>
        <w:rPr/>
        <w:t>The team defending model estimated the probability of any </w:t>
      </w:r>
      <w:r>
        <w:rPr/>
        <w:t>opposition</w:t>
      </w:r>
      <w:r>
        <w:rPr/>
        <w:t> team achieving a given possession outcome when controlling the ball at any given </w:t>
      </w:r>
      <w:r>
        <w:rPr/>
        <w:t>loca-</w:t>
      </w:r>
      <w:r>
        <w:rPr/>
        <w:t> tion against the defending team.</w:t>
      </w:r>
      <w:r>
        <w:rPr>
          <w:spacing w:val="37"/>
        </w:rPr>
        <w:t> </w:t>
      </w:r>
      <w:r>
        <w:rPr/>
        <w:t>Maximum likelihood estimation of the posterior </w:t>
      </w:r>
      <w:r>
        <w:rPr/>
        <w:t>distri-</w:t>
      </w:r>
      <w:r>
        <w:rPr/>
        <w:t> bution of the whole league model was used to calculate the </w:t>
      </w:r>
      <w:r>
        <w:rPr>
          <w:rFonts w:ascii="Cambria" w:hAnsi="Cambria"/>
        </w:rPr>
        <w:t>α </w:t>
      </w:r>
      <w:r>
        <w:rPr/>
        <w:t>priors for these </w:t>
      </w:r>
      <w:r>
        <w:rPr/>
        <w:t>analyses</w:t>
      </w:r>
      <w:r>
        <w:rPr/>
        <w:t> (Table</w:t>
      </w:r>
      <w:hyperlink w:history="true" w:anchor="_bookmark192">
        <w:r>
          <w:rPr>
            <w:color w:val="0000FF"/>
          </w:rPr>
          <w:t>6.4</w:t>
        </w:r>
      </w:hyperlink>
      <w:r>
        <w:rPr/>
        <w:t>). The same</w:t>
      </w:r>
      <w:r>
        <w:rPr>
          <w:spacing w:val="40"/>
        </w:rPr>
        <w:t> </w:t>
      </w:r>
      <w:r>
        <w:rPr>
          <w:rFonts w:ascii="Cambria" w:hAnsi="Cambria"/>
        </w:rPr>
        <w:t>α </w:t>
      </w:r>
      <w:r>
        <w:rPr/>
        <w:t>prior distribution was used for each team model.</w:t>
      </w:r>
    </w:p>
    <w:p>
      <w:pPr>
        <w:spacing w:after="0" w:line="309"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0"/>
        <w:rPr>
          <w:sz w:val="22"/>
        </w:rPr>
      </w:pPr>
    </w:p>
    <w:p>
      <w:pPr>
        <w:pStyle w:val="BodyText"/>
        <w:spacing w:line="247" w:lineRule="auto"/>
        <w:ind w:left="610" w:right="389"/>
        <w:jc w:val="both"/>
      </w:pPr>
      <w:bookmarkStart w:name="_bookmark191" w:id="329"/>
      <w:bookmarkEnd w:id="329"/>
      <w:r>
        <w:rPr/>
      </w:r>
      <w:r>
        <w:rPr>
          <w:b/>
        </w:rPr>
        <w:t>Table 6.3:</w:t>
      </w:r>
      <w:r>
        <w:rPr>
          <w:b/>
          <w:spacing w:val="40"/>
        </w:rPr>
        <w:t> </w:t>
      </w:r>
      <w:r>
        <w:rPr/>
        <w:t>Prior </w:t>
      </w:r>
      <w:r>
        <w:rPr>
          <w:rFonts w:ascii="Cambria" w:hAnsi="Cambria"/>
        </w:rPr>
        <w:t>α </w:t>
      </w:r>
      <w:r>
        <w:rPr/>
        <w:t>values for whole league Bayesian model.</w:t>
      </w:r>
      <w:r>
        <w:rPr>
          <w:spacing w:val="40"/>
        </w:rPr>
        <w:t> </w:t>
      </w:r>
      <w:r>
        <w:rPr/>
        <w:t>Centre coordinates </w:t>
      </w:r>
      <w:r>
        <w:rPr/>
        <w:t>are provided, alongside</w:t>
      </w:r>
      <w:r>
        <w:rPr>
          <w:spacing w:val="-1"/>
        </w:rPr>
        <w:t> </w:t>
      </w:r>
      <w:r>
        <w:rPr>
          <w:rFonts w:ascii="Cambria" w:hAnsi="Cambria"/>
        </w:rPr>
        <w:t>α </w:t>
      </w:r>
      <w:r>
        <w:rPr/>
        <w:t>values</w:t>
      </w:r>
      <w:r>
        <w:rPr>
          <w:spacing w:val="-1"/>
        </w:rPr>
        <w:t> </w:t>
      </w:r>
      <w:r>
        <w:rPr/>
        <w:t>for</w:t>
      </w:r>
      <w:r>
        <w:rPr>
          <w:spacing w:val="-1"/>
        </w:rPr>
        <w:t> </w:t>
      </w:r>
      <w:r>
        <w:rPr/>
        <w:t>each</w:t>
      </w:r>
      <w:r>
        <w:rPr>
          <w:spacing w:val="-1"/>
        </w:rPr>
        <w:t> </w:t>
      </w:r>
      <w:r>
        <w:rPr/>
        <w:t>possession</w:t>
      </w:r>
      <w:r>
        <w:rPr>
          <w:spacing w:val="-1"/>
        </w:rPr>
        <w:t> </w:t>
      </w:r>
      <w:r>
        <w:rPr/>
        <w:t>outcome.</w:t>
      </w:r>
      <w:r>
        <w:rPr>
          <w:spacing w:val="24"/>
        </w:rPr>
        <w:t> </w:t>
      </w:r>
      <w:r>
        <w:rPr/>
        <w:t>C.Try</w:t>
      </w:r>
      <w:r>
        <w:rPr>
          <w:spacing w:val="-1"/>
        </w:rPr>
        <w:t> </w:t>
      </w:r>
      <w:r>
        <w:rPr/>
        <w:t>refers</w:t>
      </w:r>
      <w:r>
        <w:rPr>
          <w:spacing w:val="-1"/>
        </w:rPr>
        <w:t> </w:t>
      </w:r>
      <w:r>
        <w:rPr/>
        <w:t>to</w:t>
      </w:r>
      <w:r>
        <w:rPr>
          <w:spacing w:val="-1"/>
        </w:rPr>
        <w:t> </w:t>
      </w:r>
      <w:r>
        <w:rPr/>
        <w:t>converted</w:t>
      </w:r>
      <w:r>
        <w:rPr>
          <w:spacing w:val="-1"/>
        </w:rPr>
        <w:t> </w:t>
      </w:r>
      <w:r>
        <w:rPr/>
        <w:t>try (6 points) and U.Try refers to unconverted try (4 points).</w:t>
      </w:r>
    </w:p>
    <w:p>
      <w:pPr>
        <w:pStyle w:val="BodyText"/>
        <w:rPr>
          <w:sz w:val="20"/>
        </w:rPr>
      </w:pPr>
    </w:p>
    <w:p>
      <w:pPr>
        <w:pStyle w:val="BodyText"/>
        <w:spacing w:before="8"/>
        <w:rPr>
          <w:sz w:val="22"/>
        </w:rPr>
      </w:pPr>
    </w:p>
    <w:tbl>
      <w:tblPr>
        <w:tblW w:w="0" w:type="auto"/>
        <w:jc w:val="left"/>
        <w:tblInd w:w="18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220"/>
        <w:gridCol w:w="928"/>
        <w:gridCol w:w="1255"/>
        <w:gridCol w:w="956"/>
        <w:gridCol w:w="808"/>
        <w:gridCol w:w="795"/>
      </w:tblGrid>
      <w:tr>
        <w:trPr>
          <w:trHeight w:val="272" w:hRule="atLeast"/>
        </w:trPr>
        <w:tc>
          <w:tcPr>
            <w:tcW w:w="1220" w:type="dxa"/>
            <w:tcBorders>
              <w:top w:val="single" w:sz="4" w:space="0" w:color="000000"/>
              <w:bottom w:val="single" w:sz="4" w:space="0" w:color="000000"/>
            </w:tcBorders>
          </w:tcPr>
          <w:p>
            <w:pPr>
              <w:pStyle w:val="TableParagraph"/>
              <w:spacing w:line="253" w:lineRule="exact"/>
              <w:ind w:left="291"/>
              <w:jc w:val="left"/>
              <w:rPr>
                <w:sz w:val="24"/>
              </w:rPr>
            </w:pPr>
            <w:r>
              <w:rPr>
                <w:spacing w:val="-2"/>
                <w:sz w:val="24"/>
              </w:rPr>
              <w:t>Centre</w:t>
            </w:r>
          </w:p>
        </w:tc>
        <w:tc>
          <w:tcPr>
            <w:tcW w:w="928" w:type="dxa"/>
            <w:tcBorders>
              <w:top w:val="single" w:sz="4" w:space="0" w:color="000000"/>
              <w:bottom w:val="single" w:sz="4" w:space="0" w:color="000000"/>
            </w:tcBorders>
          </w:tcPr>
          <w:p>
            <w:pPr>
              <w:pStyle w:val="TableParagraph"/>
              <w:spacing w:line="253" w:lineRule="exact"/>
              <w:ind w:left="103" w:right="103"/>
              <w:rPr>
                <w:sz w:val="24"/>
              </w:rPr>
            </w:pPr>
            <w:r>
              <w:rPr>
                <w:sz w:val="24"/>
              </w:rPr>
              <w:t>No</w:t>
            </w:r>
            <w:r>
              <w:rPr>
                <w:spacing w:val="-4"/>
                <w:sz w:val="24"/>
              </w:rPr>
              <w:t> </w:t>
            </w:r>
            <w:r>
              <w:rPr>
                <w:spacing w:val="-5"/>
                <w:sz w:val="24"/>
              </w:rPr>
              <w:t>Try</w:t>
            </w:r>
          </w:p>
        </w:tc>
        <w:tc>
          <w:tcPr>
            <w:tcW w:w="1255" w:type="dxa"/>
            <w:tcBorders>
              <w:top w:val="single" w:sz="4" w:space="0" w:color="000000"/>
              <w:bottom w:val="single" w:sz="4" w:space="0" w:color="000000"/>
            </w:tcBorders>
          </w:tcPr>
          <w:p>
            <w:pPr>
              <w:pStyle w:val="TableParagraph"/>
              <w:spacing w:line="253" w:lineRule="exact"/>
              <w:ind w:left="105" w:right="105"/>
              <w:rPr>
                <w:sz w:val="24"/>
              </w:rPr>
            </w:pPr>
            <w:r>
              <w:rPr>
                <w:sz w:val="24"/>
              </w:rPr>
              <w:t>Drop</w:t>
            </w:r>
            <w:r>
              <w:rPr>
                <w:spacing w:val="-6"/>
                <w:sz w:val="24"/>
              </w:rPr>
              <w:t> </w:t>
            </w:r>
            <w:r>
              <w:rPr>
                <w:spacing w:val="-4"/>
                <w:sz w:val="24"/>
              </w:rPr>
              <w:t>Goal</w:t>
            </w:r>
          </w:p>
        </w:tc>
        <w:tc>
          <w:tcPr>
            <w:tcW w:w="956" w:type="dxa"/>
            <w:tcBorders>
              <w:top w:val="single" w:sz="4" w:space="0" w:color="000000"/>
              <w:bottom w:val="single" w:sz="4" w:space="0" w:color="000000"/>
            </w:tcBorders>
          </w:tcPr>
          <w:p>
            <w:pPr>
              <w:pStyle w:val="TableParagraph"/>
              <w:spacing w:line="253" w:lineRule="exact"/>
              <w:ind w:left="104" w:right="104"/>
              <w:rPr>
                <w:sz w:val="24"/>
              </w:rPr>
            </w:pPr>
            <w:r>
              <w:rPr>
                <w:spacing w:val="-2"/>
                <w:sz w:val="24"/>
              </w:rPr>
              <w:t>Penalty</w:t>
            </w:r>
          </w:p>
        </w:tc>
        <w:tc>
          <w:tcPr>
            <w:tcW w:w="808" w:type="dxa"/>
            <w:tcBorders>
              <w:top w:val="single" w:sz="4" w:space="0" w:color="000000"/>
              <w:bottom w:val="single" w:sz="4" w:space="0" w:color="000000"/>
            </w:tcBorders>
          </w:tcPr>
          <w:p>
            <w:pPr>
              <w:pStyle w:val="TableParagraph"/>
              <w:spacing w:line="253" w:lineRule="exact"/>
              <w:ind w:left="104" w:right="104"/>
              <w:rPr>
                <w:sz w:val="24"/>
              </w:rPr>
            </w:pPr>
            <w:r>
              <w:rPr>
                <w:spacing w:val="-4"/>
                <w:sz w:val="24"/>
              </w:rPr>
              <w:t>U.Try</w:t>
            </w:r>
          </w:p>
        </w:tc>
        <w:tc>
          <w:tcPr>
            <w:tcW w:w="795" w:type="dxa"/>
            <w:tcBorders>
              <w:top w:val="single" w:sz="4" w:space="0" w:color="000000"/>
              <w:bottom w:val="single" w:sz="4" w:space="0" w:color="000000"/>
            </w:tcBorders>
          </w:tcPr>
          <w:p>
            <w:pPr>
              <w:pStyle w:val="TableParagraph"/>
              <w:spacing w:line="253" w:lineRule="exact"/>
              <w:ind w:left="104" w:right="103"/>
              <w:rPr>
                <w:sz w:val="24"/>
              </w:rPr>
            </w:pPr>
            <w:r>
              <w:rPr>
                <w:spacing w:val="-4"/>
                <w:sz w:val="24"/>
              </w:rPr>
              <w:t>C.Try</w:t>
            </w:r>
          </w:p>
        </w:tc>
      </w:tr>
      <w:tr>
        <w:trPr>
          <w:trHeight w:val="283" w:hRule="atLeast"/>
        </w:trPr>
        <w:tc>
          <w:tcPr>
            <w:tcW w:w="1220" w:type="dxa"/>
            <w:tcBorders>
              <w:top w:val="single" w:sz="4" w:space="0" w:color="000000"/>
            </w:tcBorders>
          </w:tcPr>
          <w:p>
            <w:pPr>
              <w:pStyle w:val="TableParagraph"/>
              <w:spacing w:line="249" w:lineRule="exact"/>
              <w:ind w:left="221"/>
              <w:jc w:val="left"/>
              <w:rPr>
                <w:sz w:val="24"/>
              </w:rPr>
            </w:pPr>
            <w:r>
              <w:rPr>
                <w:sz w:val="24"/>
              </w:rPr>
              <w:t>(</w:t>
            </w:r>
            <w:r>
              <w:rPr>
                <w:spacing w:val="-3"/>
                <w:sz w:val="24"/>
              </w:rPr>
              <w:t> </w:t>
            </w:r>
            <w:r>
              <w:rPr>
                <w:sz w:val="24"/>
              </w:rPr>
              <w:t>0,</w:t>
            </w:r>
            <w:r>
              <w:rPr>
                <w:spacing w:val="-3"/>
                <w:sz w:val="24"/>
              </w:rPr>
              <w:t> </w:t>
            </w:r>
            <w:r>
              <w:rPr>
                <w:sz w:val="24"/>
              </w:rPr>
              <w:t>-</w:t>
            </w:r>
            <w:r>
              <w:rPr>
                <w:spacing w:val="-5"/>
                <w:sz w:val="24"/>
              </w:rPr>
              <w:t>10)</w:t>
            </w:r>
          </w:p>
        </w:tc>
        <w:tc>
          <w:tcPr>
            <w:tcW w:w="928" w:type="dxa"/>
            <w:tcBorders>
              <w:top w:val="single" w:sz="4" w:space="0" w:color="000000"/>
            </w:tcBorders>
          </w:tcPr>
          <w:p>
            <w:pPr>
              <w:pStyle w:val="TableParagraph"/>
              <w:spacing w:line="249" w:lineRule="exact"/>
              <w:ind w:left="103" w:right="103"/>
              <w:rPr>
                <w:sz w:val="24"/>
              </w:rPr>
            </w:pPr>
            <w:r>
              <w:rPr>
                <w:spacing w:val="-5"/>
                <w:sz w:val="24"/>
              </w:rPr>
              <w:t>90</w:t>
            </w:r>
          </w:p>
        </w:tc>
        <w:tc>
          <w:tcPr>
            <w:tcW w:w="1255" w:type="dxa"/>
            <w:tcBorders>
              <w:top w:val="single" w:sz="4" w:space="0" w:color="000000"/>
            </w:tcBorders>
          </w:tcPr>
          <w:p>
            <w:pPr>
              <w:pStyle w:val="TableParagraph"/>
              <w:spacing w:line="249" w:lineRule="exact"/>
              <w:rPr>
                <w:sz w:val="24"/>
              </w:rPr>
            </w:pPr>
            <w:r>
              <w:rPr>
                <w:w w:val="99"/>
                <w:sz w:val="24"/>
              </w:rPr>
              <w:t>1</w:t>
            </w:r>
          </w:p>
        </w:tc>
        <w:tc>
          <w:tcPr>
            <w:tcW w:w="956" w:type="dxa"/>
            <w:tcBorders>
              <w:top w:val="single" w:sz="4" w:space="0" w:color="000000"/>
            </w:tcBorders>
          </w:tcPr>
          <w:p>
            <w:pPr>
              <w:pStyle w:val="TableParagraph"/>
              <w:spacing w:line="249" w:lineRule="exact"/>
              <w:rPr>
                <w:sz w:val="24"/>
              </w:rPr>
            </w:pPr>
            <w:r>
              <w:rPr>
                <w:w w:val="99"/>
                <w:sz w:val="24"/>
              </w:rPr>
              <w:t>1</w:t>
            </w:r>
          </w:p>
        </w:tc>
        <w:tc>
          <w:tcPr>
            <w:tcW w:w="808" w:type="dxa"/>
            <w:tcBorders>
              <w:top w:val="single" w:sz="4" w:space="0" w:color="000000"/>
            </w:tcBorders>
          </w:tcPr>
          <w:p>
            <w:pPr>
              <w:pStyle w:val="TableParagraph"/>
              <w:spacing w:line="249" w:lineRule="exact"/>
              <w:rPr>
                <w:sz w:val="24"/>
              </w:rPr>
            </w:pPr>
            <w:r>
              <w:rPr>
                <w:w w:val="99"/>
                <w:sz w:val="24"/>
              </w:rPr>
              <w:t>4</w:t>
            </w:r>
          </w:p>
        </w:tc>
        <w:tc>
          <w:tcPr>
            <w:tcW w:w="795" w:type="dxa"/>
            <w:tcBorders>
              <w:top w:val="single" w:sz="4" w:space="0" w:color="000000"/>
            </w:tcBorders>
          </w:tcPr>
          <w:p>
            <w:pPr>
              <w:pStyle w:val="TableParagraph"/>
              <w:spacing w:line="249" w:lineRule="exact"/>
              <w:ind w:left="1"/>
              <w:rPr>
                <w:sz w:val="24"/>
              </w:rPr>
            </w:pPr>
            <w:r>
              <w:rPr>
                <w:w w:val="99"/>
                <w:sz w:val="24"/>
              </w:rPr>
              <w:t>4</w:t>
            </w:r>
          </w:p>
        </w:tc>
      </w:tr>
      <w:tr>
        <w:trPr>
          <w:trHeight w:val="288" w:hRule="atLeast"/>
        </w:trPr>
        <w:tc>
          <w:tcPr>
            <w:tcW w:w="1220" w:type="dxa"/>
          </w:tcPr>
          <w:p>
            <w:pPr>
              <w:pStyle w:val="TableParagraph"/>
              <w:ind w:left="191"/>
              <w:jc w:val="left"/>
              <w:rPr>
                <w:sz w:val="24"/>
              </w:rPr>
            </w:pPr>
            <w:r>
              <w:rPr>
                <w:sz w:val="24"/>
              </w:rPr>
              <w:t>(20,</w:t>
            </w:r>
            <w:r>
              <w:rPr>
                <w:spacing w:val="-6"/>
                <w:sz w:val="24"/>
              </w:rPr>
              <w:t> </w:t>
            </w:r>
            <w:r>
              <w:rPr>
                <w:sz w:val="24"/>
              </w:rPr>
              <w:t>-</w:t>
            </w:r>
            <w:r>
              <w:rPr>
                <w:spacing w:val="-5"/>
                <w:sz w:val="24"/>
              </w:rPr>
              <w:t>10)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191"/>
              <w:jc w:val="left"/>
              <w:rPr>
                <w:sz w:val="24"/>
              </w:rPr>
            </w:pPr>
            <w:r>
              <w:rPr>
                <w:sz w:val="24"/>
              </w:rPr>
              <w:t>(35,</w:t>
            </w:r>
            <w:r>
              <w:rPr>
                <w:spacing w:val="-6"/>
                <w:sz w:val="24"/>
              </w:rPr>
              <w:t> </w:t>
            </w:r>
            <w:r>
              <w:rPr>
                <w:sz w:val="24"/>
              </w:rPr>
              <w:t>-</w:t>
            </w:r>
            <w:r>
              <w:rPr>
                <w:spacing w:val="-5"/>
                <w:sz w:val="24"/>
              </w:rPr>
              <w:t>10)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191"/>
              <w:jc w:val="left"/>
              <w:rPr>
                <w:sz w:val="24"/>
              </w:rPr>
            </w:pPr>
            <w:r>
              <w:rPr>
                <w:sz w:val="24"/>
              </w:rPr>
              <w:t>(50,</w:t>
            </w:r>
            <w:r>
              <w:rPr>
                <w:spacing w:val="-6"/>
                <w:sz w:val="24"/>
              </w:rPr>
              <w:t> </w:t>
            </w:r>
            <w:r>
              <w:rPr>
                <w:sz w:val="24"/>
              </w:rPr>
              <w:t>-</w:t>
            </w:r>
            <w:r>
              <w:rPr>
                <w:spacing w:val="-5"/>
                <w:sz w:val="24"/>
              </w:rPr>
              <w:t>10)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191"/>
              <w:jc w:val="left"/>
              <w:rPr>
                <w:sz w:val="24"/>
              </w:rPr>
            </w:pPr>
            <w:r>
              <w:rPr>
                <w:sz w:val="24"/>
              </w:rPr>
              <w:t>(70,</w:t>
            </w:r>
            <w:r>
              <w:rPr>
                <w:spacing w:val="-6"/>
                <w:sz w:val="24"/>
              </w:rPr>
              <w:t> </w:t>
            </w:r>
            <w:r>
              <w:rPr>
                <w:sz w:val="24"/>
              </w:rPr>
              <w:t>-</w:t>
            </w:r>
            <w:r>
              <w:rPr>
                <w:spacing w:val="-5"/>
                <w:sz w:val="24"/>
              </w:rPr>
              <w:t>10)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261"/>
              <w:jc w:val="left"/>
              <w:rPr>
                <w:sz w:val="24"/>
              </w:rPr>
            </w:pPr>
            <w:r>
              <w:rPr>
                <w:sz w:val="24"/>
              </w:rPr>
              <w:t>(</w:t>
            </w:r>
            <w:r>
              <w:rPr>
                <w:spacing w:val="-3"/>
                <w:sz w:val="24"/>
              </w:rPr>
              <w:t> </w:t>
            </w:r>
            <w:r>
              <w:rPr>
                <w:sz w:val="24"/>
              </w:rPr>
              <w:t>0,</w:t>
            </w:r>
            <w:r>
              <w:rPr>
                <w:spacing w:val="-2"/>
                <w:sz w:val="24"/>
              </w:rPr>
              <w:t> </w:t>
            </w:r>
            <w:r>
              <w:rPr>
                <w:spacing w:val="-5"/>
                <w:sz w:val="24"/>
              </w:rPr>
              <w:t>20)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231"/>
              <w:jc w:val="left"/>
              <w:rPr>
                <w:sz w:val="24"/>
              </w:rPr>
            </w:pPr>
            <w:r>
              <w:rPr>
                <w:sz w:val="24"/>
              </w:rPr>
              <w:t>(20,</w:t>
            </w:r>
            <w:r>
              <w:rPr>
                <w:spacing w:val="-5"/>
                <w:sz w:val="24"/>
              </w:rPr>
              <w:t> 20)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231"/>
              <w:jc w:val="left"/>
              <w:rPr>
                <w:sz w:val="24"/>
              </w:rPr>
            </w:pPr>
            <w:r>
              <w:rPr>
                <w:sz w:val="24"/>
              </w:rPr>
              <w:t>(35,</w:t>
            </w:r>
            <w:r>
              <w:rPr>
                <w:spacing w:val="-5"/>
                <w:sz w:val="24"/>
              </w:rPr>
              <w:t> 20)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231"/>
              <w:jc w:val="left"/>
              <w:rPr>
                <w:sz w:val="24"/>
              </w:rPr>
            </w:pPr>
            <w:r>
              <w:rPr>
                <w:sz w:val="24"/>
              </w:rPr>
              <w:t>(50,</w:t>
            </w:r>
            <w:r>
              <w:rPr>
                <w:spacing w:val="-5"/>
                <w:sz w:val="24"/>
              </w:rPr>
              <w:t> 20)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231"/>
              <w:jc w:val="left"/>
              <w:rPr>
                <w:sz w:val="24"/>
              </w:rPr>
            </w:pPr>
            <w:r>
              <w:rPr>
                <w:sz w:val="24"/>
              </w:rPr>
              <w:t>(70,</w:t>
            </w:r>
            <w:r>
              <w:rPr>
                <w:spacing w:val="-5"/>
                <w:sz w:val="24"/>
              </w:rPr>
              <w:t> 20)</w:t>
            </w:r>
          </w:p>
        </w:tc>
        <w:tc>
          <w:tcPr>
            <w:tcW w:w="928" w:type="dxa"/>
          </w:tcPr>
          <w:p>
            <w:pPr>
              <w:pStyle w:val="TableParagraph"/>
              <w:ind w:left="103" w:right="103"/>
              <w:rPr>
                <w:sz w:val="24"/>
              </w:rPr>
            </w:pPr>
            <w:r>
              <w:rPr>
                <w:spacing w:val="-5"/>
                <w:sz w:val="24"/>
              </w:rPr>
              <w:t>90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rPr>
                <w:sz w:val="24"/>
              </w:rPr>
            </w:pPr>
            <w:r>
              <w:rPr>
                <w:w w:val="99"/>
                <w:sz w:val="24"/>
              </w:rPr>
              <w:t>4</w:t>
            </w:r>
          </w:p>
        </w:tc>
        <w:tc>
          <w:tcPr>
            <w:tcW w:w="795" w:type="dxa"/>
          </w:tcPr>
          <w:p>
            <w:pPr>
              <w:pStyle w:val="TableParagraph"/>
              <w:ind w:left="1"/>
              <w:rPr>
                <w:sz w:val="24"/>
              </w:rPr>
            </w:pPr>
            <w:r>
              <w:rPr>
                <w:w w:val="99"/>
                <w:sz w:val="24"/>
              </w:rPr>
              <w:t>4</w:t>
            </w:r>
          </w:p>
        </w:tc>
      </w:tr>
      <w:tr>
        <w:trPr>
          <w:trHeight w:val="288" w:hRule="atLeast"/>
        </w:trPr>
        <w:tc>
          <w:tcPr>
            <w:tcW w:w="1220" w:type="dxa"/>
          </w:tcPr>
          <w:p>
            <w:pPr>
              <w:pStyle w:val="TableParagraph"/>
              <w:ind w:left="261"/>
              <w:jc w:val="left"/>
              <w:rPr>
                <w:sz w:val="24"/>
              </w:rPr>
            </w:pPr>
            <w:r>
              <w:rPr>
                <w:sz w:val="24"/>
              </w:rPr>
              <w:t>(</w:t>
            </w:r>
            <w:r>
              <w:rPr>
                <w:spacing w:val="-3"/>
                <w:sz w:val="24"/>
              </w:rPr>
              <w:t> </w:t>
            </w:r>
            <w:r>
              <w:rPr>
                <w:sz w:val="24"/>
              </w:rPr>
              <w:t>0,</w:t>
            </w:r>
            <w:r>
              <w:rPr>
                <w:spacing w:val="-2"/>
                <w:sz w:val="24"/>
              </w:rPr>
              <w:t> </w:t>
            </w:r>
            <w:r>
              <w:rPr>
                <w:spacing w:val="-5"/>
                <w:sz w:val="24"/>
              </w:rPr>
              <w:t>35)</w:t>
            </w:r>
          </w:p>
        </w:tc>
        <w:tc>
          <w:tcPr>
            <w:tcW w:w="928" w:type="dxa"/>
          </w:tcPr>
          <w:p>
            <w:pPr>
              <w:pStyle w:val="TableParagraph"/>
              <w:ind w:left="103" w:right="103"/>
              <w:rPr>
                <w:sz w:val="24"/>
              </w:rPr>
            </w:pPr>
            <w:r>
              <w:rPr>
                <w:spacing w:val="-5"/>
                <w:sz w:val="24"/>
              </w:rPr>
              <w:t>85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5</w:t>
            </w:r>
          </w:p>
        </w:tc>
        <w:tc>
          <w:tcPr>
            <w:tcW w:w="795" w:type="dxa"/>
          </w:tcPr>
          <w:p>
            <w:pPr>
              <w:pStyle w:val="TableParagraph"/>
              <w:ind w:left="1"/>
              <w:rPr>
                <w:sz w:val="24"/>
              </w:rPr>
            </w:pPr>
            <w:r>
              <w:rPr>
                <w:w w:val="99"/>
                <w:sz w:val="24"/>
              </w:rPr>
              <w:t>6</w:t>
            </w:r>
          </w:p>
        </w:tc>
      </w:tr>
      <w:tr>
        <w:trPr>
          <w:trHeight w:val="288" w:hRule="atLeast"/>
        </w:trPr>
        <w:tc>
          <w:tcPr>
            <w:tcW w:w="1220" w:type="dxa"/>
          </w:tcPr>
          <w:p>
            <w:pPr>
              <w:pStyle w:val="TableParagraph"/>
              <w:ind w:left="231"/>
              <w:jc w:val="left"/>
              <w:rPr>
                <w:sz w:val="24"/>
              </w:rPr>
            </w:pPr>
            <w:r>
              <w:rPr>
                <w:sz w:val="24"/>
              </w:rPr>
              <w:t>(20,</w:t>
            </w:r>
            <w:r>
              <w:rPr>
                <w:spacing w:val="-5"/>
                <w:sz w:val="24"/>
              </w:rPr>
              <w:t> 35)</w:t>
            </w:r>
          </w:p>
        </w:tc>
        <w:tc>
          <w:tcPr>
            <w:tcW w:w="928" w:type="dxa"/>
          </w:tcPr>
          <w:p>
            <w:pPr>
              <w:pStyle w:val="TableParagraph"/>
              <w:ind w:left="103" w:right="103"/>
              <w:rPr>
                <w:sz w:val="24"/>
              </w:rPr>
            </w:pPr>
            <w:r>
              <w:rPr>
                <w:spacing w:val="-5"/>
                <w:sz w:val="24"/>
              </w:rPr>
              <w:t>85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5</w:t>
            </w:r>
          </w:p>
        </w:tc>
        <w:tc>
          <w:tcPr>
            <w:tcW w:w="795" w:type="dxa"/>
          </w:tcPr>
          <w:p>
            <w:pPr>
              <w:pStyle w:val="TableParagraph"/>
              <w:ind w:left="1"/>
              <w:rPr>
                <w:sz w:val="24"/>
              </w:rPr>
            </w:pPr>
            <w:r>
              <w:rPr>
                <w:w w:val="99"/>
                <w:sz w:val="24"/>
              </w:rPr>
              <w:t>6</w:t>
            </w:r>
          </w:p>
        </w:tc>
      </w:tr>
      <w:tr>
        <w:trPr>
          <w:trHeight w:val="288" w:hRule="atLeast"/>
        </w:trPr>
        <w:tc>
          <w:tcPr>
            <w:tcW w:w="1220" w:type="dxa"/>
          </w:tcPr>
          <w:p>
            <w:pPr>
              <w:pStyle w:val="TableParagraph"/>
              <w:ind w:left="231"/>
              <w:jc w:val="left"/>
              <w:rPr>
                <w:sz w:val="24"/>
              </w:rPr>
            </w:pPr>
            <w:r>
              <w:rPr>
                <w:sz w:val="24"/>
              </w:rPr>
              <w:t>(35,</w:t>
            </w:r>
            <w:r>
              <w:rPr>
                <w:spacing w:val="-5"/>
                <w:sz w:val="24"/>
              </w:rPr>
              <w:t> 35)</w:t>
            </w:r>
          </w:p>
        </w:tc>
        <w:tc>
          <w:tcPr>
            <w:tcW w:w="928" w:type="dxa"/>
          </w:tcPr>
          <w:p>
            <w:pPr>
              <w:pStyle w:val="TableParagraph"/>
              <w:ind w:left="103" w:right="103"/>
              <w:rPr>
                <w:sz w:val="24"/>
              </w:rPr>
            </w:pPr>
            <w:r>
              <w:rPr>
                <w:spacing w:val="-5"/>
                <w:sz w:val="24"/>
              </w:rPr>
              <w:t>85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5</w:t>
            </w:r>
          </w:p>
        </w:tc>
        <w:tc>
          <w:tcPr>
            <w:tcW w:w="795" w:type="dxa"/>
          </w:tcPr>
          <w:p>
            <w:pPr>
              <w:pStyle w:val="TableParagraph"/>
              <w:ind w:left="1"/>
              <w:rPr>
                <w:sz w:val="24"/>
              </w:rPr>
            </w:pPr>
            <w:r>
              <w:rPr>
                <w:w w:val="99"/>
                <w:sz w:val="24"/>
              </w:rPr>
              <w:t>6</w:t>
            </w:r>
          </w:p>
        </w:tc>
      </w:tr>
      <w:tr>
        <w:trPr>
          <w:trHeight w:val="288" w:hRule="atLeast"/>
        </w:trPr>
        <w:tc>
          <w:tcPr>
            <w:tcW w:w="1220" w:type="dxa"/>
          </w:tcPr>
          <w:p>
            <w:pPr>
              <w:pStyle w:val="TableParagraph"/>
              <w:ind w:left="231"/>
              <w:jc w:val="left"/>
              <w:rPr>
                <w:sz w:val="24"/>
              </w:rPr>
            </w:pPr>
            <w:r>
              <w:rPr>
                <w:sz w:val="24"/>
              </w:rPr>
              <w:t>(50,</w:t>
            </w:r>
            <w:r>
              <w:rPr>
                <w:spacing w:val="-5"/>
                <w:sz w:val="24"/>
              </w:rPr>
              <w:t> 35)</w:t>
            </w:r>
          </w:p>
        </w:tc>
        <w:tc>
          <w:tcPr>
            <w:tcW w:w="928" w:type="dxa"/>
          </w:tcPr>
          <w:p>
            <w:pPr>
              <w:pStyle w:val="TableParagraph"/>
              <w:ind w:left="103" w:right="103"/>
              <w:rPr>
                <w:sz w:val="24"/>
              </w:rPr>
            </w:pPr>
            <w:r>
              <w:rPr>
                <w:spacing w:val="-5"/>
                <w:sz w:val="24"/>
              </w:rPr>
              <w:t>85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5</w:t>
            </w:r>
          </w:p>
        </w:tc>
        <w:tc>
          <w:tcPr>
            <w:tcW w:w="795" w:type="dxa"/>
          </w:tcPr>
          <w:p>
            <w:pPr>
              <w:pStyle w:val="TableParagraph"/>
              <w:ind w:left="1"/>
              <w:rPr>
                <w:sz w:val="24"/>
              </w:rPr>
            </w:pPr>
            <w:r>
              <w:rPr>
                <w:w w:val="99"/>
                <w:sz w:val="24"/>
              </w:rPr>
              <w:t>6</w:t>
            </w:r>
          </w:p>
        </w:tc>
      </w:tr>
      <w:tr>
        <w:trPr>
          <w:trHeight w:val="288" w:hRule="atLeast"/>
        </w:trPr>
        <w:tc>
          <w:tcPr>
            <w:tcW w:w="1220" w:type="dxa"/>
          </w:tcPr>
          <w:p>
            <w:pPr>
              <w:pStyle w:val="TableParagraph"/>
              <w:ind w:left="231"/>
              <w:jc w:val="left"/>
              <w:rPr>
                <w:sz w:val="24"/>
              </w:rPr>
            </w:pPr>
            <w:r>
              <w:rPr>
                <w:sz w:val="24"/>
              </w:rPr>
              <w:t>(70,</w:t>
            </w:r>
            <w:r>
              <w:rPr>
                <w:spacing w:val="-5"/>
                <w:sz w:val="24"/>
              </w:rPr>
              <w:t> 35)</w:t>
            </w:r>
          </w:p>
        </w:tc>
        <w:tc>
          <w:tcPr>
            <w:tcW w:w="928" w:type="dxa"/>
          </w:tcPr>
          <w:p>
            <w:pPr>
              <w:pStyle w:val="TableParagraph"/>
              <w:ind w:left="103" w:right="103"/>
              <w:rPr>
                <w:sz w:val="24"/>
              </w:rPr>
            </w:pPr>
            <w:r>
              <w:rPr>
                <w:spacing w:val="-5"/>
                <w:sz w:val="24"/>
              </w:rPr>
              <w:t>85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5</w:t>
            </w:r>
          </w:p>
        </w:tc>
        <w:tc>
          <w:tcPr>
            <w:tcW w:w="795" w:type="dxa"/>
          </w:tcPr>
          <w:p>
            <w:pPr>
              <w:pStyle w:val="TableParagraph"/>
              <w:ind w:left="1"/>
              <w:rPr>
                <w:sz w:val="24"/>
              </w:rPr>
            </w:pPr>
            <w:r>
              <w:rPr>
                <w:w w:val="99"/>
                <w:sz w:val="24"/>
              </w:rPr>
              <w:t>6</w:t>
            </w:r>
          </w:p>
        </w:tc>
      </w:tr>
      <w:tr>
        <w:trPr>
          <w:trHeight w:val="288" w:hRule="atLeast"/>
        </w:trPr>
        <w:tc>
          <w:tcPr>
            <w:tcW w:w="1220" w:type="dxa"/>
          </w:tcPr>
          <w:p>
            <w:pPr>
              <w:pStyle w:val="TableParagraph"/>
              <w:ind w:left="261"/>
              <w:jc w:val="left"/>
              <w:rPr>
                <w:sz w:val="24"/>
              </w:rPr>
            </w:pPr>
            <w:r>
              <w:rPr>
                <w:sz w:val="24"/>
              </w:rPr>
              <w:t>(</w:t>
            </w:r>
            <w:r>
              <w:rPr>
                <w:spacing w:val="-3"/>
                <w:sz w:val="24"/>
              </w:rPr>
              <w:t> </w:t>
            </w:r>
            <w:r>
              <w:rPr>
                <w:sz w:val="24"/>
              </w:rPr>
              <w:t>0,</w:t>
            </w:r>
            <w:r>
              <w:rPr>
                <w:spacing w:val="-2"/>
                <w:sz w:val="24"/>
              </w:rPr>
              <w:t> </w:t>
            </w:r>
            <w:r>
              <w:rPr>
                <w:spacing w:val="-5"/>
                <w:sz w:val="24"/>
              </w:rPr>
              <w:t>65)</w:t>
            </w:r>
          </w:p>
        </w:tc>
        <w:tc>
          <w:tcPr>
            <w:tcW w:w="928" w:type="dxa"/>
          </w:tcPr>
          <w:p>
            <w:pPr>
              <w:pStyle w:val="TableParagraph"/>
              <w:ind w:left="103" w:right="103"/>
              <w:rPr>
                <w:sz w:val="24"/>
              </w:rPr>
            </w:pPr>
            <w:r>
              <w:rPr>
                <w:spacing w:val="-5"/>
                <w:sz w:val="24"/>
              </w:rPr>
              <w:t>80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7</w:t>
            </w:r>
          </w:p>
        </w:tc>
        <w:tc>
          <w:tcPr>
            <w:tcW w:w="795" w:type="dxa"/>
          </w:tcPr>
          <w:p>
            <w:pPr>
              <w:pStyle w:val="TableParagraph"/>
              <w:ind w:left="1"/>
              <w:rPr>
                <w:sz w:val="24"/>
              </w:rPr>
            </w:pPr>
            <w:r>
              <w:rPr>
                <w:w w:val="99"/>
                <w:sz w:val="24"/>
              </w:rPr>
              <w:t>9</w:t>
            </w:r>
          </w:p>
        </w:tc>
      </w:tr>
      <w:tr>
        <w:trPr>
          <w:trHeight w:val="288" w:hRule="atLeast"/>
        </w:trPr>
        <w:tc>
          <w:tcPr>
            <w:tcW w:w="1220" w:type="dxa"/>
          </w:tcPr>
          <w:p>
            <w:pPr>
              <w:pStyle w:val="TableParagraph"/>
              <w:ind w:left="231"/>
              <w:jc w:val="left"/>
              <w:rPr>
                <w:sz w:val="24"/>
              </w:rPr>
            </w:pPr>
            <w:r>
              <w:rPr>
                <w:sz w:val="24"/>
              </w:rPr>
              <w:t>(20,</w:t>
            </w:r>
            <w:r>
              <w:rPr>
                <w:spacing w:val="-5"/>
                <w:sz w:val="24"/>
              </w:rPr>
              <w:t> 65)</w:t>
            </w:r>
          </w:p>
        </w:tc>
        <w:tc>
          <w:tcPr>
            <w:tcW w:w="928" w:type="dxa"/>
          </w:tcPr>
          <w:p>
            <w:pPr>
              <w:pStyle w:val="TableParagraph"/>
              <w:ind w:left="103" w:right="103"/>
              <w:rPr>
                <w:sz w:val="24"/>
              </w:rPr>
            </w:pPr>
            <w:r>
              <w:rPr>
                <w:spacing w:val="-5"/>
                <w:sz w:val="24"/>
              </w:rPr>
              <w:t>80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7</w:t>
            </w:r>
          </w:p>
        </w:tc>
        <w:tc>
          <w:tcPr>
            <w:tcW w:w="795" w:type="dxa"/>
          </w:tcPr>
          <w:p>
            <w:pPr>
              <w:pStyle w:val="TableParagraph"/>
              <w:ind w:left="1"/>
              <w:rPr>
                <w:sz w:val="24"/>
              </w:rPr>
            </w:pPr>
            <w:r>
              <w:rPr>
                <w:w w:val="99"/>
                <w:sz w:val="24"/>
              </w:rPr>
              <w:t>9</w:t>
            </w:r>
          </w:p>
        </w:tc>
      </w:tr>
      <w:tr>
        <w:trPr>
          <w:trHeight w:val="288" w:hRule="atLeast"/>
        </w:trPr>
        <w:tc>
          <w:tcPr>
            <w:tcW w:w="1220" w:type="dxa"/>
          </w:tcPr>
          <w:p>
            <w:pPr>
              <w:pStyle w:val="TableParagraph"/>
              <w:ind w:left="231"/>
              <w:jc w:val="left"/>
              <w:rPr>
                <w:sz w:val="24"/>
              </w:rPr>
            </w:pPr>
            <w:r>
              <w:rPr>
                <w:sz w:val="24"/>
              </w:rPr>
              <w:t>(35,</w:t>
            </w:r>
            <w:r>
              <w:rPr>
                <w:spacing w:val="-5"/>
                <w:sz w:val="24"/>
              </w:rPr>
              <w:t> 65)</w:t>
            </w:r>
          </w:p>
        </w:tc>
        <w:tc>
          <w:tcPr>
            <w:tcW w:w="928" w:type="dxa"/>
          </w:tcPr>
          <w:p>
            <w:pPr>
              <w:pStyle w:val="TableParagraph"/>
              <w:ind w:left="103" w:right="103"/>
              <w:rPr>
                <w:sz w:val="24"/>
              </w:rPr>
            </w:pPr>
            <w:r>
              <w:rPr>
                <w:spacing w:val="-5"/>
                <w:sz w:val="24"/>
              </w:rPr>
              <w:t>80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7</w:t>
            </w:r>
          </w:p>
        </w:tc>
        <w:tc>
          <w:tcPr>
            <w:tcW w:w="795" w:type="dxa"/>
          </w:tcPr>
          <w:p>
            <w:pPr>
              <w:pStyle w:val="TableParagraph"/>
              <w:ind w:left="1"/>
              <w:rPr>
                <w:sz w:val="24"/>
              </w:rPr>
            </w:pPr>
            <w:r>
              <w:rPr>
                <w:w w:val="99"/>
                <w:sz w:val="24"/>
              </w:rPr>
              <w:t>9</w:t>
            </w:r>
          </w:p>
        </w:tc>
      </w:tr>
      <w:tr>
        <w:trPr>
          <w:trHeight w:val="288" w:hRule="atLeast"/>
        </w:trPr>
        <w:tc>
          <w:tcPr>
            <w:tcW w:w="1220" w:type="dxa"/>
          </w:tcPr>
          <w:p>
            <w:pPr>
              <w:pStyle w:val="TableParagraph"/>
              <w:ind w:left="231"/>
              <w:jc w:val="left"/>
              <w:rPr>
                <w:sz w:val="24"/>
              </w:rPr>
            </w:pPr>
            <w:r>
              <w:rPr>
                <w:sz w:val="24"/>
              </w:rPr>
              <w:t>(50,</w:t>
            </w:r>
            <w:r>
              <w:rPr>
                <w:spacing w:val="-5"/>
                <w:sz w:val="24"/>
              </w:rPr>
              <w:t> 65)</w:t>
            </w:r>
          </w:p>
        </w:tc>
        <w:tc>
          <w:tcPr>
            <w:tcW w:w="928" w:type="dxa"/>
          </w:tcPr>
          <w:p>
            <w:pPr>
              <w:pStyle w:val="TableParagraph"/>
              <w:ind w:left="103" w:right="103"/>
              <w:rPr>
                <w:sz w:val="24"/>
              </w:rPr>
            </w:pPr>
            <w:r>
              <w:rPr>
                <w:spacing w:val="-5"/>
                <w:sz w:val="24"/>
              </w:rPr>
              <w:t>80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7</w:t>
            </w:r>
          </w:p>
        </w:tc>
        <w:tc>
          <w:tcPr>
            <w:tcW w:w="795" w:type="dxa"/>
          </w:tcPr>
          <w:p>
            <w:pPr>
              <w:pStyle w:val="TableParagraph"/>
              <w:ind w:left="1"/>
              <w:rPr>
                <w:sz w:val="24"/>
              </w:rPr>
            </w:pPr>
            <w:r>
              <w:rPr>
                <w:w w:val="99"/>
                <w:sz w:val="24"/>
              </w:rPr>
              <w:t>9</w:t>
            </w:r>
          </w:p>
        </w:tc>
      </w:tr>
      <w:tr>
        <w:trPr>
          <w:trHeight w:val="288" w:hRule="atLeast"/>
        </w:trPr>
        <w:tc>
          <w:tcPr>
            <w:tcW w:w="1220" w:type="dxa"/>
          </w:tcPr>
          <w:p>
            <w:pPr>
              <w:pStyle w:val="TableParagraph"/>
              <w:ind w:left="231"/>
              <w:jc w:val="left"/>
              <w:rPr>
                <w:sz w:val="24"/>
              </w:rPr>
            </w:pPr>
            <w:r>
              <w:rPr>
                <w:sz w:val="24"/>
              </w:rPr>
              <w:t>(70,</w:t>
            </w:r>
            <w:r>
              <w:rPr>
                <w:spacing w:val="-5"/>
                <w:sz w:val="24"/>
              </w:rPr>
              <w:t> 65)</w:t>
            </w:r>
          </w:p>
        </w:tc>
        <w:tc>
          <w:tcPr>
            <w:tcW w:w="928" w:type="dxa"/>
          </w:tcPr>
          <w:p>
            <w:pPr>
              <w:pStyle w:val="TableParagraph"/>
              <w:ind w:left="103" w:right="103"/>
              <w:rPr>
                <w:sz w:val="24"/>
              </w:rPr>
            </w:pPr>
            <w:r>
              <w:rPr>
                <w:spacing w:val="-5"/>
                <w:sz w:val="24"/>
              </w:rPr>
              <w:t>80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7</w:t>
            </w:r>
          </w:p>
        </w:tc>
        <w:tc>
          <w:tcPr>
            <w:tcW w:w="795" w:type="dxa"/>
          </w:tcPr>
          <w:p>
            <w:pPr>
              <w:pStyle w:val="TableParagraph"/>
              <w:ind w:left="1"/>
              <w:rPr>
                <w:sz w:val="24"/>
              </w:rPr>
            </w:pPr>
            <w:r>
              <w:rPr>
                <w:w w:val="99"/>
                <w:sz w:val="24"/>
              </w:rPr>
              <w:t>9</w:t>
            </w:r>
          </w:p>
        </w:tc>
      </w:tr>
      <w:tr>
        <w:trPr>
          <w:trHeight w:val="288" w:hRule="atLeast"/>
        </w:trPr>
        <w:tc>
          <w:tcPr>
            <w:tcW w:w="1220" w:type="dxa"/>
          </w:tcPr>
          <w:p>
            <w:pPr>
              <w:pStyle w:val="TableParagraph"/>
              <w:ind w:left="261"/>
              <w:jc w:val="left"/>
              <w:rPr>
                <w:sz w:val="24"/>
              </w:rPr>
            </w:pPr>
            <w:r>
              <w:rPr>
                <w:sz w:val="24"/>
              </w:rPr>
              <w:t>(</w:t>
            </w:r>
            <w:r>
              <w:rPr>
                <w:spacing w:val="-3"/>
                <w:sz w:val="24"/>
              </w:rPr>
              <w:t> </w:t>
            </w:r>
            <w:r>
              <w:rPr>
                <w:sz w:val="24"/>
              </w:rPr>
              <w:t>0,</w:t>
            </w:r>
            <w:r>
              <w:rPr>
                <w:spacing w:val="-2"/>
                <w:sz w:val="24"/>
              </w:rPr>
              <w:t> </w:t>
            </w:r>
            <w:r>
              <w:rPr>
                <w:spacing w:val="-5"/>
                <w:sz w:val="24"/>
              </w:rPr>
              <w:t>90)</w:t>
            </w:r>
          </w:p>
        </w:tc>
        <w:tc>
          <w:tcPr>
            <w:tcW w:w="928" w:type="dxa"/>
          </w:tcPr>
          <w:p>
            <w:pPr>
              <w:pStyle w:val="TableParagraph"/>
              <w:ind w:left="103" w:right="103"/>
              <w:rPr>
                <w:sz w:val="24"/>
              </w:rPr>
            </w:pPr>
            <w:r>
              <w:rPr>
                <w:spacing w:val="-5"/>
                <w:sz w:val="24"/>
              </w:rPr>
              <w:t>75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9</w:t>
            </w:r>
          </w:p>
        </w:tc>
        <w:tc>
          <w:tcPr>
            <w:tcW w:w="795" w:type="dxa"/>
          </w:tcPr>
          <w:p>
            <w:pPr>
              <w:pStyle w:val="TableParagraph"/>
              <w:ind w:left="104" w:right="103"/>
              <w:rPr>
                <w:sz w:val="24"/>
              </w:rPr>
            </w:pPr>
            <w:r>
              <w:rPr>
                <w:spacing w:val="-5"/>
                <w:sz w:val="24"/>
              </w:rPr>
              <w:t>12</w:t>
            </w:r>
          </w:p>
        </w:tc>
      </w:tr>
      <w:tr>
        <w:trPr>
          <w:trHeight w:val="288" w:hRule="atLeast"/>
        </w:trPr>
        <w:tc>
          <w:tcPr>
            <w:tcW w:w="1220" w:type="dxa"/>
          </w:tcPr>
          <w:p>
            <w:pPr>
              <w:pStyle w:val="TableParagraph"/>
              <w:ind w:left="231"/>
              <w:jc w:val="left"/>
              <w:rPr>
                <w:sz w:val="24"/>
              </w:rPr>
            </w:pPr>
            <w:r>
              <w:rPr>
                <w:sz w:val="24"/>
              </w:rPr>
              <w:t>(20,</w:t>
            </w:r>
            <w:r>
              <w:rPr>
                <w:spacing w:val="-5"/>
                <w:sz w:val="24"/>
              </w:rPr>
              <w:t> 90)</w:t>
            </w:r>
          </w:p>
        </w:tc>
        <w:tc>
          <w:tcPr>
            <w:tcW w:w="928" w:type="dxa"/>
          </w:tcPr>
          <w:p>
            <w:pPr>
              <w:pStyle w:val="TableParagraph"/>
              <w:ind w:left="103" w:right="103"/>
              <w:rPr>
                <w:sz w:val="24"/>
              </w:rPr>
            </w:pPr>
            <w:r>
              <w:rPr>
                <w:spacing w:val="-5"/>
                <w:sz w:val="24"/>
              </w:rPr>
              <w:t>75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9</w:t>
            </w:r>
          </w:p>
        </w:tc>
        <w:tc>
          <w:tcPr>
            <w:tcW w:w="795" w:type="dxa"/>
          </w:tcPr>
          <w:p>
            <w:pPr>
              <w:pStyle w:val="TableParagraph"/>
              <w:ind w:left="104" w:right="103"/>
              <w:rPr>
                <w:sz w:val="24"/>
              </w:rPr>
            </w:pPr>
            <w:r>
              <w:rPr>
                <w:spacing w:val="-5"/>
                <w:sz w:val="24"/>
              </w:rPr>
              <w:t>12</w:t>
            </w:r>
          </w:p>
        </w:tc>
      </w:tr>
      <w:tr>
        <w:trPr>
          <w:trHeight w:val="288" w:hRule="atLeast"/>
        </w:trPr>
        <w:tc>
          <w:tcPr>
            <w:tcW w:w="1220" w:type="dxa"/>
          </w:tcPr>
          <w:p>
            <w:pPr>
              <w:pStyle w:val="TableParagraph"/>
              <w:ind w:left="231"/>
              <w:jc w:val="left"/>
              <w:rPr>
                <w:sz w:val="24"/>
              </w:rPr>
            </w:pPr>
            <w:r>
              <w:rPr>
                <w:sz w:val="24"/>
              </w:rPr>
              <w:t>(35,</w:t>
            </w:r>
            <w:r>
              <w:rPr>
                <w:spacing w:val="-5"/>
                <w:sz w:val="24"/>
              </w:rPr>
              <w:t> 90)</w:t>
            </w:r>
          </w:p>
        </w:tc>
        <w:tc>
          <w:tcPr>
            <w:tcW w:w="928" w:type="dxa"/>
          </w:tcPr>
          <w:p>
            <w:pPr>
              <w:pStyle w:val="TableParagraph"/>
              <w:ind w:left="103" w:right="103"/>
              <w:rPr>
                <w:sz w:val="24"/>
              </w:rPr>
            </w:pPr>
            <w:r>
              <w:rPr>
                <w:spacing w:val="-5"/>
                <w:sz w:val="24"/>
              </w:rPr>
              <w:t>75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9</w:t>
            </w:r>
          </w:p>
        </w:tc>
        <w:tc>
          <w:tcPr>
            <w:tcW w:w="795" w:type="dxa"/>
          </w:tcPr>
          <w:p>
            <w:pPr>
              <w:pStyle w:val="TableParagraph"/>
              <w:ind w:left="104" w:right="103"/>
              <w:rPr>
                <w:sz w:val="24"/>
              </w:rPr>
            </w:pPr>
            <w:r>
              <w:rPr>
                <w:spacing w:val="-5"/>
                <w:sz w:val="24"/>
              </w:rPr>
              <w:t>12</w:t>
            </w:r>
          </w:p>
        </w:tc>
      </w:tr>
      <w:tr>
        <w:trPr>
          <w:trHeight w:val="288" w:hRule="atLeast"/>
        </w:trPr>
        <w:tc>
          <w:tcPr>
            <w:tcW w:w="1220" w:type="dxa"/>
          </w:tcPr>
          <w:p>
            <w:pPr>
              <w:pStyle w:val="TableParagraph"/>
              <w:ind w:left="231"/>
              <w:jc w:val="left"/>
              <w:rPr>
                <w:sz w:val="24"/>
              </w:rPr>
            </w:pPr>
            <w:r>
              <w:rPr>
                <w:sz w:val="24"/>
              </w:rPr>
              <w:t>(50,</w:t>
            </w:r>
            <w:r>
              <w:rPr>
                <w:spacing w:val="-5"/>
                <w:sz w:val="24"/>
              </w:rPr>
              <w:t> 90)</w:t>
            </w:r>
          </w:p>
        </w:tc>
        <w:tc>
          <w:tcPr>
            <w:tcW w:w="928" w:type="dxa"/>
          </w:tcPr>
          <w:p>
            <w:pPr>
              <w:pStyle w:val="TableParagraph"/>
              <w:ind w:left="103" w:right="103"/>
              <w:rPr>
                <w:sz w:val="24"/>
              </w:rPr>
            </w:pPr>
            <w:r>
              <w:rPr>
                <w:spacing w:val="-5"/>
                <w:sz w:val="24"/>
              </w:rPr>
              <w:t>75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9</w:t>
            </w:r>
          </w:p>
        </w:tc>
        <w:tc>
          <w:tcPr>
            <w:tcW w:w="795" w:type="dxa"/>
          </w:tcPr>
          <w:p>
            <w:pPr>
              <w:pStyle w:val="TableParagraph"/>
              <w:ind w:left="104" w:right="103"/>
              <w:rPr>
                <w:sz w:val="24"/>
              </w:rPr>
            </w:pPr>
            <w:r>
              <w:rPr>
                <w:spacing w:val="-5"/>
                <w:sz w:val="24"/>
              </w:rPr>
              <w:t>12</w:t>
            </w:r>
          </w:p>
        </w:tc>
      </w:tr>
      <w:tr>
        <w:trPr>
          <w:trHeight w:val="288" w:hRule="atLeast"/>
        </w:trPr>
        <w:tc>
          <w:tcPr>
            <w:tcW w:w="1220" w:type="dxa"/>
          </w:tcPr>
          <w:p>
            <w:pPr>
              <w:pStyle w:val="TableParagraph"/>
              <w:ind w:left="231"/>
              <w:jc w:val="left"/>
              <w:rPr>
                <w:sz w:val="24"/>
              </w:rPr>
            </w:pPr>
            <w:r>
              <w:rPr>
                <w:sz w:val="24"/>
              </w:rPr>
              <w:t>(70,</w:t>
            </w:r>
            <w:r>
              <w:rPr>
                <w:spacing w:val="-5"/>
                <w:sz w:val="24"/>
              </w:rPr>
              <w:t> 90)</w:t>
            </w:r>
          </w:p>
        </w:tc>
        <w:tc>
          <w:tcPr>
            <w:tcW w:w="928" w:type="dxa"/>
          </w:tcPr>
          <w:p>
            <w:pPr>
              <w:pStyle w:val="TableParagraph"/>
              <w:ind w:left="103" w:right="103"/>
              <w:rPr>
                <w:sz w:val="24"/>
              </w:rPr>
            </w:pPr>
            <w:r>
              <w:rPr>
                <w:spacing w:val="-5"/>
                <w:sz w:val="24"/>
              </w:rPr>
              <w:t>75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rPr>
                <w:sz w:val="24"/>
              </w:rPr>
            </w:pPr>
            <w:r>
              <w:rPr>
                <w:w w:val="99"/>
                <w:sz w:val="24"/>
              </w:rPr>
              <w:t>9</w:t>
            </w:r>
          </w:p>
        </w:tc>
        <w:tc>
          <w:tcPr>
            <w:tcW w:w="795" w:type="dxa"/>
          </w:tcPr>
          <w:p>
            <w:pPr>
              <w:pStyle w:val="TableParagraph"/>
              <w:ind w:left="104" w:right="103"/>
              <w:rPr>
                <w:sz w:val="24"/>
              </w:rPr>
            </w:pPr>
            <w:r>
              <w:rPr>
                <w:spacing w:val="-5"/>
                <w:sz w:val="24"/>
              </w:rPr>
              <w:t>12</w:t>
            </w:r>
          </w:p>
        </w:tc>
      </w:tr>
      <w:tr>
        <w:trPr>
          <w:trHeight w:val="288" w:hRule="atLeast"/>
        </w:trPr>
        <w:tc>
          <w:tcPr>
            <w:tcW w:w="1220" w:type="dxa"/>
          </w:tcPr>
          <w:p>
            <w:pPr>
              <w:pStyle w:val="TableParagraph"/>
              <w:ind w:left="201"/>
              <w:jc w:val="left"/>
              <w:rPr>
                <w:sz w:val="24"/>
              </w:rPr>
            </w:pPr>
            <w:r>
              <w:rPr>
                <w:sz w:val="24"/>
              </w:rPr>
              <w:t>(</w:t>
            </w:r>
            <w:r>
              <w:rPr>
                <w:spacing w:val="-3"/>
                <w:sz w:val="24"/>
              </w:rPr>
              <w:t> </w:t>
            </w:r>
            <w:r>
              <w:rPr>
                <w:sz w:val="24"/>
              </w:rPr>
              <w:t>0,</w:t>
            </w:r>
            <w:r>
              <w:rPr>
                <w:spacing w:val="-2"/>
                <w:sz w:val="24"/>
              </w:rPr>
              <w:t> </w:t>
            </w:r>
            <w:r>
              <w:rPr>
                <w:spacing w:val="-4"/>
                <w:sz w:val="24"/>
              </w:rPr>
              <w:t>100)</w:t>
            </w:r>
          </w:p>
        </w:tc>
        <w:tc>
          <w:tcPr>
            <w:tcW w:w="928" w:type="dxa"/>
          </w:tcPr>
          <w:p>
            <w:pPr>
              <w:pStyle w:val="TableParagraph"/>
              <w:ind w:left="103" w:right="103"/>
              <w:rPr>
                <w:sz w:val="24"/>
              </w:rPr>
            </w:pPr>
            <w:r>
              <w:rPr>
                <w:spacing w:val="-5"/>
                <w:sz w:val="24"/>
              </w:rPr>
              <w:t>70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ind w:left="104" w:right="104"/>
              <w:rPr>
                <w:sz w:val="24"/>
              </w:rPr>
            </w:pPr>
            <w:r>
              <w:rPr>
                <w:spacing w:val="-5"/>
                <w:sz w:val="24"/>
              </w:rPr>
              <w:t>10</w:t>
            </w:r>
          </w:p>
        </w:tc>
        <w:tc>
          <w:tcPr>
            <w:tcW w:w="795" w:type="dxa"/>
          </w:tcPr>
          <w:p>
            <w:pPr>
              <w:pStyle w:val="TableParagraph"/>
              <w:ind w:left="104" w:right="103"/>
              <w:rPr>
                <w:sz w:val="24"/>
              </w:rPr>
            </w:pPr>
            <w:r>
              <w:rPr>
                <w:spacing w:val="-5"/>
                <w:sz w:val="24"/>
              </w:rPr>
              <w:t>15</w:t>
            </w:r>
          </w:p>
        </w:tc>
      </w:tr>
      <w:tr>
        <w:trPr>
          <w:trHeight w:val="288" w:hRule="atLeast"/>
        </w:trPr>
        <w:tc>
          <w:tcPr>
            <w:tcW w:w="1220" w:type="dxa"/>
          </w:tcPr>
          <w:p>
            <w:pPr>
              <w:pStyle w:val="TableParagraph"/>
              <w:ind w:left="171"/>
              <w:jc w:val="left"/>
              <w:rPr>
                <w:sz w:val="24"/>
              </w:rPr>
            </w:pPr>
            <w:r>
              <w:rPr>
                <w:sz w:val="24"/>
              </w:rPr>
              <w:t>(20,</w:t>
            </w:r>
            <w:r>
              <w:rPr>
                <w:spacing w:val="-5"/>
                <w:sz w:val="24"/>
              </w:rPr>
              <w:t> </w:t>
            </w:r>
            <w:r>
              <w:rPr>
                <w:spacing w:val="-4"/>
                <w:sz w:val="24"/>
              </w:rPr>
              <w:t>100)</w:t>
            </w:r>
          </w:p>
        </w:tc>
        <w:tc>
          <w:tcPr>
            <w:tcW w:w="928" w:type="dxa"/>
          </w:tcPr>
          <w:p>
            <w:pPr>
              <w:pStyle w:val="TableParagraph"/>
              <w:ind w:left="103" w:right="103"/>
              <w:rPr>
                <w:sz w:val="24"/>
              </w:rPr>
            </w:pPr>
            <w:r>
              <w:rPr>
                <w:spacing w:val="-5"/>
                <w:sz w:val="24"/>
              </w:rPr>
              <w:t>70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ind w:left="104" w:right="104"/>
              <w:rPr>
                <w:sz w:val="24"/>
              </w:rPr>
            </w:pPr>
            <w:r>
              <w:rPr>
                <w:spacing w:val="-5"/>
                <w:sz w:val="24"/>
              </w:rPr>
              <w:t>10</w:t>
            </w:r>
          </w:p>
        </w:tc>
        <w:tc>
          <w:tcPr>
            <w:tcW w:w="795" w:type="dxa"/>
          </w:tcPr>
          <w:p>
            <w:pPr>
              <w:pStyle w:val="TableParagraph"/>
              <w:ind w:left="104" w:right="103"/>
              <w:rPr>
                <w:sz w:val="24"/>
              </w:rPr>
            </w:pPr>
            <w:r>
              <w:rPr>
                <w:spacing w:val="-5"/>
                <w:sz w:val="24"/>
              </w:rPr>
              <w:t>15</w:t>
            </w:r>
          </w:p>
        </w:tc>
      </w:tr>
      <w:tr>
        <w:trPr>
          <w:trHeight w:val="288" w:hRule="atLeast"/>
        </w:trPr>
        <w:tc>
          <w:tcPr>
            <w:tcW w:w="1220" w:type="dxa"/>
          </w:tcPr>
          <w:p>
            <w:pPr>
              <w:pStyle w:val="TableParagraph"/>
              <w:ind w:left="171"/>
              <w:jc w:val="left"/>
              <w:rPr>
                <w:sz w:val="24"/>
              </w:rPr>
            </w:pPr>
            <w:r>
              <w:rPr>
                <w:sz w:val="24"/>
              </w:rPr>
              <w:t>(35,</w:t>
            </w:r>
            <w:r>
              <w:rPr>
                <w:spacing w:val="-5"/>
                <w:sz w:val="24"/>
              </w:rPr>
              <w:t> </w:t>
            </w:r>
            <w:r>
              <w:rPr>
                <w:spacing w:val="-4"/>
                <w:sz w:val="24"/>
              </w:rPr>
              <w:t>100)</w:t>
            </w:r>
          </w:p>
        </w:tc>
        <w:tc>
          <w:tcPr>
            <w:tcW w:w="928" w:type="dxa"/>
          </w:tcPr>
          <w:p>
            <w:pPr>
              <w:pStyle w:val="TableParagraph"/>
              <w:ind w:left="103" w:right="103"/>
              <w:rPr>
                <w:sz w:val="24"/>
              </w:rPr>
            </w:pPr>
            <w:r>
              <w:rPr>
                <w:spacing w:val="-5"/>
                <w:sz w:val="24"/>
              </w:rPr>
              <w:t>70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ind w:left="104" w:right="104"/>
              <w:rPr>
                <w:sz w:val="24"/>
              </w:rPr>
            </w:pPr>
            <w:r>
              <w:rPr>
                <w:spacing w:val="-5"/>
                <w:sz w:val="24"/>
              </w:rPr>
              <w:t>10</w:t>
            </w:r>
          </w:p>
        </w:tc>
        <w:tc>
          <w:tcPr>
            <w:tcW w:w="795" w:type="dxa"/>
          </w:tcPr>
          <w:p>
            <w:pPr>
              <w:pStyle w:val="TableParagraph"/>
              <w:ind w:left="104" w:right="103"/>
              <w:rPr>
                <w:sz w:val="24"/>
              </w:rPr>
            </w:pPr>
            <w:r>
              <w:rPr>
                <w:spacing w:val="-5"/>
                <w:sz w:val="24"/>
              </w:rPr>
              <w:t>15</w:t>
            </w:r>
          </w:p>
        </w:tc>
      </w:tr>
      <w:tr>
        <w:trPr>
          <w:trHeight w:val="288" w:hRule="atLeast"/>
        </w:trPr>
        <w:tc>
          <w:tcPr>
            <w:tcW w:w="1220" w:type="dxa"/>
          </w:tcPr>
          <w:p>
            <w:pPr>
              <w:pStyle w:val="TableParagraph"/>
              <w:ind w:left="171"/>
              <w:jc w:val="left"/>
              <w:rPr>
                <w:sz w:val="24"/>
              </w:rPr>
            </w:pPr>
            <w:r>
              <w:rPr>
                <w:sz w:val="24"/>
              </w:rPr>
              <w:t>(50,</w:t>
            </w:r>
            <w:r>
              <w:rPr>
                <w:spacing w:val="-5"/>
                <w:sz w:val="24"/>
              </w:rPr>
              <w:t> </w:t>
            </w:r>
            <w:r>
              <w:rPr>
                <w:spacing w:val="-4"/>
                <w:sz w:val="24"/>
              </w:rPr>
              <w:t>100)</w:t>
            </w:r>
          </w:p>
        </w:tc>
        <w:tc>
          <w:tcPr>
            <w:tcW w:w="928" w:type="dxa"/>
          </w:tcPr>
          <w:p>
            <w:pPr>
              <w:pStyle w:val="TableParagraph"/>
              <w:ind w:left="103" w:right="103"/>
              <w:rPr>
                <w:sz w:val="24"/>
              </w:rPr>
            </w:pPr>
            <w:r>
              <w:rPr>
                <w:spacing w:val="-5"/>
                <w:sz w:val="24"/>
              </w:rPr>
              <w:t>70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ind w:left="104" w:right="104"/>
              <w:rPr>
                <w:sz w:val="24"/>
              </w:rPr>
            </w:pPr>
            <w:r>
              <w:rPr>
                <w:spacing w:val="-5"/>
                <w:sz w:val="24"/>
              </w:rPr>
              <w:t>10</w:t>
            </w:r>
          </w:p>
        </w:tc>
        <w:tc>
          <w:tcPr>
            <w:tcW w:w="795" w:type="dxa"/>
          </w:tcPr>
          <w:p>
            <w:pPr>
              <w:pStyle w:val="TableParagraph"/>
              <w:ind w:left="104" w:right="103"/>
              <w:rPr>
                <w:sz w:val="24"/>
              </w:rPr>
            </w:pPr>
            <w:r>
              <w:rPr>
                <w:spacing w:val="-5"/>
                <w:sz w:val="24"/>
              </w:rPr>
              <w:t>15</w:t>
            </w:r>
          </w:p>
        </w:tc>
      </w:tr>
      <w:tr>
        <w:trPr>
          <w:trHeight w:val="288" w:hRule="atLeast"/>
        </w:trPr>
        <w:tc>
          <w:tcPr>
            <w:tcW w:w="1220" w:type="dxa"/>
          </w:tcPr>
          <w:p>
            <w:pPr>
              <w:pStyle w:val="TableParagraph"/>
              <w:ind w:left="171"/>
              <w:jc w:val="left"/>
              <w:rPr>
                <w:sz w:val="24"/>
              </w:rPr>
            </w:pPr>
            <w:r>
              <w:rPr>
                <w:sz w:val="24"/>
              </w:rPr>
              <w:t>(70,</w:t>
            </w:r>
            <w:r>
              <w:rPr>
                <w:spacing w:val="-5"/>
                <w:sz w:val="24"/>
              </w:rPr>
              <w:t> </w:t>
            </w:r>
            <w:r>
              <w:rPr>
                <w:spacing w:val="-4"/>
                <w:sz w:val="24"/>
              </w:rPr>
              <w:t>100)</w:t>
            </w:r>
          </w:p>
        </w:tc>
        <w:tc>
          <w:tcPr>
            <w:tcW w:w="928" w:type="dxa"/>
          </w:tcPr>
          <w:p>
            <w:pPr>
              <w:pStyle w:val="TableParagraph"/>
              <w:ind w:left="103" w:right="103"/>
              <w:rPr>
                <w:sz w:val="24"/>
              </w:rPr>
            </w:pPr>
            <w:r>
              <w:rPr>
                <w:spacing w:val="-5"/>
                <w:sz w:val="24"/>
              </w:rPr>
              <w:t>70</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3</w:t>
            </w:r>
          </w:p>
        </w:tc>
        <w:tc>
          <w:tcPr>
            <w:tcW w:w="808" w:type="dxa"/>
          </w:tcPr>
          <w:p>
            <w:pPr>
              <w:pStyle w:val="TableParagraph"/>
              <w:ind w:left="104" w:right="104"/>
              <w:rPr>
                <w:sz w:val="24"/>
              </w:rPr>
            </w:pPr>
            <w:r>
              <w:rPr>
                <w:spacing w:val="-5"/>
                <w:sz w:val="24"/>
              </w:rPr>
              <w:t>10</w:t>
            </w:r>
          </w:p>
        </w:tc>
        <w:tc>
          <w:tcPr>
            <w:tcW w:w="795" w:type="dxa"/>
          </w:tcPr>
          <w:p>
            <w:pPr>
              <w:pStyle w:val="TableParagraph"/>
              <w:ind w:left="104" w:right="103"/>
              <w:rPr>
                <w:sz w:val="24"/>
              </w:rPr>
            </w:pPr>
            <w:r>
              <w:rPr>
                <w:spacing w:val="-5"/>
                <w:sz w:val="24"/>
              </w:rPr>
              <w:t>15</w:t>
            </w:r>
          </w:p>
        </w:tc>
      </w:tr>
      <w:tr>
        <w:trPr>
          <w:trHeight w:val="288" w:hRule="atLeast"/>
        </w:trPr>
        <w:tc>
          <w:tcPr>
            <w:tcW w:w="1220" w:type="dxa"/>
          </w:tcPr>
          <w:p>
            <w:pPr>
              <w:pStyle w:val="TableParagraph"/>
              <w:ind w:left="149"/>
              <w:jc w:val="left"/>
              <w:rPr>
                <w:sz w:val="24"/>
              </w:rPr>
            </w:pPr>
            <w:r>
              <w:rPr>
                <w:sz w:val="24"/>
              </w:rPr>
              <w:t>(</w:t>
            </w:r>
            <w:r>
              <w:rPr>
                <w:spacing w:val="-3"/>
                <w:sz w:val="24"/>
              </w:rPr>
              <w:t> </w:t>
            </w:r>
            <w:r>
              <w:rPr>
                <w:sz w:val="24"/>
              </w:rPr>
              <w:t>0,</w:t>
            </w:r>
            <w:r>
              <w:rPr>
                <w:spacing w:val="-2"/>
                <w:sz w:val="24"/>
              </w:rPr>
              <w:t> </w:t>
            </w:r>
            <w:r>
              <w:rPr>
                <w:spacing w:val="-4"/>
                <w:sz w:val="24"/>
              </w:rPr>
              <w:t>TRY)</w:t>
            </w:r>
          </w:p>
        </w:tc>
        <w:tc>
          <w:tcPr>
            <w:tcW w:w="928" w:type="dxa"/>
          </w:tcPr>
          <w:p>
            <w:pPr>
              <w:pStyle w:val="TableParagraph"/>
              <w:ind w:left="103" w:right="103"/>
              <w:rPr>
                <w:sz w:val="24"/>
              </w:rPr>
            </w:pPr>
            <w:r>
              <w:rPr>
                <w:spacing w:val="-5"/>
                <w:sz w:val="24"/>
              </w:rPr>
              <w:t>35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ind w:left="104" w:right="104"/>
              <w:rPr>
                <w:sz w:val="24"/>
              </w:rPr>
            </w:pPr>
            <w:r>
              <w:rPr>
                <w:spacing w:val="-5"/>
                <w:sz w:val="24"/>
              </w:rPr>
              <w:t>28</w:t>
            </w:r>
          </w:p>
        </w:tc>
        <w:tc>
          <w:tcPr>
            <w:tcW w:w="795" w:type="dxa"/>
          </w:tcPr>
          <w:p>
            <w:pPr>
              <w:pStyle w:val="TableParagraph"/>
              <w:ind w:left="104" w:right="103"/>
              <w:rPr>
                <w:sz w:val="24"/>
              </w:rPr>
            </w:pPr>
            <w:r>
              <w:rPr>
                <w:spacing w:val="-5"/>
                <w:sz w:val="24"/>
              </w:rPr>
              <w:t>35</w:t>
            </w:r>
          </w:p>
        </w:tc>
      </w:tr>
      <w:tr>
        <w:trPr>
          <w:trHeight w:val="288" w:hRule="atLeast"/>
        </w:trPr>
        <w:tc>
          <w:tcPr>
            <w:tcW w:w="1220" w:type="dxa"/>
          </w:tcPr>
          <w:p>
            <w:pPr>
              <w:pStyle w:val="TableParagraph"/>
              <w:ind w:left="119"/>
              <w:jc w:val="left"/>
              <w:rPr>
                <w:sz w:val="24"/>
              </w:rPr>
            </w:pPr>
            <w:r>
              <w:rPr>
                <w:sz w:val="24"/>
              </w:rPr>
              <w:t>(35,</w:t>
            </w:r>
            <w:r>
              <w:rPr>
                <w:spacing w:val="-5"/>
                <w:sz w:val="24"/>
              </w:rPr>
              <w:t> </w:t>
            </w:r>
            <w:r>
              <w:rPr>
                <w:spacing w:val="-4"/>
                <w:sz w:val="24"/>
              </w:rPr>
              <w:t>TRY)</w:t>
            </w:r>
          </w:p>
        </w:tc>
        <w:tc>
          <w:tcPr>
            <w:tcW w:w="928" w:type="dxa"/>
          </w:tcPr>
          <w:p>
            <w:pPr>
              <w:pStyle w:val="TableParagraph"/>
              <w:ind w:left="103" w:right="103"/>
              <w:rPr>
                <w:sz w:val="24"/>
              </w:rPr>
            </w:pPr>
            <w:r>
              <w:rPr>
                <w:spacing w:val="-5"/>
                <w:sz w:val="24"/>
              </w:rPr>
              <w:t>35</w:t>
            </w:r>
          </w:p>
        </w:tc>
        <w:tc>
          <w:tcPr>
            <w:tcW w:w="1255" w:type="dxa"/>
          </w:tcPr>
          <w:p>
            <w:pPr>
              <w:pStyle w:val="TableParagraph"/>
              <w:rPr>
                <w:sz w:val="24"/>
              </w:rPr>
            </w:pPr>
            <w:r>
              <w:rPr>
                <w:w w:val="99"/>
                <w:sz w:val="24"/>
              </w:rPr>
              <w:t>1</w:t>
            </w:r>
          </w:p>
        </w:tc>
        <w:tc>
          <w:tcPr>
            <w:tcW w:w="956" w:type="dxa"/>
          </w:tcPr>
          <w:p>
            <w:pPr>
              <w:pStyle w:val="TableParagraph"/>
              <w:rPr>
                <w:sz w:val="24"/>
              </w:rPr>
            </w:pPr>
            <w:r>
              <w:rPr>
                <w:w w:val="99"/>
                <w:sz w:val="24"/>
              </w:rPr>
              <w:t>1</w:t>
            </w:r>
          </w:p>
        </w:tc>
        <w:tc>
          <w:tcPr>
            <w:tcW w:w="808" w:type="dxa"/>
          </w:tcPr>
          <w:p>
            <w:pPr>
              <w:pStyle w:val="TableParagraph"/>
              <w:ind w:left="104" w:right="104"/>
              <w:rPr>
                <w:sz w:val="24"/>
              </w:rPr>
            </w:pPr>
            <w:r>
              <w:rPr>
                <w:spacing w:val="-5"/>
                <w:sz w:val="24"/>
              </w:rPr>
              <w:t>28</w:t>
            </w:r>
          </w:p>
        </w:tc>
        <w:tc>
          <w:tcPr>
            <w:tcW w:w="795" w:type="dxa"/>
          </w:tcPr>
          <w:p>
            <w:pPr>
              <w:pStyle w:val="TableParagraph"/>
              <w:ind w:left="104" w:right="103"/>
              <w:rPr>
                <w:sz w:val="24"/>
              </w:rPr>
            </w:pPr>
            <w:r>
              <w:rPr>
                <w:spacing w:val="-5"/>
                <w:sz w:val="24"/>
              </w:rPr>
              <w:t>35</w:t>
            </w:r>
          </w:p>
        </w:tc>
      </w:tr>
      <w:tr>
        <w:trPr>
          <w:trHeight w:val="306" w:hRule="atLeast"/>
        </w:trPr>
        <w:tc>
          <w:tcPr>
            <w:tcW w:w="1220" w:type="dxa"/>
            <w:tcBorders>
              <w:bottom w:val="single" w:sz="4" w:space="0" w:color="000000"/>
            </w:tcBorders>
          </w:tcPr>
          <w:p>
            <w:pPr>
              <w:pStyle w:val="TableParagraph"/>
              <w:spacing w:line="273" w:lineRule="exact"/>
              <w:ind w:left="119"/>
              <w:jc w:val="left"/>
              <w:rPr>
                <w:sz w:val="24"/>
              </w:rPr>
            </w:pPr>
            <w:r>
              <w:rPr>
                <w:sz w:val="24"/>
              </w:rPr>
              <w:t>(70,</w:t>
            </w:r>
            <w:r>
              <w:rPr>
                <w:spacing w:val="-5"/>
                <w:sz w:val="24"/>
              </w:rPr>
              <w:t> </w:t>
            </w:r>
            <w:r>
              <w:rPr>
                <w:spacing w:val="-4"/>
                <w:sz w:val="24"/>
              </w:rPr>
              <w:t>TRY)</w:t>
            </w:r>
          </w:p>
        </w:tc>
        <w:tc>
          <w:tcPr>
            <w:tcW w:w="928" w:type="dxa"/>
            <w:tcBorders>
              <w:bottom w:val="single" w:sz="4" w:space="0" w:color="000000"/>
            </w:tcBorders>
          </w:tcPr>
          <w:p>
            <w:pPr>
              <w:pStyle w:val="TableParagraph"/>
              <w:spacing w:line="273" w:lineRule="exact"/>
              <w:ind w:left="103" w:right="103"/>
              <w:rPr>
                <w:sz w:val="24"/>
              </w:rPr>
            </w:pPr>
            <w:r>
              <w:rPr>
                <w:spacing w:val="-5"/>
                <w:sz w:val="24"/>
              </w:rPr>
              <w:t>35</w:t>
            </w:r>
          </w:p>
        </w:tc>
        <w:tc>
          <w:tcPr>
            <w:tcW w:w="1255" w:type="dxa"/>
            <w:tcBorders>
              <w:bottom w:val="single" w:sz="4" w:space="0" w:color="000000"/>
            </w:tcBorders>
          </w:tcPr>
          <w:p>
            <w:pPr>
              <w:pStyle w:val="TableParagraph"/>
              <w:spacing w:line="273" w:lineRule="exact"/>
              <w:rPr>
                <w:sz w:val="24"/>
              </w:rPr>
            </w:pPr>
            <w:r>
              <w:rPr>
                <w:w w:val="99"/>
                <w:sz w:val="24"/>
              </w:rPr>
              <w:t>1</w:t>
            </w:r>
          </w:p>
        </w:tc>
        <w:tc>
          <w:tcPr>
            <w:tcW w:w="956" w:type="dxa"/>
            <w:tcBorders>
              <w:bottom w:val="single" w:sz="4" w:space="0" w:color="000000"/>
            </w:tcBorders>
          </w:tcPr>
          <w:p>
            <w:pPr>
              <w:pStyle w:val="TableParagraph"/>
              <w:spacing w:line="273" w:lineRule="exact"/>
              <w:rPr>
                <w:sz w:val="24"/>
              </w:rPr>
            </w:pPr>
            <w:r>
              <w:rPr>
                <w:w w:val="99"/>
                <w:sz w:val="24"/>
              </w:rPr>
              <w:t>1</w:t>
            </w:r>
          </w:p>
        </w:tc>
        <w:tc>
          <w:tcPr>
            <w:tcW w:w="808" w:type="dxa"/>
            <w:tcBorders>
              <w:bottom w:val="single" w:sz="4" w:space="0" w:color="000000"/>
            </w:tcBorders>
          </w:tcPr>
          <w:p>
            <w:pPr>
              <w:pStyle w:val="TableParagraph"/>
              <w:spacing w:line="273" w:lineRule="exact"/>
              <w:ind w:left="104" w:right="104"/>
              <w:rPr>
                <w:sz w:val="24"/>
              </w:rPr>
            </w:pPr>
            <w:r>
              <w:rPr>
                <w:spacing w:val="-5"/>
                <w:sz w:val="24"/>
              </w:rPr>
              <w:t>28</w:t>
            </w:r>
          </w:p>
        </w:tc>
        <w:tc>
          <w:tcPr>
            <w:tcW w:w="795" w:type="dxa"/>
            <w:tcBorders>
              <w:bottom w:val="single" w:sz="4" w:space="0" w:color="000000"/>
            </w:tcBorders>
          </w:tcPr>
          <w:p>
            <w:pPr>
              <w:pStyle w:val="TableParagraph"/>
              <w:spacing w:line="273" w:lineRule="exact"/>
              <w:ind w:left="104" w:right="103"/>
              <w:rPr>
                <w:sz w:val="24"/>
              </w:rPr>
            </w:pPr>
            <w:r>
              <w:rPr>
                <w:spacing w:val="-5"/>
                <w:sz w:val="24"/>
              </w:rPr>
              <w:t>35</w:t>
            </w:r>
          </w:p>
        </w:tc>
      </w:tr>
    </w:tbl>
    <w:p>
      <w:pPr>
        <w:spacing w:after="0" w:line="273" w:lineRule="exact"/>
        <w:rPr>
          <w:sz w:val="24"/>
        </w:rPr>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49" w:lineRule="auto" w:before="101"/>
        <w:ind w:left="610" w:right="389"/>
        <w:jc w:val="both"/>
      </w:pPr>
      <w:bookmarkStart w:name="_bookmark192" w:id="330"/>
      <w:bookmarkEnd w:id="330"/>
      <w:r>
        <w:rPr/>
      </w:r>
      <w:r>
        <w:rPr>
          <w:b/>
        </w:rPr>
        <w:t>Table</w:t>
      </w:r>
      <w:r>
        <w:rPr>
          <w:b/>
          <w:spacing w:val="-6"/>
        </w:rPr>
        <w:t> </w:t>
      </w:r>
      <w:r>
        <w:rPr>
          <w:b/>
        </w:rPr>
        <w:t>6.4: </w:t>
      </w:r>
      <w:r>
        <w:rPr>
          <w:rFonts w:ascii="Cambria" w:hAnsi="Cambria"/>
        </w:rPr>
        <w:t>α </w:t>
      </w:r>
      <w:r>
        <w:rPr/>
        <w:t>prior</w:t>
      </w:r>
      <w:r>
        <w:rPr>
          <w:spacing w:val="-6"/>
        </w:rPr>
        <w:t> </w:t>
      </w:r>
      <w:r>
        <w:rPr/>
        <w:t>distribution</w:t>
      </w:r>
      <w:r>
        <w:rPr>
          <w:spacing w:val="-6"/>
        </w:rPr>
        <w:t> </w:t>
      </w:r>
      <w:r>
        <w:rPr/>
        <w:t>values</w:t>
      </w:r>
      <w:r>
        <w:rPr>
          <w:spacing w:val="-6"/>
        </w:rPr>
        <w:t> </w:t>
      </w:r>
      <w:r>
        <w:rPr/>
        <w:t>for</w:t>
      </w:r>
      <w:r>
        <w:rPr>
          <w:spacing w:val="-6"/>
        </w:rPr>
        <w:t> </w:t>
      </w:r>
      <w:r>
        <w:rPr/>
        <w:t>team</w:t>
      </w:r>
      <w:r>
        <w:rPr>
          <w:spacing w:val="-6"/>
        </w:rPr>
        <w:t> </w:t>
      </w:r>
      <w:r>
        <w:rPr/>
        <w:t>attacking</w:t>
      </w:r>
      <w:r>
        <w:rPr>
          <w:spacing w:val="-6"/>
        </w:rPr>
        <w:t> </w:t>
      </w:r>
      <w:r>
        <w:rPr/>
        <w:t>and</w:t>
      </w:r>
      <w:r>
        <w:rPr>
          <w:spacing w:val="-6"/>
        </w:rPr>
        <w:t> </w:t>
      </w:r>
      <w:r>
        <w:rPr/>
        <w:t>defending</w:t>
      </w:r>
      <w:r>
        <w:rPr>
          <w:spacing w:val="-6"/>
        </w:rPr>
        <w:t> </w:t>
      </w:r>
      <w:r>
        <w:rPr/>
        <w:t>models. </w:t>
      </w:r>
      <w:r>
        <w:rPr>
          <w:rFonts w:ascii="Cambria" w:hAnsi="Cambria"/>
        </w:rPr>
        <w:t>α </w:t>
      </w:r>
      <w:r>
        <w:rPr/>
        <w:t>values calculated via maximum likelihood estimation from posterior distribution of the whole league model.</w:t>
      </w:r>
      <w:r>
        <w:rPr>
          <w:spacing w:val="40"/>
        </w:rPr>
        <w:t> </w:t>
      </w:r>
      <w:r>
        <w:rPr/>
        <w:t>Centre coordinates are provided, alongside </w:t>
      </w:r>
      <w:r>
        <w:rPr>
          <w:rFonts w:ascii="Cambria" w:hAnsi="Cambria"/>
        </w:rPr>
        <w:t>α </w:t>
      </w:r>
      <w:r>
        <w:rPr/>
        <w:t>values for each possession outcome.</w:t>
      </w:r>
      <w:r>
        <w:rPr>
          <w:spacing w:val="31"/>
        </w:rPr>
        <w:t> </w:t>
      </w:r>
      <w:r>
        <w:rPr/>
        <w:t>C.Try refers to converted try (6 points) and U.Try refers to unconverted try (4 points). Values rounded to 2 decimal places for brevity.</w:t>
      </w:r>
    </w:p>
    <w:p>
      <w:pPr>
        <w:pStyle w:val="BodyText"/>
        <w:rPr>
          <w:sz w:val="20"/>
        </w:rPr>
      </w:pPr>
    </w:p>
    <w:p>
      <w:pPr>
        <w:pStyle w:val="BodyText"/>
        <w:spacing w:before="4"/>
        <w:rPr>
          <w:sz w:val="22"/>
        </w:rPr>
      </w:pPr>
    </w:p>
    <w:tbl>
      <w:tblPr>
        <w:tblW w:w="0" w:type="auto"/>
        <w:jc w:val="left"/>
        <w:tblInd w:w="17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220"/>
        <w:gridCol w:w="1017"/>
        <w:gridCol w:w="1256"/>
        <w:gridCol w:w="957"/>
        <w:gridCol w:w="897"/>
        <w:gridCol w:w="897"/>
      </w:tblGrid>
      <w:tr>
        <w:trPr>
          <w:trHeight w:val="272" w:hRule="atLeast"/>
        </w:trPr>
        <w:tc>
          <w:tcPr>
            <w:tcW w:w="1220" w:type="dxa"/>
            <w:tcBorders>
              <w:top w:val="single" w:sz="4" w:space="0" w:color="000000"/>
              <w:bottom w:val="single" w:sz="4" w:space="0" w:color="000000"/>
            </w:tcBorders>
          </w:tcPr>
          <w:p>
            <w:pPr>
              <w:pStyle w:val="TableParagraph"/>
              <w:spacing w:line="253" w:lineRule="exact"/>
              <w:ind w:left="291"/>
              <w:jc w:val="left"/>
              <w:rPr>
                <w:sz w:val="24"/>
              </w:rPr>
            </w:pPr>
            <w:r>
              <w:rPr>
                <w:spacing w:val="-2"/>
                <w:sz w:val="24"/>
              </w:rPr>
              <w:t>Centre</w:t>
            </w:r>
          </w:p>
        </w:tc>
        <w:tc>
          <w:tcPr>
            <w:tcW w:w="1017" w:type="dxa"/>
            <w:tcBorders>
              <w:top w:val="single" w:sz="4" w:space="0" w:color="000000"/>
              <w:bottom w:val="single" w:sz="4" w:space="0" w:color="000000"/>
            </w:tcBorders>
          </w:tcPr>
          <w:p>
            <w:pPr>
              <w:pStyle w:val="TableParagraph"/>
              <w:spacing w:line="253" w:lineRule="exact"/>
              <w:ind w:left="105" w:right="106"/>
              <w:rPr>
                <w:sz w:val="24"/>
              </w:rPr>
            </w:pPr>
            <w:r>
              <w:rPr>
                <w:sz w:val="24"/>
              </w:rPr>
              <w:t>No</w:t>
            </w:r>
            <w:r>
              <w:rPr>
                <w:spacing w:val="-4"/>
                <w:sz w:val="24"/>
              </w:rPr>
              <w:t> </w:t>
            </w:r>
            <w:r>
              <w:rPr>
                <w:spacing w:val="-5"/>
                <w:sz w:val="24"/>
              </w:rPr>
              <w:t>Try</w:t>
            </w:r>
          </w:p>
        </w:tc>
        <w:tc>
          <w:tcPr>
            <w:tcW w:w="1256" w:type="dxa"/>
            <w:tcBorders>
              <w:top w:val="single" w:sz="4" w:space="0" w:color="000000"/>
              <w:bottom w:val="single" w:sz="4" w:space="0" w:color="000000"/>
            </w:tcBorders>
          </w:tcPr>
          <w:p>
            <w:pPr>
              <w:pStyle w:val="TableParagraph"/>
              <w:spacing w:line="253" w:lineRule="exact"/>
              <w:ind w:left="108" w:right="109"/>
              <w:rPr>
                <w:sz w:val="24"/>
              </w:rPr>
            </w:pPr>
            <w:r>
              <w:rPr>
                <w:sz w:val="24"/>
              </w:rPr>
              <w:t>Drop</w:t>
            </w:r>
            <w:r>
              <w:rPr>
                <w:spacing w:val="-6"/>
                <w:sz w:val="24"/>
              </w:rPr>
              <w:t> </w:t>
            </w:r>
            <w:r>
              <w:rPr>
                <w:spacing w:val="-4"/>
                <w:sz w:val="24"/>
              </w:rPr>
              <w:t>Goal</w:t>
            </w:r>
          </w:p>
        </w:tc>
        <w:tc>
          <w:tcPr>
            <w:tcW w:w="957" w:type="dxa"/>
            <w:tcBorders>
              <w:top w:val="single" w:sz="4" w:space="0" w:color="000000"/>
              <w:bottom w:val="single" w:sz="4" w:space="0" w:color="000000"/>
            </w:tcBorders>
          </w:tcPr>
          <w:p>
            <w:pPr>
              <w:pStyle w:val="TableParagraph"/>
              <w:spacing w:line="253" w:lineRule="exact"/>
              <w:ind w:left="104" w:right="107"/>
              <w:rPr>
                <w:sz w:val="24"/>
              </w:rPr>
            </w:pPr>
            <w:r>
              <w:rPr>
                <w:spacing w:val="-2"/>
                <w:sz w:val="24"/>
              </w:rPr>
              <w:t>Penalty</w:t>
            </w:r>
          </w:p>
        </w:tc>
        <w:tc>
          <w:tcPr>
            <w:tcW w:w="897" w:type="dxa"/>
            <w:tcBorders>
              <w:top w:val="single" w:sz="4" w:space="0" w:color="000000"/>
              <w:bottom w:val="single" w:sz="4" w:space="0" w:color="000000"/>
            </w:tcBorders>
          </w:tcPr>
          <w:p>
            <w:pPr>
              <w:pStyle w:val="TableParagraph"/>
              <w:spacing w:line="253" w:lineRule="exact"/>
              <w:ind w:left="102" w:right="105"/>
              <w:rPr>
                <w:sz w:val="24"/>
              </w:rPr>
            </w:pPr>
            <w:r>
              <w:rPr>
                <w:spacing w:val="-4"/>
                <w:sz w:val="24"/>
              </w:rPr>
              <w:t>U.Try</w:t>
            </w:r>
          </w:p>
        </w:tc>
        <w:tc>
          <w:tcPr>
            <w:tcW w:w="897" w:type="dxa"/>
            <w:tcBorders>
              <w:top w:val="single" w:sz="4" w:space="0" w:color="000000"/>
              <w:bottom w:val="single" w:sz="4" w:space="0" w:color="000000"/>
            </w:tcBorders>
          </w:tcPr>
          <w:p>
            <w:pPr>
              <w:pStyle w:val="TableParagraph"/>
              <w:spacing w:line="253" w:lineRule="exact"/>
              <w:ind w:left="102" w:right="106"/>
              <w:rPr>
                <w:sz w:val="24"/>
              </w:rPr>
            </w:pPr>
            <w:r>
              <w:rPr>
                <w:spacing w:val="-4"/>
                <w:sz w:val="24"/>
              </w:rPr>
              <w:t>C.Try</w:t>
            </w:r>
          </w:p>
        </w:tc>
      </w:tr>
      <w:tr>
        <w:trPr>
          <w:trHeight w:val="283" w:hRule="atLeast"/>
        </w:trPr>
        <w:tc>
          <w:tcPr>
            <w:tcW w:w="1220" w:type="dxa"/>
            <w:tcBorders>
              <w:top w:val="single" w:sz="4" w:space="0" w:color="000000"/>
            </w:tcBorders>
          </w:tcPr>
          <w:p>
            <w:pPr>
              <w:pStyle w:val="TableParagraph"/>
              <w:spacing w:line="249" w:lineRule="exact"/>
              <w:ind w:left="221"/>
              <w:jc w:val="left"/>
              <w:rPr>
                <w:sz w:val="24"/>
              </w:rPr>
            </w:pPr>
            <w:r>
              <w:rPr>
                <w:sz w:val="24"/>
              </w:rPr>
              <w:t>(</w:t>
            </w:r>
            <w:r>
              <w:rPr>
                <w:spacing w:val="-3"/>
                <w:sz w:val="24"/>
              </w:rPr>
              <w:t> </w:t>
            </w:r>
            <w:r>
              <w:rPr>
                <w:sz w:val="24"/>
              </w:rPr>
              <w:t>0,</w:t>
            </w:r>
            <w:r>
              <w:rPr>
                <w:spacing w:val="-3"/>
                <w:sz w:val="24"/>
              </w:rPr>
              <w:t> </w:t>
            </w:r>
            <w:r>
              <w:rPr>
                <w:sz w:val="24"/>
              </w:rPr>
              <w:t>-</w:t>
            </w:r>
            <w:r>
              <w:rPr>
                <w:spacing w:val="-5"/>
                <w:sz w:val="24"/>
              </w:rPr>
              <w:t>10)</w:t>
            </w:r>
          </w:p>
        </w:tc>
        <w:tc>
          <w:tcPr>
            <w:tcW w:w="1017" w:type="dxa"/>
            <w:tcBorders>
              <w:top w:val="single" w:sz="4" w:space="0" w:color="000000"/>
            </w:tcBorders>
          </w:tcPr>
          <w:p>
            <w:pPr>
              <w:pStyle w:val="TableParagraph"/>
              <w:spacing w:line="249" w:lineRule="exact"/>
              <w:ind w:left="105" w:right="106"/>
              <w:rPr>
                <w:sz w:val="24"/>
              </w:rPr>
            </w:pPr>
            <w:r>
              <w:rPr>
                <w:spacing w:val="-2"/>
                <w:sz w:val="24"/>
              </w:rPr>
              <w:t>184.72</w:t>
            </w:r>
          </w:p>
        </w:tc>
        <w:tc>
          <w:tcPr>
            <w:tcW w:w="1256" w:type="dxa"/>
            <w:tcBorders>
              <w:top w:val="single" w:sz="4" w:space="0" w:color="000000"/>
            </w:tcBorders>
          </w:tcPr>
          <w:p>
            <w:pPr>
              <w:pStyle w:val="TableParagraph"/>
              <w:spacing w:line="249" w:lineRule="exact"/>
              <w:ind w:left="108" w:right="109"/>
              <w:rPr>
                <w:sz w:val="24"/>
              </w:rPr>
            </w:pPr>
            <w:r>
              <w:rPr>
                <w:spacing w:val="-4"/>
                <w:sz w:val="24"/>
              </w:rPr>
              <w:t>0.72</w:t>
            </w:r>
          </w:p>
        </w:tc>
        <w:tc>
          <w:tcPr>
            <w:tcW w:w="957" w:type="dxa"/>
            <w:tcBorders>
              <w:top w:val="single" w:sz="4" w:space="0" w:color="000000"/>
            </w:tcBorders>
          </w:tcPr>
          <w:p>
            <w:pPr>
              <w:pStyle w:val="TableParagraph"/>
              <w:spacing w:line="249" w:lineRule="exact"/>
              <w:ind w:left="104" w:right="106"/>
              <w:rPr>
                <w:sz w:val="24"/>
              </w:rPr>
            </w:pPr>
            <w:r>
              <w:rPr>
                <w:spacing w:val="-4"/>
                <w:sz w:val="24"/>
              </w:rPr>
              <w:t>2.01</w:t>
            </w:r>
          </w:p>
        </w:tc>
        <w:tc>
          <w:tcPr>
            <w:tcW w:w="897" w:type="dxa"/>
            <w:tcBorders>
              <w:top w:val="single" w:sz="4" w:space="0" w:color="000000"/>
            </w:tcBorders>
          </w:tcPr>
          <w:p>
            <w:pPr>
              <w:pStyle w:val="TableParagraph"/>
              <w:spacing w:line="249" w:lineRule="exact"/>
              <w:ind w:left="102" w:right="105"/>
              <w:rPr>
                <w:sz w:val="24"/>
              </w:rPr>
            </w:pPr>
            <w:r>
              <w:rPr>
                <w:spacing w:val="-4"/>
                <w:sz w:val="24"/>
              </w:rPr>
              <w:t>4.97</w:t>
            </w:r>
          </w:p>
        </w:tc>
        <w:tc>
          <w:tcPr>
            <w:tcW w:w="897" w:type="dxa"/>
            <w:tcBorders>
              <w:top w:val="single" w:sz="4" w:space="0" w:color="000000"/>
            </w:tcBorders>
          </w:tcPr>
          <w:p>
            <w:pPr>
              <w:pStyle w:val="TableParagraph"/>
              <w:spacing w:line="249" w:lineRule="exact"/>
              <w:ind w:left="102" w:right="106"/>
              <w:rPr>
                <w:sz w:val="24"/>
              </w:rPr>
            </w:pPr>
            <w:r>
              <w:rPr>
                <w:spacing w:val="-4"/>
                <w:sz w:val="24"/>
              </w:rPr>
              <w:t>6.43</w:t>
            </w:r>
          </w:p>
        </w:tc>
      </w:tr>
      <w:tr>
        <w:trPr>
          <w:trHeight w:val="288" w:hRule="atLeast"/>
        </w:trPr>
        <w:tc>
          <w:tcPr>
            <w:tcW w:w="1220" w:type="dxa"/>
          </w:tcPr>
          <w:p>
            <w:pPr>
              <w:pStyle w:val="TableParagraph"/>
              <w:ind w:left="191"/>
              <w:jc w:val="left"/>
              <w:rPr>
                <w:sz w:val="24"/>
              </w:rPr>
            </w:pPr>
            <w:r>
              <w:rPr>
                <w:sz w:val="24"/>
              </w:rPr>
              <w:t>(20,</w:t>
            </w:r>
            <w:r>
              <w:rPr>
                <w:spacing w:val="-6"/>
                <w:sz w:val="24"/>
              </w:rPr>
              <w:t> </w:t>
            </w:r>
            <w:r>
              <w:rPr>
                <w:sz w:val="24"/>
              </w:rPr>
              <w:t>-</w:t>
            </w:r>
            <w:r>
              <w:rPr>
                <w:spacing w:val="-5"/>
                <w:sz w:val="24"/>
              </w:rPr>
              <w:t>10)</w:t>
            </w:r>
          </w:p>
        </w:tc>
        <w:tc>
          <w:tcPr>
            <w:tcW w:w="1017" w:type="dxa"/>
          </w:tcPr>
          <w:p>
            <w:pPr>
              <w:pStyle w:val="TableParagraph"/>
              <w:ind w:left="105" w:right="106"/>
              <w:rPr>
                <w:sz w:val="24"/>
              </w:rPr>
            </w:pPr>
            <w:r>
              <w:rPr>
                <w:spacing w:val="-2"/>
                <w:sz w:val="24"/>
              </w:rPr>
              <w:t>345.31</w:t>
            </w:r>
          </w:p>
        </w:tc>
        <w:tc>
          <w:tcPr>
            <w:tcW w:w="1256" w:type="dxa"/>
          </w:tcPr>
          <w:p>
            <w:pPr>
              <w:pStyle w:val="TableParagraph"/>
              <w:ind w:left="108" w:right="109"/>
              <w:rPr>
                <w:sz w:val="24"/>
              </w:rPr>
            </w:pPr>
            <w:r>
              <w:rPr>
                <w:spacing w:val="-4"/>
                <w:sz w:val="24"/>
              </w:rPr>
              <w:t>1.07</w:t>
            </w:r>
          </w:p>
        </w:tc>
        <w:tc>
          <w:tcPr>
            <w:tcW w:w="957" w:type="dxa"/>
          </w:tcPr>
          <w:p>
            <w:pPr>
              <w:pStyle w:val="TableParagraph"/>
              <w:ind w:left="104" w:right="106"/>
              <w:rPr>
                <w:sz w:val="24"/>
              </w:rPr>
            </w:pPr>
            <w:r>
              <w:rPr>
                <w:spacing w:val="-4"/>
                <w:sz w:val="24"/>
              </w:rPr>
              <w:t>6.38</w:t>
            </w:r>
          </w:p>
        </w:tc>
        <w:tc>
          <w:tcPr>
            <w:tcW w:w="897" w:type="dxa"/>
          </w:tcPr>
          <w:p>
            <w:pPr>
              <w:pStyle w:val="TableParagraph"/>
              <w:ind w:left="102" w:right="105"/>
              <w:rPr>
                <w:sz w:val="24"/>
              </w:rPr>
            </w:pPr>
            <w:r>
              <w:rPr>
                <w:spacing w:val="-4"/>
                <w:sz w:val="24"/>
              </w:rPr>
              <w:t>7.45</w:t>
            </w:r>
          </w:p>
        </w:tc>
        <w:tc>
          <w:tcPr>
            <w:tcW w:w="897" w:type="dxa"/>
          </w:tcPr>
          <w:p>
            <w:pPr>
              <w:pStyle w:val="TableParagraph"/>
              <w:ind w:left="102" w:right="106"/>
              <w:rPr>
                <w:sz w:val="24"/>
              </w:rPr>
            </w:pPr>
            <w:r>
              <w:rPr>
                <w:spacing w:val="-2"/>
                <w:sz w:val="24"/>
              </w:rPr>
              <w:t>14.88</w:t>
            </w:r>
          </w:p>
        </w:tc>
      </w:tr>
      <w:tr>
        <w:trPr>
          <w:trHeight w:val="288" w:hRule="atLeast"/>
        </w:trPr>
        <w:tc>
          <w:tcPr>
            <w:tcW w:w="1220" w:type="dxa"/>
          </w:tcPr>
          <w:p>
            <w:pPr>
              <w:pStyle w:val="TableParagraph"/>
              <w:ind w:left="191"/>
              <w:jc w:val="left"/>
              <w:rPr>
                <w:sz w:val="24"/>
              </w:rPr>
            </w:pPr>
            <w:r>
              <w:rPr>
                <w:sz w:val="24"/>
              </w:rPr>
              <w:t>(35,</w:t>
            </w:r>
            <w:r>
              <w:rPr>
                <w:spacing w:val="-6"/>
                <w:sz w:val="24"/>
              </w:rPr>
              <w:t> </w:t>
            </w:r>
            <w:r>
              <w:rPr>
                <w:sz w:val="24"/>
              </w:rPr>
              <w:t>-</w:t>
            </w:r>
            <w:r>
              <w:rPr>
                <w:spacing w:val="-5"/>
                <w:sz w:val="24"/>
              </w:rPr>
              <w:t>10)</w:t>
            </w:r>
          </w:p>
        </w:tc>
        <w:tc>
          <w:tcPr>
            <w:tcW w:w="1017" w:type="dxa"/>
          </w:tcPr>
          <w:p>
            <w:pPr>
              <w:pStyle w:val="TableParagraph"/>
              <w:ind w:left="105" w:right="106"/>
              <w:rPr>
                <w:sz w:val="24"/>
              </w:rPr>
            </w:pPr>
            <w:r>
              <w:rPr>
                <w:spacing w:val="-2"/>
                <w:sz w:val="24"/>
              </w:rPr>
              <w:t>280.81</w:t>
            </w:r>
          </w:p>
        </w:tc>
        <w:tc>
          <w:tcPr>
            <w:tcW w:w="1256" w:type="dxa"/>
          </w:tcPr>
          <w:p>
            <w:pPr>
              <w:pStyle w:val="TableParagraph"/>
              <w:ind w:left="108" w:right="109"/>
              <w:rPr>
                <w:sz w:val="24"/>
              </w:rPr>
            </w:pPr>
            <w:r>
              <w:rPr>
                <w:spacing w:val="-4"/>
                <w:sz w:val="24"/>
              </w:rPr>
              <w:t>1.37</w:t>
            </w:r>
          </w:p>
        </w:tc>
        <w:tc>
          <w:tcPr>
            <w:tcW w:w="957" w:type="dxa"/>
          </w:tcPr>
          <w:p>
            <w:pPr>
              <w:pStyle w:val="TableParagraph"/>
              <w:ind w:left="104" w:right="106"/>
              <w:rPr>
                <w:sz w:val="24"/>
              </w:rPr>
            </w:pPr>
            <w:r>
              <w:rPr>
                <w:spacing w:val="-4"/>
                <w:sz w:val="24"/>
              </w:rPr>
              <w:t>4.63</w:t>
            </w:r>
          </w:p>
        </w:tc>
        <w:tc>
          <w:tcPr>
            <w:tcW w:w="897" w:type="dxa"/>
          </w:tcPr>
          <w:p>
            <w:pPr>
              <w:pStyle w:val="TableParagraph"/>
              <w:ind w:left="102" w:right="105"/>
              <w:rPr>
                <w:sz w:val="24"/>
              </w:rPr>
            </w:pPr>
            <w:r>
              <w:rPr>
                <w:spacing w:val="-4"/>
                <w:sz w:val="24"/>
              </w:rPr>
              <w:t>5.08</w:t>
            </w:r>
          </w:p>
        </w:tc>
        <w:tc>
          <w:tcPr>
            <w:tcW w:w="897" w:type="dxa"/>
          </w:tcPr>
          <w:p>
            <w:pPr>
              <w:pStyle w:val="TableParagraph"/>
              <w:ind w:left="102" w:right="106"/>
              <w:rPr>
                <w:sz w:val="24"/>
              </w:rPr>
            </w:pPr>
            <w:r>
              <w:rPr>
                <w:spacing w:val="-2"/>
                <w:sz w:val="24"/>
              </w:rPr>
              <w:t>16.00</w:t>
            </w:r>
          </w:p>
        </w:tc>
      </w:tr>
      <w:tr>
        <w:trPr>
          <w:trHeight w:val="288" w:hRule="atLeast"/>
        </w:trPr>
        <w:tc>
          <w:tcPr>
            <w:tcW w:w="1220" w:type="dxa"/>
          </w:tcPr>
          <w:p>
            <w:pPr>
              <w:pStyle w:val="TableParagraph"/>
              <w:ind w:left="191"/>
              <w:jc w:val="left"/>
              <w:rPr>
                <w:sz w:val="24"/>
              </w:rPr>
            </w:pPr>
            <w:r>
              <w:rPr>
                <w:sz w:val="24"/>
              </w:rPr>
              <w:t>(50,</w:t>
            </w:r>
            <w:r>
              <w:rPr>
                <w:spacing w:val="-6"/>
                <w:sz w:val="24"/>
              </w:rPr>
              <w:t> </w:t>
            </w:r>
            <w:r>
              <w:rPr>
                <w:sz w:val="24"/>
              </w:rPr>
              <w:t>-</w:t>
            </w:r>
            <w:r>
              <w:rPr>
                <w:spacing w:val="-5"/>
                <w:sz w:val="24"/>
              </w:rPr>
              <w:t>10)</w:t>
            </w:r>
          </w:p>
        </w:tc>
        <w:tc>
          <w:tcPr>
            <w:tcW w:w="1017" w:type="dxa"/>
          </w:tcPr>
          <w:p>
            <w:pPr>
              <w:pStyle w:val="TableParagraph"/>
              <w:ind w:left="105" w:right="106"/>
              <w:rPr>
                <w:sz w:val="24"/>
              </w:rPr>
            </w:pPr>
            <w:r>
              <w:rPr>
                <w:spacing w:val="-2"/>
                <w:sz w:val="24"/>
              </w:rPr>
              <w:t>365.08</w:t>
            </w:r>
          </w:p>
        </w:tc>
        <w:tc>
          <w:tcPr>
            <w:tcW w:w="1256" w:type="dxa"/>
          </w:tcPr>
          <w:p>
            <w:pPr>
              <w:pStyle w:val="TableParagraph"/>
              <w:ind w:left="108" w:right="109"/>
              <w:rPr>
                <w:sz w:val="24"/>
              </w:rPr>
            </w:pPr>
            <w:r>
              <w:rPr>
                <w:spacing w:val="-4"/>
                <w:sz w:val="24"/>
              </w:rPr>
              <w:t>0.95</w:t>
            </w:r>
          </w:p>
        </w:tc>
        <w:tc>
          <w:tcPr>
            <w:tcW w:w="957" w:type="dxa"/>
          </w:tcPr>
          <w:p>
            <w:pPr>
              <w:pStyle w:val="TableParagraph"/>
              <w:ind w:left="104" w:right="106"/>
              <w:rPr>
                <w:sz w:val="24"/>
              </w:rPr>
            </w:pPr>
            <w:r>
              <w:rPr>
                <w:spacing w:val="-4"/>
                <w:sz w:val="24"/>
              </w:rPr>
              <w:t>6.30</w:t>
            </w:r>
          </w:p>
        </w:tc>
        <w:tc>
          <w:tcPr>
            <w:tcW w:w="897" w:type="dxa"/>
          </w:tcPr>
          <w:p>
            <w:pPr>
              <w:pStyle w:val="TableParagraph"/>
              <w:ind w:left="102" w:right="105"/>
              <w:rPr>
                <w:sz w:val="24"/>
              </w:rPr>
            </w:pPr>
            <w:r>
              <w:rPr>
                <w:spacing w:val="-4"/>
                <w:sz w:val="24"/>
              </w:rPr>
              <w:t>7.90</w:t>
            </w:r>
          </w:p>
        </w:tc>
        <w:tc>
          <w:tcPr>
            <w:tcW w:w="897" w:type="dxa"/>
          </w:tcPr>
          <w:p>
            <w:pPr>
              <w:pStyle w:val="TableParagraph"/>
              <w:ind w:left="102" w:right="106"/>
              <w:rPr>
                <w:sz w:val="24"/>
              </w:rPr>
            </w:pPr>
            <w:r>
              <w:rPr>
                <w:spacing w:val="-2"/>
                <w:sz w:val="24"/>
              </w:rPr>
              <w:t>15.67</w:t>
            </w:r>
          </w:p>
        </w:tc>
      </w:tr>
      <w:tr>
        <w:trPr>
          <w:trHeight w:val="288" w:hRule="atLeast"/>
        </w:trPr>
        <w:tc>
          <w:tcPr>
            <w:tcW w:w="1220" w:type="dxa"/>
          </w:tcPr>
          <w:p>
            <w:pPr>
              <w:pStyle w:val="TableParagraph"/>
              <w:ind w:left="191"/>
              <w:jc w:val="left"/>
              <w:rPr>
                <w:sz w:val="24"/>
              </w:rPr>
            </w:pPr>
            <w:r>
              <w:rPr>
                <w:sz w:val="24"/>
              </w:rPr>
              <w:t>(70,</w:t>
            </w:r>
            <w:r>
              <w:rPr>
                <w:spacing w:val="-6"/>
                <w:sz w:val="24"/>
              </w:rPr>
              <w:t> </w:t>
            </w:r>
            <w:r>
              <w:rPr>
                <w:sz w:val="24"/>
              </w:rPr>
              <w:t>-</w:t>
            </w:r>
            <w:r>
              <w:rPr>
                <w:spacing w:val="-5"/>
                <w:sz w:val="24"/>
              </w:rPr>
              <w:t>10)</w:t>
            </w:r>
          </w:p>
        </w:tc>
        <w:tc>
          <w:tcPr>
            <w:tcW w:w="1017" w:type="dxa"/>
          </w:tcPr>
          <w:p>
            <w:pPr>
              <w:pStyle w:val="TableParagraph"/>
              <w:ind w:left="105" w:right="106"/>
              <w:rPr>
                <w:sz w:val="24"/>
              </w:rPr>
            </w:pPr>
            <w:r>
              <w:rPr>
                <w:spacing w:val="-2"/>
                <w:sz w:val="24"/>
              </w:rPr>
              <w:t>230.12</w:t>
            </w:r>
          </w:p>
        </w:tc>
        <w:tc>
          <w:tcPr>
            <w:tcW w:w="1256" w:type="dxa"/>
          </w:tcPr>
          <w:p>
            <w:pPr>
              <w:pStyle w:val="TableParagraph"/>
              <w:ind w:left="108" w:right="109"/>
              <w:rPr>
                <w:sz w:val="24"/>
              </w:rPr>
            </w:pPr>
            <w:r>
              <w:rPr>
                <w:spacing w:val="-4"/>
                <w:sz w:val="24"/>
              </w:rPr>
              <w:t>0.77</w:t>
            </w:r>
          </w:p>
        </w:tc>
        <w:tc>
          <w:tcPr>
            <w:tcW w:w="957" w:type="dxa"/>
          </w:tcPr>
          <w:p>
            <w:pPr>
              <w:pStyle w:val="TableParagraph"/>
              <w:ind w:left="104" w:right="106"/>
              <w:rPr>
                <w:sz w:val="24"/>
              </w:rPr>
            </w:pPr>
            <w:r>
              <w:rPr>
                <w:spacing w:val="-4"/>
                <w:sz w:val="24"/>
              </w:rPr>
              <w:t>1.28</w:t>
            </w:r>
          </w:p>
        </w:tc>
        <w:tc>
          <w:tcPr>
            <w:tcW w:w="897" w:type="dxa"/>
          </w:tcPr>
          <w:p>
            <w:pPr>
              <w:pStyle w:val="TableParagraph"/>
              <w:ind w:left="102" w:right="105"/>
              <w:rPr>
                <w:sz w:val="24"/>
              </w:rPr>
            </w:pPr>
            <w:r>
              <w:rPr>
                <w:spacing w:val="-4"/>
                <w:sz w:val="24"/>
              </w:rPr>
              <w:t>5.40</w:t>
            </w:r>
          </w:p>
        </w:tc>
        <w:tc>
          <w:tcPr>
            <w:tcW w:w="897" w:type="dxa"/>
          </w:tcPr>
          <w:p>
            <w:pPr>
              <w:pStyle w:val="TableParagraph"/>
              <w:ind w:left="102" w:right="106"/>
              <w:rPr>
                <w:sz w:val="24"/>
              </w:rPr>
            </w:pPr>
            <w:r>
              <w:rPr>
                <w:spacing w:val="-4"/>
                <w:sz w:val="24"/>
              </w:rPr>
              <w:t>6.11</w:t>
            </w:r>
          </w:p>
        </w:tc>
      </w:tr>
      <w:tr>
        <w:trPr>
          <w:trHeight w:val="288" w:hRule="atLeast"/>
        </w:trPr>
        <w:tc>
          <w:tcPr>
            <w:tcW w:w="1220" w:type="dxa"/>
          </w:tcPr>
          <w:p>
            <w:pPr>
              <w:pStyle w:val="TableParagraph"/>
              <w:ind w:left="261"/>
              <w:jc w:val="left"/>
              <w:rPr>
                <w:sz w:val="24"/>
              </w:rPr>
            </w:pPr>
            <w:r>
              <w:rPr>
                <w:sz w:val="24"/>
              </w:rPr>
              <w:t>(</w:t>
            </w:r>
            <w:r>
              <w:rPr>
                <w:spacing w:val="-3"/>
                <w:sz w:val="24"/>
              </w:rPr>
              <w:t> </w:t>
            </w:r>
            <w:r>
              <w:rPr>
                <w:sz w:val="24"/>
              </w:rPr>
              <w:t>0,</w:t>
            </w:r>
            <w:r>
              <w:rPr>
                <w:spacing w:val="-2"/>
                <w:sz w:val="24"/>
              </w:rPr>
              <w:t> </w:t>
            </w:r>
            <w:r>
              <w:rPr>
                <w:spacing w:val="-5"/>
                <w:sz w:val="24"/>
              </w:rPr>
              <w:t>20)</w:t>
            </w:r>
          </w:p>
        </w:tc>
        <w:tc>
          <w:tcPr>
            <w:tcW w:w="1017" w:type="dxa"/>
          </w:tcPr>
          <w:p>
            <w:pPr>
              <w:pStyle w:val="TableParagraph"/>
              <w:ind w:left="105" w:right="106"/>
              <w:rPr>
                <w:sz w:val="24"/>
              </w:rPr>
            </w:pPr>
            <w:r>
              <w:rPr>
                <w:spacing w:val="-2"/>
                <w:sz w:val="24"/>
              </w:rPr>
              <w:t>371.56</w:t>
            </w:r>
          </w:p>
        </w:tc>
        <w:tc>
          <w:tcPr>
            <w:tcW w:w="1256" w:type="dxa"/>
          </w:tcPr>
          <w:p>
            <w:pPr>
              <w:pStyle w:val="TableParagraph"/>
              <w:ind w:left="108" w:right="109"/>
              <w:rPr>
                <w:sz w:val="24"/>
              </w:rPr>
            </w:pPr>
            <w:r>
              <w:rPr>
                <w:spacing w:val="-4"/>
                <w:sz w:val="24"/>
              </w:rPr>
              <w:t>2.28</w:t>
            </w:r>
          </w:p>
        </w:tc>
        <w:tc>
          <w:tcPr>
            <w:tcW w:w="957" w:type="dxa"/>
          </w:tcPr>
          <w:p>
            <w:pPr>
              <w:pStyle w:val="TableParagraph"/>
              <w:ind w:left="104" w:right="106"/>
              <w:rPr>
                <w:sz w:val="24"/>
              </w:rPr>
            </w:pPr>
            <w:r>
              <w:rPr>
                <w:spacing w:val="-4"/>
                <w:sz w:val="24"/>
              </w:rPr>
              <w:t>1.87</w:t>
            </w:r>
          </w:p>
        </w:tc>
        <w:tc>
          <w:tcPr>
            <w:tcW w:w="897" w:type="dxa"/>
          </w:tcPr>
          <w:p>
            <w:pPr>
              <w:pStyle w:val="TableParagraph"/>
              <w:ind w:left="102" w:right="105"/>
              <w:rPr>
                <w:sz w:val="24"/>
              </w:rPr>
            </w:pPr>
            <w:r>
              <w:rPr>
                <w:spacing w:val="-4"/>
                <w:sz w:val="24"/>
              </w:rPr>
              <w:t>7.08</w:t>
            </w:r>
          </w:p>
        </w:tc>
        <w:tc>
          <w:tcPr>
            <w:tcW w:w="897" w:type="dxa"/>
          </w:tcPr>
          <w:p>
            <w:pPr>
              <w:pStyle w:val="TableParagraph"/>
              <w:ind w:left="102" w:right="106"/>
              <w:rPr>
                <w:sz w:val="24"/>
              </w:rPr>
            </w:pPr>
            <w:r>
              <w:rPr>
                <w:spacing w:val="-2"/>
                <w:sz w:val="24"/>
              </w:rPr>
              <w:t>27.40</w:t>
            </w:r>
          </w:p>
        </w:tc>
      </w:tr>
      <w:tr>
        <w:trPr>
          <w:trHeight w:val="288" w:hRule="atLeast"/>
        </w:trPr>
        <w:tc>
          <w:tcPr>
            <w:tcW w:w="1220" w:type="dxa"/>
          </w:tcPr>
          <w:p>
            <w:pPr>
              <w:pStyle w:val="TableParagraph"/>
              <w:ind w:left="231"/>
              <w:jc w:val="left"/>
              <w:rPr>
                <w:sz w:val="24"/>
              </w:rPr>
            </w:pPr>
            <w:r>
              <w:rPr>
                <w:sz w:val="24"/>
              </w:rPr>
              <w:t>(20,</w:t>
            </w:r>
            <w:r>
              <w:rPr>
                <w:spacing w:val="-5"/>
                <w:sz w:val="24"/>
              </w:rPr>
              <w:t> 20)</w:t>
            </w:r>
          </w:p>
        </w:tc>
        <w:tc>
          <w:tcPr>
            <w:tcW w:w="1017" w:type="dxa"/>
          </w:tcPr>
          <w:p>
            <w:pPr>
              <w:pStyle w:val="TableParagraph"/>
              <w:ind w:left="105" w:right="106"/>
              <w:rPr>
                <w:sz w:val="24"/>
              </w:rPr>
            </w:pPr>
            <w:r>
              <w:rPr>
                <w:spacing w:val="-2"/>
                <w:sz w:val="24"/>
              </w:rPr>
              <w:t>1559.21</w:t>
            </w:r>
          </w:p>
        </w:tc>
        <w:tc>
          <w:tcPr>
            <w:tcW w:w="1256" w:type="dxa"/>
          </w:tcPr>
          <w:p>
            <w:pPr>
              <w:pStyle w:val="TableParagraph"/>
              <w:ind w:left="108" w:right="109"/>
              <w:rPr>
                <w:sz w:val="24"/>
              </w:rPr>
            </w:pPr>
            <w:r>
              <w:rPr>
                <w:spacing w:val="-4"/>
                <w:sz w:val="24"/>
              </w:rPr>
              <w:t>2.73</w:t>
            </w:r>
          </w:p>
        </w:tc>
        <w:tc>
          <w:tcPr>
            <w:tcW w:w="957" w:type="dxa"/>
          </w:tcPr>
          <w:p>
            <w:pPr>
              <w:pStyle w:val="TableParagraph"/>
              <w:ind w:left="104" w:right="107"/>
              <w:rPr>
                <w:sz w:val="24"/>
              </w:rPr>
            </w:pPr>
            <w:r>
              <w:rPr>
                <w:spacing w:val="-2"/>
                <w:sz w:val="24"/>
              </w:rPr>
              <w:t>14.96</w:t>
            </w:r>
          </w:p>
        </w:tc>
        <w:tc>
          <w:tcPr>
            <w:tcW w:w="897" w:type="dxa"/>
          </w:tcPr>
          <w:p>
            <w:pPr>
              <w:pStyle w:val="TableParagraph"/>
              <w:ind w:left="102" w:right="105"/>
              <w:rPr>
                <w:sz w:val="24"/>
              </w:rPr>
            </w:pPr>
            <w:r>
              <w:rPr>
                <w:spacing w:val="-2"/>
                <w:sz w:val="24"/>
              </w:rPr>
              <w:t>28.85</w:t>
            </w:r>
          </w:p>
        </w:tc>
        <w:tc>
          <w:tcPr>
            <w:tcW w:w="897" w:type="dxa"/>
          </w:tcPr>
          <w:p>
            <w:pPr>
              <w:pStyle w:val="TableParagraph"/>
              <w:ind w:left="102" w:right="106"/>
              <w:rPr>
                <w:sz w:val="24"/>
              </w:rPr>
            </w:pPr>
            <w:r>
              <w:rPr>
                <w:spacing w:val="-2"/>
                <w:sz w:val="24"/>
              </w:rPr>
              <w:t>86.65</w:t>
            </w:r>
          </w:p>
        </w:tc>
      </w:tr>
      <w:tr>
        <w:trPr>
          <w:trHeight w:val="288" w:hRule="atLeast"/>
        </w:trPr>
        <w:tc>
          <w:tcPr>
            <w:tcW w:w="1220" w:type="dxa"/>
          </w:tcPr>
          <w:p>
            <w:pPr>
              <w:pStyle w:val="TableParagraph"/>
              <w:ind w:left="231"/>
              <w:jc w:val="left"/>
              <w:rPr>
                <w:sz w:val="24"/>
              </w:rPr>
            </w:pPr>
            <w:r>
              <w:rPr>
                <w:sz w:val="24"/>
              </w:rPr>
              <w:t>(35,</w:t>
            </w:r>
            <w:r>
              <w:rPr>
                <w:spacing w:val="-5"/>
                <w:sz w:val="24"/>
              </w:rPr>
              <w:t> 20)</w:t>
            </w:r>
          </w:p>
        </w:tc>
        <w:tc>
          <w:tcPr>
            <w:tcW w:w="1017" w:type="dxa"/>
          </w:tcPr>
          <w:p>
            <w:pPr>
              <w:pStyle w:val="TableParagraph"/>
              <w:ind w:left="105" w:right="106"/>
              <w:rPr>
                <w:sz w:val="24"/>
              </w:rPr>
            </w:pPr>
            <w:r>
              <w:rPr>
                <w:spacing w:val="-2"/>
                <w:sz w:val="24"/>
              </w:rPr>
              <w:t>2815.84</w:t>
            </w:r>
          </w:p>
        </w:tc>
        <w:tc>
          <w:tcPr>
            <w:tcW w:w="1256" w:type="dxa"/>
          </w:tcPr>
          <w:p>
            <w:pPr>
              <w:pStyle w:val="TableParagraph"/>
              <w:ind w:left="108" w:right="109"/>
              <w:rPr>
                <w:sz w:val="24"/>
              </w:rPr>
            </w:pPr>
            <w:r>
              <w:rPr>
                <w:spacing w:val="-4"/>
                <w:sz w:val="24"/>
              </w:rPr>
              <w:t>6.64</w:t>
            </w:r>
          </w:p>
        </w:tc>
        <w:tc>
          <w:tcPr>
            <w:tcW w:w="957" w:type="dxa"/>
          </w:tcPr>
          <w:p>
            <w:pPr>
              <w:pStyle w:val="TableParagraph"/>
              <w:ind w:left="104" w:right="107"/>
              <w:rPr>
                <w:sz w:val="24"/>
              </w:rPr>
            </w:pPr>
            <w:r>
              <w:rPr>
                <w:spacing w:val="-2"/>
                <w:sz w:val="24"/>
              </w:rPr>
              <w:t>44.81</w:t>
            </w:r>
          </w:p>
        </w:tc>
        <w:tc>
          <w:tcPr>
            <w:tcW w:w="897" w:type="dxa"/>
          </w:tcPr>
          <w:p>
            <w:pPr>
              <w:pStyle w:val="TableParagraph"/>
              <w:ind w:left="102" w:right="105"/>
              <w:rPr>
                <w:sz w:val="24"/>
              </w:rPr>
            </w:pPr>
            <w:r>
              <w:rPr>
                <w:spacing w:val="-2"/>
                <w:sz w:val="24"/>
              </w:rPr>
              <w:t>67.00</w:t>
            </w:r>
          </w:p>
        </w:tc>
        <w:tc>
          <w:tcPr>
            <w:tcW w:w="897" w:type="dxa"/>
          </w:tcPr>
          <w:p>
            <w:pPr>
              <w:pStyle w:val="TableParagraph"/>
              <w:ind w:left="102" w:right="106"/>
              <w:rPr>
                <w:sz w:val="24"/>
              </w:rPr>
            </w:pPr>
            <w:r>
              <w:rPr>
                <w:spacing w:val="-2"/>
                <w:sz w:val="24"/>
              </w:rPr>
              <w:t>168.66</w:t>
            </w:r>
          </w:p>
        </w:tc>
      </w:tr>
      <w:tr>
        <w:trPr>
          <w:trHeight w:val="288" w:hRule="atLeast"/>
        </w:trPr>
        <w:tc>
          <w:tcPr>
            <w:tcW w:w="1220" w:type="dxa"/>
          </w:tcPr>
          <w:p>
            <w:pPr>
              <w:pStyle w:val="TableParagraph"/>
              <w:ind w:left="231"/>
              <w:jc w:val="left"/>
              <w:rPr>
                <w:sz w:val="24"/>
              </w:rPr>
            </w:pPr>
            <w:r>
              <w:rPr>
                <w:sz w:val="24"/>
              </w:rPr>
              <w:t>(50,</w:t>
            </w:r>
            <w:r>
              <w:rPr>
                <w:spacing w:val="-5"/>
                <w:sz w:val="24"/>
              </w:rPr>
              <w:t> 20)</w:t>
            </w:r>
          </w:p>
        </w:tc>
        <w:tc>
          <w:tcPr>
            <w:tcW w:w="1017" w:type="dxa"/>
          </w:tcPr>
          <w:p>
            <w:pPr>
              <w:pStyle w:val="TableParagraph"/>
              <w:ind w:left="105" w:right="106"/>
              <w:rPr>
                <w:sz w:val="24"/>
              </w:rPr>
            </w:pPr>
            <w:r>
              <w:rPr>
                <w:spacing w:val="-2"/>
                <w:sz w:val="24"/>
              </w:rPr>
              <w:t>1599.20</w:t>
            </w:r>
          </w:p>
        </w:tc>
        <w:tc>
          <w:tcPr>
            <w:tcW w:w="1256" w:type="dxa"/>
          </w:tcPr>
          <w:p>
            <w:pPr>
              <w:pStyle w:val="TableParagraph"/>
              <w:ind w:left="108" w:right="109"/>
              <w:rPr>
                <w:sz w:val="24"/>
              </w:rPr>
            </w:pPr>
            <w:r>
              <w:rPr>
                <w:spacing w:val="-4"/>
                <w:sz w:val="24"/>
              </w:rPr>
              <w:t>1.03</w:t>
            </w:r>
          </w:p>
        </w:tc>
        <w:tc>
          <w:tcPr>
            <w:tcW w:w="957" w:type="dxa"/>
          </w:tcPr>
          <w:p>
            <w:pPr>
              <w:pStyle w:val="TableParagraph"/>
              <w:ind w:left="104" w:right="107"/>
              <w:rPr>
                <w:sz w:val="24"/>
              </w:rPr>
            </w:pPr>
            <w:r>
              <w:rPr>
                <w:spacing w:val="-2"/>
                <w:sz w:val="24"/>
              </w:rPr>
              <w:t>22.07</w:t>
            </w:r>
          </w:p>
        </w:tc>
        <w:tc>
          <w:tcPr>
            <w:tcW w:w="897" w:type="dxa"/>
          </w:tcPr>
          <w:p>
            <w:pPr>
              <w:pStyle w:val="TableParagraph"/>
              <w:ind w:left="102" w:right="105"/>
              <w:rPr>
                <w:sz w:val="24"/>
              </w:rPr>
            </w:pPr>
            <w:r>
              <w:rPr>
                <w:spacing w:val="-2"/>
                <w:sz w:val="24"/>
              </w:rPr>
              <w:t>25.46</w:t>
            </w:r>
          </w:p>
        </w:tc>
        <w:tc>
          <w:tcPr>
            <w:tcW w:w="897" w:type="dxa"/>
          </w:tcPr>
          <w:p>
            <w:pPr>
              <w:pStyle w:val="TableParagraph"/>
              <w:ind w:left="102" w:right="106"/>
              <w:rPr>
                <w:sz w:val="24"/>
              </w:rPr>
            </w:pPr>
            <w:r>
              <w:rPr>
                <w:spacing w:val="-2"/>
                <w:sz w:val="24"/>
              </w:rPr>
              <w:t>94.59</w:t>
            </w:r>
          </w:p>
        </w:tc>
      </w:tr>
      <w:tr>
        <w:trPr>
          <w:trHeight w:val="288" w:hRule="atLeast"/>
        </w:trPr>
        <w:tc>
          <w:tcPr>
            <w:tcW w:w="1220" w:type="dxa"/>
          </w:tcPr>
          <w:p>
            <w:pPr>
              <w:pStyle w:val="TableParagraph"/>
              <w:ind w:left="231"/>
              <w:jc w:val="left"/>
              <w:rPr>
                <w:sz w:val="24"/>
              </w:rPr>
            </w:pPr>
            <w:r>
              <w:rPr>
                <w:sz w:val="24"/>
              </w:rPr>
              <w:t>(70,</w:t>
            </w:r>
            <w:r>
              <w:rPr>
                <w:spacing w:val="-5"/>
                <w:sz w:val="24"/>
              </w:rPr>
              <w:t> 20)</w:t>
            </w:r>
          </w:p>
        </w:tc>
        <w:tc>
          <w:tcPr>
            <w:tcW w:w="1017" w:type="dxa"/>
          </w:tcPr>
          <w:p>
            <w:pPr>
              <w:pStyle w:val="TableParagraph"/>
              <w:ind w:left="105" w:right="106"/>
              <w:rPr>
                <w:sz w:val="24"/>
              </w:rPr>
            </w:pPr>
            <w:r>
              <w:rPr>
                <w:spacing w:val="-2"/>
                <w:sz w:val="24"/>
              </w:rPr>
              <w:t>393.10</w:t>
            </w:r>
          </w:p>
        </w:tc>
        <w:tc>
          <w:tcPr>
            <w:tcW w:w="1256" w:type="dxa"/>
          </w:tcPr>
          <w:p>
            <w:pPr>
              <w:pStyle w:val="TableParagraph"/>
              <w:ind w:left="108" w:right="109"/>
              <w:rPr>
                <w:sz w:val="24"/>
              </w:rPr>
            </w:pPr>
            <w:r>
              <w:rPr>
                <w:spacing w:val="-4"/>
                <w:sz w:val="24"/>
              </w:rPr>
              <w:t>0.73</w:t>
            </w:r>
          </w:p>
        </w:tc>
        <w:tc>
          <w:tcPr>
            <w:tcW w:w="957" w:type="dxa"/>
          </w:tcPr>
          <w:p>
            <w:pPr>
              <w:pStyle w:val="TableParagraph"/>
              <w:ind w:left="104" w:right="107"/>
              <w:rPr>
                <w:sz w:val="24"/>
              </w:rPr>
            </w:pPr>
            <w:r>
              <w:rPr>
                <w:spacing w:val="-4"/>
                <w:sz w:val="24"/>
              </w:rPr>
              <w:t>1.75</w:t>
            </w:r>
          </w:p>
        </w:tc>
        <w:tc>
          <w:tcPr>
            <w:tcW w:w="897" w:type="dxa"/>
          </w:tcPr>
          <w:p>
            <w:pPr>
              <w:pStyle w:val="TableParagraph"/>
              <w:ind w:left="102" w:right="105"/>
              <w:rPr>
                <w:sz w:val="24"/>
              </w:rPr>
            </w:pPr>
            <w:r>
              <w:rPr>
                <w:spacing w:val="-4"/>
                <w:sz w:val="24"/>
              </w:rPr>
              <w:t>6.92</w:t>
            </w:r>
          </w:p>
        </w:tc>
        <w:tc>
          <w:tcPr>
            <w:tcW w:w="897" w:type="dxa"/>
          </w:tcPr>
          <w:p>
            <w:pPr>
              <w:pStyle w:val="TableParagraph"/>
              <w:ind w:left="102" w:right="106"/>
              <w:rPr>
                <w:sz w:val="24"/>
              </w:rPr>
            </w:pPr>
            <w:r>
              <w:rPr>
                <w:spacing w:val="-2"/>
                <w:sz w:val="24"/>
              </w:rPr>
              <w:t>35.35</w:t>
            </w:r>
          </w:p>
        </w:tc>
      </w:tr>
      <w:tr>
        <w:trPr>
          <w:trHeight w:val="288" w:hRule="atLeast"/>
        </w:trPr>
        <w:tc>
          <w:tcPr>
            <w:tcW w:w="1220" w:type="dxa"/>
          </w:tcPr>
          <w:p>
            <w:pPr>
              <w:pStyle w:val="TableParagraph"/>
              <w:ind w:left="261"/>
              <w:jc w:val="left"/>
              <w:rPr>
                <w:sz w:val="24"/>
              </w:rPr>
            </w:pPr>
            <w:r>
              <w:rPr>
                <w:sz w:val="24"/>
              </w:rPr>
              <w:t>(</w:t>
            </w:r>
            <w:r>
              <w:rPr>
                <w:spacing w:val="-3"/>
                <w:sz w:val="24"/>
              </w:rPr>
              <w:t> </w:t>
            </w:r>
            <w:r>
              <w:rPr>
                <w:sz w:val="24"/>
              </w:rPr>
              <w:t>0,</w:t>
            </w:r>
            <w:r>
              <w:rPr>
                <w:spacing w:val="-2"/>
                <w:sz w:val="24"/>
              </w:rPr>
              <w:t> </w:t>
            </w:r>
            <w:r>
              <w:rPr>
                <w:spacing w:val="-5"/>
                <w:sz w:val="24"/>
              </w:rPr>
              <w:t>35)</w:t>
            </w:r>
          </w:p>
        </w:tc>
        <w:tc>
          <w:tcPr>
            <w:tcW w:w="1017" w:type="dxa"/>
          </w:tcPr>
          <w:p>
            <w:pPr>
              <w:pStyle w:val="TableParagraph"/>
              <w:ind w:left="105" w:right="106"/>
              <w:rPr>
                <w:sz w:val="24"/>
              </w:rPr>
            </w:pPr>
            <w:r>
              <w:rPr>
                <w:spacing w:val="-2"/>
                <w:sz w:val="24"/>
              </w:rPr>
              <w:t>373.60</w:t>
            </w:r>
          </w:p>
        </w:tc>
        <w:tc>
          <w:tcPr>
            <w:tcW w:w="1256" w:type="dxa"/>
          </w:tcPr>
          <w:p>
            <w:pPr>
              <w:pStyle w:val="TableParagraph"/>
              <w:ind w:left="108" w:right="109"/>
              <w:rPr>
                <w:sz w:val="24"/>
              </w:rPr>
            </w:pPr>
            <w:r>
              <w:rPr>
                <w:spacing w:val="-4"/>
                <w:sz w:val="24"/>
              </w:rPr>
              <w:t>2.10</w:t>
            </w:r>
          </w:p>
        </w:tc>
        <w:tc>
          <w:tcPr>
            <w:tcW w:w="957" w:type="dxa"/>
          </w:tcPr>
          <w:p>
            <w:pPr>
              <w:pStyle w:val="TableParagraph"/>
              <w:ind w:left="104" w:right="106"/>
              <w:rPr>
                <w:sz w:val="24"/>
              </w:rPr>
            </w:pPr>
            <w:r>
              <w:rPr>
                <w:spacing w:val="-4"/>
                <w:sz w:val="24"/>
              </w:rPr>
              <w:t>5.30</w:t>
            </w:r>
          </w:p>
        </w:tc>
        <w:tc>
          <w:tcPr>
            <w:tcW w:w="897" w:type="dxa"/>
          </w:tcPr>
          <w:p>
            <w:pPr>
              <w:pStyle w:val="TableParagraph"/>
              <w:ind w:left="102" w:right="105"/>
              <w:rPr>
                <w:sz w:val="24"/>
              </w:rPr>
            </w:pPr>
            <w:r>
              <w:rPr>
                <w:spacing w:val="-4"/>
                <w:sz w:val="24"/>
              </w:rPr>
              <w:t>6.51</w:t>
            </w:r>
          </w:p>
        </w:tc>
        <w:tc>
          <w:tcPr>
            <w:tcW w:w="897" w:type="dxa"/>
          </w:tcPr>
          <w:p>
            <w:pPr>
              <w:pStyle w:val="TableParagraph"/>
              <w:ind w:left="102" w:right="106"/>
              <w:rPr>
                <w:sz w:val="24"/>
              </w:rPr>
            </w:pPr>
            <w:r>
              <w:rPr>
                <w:spacing w:val="-2"/>
                <w:sz w:val="24"/>
              </w:rPr>
              <w:t>33.39</w:t>
            </w:r>
          </w:p>
        </w:tc>
      </w:tr>
      <w:tr>
        <w:trPr>
          <w:trHeight w:val="288" w:hRule="atLeast"/>
        </w:trPr>
        <w:tc>
          <w:tcPr>
            <w:tcW w:w="1220" w:type="dxa"/>
          </w:tcPr>
          <w:p>
            <w:pPr>
              <w:pStyle w:val="TableParagraph"/>
              <w:ind w:left="231"/>
              <w:jc w:val="left"/>
              <w:rPr>
                <w:sz w:val="24"/>
              </w:rPr>
            </w:pPr>
            <w:r>
              <w:rPr>
                <w:sz w:val="24"/>
              </w:rPr>
              <w:t>(20,</w:t>
            </w:r>
            <w:r>
              <w:rPr>
                <w:spacing w:val="-5"/>
                <w:sz w:val="24"/>
              </w:rPr>
              <w:t> 35)</w:t>
            </w:r>
          </w:p>
        </w:tc>
        <w:tc>
          <w:tcPr>
            <w:tcW w:w="1017" w:type="dxa"/>
          </w:tcPr>
          <w:p>
            <w:pPr>
              <w:pStyle w:val="TableParagraph"/>
              <w:ind w:left="105" w:right="106"/>
              <w:rPr>
                <w:sz w:val="24"/>
              </w:rPr>
            </w:pPr>
            <w:r>
              <w:rPr>
                <w:spacing w:val="-2"/>
                <w:sz w:val="24"/>
              </w:rPr>
              <w:t>1707.17</w:t>
            </w:r>
          </w:p>
        </w:tc>
        <w:tc>
          <w:tcPr>
            <w:tcW w:w="1256" w:type="dxa"/>
          </w:tcPr>
          <w:p>
            <w:pPr>
              <w:pStyle w:val="TableParagraph"/>
              <w:ind w:left="108" w:right="109"/>
              <w:rPr>
                <w:sz w:val="24"/>
              </w:rPr>
            </w:pPr>
            <w:r>
              <w:rPr>
                <w:spacing w:val="-4"/>
                <w:sz w:val="24"/>
              </w:rPr>
              <w:t>2.05</w:t>
            </w:r>
          </w:p>
        </w:tc>
        <w:tc>
          <w:tcPr>
            <w:tcW w:w="957" w:type="dxa"/>
          </w:tcPr>
          <w:p>
            <w:pPr>
              <w:pStyle w:val="TableParagraph"/>
              <w:ind w:left="104" w:right="107"/>
              <w:rPr>
                <w:sz w:val="24"/>
              </w:rPr>
            </w:pPr>
            <w:r>
              <w:rPr>
                <w:spacing w:val="-2"/>
                <w:sz w:val="24"/>
              </w:rPr>
              <w:t>18.37</w:t>
            </w:r>
          </w:p>
        </w:tc>
        <w:tc>
          <w:tcPr>
            <w:tcW w:w="897" w:type="dxa"/>
          </w:tcPr>
          <w:p>
            <w:pPr>
              <w:pStyle w:val="TableParagraph"/>
              <w:ind w:left="102" w:right="105"/>
              <w:rPr>
                <w:sz w:val="24"/>
              </w:rPr>
            </w:pPr>
            <w:r>
              <w:rPr>
                <w:spacing w:val="-2"/>
                <w:sz w:val="24"/>
              </w:rPr>
              <w:t>30.07</w:t>
            </w:r>
          </w:p>
        </w:tc>
        <w:tc>
          <w:tcPr>
            <w:tcW w:w="897" w:type="dxa"/>
          </w:tcPr>
          <w:p>
            <w:pPr>
              <w:pStyle w:val="TableParagraph"/>
              <w:ind w:left="102" w:right="106"/>
              <w:rPr>
                <w:sz w:val="24"/>
              </w:rPr>
            </w:pPr>
            <w:r>
              <w:rPr>
                <w:spacing w:val="-2"/>
                <w:sz w:val="24"/>
              </w:rPr>
              <w:t>121.44</w:t>
            </w:r>
          </w:p>
        </w:tc>
      </w:tr>
      <w:tr>
        <w:trPr>
          <w:trHeight w:val="288" w:hRule="atLeast"/>
        </w:trPr>
        <w:tc>
          <w:tcPr>
            <w:tcW w:w="1220" w:type="dxa"/>
          </w:tcPr>
          <w:p>
            <w:pPr>
              <w:pStyle w:val="TableParagraph"/>
              <w:ind w:left="231"/>
              <w:jc w:val="left"/>
              <w:rPr>
                <w:sz w:val="24"/>
              </w:rPr>
            </w:pPr>
            <w:r>
              <w:rPr>
                <w:sz w:val="24"/>
              </w:rPr>
              <w:t>(35,</w:t>
            </w:r>
            <w:r>
              <w:rPr>
                <w:spacing w:val="-5"/>
                <w:sz w:val="24"/>
              </w:rPr>
              <w:t> 35)</w:t>
            </w:r>
          </w:p>
        </w:tc>
        <w:tc>
          <w:tcPr>
            <w:tcW w:w="1017" w:type="dxa"/>
          </w:tcPr>
          <w:p>
            <w:pPr>
              <w:pStyle w:val="TableParagraph"/>
              <w:ind w:left="105" w:right="106"/>
              <w:rPr>
                <w:sz w:val="24"/>
              </w:rPr>
            </w:pPr>
            <w:r>
              <w:rPr>
                <w:spacing w:val="-2"/>
                <w:sz w:val="24"/>
              </w:rPr>
              <w:t>2636.37</w:t>
            </w:r>
          </w:p>
        </w:tc>
        <w:tc>
          <w:tcPr>
            <w:tcW w:w="1256" w:type="dxa"/>
          </w:tcPr>
          <w:p>
            <w:pPr>
              <w:pStyle w:val="TableParagraph"/>
              <w:ind w:left="108" w:right="109"/>
              <w:rPr>
                <w:sz w:val="24"/>
              </w:rPr>
            </w:pPr>
            <w:r>
              <w:rPr>
                <w:spacing w:val="-4"/>
                <w:sz w:val="24"/>
              </w:rPr>
              <w:t>8.50</w:t>
            </w:r>
          </w:p>
        </w:tc>
        <w:tc>
          <w:tcPr>
            <w:tcW w:w="957" w:type="dxa"/>
          </w:tcPr>
          <w:p>
            <w:pPr>
              <w:pStyle w:val="TableParagraph"/>
              <w:ind w:left="104" w:right="107"/>
              <w:rPr>
                <w:sz w:val="24"/>
              </w:rPr>
            </w:pPr>
            <w:r>
              <w:rPr>
                <w:spacing w:val="-2"/>
                <w:sz w:val="24"/>
              </w:rPr>
              <w:t>24.50</w:t>
            </w:r>
          </w:p>
        </w:tc>
        <w:tc>
          <w:tcPr>
            <w:tcW w:w="897" w:type="dxa"/>
          </w:tcPr>
          <w:p>
            <w:pPr>
              <w:pStyle w:val="TableParagraph"/>
              <w:ind w:left="102" w:right="105"/>
              <w:rPr>
                <w:sz w:val="24"/>
              </w:rPr>
            </w:pPr>
            <w:r>
              <w:rPr>
                <w:spacing w:val="-2"/>
                <w:sz w:val="24"/>
              </w:rPr>
              <w:t>59.31</w:t>
            </w:r>
          </w:p>
        </w:tc>
        <w:tc>
          <w:tcPr>
            <w:tcW w:w="897" w:type="dxa"/>
          </w:tcPr>
          <w:p>
            <w:pPr>
              <w:pStyle w:val="TableParagraph"/>
              <w:ind w:left="102" w:right="106"/>
              <w:rPr>
                <w:sz w:val="24"/>
              </w:rPr>
            </w:pPr>
            <w:r>
              <w:rPr>
                <w:spacing w:val="-2"/>
                <w:sz w:val="24"/>
              </w:rPr>
              <w:t>162.86</w:t>
            </w:r>
          </w:p>
        </w:tc>
      </w:tr>
      <w:tr>
        <w:trPr>
          <w:trHeight w:val="288" w:hRule="atLeast"/>
        </w:trPr>
        <w:tc>
          <w:tcPr>
            <w:tcW w:w="1220" w:type="dxa"/>
          </w:tcPr>
          <w:p>
            <w:pPr>
              <w:pStyle w:val="TableParagraph"/>
              <w:ind w:left="231"/>
              <w:jc w:val="left"/>
              <w:rPr>
                <w:sz w:val="24"/>
              </w:rPr>
            </w:pPr>
            <w:r>
              <w:rPr>
                <w:sz w:val="24"/>
              </w:rPr>
              <w:t>(50,</w:t>
            </w:r>
            <w:r>
              <w:rPr>
                <w:spacing w:val="-5"/>
                <w:sz w:val="24"/>
              </w:rPr>
              <w:t> 35)</w:t>
            </w:r>
          </w:p>
        </w:tc>
        <w:tc>
          <w:tcPr>
            <w:tcW w:w="1017" w:type="dxa"/>
          </w:tcPr>
          <w:p>
            <w:pPr>
              <w:pStyle w:val="TableParagraph"/>
              <w:ind w:left="105" w:right="106"/>
              <w:rPr>
                <w:sz w:val="24"/>
              </w:rPr>
            </w:pPr>
            <w:r>
              <w:rPr>
                <w:spacing w:val="-2"/>
                <w:sz w:val="24"/>
              </w:rPr>
              <w:t>1673.02</w:t>
            </w:r>
          </w:p>
        </w:tc>
        <w:tc>
          <w:tcPr>
            <w:tcW w:w="1256" w:type="dxa"/>
          </w:tcPr>
          <w:p>
            <w:pPr>
              <w:pStyle w:val="TableParagraph"/>
              <w:ind w:left="108" w:right="109"/>
              <w:rPr>
                <w:sz w:val="24"/>
              </w:rPr>
            </w:pPr>
            <w:r>
              <w:rPr>
                <w:spacing w:val="-4"/>
                <w:sz w:val="24"/>
              </w:rPr>
              <w:t>3.58</w:t>
            </w:r>
          </w:p>
        </w:tc>
        <w:tc>
          <w:tcPr>
            <w:tcW w:w="957" w:type="dxa"/>
          </w:tcPr>
          <w:p>
            <w:pPr>
              <w:pStyle w:val="TableParagraph"/>
              <w:ind w:left="104" w:right="107"/>
              <w:rPr>
                <w:sz w:val="24"/>
              </w:rPr>
            </w:pPr>
            <w:r>
              <w:rPr>
                <w:spacing w:val="-2"/>
                <w:sz w:val="24"/>
              </w:rPr>
              <w:t>21.79</w:t>
            </w:r>
          </w:p>
        </w:tc>
        <w:tc>
          <w:tcPr>
            <w:tcW w:w="897" w:type="dxa"/>
          </w:tcPr>
          <w:p>
            <w:pPr>
              <w:pStyle w:val="TableParagraph"/>
              <w:ind w:left="102" w:right="105"/>
              <w:rPr>
                <w:sz w:val="24"/>
              </w:rPr>
            </w:pPr>
            <w:r>
              <w:rPr>
                <w:spacing w:val="-2"/>
                <w:sz w:val="24"/>
              </w:rPr>
              <w:t>44.56</w:t>
            </w:r>
          </w:p>
        </w:tc>
        <w:tc>
          <w:tcPr>
            <w:tcW w:w="897" w:type="dxa"/>
          </w:tcPr>
          <w:p>
            <w:pPr>
              <w:pStyle w:val="TableParagraph"/>
              <w:ind w:left="102" w:right="106"/>
              <w:rPr>
                <w:sz w:val="24"/>
              </w:rPr>
            </w:pPr>
            <w:r>
              <w:rPr>
                <w:spacing w:val="-2"/>
                <w:sz w:val="24"/>
              </w:rPr>
              <w:t>116.69</w:t>
            </w:r>
          </w:p>
        </w:tc>
      </w:tr>
      <w:tr>
        <w:trPr>
          <w:trHeight w:val="288" w:hRule="atLeast"/>
        </w:trPr>
        <w:tc>
          <w:tcPr>
            <w:tcW w:w="1220" w:type="dxa"/>
          </w:tcPr>
          <w:p>
            <w:pPr>
              <w:pStyle w:val="TableParagraph"/>
              <w:ind w:left="231"/>
              <w:jc w:val="left"/>
              <w:rPr>
                <w:sz w:val="24"/>
              </w:rPr>
            </w:pPr>
            <w:r>
              <w:rPr>
                <w:sz w:val="24"/>
              </w:rPr>
              <w:t>(70,</w:t>
            </w:r>
            <w:r>
              <w:rPr>
                <w:spacing w:val="-5"/>
                <w:sz w:val="24"/>
              </w:rPr>
              <w:t> 35)</w:t>
            </w:r>
          </w:p>
        </w:tc>
        <w:tc>
          <w:tcPr>
            <w:tcW w:w="1017" w:type="dxa"/>
          </w:tcPr>
          <w:p>
            <w:pPr>
              <w:pStyle w:val="TableParagraph"/>
              <w:ind w:left="105" w:right="106"/>
              <w:rPr>
                <w:sz w:val="24"/>
              </w:rPr>
            </w:pPr>
            <w:r>
              <w:rPr>
                <w:spacing w:val="-2"/>
                <w:sz w:val="24"/>
              </w:rPr>
              <w:t>310.63</w:t>
            </w:r>
          </w:p>
        </w:tc>
        <w:tc>
          <w:tcPr>
            <w:tcW w:w="1256" w:type="dxa"/>
          </w:tcPr>
          <w:p>
            <w:pPr>
              <w:pStyle w:val="TableParagraph"/>
              <w:ind w:left="108" w:right="109"/>
              <w:rPr>
                <w:sz w:val="24"/>
              </w:rPr>
            </w:pPr>
            <w:r>
              <w:rPr>
                <w:spacing w:val="-4"/>
                <w:sz w:val="24"/>
              </w:rPr>
              <w:t>3.68</w:t>
            </w:r>
          </w:p>
        </w:tc>
        <w:tc>
          <w:tcPr>
            <w:tcW w:w="957" w:type="dxa"/>
          </w:tcPr>
          <w:p>
            <w:pPr>
              <w:pStyle w:val="TableParagraph"/>
              <w:ind w:left="104" w:right="107"/>
              <w:rPr>
                <w:sz w:val="24"/>
              </w:rPr>
            </w:pPr>
            <w:r>
              <w:rPr>
                <w:spacing w:val="-4"/>
                <w:sz w:val="24"/>
              </w:rPr>
              <w:t>6.61</w:t>
            </w:r>
          </w:p>
        </w:tc>
        <w:tc>
          <w:tcPr>
            <w:tcW w:w="897" w:type="dxa"/>
          </w:tcPr>
          <w:p>
            <w:pPr>
              <w:pStyle w:val="TableParagraph"/>
              <w:ind w:left="102" w:right="105"/>
              <w:rPr>
                <w:sz w:val="24"/>
              </w:rPr>
            </w:pPr>
            <w:r>
              <w:rPr>
                <w:spacing w:val="-2"/>
                <w:sz w:val="24"/>
              </w:rPr>
              <w:t>10.50</w:t>
            </w:r>
          </w:p>
        </w:tc>
        <w:tc>
          <w:tcPr>
            <w:tcW w:w="897" w:type="dxa"/>
          </w:tcPr>
          <w:p>
            <w:pPr>
              <w:pStyle w:val="TableParagraph"/>
              <w:ind w:left="102" w:right="106"/>
              <w:rPr>
                <w:sz w:val="24"/>
              </w:rPr>
            </w:pPr>
            <w:r>
              <w:rPr>
                <w:spacing w:val="-2"/>
                <w:sz w:val="24"/>
              </w:rPr>
              <w:t>25.85</w:t>
            </w:r>
          </w:p>
        </w:tc>
      </w:tr>
      <w:tr>
        <w:trPr>
          <w:trHeight w:val="288" w:hRule="atLeast"/>
        </w:trPr>
        <w:tc>
          <w:tcPr>
            <w:tcW w:w="1220" w:type="dxa"/>
          </w:tcPr>
          <w:p>
            <w:pPr>
              <w:pStyle w:val="TableParagraph"/>
              <w:ind w:left="261"/>
              <w:jc w:val="left"/>
              <w:rPr>
                <w:sz w:val="24"/>
              </w:rPr>
            </w:pPr>
            <w:r>
              <w:rPr>
                <w:sz w:val="24"/>
              </w:rPr>
              <w:t>(</w:t>
            </w:r>
            <w:r>
              <w:rPr>
                <w:spacing w:val="-3"/>
                <w:sz w:val="24"/>
              </w:rPr>
              <w:t> </w:t>
            </w:r>
            <w:r>
              <w:rPr>
                <w:sz w:val="24"/>
              </w:rPr>
              <w:t>0,</w:t>
            </w:r>
            <w:r>
              <w:rPr>
                <w:spacing w:val="-2"/>
                <w:sz w:val="24"/>
              </w:rPr>
              <w:t> </w:t>
            </w:r>
            <w:r>
              <w:rPr>
                <w:spacing w:val="-5"/>
                <w:sz w:val="24"/>
              </w:rPr>
              <w:t>65)</w:t>
            </w:r>
          </w:p>
        </w:tc>
        <w:tc>
          <w:tcPr>
            <w:tcW w:w="1017" w:type="dxa"/>
          </w:tcPr>
          <w:p>
            <w:pPr>
              <w:pStyle w:val="TableParagraph"/>
              <w:ind w:left="105" w:right="106"/>
              <w:rPr>
                <w:sz w:val="24"/>
              </w:rPr>
            </w:pPr>
            <w:r>
              <w:rPr>
                <w:spacing w:val="-2"/>
                <w:sz w:val="24"/>
              </w:rPr>
              <w:t>439.66</w:t>
            </w:r>
          </w:p>
        </w:tc>
        <w:tc>
          <w:tcPr>
            <w:tcW w:w="1256" w:type="dxa"/>
          </w:tcPr>
          <w:p>
            <w:pPr>
              <w:pStyle w:val="TableParagraph"/>
              <w:ind w:left="108" w:right="109"/>
              <w:rPr>
                <w:sz w:val="24"/>
              </w:rPr>
            </w:pPr>
            <w:r>
              <w:rPr>
                <w:spacing w:val="-4"/>
                <w:sz w:val="24"/>
              </w:rPr>
              <w:t>2.03</w:t>
            </w:r>
          </w:p>
        </w:tc>
        <w:tc>
          <w:tcPr>
            <w:tcW w:w="957" w:type="dxa"/>
          </w:tcPr>
          <w:p>
            <w:pPr>
              <w:pStyle w:val="TableParagraph"/>
              <w:ind w:left="104" w:right="106"/>
              <w:rPr>
                <w:sz w:val="24"/>
              </w:rPr>
            </w:pPr>
            <w:r>
              <w:rPr>
                <w:spacing w:val="-2"/>
                <w:sz w:val="24"/>
              </w:rPr>
              <w:t>10.38</w:t>
            </w:r>
          </w:p>
        </w:tc>
        <w:tc>
          <w:tcPr>
            <w:tcW w:w="897" w:type="dxa"/>
          </w:tcPr>
          <w:p>
            <w:pPr>
              <w:pStyle w:val="TableParagraph"/>
              <w:ind w:left="102" w:right="105"/>
              <w:rPr>
                <w:sz w:val="24"/>
              </w:rPr>
            </w:pPr>
            <w:r>
              <w:rPr>
                <w:spacing w:val="-2"/>
                <w:sz w:val="24"/>
              </w:rPr>
              <w:t>17.21</w:t>
            </w:r>
          </w:p>
        </w:tc>
        <w:tc>
          <w:tcPr>
            <w:tcW w:w="897" w:type="dxa"/>
          </w:tcPr>
          <w:p>
            <w:pPr>
              <w:pStyle w:val="TableParagraph"/>
              <w:ind w:left="102" w:right="106"/>
              <w:rPr>
                <w:sz w:val="24"/>
              </w:rPr>
            </w:pPr>
            <w:r>
              <w:rPr>
                <w:spacing w:val="-2"/>
                <w:sz w:val="24"/>
              </w:rPr>
              <w:t>63.22</w:t>
            </w:r>
          </w:p>
        </w:tc>
      </w:tr>
      <w:tr>
        <w:trPr>
          <w:trHeight w:val="288" w:hRule="atLeast"/>
        </w:trPr>
        <w:tc>
          <w:tcPr>
            <w:tcW w:w="1220" w:type="dxa"/>
          </w:tcPr>
          <w:p>
            <w:pPr>
              <w:pStyle w:val="TableParagraph"/>
              <w:ind w:left="231"/>
              <w:jc w:val="left"/>
              <w:rPr>
                <w:sz w:val="24"/>
              </w:rPr>
            </w:pPr>
            <w:r>
              <w:rPr>
                <w:sz w:val="24"/>
              </w:rPr>
              <w:t>(20,</w:t>
            </w:r>
            <w:r>
              <w:rPr>
                <w:spacing w:val="-5"/>
                <w:sz w:val="24"/>
              </w:rPr>
              <w:t> 65)</w:t>
            </w:r>
          </w:p>
        </w:tc>
        <w:tc>
          <w:tcPr>
            <w:tcW w:w="1017" w:type="dxa"/>
          </w:tcPr>
          <w:p>
            <w:pPr>
              <w:pStyle w:val="TableParagraph"/>
              <w:ind w:left="105" w:right="106"/>
              <w:rPr>
                <w:sz w:val="24"/>
              </w:rPr>
            </w:pPr>
            <w:r>
              <w:rPr>
                <w:spacing w:val="-2"/>
                <w:sz w:val="24"/>
              </w:rPr>
              <w:t>2189.67</w:t>
            </w:r>
          </w:p>
        </w:tc>
        <w:tc>
          <w:tcPr>
            <w:tcW w:w="1256" w:type="dxa"/>
          </w:tcPr>
          <w:p>
            <w:pPr>
              <w:pStyle w:val="TableParagraph"/>
              <w:ind w:left="108" w:right="109"/>
              <w:rPr>
                <w:sz w:val="24"/>
              </w:rPr>
            </w:pPr>
            <w:r>
              <w:rPr>
                <w:spacing w:val="-2"/>
                <w:sz w:val="24"/>
              </w:rPr>
              <w:t>10.97</w:t>
            </w:r>
          </w:p>
        </w:tc>
        <w:tc>
          <w:tcPr>
            <w:tcW w:w="957" w:type="dxa"/>
          </w:tcPr>
          <w:p>
            <w:pPr>
              <w:pStyle w:val="TableParagraph"/>
              <w:ind w:left="104" w:right="107"/>
              <w:rPr>
                <w:sz w:val="24"/>
              </w:rPr>
            </w:pPr>
            <w:r>
              <w:rPr>
                <w:spacing w:val="-2"/>
                <w:sz w:val="24"/>
              </w:rPr>
              <w:t>65.76</w:t>
            </w:r>
          </w:p>
        </w:tc>
        <w:tc>
          <w:tcPr>
            <w:tcW w:w="897" w:type="dxa"/>
          </w:tcPr>
          <w:p>
            <w:pPr>
              <w:pStyle w:val="TableParagraph"/>
              <w:ind w:left="102" w:right="105"/>
              <w:rPr>
                <w:sz w:val="24"/>
              </w:rPr>
            </w:pPr>
            <w:r>
              <w:rPr>
                <w:spacing w:val="-2"/>
                <w:sz w:val="24"/>
              </w:rPr>
              <w:t>75.37</w:t>
            </w:r>
          </w:p>
        </w:tc>
        <w:tc>
          <w:tcPr>
            <w:tcW w:w="897" w:type="dxa"/>
          </w:tcPr>
          <w:p>
            <w:pPr>
              <w:pStyle w:val="TableParagraph"/>
              <w:ind w:left="102" w:right="106"/>
              <w:rPr>
                <w:sz w:val="24"/>
              </w:rPr>
            </w:pPr>
            <w:r>
              <w:rPr>
                <w:spacing w:val="-2"/>
                <w:sz w:val="24"/>
              </w:rPr>
              <w:t>294.36</w:t>
            </w:r>
          </w:p>
        </w:tc>
      </w:tr>
      <w:tr>
        <w:trPr>
          <w:trHeight w:val="288" w:hRule="atLeast"/>
        </w:trPr>
        <w:tc>
          <w:tcPr>
            <w:tcW w:w="1220" w:type="dxa"/>
          </w:tcPr>
          <w:p>
            <w:pPr>
              <w:pStyle w:val="TableParagraph"/>
              <w:ind w:left="231"/>
              <w:jc w:val="left"/>
              <w:rPr>
                <w:sz w:val="24"/>
              </w:rPr>
            </w:pPr>
            <w:r>
              <w:rPr>
                <w:sz w:val="24"/>
              </w:rPr>
              <w:t>(35,</w:t>
            </w:r>
            <w:r>
              <w:rPr>
                <w:spacing w:val="-5"/>
                <w:sz w:val="24"/>
              </w:rPr>
              <w:t> 65)</w:t>
            </w:r>
          </w:p>
        </w:tc>
        <w:tc>
          <w:tcPr>
            <w:tcW w:w="1017" w:type="dxa"/>
          </w:tcPr>
          <w:p>
            <w:pPr>
              <w:pStyle w:val="TableParagraph"/>
              <w:ind w:left="105" w:right="106"/>
              <w:rPr>
                <w:sz w:val="24"/>
              </w:rPr>
            </w:pPr>
            <w:r>
              <w:rPr>
                <w:spacing w:val="-2"/>
                <w:sz w:val="24"/>
              </w:rPr>
              <w:t>2546.81</w:t>
            </w:r>
          </w:p>
        </w:tc>
        <w:tc>
          <w:tcPr>
            <w:tcW w:w="1256" w:type="dxa"/>
          </w:tcPr>
          <w:p>
            <w:pPr>
              <w:pStyle w:val="TableParagraph"/>
              <w:ind w:left="108" w:right="109"/>
              <w:rPr>
                <w:sz w:val="24"/>
              </w:rPr>
            </w:pPr>
            <w:r>
              <w:rPr>
                <w:spacing w:val="-2"/>
                <w:sz w:val="24"/>
              </w:rPr>
              <w:t>26.14</w:t>
            </w:r>
          </w:p>
        </w:tc>
        <w:tc>
          <w:tcPr>
            <w:tcW w:w="957" w:type="dxa"/>
          </w:tcPr>
          <w:p>
            <w:pPr>
              <w:pStyle w:val="TableParagraph"/>
              <w:ind w:left="104" w:right="107"/>
              <w:rPr>
                <w:sz w:val="24"/>
              </w:rPr>
            </w:pPr>
            <w:r>
              <w:rPr>
                <w:spacing w:val="-2"/>
                <w:sz w:val="24"/>
              </w:rPr>
              <w:t>94.46</w:t>
            </w:r>
          </w:p>
        </w:tc>
        <w:tc>
          <w:tcPr>
            <w:tcW w:w="897" w:type="dxa"/>
          </w:tcPr>
          <w:p>
            <w:pPr>
              <w:pStyle w:val="TableParagraph"/>
              <w:ind w:left="102" w:right="105"/>
              <w:rPr>
                <w:sz w:val="24"/>
              </w:rPr>
            </w:pPr>
            <w:r>
              <w:rPr>
                <w:spacing w:val="-2"/>
                <w:sz w:val="24"/>
              </w:rPr>
              <w:t>84.30</w:t>
            </w:r>
          </w:p>
        </w:tc>
        <w:tc>
          <w:tcPr>
            <w:tcW w:w="897" w:type="dxa"/>
          </w:tcPr>
          <w:p>
            <w:pPr>
              <w:pStyle w:val="TableParagraph"/>
              <w:ind w:left="102" w:right="106"/>
              <w:rPr>
                <w:sz w:val="24"/>
              </w:rPr>
            </w:pPr>
            <w:r>
              <w:rPr>
                <w:spacing w:val="-2"/>
                <w:sz w:val="24"/>
              </w:rPr>
              <w:t>355.25</w:t>
            </w:r>
          </w:p>
        </w:tc>
      </w:tr>
      <w:tr>
        <w:trPr>
          <w:trHeight w:val="288" w:hRule="atLeast"/>
        </w:trPr>
        <w:tc>
          <w:tcPr>
            <w:tcW w:w="1220" w:type="dxa"/>
          </w:tcPr>
          <w:p>
            <w:pPr>
              <w:pStyle w:val="TableParagraph"/>
              <w:ind w:left="231"/>
              <w:jc w:val="left"/>
              <w:rPr>
                <w:sz w:val="24"/>
              </w:rPr>
            </w:pPr>
            <w:r>
              <w:rPr>
                <w:sz w:val="24"/>
              </w:rPr>
              <w:t>(50,</w:t>
            </w:r>
            <w:r>
              <w:rPr>
                <w:spacing w:val="-5"/>
                <w:sz w:val="24"/>
              </w:rPr>
              <w:t> 65)</w:t>
            </w:r>
          </w:p>
        </w:tc>
        <w:tc>
          <w:tcPr>
            <w:tcW w:w="1017" w:type="dxa"/>
          </w:tcPr>
          <w:p>
            <w:pPr>
              <w:pStyle w:val="TableParagraph"/>
              <w:ind w:left="105" w:right="106"/>
              <w:rPr>
                <w:sz w:val="24"/>
              </w:rPr>
            </w:pPr>
            <w:r>
              <w:rPr>
                <w:spacing w:val="-2"/>
                <w:sz w:val="24"/>
              </w:rPr>
              <w:t>1726.64</w:t>
            </w:r>
          </w:p>
        </w:tc>
        <w:tc>
          <w:tcPr>
            <w:tcW w:w="1256" w:type="dxa"/>
          </w:tcPr>
          <w:p>
            <w:pPr>
              <w:pStyle w:val="TableParagraph"/>
              <w:ind w:left="108" w:right="109"/>
              <w:rPr>
                <w:sz w:val="24"/>
              </w:rPr>
            </w:pPr>
            <w:r>
              <w:rPr>
                <w:spacing w:val="-4"/>
                <w:sz w:val="24"/>
              </w:rPr>
              <w:t>6.24</w:t>
            </w:r>
          </w:p>
        </w:tc>
        <w:tc>
          <w:tcPr>
            <w:tcW w:w="957" w:type="dxa"/>
          </w:tcPr>
          <w:p>
            <w:pPr>
              <w:pStyle w:val="TableParagraph"/>
              <w:ind w:left="104" w:right="107"/>
              <w:rPr>
                <w:sz w:val="24"/>
              </w:rPr>
            </w:pPr>
            <w:r>
              <w:rPr>
                <w:spacing w:val="-2"/>
                <w:sz w:val="24"/>
              </w:rPr>
              <w:t>49.69</w:t>
            </w:r>
          </w:p>
        </w:tc>
        <w:tc>
          <w:tcPr>
            <w:tcW w:w="897" w:type="dxa"/>
          </w:tcPr>
          <w:p>
            <w:pPr>
              <w:pStyle w:val="TableParagraph"/>
              <w:ind w:left="102" w:right="105"/>
              <w:rPr>
                <w:sz w:val="24"/>
              </w:rPr>
            </w:pPr>
            <w:r>
              <w:rPr>
                <w:spacing w:val="-2"/>
                <w:sz w:val="24"/>
              </w:rPr>
              <w:t>68.55</w:t>
            </w:r>
          </w:p>
        </w:tc>
        <w:tc>
          <w:tcPr>
            <w:tcW w:w="897" w:type="dxa"/>
          </w:tcPr>
          <w:p>
            <w:pPr>
              <w:pStyle w:val="TableParagraph"/>
              <w:ind w:left="102" w:right="106"/>
              <w:rPr>
                <w:sz w:val="24"/>
              </w:rPr>
            </w:pPr>
            <w:r>
              <w:rPr>
                <w:spacing w:val="-2"/>
                <w:sz w:val="24"/>
              </w:rPr>
              <w:t>197.80</w:t>
            </w:r>
          </w:p>
        </w:tc>
      </w:tr>
      <w:tr>
        <w:trPr>
          <w:trHeight w:val="288" w:hRule="atLeast"/>
        </w:trPr>
        <w:tc>
          <w:tcPr>
            <w:tcW w:w="1220" w:type="dxa"/>
          </w:tcPr>
          <w:p>
            <w:pPr>
              <w:pStyle w:val="TableParagraph"/>
              <w:ind w:left="231"/>
              <w:jc w:val="left"/>
              <w:rPr>
                <w:sz w:val="24"/>
              </w:rPr>
            </w:pPr>
            <w:r>
              <w:rPr>
                <w:sz w:val="24"/>
              </w:rPr>
              <w:t>(70,</w:t>
            </w:r>
            <w:r>
              <w:rPr>
                <w:spacing w:val="-5"/>
                <w:sz w:val="24"/>
              </w:rPr>
              <w:t> 65)</w:t>
            </w:r>
          </w:p>
        </w:tc>
        <w:tc>
          <w:tcPr>
            <w:tcW w:w="1017" w:type="dxa"/>
          </w:tcPr>
          <w:p>
            <w:pPr>
              <w:pStyle w:val="TableParagraph"/>
              <w:ind w:left="105" w:right="106"/>
              <w:rPr>
                <w:sz w:val="24"/>
              </w:rPr>
            </w:pPr>
            <w:r>
              <w:rPr>
                <w:spacing w:val="-2"/>
                <w:sz w:val="24"/>
              </w:rPr>
              <w:t>360.60</w:t>
            </w:r>
          </w:p>
        </w:tc>
        <w:tc>
          <w:tcPr>
            <w:tcW w:w="1256" w:type="dxa"/>
          </w:tcPr>
          <w:p>
            <w:pPr>
              <w:pStyle w:val="TableParagraph"/>
              <w:ind w:left="108" w:right="109"/>
              <w:rPr>
                <w:sz w:val="24"/>
              </w:rPr>
            </w:pPr>
            <w:r>
              <w:rPr>
                <w:spacing w:val="-4"/>
                <w:sz w:val="24"/>
              </w:rPr>
              <w:t>1.82</w:t>
            </w:r>
          </w:p>
        </w:tc>
        <w:tc>
          <w:tcPr>
            <w:tcW w:w="957" w:type="dxa"/>
          </w:tcPr>
          <w:p>
            <w:pPr>
              <w:pStyle w:val="TableParagraph"/>
              <w:ind w:left="104" w:right="107"/>
              <w:rPr>
                <w:sz w:val="24"/>
              </w:rPr>
            </w:pPr>
            <w:r>
              <w:rPr>
                <w:spacing w:val="-4"/>
                <w:sz w:val="24"/>
              </w:rPr>
              <w:t>8.02</w:t>
            </w:r>
          </w:p>
        </w:tc>
        <w:tc>
          <w:tcPr>
            <w:tcW w:w="897" w:type="dxa"/>
          </w:tcPr>
          <w:p>
            <w:pPr>
              <w:pStyle w:val="TableParagraph"/>
              <w:ind w:left="102" w:right="105"/>
              <w:rPr>
                <w:sz w:val="24"/>
              </w:rPr>
            </w:pPr>
            <w:r>
              <w:rPr>
                <w:spacing w:val="-2"/>
                <w:sz w:val="24"/>
              </w:rPr>
              <w:t>18.25</w:t>
            </w:r>
          </w:p>
        </w:tc>
        <w:tc>
          <w:tcPr>
            <w:tcW w:w="897" w:type="dxa"/>
          </w:tcPr>
          <w:p>
            <w:pPr>
              <w:pStyle w:val="TableParagraph"/>
              <w:ind w:left="102" w:right="106"/>
              <w:rPr>
                <w:sz w:val="24"/>
              </w:rPr>
            </w:pPr>
            <w:r>
              <w:rPr>
                <w:spacing w:val="-2"/>
                <w:sz w:val="24"/>
              </w:rPr>
              <w:t>51.31</w:t>
            </w:r>
          </w:p>
        </w:tc>
      </w:tr>
      <w:tr>
        <w:trPr>
          <w:trHeight w:val="288" w:hRule="atLeast"/>
        </w:trPr>
        <w:tc>
          <w:tcPr>
            <w:tcW w:w="1220" w:type="dxa"/>
          </w:tcPr>
          <w:p>
            <w:pPr>
              <w:pStyle w:val="TableParagraph"/>
              <w:ind w:left="261"/>
              <w:jc w:val="left"/>
              <w:rPr>
                <w:sz w:val="24"/>
              </w:rPr>
            </w:pPr>
            <w:r>
              <w:rPr>
                <w:sz w:val="24"/>
              </w:rPr>
              <w:t>(</w:t>
            </w:r>
            <w:r>
              <w:rPr>
                <w:spacing w:val="-3"/>
                <w:sz w:val="24"/>
              </w:rPr>
              <w:t> </w:t>
            </w:r>
            <w:r>
              <w:rPr>
                <w:sz w:val="24"/>
              </w:rPr>
              <w:t>0,</w:t>
            </w:r>
            <w:r>
              <w:rPr>
                <w:spacing w:val="-2"/>
                <w:sz w:val="24"/>
              </w:rPr>
              <w:t> </w:t>
            </w:r>
            <w:r>
              <w:rPr>
                <w:spacing w:val="-5"/>
                <w:sz w:val="24"/>
              </w:rPr>
              <w:t>90)</w:t>
            </w:r>
          </w:p>
        </w:tc>
        <w:tc>
          <w:tcPr>
            <w:tcW w:w="1017" w:type="dxa"/>
          </w:tcPr>
          <w:p>
            <w:pPr>
              <w:pStyle w:val="TableParagraph"/>
              <w:ind w:left="105" w:right="106"/>
              <w:rPr>
                <w:sz w:val="24"/>
              </w:rPr>
            </w:pPr>
            <w:r>
              <w:rPr>
                <w:spacing w:val="-2"/>
                <w:sz w:val="24"/>
              </w:rPr>
              <w:t>413.37</w:t>
            </w:r>
          </w:p>
        </w:tc>
        <w:tc>
          <w:tcPr>
            <w:tcW w:w="1256" w:type="dxa"/>
          </w:tcPr>
          <w:p>
            <w:pPr>
              <w:pStyle w:val="TableParagraph"/>
              <w:ind w:left="108" w:right="109"/>
              <w:rPr>
                <w:sz w:val="24"/>
              </w:rPr>
            </w:pPr>
            <w:r>
              <w:rPr>
                <w:spacing w:val="-4"/>
                <w:sz w:val="24"/>
              </w:rPr>
              <w:t>2.70</w:t>
            </w:r>
          </w:p>
        </w:tc>
        <w:tc>
          <w:tcPr>
            <w:tcW w:w="957" w:type="dxa"/>
          </w:tcPr>
          <w:p>
            <w:pPr>
              <w:pStyle w:val="TableParagraph"/>
              <w:ind w:left="104" w:right="106"/>
              <w:rPr>
                <w:sz w:val="24"/>
              </w:rPr>
            </w:pPr>
            <w:r>
              <w:rPr>
                <w:spacing w:val="-4"/>
                <w:sz w:val="24"/>
              </w:rPr>
              <w:t>6.90</w:t>
            </w:r>
          </w:p>
        </w:tc>
        <w:tc>
          <w:tcPr>
            <w:tcW w:w="897" w:type="dxa"/>
          </w:tcPr>
          <w:p>
            <w:pPr>
              <w:pStyle w:val="TableParagraph"/>
              <w:ind w:left="102" w:right="105"/>
              <w:rPr>
                <w:sz w:val="24"/>
              </w:rPr>
            </w:pPr>
            <w:r>
              <w:rPr>
                <w:spacing w:val="-2"/>
                <w:sz w:val="24"/>
              </w:rPr>
              <w:t>35.62</w:t>
            </w:r>
          </w:p>
        </w:tc>
        <w:tc>
          <w:tcPr>
            <w:tcW w:w="897" w:type="dxa"/>
          </w:tcPr>
          <w:p>
            <w:pPr>
              <w:pStyle w:val="TableParagraph"/>
              <w:ind w:left="102" w:right="106"/>
              <w:rPr>
                <w:sz w:val="24"/>
              </w:rPr>
            </w:pPr>
            <w:r>
              <w:rPr>
                <w:spacing w:val="-2"/>
                <w:sz w:val="24"/>
              </w:rPr>
              <w:t>83.31</w:t>
            </w:r>
          </w:p>
        </w:tc>
      </w:tr>
      <w:tr>
        <w:trPr>
          <w:trHeight w:val="288" w:hRule="atLeast"/>
        </w:trPr>
        <w:tc>
          <w:tcPr>
            <w:tcW w:w="1220" w:type="dxa"/>
          </w:tcPr>
          <w:p>
            <w:pPr>
              <w:pStyle w:val="TableParagraph"/>
              <w:ind w:left="231"/>
              <w:jc w:val="left"/>
              <w:rPr>
                <w:sz w:val="24"/>
              </w:rPr>
            </w:pPr>
            <w:r>
              <w:rPr>
                <w:sz w:val="24"/>
              </w:rPr>
              <w:t>(20,</w:t>
            </w:r>
            <w:r>
              <w:rPr>
                <w:spacing w:val="-5"/>
                <w:sz w:val="24"/>
              </w:rPr>
              <w:t> 90)</w:t>
            </w:r>
          </w:p>
        </w:tc>
        <w:tc>
          <w:tcPr>
            <w:tcW w:w="1017" w:type="dxa"/>
          </w:tcPr>
          <w:p>
            <w:pPr>
              <w:pStyle w:val="TableParagraph"/>
              <w:ind w:left="105" w:right="106"/>
              <w:rPr>
                <w:sz w:val="24"/>
              </w:rPr>
            </w:pPr>
            <w:r>
              <w:rPr>
                <w:spacing w:val="-2"/>
                <w:sz w:val="24"/>
              </w:rPr>
              <w:t>1356.56</w:t>
            </w:r>
          </w:p>
        </w:tc>
        <w:tc>
          <w:tcPr>
            <w:tcW w:w="1256" w:type="dxa"/>
          </w:tcPr>
          <w:p>
            <w:pPr>
              <w:pStyle w:val="TableParagraph"/>
              <w:ind w:left="108" w:right="109"/>
              <w:rPr>
                <w:sz w:val="24"/>
              </w:rPr>
            </w:pPr>
            <w:r>
              <w:rPr>
                <w:spacing w:val="-4"/>
                <w:sz w:val="24"/>
              </w:rPr>
              <w:t>8.21</w:t>
            </w:r>
          </w:p>
        </w:tc>
        <w:tc>
          <w:tcPr>
            <w:tcW w:w="957" w:type="dxa"/>
          </w:tcPr>
          <w:p>
            <w:pPr>
              <w:pStyle w:val="TableParagraph"/>
              <w:ind w:left="104" w:right="107"/>
              <w:rPr>
                <w:sz w:val="24"/>
              </w:rPr>
            </w:pPr>
            <w:r>
              <w:rPr>
                <w:spacing w:val="-2"/>
                <w:sz w:val="24"/>
              </w:rPr>
              <w:t>32.70</w:t>
            </w:r>
          </w:p>
        </w:tc>
        <w:tc>
          <w:tcPr>
            <w:tcW w:w="897" w:type="dxa"/>
          </w:tcPr>
          <w:p>
            <w:pPr>
              <w:pStyle w:val="TableParagraph"/>
              <w:ind w:left="102" w:right="105"/>
              <w:rPr>
                <w:sz w:val="24"/>
              </w:rPr>
            </w:pPr>
            <w:r>
              <w:rPr>
                <w:spacing w:val="-2"/>
                <w:sz w:val="24"/>
              </w:rPr>
              <w:t>139.25</w:t>
            </w:r>
          </w:p>
        </w:tc>
        <w:tc>
          <w:tcPr>
            <w:tcW w:w="897" w:type="dxa"/>
          </w:tcPr>
          <w:p>
            <w:pPr>
              <w:pStyle w:val="TableParagraph"/>
              <w:ind w:left="102" w:right="106"/>
              <w:rPr>
                <w:sz w:val="24"/>
              </w:rPr>
            </w:pPr>
            <w:r>
              <w:rPr>
                <w:spacing w:val="-2"/>
                <w:sz w:val="24"/>
              </w:rPr>
              <w:t>384.54</w:t>
            </w:r>
          </w:p>
        </w:tc>
      </w:tr>
      <w:tr>
        <w:trPr>
          <w:trHeight w:val="288" w:hRule="atLeast"/>
        </w:trPr>
        <w:tc>
          <w:tcPr>
            <w:tcW w:w="1220" w:type="dxa"/>
          </w:tcPr>
          <w:p>
            <w:pPr>
              <w:pStyle w:val="TableParagraph"/>
              <w:ind w:left="231"/>
              <w:jc w:val="left"/>
              <w:rPr>
                <w:sz w:val="24"/>
              </w:rPr>
            </w:pPr>
            <w:r>
              <w:rPr>
                <w:sz w:val="24"/>
              </w:rPr>
              <w:t>(35,</w:t>
            </w:r>
            <w:r>
              <w:rPr>
                <w:spacing w:val="-5"/>
                <w:sz w:val="24"/>
              </w:rPr>
              <w:t> 90)</w:t>
            </w:r>
          </w:p>
        </w:tc>
        <w:tc>
          <w:tcPr>
            <w:tcW w:w="1017" w:type="dxa"/>
          </w:tcPr>
          <w:p>
            <w:pPr>
              <w:pStyle w:val="TableParagraph"/>
              <w:ind w:left="105" w:right="106"/>
              <w:rPr>
                <w:sz w:val="24"/>
              </w:rPr>
            </w:pPr>
            <w:r>
              <w:rPr>
                <w:spacing w:val="-2"/>
                <w:sz w:val="24"/>
              </w:rPr>
              <w:t>2150.80</w:t>
            </w:r>
          </w:p>
        </w:tc>
        <w:tc>
          <w:tcPr>
            <w:tcW w:w="1256" w:type="dxa"/>
          </w:tcPr>
          <w:p>
            <w:pPr>
              <w:pStyle w:val="TableParagraph"/>
              <w:ind w:left="108" w:right="109"/>
              <w:rPr>
                <w:sz w:val="24"/>
              </w:rPr>
            </w:pPr>
            <w:r>
              <w:rPr>
                <w:spacing w:val="-2"/>
                <w:sz w:val="24"/>
              </w:rPr>
              <w:t>43.80</w:t>
            </w:r>
          </w:p>
        </w:tc>
        <w:tc>
          <w:tcPr>
            <w:tcW w:w="957" w:type="dxa"/>
          </w:tcPr>
          <w:p>
            <w:pPr>
              <w:pStyle w:val="TableParagraph"/>
              <w:ind w:left="104" w:right="107"/>
              <w:rPr>
                <w:sz w:val="24"/>
              </w:rPr>
            </w:pPr>
            <w:r>
              <w:rPr>
                <w:spacing w:val="-2"/>
                <w:sz w:val="24"/>
              </w:rPr>
              <w:t>116.69</w:t>
            </w:r>
          </w:p>
        </w:tc>
        <w:tc>
          <w:tcPr>
            <w:tcW w:w="897" w:type="dxa"/>
          </w:tcPr>
          <w:p>
            <w:pPr>
              <w:pStyle w:val="TableParagraph"/>
              <w:ind w:left="102" w:right="105"/>
              <w:rPr>
                <w:sz w:val="24"/>
              </w:rPr>
            </w:pPr>
            <w:r>
              <w:rPr>
                <w:spacing w:val="-2"/>
                <w:sz w:val="24"/>
              </w:rPr>
              <w:t>241.11</w:t>
            </w:r>
          </w:p>
        </w:tc>
        <w:tc>
          <w:tcPr>
            <w:tcW w:w="897" w:type="dxa"/>
          </w:tcPr>
          <w:p>
            <w:pPr>
              <w:pStyle w:val="TableParagraph"/>
              <w:ind w:left="102" w:right="106"/>
              <w:rPr>
                <w:sz w:val="24"/>
              </w:rPr>
            </w:pPr>
            <w:r>
              <w:rPr>
                <w:spacing w:val="-2"/>
                <w:sz w:val="24"/>
              </w:rPr>
              <w:t>636.41</w:t>
            </w:r>
          </w:p>
        </w:tc>
      </w:tr>
      <w:tr>
        <w:trPr>
          <w:trHeight w:val="288" w:hRule="atLeast"/>
        </w:trPr>
        <w:tc>
          <w:tcPr>
            <w:tcW w:w="1220" w:type="dxa"/>
          </w:tcPr>
          <w:p>
            <w:pPr>
              <w:pStyle w:val="TableParagraph"/>
              <w:ind w:left="231"/>
              <w:jc w:val="left"/>
              <w:rPr>
                <w:sz w:val="24"/>
              </w:rPr>
            </w:pPr>
            <w:r>
              <w:rPr>
                <w:sz w:val="24"/>
              </w:rPr>
              <w:t>(50,</w:t>
            </w:r>
            <w:r>
              <w:rPr>
                <w:spacing w:val="-5"/>
                <w:sz w:val="24"/>
              </w:rPr>
              <w:t> 90)</w:t>
            </w:r>
          </w:p>
        </w:tc>
        <w:tc>
          <w:tcPr>
            <w:tcW w:w="1017" w:type="dxa"/>
          </w:tcPr>
          <w:p>
            <w:pPr>
              <w:pStyle w:val="TableParagraph"/>
              <w:ind w:left="105" w:right="106"/>
              <w:rPr>
                <w:sz w:val="24"/>
              </w:rPr>
            </w:pPr>
            <w:r>
              <w:rPr>
                <w:spacing w:val="-2"/>
                <w:sz w:val="24"/>
              </w:rPr>
              <w:t>1437.66</w:t>
            </w:r>
          </w:p>
        </w:tc>
        <w:tc>
          <w:tcPr>
            <w:tcW w:w="1256" w:type="dxa"/>
          </w:tcPr>
          <w:p>
            <w:pPr>
              <w:pStyle w:val="TableParagraph"/>
              <w:ind w:left="108" w:right="109"/>
              <w:rPr>
                <w:sz w:val="24"/>
              </w:rPr>
            </w:pPr>
            <w:r>
              <w:rPr>
                <w:spacing w:val="-2"/>
                <w:sz w:val="24"/>
              </w:rPr>
              <w:t>12.84</w:t>
            </w:r>
          </w:p>
        </w:tc>
        <w:tc>
          <w:tcPr>
            <w:tcW w:w="957" w:type="dxa"/>
          </w:tcPr>
          <w:p>
            <w:pPr>
              <w:pStyle w:val="TableParagraph"/>
              <w:ind w:left="104" w:right="107"/>
              <w:rPr>
                <w:sz w:val="24"/>
              </w:rPr>
            </w:pPr>
            <w:r>
              <w:rPr>
                <w:spacing w:val="-2"/>
                <w:sz w:val="24"/>
              </w:rPr>
              <w:t>43.18</w:t>
            </w:r>
          </w:p>
        </w:tc>
        <w:tc>
          <w:tcPr>
            <w:tcW w:w="897" w:type="dxa"/>
          </w:tcPr>
          <w:p>
            <w:pPr>
              <w:pStyle w:val="TableParagraph"/>
              <w:ind w:left="102" w:right="105"/>
              <w:rPr>
                <w:sz w:val="24"/>
              </w:rPr>
            </w:pPr>
            <w:r>
              <w:rPr>
                <w:spacing w:val="-2"/>
                <w:sz w:val="24"/>
              </w:rPr>
              <w:t>142.16</w:t>
            </w:r>
          </w:p>
        </w:tc>
        <w:tc>
          <w:tcPr>
            <w:tcW w:w="897" w:type="dxa"/>
          </w:tcPr>
          <w:p>
            <w:pPr>
              <w:pStyle w:val="TableParagraph"/>
              <w:ind w:left="102" w:right="106"/>
              <w:rPr>
                <w:sz w:val="24"/>
              </w:rPr>
            </w:pPr>
            <w:r>
              <w:rPr>
                <w:spacing w:val="-2"/>
                <w:sz w:val="24"/>
              </w:rPr>
              <w:t>463.60</w:t>
            </w:r>
          </w:p>
        </w:tc>
      </w:tr>
      <w:tr>
        <w:trPr>
          <w:trHeight w:val="288" w:hRule="atLeast"/>
        </w:trPr>
        <w:tc>
          <w:tcPr>
            <w:tcW w:w="1220" w:type="dxa"/>
          </w:tcPr>
          <w:p>
            <w:pPr>
              <w:pStyle w:val="TableParagraph"/>
              <w:ind w:left="231"/>
              <w:jc w:val="left"/>
              <w:rPr>
                <w:sz w:val="24"/>
              </w:rPr>
            </w:pPr>
            <w:r>
              <w:rPr>
                <w:sz w:val="24"/>
              </w:rPr>
              <w:t>(70,</w:t>
            </w:r>
            <w:r>
              <w:rPr>
                <w:spacing w:val="-5"/>
                <w:sz w:val="24"/>
              </w:rPr>
              <w:t> 90)</w:t>
            </w:r>
          </w:p>
        </w:tc>
        <w:tc>
          <w:tcPr>
            <w:tcW w:w="1017" w:type="dxa"/>
          </w:tcPr>
          <w:p>
            <w:pPr>
              <w:pStyle w:val="TableParagraph"/>
              <w:ind w:left="105" w:right="106"/>
              <w:rPr>
                <w:sz w:val="24"/>
              </w:rPr>
            </w:pPr>
            <w:r>
              <w:rPr>
                <w:spacing w:val="-2"/>
                <w:sz w:val="24"/>
              </w:rPr>
              <w:t>365.55</w:t>
            </w:r>
          </w:p>
        </w:tc>
        <w:tc>
          <w:tcPr>
            <w:tcW w:w="1256" w:type="dxa"/>
          </w:tcPr>
          <w:p>
            <w:pPr>
              <w:pStyle w:val="TableParagraph"/>
              <w:ind w:left="108" w:right="109"/>
              <w:rPr>
                <w:sz w:val="24"/>
              </w:rPr>
            </w:pPr>
            <w:r>
              <w:rPr>
                <w:spacing w:val="-4"/>
                <w:sz w:val="24"/>
              </w:rPr>
              <w:t>0.91</w:t>
            </w:r>
          </w:p>
        </w:tc>
        <w:tc>
          <w:tcPr>
            <w:tcW w:w="957" w:type="dxa"/>
          </w:tcPr>
          <w:p>
            <w:pPr>
              <w:pStyle w:val="TableParagraph"/>
              <w:ind w:left="104" w:right="107"/>
              <w:rPr>
                <w:sz w:val="24"/>
              </w:rPr>
            </w:pPr>
            <w:r>
              <w:rPr>
                <w:spacing w:val="-2"/>
                <w:sz w:val="24"/>
              </w:rPr>
              <w:t>11.60</w:t>
            </w:r>
          </w:p>
        </w:tc>
        <w:tc>
          <w:tcPr>
            <w:tcW w:w="897" w:type="dxa"/>
          </w:tcPr>
          <w:p>
            <w:pPr>
              <w:pStyle w:val="TableParagraph"/>
              <w:ind w:left="102" w:right="105"/>
              <w:rPr>
                <w:sz w:val="24"/>
              </w:rPr>
            </w:pPr>
            <w:r>
              <w:rPr>
                <w:spacing w:val="-2"/>
                <w:sz w:val="24"/>
              </w:rPr>
              <w:t>34.77</w:t>
            </w:r>
          </w:p>
        </w:tc>
        <w:tc>
          <w:tcPr>
            <w:tcW w:w="897" w:type="dxa"/>
          </w:tcPr>
          <w:p>
            <w:pPr>
              <w:pStyle w:val="TableParagraph"/>
              <w:ind w:left="102" w:right="106"/>
              <w:rPr>
                <w:sz w:val="24"/>
              </w:rPr>
            </w:pPr>
            <w:r>
              <w:rPr>
                <w:spacing w:val="-2"/>
                <w:sz w:val="24"/>
              </w:rPr>
              <w:t>50.19</w:t>
            </w:r>
          </w:p>
        </w:tc>
      </w:tr>
      <w:tr>
        <w:trPr>
          <w:trHeight w:val="288" w:hRule="atLeast"/>
        </w:trPr>
        <w:tc>
          <w:tcPr>
            <w:tcW w:w="1220" w:type="dxa"/>
          </w:tcPr>
          <w:p>
            <w:pPr>
              <w:pStyle w:val="TableParagraph"/>
              <w:ind w:left="201"/>
              <w:jc w:val="left"/>
              <w:rPr>
                <w:sz w:val="24"/>
              </w:rPr>
            </w:pPr>
            <w:r>
              <w:rPr>
                <w:sz w:val="24"/>
              </w:rPr>
              <w:t>(</w:t>
            </w:r>
            <w:r>
              <w:rPr>
                <w:spacing w:val="-3"/>
                <w:sz w:val="24"/>
              </w:rPr>
              <w:t> </w:t>
            </w:r>
            <w:r>
              <w:rPr>
                <w:sz w:val="24"/>
              </w:rPr>
              <w:t>0,</w:t>
            </w:r>
            <w:r>
              <w:rPr>
                <w:spacing w:val="-2"/>
                <w:sz w:val="24"/>
              </w:rPr>
              <w:t> </w:t>
            </w:r>
            <w:r>
              <w:rPr>
                <w:spacing w:val="-4"/>
                <w:sz w:val="24"/>
              </w:rPr>
              <w:t>100)</w:t>
            </w:r>
          </w:p>
        </w:tc>
        <w:tc>
          <w:tcPr>
            <w:tcW w:w="1017" w:type="dxa"/>
          </w:tcPr>
          <w:p>
            <w:pPr>
              <w:pStyle w:val="TableParagraph"/>
              <w:ind w:left="105" w:right="106"/>
              <w:rPr>
                <w:sz w:val="24"/>
              </w:rPr>
            </w:pPr>
            <w:r>
              <w:rPr>
                <w:spacing w:val="-2"/>
                <w:sz w:val="24"/>
              </w:rPr>
              <w:t>154.63</w:t>
            </w:r>
          </w:p>
        </w:tc>
        <w:tc>
          <w:tcPr>
            <w:tcW w:w="1256" w:type="dxa"/>
          </w:tcPr>
          <w:p>
            <w:pPr>
              <w:pStyle w:val="TableParagraph"/>
              <w:ind w:left="108" w:right="109"/>
              <w:rPr>
                <w:sz w:val="24"/>
              </w:rPr>
            </w:pPr>
            <w:r>
              <w:rPr>
                <w:spacing w:val="-4"/>
                <w:sz w:val="24"/>
              </w:rPr>
              <w:t>1.15</w:t>
            </w:r>
          </w:p>
        </w:tc>
        <w:tc>
          <w:tcPr>
            <w:tcW w:w="957" w:type="dxa"/>
          </w:tcPr>
          <w:p>
            <w:pPr>
              <w:pStyle w:val="TableParagraph"/>
              <w:ind w:left="103" w:right="107"/>
              <w:rPr>
                <w:sz w:val="24"/>
              </w:rPr>
            </w:pPr>
            <w:r>
              <w:rPr>
                <w:spacing w:val="-4"/>
                <w:sz w:val="24"/>
              </w:rPr>
              <w:t>3.38</w:t>
            </w:r>
          </w:p>
        </w:tc>
        <w:tc>
          <w:tcPr>
            <w:tcW w:w="897" w:type="dxa"/>
          </w:tcPr>
          <w:p>
            <w:pPr>
              <w:pStyle w:val="TableParagraph"/>
              <w:ind w:left="102" w:right="105"/>
              <w:rPr>
                <w:sz w:val="24"/>
              </w:rPr>
            </w:pPr>
            <w:r>
              <w:rPr>
                <w:spacing w:val="-2"/>
                <w:sz w:val="24"/>
              </w:rPr>
              <w:t>18.26</w:t>
            </w:r>
          </w:p>
        </w:tc>
        <w:tc>
          <w:tcPr>
            <w:tcW w:w="897" w:type="dxa"/>
          </w:tcPr>
          <w:p>
            <w:pPr>
              <w:pStyle w:val="TableParagraph"/>
              <w:ind w:left="102" w:right="106"/>
              <w:rPr>
                <w:sz w:val="24"/>
              </w:rPr>
            </w:pPr>
            <w:r>
              <w:rPr>
                <w:spacing w:val="-2"/>
                <w:sz w:val="24"/>
              </w:rPr>
              <w:t>50.01</w:t>
            </w:r>
          </w:p>
        </w:tc>
      </w:tr>
      <w:tr>
        <w:trPr>
          <w:trHeight w:val="288" w:hRule="atLeast"/>
        </w:trPr>
        <w:tc>
          <w:tcPr>
            <w:tcW w:w="1220" w:type="dxa"/>
          </w:tcPr>
          <w:p>
            <w:pPr>
              <w:pStyle w:val="TableParagraph"/>
              <w:ind w:left="171"/>
              <w:jc w:val="left"/>
              <w:rPr>
                <w:sz w:val="24"/>
              </w:rPr>
            </w:pPr>
            <w:r>
              <w:rPr>
                <w:sz w:val="24"/>
              </w:rPr>
              <w:t>(20,</w:t>
            </w:r>
            <w:r>
              <w:rPr>
                <w:spacing w:val="-5"/>
                <w:sz w:val="24"/>
              </w:rPr>
              <w:t> </w:t>
            </w:r>
            <w:r>
              <w:rPr>
                <w:spacing w:val="-4"/>
                <w:sz w:val="24"/>
              </w:rPr>
              <w:t>100)</w:t>
            </w:r>
          </w:p>
        </w:tc>
        <w:tc>
          <w:tcPr>
            <w:tcW w:w="1017" w:type="dxa"/>
          </w:tcPr>
          <w:p>
            <w:pPr>
              <w:pStyle w:val="TableParagraph"/>
              <w:ind w:left="105" w:right="106"/>
              <w:rPr>
                <w:sz w:val="24"/>
              </w:rPr>
            </w:pPr>
            <w:r>
              <w:rPr>
                <w:spacing w:val="-2"/>
                <w:sz w:val="24"/>
              </w:rPr>
              <w:t>370.25</w:t>
            </w:r>
          </w:p>
        </w:tc>
        <w:tc>
          <w:tcPr>
            <w:tcW w:w="1256" w:type="dxa"/>
          </w:tcPr>
          <w:p>
            <w:pPr>
              <w:pStyle w:val="TableParagraph"/>
              <w:ind w:left="108" w:right="109"/>
              <w:rPr>
                <w:sz w:val="24"/>
              </w:rPr>
            </w:pPr>
            <w:r>
              <w:rPr>
                <w:spacing w:val="-4"/>
                <w:sz w:val="24"/>
              </w:rPr>
              <w:t>5.46</w:t>
            </w:r>
          </w:p>
        </w:tc>
        <w:tc>
          <w:tcPr>
            <w:tcW w:w="957" w:type="dxa"/>
          </w:tcPr>
          <w:p>
            <w:pPr>
              <w:pStyle w:val="TableParagraph"/>
              <w:ind w:left="104" w:right="107"/>
              <w:rPr>
                <w:sz w:val="24"/>
              </w:rPr>
            </w:pPr>
            <w:r>
              <w:rPr>
                <w:spacing w:val="-4"/>
                <w:sz w:val="24"/>
              </w:rPr>
              <w:t>8.15</w:t>
            </w:r>
          </w:p>
        </w:tc>
        <w:tc>
          <w:tcPr>
            <w:tcW w:w="897" w:type="dxa"/>
          </w:tcPr>
          <w:p>
            <w:pPr>
              <w:pStyle w:val="TableParagraph"/>
              <w:ind w:left="102" w:right="105"/>
              <w:rPr>
                <w:sz w:val="24"/>
              </w:rPr>
            </w:pPr>
            <w:r>
              <w:rPr>
                <w:spacing w:val="-2"/>
                <w:sz w:val="24"/>
              </w:rPr>
              <w:t>42.98</w:t>
            </w:r>
          </w:p>
        </w:tc>
        <w:tc>
          <w:tcPr>
            <w:tcW w:w="897" w:type="dxa"/>
          </w:tcPr>
          <w:p>
            <w:pPr>
              <w:pStyle w:val="TableParagraph"/>
              <w:ind w:left="102" w:right="106"/>
              <w:rPr>
                <w:sz w:val="24"/>
              </w:rPr>
            </w:pPr>
            <w:r>
              <w:rPr>
                <w:spacing w:val="-2"/>
                <w:sz w:val="24"/>
              </w:rPr>
              <w:t>116.60</w:t>
            </w:r>
          </w:p>
        </w:tc>
      </w:tr>
      <w:tr>
        <w:trPr>
          <w:trHeight w:val="288" w:hRule="atLeast"/>
        </w:trPr>
        <w:tc>
          <w:tcPr>
            <w:tcW w:w="1220" w:type="dxa"/>
          </w:tcPr>
          <w:p>
            <w:pPr>
              <w:pStyle w:val="TableParagraph"/>
              <w:ind w:left="171"/>
              <w:jc w:val="left"/>
              <w:rPr>
                <w:sz w:val="24"/>
              </w:rPr>
            </w:pPr>
            <w:r>
              <w:rPr>
                <w:sz w:val="24"/>
              </w:rPr>
              <w:t>(35,</w:t>
            </w:r>
            <w:r>
              <w:rPr>
                <w:spacing w:val="-5"/>
                <w:sz w:val="24"/>
              </w:rPr>
              <w:t> </w:t>
            </w:r>
            <w:r>
              <w:rPr>
                <w:spacing w:val="-4"/>
                <w:sz w:val="24"/>
              </w:rPr>
              <w:t>100)</w:t>
            </w:r>
          </w:p>
        </w:tc>
        <w:tc>
          <w:tcPr>
            <w:tcW w:w="1017" w:type="dxa"/>
          </w:tcPr>
          <w:p>
            <w:pPr>
              <w:pStyle w:val="TableParagraph"/>
              <w:ind w:left="105" w:right="106"/>
              <w:rPr>
                <w:sz w:val="24"/>
              </w:rPr>
            </w:pPr>
            <w:r>
              <w:rPr>
                <w:spacing w:val="-2"/>
                <w:sz w:val="24"/>
              </w:rPr>
              <w:t>427.75</w:t>
            </w:r>
          </w:p>
        </w:tc>
        <w:tc>
          <w:tcPr>
            <w:tcW w:w="1256" w:type="dxa"/>
          </w:tcPr>
          <w:p>
            <w:pPr>
              <w:pStyle w:val="TableParagraph"/>
              <w:ind w:left="108" w:right="109"/>
              <w:rPr>
                <w:sz w:val="24"/>
              </w:rPr>
            </w:pPr>
            <w:r>
              <w:rPr>
                <w:spacing w:val="-4"/>
                <w:sz w:val="24"/>
              </w:rPr>
              <w:t>3.94</w:t>
            </w:r>
          </w:p>
        </w:tc>
        <w:tc>
          <w:tcPr>
            <w:tcW w:w="957" w:type="dxa"/>
          </w:tcPr>
          <w:p>
            <w:pPr>
              <w:pStyle w:val="TableParagraph"/>
              <w:ind w:left="104" w:right="107"/>
              <w:rPr>
                <w:sz w:val="24"/>
              </w:rPr>
            </w:pPr>
            <w:r>
              <w:rPr>
                <w:spacing w:val="-4"/>
                <w:sz w:val="24"/>
              </w:rPr>
              <w:t>7.62</w:t>
            </w:r>
          </w:p>
        </w:tc>
        <w:tc>
          <w:tcPr>
            <w:tcW w:w="897" w:type="dxa"/>
          </w:tcPr>
          <w:p>
            <w:pPr>
              <w:pStyle w:val="TableParagraph"/>
              <w:ind w:left="102" w:right="105"/>
              <w:rPr>
                <w:sz w:val="24"/>
              </w:rPr>
            </w:pPr>
            <w:r>
              <w:rPr>
                <w:spacing w:val="-2"/>
                <w:sz w:val="24"/>
              </w:rPr>
              <w:t>47.37</w:t>
            </w:r>
          </w:p>
        </w:tc>
        <w:tc>
          <w:tcPr>
            <w:tcW w:w="897" w:type="dxa"/>
          </w:tcPr>
          <w:p>
            <w:pPr>
              <w:pStyle w:val="TableParagraph"/>
              <w:ind w:left="102" w:right="106"/>
              <w:rPr>
                <w:sz w:val="24"/>
              </w:rPr>
            </w:pPr>
            <w:r>
              <w:rPr>
                <w:spacing w:val="-2"/>
                <w:sz w:val="24"/>
              </w:rPr>
              <w:t>146.33</w:t>
            </w:r>
          </w:p>
        </w:tc>
      </w:tr>
      <w:tr>
        <w:trPr>
          <w:trHeight w:val="288" w:hRule="atLeast"/>
        </w:trPr>
        <w:tc>
          <w:tcPr>
            <w:tcW w:w="1220" w:type="dxa"/>
          </w:tcPr>
          <w:p>
            <w:pPr>
              <w:pStyle w:val="TableParagraph"/>
              <w:ind w:left="171"/>
              <w:jc w:val="left"/>
              <w:rPr>
                <w:sz w:val="24"/>
              </w:rPr>
            </w:pPr>
            <w:r>
              <w:rPr>
                <w:sz w:val="24"/>
              </w:rPr>
              <w:t>(50,</w:t>
            </w:r>
            <w:r>
              <w:rPr>
                <w:spacing w:val="-5"/>
                <w:sz w:val="24"/>
              </w:rPr>
              <w:t> </w:t>
            </w:r>
            <w:r>
              <w:rPr>
                <w:spacing w:val="-4"/>
                <w:sz w:val="24"/>
              </w:rPr>
              <w:t>100)</w:t>
            </w:r>
          </w:p>
        </w:tc>
        <w:tc>
          <w:tcPr>
            <w:tcW w:w="1017" w:type="dxa"/>
          </w:tcPr>
          <w:p>
            <w:pPr>
              <w:pStyle w:val="TableParagraph"/>
              <w:ind w:left="105" w:right="106"/>
              <w:rPr>
                <w:sz w:val="24"/>
              </w:rPr>
            </w:pPr>
            <w:r>
              <w:rPr>
                <w:spacing w:val="-2"/>
                <w:sz w:val="24"/>
              </w:rPr>
              <w:t>299.46</w:t>
            </w:r>
          </w:p>
        </w:tc>
        <w:tc>
          <w:tcPr>
            <w:tcW w:w="1256" w:type="dxa"/>
          </w:tcPr>
          <w:p>
            <w:pPr>
              <w:pStyle w:val="TableParagraph"/>
              <w:ind w:left="108" w:right="109"/>
              <w:rPr>
                <w:sz w:val="24"/>
              </w:rPr>
            </w:pPr>
            <w:r>
              <w:rPr>
                <w:spacing w:val="-4"/>
                <w:sz w:val="24"/>
              </w:rPr>
              <w:t>4.83</w:t>
            </w:r>
          </w:p>
        </w:tc>
        <w:tc>
          <w:tcPr>
            <w:tcW w:w="957" w:type="dxa"/>
          </w:tcPr>
          <w:p>
            <w:pPr>
              <w:pStyle w:val="TableParagraph"/>
              <w:ind w:left="104" w:right="107"/>
              <w:rPr>
                <w:sz w:val="24"/>
              </w:rPr>
            </w:pPr>
            <w:r>
              <w:rPr>
                <w:spacing w:val="-4"/>
                <w:sz w:val="24"/>
              </w:rPr>
              <w:t>7.87</w:t>
            </w:r>
          </w:p>
        </w:tc>
        <w:tc>
          <w:tcPr>
            <w:tcW w:w="897" w:type="dxa"/>
          </w:tcPr>
          <w:p>
            <w:pPr>
              <w:pStyle w:val="TableParagraph"/>
              <w:ind w:left="102" w:right="105"/>
              <w:rPr>
                <w:sz w:val="24"/>
              </w:rPr>
            </w:pPr>
            <w:r>
              <w:rPr>
                <w:spacing w:val="-2"/>
                <w:sz w:val="24"/>
              </w:rPr>
              <w:t>40.45</w:t>
            </w:r>
          </w:p>
        </w:tc>
        <w:tc>
          <w:tcPr>
            <w:tcW w:w="897" w:type="dxa"/>
          </w:tcPr>
          <w:p>
            <w:pPr>
              <w:pStyle w:val="TableParagraph"/>
              <w:ind w:left="102" w:right="106"/>
              <w:rPr>
                <w:sz w:val="24"/>
              </w:rPr>
            </w:pPr>
            <w:r>
              <w:rPr>
                <w:spacing w:val="-2"/>
                <w:sz w:val="24"/>
              </w:rPr>
              <w:t>99.93</w:t>
            </w:r>
          </w:p>
        </w:tc>
      </w:tr>
      <w:tr>
        <w:trPr>
          <w:trHeight w:val="288" w:hRule="atLeast"/>
        </w:trPr>
        <w:tc>
          <w:tcPr>
            <w:tcW w:w="1220" w:type="dxa"/>
          </w:tcPr>
          <w:p>
            <w:pPr>
              <w:pStyle w:val="TableParagraph"/>
              <w:ind w:left="171"/>
              <w:jc w:val="left"/>
              <w:rPr>
                <w:sz w:val="24"/>
              </w:rPr>
            </w:pPr>
            <w:r>
              <w:rPr>
                <w:sz w:val="24"/>
              </w:rPr>
              <w:t>(70,</w:t>
            </w:r>
            <w:r>
              <w:rPr>
                <w:spacing w:val="-5"/>
                <w:sz w:val="24"/>
              </w:rPr>
              <w:t> </w:t>
            </w:r>
            <w:r>
              <w:rPr>
                <w:spacing w:val="-4"/>
                <w:sz w:val="24"/>
              </w:rPr>
              <w:t>100)</w:t>
            </w:r>
          </w:p>
        </w:tc>
        <w:tc>
          <w:tcPr>
            <w:tcW w:w="1017" w:type="dxa"/>
          </w:tcPr>
          <w:p>
            <w:pPr>
              <w:pStyle w:val="TableParagraph"/>
              <w:ind w:left="105" w:right="106"/>
              <w:rPr>
                <w:sz w:val="24"/>
              </w:rPr>
            </w:pPr>
            <w:r>
              <w:rPr>
                <w:spacing w:val="-2"/>
                <w:sz w:val="24"/>
              </w:rPr>
              <w:t>121.38</w:t>
            </w:r>
          </w:p>
        </w:tc>
        <w:tc>
          <w:tcPr>
            <w:tcW w:w="1256" w:type="dxa"/>
          </w:tcPr>
          <w:p>
            <w:pPr>
              <w:pStyle w:val="TableParagraph"/>
              <w:ind w:left="108" w:right="109"/>
              <w:rPr>
                <w:sz w:val="24"/>
              </w:rPr>
            </w:pPr>
            <w:r>
              <w:rPr>
                <w:spacing w:val="-4"/>
                <w:sz w:val="24"/>
              </w:rPr>
              <w:t>1.30</w:t>
            </w:r>
          </w:p>
        </w:tc>
        <w:tc>
          <w:tcPr>
            <w:tcW w:w="957" w:type="dxa"/>
          </w:tcPr>
          <w:p>
            <w:pPr>
              <w:pStyle w:val="TableParagraph"/>
              <w:ind w:left="104" w:right="107"/>
              <w:rPr>
                <w:sz w:val="24"/>
              </w:rPr>
            </w:pPr>
            <w:r>
              <w:rPr>
                <w:spacing w:val="-4"/>
                <w:sz w:val="24"/>
              </w:rPr>
              <w:t>2.36</w:t>
            </w:r>
          </w:p>
        </w:tc>
        <w:tc>
          <w:tcPr>
            <w:tcW w:w="897" w:type="dxa"/>
          </w:tcPr>
          <w:p>
            <w:pPr>
              <w:pStyle w:val="TableParagraph"/>
              <w:ind w:left="102" w:right="105"/>
              <w:rPr>
                <w:sz w:val="24"/>
              </w:rPr>
            </w:pPr>
            <w:r>
              <w:rPr>
                <w:spacing w:val="-2"/>
                <w:sz w:val="24"/>
              </w:rPr>
              <w:t>24.68</w:t>
            </w:r>
          </w:p>
        </w:tc>
        <w:tc>
          <w:tcPr>
            <w:tcW w:w="897" w:type="dxa"/>
          </w:tcPr>
          <w:p>
            <w:pPr>
              <w:pStyle w:val="TableParagraph"/>
              <w:ind w:left="102" w:right="106"/>
              <w:rPr>
                <w:sz w:val="24"/>
              </w:rPr>
            </w:pPr>
            <w:r>
              <w:rPr>
                <w:spacing w:val="-2"/>
                <w:sz w:val="24"/>
              </w:rPr>
              <w:t>34.07</w:t>
            </w:r>
          </w:p>
        </w:tc>
      </w:tr>
      <w:tr>
        <w:trPr>
          <w:trHeight w:val="288" w:hRule="atLeast"/>
        </w:trPr>
        <w:tc>
          <w:tcPr>
            <w:tcW w:w="1220" w:type="dxa"/>
          </w:tcPr>
          <w:p>
            <w:pPr>
              <w:pStyle w:val="TableParagraph"/>
              <w:ind w:right="147"/>
              <w:jc w:val="right"/>
              <w:rPr>
                <w:sz w:val="24"/>
              </w:rPr>
            </w:pPr>
            <w:r>
              <w:rPr>
                <w:sz w:val="24"/>
              </w:rPr>
              <w:t>(</w:t>
            </w:r>
            <w:r>
              <w:rPr>
                <w:spacing w:val="-3"/>
                <w:sz w:val="24"/>
              </w:rPr>
              <w:t> </w:t>
            </w:r>
            <w:r>
              <w:rPr>
                <w:sz w:val="24"/>
              </w:rPr>
              <w:t>0,</w:t>
            </w:r>
            <w:r>
              <w:rPr>
                <w:spacing w:val="-2"/>
                <w:sz w:val="24"/>
              </w:rPr>
              <w:t> </w:t>
            </w:r>
            <w:r>
              <w:rPr>
                <w:spacing w:val="-4"/>
                <w:sz w:val="24"/>
              </w:rPr>
              <w:t>TRY)</w:t>
            </w:r>
          </w:p>
        </w:tc>
        <w:tc>
          <w:tcPr>
            <w:tcW w:w="1017" w:type="dxa"/>
          </w:tcPr>
          <w:p>
            <w:pPr>
              <w:pStyle w:val="TableParagraph"/>
              <w:ind w:left="105" w:right="106"/>
              <w:rPr>
                <w:sz w:val="24"/>
              </w:rPr>
            </w:pPr>
            <w:r>
              <w:rPr>
                <w:spacing w:val="-2"/>
                <w:sz w:val="24"/>
              </w:rPr>
              <w:t>36.62</w:t>
            </w:r>
          </w:p>
        </w:tc>
        <w:tc>
          <w:tcPr>
            <w:tcW w:w="1256" w:type="dxa"/>
          </w:tcPr>
          <w:p>
            <w:pPr>
              <w:pStyle w:val="TableParagraph"/>
              <w:ind w:left="108" w:right="109"/>
              <w:rPr>
                <w:sz w:val="24"/>
              </w:rPr>
            </w:pPr>
            <w:r>
              <w:rPr>
                <w:spacing w:val="-4"/>
                <w:sz w:val="24"/>
              </w:rPr>
              <w:t>0.98</w:t>
            </w:r>
          </w:p>
        </w:tc>
        <w:tc>
          <w:tcPr>
            <w:tcW w:w="957" w:type="dxa"/>
          </w:tcPr>
          <w:p>
            <w:pPr>
              <w:pStyle w:val="TableParagraph"/>
              <w:ind w:left="104" w:right="106"/>
              <w:rPr>
                <w:sz w:val="24"/>
              </w:rPr>
            </w:pPr>
            <w:r>
              <w:rPr>
                <w:spacing w:val="-4"/>
                <w:sz w:val="24"/>
              </w:rPr>
              <w:t>0.95</w:t>
            </w:r>
          </w:p>
        </w:tc>
        <w:tc>
          <w:tcPr>
            <w:tcW w:w="897" w:type="dxa"/>
          </w:tcPr>
          <w:p>
            <w:pPr>
              <w:pStyle w:val="TableParagraph"/>
              <w:ind w:left="102" w:right="105"/>
              <w:rPr>
                <w:sz w:val="24"/>
              </w:rPr>
            </w:pPr>
            <w:r>
              <w:rPr>
                <w:spacing w:val="-2"/>
                <w:sz w:val="24"/>
              </w:rPr>
              <w:t>33.38</w:t>
            </w:r>
          </w:p>
        </w:tc>
        <w:tc>
          <w:tcPr>
            <w:tcW w:w="897" w:type="dxa"/>
          </w:tcPr>
          <w:p>
            <w:pPr>
              <w:pStyle w:val="TableParagraph"/>
              <w:ind w:left="102" w:right="106"/>
              <w:rPr>
                <w:sz w:val="24"/>
              </w:rPr>
            </w:pPr>
            <w:r>
              <w:rPr>
                <w:spacing w:val="-2"/>
                <w:sz w:val="24"/>
              </w:rPr>
              <w:t>46.66</w:t>
            </w:r>
          </w:p>
        </w:tc>
      </w:tr>
      <w:tr>
        <w:trPr>
          <w:trHeight w:val="288" w:hRule="atLeast"/>
        </w:trPr>
        <w:tc>
          <w:tcPr>
            <w:tcW w:w="1220" w:type="dxa"/>
          </w:tcPr>
          <w:p>
            <w:pPr>
              <w:pStyle w:val="TableParagraph"/>
              <w:ind w:right="117"/>
              <w:jc w:val="right"/>
              <w:rPr>
                <w:sz w:val="24"/>
              </w:rPr>
            </w:pPr>
            <w:r>
              <w:rPr>
                <w:sz w:val="24"/>
              </w:rPr>
              <w:t>(35,</w:t>
            </w:r>
            <w:r>
              <w:rPr>
                <w:spacing w:val="-5"/>
                <w:sz w:val="24"/>
              </w:rPr>
              <w:t> </w:t>
            </w:r>
            <w:r>
              <w:rPr>
                <w:spacing w:val="-4"/>
                <w:sz w:val="24"/>
              </w:rPr>
              <w:t>TRY)</w:t>
            </w:r>
          </w:p>
        </w:tc>
        <w:tc>
          <w:tcPr>
            <w:tcW w:w="1017" w:type="dxa"/>
          </w:tcPr>
          <w:p>
            <w:pPr>
              <w:pStyle w:val="TableParagraph"/>
              <w:ind w:left="105" w:right="106"/>
              <w:rPr>
                <w:sz w:val="24"/>
              </w:rPr>
            </w:pPr>
            <w:r>
              <w:rPr>
                <w:spacing w:val="-2"/>
                <w:sz w:val="24"/>
              </w:rPr>
              <w:t>43.45</w:t>
            </w:r>
          </w:p>
        </w:tc>
        <w:tc>
          <w:tcPr>
            <w:tcW w:w="1256" w:type="dxa"/>
          </w:tcPr>
          <w:p>
            <w:pPr>
              <w:pStyle w:val="TableParagraph"/>
              <w:ind w:left="108" w:right="109"/>
              <w:rPr>
                <w:sz w:val="24"/>
              </w:rPr>
            </w:pPr>
            <w:r>
              <w:rPr>
                <w:spacing w:val="-4"/>
                <w:sz w:val="24"/>
              </w:rPr>
              <w:t>0.97</w:t>
            </w:r>
          </w:p>
        </w:tc>
        <w:tc>
          <w:tcPr>
            <w:tcW w:w="957" w:type="dxa"/>
          </w:tcPr>
          <w:p>
            <w:pPr>
              <w:pStyle w:val="TableParagraph"/>
              <w:ind w:left="104" w:right="106"/>
              <w:rPr>
                <w:sz w:val="24"/>
              </w:rPr>
            </w:pPr>
            <w:r>
              <w:rPr>
                <w:spacing w:val="-4"/>
                <w:sz w:val="24"/>
              </w:rPr>
              <w:t>0.99</w:t>
            </w:r>
          </w:p>
        </w:tc>
        <w:tc>
          <w:tcPr>
            <w:tcW w:w="897" w:type="dxa"/>
          </w:tcPr>
          <w:p>
            <w:pPr>
              <w:pStyle w:val="TableParagraph"/>
              <w:ind w:left="102" w:right="105"/>
              <w:rPr>
                <w:sz w:val="24"/>
              </w:rPr>
            </w:pPr>
            <w:r>
              <w:rPr>
                <w:spacing w:val="-2"/>
                <w:sz w:val="24"/>
              </w:rPr>
              <w:t>29.80</w:t>
            </w:r>
          </w:p>
        </w:tc>
        <w:tc>
          <w:tcPr>
            <w:tcW w:w="897" w:type="dxa"/>
          </w:tcPr>
          <w:p>
            <w:pPr>
              <w:pStyle w:val="TableParagraph"/>
              <w:ind w:left="102" w:right="106"/>
              <w:rPr>
                <w:sz w:val="24"/>
              </w:rPr>
            </w:pPr>
            <w:r>
              <w:rPr>
                <w:spacing w:val="-2"/>
                <w:sz w:val="24"/>
              </w:rPr>
              <w:t>68.50</w:t>
            </w:r>
          </w:p>
        </w:tc>
      </w:tr>
      <w:tr>
        <w:trPr>
          <w:trHeight w:val="306" w:hRule="atLeast"/>
        </w:trPr>
        <w:tc>
          <w:tcPr>
            <w:tcW w:w="1220" w:type="dxa"/>
            <w:tcBorders>
              <w:bottom w:val="single" w:sz="4" w:space="0" w:color="000000"/>
            </w:tcBorders>
          </w:tcPr>
          <w:p>
            <w:pPr>
              <w:pStyle w:val="TableParagraph"/>
              <w:spacing w:line="273" w:lineRule="exact"/>
              <w:ind w:right="117"/>
              <w:jc w:val="right"/>
              <w:rPr>
                <w:sz w:val="24"/>
              </w:rPr>
            </w:pPr>
            <w:r>
              <w:rPr>
                <w:sz w:val="24"/>
              </w:rPr>
              <w:t>(70,</w:t>
            </w:r>
            <w:r>
              <w:rPr>
                <w:spacing w:val="-5"/>
                <w:sz w:val="24"/>
              </w:rPr>
              <w:t> </w:t>
            </w:r>
            <w:r>
              <w:rPr>
                <w:spacing w:val="-4"/>
                <w:sz w:val="24"/>
              </w:rPr>
              <w:t>TRY)</w:t>
            </w:r>
          </w:p>
        </w:tc>
        <w:tc>
          <w:tcPr>
            <w:tcW w:w="1017" w:type="dxa"/>
            <w:tcBorders>
              <w:bottom w:val="single" w:sz="4" w:space="0" w:color="000000"/>
            </w:tcBorders>
          </w:tcPr>
          <w:p>
            <w:pPr>
              <w:pStyle w:val="TableParagraph"/>
              <w:spacing w:line="273" w:lineRule="exact"/>
              <w:ind w:left="105" w:right="106"/>
              <w:rPr>
                <w:sz w:val="24"/>
              </w:rPr>
            </w:pPr>
            <w:r>
              <w:rPr>
                <w:spacing w:val="-2"/>
                <w:sz w:val="24"/>
              </w:rPr>
              <w:t>42.17</w:t>
            </w:r>
          </w:p>
        </w:tc>
        <w:tc>
          <w:tcPr>
            <w:tcW w:w="1256" w:type="dxa"/>
            <w:tcBorders>
              <w:bottom w:val="single" w:sz="4" w:space="0" w:color="000000"/>
            </w:tcBorders>
          </w:tcPr>
          <w:p>
            <w:pPr>
              <w:pStyle w:val="TableParagraph"/>
              <w:spacing w:line="273" w:lineRule="exact"/>
              <w:ind w:left="108" w:right="109"/>
              <w:rPr>
                <w:sz w:val="24"/>
              </w:rPr>
            </w:pPr>
            <w:r>
              <w:rPr>
                <w:spacing w:val="-4"/>
                <w:sz w:val="24"/>
              </w:rPr>
              <w:t>1.00</w:t>
            </w:r>
          </w:p>
        </w:tc>
        <w:tc>
          <w:tcPr>
            <w:tcW w:w="957" w:type="dxa"/>
            <w:tcBorders>
              <w:bottom w:val="single" w:sz="4" w:space="0" w:color="000000"/>
            </w:tcBorders>
          </w:tcPr>
          <w:p>
            <w:pPr>
              <w:pStyle w:val="TableParagraph"/>
              <w:spacing w:line="273" w:lineRule="exact"/>
              <w:ind w:left="104" w:right="106"/>
              <w:rPr>
                <w:sz w:val="24"/>
              </w:rPr>
            </w:pPr>
            <w:r>
              <w:rPr>
                <w:spacing w:val="-4"/>
                <w:sz w:val="24"/>
              </w:rPr>
              <w:t>1.02</w:t>
            </w:r>
          </w:p>
        </w:tc>
        <w:tc>
          <w:tcPr>
            <w:tcW w:w="897" w:type="dxa"/>
            <w:tcBorders>
              <w:bottom w:val="single" w:sz="4" w:space="0" w:color="000000"/>
            </w:tcBorders>
          </w:tcPr>
          <w:p>
            <w:pPr>
              <w:pStyle w:val="TableParagraph"/>
              <w:spacing w:line="273" w:lineRule="exact"/>
              <w:ind w:left="102" w:right="105"/>
              <w:rPr>
                <w:sz w:val="24"/>
              </w:rPr>
            </w:pPr>
            <w:r>
              <w:rPr>
                <w:spacing w:val="-2"/>
                <w:sz w:val="24"/>
              </w:rPr>
              <w:t>30.12</w:t>
            </w:r>
          </w:p>
        </w:tc>
        <w:tc>
          <w:tcPr>
            <w:tcW w:w="897" w:type="dxa"/>
            <w:tcBorders>
              <w:bottom w:val="single" w:sz="4" w:space="0" w:color="000000"/>
            </w:tcBorders>
          </w:tcPr>
          <w:p>
            <w:pPr>
              <w:pStyle w:val="TableParagraph"/>
              <w:spacing w:line="273" w:lineRule="exact"/>
              <w:ind w:left="102" w:right="106"/>
              <w:rPr>
                <w:sz w:val="24"/>
              </w:rPr>
            </w:pPr>
            <w:r>
              <w:rPr>
                <w:spacing w:val="-2"/>
                <w:sz w:val="24"/>
              </w:rPr>
              <w:t>39.13</w:t>
            </w:r>
          </w:p>
        </w:tc>
      </w:tr>
    </w:tbl>
    <w:p>
      <w:pPr>
        <w:spacing w:after="0" w:line="273" w:lineRule="exact"/>
        <w:rPr>
          <w:sz w:val="24"/>
        </w:rPr>
        <w:sectPr>
          <w:pgSz w:w="11910" w:h="16840"/>
          <w:pgMar w:header="1961" w:footer="1428" w:top="2280" w:bottom="1620" w:left="1680" w:right="720"/>
        </w:sectPr>
      </w:pPr>
    </w:p>
    <w:p>
      <w:pPr>
        <w:pStyle w:val="BodyText"/>
        <w:rPr>
          <w:sz w:val="20"/>
        </w:rPr>
      </w:pPr>
    </w:p>
    <w:p>
      <w:pPr>
        <w:pStyle w:val="BodyText"/>
        <w:spacing w:before="3"/>
        <w:rPr>
          <w:sz w:val="20"/>
        </w:rPr>
      </w:pPr>
    </w:p>
    <w:p>
      <w:pPr>
        <w:pStyle w:val="BodyText"/>
        <w:spacing w:before="105"/>
        <w:ind w:left="961"/>
      </w:pPr>
      <w:r>
        <w:rPr/>
        <w:pict>
          <v:shape style="position:absolute;margin-left:513.973999pt;margin-top:14.003748pt;width:4.45pt;height:8pt;mso-position-horizontal-relative:page;mso-position-vertical-relative:paragraph;z-index:-21730304" type="#_x0000_t202" id="docshape185" filled="false" stroked="false">
            <v:textbox inset="0,0,0,0">
              <w:txbxContent>
                <w:p>
                  <w:pPr>
                    <w:spacing w:line="155" w:lineRule="exact" w:before="0"/>
                    <w:ind w:left="0" w:right="0" w:firstLine="0"/>
                    <w:jc w:val="left"/>
                    <w:rPr>
                      <w:rFonts w:ascii="Cambria"/>
                      <w:sz w:val="16"/>
                    </w:rPr>
                  </w:pPr>
                  <w:r>
                    <w:rPr>
                      <w:rFonts w:ascii="Cambria"/>
                      <w:w w:val="105"/>
                      <w:sz w:val="16"/>
                    </w:rPr>
                    <w:t>k</w:t>
                  </w:r>
                </w:p>
              </w:txbxContent>
            </v:textbox>
            <w10:wrap type="none"/>
          </v:shape>
        </w:pict>
      </w:r>
      <w:r>
        <w:rPr/>
        <w:t>The</w:t>
      </w:r>
      <w:r>
        <w:rPr>
          <w:spacing w:val="27"/>
        </w:rPr>
        <w:t> </w:t>
      </w:r>
      <w:r>
        <w:rPr/>
        <w:t>mean</w:t>
      </w:r>
      <w:r>
        <w:rPr>
          <w:spacing w:val="27"/>
        </w:rPr>
        <w:t> </w:t>
      </w:r>
      <w:r>
        <w:rPr/>
        <w:t>of</w:t>
      </w:r>
      <w:r>
        <w:rPr>
          <w:spacing w:val="27"/>
        </w:rPr>
        <w:t> </w:t>
      </w:r>
      <w:r>
        <w:rPr/>
        <w:t>the</w:t>
      </w:r>
      <w:r>
        <w:rPr>
          <w:spacing w:val="27"/>
        </w:rPr>
        <w:t> </w:t>
      </w:r>
      <w:r>
        <w:rPr/>
        <w:t>posterior</w:t>
      </w:r>
      <w:r>
        <w:rPr>
          <w:spacing w:val="27"/>
        </w:rPr>
        <w:t> </w:t>
      </w:r>
      <w:r>
        <w:rPr/>
        <w:t>distribution</w:t>
      </w:r>
      <w:r>
        <w:rPr>
          <w:spacing w:val="27"/>
        </w:rPr>
        <w:t> </w:t>
      </w:r>
      <w:r>
        <w:rPr/>
        <w:t>of</w:t>
      </w:r>
      <w:r>
        <w:rPr>
          <w:spacing w:val="27"/>
        </w:rPr>
        <w:t> </w:t>
      </w:r>
      <w:r>
        <w:rPr/>
        <w:t>possession</w:t>
      </w:r>
      <w:r>
        <w:rPr>
          <w:spacing w:val="27"/>
        </w:rPr>
        <w:t> </w:t>
      </w:r>
      <w:r>
        <w:rPr/>
        <w:t>outcome</w:t>
      </w:r>
      <w:r>
        <w:rPr>
          <w:spacing w:val="27"/>
        </w:rPr>
        <w:t> </w:t>
      </w:r>
      <w:r>
        <w:rPr/>
        <w:t>probabilities</w:t>
      </w:r>
      <w:r>
        <w:rPr>
          <w:spacing w:val="27"/>
        </w:rPr>
        <w:t> </w:t>
      </w:r>
      <w:r>
        <w:rPr>
          <w:rFonts w:ascii="Cambria" w:hAnsi="Cambria"/>
          <w:spacing w:val="16"/>
        </w:rPr>
        <w:t>P</w:t>
      </w:r>
      <w:r>
        <w:rPr>
          <w:rFonts w:ascii="Cambria" w:hAnsi="Cambria"/>
          <w:spacing w:val="16"/>
          <w:vertAlign w:val="superscript"/>
        </w:rPr>
        <w:t>µ</w:t>
      </w:r>
      <w:r>
        <w:rPr>
          <w:rFonts w:ascii="Cambria" w:hAnsi="Cambria"/>
          <w:spacing w:val="44"/>
          <w:vertAlign w:val="baseline"/>
        </w:rPr>
        <w:t> </w:t>
      </w:r>
      <w:r>
        <w:rPr>
          <w:spacing w:val="-5"/>
          <w:vertAlign w:val="baseline"/>
        </w:rPr>
        <w:t>for</w:t>
      </w:r>
    </w:p>
    <w:p>
      <w:pPr>
        <w:pStyle w:val="BodyText"/>
        <w:spacing w:line="307" w:lineRule="auto" w:before="81"/>
        <w:ind w:left="610"/>
      </w:pPr>
      <w:r>
        <w:rPr/>
        <w:t>each</w:t>
      </w:r>
      <w:r>
        <w:rPr>
          <w:spacing w:val="-5"/>
        </w:rPr>
        <w:t> </w:t>
      </w:r>
      <w:r>
        <w:rPr/>
        <w:t>model</w:t>
      </w:r>
      <w:r>
        <w:rPr>
          <w:spacing w:val="-5"/>
        </w:rPr>
        <w:t> </w:t>
      </w:r>
      <w:r>
        <w:rPr/>
        <w:t>was</w:t>
      </w:r>
      <w:r>
        <w:rPr>
          <w:spacing w:val="-5"/>
        </w:rPr>
        <w:t> </w:t>
      </w:r>
      <w:r>
        <w:rPr/>
        <w:t>substituted</w:t>
      </w:r>
      <w:r>
        <w:rPr>
          <w:spacing w:val="-5"/>
        </w:rPr>
        <w:t> </w:t>
      </w:r>
      <w:r>
        <w:rPr/>
        <w:t>into</w:t>
      </w:r>
      <w:r>
        <w:rPr>
          <w:spacing w:val="-5"/>
        </w:rPr>
        <w:t> </w:t>
      </w:r>
      <w:r>
        <w:rPr/>
        <w:t>Equations</w:t>
      </w:r>
      <w:hyperlink w:history="true" w:anchor="_bookmark181">
        <w:r>
          <w:rPr>
            <w:color w:val="0000FF"/>
          </w:rPr>
          <w:t>6.3</w:t>
        </w:r>
      </w:hyperlink>
      <w:r>
        <w:rPr/>
        <w:t>and</w:t>
      </w:r>
      <w:r>
        <w:rPr>
          <w:color w:val="0000FF"/>
        </w:rPr>
        <w:t>6.10</w:t>
      </w:r>
      <w:hyperlink w:history="true" w:anchor="_bookmark189">
        <w:r>
          <w:rPr/>
          <w:t>to</w:t>
        </w:r>
      </w:hyperlink>
      <w:r>
        <w:rPr>
          <w:spacing w:val="-5"/>
        </w:rPr>
        <w:t> </w:t>
      </w:r>
      <w:r>
        <w:rPr/>
        <w:t>provide</w:t>
      </w:r>
      <w:r>
        <w:rPr>
          <w:spacing w:val="-5"/>
        </w:rPr>
        <w:t> </w:t>
      </w:r>
      <w:r>
        <w:rPr/>
        <w:t>individual</w:t>
      </w:r>
      <w:r>
        <w:rPr>
          <w:spacing w:val="-5"/>
        </w:rPr>
        <w:t> </w:t>
      </w:r>
      <w:r>
        <w:rPr/>
        <w:t>possession outcome probabilities and EPV for each </w:t>
      </w:r>
      <w:r>
        <w:rPr>
          <w:rFonts w:ascii="Cambria"/>
        </w:rPr>
        <w:t>x, y </w:t>
      </w:r>
      <w:r>
        <w:rPr/>
        <w:t>location:</w:t>
      </w:r>
    </w:p>
    <w:p>
      <w:pPr>
        <w:pStyle w:val="BodyText"/>
        <w:spacing w:before="69"/>
        <w:ind w:left="757" w:right="538"/>
        <w:jc w:val="center"/>
        <w:rPr>
          <w:rFonts w:ascii="Garamond" w:hAnsi="Garamond"/>
        </w:rPr>
      </w:pPr>
      <w:r>
        <w:rPr/>
        <w:pict>
          <v:shape style="position:absolute;margin-left:382.653015pt;margin-top:23.558283pt;width:4.45pt;height:8pt;mso-position-horizontal-relative:page;mso-position-vertical-relative:paragraph;z-index:-21729792" type="#_x0000_t202" id="docshape186" filled="false" stroked="false">
            <v:textbox inset="0,0,0,0">
              <w:txbxContent>
                <w:p>
                  <w:pPr>
                    <w:spacing w:line="155" w:lineRule="exact" w:before="0"/>
                    <w:ind w:left="0" w:right="0" w:firstLine="0"/>
                    <w:jc w:val="left"/>
                    <w:rPr>
                      <w:rFonts w:ascii="Cambria"/>
                      <w:sz w:val="16"/>
                    </w:rPr>
                  </w:pPr>
                  <w:r>
                    <w:rPr>
                      <w:rFonts w:ascii="Cambria"/>
                      <w:w w:val="105"/>
                      <w:sz w:val="16"/>
                    </w:rPr>
                    <w:t>k</w:t>
                  </w:r>
                </w:p>
              </w:txbxContent>
            </v:textbox>
            <w10:wrap type="none"/>
          </v:shape>
        </w:pict>
      </w:r>
      <w:r>
        <w:rPr/>
        <w:pict>
          <v:shape style="position:absolute;margin-left:297.401001pt;margin-top:49.565456pt;width:17.3pt;height:44.4pt;mso-position-horizontal-relative:page;mso-position-vertical-relative:paragraph;z-index:-21728768" type="#_x0000_t202" id="docshape187" filled="false" stroked="false">
            <v:textbox inset="0,0,0,0">
              <w:txbxContent>
                <w:p>
                  <w:pPr>
                    <w:pStyle w:val="BodyText"/>
                    <w:spacing w:line="230" w:lineRule="exact"/>
                    <w:rPr>
                      <w:rFonts w:ascii="Arial"/>
                    </w:rPr>
                  </w:pPr>
                  <w:r>
                    <w:rPr>
                      <w:rFonts w:ascii="Arial"/>
                      <w:w w:val="258"/>
                    </w:rPr>
                    <w:t>L</w:t>
                  </w:r>
                </w:p>
              </w:txbxContent>
            </v:textbox>
            <w10:wrap type="none"/>
          </v:shape>
        </w:pict>
      </w:r>
      <w:r>
        <w:rPr>
          <w:rFonts w:ascii="Cambria" w:hAnsi="Cambria"/>
          <w:w w:val="125"/>
        </w:rPr>
        <w:t>P</w:t>
      </w:r>
      <w:r>
        <w:rPr>
          <w:rFonts w:ascii="Cambria" w:hAnsi="Cambria"/>
          <w:w w:val="125"/>
          <w:vertAlign w:val="superscript"/>
        </w:rPr>
        <w:t>µ</w:t>
      </w:r>
      <w:r>
        <w:rPr>
          <w:rFonts w:ascii="Garamond" w:hAnsi="Garamond"/>
          <w:w w:val="125"/>
          <w:vertAlign w:val="baseline"/>
        </w:rPr>
        <w:t>(</w:t>
      </w:r>
      <w:r>
        <w:rPr>
          <w:rFonts w:ascii="Cambria" w:hAnsi="Cambria"/>
          <w:w w:val="125"/>
          <w:vertAlign w:val="baseline"/>
        </w:rPr>
        <w:t>s</w:t>
      </w:r>
      <w:r>
        <w:rPr>
          <w:rFonts w:ascii="Garamond" w:hAnsi="Garamond"/>
          <w:w w:val="125"/>
          <w:vertAlign w:val="baseline"/>
        </w:rPr>
        <w:t>;</w:t>
      </w:r>
      <w:r>
        <w:rPr>
          <w:rFonts w:ascii="Garamond" w:hAnsi="Garamond"/>
          <w:spacing w:val="-29"/>
          <w:w w:val="125"/>
          <w:vertAlign w:val="baseline"/>
        </w:rPr>
        <w:t> </w:t>
      </w:r>
      <w:r>
        <w:rPr>
          <w:rFonts w:ascii="Cambria" w:hAnsi="Cambria"/>
          <w:w w:val="125"/>
          <w:vertAlign w:val="baseline"/>
        </w:rPr>
        <w:t>x,</w:t>
      </w:r>
      <w:r>
        <w:rPr>
          <w:rFonts w:ascii="Cambria" w:hAnsi="Cambria"/>
          <w:spacing w:val="-20"/>
          <w:w w:val="125"/>
          <w:vertAlign w:val="baseline"/>
        </w:rPr>
        <w:t> </w:t>
      </w:r>
      <w:r>
        <w:rPr>
          <w:rFonts w:ascii="Cambria" w:hAnsi="Cambria"/>
          <w:w w:val="125"/>
          <w:vertAlign w:val="baseline"/>
        </w:rPr>
        <w:t>y</w:t>
      </w:r>
      <w:r>
        <w:rPr>
          <w:rFonts w:ascii="Garamond" w:hAnsi="Garamond"/>
          <w:w w:val="125"/>
          <w:vertAlign w:val="baseline"/>
        </w:rPr>
        <w:t>)</w:t>
      </w:r>
      <w:r>
        <w:rPr>
          <w:rFonts w:ascii="Garamond" w:hAnsi="Garamond"/>
          <w:spacing w:val="1"/>
          <w:w w:val="125"/>
          <w:vertAlign w:val="baseline"/>
        </w:rPr>
        <w:t> </w:t>
      </w:r>
      <w:r>
        <w:rPr>
          <w:rFonts w:ascii="Garamond" w:hAnsi="Garamond"/>
          <w:w w:val="125"/>
          <w:vertAlign w:val="baseline"/>
        </w:rPr>
        <w:t>=</w:t>
      </w:r>
      <w:r>
        <w:rPr>
          <w:rFonts w:ascii="Garamond" w:hAnsi="Garamond"/>
          <w:spacing w:val="-14"/>
          <w:w w:val="150"/>
          <w:vertAlign w:val="baseline"/>
        </w:rPr>
        <w:t> </w:t>
      </w:r>
      <w:r>
        <w:rPr>
          <w:rFonts w:ascii="Arial" w:hAnsi="Arial"/>
          <w:w w:val="150"/>
          <w:position w:val="23"/>
          <w:vertAlign w:val="baseline"/>
        </w:rPr>
        <w:t>L</w:t>
      </w:r>
      <w:r>
        <w:rPr>
          <w:rFonts w:ascii="Arial" w:hAnsi="Arial"/>
          <w:spacing w:val="-54"/>
          <w:w w:val="150"/>
          <w:position w:val="23"/>
          <w:vertAlign w:val="baseline"/>
        </w:rPr>
        <w:t> </w:t>
      </w:r>
      <w:r>
        <w:rPr>
          <w:rFonts w:ascii="Cambria" w:hAnsi="Cambria"/>
          <w:w w:val="125"/>
          <w:vertAlign w:val="baseline"/>
        </w:rPr>
        <w:t>z</w:t>
      </w:r>
      <w:r>
        <w:rPr>
          <w:rFonts w:ascii="Cambria" w:hAnsi="Cambria"/>
          <w:w w:val="125"/>
          <w:vertAlign w:val="subscript"/>
        </w:rPr>
        <w:t>k</w:t>
      </w:r>
      <w:r>
        <w:rPr>
          <w:rFonts w:ascii="Garamond" w:hAnsi="Garamond"/>
          <w:w w:val="125"/>
          <w:vertAlign w:val="baseline"/>
        </w:rPr>
        <w:t>(</w:t>
      </w:r>
      <w:r>
        <w:rPr>
          <w:rFonts w:ascii="Cambria" w:hAnsi="Cambria"/>
          <w:w w:val="125"/>
          <w:vertAlign w:val="baseline"/>
        </w:rPr>
        <w:t>x,</w:t>
      </w:r>
      <w:r>
        <w:rPr>
          <w:rFonts w:ascii="Cambria" w:hAnsi="Cambria"/>
          <w:spacing w:val="-20"/>
          <w:w w:val="125"/>
          <w:vertAlign w:val="baseline"/>
        </w:rPr>
        <w:t> </w:t>
      </w:r>
      <w:r>
        <w:rPr>
          <w:rFonts w:ascii="Cambria" w:hAnsi="Cambria"/>
          <w:spacing w:val="-2"/>
          <w:w w:val="120"/>
          <w:vertAlign w:val="baseline"/>
        </w:rPr>
        <w:t>y</w:t>
      </w:r>
      <w:r>
        <w:rPr>
          <w:rFonts w:ascii="Garamond" w:hAnsi="Garamond"/>
          <w:spacing w:val="-2"/>
          <w:w w:val="120"/>
          <w:vertAlign w:val="baseline"/>
        </w:rPr>
        <w:t>)</w:t>
      </w:r>
      <w:r>
        <w:rPr>
          <w:rFonts w:ascii="Cambria" w:hAnsi="Cambria"/>
          <w:spacing w:val="-2"/>
          <w:w w:val="120"/>
          <w:vertAlign w:val="baseline"/>
        </w:rPr>
        <w:t>P</w:t>
      </w:r>
      <w:r>
        <w:rPr>
          <w:rFonts w:ascii="Cambria" w:hAnsi="Cambria"/>
          <w:spacing w:val="-2"/>
          <w:w w:val="120"/>
          <w:vertAlign w:val="superscript"/>
        </w:rPr>
        <w:t>µ</w:t>
      </w:r>
      <w:r>
        <w:rPr>
          <w:rFonts w:ascii="Garamond" w:hAnsi="Garamond"/>
          <w:spacing w:val="-2"/>
          <w:w w:val="120"/>
          <w:vertAlign w:val="baseline"/>
        </w:rPr>
        <w:t>(</w:t>
      </w:r>
      <w:r>
        <w:rPr>
          <w:rFonts w:ascii="Cambria" w:hAnsi="Cambria"/>
          <w:spacing w:val="-2"/>
          <w:w w:val="120"/>
          <w:vertAlign w:val="baseline"/>
        </w:rPr>
        <w:t>s</w:t>
      </w:r>
      <w:r>
        <w:rPr>
          <w:rFonts w:ascii="Garamond" w:hAnsi="Garamond"/>
          <w:spacing w:val="-2"/>
          <w:w w:val="120"/>
          <w:vertAlign w:val="baseline"/>
        </w:rPr>
        <w:t>)</w:t>
      </w:r>
    </w:p>
    <w:p>
      <w:pPr>
        <w:spacing w:after="0"/>
        <w:jc w:val="center"/>
        <w:rPr>
          <w:rFonts w:ascii="Garamond" w:hAnsi="Garamond"/>
        </w:rPr>
        <w:sectPr>
          <w:pgSz w:w="11910" w:h="16840"/>
          <w:pgMar w:header="1961" w:footer="1428" w:top="2280" w:bottom="1620" w:left="1680" w:right="720"/>
        </w:sectPr>
      </w:pPr>
    </w:p>
    <w:p>
      <w:pPr>
        <w:pStyle w:val="BodyText"/>
        <w:rPr>
          <w:rFonts w:ascii="Garamond"/>
          <w:sz w:val="16"/>
        </w:rPr>
      </w:pPr>
    </w:p>
    <w:p>
      <w:pPr>
        <w:pStyle w:val="BodyText"/>
        <w:rPr>
          <w:rFonts w:ascii="Garamond"/>
          <w:sz w:val="16"/>
        </w:rPr>
      </w:pPr>
    </w:p>
    <w:p>
      <w:pPr>
        <w:pStyle w:val="BodyText"/>
        <w:spacing w:before="5"/>
        <w:rPr>
          <w:rFonts w:ascii="Garamond"/>
          <w:sz w:val="16"/>
        </w:rPr>
      </w:pPr>
    </w:p>
    <w:p>
      <w:pPr>
        <w:spacing w:before="0"/>
        <w:ind w:left="3579" w:right="0" w:firstLine="0"/>
        <w:jc w:val="left"/>
        <w:rPr>
          <w:rFonts w:ascii="Cambria" w:hAnsi="Cambria"/>
          <w:sz w:val="16"/>
        </w:rPr>
      </w:pPr>
      <w:r>
        <w:rPr/>
        <w:pict>
          <v:shape style="position:absolute;margin-left:240.395996pt;margin-top:2.222965pt;width:22.6pt;height:14.45pt;mso-position-horizontal-relative:page;mso-position-vertical-relative:paragraph;z-index:15815680" type="#_x0000_t202" id="docshape188" filled="false" stroked="false">
            <v:textbox inset="0,0,0,0">
              <w:txbxContent>
                <w:p>
                  <w:pPr>
                    <w:pStyle w:val="BodyText"/>
                    <w:spacing w:line="273" w:lineRule="exact"/>
                  </w:pPr>
                  <w:r>
                    <w:rPr>
                      <w:spacing w:val="-5"/>
                    </w:rPr>
                    <w:t>EPV</w:t>
                  </w:r>
                </w:p>
              </w:txbxContent>
            </v:textbox>
            <w10:wrap type="none"/>
          </v:shape>
        </w:pict>
      </w:r>
      <w:r>
        <w:rPr>
          <w:rFonts w:ascii="Cambria" w:hAnsi="Cambria"/>
          <w:w w:val="117"/>
          <w:sz w:val="16"/>
        </w:rPr>
        <w:t>µ</w:t>
      </w:r>
    </w:p>
    <w:p>
      <w:pPr>
        <w:spacing w:before="2"/>
        <w:ind w:left="3579" w:right="0" w:firstLine="0"/>
        <w:jc w:val="left"/>
        <w:rPr>
          <w:rFonts w:ascii="Georgia"/>
          <w:sz w:val="16"/>
        </w:rPr>
      </w:pPr>
      <w:r>
        <w:rPr>
          <w:rFonts w:ascii="Georgia"/>
          <w:spacing w:val="-4"/>
          <w:w w:val="115"/>
          <w:sz w:val="16"/>
        </w:rPr>
        <w:t>(</w:t>
      </w:r>
      <w:r>
        <w:rPr>
          <w:rFonts w:ascii="Cambria"/>
          <w:spacing w:val="-4"/>
          <w:w w:val="115"/>
          <w:sz w:val="16"/>
        </w:rPr>
        <w:t>x,y</w:t>
      </w:r>
      <w:r>
        <w:rPr>
          <w:rFonts w:ascii="Georgia"/>
          <w:spacing w:val="-4"/>
          <w:w w:val="115"/>
          <w:sz w:val="16"/>
        </w:rPr>
        <w:t>)</w:t>
      </w:r>
    </w:p>
    <w:p>
      <w:pPr>
        <w:spacing w:before="67"/>
        <w:ind w:left="826" w:right="0" w:firstLine="0"/>
        <w:jc w:val="left"/>
        <w:rPr>
          <w:rFonts w:ascii="Cambria"/>
          <w:sz w:val="16"/>
        </w:rPr>
      </w:pPr>
      <w:r>
        <w:rPr/>
        <w:br w:type="column"/>
      </w:r>
      <w:r>
        <w:rPr>
          <w:rFonts w:ascii="Cambria"/>
          <w:spacing w:val="-10"/>
          <w:w w:val="105"/>
          <w:sz w:val="16"/>
        </w:rPr>
        <w:t>k</w:t>
      </w:r>
    </w:p>
    <w:p>
      <w:pPr>
        <w:pStyle w:val="BodyText"/>
        <w:rPr>
          <w:rFonts w:ascii="Cambria"/>
          <w:sz w:val="16"/>
        </w:rPr>
      </w:pPr>
    </w:p>
    <w:p>
      <w:pPr>
        <w:pStyle w:val="BodyText"/>
        <w:tabs>
          <w:tab w:pos="670" w:val="left" w:leader="none"/>
        </w:tabs>
        <w:spacing w:before="141"/>
        <w:ind w:left="36"/>
        <w:rPr>
          <w:rFonts w:ascii="Garamond" w:hAnsi="Garamond"/>
        </w:rPr>
      </w:pPr>
      <w:r>
        <w:rPr>
          <w:rFonts w:ascii="Garamond" w:hAnsi="Garamond"/>
          <w:spacing w:val="-10"/>
          <w:w w:val="115"/>
        </w:rPr>
        <w:t>=</w:t>
      </w:r>
      <w:r>
        <w:rPr>
          <w:rFonts w:ascii="Garamond" w:hAnsi="Garamond"/>
        </w:rPr>
        <w:tab/>
      </w:r>
      <w:r>
        <w:rPr>
          <w:rFonts w:ascii="Cambria" w:hAnsi="Cambria"/>
          <w:w w:val="115"/>
        </w:rPr>
        <w:t>P</w:t>
      </w:r>
      <w:r>
        <w:rPr>
          <w:rFonts w:ascii="Cambria" w:hAnsi="Cambria"/>
          <w:w w:val="115"/>
          <w:vertAlign w:val="superscript"/>
        </w:rPr>
        <w:t>µ</w:t>
      </w:r>
      <w:r>
        <w:rPr>
          <w:rFonts w:ascii="Garamond" w:hAnsi="Garamond"/>
          <w:w w:val="115"/>
          <w:vertAlign w:val="baseline"/>
        </w:rPr>
        <w:t>(</w:t>
      </w:r>
      <w:r>
        <w:rPr>
          <w:rFonts w:ascii="Cambria" w:hAnsi="Cambria"/>
          <w:w w:val="115"/>
          <w:vertAlign w:val="baseline"/>
        </w:rPr>
        <w:t>s</w:t>
      </w:r>
      <w:r>
        <w:rPr>
          <w:rFonts w:ascii="Garamond" w:hAnsi="Garamond"/>
          <w:w w:val="115"/>
          <w:vertAlign w:val="baseline"/>
        </w:rPr>
        <w:t>;</w:t>
      </w:r>
      <w:r>
        <w:rPr>
          <w:rFonts w:ascii="Garamond" w:hAnsi="Garamond"/>
          <w:spacing w:val="-6"/>
          <w:w w:val="115"/>
          <w:vertAlign w:val="baseline"/>
        </w:rPr>
        <w:t> </w:t>
      </w:r>
      <w:r>
        <w:rPr>
          <w:rFonts w:ascii="Cambria" w:hAnsi="Cambria"/>
          <w:w w:val="115"/>
          <w:vertAlign w:val="baseline"/>
        </w:rPr>
        <w:t>x,</w:t>
      </w:r>
      <w:r>
        <w:rPr>
          <w:rFonts w:ascii="Cambria" w:hAnsi="Cambria"/>
          <w:spacing w:val="2"/>
          <w:w w:val="115"/>
          <w:vertAlign w:val="baseline"/>
        </w:rPr>
        <w:t> </w:t>
      </w:r>
      <w:r>
        <w:rPr>
          <w:rFonts w:ascii="Cambria" w:hAnsi="Cambria"/>
          <w:spacing w:val="-2"/>
          <w:w w:val="115"/>
          <w:vertAlign w:val="baseline"/>
        </w:rPr>
        <w:t>y</w:t>
      </w:r>
      <w:r>
        <w:rPr>
          <w:rFonts w:ascii="Garamond" w:hAnsi="Garamond"/>
          <w:spacing w:val="-2"/>
          <w:w w:val="115"/>
          <w:vertAlign w:val="baseline"/>
        </w:rPr>
        <w:t>)</w:t>
      </w:r>
      <w:r>
        <w:rPr>
          <w:spacing w:val="-2"/>
          <w:w w:val="115"/>
          <w:vertAlign w:val="baseline"/>
        </w:rPr>
        <w:t>Points</w:t>
      </w:r>
      <w:r>
        <w:rPr>
          <w:rFonts w:ascii="Garamond" w:hAnsi="Garamond"/>
          <w:spacing w:val="-2"/>
          <w:w w:val="115"/>
          <w:vertAlign w:val="baseline"/>
        </w:rPr>
        <w:t>(</w:t>
      </w:r>
      <w:r>
        <w:rPr>
          <w:rFonts w:ascii="Cambria" w:hAnsi="Cambria"/>
          <w:spacing w:val="-2"/>
          <w:w w:val="115"/>
          <w:vertAlign w:val="baseline"/>
        </w:rPr>
        <w:t>s</w:t>
      </w:r>
      <w:r>
        <w:rPr>
          <w:rFonts w:ascii="Garamond" w:hAnsi="Garamond"/>
          <w:spacing w:val="-2"/>
          <w:w w:val="115"/>
          <w:vertAlign w:val="baseline"/>
        </w:rPr>
        <w:t>)</w:t>
      </w:r>
    </w:p>
    <w:p>
      <w:pPr>
        <w:spacing w:before="41"/>
        <w:ind w:left="306" w:right="0" w:firstLine="0"/>
        <w:jc w:val="left"/>
        <w:rPr>
          <w:rFonts w:ascii="Cambria" w:hAnsi="Cambria"/>
          <w:sz w:val="16"/>
        </w:rPr>
      </w:pPr>
      <w:r>
        <w:rPr>
          <w:rFonts w:ascii="Cambria" w:hAnsi="Cambria"/>
          <w:spacing w:val="-5"/>
          <w:w w:val="110"/>
          <w:sz w:val="16"/>
        </w:rPr>
        <w:t>s</w:t>
      </w:r>
      <w:r>
        <w:rPr>
          <w:rFonts w:ascii="Lucida Sans Unicode" w:hAnsi="Lucida Sans Unicode"/>
          <w:spacing w:val="-5"/>
          <w:w w:val="110"/>
          <w:sz w:val="16"/>
        </w:rPr>
        <w:t>∈</w:t>
      </w:r>
      <w:r>
        <w:rPr>
          <w:rFonts w:ascii="Cambria" w:hAnsi="Cambria"/>
          <w:spacing w:val="-5"/>
          <w:w w:val="110"/>
          <w:sz w:val="16"/>
        </w:rPr>
        <w:t>S</w:t>
      </w:r>
    </w:p>
    <w:p>
      <w:pPr>
        <w:spacing w:after="0"/>
        <w:jc w:val="left"/>
        <w:rPr>
          <w:rFonts w:ascii="Cambria" w:hAnsi="Cambria"/>
          <w:sz w:val="16"/>
        </w:rPr>
        <w:sectPr>
          <w:type w:val="continuous"/>
          <w:pgSz w:w="11910" w:h="16840"/>
          <w:pgMar w:header="1961" w:footer="1428" w:top="1920" w:bottom="280" w:left="1680" w:right="720"/>
          <w:cols w:num="2" w:equalWidth="0">
            <w:col w:w="3944" w:space="40"/>
            <w:col w:w="5526"/>
          </w:cols>
        </w:sectPr>
      </w:pPr>
    </w:p>
    <w:p>
      <w:pPr>
        <w:pStyle w:val="BodyText"/>
        <w:spacing w:line="358" w:lineRule="exact"/>
        <w:ind w:left="610" w:right="389" w:firstLine="351"/>
      </w:pPr>
      <w:r>
        <w:rPr/>
        <w:pict>
          <v:line style="position:absolute;mso-position-horizontal-relative:page;mso-position-vertical-relative:paragraph;z-index:-21730816" from="321.763pt,71.0252pt" to="412.865pt,71.0252pt" stroked="true" strokeweight=".478pt" strokecolor="#000000">
            <v:stroke dashstyle="solid"/>
            <w10:wrap type="none"/>
          </v:line>
        </w:pict>
      </w:r>
      <w:r>
        <w:rPr/>
        <w:pict>
          <v:shape style="position:absolute;margin-left:145.621002pt;margin-top:30.451628pt;width:4.45pt;height:8pt;mso-position-horizontal-relative:page;mso-position-vertical-relative:paragraph;z-index:-21728256" type="#_x0000_t202" id="docshape189" filled="false" stroked="false">
            <v:textbox inset="0,0,0,0">
              <w:txbxContent>
                <w:p>
                  <w:pPr>
                    <w:spacing w:line="155" w:lineRule="exact" w:before="0"/>
                    <w:ind w:left="0" w:right="0" w:firstLine="0"/>
                    <w:jc w:val="left"/>
                    <w:rPr>
                      <w:rFonts w:ascii="Cambria"/>
                      <w:sz w:val="16"/>
                    </w:rPr>
                  </w:pPr>
                  <w:r>
                    <w:rPr>
                      <w:rFonts w:ascii="Cambria"/>
                      <w:w w:val="105"/>
                      <w:sz w:val="16"/>
                    </w:rPr>
                    <w:t>k</w:t>
                  </w:r>
                </w:p>
              </w:txbxContent>
            </v:textbox>
            <w10:wrap type="none"/>
          </v:shape>
        </w:pict>
      </w:r>
      <w:r>
        <w:rPr/>
        <w:t>The standard deviation of the posterior distribution of possession outcome </w:t>
      </w:r>
      <w:r>
        <w:rPr/>
        <w:t>probabil- ities </w:t>
      </w:r>
      <w:r>
        <w:rPr>
          <w:rFonts w:ascii="Cambria" w:hAnsi="Cambria"/>
          <w:spacing w:val="16"/>
        </w:rPr>
        <w:t>P</w:t>
      </w:r>
      <w:r>
        <w:rPr>
          <w:rFonts w:ascii="Cambria" w:hAnsi="Cambria"/>
          <w:spacing w:val="16"/>
          <w:vertAlign w:val="superscript"/>
        </w:rPr>
        <w:t>σ</w:t>
      </w:r>
      <w:r>
        <w:rPr>
          <w:rFonts w:ascii="Cambria" w:hAnsi="Cambria"/>
          <w:spacing w:val="16"/>
          <w:vertAlign w:val="baseline"/>
        </w:rPr>
        <w:t> </w:t>
      </w:r>
      <w:r>
        <w:rPr>
          <w:vertAlign w:val="baseline"/>
        </w:rPr>
        <w:t>for each model was used to provide an understanding of uncertainty within the parameter estimates for each </w:t>
      </w:r>
      <w:r>
        <w:rPr>
          <w:rFonts w:ascii="Cambria" w:hAnsi="Cambria"/>
          <w:vertAlign w:val="baseline"/>
        </w:rPr>
        <w:t>x,</w:t>
      </w:r>
      <w:r>
        <w:rPr>
          <w:rFonts w:ascii="Cambria" w:hAnsi="Cambria"/>
          <w:spacing w:val="-6"/>
          <w:vertAlign w:val="baseline"/>
        </w:rPr>
        <w:t> </w:t>
      </w:r>
      <w:r>
        <w:rPr>
          <w:rFonts w:ascii="Cambria" w:hAnsi="Cambria"/>
          <w:vertAlign w:val="baseline"/>
        </w:rPr>
        <w:t>y</w:t>
      </w:r>
      <w:r>
        <w:rPr>
          <w:rFonts w:ascii="Cambria" w:hAnsi="Cambria"/>
          <w:spacing w:val="40"/>
          <w:vertAlign w:val="baseline"/>
        </w:rPr>
        <w:t> </w:t>
      </w:r>
      <w:r>
        <w:rPr>
          <w:vertAlign w:val="baseline"/>
        </w:rPr>
        <w:t>location.</w:t>
      </w:r>
      <w:r>
        <w:rPr>
          <w:spacing w:val="40"/>
          <w:vertAlign w:val="baseline"/>
        </w:rPr>
        <w:t> </w:t>
      </w:r>
      <w:r>
        <w:rPr>
          <w:vertAlign w:val="baseline"/>
        </w:rPr>
        <w:t>This required Equations</w:t>
      </w:r>
      <w:hyperlink w:history="true" w:anchor="_bookmark181">
        <w:r>
          <w:rPr>
            <w:color w:val="0000FF"/>
            <w:vertAlign w:val="baseline"/>
          </w:rPr>
          <w:t>6.3</w:t>
        </w:r>
      </w:hyperlink>
      <w:r>
        <w:rPr>
          <w:vertAlign w:val="baseline"/>
        </w:rPr>
        <w:t>and</w:t>
      </w:r>
      <w:r>
        <w:rPr>
          <w:color w:val="0000FF"/>
          <w:vertAlign w:val="baseline"/>
        </w:rPr>
        <w:t>6.10</w:t>
      </w:r>
      <w:hyperlink w:history="true" w:anchor="_bookmark189">
        <w:r>
          <w:rPr>
            <w:vertAlign w:val="baseline"/>
          </w:rPr>
          <w:t>to</w:t>
        </w:r>
      </w:hyperlink>
      <w:r>
        <w:rPr>
          <w:vertAlign w:val="baseline"/>
        </w:rPr>
        <w:t> be </w:t>
      </w:r>
      <w:r>
        <w:rPr>
          <w:spacing w:val="-2"/>
          <w:vertAlign w:val="baseline"/>
        </w:rPr>
        <w:t>modified:</w:t>
      </w:r>
    </w:p>
    <w:p>
      <w:pPr>
        <w:pStyle w:val="BodyText"/>
        <w:ind w:left="757" w:right="548"/>
        <w:jc w:val="center"/>
        <w:rPr>
          <w:rFonts w:ascii="Georgia" w:hAnsi="Georgia"/>
          <w:sz w:val="16"/>
        </w:rPr>
      </w:pPr>
      <w:r>
        <w:rPr/>
        <w:pict>
          <v:shape style="position:absolute;margin-left:386.265015pt;margin-top:25.608294pt;width:4.45pt;height:8pt;mso-position-horizontal-relative:page;mso-position-vertical-relative:paragraph;z-index:-21727744" type="#_x0000_t202" id="docshape190" filled="false" stroked="false">
            <v:textbox inset="0,0,0,0">
              <w:txbxContent>
                <w:p>
                  <w:pPr>
                    <w:spacing w:line="155" w:lineRule="exact" w:before="0"/>
                    <w:ind w:left="0" w:right="0" w:firstLine="0"/>
                    <w:jc w:val="left"/>
                    <w:rPr>
                      <w:rFonts w:ascii="Cambria"/>
                      <w:sz w:val="16"/>
                    </w:rPr>
                  </w:pPr>
                  <w:r>
                    <w:rPr>
                      <w:rFonts w:ascii="Cambria"/>
                      <w:w w:val="105"/>
                      <w:sz w:val="16"/>
                    </w:rPr>
                    <w:t>k</w:t>
                  </w:r>
                </w:p>
              </w:txbxContent>
            </v:textbox>
            <w10:wrap type="none"/>
          </v:shape>
        </w:pict>
      </w:r>
      <w:r>
        <w:rPr/>
        <w:pict>
          <v:shape style="position:absolute;margin-left:289.041992pt;margin-top:47.462467pt;width:29.25pt;height:50pt;mso-position-horizontal-relative:page;mso-position-vertical-relative:paragraph;z-index:-21726720" type="#_x0000_t202" id="docshape191" filled="false" stroked="false">
            <v:textbox inset="0,0,0,0">
              <w:txbxContent>
                <w:p>
                  <w:pPr>
                    <w:pStyle w:val="BodyText"/>
                    <w:spacing w:line="189" w:lineRule="auto"/>
                    <w:rPr>
                      <w:rFonts w:ascii="Arial"/>
                    </w:rPr>
                  </w:pPr>
                  <w:r>
                    <w:rPr>
                      <w:rFonts w:ascii="Arial"/>
                      <w:spacing w:val="-5"/>
                      <w:w w:val="230"/>
                    </w:rPr>
                    <w:t>s</w:t>
                  </w:r>
                  <w:r>
                    <w:rPr>
                      <w:rFonts w:ascii="Arial"/>
                      <w:spacing w:val="-5"/>
                      <w:w w:val="230"/>
                      <w:position w:val="-10"/>
                    </w:rPr>
                    <w:t>L</w:t>
                  </w:r>
                </w:p>
              </w:txbxContent>
            </v:textbox>
            <w10:wrap type="none"/>
          </v:shape>
        </w:pict>
      </w:r>
      <w:r>
        <w:rPr>
          <w:rFonts w:ascii="Cambria" w:hAnsi="Cambria"/>
          <w:spacing w:val="9"/>
          <w:w w:val="125"/>
        </w:rPr>
        <w:t>P</w:t>
      </w:r>
      <w:r>
        <w:rPr>
          <w:rFonts w:ascii="Cambria" w:hAnsi="Cambria"/>
          <w:spacing w:val="9"/>
          <w:w w:val="125"/>
          <w:vertAlign w:val="superscript"/>
        </w:rPr>
        <w:t>σ</w:t>
      </w:r>
      <w:r>
        <w:rPr>
          <w:rFonts w:ascii="Garamond" w:hAnsi="Garamond"/>
          <w:spacing w:val="9"/>
          <w:w w:val="125"/>
          <w:vertAlign w:val="baseline"/>
        </w:rPr>
        <w:t>(</w:t>
      </w:r>
      <w:r>
        <w:rPr>
          <w:rFonts w:ascii="Cambria" w:hAnsi="Cambria"/>
          <w:spacing w:val="9"/>
          <w:w w:val="125"/>
          <w:vertAlign w:val="baseline"/>
        </w:rPr>
        <w:t>s</w:t>
      </w:r>
      <w:r>
        <w:rPr>
          <w:rFonts w:ascii="Garamond" w:hAnsi="Garamond"/>
          <w:spacing w:val="9"/>
          <w:w w:val="125"/>
          <w:vertAlign w:val="baseline"/>
        </w:rPr>
        <w:t>;</w:t>
      </w:r>
      <w:r>
        <w:rPr>
          <w:rFonts w:ascii="Garamond" w:hAnsi="Garamond"/>
          <w:spacing w:val="-33"/>
          <w:w w:val="125"/>
          <w:vertAlign w:val="baseline"/>
        </w:rPr>
        <w:t> </w:t>
      </w:r>
      <w:r>
        <w:rPr>
          <w:rFonts w:ascii="Cambria" w:hAnsi="Cambria"/>
          <w:w w:val="125"/>
          <w:vertAlign w:val="baseline"/>
        </w:rPr>
        <w:t>x,</w:t>
      </w:r>
      <w:r>
        <w:rPr>
          <w:rFonts w:ascii="Cambria" w:hAnsi="Cambria"/>
          <w:spacing w:val="-24"/>
          <w:w w:val="125"/>
          <w:vertAlign w:val="baseline"/>
        </w:rPr>
        <w:t> </w:t>
      </w:r>
      <w:r>
        <w:rPr>
          <w:rFonts w:ascii="Cambria" w:hAnsi="Cambria"/>
          <w:w w:val="125"/>
          <w:vertAlign w:val="baseline"/>
        </w:rPr>
        <w:t>y</w:t>
      </w:r>
      <w:r>
        <w:rPr>
          <w:rFonts w:ascii="Garamond" w:hAnsi="Garamond"/>
          <w:w w:val="125"/>
          <w:vertAlign w:val="baseline"/>
        </w:rPr>
        <w:t>)</w:t>
      </w:r>
      <w:r>
        <w:rPr>
          <w:rFonts w:ascii="Garamond" w:hAnsi="Garamond"/>
          <w:spacing w:val="-6"/>
          <w:w w:val="125"/>
          <w:vertAlign w:val="baseline"/>
        </w:rPr>
        <w:t> </w:t>
      </w:r>
      <w:r>
        <w:rPr>
          <w:rFonts w:ascii="Garamond" w:hAnsi="Garamond"/>
          <w:w w:val="125"/>
          <w:vertAlign w:val="baseline"/>
        </w:rPr>
        <w:t>=</w:t>
      </w:r>
      <w:r>
        <w:rPr>
          <w:rFonts w:ascii="Garamond" w:hAnsi="Garamond"/>
          <w:spacing w:val="-5"/>
          <w:w w:val="125"/>
          <w:vertAlign w:val="baseline"/>
        </w:rPr>
        <w:t> </w:t>
      </w:r>
      <w:r>
        <w:rPr>
          <w:rFonts w:ascii="Arial" w:hAnsi="Arial"/>
          <w:w w:val="165"/>
          <w:position w:val="34"/>
          <w:vertAlign w:val="baseline"/>
        </w:rPr>
        <w:t>s</w:t>
      </w:r>
      <w:r>
        <w:rPr>
          <w:rFonts w:ascii="Arial" w:hAnsi="Arial"/>
          <w:w w:val="165"/>
          <w:position w:val="23"/>
          <w:vertAlign w:val="baseline"/>
        </w:rPr>
        <w:t>L</w:t>
      </w:r>
      <w:r>
        <w:rPr>
          <w:rFonts w:ascii="Arial" w:hAnsi="Arial"/>
          <w:spacing w:val="-69"/>
          <w:w w:val="165"/>
          <w:position w:val="23"/>
          <w:vertAlign w:val="baseline"/>
        </w:rPr>
        <w:t> </w:t>
      </w:r>
      <w:r>
        <w:rPr>
          <w:rFonts w:ascii="Cambria" w:hAnsi="Cambria"/>
          <w:w w:val="125"/>
          <w:vertAlign w:val="baseline"/>
        </w:rPr>
        <w:t>z</w:t>
      </w:r>
      <w:r>
        <w:rPr>
          <w:rFonts w:ascii="Cambria" w:hAnsi="Cambria"/>
          <w:w w:val="125"/>
          <w:vertAlign w:val="subscript"/>
        </w:rPr>
        <w:t>k</w:t>
      </w:r>
      <w:r>
        <w:rPr>
          <w:rFonts w:ascii="Garamond" w:hAnsi="Garamond"/>
          <w:w w:val="125"/>
          <w:vertAlign w:val="baseline"/>
        </w:rPr>
        <w:t>(</w:t>
      </w:r>
      <w:r>
        <w:rPr>
          <w:rFonts w:ascii="Cambria" w:hAnsi="Cambria"/>
          <w:w w:val="125"/>
          <w:vertAlign w:val="baseline"/>
        </w:rPr>
        <w:t>x,</w:t>
      </w:r>
      <w:r>
        <w:rPr>
          <w:rFonts w:ascii="Cambria" w:hAnsi="Cambria"/>
          <w:spacing w:val="-24"/>
          <w:w w:val="125"/>
          <w:vertAlign w:val="baseline"/>
        </w:rPr>
        <w:t> </w:t>
      </w:r>
      <w:r>
        <w:rPr>
          <w:rFonts w:ascii="Cambria" w:hAnsi="Cambria"/>
          <w:spacing w:val="-2"/>
          <w:w w:val="125"/>
          <w:vertAlign w:val="baseline"/>
        </w:rPr>
        <w:t>y</w:t>
      </w:r>
      <w:r>
        <w:rPr>
          <w:rFonts w:ascii="Garamond" w:hAnsi="Garamond"/>
          <w:spacing w:val="-2"/>
          <w:w w:val="125"/>
          <w:vertAlign w:val="baseline"/>
        </w:rPr>
        <w:t>)</w:t>
      </w:r>
      <w:r>
        <w:rPr>
          <w:rFonts w:ascii="Cambria" w:hAnsi="Cambria"/>
          <w:spacing w:val="-2"/>
          <w:w w:val="125"/>
          <w:vertAlign w:val="baseline"/>
        </w:rPr>
        <w:t>P</w:t>
      </w:r>
      <w:r>
        <w:rPr>
          <w:rFonts w:ascii="Cambria" w:hAnsi="Cambria"/>
          <w:spacing w:val="-2"/>
          <w:w w:val="125"/>
          <w:vertAlign w:val="superscript"/>
        </w:rPr>
        <w:t>σ</w:t>
      </w:r>
      <w:r>
        <w:rPr>
          <w:rFonts w:ascii="Garamond" w:hAnsi="Garamond"/>
          <w:spacing w:val="-2"/>
          <w:w w:val="125"/>
          <w:vertAlign w:val="baseline"/>
        </w:rPr>
        <w:t>(</w:t>
      </w:r>
      <w:r>
        <w:rPr>
          <w:rFonts w:ascii="Cambria" w:hAnsi="Cambria"/>
          <w:spacing w:val="-2"/>
          <w:w w:val="125"/>
          <w:vertAlign w:val="baseline"/>
        </w:rPr>
        <w:t>s</w:t>
      </w:r>
      <w:r>
        <w:rPr>
          <w:rFonts w:ascii="Garamond" w:hAnsi="Garamond"/>
          <w:spacing w:val="-2"/>
          <w:w w:val="125"/>
          <w:vertAlign w:val="baseline"/>
        </w:rPr>
        <w:t>)</w:t>
      </w:r>
      <w:r>
        <w:rPr>
          <w:rFonts w:ascii="Georgia" w:hAnsi="Georgia"/>
          <w:spacing w:val="-2"/>
          <w:w w:val="125"/>
          <w:position w:val="7"/>
          <w:sz w:val="16"/>
          <w:vertAlign w:val="baseline"/>
        </w:rPr>
        <w:t>2</w:t>
      </w:r>
    </w:p>
    <w:p>
      <w:pPr>
        <w:spacing w:after="0"/>
        <w:jc w:val="center"/>
        <w:rPr>
          <w:rFonts w:ascii="Georgia" w:hAnsi="Georgia"/>
          <w:sz w:val="16"/>
        </w:rPr>
        <w:sectPr>
          <w:type w:val="continuous"/>
          <w:pgSz w:w="11910" w:h="16840"/>
          <w:pgMar w:header="1961" w:footer="1428" w:top="1920" w:bottom="280" w:left="1680" w:right="720"/>
        </w:sectPr>
      </w:pPr>
    </w:p>
    <w:p>
      <w:pPr>
        <w:pStyle w:val="BodyText"/>
        <w:rPr>
          <w:rFonts w:ascii="Georgia"/>
          <w:sz w:val="16"/>
        </w:rPr>
      </w:pPr>
    </w:p>
    <w:p>
      <w:pPr>
        <w:pStyle w:val="BodyText"/>
        <w:spacing w:before="9"/>
        <w:rPr>
          <w:rFonts w:ascii="Georgia"/>
          <w:sz w:val="15"/>
        </w:rPr>
      </w:pPr>
    </w:p>
    <w:p>
      <w:pPr>
        <w:spacing w:line="173" w:lineRule="exact" w:before="0"/>
        <w:ind w:left="3412" w:right="0" w:firstLine="0"/>
        <w:jc w:val="left"/>
        <w:rPr>
          <w:rFonts w:ascii="Cambria" w:hAnsi="Cambria"/>
          <w:sz w:val="16"/>
        </w:rPr>
      </w:pPr>
      <w:r>
        <w:rPr/>
        <w:pict>
          <v:shape style="position:absolute;margin-left:232.037003pt;margin-top:1.490965pt;width:22.6pt;height:14.45pt;mso-position-horizontal-relative:page;mso-position-vertical-relative:paragraph;z-index:15817728" type="#_x0000_t202" id="docshape192" filled="false" stroked="false">
            <v:textbox inset="0,0,0,0">
              <w:txbxContent>
                <w:p>
                  <w:pPr>
                    <w:pStyle w:val="BodyText"/>
                    <w:spacing w:line="273" w:lineRule="exact"/>
                  </w:pPr>
                  <w:r>
                    <w:rPr>
                      <w:spacing w:val="-5"/>
                    </w:rPr>
                    <w:t>EPV</w:t>
                  </w:r>
                </w:p>
              </w:txbxContent>
            </v:textbox>
            <w10:wrap type="none"/>
          </v:shape>
        </w:pict>
      </w:r>
      <w:r>
        <w:rPr>
          <w:rFonts w:ascii="Cambria" w:hAnsi="Cambria"/>
          <w:w w:val="105"/>
          <w:sz w:val="16"/>
        </w:rPr>
        <w:t>σ</w:t>
      </w:r>
    </w:p>
    <w:p>
      <w:pPr>
        <w:spacing w:line="173" w:lineRule="exact" w:before="0"/>
        <w:ind w:left="3412" w:right="0" w:firstLine="0"/>
        <w:jc w:val="left"/>
        <w:rPr>
          <w:rFonts w:ascii="Georgia"/>
          <w:sz w:val="16"/>
        </w:rPr>
      </w:pPr>
      <w:r>
        <w:rPr>
          <w:rFonts w:ascii="Georgia"/>
          <w:spacing w:val="-4"/>
          <w:w w:val="115"/>
          <w:sz w:val="16"/>
        </w:rPr>
        <w:t>(</w:t>
      </w:r>
      <w:r>
        <w:rPr>
          <w:rFonts w:ascii="Cambria"/>
          <w:spacing w:val="-4"/>
          <w:w w:val="115"/>
          <w:sz w:val="16"/>
        </w:rPr>
        <w:t>x,y</w:t>
      </w:r>
      <w:r>
        <w:rPr>
          <w:rFonts w:ascii="Georgia"/>
          <w:spacing w:val="-4"/>
          <w:w w:val="115"/>
          <w:sz w:val="16"/>
        </w:rPr>
        <w:t>)</w:t>
      </w:r>
    </w:p>
    <w:p>
      <w:pPr>
        <w:spacing w:line="27" w:lineRule="exact" w:before="0"/>
        <w:ind w:left="1065" w:right="0" w:firstLine="0"/>
        <w:jc w:val="left"/>
        <w:rPr>
          <w:rFonts w:ascii="Cambria"/>
          <w:sz w:val="16"/>
        </w:rPr>
      </w:pPr>
      <w:r>
        <w:rPr/>
        <w:br w:type="column"/>
      </w:r>
      <w:r>
        <w:rPr>
          <w:rFonts w:ascii="Cambria"/>
          <w:spacing w:val="-10"/>
          <w:w w:val="105"/>
          <w:sz w:val="16"/>
        </w:rPr>
        <w:t>k</w:t>
      </w:r>
    </w:p>
    <w:p>
      <w:pPr>
        <w:pStyle w:val="BodyText"/>
        <w:spacing w:before="6"/>
        <w:rPr>
          <w:rFonts w:ascii="Cambria"/>
          <w:sz w:val="18"/>
        </w:rPr>
      </w:pPr>
      <w:r>
        <w:rPr/>
        <w:pict>
          <v:shape style="position:absolute;margin-left:300.997009pt;margin-top:12.053668pt;width:121.25pt;height:.1pt;mso-position-horizontal-relative:page;mso-position-vertical-relative:paragraph;z-index:-15643648;mso-wrap-distance-left:0;mso-wrap-distance-right:0" id="docshape193" coordorigin="6020,241" coordsize="2425,0" path="m6020,241l8444,241e" filled="false" stroked="true" strokeweight=".478pt" strokecolor="#000000">
            <v:path arrowok="t"/>
            <v:stroke dashstyle="solid"/>
            <w10:wrap type="topAndBottom"/>
          </v:shape>
        </w:pict>
      </w:r>
    </w:p>
    <w:p>
      <w:pPr>
        <w:pStyle w:val="BodyText"/>
        <w:tabs>
          <w:tab w:pos="909" w:val="left" w:leader="none"/>
        </w:tabs>
        <w:spacing w:before="112"/>
        <w:ind w:left="36"/>
        <w:rPr>
          <w:rFonts w:ascii="Garamond" w:hAnsi="Garamond"/>
        </w:rPr>
      </w:pPr>
      <w:r>
        <w:rPr>
          <w:rFonts w:ascii="Garamond" w:hAnsi="Garamond"/>
          <w:spacing w:val="-10"/>
          <w:w w:val="115"/>
        </w:rPr>
        <w:t>=</w:t>
      </w:r>
      <w:r>
        <w:rPr>
          <w:rFonts w:ascii="Garamond" w:hAnsi="Garamond"/>
        </w:rPr>
        <w:tab/>
      </w:r>
      <w:r>
        <w:rPr>
          <w:rFonts w:ascii="Cambria" w:hAnsi="Cambria"/>
          <w:spacing w:val="9"/>
          <w:w w:val="110"/>
        </w:rPr>
        <w:t>P</w:t>
      </w:r>
      <w:r>
        <w:rPr>
          <w:rFonts w:ascii="Cambria" w:hAnsi="Cambria"/>
          <w:spacing w:val="9"/>
          <w:w w:val="110"/>
          <w:position w:val="7"/>
          <w:sz w:val="16"/>
        </w:rPr>
        <w:t>σ</w:t>
      </w:r>
      <w:r>
        <w:rPr>
          <w:rFonts w:ascii="Garamond" w:hAnsi="Garamond"/>
          <w:spacing w:val="9"/>
          <w:w w:val="110"/>
        </w:rPr>
        <w:t>(</w:t>
      </w:r>
      <w:r>
        <w:rPr>
          <w:rFonts w:ascii="Cambria" w:hAnsi="Cambria"/>
          <w:spacing w:val="9"/>
          <w:w w:val="110"/>
        </w:rPr>
        <w:t>s</w:t>
      </w:r>
      <w:r>
        <w:rPr>
          <w:rFonts w:ascii="Garamond" w:hAnsi="Garamond"/>
          <w:spacing w:val="9"/>
          <w:w w:val="110"/>
        </w:rPr>
        <w:t>;</w:t>
      </w:r>
      <w:r>
        <w:rPr>
          <w:rFonts w:ascii="Garamond" w:hAnsi="Garamond"/>
          <w:spacing w:val="-12"/>
          <w:w w:val="110"/>
        </w:rPr>
        <w:t> </w:t>
      </w:r>
      <w:r>
        <w:rPr>
          <w:rFonts w:ascii="Cambria" w:hAnsi="Cambria"/>
          <w:w w:val="110"/>
        </w:rPr>
        <w:t>x,</w:t>
      </w:r>
      <w:r>
        <w:rPr>
          <w:rFonts w:ascii="Cambria" w:hAnsi="Cambria"/>
          <w:spacing w:val="-4"/>
          <w:w w:val="110"/>
        </w:rPr>
        <w:t> </w:t>
      </w:r>
      <w:r>
        <w:rPr>
          <w:rFonts w:ascii="Cambria" w:hAnsi="Cambria"/>
          <w:spacing w:val="-2"/>
          <w:w w:val="110"/>
        </w:rPr>
        <w:t>y</w:t>
      </w:r>
      <w:r>
        <w:rPr>
          <w:rFonts w:ascii="Garamond" w:hAnsi="Garamond"/>
          <w:spacing w:val="-2"/>
          <w:w w:val="110"/>
        </w:rPr>
        <w:t>)</w:t>
      </w:r>
      <w:r>
        <w:rPr>
          <w:rFonts w:ascii="Georgia" w:hAnsi="Georgia"/>
          <w:spacing w:val="-2"/>
          <w:w w:val="110"/>
          <w:position w:val="7"/>
          <w:sz w:val="16"/>
        </w:rPr>
        <w:t>2</w:t>
      </w:r>
      <w:r>
        <w:rPr>
          <w:spacing w:val="-2"/>
          <w:w w:val="110"/>
        </w:rPr>
        <w:t>Points</w:t>
      </w:r>
      <w:r>
        <w:rPr>
          <w:rFonts w:ascii="Garamond" w:hAnsi="Garamond"/>
          <w:spacing w:val="-2"/>
          <w:w w:val="110"/>
        </w:rPr>
        <w:t>(</w:t>
      </w:r>
      <w:r>
        <w:rPr>
          <w:rFonts w:ascii="Cambria" w:hAnsi="Cambria"/>
          <w:spacing w:val="-2"/>
          <w:w w:val="110"/>
        </w:rPr>
        <w:t>s</w:t>
      </w:r>
      <w:r>
        <w:rPr>
          <w:rFonts w:ascii="Garamond" w:hAnsi="Garamond"/>
          <w:spacing w:val="-2"/>
          <w:w w:val="110"/>
        </w:rPr>
        <w:t>)</w:t>
      </w:r>
    </w:p>
    <w:p>
      <w:pPr>
        <w:spacing w:before="41"/>
        <w:ind w:left="545" w:right="0" w:firstLine="0"/>
        <w:jc w:val="left"/>
        <w:rPr>
          <w:rFonts w:ascii="Cambria" w:hAnsi="Cambria"/>
          <w:sz w:val="16"/>
        </w:rPr>
      </w:pPr>
      <w:r>
        <w:rPr>
          <w:rFonts w:ascii="Cambria" w:hAnsi="Cambria"/>
          <w:spacing w:val="-5"/>
          <w:w w:val="110"/>
          <w:sz w:val="16"/>
        </w:rPr>
        <w:t>s</w:t>
      </w:r>
      <w:r>
        <w:rPr>
          <w:rFonts w:ascii="Lucida Sans Unicode" w:hAnsi="Lucida Sans Unicode"/>
          <w:spacing w:val="-5"/>
          <w:w w:val="110"/>
          <w:sz w:val="16"/>
        </w:rPr>
        <w:t>∈</w:t>
      </w:r>
      <w:r>
        <w:rPr>
          <w:rFonts w:ascii="Cambria" w:hAnsi="Cambria"/>
          <w:spacing w:val="-5"/>
          <w:w w:val="110"/>
          <w:sz w:val="16"/>
        </w:rPr>
        <w:t>S</w:t>
      </w:r>
    </w:p>
    <w:p>
      <w:pPr>
        <w:spacing w:after="0"/>
        <w:jc w:val="left"/>
        <w:rPr>
          <w:rFonts w:ascii="Cambria" w:hAnsi="Cambria"/>
          <w:sz w:val="16"/>
        </w:rPr>
        <w:sectPr>
          <w:type w:val="continuous"/>
          <w:pgSz w:w="11910" w:h="16840"/>
          <w:pgMar w:header="1961" w:footer="1428" w:top="1920" w:bottom="280" w:left="1680" w:right="720"/>
          <w:cols w:num="2" w:equalWidth="0">
            <w:col w:w="3776" w:space="40"/>
            <w:col w:w="5694"/>
          </w:cols>
        </w:sectPr>
      </w:pPr>
    </w:p>
    <w:p>
      <w:pPr>
        <w:pStyle w:val="BodyText"/>
        <w:spacing w:line="312" w:lineRule="auto" w:before="128"/>
        <w:ind w:left="610" w:right="389" w:firstLine="351"/>
        <w:jc w:val="both"/>
      </w:pPr>
      <w:r>
        <w:rPr/>
        <w:pict>
          <v:shape style="position:absolute;margin-left:261.29599pt;margin-top:85.637978pt;width:19.95pt;height:9.65pt;mso-position-horizontal-relative:page;mso-position-vertical-relative:paragraph;z-index:-21725696" type="#_x0000_t202" id="docshape194" filled="false" stroked="false">
            <v:textbox inset="0,0,0,0">
              <w:txbxContent>
                <w:p>
                  <w:pPr>
                    <w:spacing w:line="182" w:lineRule="exact" w:before="0"/>
                    <w:ind w:left="0" w:right="0" w:firstLine="0"/>
                    <w:jc w:val="left"/>
                    <w:rPr>
                      <w:sz w:val="16"/>
                    </w:rPr>
                  </w:pPr>
                  <w:r>
                    <w:rPr>
                      <w:spacing w:val="-4"/>
                      <w:sz w:val="16"/>
                    </w:rPr>
                    <w:t>model</w:t>
                  </w:r>
                </w:p>
              </w:txbxContent>
            </v:textbox>
            <w10:wrap type="none"/>
          </v:shape>
        </w:pict>
      </w:r>
      <w:r>
        <w:rPr/>
        <w:t>A</w:t>
      </w:r>
      <w:r>
        <w:rPr>
          <w:spacing w:val="-3"/>
        </w:rPr>
        <w:t> </w:t>
      </w:r>
      <w:r>
        <w:rPr/>
        <w:t>smooth</w:t>
      </w:r>
      <w:r>
        <w:rPr>
          <w:spacing w:val="-1"/>
        </w:rPr>
        <w:t> </w:t>
      </w:r>
      <w:r>
        <w:rPr/>
        <w:t>pitch</w:t>
      </w:r>
      <w:r>
        <w:rPr>
          <w:spacing w:val="-1"/>
        </w:rPr>
        <w:t> </w:t>
      </w:r>
      <w:r>
        <w:rPr/>
        <w:t>surface</w:t>
      </w:r>
      <w:r>
        <w:rPr>
          <w:spacing w:val="-1"/>
        </w:rPr>
        <w:t> </w:t>
      </w:r>
      <w:r>
        <w:rPr/>
        <w:t>was</w:t>
      </w:r>
      <w:r>
        <w:rPr>
          <w:spacing w:val="-1"/>
        </w:rPr>
        <w:t> </w:t>
      </w:r>
      <w:r>
        <w:rPr/>
        <w:t>produced</w:t>
      </w:r>
      <w:r>
        <w:rPr>
          <w:spacing w:val="-1"/>
        </w:rPr>
        <w:t> </w:t>
      </w:r>
      <w:r>
        <w:rPr/>
        <w:t>by</w:t>
      </w:r>
      <w:r>
        <w:rPr>
          <w:spacing w:val="-1"/>
        </w:rPr>
        <w:t> </w:t>
      </w:r>
      <w:r>
        <w:rPr/>
        <w:t>calculating</w:t>
      </w:r>
      <w:r>
        <w:rPr>
          <w:spacing w:val="-1"/>
        </w:rPr>
        <w:t> </w:t>
      </w:r>
      <w:r>
        <w:rPr/>
        <w:t>these</w:t>
      </w:r>
      <w:r>
        <w:rPr>
          <w:spacing w:val="-1"/>
        </w:rPr>
        <w:t> </w:t>
      </w:r>
      <w:r>
        <w:rPr/>
        <w:t>values</w:t>
      </w:r>
      <w:r>
        <w:rPr>
          <w:spacing w:val="-1"/>
        </w:rPr>
        <w:t> </w:t>
      </w:r>
      <w:r>
        <w:rPr/>
        <w:t>for</w:t>
      </w:r>
      <w:r>
        <w:rPr>
          <w:spacing w:val="-1"/>
        </w:rPr>
        <w:t> </w:t>
      </w:r>
      <w:r>
        <w:rPr/>
        <w:t>every</w:t>
      </w:r>
      <w:r>
        <w:rPr>
          <w:spacing w:val="-1"/>
        </w:rPr>
        <w:t> </w:t>
      </w:r>
      <w:r>
        <w:rPr>
          <w:rFonts w:ascii="Cambria"/>
        </w:rPr>
        <w:t>x,</w:t>
      </w:r>
      <w:r>
        <w:rPr>
          <w:rFonts w:ascii="Cambria"/>
          <w:spacing w:val="-14"/>
        </w:rPr>
        <w:t> </w:t>
      </w:r>
      <w:r>
        <w:rPr>
          <w:rFonts w:ascii="Cambria"/>
        </w:rPr>
        <w:t>y </w:t>
      </w:r>
      <w:r>
        <w:rPr/>
        <w:t>loca- tion on the pitch.</w:t>
      </w:r>
      <w:r>
        <w:rPr>
          <w:spacing w:val="40"/>
        </w:rPr>
        <w:t> </w:t>
      </w:r>
      <w:r>
        <w:rPr/>
        <w:t>Smooth pitch surfaces were produced for each of the five </w:t>
      </w:r>
      <w:r>
        <w:rPr/>
        <w:t>possession outcomes and EPV for the whole league model and every team attacking and defend- ing</w:t>
      </w:r>
      <w:r>
        <w:rPr>
          <w:spacing w:val="1"/>
        </w:rPr>
        <w:t> </w:t>
      </w:r>
      <w:r>
        <w:rPr/>
        <w:t>model.</w:t>
      </w:r>
      <w:r>
        <w:rPr>
          <w:spacing w:val="29"/>
        </w:rPr>
        <w:t> </w:t>
      </w:r>
      <w:r>
        <w:rPr/>
        <w:t>For</w:t>
      </w:r>
      <w:r>
        <w:rPr>
          <w:spacing w:val="1"/>
        </w:rPr>
        <w:t> </w:t>
      </w:r>
      <w:r>
        <w:rPr/>
        <w:t>notation</w:t>
      </w:r>
      <w:r>
        <w:rPr>
          <w:spacing w:val="2"/>
        </w:rPr>
        <w:t> </w:t>
      </w:r>
      <w:r>
        <w:rPr/>
        <w:t>purposes,</w:t>
      </w:r>
      <w:r>
        <w:rPr>
          <w:spacing w:val="3"/>
        </w:rPr>
        <w:t> </w:t>
      </w:r>
      <w:r>
        <w:rPr/>
        <w:t>the</w:t>
      </w:r>
      <w:r>
        <w:rPr>
          <w:spacing w:val="1"/>
        </w:rPr>
        <w:t> </w:t>
      </w:r>
      <w:r>
        <w:rPr/>
        <w:t>complete</w:t>
      </w:r>
      <w:r>
        <w:rPr>
          <w:spacing w:val="1"/>
        </w:rPr>
        <w:t> </w:t>
      </w:r>
      <w:r>
        <w:rPr/>
        <w:t>smooth</w:t>
      </w:r>
      <w:r>
        <w:rPr>
          <w:spacing w:val="1"/>
        </w:rPr>
        <w:t> </w:t>
      </w:r>
      <w:r>
        <w:rPr/>
        <w:t>pitch</w:t>
      </w:r>
      <w:r>
        <w:rPr>
          <w:spacing w:val="1"/>
        </w:rPr>
        <w:t> </w:t>
      </w:r>
      <w:r>
        <w:rPr/>
        <w:t>surface</w:t>
      </w:r>
      <w:r>
        <w:rPr>
          <w:spacing w:val="1"/>
        </w:rPr>
        <w:t> </w:t>
      </w:r>
      <w:r>
        <w:rPr/>
        <w:t>is</w:t>
      </w:r>
      <w:r>
        <w:rPr>
          <w:spacing w:val="2"/>
        </w:rPr>
        <w:t> </w:t>
      </w:r>
      <w:r>
        <w:rPr/>
        <w:t>referred</w:t>
      </w:r>
      <w:r>
        <w:rPr>
          <w:spacing w:val="1"/>
        </w:rPr>
        <w:t> </w:t>
      </w:r>
      <w:r>
        <w:rPr/>
        <w:t>to</w:t>
      </w:r>
      <w:r>
        <w:rPr>
          <w:spacing w:val="1"/>
        </w:rPr>
        <w:t> </w:t>
      </w:r>
      <w:r>
        <w:rPr>
          <w:spacing w:val="-4"/>
        </w:rPr>
        <w:t>from</w:t>
      </w:r>
    </w:p>
    <w:p>
      <w:pPr>
        <w:spacing w:after="0" w:line="312" w:lineRule="auto"/>
        <w:jc w:val="both"/>
        <w:sectPr>
          <w:type w:val="continuous"/>
          <w:pgSz w:w="11910" w:h="16840"/>
          <w:pgMar w:header="1961" w:footer="1428" w:top="1920" w:bottom="280" w:left="1680" w:right="720"/>
        </w:sectPr>
      </w:pPr>
    </w:p>
    <w:p>
      <w:pPr>
        <w:pStyle w:val="BodyText"/>
        <w:spacing w:line="279" w:lineRule="exact"/>
        <w:ind w:left="610"/>
        <w:rPr>
          <w:rFonts w:ascii="Cambria" w:hAnsi="Cambria" w:cs="Cambria" w:eastAsia="Cambria"/>
        </w:rPr>
      </w:pPr>
      <w:r>
        <w:rPr/>
        <w:pict>
          <v:shape style="position:absolute;margin-left:180.130997pt;margin-top:7.140815pt;width:19.95pt;height:9.65pt;mso-position-horizontal-relative:page;mso-position-vertical-relative:paragraph;z-index:-21726208" type="#_x0000_t202" id="docshape195" filled="false" stroked="false">
            <v:textbox inset="0,0,0,0">
              <w:txbxContent>
                <w:p>
                  <w:pPr>
                    <w:spacing w:line="182" w:lineRule="exact" w:before="0"/>
                    <w:ind w:left="0" w:right="0" w:firstLine="0"/>
                    <w:jc w:val="left"/>
                    <w:rPr>
                      <w:sz w:val="16"/>
                    </w:rPr>
                  </w:pPr>
                  <w:r>
                    <w:rPr>
                      <w:spacing w:val="-4"/>
                      <w:sz w:val="16"/>
                    </w:rPr>
                    <w:t>model</w:t>
                  </w:r>
                </w:p>
              </w:txbxContent>
            </v:textbox>
            <w10:wrap type="none"/>
          </v:shape>
        </w:pict>
      </w:r>
      <w:r>
        <w:rPr/>
        <w:t>hereonin</w:t>
      </w:r>
      <w:r>
        <w:rPr>
          <w:spacing w:val="-4"/>
        </w:rPr>
        <w:t> </w:t>
      </w:r>
      <w:r>
        <w:rPr/>
        <w:t>as</w:t>
      </w:r>
      <w:r>
        <w:rPr>
          <w:spacing w:val="-3"/>
        </w:rPr>
        <w:t> </w:t>
      </w:r>
      <w:r>
        <w:rPr>
          <w:rFonts w:ascii="Cambria" w:hAnsi="Cambria" w:cs="Cambria" w:eastAsia="Cambria"/>
          <w:spacing w:val="-5"/>
        </w:rPr>
        <w:t>P</w:t>
      </w:r>
      <w:r>
        <w:rPr>
          <w:rFonts w:ascii="Cambria" w:hAnsi="Cambria" w:cs="Cambria" w:eastAsia="Cambria"/>
          <w:spacing w:val="-5"/>
          <w:vertAlign w:val="superscript"/>
        </w:rPr>
        <w:t>ϕ</w:t>
      </w:r>
    </w:p>
    <w:p>
      <w:pPr>
        <w:pStyle w:val="BodyText"/>
        <w:spacing w:line="289" w:lineRule="exact"/>
        <w:ind w:left="235"/>
        <w:rPr>
          <w:rFonts w:ascii="Cambria" w:hAnsi="Cambria" w:cs="Cambria" w:eastAsia="Cambria"/>
        </w:rPr>
      </w:pPr>
      <w:r>
        <w:rPr/>
        <w:br w:type="column"/>
      </w:r>
      <w:r>
        <w:rPr>
          <w:rFonts w:ascii="Garamond" w:hAnsi="Garamond" w:cs="Garamond" w:eastAsia="Garamond"/>
        </w:rPr>
        <w:t>(</w:t>
      </w:r>
      <w:r>
        <w:rPr>
          <w:rFonts w:ascii="Cambria" w:hAnsi="Cambria" w:cs="Cambria" w:eastAsia="Cambria"/>
        </w:rPr>
        <w:t>s</w:t>
      </w:r>
      <w:r>
        <w:rPr>
          <w:rFonts w:ascii="Garamond" w:hAnsi="Garamond" w:cs="Garamond" w:eastAsia="Garamond"/>
        </w:rPr>
        <w:t>)</w:t>
      </w:r>
      <w:r>
        <w:rPr>
          <w:rFonts w:ascii="Garamond" w:hAnsi="Garamond" w:cs="Garamond" w:eastAsia="Garamond"/>
          <w:spacing w:val="23"/>
        </w:rPr>
        <w:t> </w:t>
      </w:r>
      <w:r>
        <w:rPr/>
        <w:t>and</w:t>
      </w:r>
      <w:r>
        <w:rPr>
          <w:spacing w:val="24"/>
        </w:rPr>
        <w:t> </w:t>
      </w:r>
      <w:r>
        <w:rPr>
          <w:spacing w:val="-6"/>
        </w:rPr>
        <w:t>EPV</w:t>
      </w:r>
      <w:r>
        <w:rPr>
          <w:rFonts w:ascii="Cambria" w:hAnsi="Cambria" w:cs="Cambria" w:eastAsia="Cambria"/>
          <w:spacing w:val="-6"/>
          <w:vertAlign w:val="superscript"/>
        </w:rPr>
        <w:t>ϕ</w:t>
      </w:r>
    </w:p>
    <w:p>
      <w:pPr>
        <w:pStyle w:val="BodyText"/>
        <w:spacing w:line="279" w:lineRule="exact"/>
        <w:ind w:left="267"/>
        <w:rPr>
          <w:rFonts w:ascii="Cambria"/>
        </w:rPr>
      </w:pPr>
      <w:r>
        <w:rPr/>
        <w:br w:type="column"/>
      </w:r>
      <w:r>
        <w:rPr/>
        <w:t>;</w:t>
      </w:r>
      <w:r>
        <w:rPr>
          <w:spacing w:val="-2"/>
        </w:rPr>
        <w:t> </w:t>
      </w:r>
      <w:r>
        <w:rPr/>
        <w:t>where</w:t>
      </w:r>
      <w:r>
        <w:rPr>
          <w:spacing w:val="-4"/>
        </w:rPr>
        <w:t> </w:t>
      </w:r>
      <w:r>
        <w:rPr/>
        <w:t>model</w:t>
      </w:r>
      <w:r>
        <w:rPr>
          <w:spacing w:val="-3"/>
        </w:rPr>
        <w:t> </w:t>
      </w:r>
      <w:r>
        <w:rPr/>
        <w:t>refers</w:t>
      </w:r>
      <w:r>
        <w:rPr>
          <w:spacing w:val="-4"/>
        </w:rPr>
        <w:t> </w:t>
      </w:r>
      <w:r>
        <w:rPr/>
        <w:t>to</w:t>
      </w:r>
      <w:r>
        <w:rPr>
          <w:spacing w:val="-3"/>
        </w:rPr>
        <w:t> </w:t>
      </w:r>
      <w:r>
        <w:rPr/>
        <w:t>the</w:t>
      </w:r>
      <w:r>
        <w:rPr>
          <w:spacing w:val="-4"/>
        </w:rPr>
        <w:t> </w:t>
      </w:r>
      <w:r>
        <w:rPr/>
        <w:t>model</w:t>
      </w:r>
      <w:r>
        <w:rPr>
          <w:spacing w:val="-3"/>
        </w:rPr>
        <w:t> </w:t>
      </w:r>
      <w:r>
        <w:rPr/>
        <w:t>used</w:t>
      </w:r>
      <w:r>
        <w:rPr>
          <w:spacing w:val="-4"/>
        </w:rPr>
        <w:t> </w:t>
      </w:r>
      <w:r>
        <w:rPr/>
        <w:t>to</w:t>
      </w:r>
      <w:r>
        <w:rPr>
          <w:spacing w:val="-3"/>
        </w:rPr>
        <w:t> </w:t>
      </w:r>
      <w:r>
        <w:rPr/>
        <w:t>evaluate</w:t>
      </w:r>
      <w:r>
        <w:rPr>
          <w:spacing w:val="-4"/>
        </w:rPr>
        <w:t> </w:t>
      </w:r>
      <w:r>
        <w:rPr>
          <w:rFonts w:ascii="Cambria"/>
          <w:spacing w:val="-5"/>
        </w:rPr>
        <w:t>P</w:t>
      </w:r>
      <w:r>
        <w:rPr>
          <w:rFonts w:ascii="Cambria"/>
          <w:spacing w:val="-5"/>
          <w:vertAlign w:val="subscript"/>
        </w:rPr>
        <w:t>k</w:t>
      </w:r>
    </w:p>
    <w:p>
      <w:pPr>
        <w:spacing w:after="0" w:line="279" w:lineRule="exact"/>
        <w:rPr>
          <w:rFonts w:ascii="Cambria"/>
        </w:rPr>
        <w:sectPr>
          <w:type w:val="continuous"/>
          <w:pgSz w:w="11910" w:h="16840"/>
          <w:pgMar w:header="1961" w:footer="1428" w:top="1920" w:bottom="280" w:left="1680" w:right="720"/>
          <w:cols w:num="3" w:equalWidth="0">
            <w:col w:w="2056" w:space="40"/>
            <w:col w:w="1551" w:space="39"/>
            <w:col w:w="5824"/>
          </w:cols>
        </w:sectPr>
      </w:pPr>
    </w:p>
    <w:p>
      <w:pPr>
        <w:pStyle w:val="BodyText"/>
        <w:spacing w:line="358" w:lineRule="exact" w:before="9"/>
        <w:ind w:left="610" w:right="389"/>
        <w:jc w:val="both"/>
        <w:rPr>
          <w:rFonts w:ascii="Garamond" w:hAnsi="Garamond" w:cs="Garamond" w:eastAsia="Garamond"/>
        </w:rPr>
      </w:pPr>
      <w:r>
        <w:rPr/>
        <w:t>(whole</w:t>
      </w:r>
      <w:r>
        <w:rPr>
          <w:spacing w:val="-1"/>
        </w:rPr>
        <w:t> </w:t>
      </w:r>
      <w:r>
        <w:rPr/>
        <w:t>league</w:t>
      </w:r>
      <w:r>
        <w:rPr>
          <w:spacing w:val="-1"/>
        </w:rPr>
        <w:t> </w:t>
      </w:r>
      <w:r>
        <w:rPr/>
        <w:t>(wl),</w:t>
      </w:r>
      <w:r>
        <w:rPr>
          <w:spacing w:val="-1"/>
        </w:rPr>
        <w:t> </w:t>
      </w:r>
      <w:r>
        <w:rPr/>
        <w:t>team</w:t>
      </w:r>
      <w:r>
        <w:rPr>
          <w:spacing w:val="-1"/>
        </w:rPr>
        <w:t> </w:t>
      </w:r>
      <w:r>
        <w:rPr/>
        <w:t>attacking</w:t>
      </w:r>
      <w:r>
        <w:rPr>
          <w:spacing w:val="-1"/>
        </w:rPr>
        <w:t> </w:t>
      </w:r>
      <w:r>
        <w:rPr/>
        <w:t>(att)</w:t>
      </w:r>
      <w:r>
        <w:rPr>
          <w:spacing w:val="-2"/>
        </w:rPr>
        <w:t> </w:t>
      </w:r>
      <w:r>
        <w:rPr/>
        <w:t>or</w:t>
      </w:r>
      <w:r>
        <w:rPr>
          <w:spacing w:val="-1"/>
        </w:rPr>
        <w:t> </w:t>
      </w:r>
      <w:r>
        <w:rPr/>
        <w:t>team</w:t>
      </w:r>
      <w:r>
        <w:rPr>
          <w:spacing w:val="-1"/>
        </w:rPr>
        <w:t> </w:t>
      </w:r>
      <w:r>
        <w:rPr/>
        <w:t>defending</w:t>
      </w:r>
      <w:r>
        <w:rPr>
          <w:spacing w:val="-1"/>
        </w:rPr>
        <w:t> </w:t>
      </w:r>
      <w:r>
        <w:rPr/>
        <w:t>(def))</w:t>
      </w:r>
      <w:r>
        <w:rPr>
          <w:spacing w:val="-1"/>
        </w:rPr>
        <w:t> </w:t>
      </w:r>
      <w:r>
        <w:rPr/>
        <w:t>and</w:t>
      </w:r>
      <w:r>
        <w:rPr>
          <w:spacing w:val="-2"/>
        </w:rPr>
        <w:t> </w:t>
      </w:r>
      <w:r>
        <w:rPr>
          <w:rFonts w:ascii="Cambria" w:hAnsi="Cambria" w:cs="Cambria" w:eastAsia="Cambria"/>
        </w:rPr>
        <w:t>ϕ </w:t>
      </w:r>
      <w:r>
        <w:rPr>
          <w:rFonts w:ascii="Lucida Sans Unicode" w:hAnsi="Lucida Sans Unicode" w:cs="Lucida Sans Unicode" w:eastAsia="Lucida Sans Unicode"/>
        </w:rPr>
        <w:t>∈</w:t>
      </w:r>
      <w:r>
        <w:rPr>
          <w:rFonts w:ascii="Lucida Sans Unicode" w:hAnsi="Lucida Sans Unicode" w:cs="Lucida Sans Unicode" w:eastAsia="Lucida Sans Unicode"/>
          <w:spacing w:val="-11"/>
        </w:rPr>
        <w:t> </w:t>
      </w:r>
      <w:r>
        <w:rPr>
          <w:rFonts w:ascii="Lucida Sans Unicode" w:hAnsi="Lucida Sans Unicode" w:cs="Lucida Sans Unicode" w:eastAsia="Lucida Sans Unicode"/>
        </w:rPr>
        <w:t>{</w:t>
      </w:r>
      <w:r>
        <w:rPr>
          <w:rFonts w:ascii="Cambria" w:hAnsi="Cambria" w:cs="Cambria" w:eastAsia="Cambria"/>
        </w:rPr>
        <w:t>µ,</w:t>
      </w:r>
      <w:r>
        <w:rPr>
          <w:rFonts w:ascii="Cambria" w:hAnsi="Cambria" w:cs="Cambria" w:eastAsia="Cambria"/>
          <w:spacing w:val="-14"/>
        </w:rPr>
        <w:t> </w:t>
      </w:r>
      <w:r>
        <w:rPr>
          <w:rFonts w:ascii="Cambria" w:hAnsi="Cambria" w:cs="Cambria" w:eastAsia="Cambria"/>
        </w:rPr>
        <w:t>σ</w:t>
      </w:r>
      <w:r>
        <w:rPr>
          <w:rFonts w:ascii="Lucida Sans Unicode" w:hAnsi="Lucida Sans Unicode" w:cs="Lucida Sans Unicode" w:eastAsia="Lucida Sans Unicode"/>
        </w:rPr>
        <w:t>}</w:t>
      </w:r>
      <w:r>
        <w:rPr>
          <w:rFonts w:ascii="Lucida Sans Unicode" w:hAnsi="Lucida Sans Unicode" w:cs="Lucida Sans Unicode" w:eastAsia="Lucida Sans Unicode"/>
          <w:spacing w:val="-16"/>
        </w:rPr>
        <w:t> </w:t>
      </w:r>
      <w:r>
        <w:rPr/>
        <w:t>denotes the</w:t>
      </w:r>
      <w:r>
        <w:rPr>
          <w:spacing w:val="-2"/>
        </w:rPr>
        <w:t> </w:t>
      </w:r>
      <w:r>
        <w:rPr/>
        <w:t>posterior distribution mean or standard deviation measure used.</w:t>
      </w:r>
      <w:r>
        <w:rPr>
          <w:spacing w:val="24"/>
        </w:rPr>
        <w:t> </w:t>
      </w:r>
      <w:r>
        <w:rPr/>
        <w:t>Individual </w:t>
      </w:r>
      <w:r>
        <w:rPr>
          <w:rFonts w:ascii="Cambria" w:hAnsi="Cambria" w:cs="Cambria" w:eastAsia="Cambria"/>
        </w:rPr>
        <w:t>x,</w:t>
      </w:r>
      <w:r>
        <w:rPr>
          <w:rFonts w:ascii="Cambria" w:hAnsi="Cambria" w:cs="Cambria" w:eastAsia="Cambria"/>
          <w:spacing w:val="-14"/>
        </w:rPr>
        <w:t> </w:t>
      </w:r>
      <w:r>
        <w:rPr>
          <w:rFonts w:ascii="Cambria" w:hAnsi="Cambria" w:cs="Cambria" w:eastAsia="Cambria"/>
        </w:rPr>
        <w:t>y </w:t>
      </w:r>
      <w:r>
        <w:rPr/>
        <w:t>loca- tion</w:t>
      </w:r>
      <w:r>
        <w:rPr>
          <w:spacing w:val="-3"/>
        </w:rPr>
        <w:t> </w:t>
      </w:r>
      <w:r>
        <w:rPr/>
        <w:t>values</w:t>
      </w:r>
      <w:r>
        <w:rPr>
          <w:spacing w:val="-3"/>
        </w:rPr>
        <w:t> </w:t>
      </w:r>
      <w:r>
        <w:rPr/>
        <w:t>are</w:t>
      </w:r>
      <w:r>
        <w:rPr>
          <w:spacing w:val="-3"/>
        </w:rPr>
        <w:t> </w:t>
      </w:r>
      <w:r>
        <w:rPr/>
        <w:t>only</w:t>
      </w:r>
      <w:r>
        <w:rPr>
          <w:spacing w:val="-2"/>
        </w:rPr>
        <w:t> </w:t>
      </w:r>
      <w:r>
        <w:rPr/>
        <w:t>used</w:t>
      </w:r>
      <w:r>
        <w:rPr>
          <w:spacing w:val="-3"/>
        </w:rPr>
        <w:t> </w:t>
      </w:r>
      <w:r>
        <w:rPr/>
        <w:t>for</w:t>
      </w:r>
      <w:r>
        <w:rPr>
          <w:spacing w:val="-3"/>
        </w:rPr>
        <w:t> </w:t>
      </w:r>
      <w:r>
        <w:rPr/>
        <w:t>the</w:t>
      </w:r>
      <w:r>
        <w:rPr>
          <w:spacing w:val="-2"/>
        </w:rPr>
        <w:t> </w:t>
      </w:r>
      <w:r>
        <w:rPr/>
        <w:t>whole</w:t>
      </w:r>
      <w:r>
        <w:rPr>
          <w:spacing w:val="-3"/>
        </w:rPr>
        <w:t> </w:t>
      </w:r>
      <w:r>
        <w:rPr/>
        <w:t>league</w:t>
      </w:r>
      <w:r>
        <w:rPr>
          <w:spacing w:val="-3"/>
        </w:rPr>
        <w:t> </w:t>
      </w:r>
      <w:r>
        <w:rPr/>
        <w:t>model,</w:t>
      </w:r>
      <w:r>
        <w:rPr>
          <w:spacing w:val="-1"/>
        </w:rPr>
        <w:t> </w:t>
      </w:r>
      <w:r>
        <w:rPr/>
        <w:t>and</w:t>
      </w:r>
      <w:r>
        <w:rPr>
          <w:spacing w:val="-3"/>
        </w:rPr>
        <w:t> </w:t>
      </w:r>
      <w:r>
        <w:rPr/>
        <w:t>so</w:t>
      </w:r>
      <w:r>
        <w:rPr>
          <w:spacing w:val="-3"/>
        </w:rPr>
        <w:t> </w:t>
      </w:r>
      <w:r>
        <w:rPr/>
        <w:t>are</w:t>
      </w:r>
      <w:r>
        <w:rPr>
          <w:spacing w:val="-3"/>
        </w:rPr>
        <w:t> </w:t>
      </w:r>
      <w:r>
        <w:rPr/>
        <w:t>referred</w:t>
      </w:r>
      <w:r>
        <w:rPr>
          <w:spacing w:val="-2"/>
        </w:rPr>
        <w:t> </w:t>
      </w:r>
      <w:r>
        <w:rPr/>
        <w:t>to</w:t>
      </w:r>
      <w:r>
        <w:rPr>
          <w:spacing w:val="-3"/>
        </w:rPr>
        <w:t> </w:t>
      </w:r>
      <w:r>
        <w:rPr/>
        <w:t>as</w:t>
      </w:r>
      <w:r>
        <w:rPr>
          <w:spacing w:val="-3"/>
        </w:rPr>
        <w:t> </w:t>
      </w:r>
      <w:r>
        <w:rPr>
          <w:rFonts w:ascii="Cambria" w:hAnsi="Cambria" w:cs="Cambria" w:eastAsia="Cambria"/>
        </w:rPr>
        <w:t>P</w:t>
      </w:r>
      <w:r>
        <w:rPr>
          <w:rFonts w:ascii="Cambria" w:hAnsi="Cambria" w:cs="Cambria" w:eastAsia="Cambria"/>
          <w:vertAlign w:val="superscript"/>
        </w:rPr>
        <w:t>ϕ</w:t>
      </w:r>
      <w:r>
        <w:rPr>
          <w:rFonts w:ascii="Garamond" w:hAnsi="Garamond" w:cs="Garamond" w:eastAsia="Garamond"/>
          <w:vertAlign w:val="baseline"/>
        </w:rPr>
        <w:t>(</w:t>
      </w:r>
      <w:r>
        <w:rPr>
          <w:rFonts w:ascii="Cambria" w:hAnsi="Cambria" w:cs="Cambria" w:eastAsia="Cambria"/>
          <w:vertAlign w:val="baseline"/>
        </w:rPr>
        <w:t>s</w:t>
      </w:r>
      <w:r>
        <w:rPr>
          <w:rFonts w:ascii="Garamond" w:hAnsi="Garamond" w:cs="Garamond" w:eastAsia="Garamond"/>
          <w:vertAlign w:val="baseline"/>
        </w:rPr>
        <w:t>;</w:t>
      </w:r>
      <w:r>
        <w:rPr>
          <w:rFonts w:ascii="Garamond" w:hAnsi="Garamond" w:cs="Garamond" w:eastAsia="Garamond"/>
          <w:spacing w:val="-18"/>
          <w:vertAlign w:val="baseline"/>
        </w:rPr>
        <w:t> </w:t>
      </w:r>
      <w:r>
        <w:rPr>
          <w:rFonts w:ascii="Cambria" w:hAnsi="Cambria" w:cs="Cambria" w:eastAsia="Cambria"/>
          <w:vertAlign w:val="baseline"/>
        </w:rPr>
        <w:t>x,</w:t>
      </w:r>
      <w:r>
        <w:rPr>
          <w:rFonts w:ascii="Cambria" w:hAnsi="Cambria" w:cs="Cambria" w:eastAsia="Cambria"/>
          <w:spacing w:val="-11"/>
          <w:vertAlign w:val="baseline"/>
        </w:rPr>
        <w:t> </w:t>
      </w:r>
      <w:r>
        <w:rPr>
          <w:rFonts w:ascii="Cambria" w:hAnsi="Cambria" w:cs="Cambria" w:eastAsia="Cambria"/>
          <w:spacing w:val="-5"/>
          <w:vertAlign w:val="baseline"/>
        </w:rPr>
        <w:t>y</w:t>
      </w:r>
      <w:r>
        <w:rPr>
          <w:rFonts w:ascii="Garamond" w:hAnsi="Garamond" w:cs="Garamond" w:eastAsia="Garamond"/>
          <w:spacing w:val="-5"/>
          <w:vertAlign w:val="baseline"/>
        </w:rPr>
        <w:t>)</w:t>
      </w:r>
    </w:p>
    <w:p>
      <w:pPr>
        <w:pStyle w:val="BodyText"/>
        <w:spacing w:before="25"/>
        <w:ind w:left="610"/>
      </w:pPr>
      <w:r>
        <w:rPr/>
        <w:pict>
          <v:shape style="position:absolute;margin-left:157.412994pt;margin-top:11.388589pt;width:11.35pt;height:8pt;mso-position-horizontal-relative:page;mso-position-vertical-relative:paragraph;z-index:-21725184" type="#_x0000_t202" id="docshape196" filled="false" stroked="false">
            <v:textbox inset="0,0,0,0">
              <w:txbxContent>
                <w:p>
                  <w:pPr>
                    <w:spacing w:line="155" w:lineRule="exact" w:before="0"/>
                    <w:ind w:left="0" w:right="0" w:firstLine="0"/>
                    <w:jc w:val="left"/>
                    <w:rPr>
                      <w:rFonts w:ascii="Cambria"/>
                      <w:sz w:val="16"/>
                    </w:rPr>
                  </w:pPr>
                  <w:r>
                    <w:rPr>
                      <w:rFonts w:ascii="Cambria"/>
                      <w:spacing w:val="-5"/>
                      <w:w w:val="115"/>
                      <w:sz w:val="16"/>
                    </w:rPr>
                    <w:t>x,y</w:t>
                  </w:r>
                </w:p>
              </w:txbxContent>
            </v:textbox>
            <w10:wrap type="none"/>
          </v:shape>
        </w:pict>
      </w:r>
      <w:r>
        <w:rPr/>
        <w:t>and</w:t>
      </w:r>
      <w:r>
        <w:rPr>
          <w:spacing w:val="-4"/>
        </w:rPr>
        <w:t> </w:t>
      </w:r>
      <w:r>
        <w:rPr/>
        <w:t>EPV</w:t>
      </w:r>
      <w:r>
        <w:rPr>
          <w:rFonts w:ascii="Cambria" w:hAnsi="Cambria" w:cs="Cambria" w:eastAsia="Cambria"/>
          <w:vertAlign w:val="superscript"/>
        </w:rPr>
        <w:t>ϕ</w:t>
      </w:r>
      <w:r>
        <w:rPr>
          <w:rFonts w:ascii="Cambria" w:hAnsi="Cambria" w:cs="Cambria" w:eastAsia="Cambria"/>
          <w:spacing w:val="56"/>
          <w:w w:val="150"/>
          <w:vertAlign w:val="baseline"/>
        </w:rPr>
        <w:t> </w:t>
      </w:r>
      <w:r>
        <w:rPr>
          <w:vertAlign w:val="baseline"/>
        </w:rPr>
        <w:t>,</w:t>
      </w:r>
      <w:r>
        <w:rPr>
          <w:spacing w:val="-2"/>
          <w:vertAlign w:val="baseline"/>
        </w:rPr>
        <w:t> </w:t>
      </w:r>
      <w:r>
        <w:rPr>
          <w:vertAlign w:val="baseline"/>
        </w:rPr>
        <w:t>where</w:t>
      </w:r>
      <w:r>
        <w:rPr>
          <w:spacing w:val="-2"/>
          <w:vertAlign w:val="baseline"/>
        </w:rPr>
        <w:t> </w:t>
      </w:r>
      <w:r>
        <w:rPr>
          <w:rFonts w:ascii="Cambria" w:hAnsi="Cambria" w:cs="Cambria" w:eastAsia="Cambria"/>
          <w:vertAlign w:val="baseline"/>
        </w:rPr>
        <w:t>ϕ</w:t>
      </w:r>
      <w:r>
        <w:rPr>
          <w:rFonts w:ascii="Cambria" w:hAnsi="Cambria" w:cs="Cambria" w:eastAsia="Cambria"/>
          <w:spacing w:val="13"/>
          <w:vertAlign w:val="baseline"/>
        </w:rPr>
        <w:t> </w:t>
      </w:r>
      <w:r>
        <w:rPr>
          <w:rFonts w:ascii="Lucida Sans Unicode" w:hAnsi="Lucida Sans Unicode" w:cs="Lucida Sans Unicode" w:eastAsia="Lucida Sans Unicode"/>
          <w:vertAlign w:val="baseline"/>
        </w:rPr>
        <w:t>∈</w:t>
      </w:r>
      <w:r>
        <w:rPr>
          <w:rFonts w:ascii="Lucida Sans Unicode" w:hAnsi="Lucida Sans Unicode" w:cs="Lucida Sans Unicode" w:eastAsia="Lucida Sans Unicode"/>
          <w:spacing w:val="-11"/>
          <w:vertAlign w:val="baseline"/>
        </w:rPr>
        <w:t> </w:t>
      </w:r>
      <w:r>
        <w:rPr>
          <w:rFonts w:ascii="Lucida Sans Unicode" w:hAnsi="Lucida Sans Unicode" w:cs="Lucida Sans Unicode" w:eastAsia="Lucida Sans Unicode"/>
          <w:vertAlign w:val="baseline"/>
        </w:rPr>
        <w:t>{</w:t>
      </w:r>
      <w:r>
        <w:rPr>
          <w:rFonts w:ascii="Cambria" w:hAnsi="Cambria" w:cs="Cambria" w:eastAsia="Cambria"/>
          <w:vertAlign w:val="baseline"/>
        </w:rPr>
        <w:t>µ,</w:t>
      </w:r>
      <w:r>
        <w:rPr>
          <w:rFonts w:ascii="Cambria" w:hAnsi="Cambria" w:cs="Cambria" w:eastAsia="Cambria"/>
          <w:spacing w:val="-13"/>
          <w:vertAlign w:val="baseline"/>
        </w:rPr>
        <w:t> </w:t>
      </w:r>
      <w:r>
        <w:rPr>
          <w:rFonts w:ascii="Cambria" w:hAnsi="Cambria" w:cs="Cambria" w:eastAsia="Cambria"/>
          <w:vertAlign w:val="baseline"/>
        </w:rPr>
        <w:t>σ</w:t>
      </w:r>
      <w:r>
        <w:rPr>
          <w:rFonts w:ascii="Lucida Sans Unicode" w:hAnsi="Lucida Sans Unicode" w:cs="Lucida Sans Unicode" w:eastAsia="Lucida Sans Unicode"/>
          <w:vertAlign w:val="baseline"/>
        </w:rPr>
        <w:t>}</w:t>
      </w:r>
      <w:r>
        <w:rPr>
          <w:rFonts w:ascii="Lucida Sans Unicode" w:hAnsi="Lucida Sans Unicode" w:cs="Lucida Sans Unicode" w:eastAsia="Lucida Sans Unicode"/>
          <w:spacing w:val="-17"/>
          <w:vertAlign w:val="baseline"/>
        </w:rPr>
        <w:t> </w:t>
      </w:r>
      <w:r>
        <w:rPr>
          <w:vertAlign w:val="baseline"/>
        </w:rPr>
        <w:t>denotes</w:t>
      </w:r>
      <w:r>
        <w:rPr>
          <w:spacing w:val="-2"/>
          <w:vertAlign w:val="baseline"/>
        </w:rPr>
        <w:t> </w:t>
      </w:r>
      <w:r>
        <w:rPr>
          <w:vertAlign w:val="baseline"/>
        </w:rPr>
        <w:t>the</w:t>
      </w:r>
      <w:r>
        <w:rPr>
          <w:spacing w:val="-2"/>
          <w:vertAlign w:val="baseline"/>
        </w:rPr>
        <w:t> </w:t>
      </w:r>
      <w:r>
        <w:rPr>
          <w:vertAlign w:val="baseline"/>
        </w:rPr>
        <w:t>posterior</w:t>
      </w:r>
      <w:r>
        <w:rPr>
          <w:spacing w:val="-2"/>
          <w:vertAlign w:val="baseline"/>
        </w:rPr>
        <w:t> </w:t>
      </w:r>
      <w:r>
        <w:rPr>
          <w:vertAlign w:val="baseline"/>
        </w:rPr>
        <w:t>distribution</w:t>
      </w:r>
      <w:r>
        <w:rPr>
          <w:spacing w:val="-3"/>
          <w:vertAlign w:val="baseline"/>
        </w:rPr>
        <w:t> </w:t>
      </w:r>
      <w:r>
        <w:rPr>
          <w:vertAlign w:val="baseline"/>
        </w:rPr>
        <w:t>mean</w:t>
      </w:r>
      <w:r>
        <w:rPr>
          <w:spacing w:val="-2"/>
          <w:vertAlign w:val="baseline"/>
        </w:rPr>
        <w:t> </w:t>
      </w:r>
      <w:r>
        <w:rPr>
          <w:vertAlign w:val="baseline"/>
        </w:rPr>
        <w:t>or</w:t>
      </w:r>
      <w:r>
        <w:rPr>
          <w:spacing w:val="-2"/>
          <w:vertAlign w:val="baseline"/>
        </w:rPr>
        <w:t> </w:t>
      </w:r>
      <w:r>
        <w:rPr>
          <w:vertAlign w:val="baseline"/>
        </w:rPr>
        <w:t>standard</w:t>
      </w:r>
      <w:r>
        <w:rPr>
          <w:spacing w:val="-2"/>
          <w:vertAlign w:val="baseline"/>
        </w:rPr>
        <w:t> devia-</w:t>
      </w:r>
    </w:p>
    <w:p>
      <w:pPr>
        <w:pStyle w:val="BodyText"/>
        <w:spacing w:before="28"/>
        <w:ind w:left="610"/>
        <w:jc w:val="both"/>
      </w:pPr>
      <w:r>
        <w:rPr/>
        <w:t>tion</w:t>
      </w:r>
      <w:r>
        <w:rPr>
          <w:spacing w:val="-7"/>
        </w:rPr>
        <w:t> </w:t>
      </w:r>
      <w:r>
        <w:rPr/>
        <w:t>measure</w:t>
      </w:r>
      <w:r>
        <w:rPr>
          <w:spacing w:val="-7"/>
        </w:rPr>
        <w:t> </w:t>
      </w:r>
      <w:r>
        <w:rPr>
          <w:spacing w:val="-2"/>
        </w:rPr>
        <w:t>used.</w:t>
      </w:r>
    </w:p>
    <w:p>
      <w:pPr>
        <w:pStyle w:val="BodyText"/>
        <w:spacing w:before="10"/>
        <w:rPr>
          <w:sz w:val="41"/>
        </w:rPr>
      </w:pPr>
    </w:p>
    <w:p>
      <w:pPr>
        <w:pStyle w:val="Heading3"/>
        <w:numPr>
          <w:ilvl w:val="2"/>
          <w:numId w:val="24"/>
        </w:numPr>
        <w:tabs>
          <w:tab w:pos="1471" w:val="left" w:leader="none"/>
          <w:tab w:pos="1472" w:val="left" w:leader="none"/>
        </w:tabs>
        <w:spacing w:line="240" w:lineRule="auto" w:before="0" w:after="0"/>
        <w:ind w:left="1471" w:right="0" w:hanging="862"/>
        <w:jc w:val="left"/>
      </w:pPr>
      <w:bookmarkStart w:name="6.2.4 Expected Points Scored" w:id="331"/>
      <w:bookmarkEnd w:id="331"/>
      <w:r>
        <w:rPr>
          <w:b w:val="0"/>
        </w:rPr>
      </w:r>
      <w:bookmarkStart w:name="_bookmark193" w:id="332"/>
      <w:bookmarkEnd w:id="332"/>
      <w:r>
        <w:rPr/>
        <w:t>Expected</w:t>
      </w:r>
      <w:r>
        <w:rPr>
          <w:spacing w:val="16"/>
        </w:rPr>
        <w:t> </w:t>
      </w:r>
      <w:r>
        <w:rPr/>
        <w:t>Points</w:t>
      </w:r>
      <w:r>
        <w:rPr>
          <w:spacing w:val="17"/>
        </w:rPr>
        <w:t> </w:t>
      </w:r>
      <w:r>
        <w:rPr>
          <w:spacing w:val="-2"/>
        </w:rPr>
        <w:t>Scored</w:t>
      </w:r>
    </w:p>
    <w:p>
      <w:pPr>
        <w:pStyle w:val="BodyText"/>
        <w:spacing w:line="312" w:lineRule="auto" w:before="236"/>
        <w:ind w:left="610" w:right="389"/>
        <w:jc w:val="both"/>
      </w:pPr>
      <w:r>
        <w:rPr>
          <w:spacing w:val="-2"/>
        </w:rPr>
        <w:t>To</w:t>
      </w:r>
      <w:r>
        <w:rPr>
          <w:spacing w:val="-10"/>
        </w:rPr>
        <w:t> </w:t>
      </w:r>
      <w:r>
        <w:rPr>
          <w:spacing w:val="-2"/>
        </w:rPr>
        <w:t>provide</w:t>
      </w:r>
      <w:r>
        <w:rPr>
          <w:spacing w:val="-10"/>
        </w:rPr>
        <w:t> </w:t>
      </w:r>
      <w:r>
        <w:rPr>
          <w:spacing w:val="-2"/>
        </w:rPr>
        <w:t>a</w:t>
      </w:r>
      <w:r>
        <w:rPr>
          <w:spacing w:val="-10"/>
        </w:rPr>
        <w:t> </w:t>
      </w:r>
      <w:r>
        <w:rPr>
          <w:spacing w:val="-2"/>
        </w:rPr>
        <w:t>novel</w:t>
      </w:r>
      <w:r>
        <w:rPr>
          <w:spacing w:val="-10"/>
        </w:rPr>
        <w:t> </w:t>
      </w:r>
      <w:r>
        <w:rPr>
          <w:spacing w:val="-2"/>
        </w:rPr>
        <w:t>measure</w:t>
      </w:r>
      <w:r>
        <w:rPr>
          <w:spacing w:val="-10"/>
        </w:rPr>
        <w:t> </w:t>
      </w:r>
      <w:r>
        <w:rPr>
          <w:spacing w:val="-2"/>
        </w:rPr>
        <w:t>of</w:t>
      </w:r>
      <w:r>
        <w:rPr>
          <w:spacing w:val="-10"/>
        </w:rPr>
        <w:t> </w:t>
      </w:r>
      <w:r>
        <w:rPr>
          <w:spacing w:val="-2"/>
        </w:rPr>
        <w:t>underlying</w:t>
      </w:r>
      <w:r>
        <w:rPr>
          <w:spacing w:val="-10"/>
        </w:rPr>
        <w:t> </w:t>
      </w:r>
      <w:r>
        <w:rPr>
          <w:spacing w:val="-2"/>
        </w:rPr>
        <w:t>team</w:t>
      </w:r>
      <w:r>
        <w:rPr>
          <w:spacing w:val="-10"/>
        </w:rPr>
        <w:t> </w:t>
      </w:r>
      <w:r>
        <w:rPr>
          <w:spacing w:val="-2"/>
        </w:rPr>
        <w:t>performances</w:t>
      </w:r>
      <w:r>
        <w:rPr>
          <w:spacing w:val="-10"/>
        </w:rPr>
        <w:t> </w:t>
      </w:r>
      <w:r>
        <w:rPr>
          <w:spacing w:val="-2"/>
        </w:rPr>
        <w:t>in</w:t>
      </w:r>
      <w:r>
        <w:rPr>
          <w:spacing w:val="-10"/>
        </w:rPr>
        <w:t> </w:t>
      </w:r>
      <w:r>
        <w:rPr>
          <w:spacing w:val="-2"/>
        </w:rPr>
        <w:t>rugby</w:t>
      </w:r>
      <w:r>
        <w:rPr>
          <w:spacing w:val="-10"/>
        </w:rPr>
        <w:t> </w:t>
      </w:r>
      <w:r>
        <w:rPr>
          <w:spacing w:val="-2"/>
        </w:rPr>
        <w:t>league,</w:t>
      </w:r>
      <w:r>
        <w:rPr>
          <w:spacing w:val="-7"/>
        </w:rPr>
        <w:t> </w:t>
      </w:r>
      <w:r>
        <w:rPr>
          <w:spacing w:val="-2"/>
        </w:rPr>
        <w:t>an</w:t>
      </w:r>
      <w:r>
        <w:rPr>
          <w:spacing w:val="-10"/>
        </w:rPr>
        <w:t> </w:t>
      </w:r>
      <w:r>
        <w:rPr>
          <w:spacing w:val="-2"/>
        </w:rPr>
        <w:t>expected </w:t>
      </w:r>
      <w:r>
        <w:rPr/>
        <w:t>points scored metric was produced which combined the results of this study with the KDE models produced in Chapter</w:t>
      </w:r>
      <w:r>
        <w:rPr>
          <w:color w:val="0000FF"/>
        </w:rPr>
        <w:t>5</w:t>
      </w:r>
      <w:hyperlink w:history="true" w:anchor="_bookmark122">
        <w:r>
          <w:rPr/>
          <w:t>.</w:t>
        </w:r>
      </w:hyperlink>
      <w:r>
        <w:rPr/>
        <w:t> The expected points scored for a given team (team)</w:t>
      </w:r>
    </w:p>
    <w:p>
      <w:pPr>
        <w:spacing w:after="0" w:line="312" w:lineRule="auto"/>
        <w:jc w:val="both"/>
        <w:sectPr>
          <w:type w:val="continuous"/>
          <w:pgSz w:w="11910" w:h="16840"/>
          <w:pgMar w:header="1961" w:footer="1428" w:top="1920" w:bottom="28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versus</w:t>
      </w:r>
      <w:r>
        <w:rPr>
          <w:spacing w:val="-15"/>
        </w:rPr>
        <w:t> </w:t>
      </w:r>
      <w:r>
        <w:rPr/>
        <w:t>an</w:t>
      </w:r>
      <w:r>
        <w:rPr>
          <w:spacing w:val="-15"/>
        </w:rPr>
        <w:t> </w:t>
      </w:r>
      <w:r>
        <w:rPr/>
        <w:t>opponent</w:t>
      </w:r>
      <w:r>
        <w:rPr>
          <w:spacing w:val="-15"/>
        </w:rPr>
        <w:t> </w:t>
      </w:r>
      <w:r>
        <w:rPr/>
        <w:t>team</w:t>
      </w:r>
      <w:r>
        <w:rPr>
          <w:spacing w:val="-15"/>
        </w:rPr>
        <w:t> </w:t>
      </w:r>
      <w:r>
        <w:rPr/>
        <w:t>(opp)</w:t>
      </w:r>
      <w:r>
        <w:rPr>
          <w:spacing w:val="-15"/>
        </w:rPr>
        <w:t> </w:t>
      </w:r>
      <w:r>
        <w:rPr/>
        <w:t>was</w:t>
      </w:r>
      <w:r>
        <w:rPr>
          <w:spacing w:val="-15"/>
        </w:rPr>
        <w:t> </w:t>
      </w:r>
      <w:r>
        <w:rPr/>
        <w:t>calculated</w:t>
      </w:r>
      <w:r>
        <w:rPr>
          <w:spacing w:val="-15"/>
        </w:rPr>
        <w:t> </w:t>
      </w:r>
      <w:r>
        <w:rPr/>
        <w:t>via</w:t>
      </w:r>
      <w:r>
        <w:rPr>
          <w:spacing w:val="-15"/>
        </w:rPr>
        <w:t> </w:t>
      </w:r>
      <w:r>
        <w:rPr/>
        <w:t>Equation</w:t>
      </w:r>
      <w:hyperlink w:history="true" w:anchor="_bookmark194">
        <w:r>
          <w:rPr>
            <w:color w:val="0000FF"/>
          </w:rPr>
          <w:t>6.11</w:t>
        </w:r>
        <w:r>
          <w:rPr/>
          <w:t>.</w:t>
        </w:r>
      </w:hyperlink>
      <w:r>
        <w:rPr>
          <w:spacing w:val="-2"/>
        </w:rPr>
        <w:t> </w:t>
      </w:r>
      <w:r>
        <w:rPr/>
        <w:t>It</w:t>
      </w:r>
      <w:r>
        <w:rPr>
          <w:spacing w:val="-15"/>
        </w:rPr>
        <w:t> </w:t>
      </w:r>
      <w:r>
        <w:rPr/>
        <w:t>provides</w:t>
      </w:r>
      <w:r>
        <w:rPr>
          <w:spacing w:val="-15"/>
        </w:rPr>
        <w:t> </w:t>
      </w:r>
      <w:r>
        <w:rPr/>
        <w:t>a</w:t>
      </w:r>
      <w:r>
        <w:rPr>
          <w:spacing w:val="-15"/>
        </w:rPr>
        <w:t> </w:t>
      </w:r>
      <w:r>
        <w:rPr/>
        <w:t>quantitative measure</w:t>
      </w:r>
      <w:r>
        <w:rPr>
          <w:spacing w:val="-1"/>
        </w:rPr>
        <w:t> </w:t>
      </w:r>
      <w:r>
        <w:rPr/>
        <w:t>of</w:t>
      </w:r>
      <w:r>
        <w:rPr>
          <w:spacing w:val="-1"/>
        </w:rPr>
        <w:t> </w:t>
      </w:r>
      <w:r>
        <w:rPr/>
        <w:t>the</w:t>
      </w:r>
      <w:r>
        <w:rPr>
          <w:spacing w:val="-1"/>
        </w:rPr>
        <w:t> </w:t>
      </w:r>
      <w:r>
        <w:rPr/>
        <w:t>underlying</w:t>
      </w:r>
      <w:r>
        <w:rPr>
          <w:spacing w:val="-1"/>
        </w:rPr>
        <w:t> </w:t>
      </w:r>
      <w:r>
        <w:rPr/>
        <w:t>performance</w:t>
      </w:r>
      <w:r>
        <w:rPr>
          <w:spacing w:val="-1"/>
        </w:rPr>
        <w:t> </w:t>
      </w:r>
      <w:r>
        <w:rPr/>
        <w:t>of</w:t>
      </w:r>
      <w:r>
        <w:rPr>
          <w:spacing w:val="-1"/>
        </w:rPr>
        <w:t> </w:t>
      </w:r>
      <w:r>
        <w:rPr/>
        <w:t>the</w:t>
      </w:r>
      <w:r>
        <w:rPr>
          <w:spacing w:val="-1"/>
        </w:rPr>
        <w:t> </w:t>
      </w:r>
      <w:r>
        <w:rPr/>
        <w:t>chosen</w:t>
      </w:r>
      <w:r>
        <w:rPr>
          <w:spacing w:val="-1"/>
        </w:rPr>
        <w:t> </w:t>
      </w:r>
      <w:r>
        <w:rPr/>
        <w:t>team, by</w:t>
      </w:r>
      <w:r>
        <w:rPr>
          <w:spacing w:val="-1"/>
        </w:rPr>
        <w:t> </w:t>
      </w:r>
      <w:r>
        <w:rPr/>
        <w:t>estimating</w:t>
      </w:r>
      <w:r>
        <w:rPr>
          <w:spacing w:val="-1"/>
        </w:rPr>
        <w:t> </w:t>
      </w:r>
      <w:r>
        <w:rPr/>
        <w:t>the</w:t>
      </w:r>
      <w:r>
        <w:rPr>
          <w:spacing w:val="-1"/>
        </w:rPr>
        <w:t> </w:t>
      </w:r>
      <w:r>
        <w:rPr/>
        <w:t>number</w:t>
      </w:r>
      <w:r>
        <w:rPr>
          <w:spacing w:val="-1"/>
        </w:rPr>
        <w:t> </w:t>
      </w:r>
      <w:r>
        <w:rPr/>
        <w:t>of points they were expected to score based on the EPV model used (team attacking or opponent</w:t>
      </w:r>
      <w:r>
        <w:rPr>
          <w:spacing w:val="-11"/>
        </w:rPr>
        <w:t> </w:t>
      </w:r>
      <w:r>
        <w:rPr/>
        <w:t>defending),</w:t>
      </w:r>
      <w:r>
        <w:rPr>
          <w:spacing w:val="-10"/>
        </w:rPr>
        <w:t> </w:t>
      </w:r>
      <w:r>
        <w:rPr/>
        <w:t>the</w:t>
      </w:r>
      <w:r>
        <w:rPr>
          <w:spacing w:val="-11"/>
        </w:rPr>
        <w:t> </w:t>
      </w:r>
      <w:r>
        <w:rPr/>
        <w:t>KDE</w:t>
      </w:r>
      <w:r>
        <w:rPr>
          <w:spacing w:val="-11"/>
        </w:rPr>
        <w:t> </w:t>
      </w:r>
      <w:r>
        <w:rPr/>
        <w:t>model</w:t>
      </w:r>
      <w:r>
        <w:rPr>
          <w:spacing w:val="-11"/>
        </w:rPr>
        <w:t> </w:t>
      </w:r>
      <w:r>
        <w:rPr/>
        <w:t>of</w:t>
      </w:r>
      <w:r>
        <w:rPr>
          <w:spacing w:val="-11"/>
        </w:rPr>
        <w:t> </w:t>
      </w:r>
      <w:r>
        <w:rPr/>
        <w:t>their</w:t>
      </w:r>
      <w:r>
        <w:rPr>
          <w:spacing w:val="-11"/>
        </w:rPr>
        <w:t> </w:t>
      </w:r>
      <w:r>
        <w:rPr/>
        <w:t>spatial</w:t>
      </w:r>
      <w:r>
        <w:rPr>
          <w:spacing w:val="-11"/>
        </w:rPr>
        <w:t> </w:t>
      </w:r>
      <w:r>
        <w:rPr/>
        <w:t>trends</w:t>
      </w:r>
      <w:r>
        <w:rPr>
          <w:spacing w:val="-11"/>
        </w:rPr>
        <w:t> </w:t>
      </w:r>
      <w:r>
        <w:rPr/>
        <w:t>of</w:t>
      </w:r>
      <w:r>
        <w:rPr>
          <w:spacing w:val="-11"/>
        </w:rPr>
        <w:t> </w:t>
      </w:r>
      <w:r>
        <w:rPr/>
        <w:t>attacking</w:t>
      </w:r>
      <w:r>
        <w:rPr>
          <w:spacing w:val="-11"/>
        </w:rPr>
        <w:t> </w:t>
      </w:r>
      <w:r>
        <w:rPr/>
        <w:t>performance</w:t>
      </w:r>
      <w:r>
        <w:rPr>
          <w:spacing w:val="-11"/>
        </w:rPr>
        <w:t> </w:t>
      </w:r>
      <w:r>
        <w:rPr/>
        <w:t>and the number of scoring opportunities they had (i.e.</w:t>
      </w:r>
      <w:r>
        <w:rPr>
          <w:spacing w:val="40"/>
        </w:rPr>
        <w:t> </w:t>
      </w:r>
      <w:r>
        <w:rPr/>
        <w:t>the number of possessions they were involved in).</w:t>
      </w:r>
    </w:p>
    <w:p>
      <w:pPr>
        <w:pStyle w:val="BodyText"/>
        <w:spacing w:before="2"/>
        <w:rPr>
          <w:sz w:val="11"/>
        </w:rPr>
      </w:pPr>
    </w:p>
    <w:p>
      <w:pPr>
        <w:spacing w:after="0"/>
        <w:rPr>
          <w:sz w:val="11"/>
        </w:rPr>
        <w:sectPr>
          <w:pgSz w:w="11910" w:h="16840"/>
          <w:pgMar w:header="1961" w:footer="1428" w:top="2280" w:bottom="1620" w:left="1680" w:right="720"/>
        </w:sectPr>
      </w:pPr>
    </w:p>
    <w:p>
      <w:pPr>
        <w:spacing w:before="106"/>
        <w:ind w:left="847" w:right="0" w:firstLine="0"/>
        <w:jc w:val="left"/>
        <w:rPr>
          <w:rFonts w:ascii="Cambria" w:hAnsi="Cambria"/>
          <w:sz w:val="24"/>
        </w:rPr>
      </w:pPr>
      <w:r>
        <w:rPr/>
        <w:pict>
          <v:shape style="position:absolute;margin-left:310.197998pt;margin-top:12.568946pt;width:18.150pt;height:9.65pt;mso-position-horizontal-relative:page;mso-position-vertical-relative:paragraph;z-index:-21724672" type="#_x0000_t202" id="docshape197" filled="false" stroked="false">
            <v:textbox inset="0,0,0,0">
              <w:txbxContent>
                <w:p>
                  <w:pPr>
                    <w:spacing w:line="182" w:lineRule="exact" w:before="0"/>
                    <w:ind w:left="0" w:right="0" w:firstLine="0"/>
                    <w:jc w:val="left"/>
                    <w:rPr>
                      <w:sz w:val="16"/>
                    </w:rPr>
                  </w:pPr>
                  <w:r>
                    <w:rPr>
                      <w:spacing w:val="-2"/>
                      <w:sz w:val="16"/>
                    </w:rPr>
                    <w:t>attdef</w:t>
                  </w:r>
                </w:p>
              </w:txbxContent>
            </v:textbox>
            <w10:wrap type="none"/>
          </v:shape>
        </w:pict>
      </w:r>
      <w:bookmarkStart w:name="_bookmark194" w:id="333"/>
      <w:bookmarkEnd w:id="333"/>
      <w:r>
        <w:rPr/>
      </w:r>
      <w:r>
        <w:rPr>
          <w:sz w:val="24"/>
        </w:rPr>
        <w:t>Expected</w:t>
      </w:r>
      <w:r>
        <w:rPr>
          <w:spacing w:val="-3"/>
          <w:sz w:val="24"/>
        </w:rPr>
        <w:t> </w:t>
      </w:r>
      <w:r>
        <w:rPr>
          <w:sz w:val="24"/>
        </w:rPr>
        <w:t>Points</w:t>
      </w:r>
      <w:r>
        <w:rPr>
          <w:spacing w:val="-3"/>
          <w:sz w:val="24"/>
        </w:rPr>
        <w:t> </w:t>
      </w:r>
      <w:r>
        <w:rPr>
          <w:sz w:val="24"/>
        </w:rPr>
        <w:t>Scored</w:t>
      </w:r>
      <w:r>
        <w:rPr>
          <w:position w:val="-5"/>
          <w:sz w:val="16"/>
        </w:rPr>
        <w:t>team,</w:t>
      </w:r>
      <w:r>
        <w:rPr>
          <w:spacing w:val="-2"/>
          <w:position w:val="-5"/>
          <w:sz w:val="16"/>
        </w:rPr>
        <w:t> </w:t>
      </w:r>
      <w:r>
        <w:rPr>
          <w:position w:val="-5"/>
          <w:sz w:val="16"/>
        </w:rPr>
        <w:t>opp</w:t>
      </w:r>
      <w:r>
        <w:rPr>
          <w:spacing w:val="35"/>
          <w:position w:val="-5"/>
          <w:sz w:val="16"/>
        </w:rPr>
        <w:t> </w:t>
      </w:r>
      <w:r>
        <w:rPr>
          <w:rFonts w:ascii="Garamond" w:hAnsi="Garamond"/>
          <w:sz w:val="24"/>
        </w:rPr>
        <w:t>=</w:t>
      </w:r>
      <w:r>
        <w:rPr>
          <w:rFonts w:ascii="Garamond" w:hAnsi="Garamond"/>
          <w:spacing w:val="4"/>
          <w:sz w:val="24"/>
        </w:rPr>
        <w:t> </w:t>
      </w:r>
      <w:r>
        <w:rPr>
          <w:spacing w:val="-4"/>
          <w:sz w:val="24"/>
        </w:rPr>
        <w:t>EPV</w:t>
      </w:r>
      <w:r>
        <w:rPr>
          <w:rFonts w:ascii="Cambria" w:hAnsi="Cambria"/>
          <w:spacing w:val="-4"/>
          <w:sz w:val="24"/>
          <w:vertAlign w:val="superscript"/>
        </w:rPr>
        <w:t>µ</w:t>
      </w:r>
    </w:p>
    <w:p>
      <w:pPr>
        <w:pStyle w:val="BodyText"/>
        <w:tabs>
          <w:tab w:pos="3870" w:val="left" w:leader="none"/>
        </w:tabs>
        <w:spacing w:before="70"/>
        <w:ind w:left="284"/>
      </w:pPr>
      <w:r>
        <w:rPr/>
        <w:br w:type="column"/>
      </w:r>
      <w:r>
        <w:rPr>
          <w:rFonts w:ascii="Lucida Sans Unicode" w:hAnsi="Lucida Sans Unicode"/>
          <w:spacing w:val="-2"/>
        </w:rPr>
        <w:t>×</w:t>
      </w:r>
      <w:r>
        <w:rPr>
          <w:rFonts w:ascii="Lucida Sans Unicode" w:hAnsi="Lucida Sans Unicode"/>
          <w:spacing w:val="-22"/>
        </w:rPr>
        <w:t> </w:t>
      </w:r>
      <w:r>
        <w:rPr>
          <w:spacing w:val="-2"/>
        </w:rPr>
        <w:t>KDE</w:t>
      </w:r>
      <w:r>
        <w:rPr>
          <w:spacing w:val="-2"/>
          <w:vertAlign w:val="subscript"/>
        </w:rPr>
        <w:t>team,opp</w:t>
      </w:r>
      <w:r>
        <w:rPr>
          <w:spacing w:val="4"/>
          <w:vertAlign w:val="baseline"/>
        </w:rPr>
        <w:t> </w:t>
      </w:r>
      <w:r>
        <w:rPr>
          <w:rFonts w:ascii="Lucida Sans Unicode" w:hAnsi="Lucida Sans Unicode"/>
          <w:spacing w:val="-2"/>
          <w:vertAlign w:val="baseline"/>
        </w:rPr>
        <w:t>×</w:t>
      </w:r>
      <w:r>
        <w:rPr>
          <w:rFonts w:ascii="Lucida Sans Unicode" w:hAnsi="Lucida Sans Unicode"/>
          <w:spacing w:val="-22"/>
          <w:vertAlign w:val="baseline"/>
        </w:rPr>
        <w:t> </w:t>
      </w:r>
      <w:r>
        <w:rPr>
          <w:spacing w:val="-2"/>
          <w:vertAlign w:val="baseline"/>
        </w:rPr>
        <w:t>Possessions</w:t>
      </w:r>
      <w:r>
        <w:rPr>
          <w:spacing w:val="-2"/>
          <w:vertAlign w:val="subscript"/>
        </w:rPr>
        <w:t>team,opp</w:t>
      </w:r>
      <w:r>
        <w:rPr>
          <w:vertAlign w:val="baseline"/>
        </w:rPr>
        <w:tab/>
      </w:r>
      <w:r>
        <w:rPr>
          <w:spacing w:val="-2"/>
          <w:vertAlign w:val="baseline"/>
        </w:rPr>
        <w:t>(6.11)</w:t>
      </w:r>
    </w:p>
    <w:p>
      <w:pPr>
        <w:spacing w:after="0"/>
        <w:sectPr>
          <w:type w:val="continuous"/>
          <w:pgSz w:w="11910" w:h="16840"/>
          <w:pgMar w:header="1961" w:footer="1428" w:top="1920" w:bottom="280" w:left="1680" w:right="720"/>
          <w:cols w:num="2" w:equalWidth="0">
            <w:col w:w="4626" w:space="40"/>
            <w:col w:w="4844"/>
          </w:cols>
        </w:sectPr>
      </w:pPr>
    </w:p>
    <w:p>
      <w:pPr>
        <w:pStyle w:val="BodyText"/>
        <w:spacing w:before="10"/>
        <w:rPr>
          <w:sz w:val="18"/>
        </w:rPr>
      </w:pPr>
    </w:p>
    <w:p>
      <w:pPr>
        <w:pStyle w:val="BodyText"/>
        <w:tabs>
          <w:tab w:pos="2132" w:val="left" w:leader="none"/>
        </w:tabs>
        <w:spacing w:before="105"/>
        <w:ind w:left="610"/>
      </w:pPr>
      <w:r>
        <w:rPr/>
        <w:pict>
          <v:shape style="position:absolute;margin-left:169.141006pt;margin-top:12.517968pt;width:18.150pt;height:9.65pt;mso-position-horizontal-relative:page;mso-position-vertical-relative:paragraph;z-index:-21724160" type="#_x0000_t202" id="docshape198" filled="false" stroked="false">
            <v:textbox inset="0,0,0,0">
              <w:txbxContent>
                <w:p>
                  <w:pPr>
                    <w:spacing w:line="182" w:lineRule="exact" w:before="0"/>
                    <w:ind w:left="0" w:right="0" w:firstLine="0"/>
                    <w:jc w:val="left"/>
                    <w:rPr>
                      <w:sz w:val="16"/>
                    </w:rPr>
                  </w:pPr>
                  <w:r>
                    <w:rPr>
                      <w:spacing w:val="-2"/>
                      <w:sz w:val="16"/>
                    </w:rPr>
                    <w:t>attdef</w:t>
                  </w:r>
                </w:p>
              </w:txbxContent>
            </v:textbox>
            <w10:wrap type="none"/>
          </v:shape>
        </w:pict>
      </w:r>
      <w:r>
        <w:rPr/>
        <w:t>where</w:t>
      </w:r>
      <w:r>
        <w:rPr>
          <w:spacing w:val="-10"/>
        </w:rPr>
        <w:t> </w:t>
      </w:r>
      <w:r>
        <w:rPr>
          <w:spacing w:val="-4"/>
        </w:rPr>
        <w:t>EPV</w:t>
      </w:r>
      <w:r>
        <w:rPr>
          <w:rFonts w:ascii="Cambria" w:hAnsi="Cambria"/>
          <w:spacing w:val="-4"/>
          <w:vertAlign w:val="superscript"/>
        </w:rPr>
        <w:t>µ</w:t>
      </w:r>
      <w:r>
        <w:rPr>
          <w:rFonts w:ascii="Cambria" w:hAnsi="Cambria"/>
          <w:vertAlign w:val="baseline"/>
        </w:rPr>
        <w:tab/>
      </w:r>
      <w:r>
        <w:rPr>
          <w:vertAlign w:val="baseline"/>
        </w:rPr>
        <w:t>refers</w:t>
      </w:r>
      <w:r>
        <w:rPr>
          <w:spacing w:val="-10"/>
          <w:vertAlign w:val="baseline"/>
        </w:rPr>
        <w:t> </w:t>
      </w:r>
      <w:r>
        <w:rPr>
          <w:vertAlign w:val="baseline"/>
        </w:rPr>
        <w:t>to</w:t>
      </w:r>
      <w:r>
        <w:rPr>
          <w:spacing w:val="-9"/>
          <w:vertAlign w:val="baseline"/>
        </w:rPr>
        <w:t> </w:t>
      </w:r>
      <w:r>
        <w:rPr>
          <w:vertAlign w:val="baseline"/>
        </w:rPr>
        <w:t>the</w:t>
      </w:r>
      <w:r>
        <w:rPr>
          <w:spacing w:val="-9"/>
          <w:vertAlign w:val="baseline"/>
        </w:rPr>
        <w:t> </w:t>
      </w:r>
      <w:r>
        <w:rPr>
          <w:vertAlign w:val="baseline"/>
        </w:rPr>
        <w:t>mean</w:t>
      </w:r>
      <w:r>
        <w:rPr>
          <w:spacing w:val="-10"/>
          <w:vertAlign w:val="baseline"/>
        </w:rPr>
        <w:t> </w:t>
      </w:r>
      <w:r>
        <w:rPr>
          <w:vertAlign w:val="baseline"/>
        </w:rPr>
        <w:t>attacking</w:t>
      </w:r>
      <w:r>
        <w:rPr>
          <w:spacing w:val="-9"/>
          <w:vertAlign w:val="baseline"/>
        </w:rPr>
        <w:t> </w:t>
      </w:r>
      <w:r>
        <w:rPr>
          <w:vertAlign w:val="baseline"/>
        </w:rPr>
        <w:t>or</w:t>
      </w:r>
      <w:r>
        <w:rPr>
          <w:spacing w:val="-9"/>
          <w:vertAlign w:val="baseline"/>
        </w:rPr>
        <w:t> </w:t>
      </w:r>
      <w:r>
        <w:rPr>
          <w:vertAlign w:val="baseline"/>
        </w:rPr>
        <w:t>defending</w:t>
      </w:r>
      <w:r>
        <w:rPr>
          <w:spacing w:val="-9"/>
          <w:vertAlign w:val="baseline"/>
        </w:rPr>
        <w:t> </w:t>
      </w:r>
      <w:r>
        <w:rPr>
          <w:vertAlign w:val="baseline"/>
        </w:rPr>
        <w:t>team</w:t>
      </w:r>
      <w:r>
        <w:rPr>
          <w:spacing w:val="-10"/>
          <w:vertAlign w:val="baseline"/>
        </w:rPr>
        <w:t> </w:t>
      </w:r>
      <w:r>
        <w:rPr>
          <w:vertAlign w:val="baseline"/>
        </w:rPr>
        <w:t>EPV</w:t>
      </w:r>
      <w:r>
        <w:rPr>
          <w:spacing w:val="-9"/>
          <w:vertAlign w:val="baseline"/>
        </w:rPr>
        <w:t> </w:t>
      </w:r>
      <w:r>
        <w:rPr>
          <w:vertAlign w:val="baseline"/>
        </w:rPr>
        <w:t>smooth</w:t>
      </w:r>
      <w:r>
        <w:rPr>
          <w:spacing w:val="-9"/>
          <w:vertAlign w:val="baseline"/>
        </w:rPr>
        <w:t> </w:t>
      </w:r>
      <w:r>
        <w:rPr>
          <w:vertAlign w:val="baseline"/>
        </w:rPr>
        <w:t>pitch</w:t>
      </w:r>
      <w:r>
        <w:rPr>
          <w:spacing w:val="-9"/>
          <w:vertAlign w:val="baseline"/>
        </w:rPr>
        <w:t> </w:t>
      </w:r>
      <w:r>
        <w:rPr>
          <w:spacing w:val="-2"/>
          <w:vertAlign w:val="baseline"/>
        </w:rPr>
        <w:t>surface</w:t>
      </w:r>
    </w:p>
    <w:p>
      <w:pPr>
        <w:pStyle w:val="BodyText"/>
        <w:spacing w:line="312" w:lineRule="auto" w:before="81"/>
        <w:ind w:left="610" w:right="389"/>
        <w:jc w:val="both"/>
      </w:pPr>
      <w:r>
        <w:rPr/>
        <w:t>used, KDE</w:t>
      </w:r>
      <w:r>
        <w:rPr>
          <w:vertAlign w:val="subscript"/>
        </w:rPr>
        <w:t>team,opp</w:t>
      </w:r>
      <w:r>
        <w:rPr>
          <w:vertAlign w:val="baseline"/>
        </w:rPr>
        <w:t> refers to the KDE pitch surface for the selected team in </w:t>
      </w:r>
      <w:r>
        <w:rPr>
          <w:vertAlign w:val="baseline"/>
        </w:rPr>
        <w:t>possession against</w:t>
      </w:r>
      <w:r>
        <w:rPr>
          <w:spacing w:val="-14"/>
          <w:vertAlign w:val="baseline"/>
        </w:rPr>
        <w:t> </w:t>
      </w:r>
      <w:r>
        <w:rPr>
          <w:vertAlign w:val="baseline"/>
        </w:rPr>
        <w:t>the</w:t>
      </w:r>
      <w:r>
        <w:rPr>
          <w:spacing w:val="-15"/>
          <w:vertAlign w:val="baseline"/>
        </w:rPr>
        <w:t> </w:t>
      </w:r>
      <w:r>
        <w:rPr>
          <w:vertAlign w:val="baseline"/>
        </w:rPr>
        <w:t>opponent</w:t>
      </w:r>
      <w:r>
        <w:rPr>
          <w:spacing w:val="-14"/>
          <w:vertAlign w:val="baseline"/>
        </w:rPr>
        <w:t> </w:t>
      </w:r>
      <w:r>
        <w:rPr>
          <w:vertAlign w:val="baseline"/>
        </w:rPr>
        <w:t>(developed</w:t>
      </w:r>
      <w:r>
        <w:rPr>
          <w:spacing w:val="-14"/>
          <w:vertAlign w:val="baseline"/>
        </w:rPr>
        <w:t> </w:t>
      </w:r>
      <w:r>
        <w:rPr>
          <w:vertAlign w:val="baseline"/>
        </w:rPr>
        <w:t>in</w:t>
      </w:r>
      <w:r>
        <w:rPr>
          <w:spacing w:val="-14"/>
          <w:vertAlign w:val="baseline"/>
        </w:rPr>
        <w:t> </w:t>
      </w:r>
      <w:r>
        <w:rPr>
          <w:vertAlign w:val="baseline"/>
        </w:rPr>
        <w:t>Chapter</w:t>
      </w:r>
      <w:r>
        <w:rPr>
          <w:color w:val="0000FF"/>
          <w:vertAlign w:val="baseline"/>
        </w:rPr>
        <w:t>5</w:t>
      </w:r>
      <w:hyperlink w:history="true" w:anchor="_bookmark122">
        <w:r>
          <w:rPr>
            <w:vertAlign w:val="baseline"/>
          </w:rPr>
          <w:t>)</w:t>
        </w:r>
      </w:hyperlink>
      <w:r>
        <w:rPr>
          <w:spacing w:val="-15"/>
          <w:vertAlign w:val="baseline"/>
        </w:rPr>
        <w:t> </w:t>
      </w:r>
      <w:r>
        <w:rPr>
          <w:vertAlign w:val="baseline"/>
        </w:rPr>
        <w:t>and</w:t>
      </w:r>
      <w:r>
        <w:rPr>
          <w:spacing w:val="-14"/>
          <w:vertAlign w:val="baseline"/>
        </w:rPr>
        <w:t> </w:t>
      </w:r>
      <w:r>
        <w:rPr>
          <w:vertAlign w:val="baseline"/>
        </w:rPr>
        <w:t>Possessions</w:t>
      </w:r>
      <w:r>
        <w:rPr>
          <w:spacing w:val="-14"/>
          <w:vertAlign w:val="baseline"/>
        </w:rPr>
        <w:t> </w:t>
      </w:r>
      <w:r>
        <w:rPr>
          <w:vertAlign w:val="subscript"/>
        </w:rPr>
        <w:t>team,opp</w:t>
      </w:r>
      <w:r>
        <w:rPr>
          <w:spacing w:val="-5"/>
          <w:vertAlign w:val="baseline"/>
        </w:rPr>
        <w:t> </w:t>
      </w:r>
      <w:r>
        <w:rPr>
          <w:vertAlign w:val="baseline"/>
        </w:rPr>
        <w:t>refers</w:t>
      </w:r>
      <w:r>
        <w:rPr>
          <w:spacing w:val="-14"/>
          <w:vertAlign w:val="baseline"/>
        </w:rPr>
        <w:t> </w:t>
      </w:r>
      <w:r>
        <w:rPr>
          <w:vertAlign w:val="baseline"/>
        </w:rPr>
        <w:t>to</w:t>
      </w:r>
      <w:r>
        <w:rPr>
          <w:spacing w:val="-15"/>
          <w:vertAlign w:val="baseline"/>
        </w:rPr>
        <w:t> </w:t>
      </w:r>
      <w:r>
        <w:rPr>
          <w:vertAlign w:val="baseline"/>
        </w:rPr>
        <w:t>the</w:t>
      </w:r>
      <w:r>
        <w:rPr>
          <w:spacing w:val="-14"/>
          <w:vertAlign w:val="baseline"/>
        </w:rPr>
        <w:t> </w:t>
      </w:r>
      <w:r>
        <w:rPr>
          <w:vertAlign w:val="baseline"/>
        </w:rPr>
        <w:t>number of possessions completed by the attacking team against the opponent.</w:t>
      </w:r>
    </w:p>
    <w:p>
      <w:pPr>
        <w:pStyle w:val="BodyText"/>
        <w:spacing w:line="275" w:lineRule="exact"/>
        <w:ind w:left="961"/>
        <w:jc w:val="both"/>
      </w:pPr>
      <w:r>
        <w:rPr>
          <w:spacing w:val="-2"/>
        </w:rPr>
        <w:t>The</w:t>
      </w:r>
      <w:r>
        <w:rPr>
          <w:spacing w:val="-7"/>
        </w:rPr>
        <w:t> </w:t>
      </w:r>
      <w:r>
        <w:rPr>
          <w:spacing w:val="-2"/>
        </w:rPr>
        <w:t>expected</w:t>
      </w:r>
      <w:r>
        <w:rPr>
          <w:spacing w:val="-6"/>
        </w:rPr>
        <w:t> </w:t>
      </w:r>
      <w:r>
        <w:rPr>
          <w:spacing w:val="-2"/>
        </w:rPr>
        <w:t>points</w:t>
      </w:r>
      <w:r>
        <w:rPr>
          <w:spacing w:val="-7"/>
        </w:rPr>
        <w:t> </w:t>
      </w:r>
      <w:r>
        <w:rPr>
          <w:spacing w:val="-2"/>
        </w:rPr>
        <w:t>scored</w:t>
      </w:r>
      <w:r>
        <w:rPr>
          <w:spacing w:val="-6"/>
        </w:rPr>
        <w:t> </w:t>
      </w:r>
      <w:r>
        <w:rPr>
          <w:spacing w:val="-2"/>
        </w:rPr>
        <w:t>calculation</w:t>
      </w:r>
      <w:r>
        <w:rPr>
          <w:spacing w:val="-7"/>
        </w:rPr>
        <w:t> </w:t>
      </w:r>
      <w:r>
        <w:rPr>
          <w:spacing w:val="-2"/>
        </w:rPr>
        <w:t>was</w:t>
      </w:r>
      <w:r>
        <w:rPr>
          <w:spacing w:val="-6"/>
        </w:rPr>
        <w:t> </w:t>
      </w:r>
      <w:r>
        <w:rPr>
          <w:spacing w:val="-2"/>
        </w:rPr>
        <w:t>completed</w:t>
      </w:r>
      <w:r>
        <w:rPr>
          <w:spacing w:val="-6"/>
        </w:rPr>
        <w:t> </w:t>
      </w:r>
      <w:r>
        <w:rPr>
          <w:spacing w:val="-2"/>
        </w:rPr>
        <w:t>using</w:t>
      </w:r>
      <w:r>
        <w:rPr>
          <w:spacing w:val="-7"/>
        </w:rPr>
        <w:t> </w:t>
      </w:r>
      <w:r>
        <w:rPr>
          <w:spacing w:val="-2"/>
        </w:rPr>
        <w:t>the</w:t>
      </w:r>
      <w:r>
        <w:rPr>
          <w:spacing w:val="-6"/>
        </w:rPr>
        <w:t> </w:t>
      </w:r>
      <w:r>
        <w:rPr>
          <w:spacing w:val="-2"/>
        </w:rPr>
        <w:t>team-opponent</w:t>
      </w:r>
      <w:r>
        <w:rPr>
          <w:spacing w:val="-7"/>
        </w:rPr>
        <w:t> </w:t>
      </w:r>
      <w:r>
        <w:rPr>
          <w:spacing w:val="-4"/>
        </w:rPr>
        <w:t>KDEs</w:t>
      </w:r>
    </w:p>
    <w:p>
      <w:pPr>
        <w:pStyle w:val="BodyText"/>
        <w:spacing w:before="79"/>
        <w:ind w:left="610"/>
      </w:pPr>
      <w:r>
        <w:rPr/>
        <w:pict>
          <v:shape style="position:absolute;margin-left:401.450989pt;margin-top:10.397982pt;width:8pt;height:9.65pt;mso-position-horizontal-relative:page;mso-position-vertical-relative:paragraph;z-index:-21723648" type="#_x0000_t202" id="docshape199" filled="false" stroked="false">
            <v:textbox inset="0,0,0,0">
              <w:txbxContent>
                <w:p>
                  <w:pPr>
                    <w:spacing w:line="182" w:lineRule="exact" w:before="0"/>
                    <w:ind w:left="0" w:right="0" w:firstLine="0"/>
                    <w:jc w:val="left"/>
                    <w:rPr>
                      <w:sz w:val="16"/>
                    </w:rPr>
                  </w:pPr>
                  <w:r>
                    <w:rPr>
                      <w:spacing w:val="-5"/>
                      <w:sz w:val="16"/>
                    </w:rPr>
                    <w:t>att</w:t>
                  </w:r>
                </w:p>
              </w:txbxContent>
            </v:textbox>
            <w10:wrap type="none"/>
          </v:shape>
        </w:pict>
      </w:r>
      <w:r>
        <w:rPr/>
        <w:t>from</w:t>
      </w:r>
      <w:r>
        <w:rPr>
          <w:spacing w:val="-3"/>
        </w:rPr>
        <w:t> </w:t>
      </w:r>
      <w:r>
        <w:rPr/>
        <w:t>Chapter</w:t>
      </w:r>
      <w:r>
        <w:rPr>
          <w:color w:val="0000FF"/>
        </w:rPr>
        <w:t>5</w:t>
      </w:r>
      <w:hyperlink w:history="true" w:anchor="_bookmark122">
        <w:r>
          <w:rPr/>
          <w:t>.</w:t>
        </w:r>
      </w:hyperlink>
      <w:r>
        <w:rPr>
          <w:spacing w:val="19"/>
        </w:rPr>
        <w:t> </w:t>
      </w:r>
      <w:r>
        <w:rPr/>
        <w:t>Two</w:t>
      </w:r>
      <w:r>
        <w:rPr>
          <w:spacing w:val="-3"/>
        </w:rPr>
        <w:t> </w:t>
      </w:r>
      <w:r>
        <w:rPr/>
        <w:t>EPV</w:t>
      </w:r>
      <w:r>
        <w:rPr>
          <w:spacing w:val="-3"/>
        </w:rPr>
        <w:t> </w:t>
      </w:r>
      <w:r>
        <w:rPr/>
        <w:t>measures</w:t>
      </w:r>
      <w:r>
        <w:rPr>
          <w:spacing w:val="-3"/>
        </w:rPr>
        <w:t> </w:t>
      </w:r>
      <w:r>
        <w:rPr/>
        <w:t>were</w:t>
      </w:r>
      <w:r>
        <w:rPr>
          <w:spacing w:val="-2"/>
        </w:rPr>
        <w:t> </w:t>
      </w:r>
      <w:r>
        <w:rPr/>
        <w:t>considered:</w:t>
      </w:r>
      <w:r>
        <w:rPr>
          <w:spacing w:val="14"/>
        </w:rPr>
        <w:t> </w:t>
      </w:r>
      <w:r>
        <w:rPr/>
        <w:t>EPV</w:t>
      </w:r>
      <w:r>
        <w:rPr>
          <w:spacing w:val="-3"/>
        </w:rPr>
        <w:t> </w:t>
      </w:r>
      <w:r>
        <w:rPr>
          <w:rFonts w:ascii="Cambria" w:hAnsi="Cambria"/>
          <w:vertAlign w:val="superscript"/>
        </w:rPr>
        <w:t>µ</w:t>
      </w:r>
      <w:r>
        <w:rPr>
          <w:rFonts w:ascii="Cambria" w:hAnsi="Cambria"/>
          <w:spacing w:val="64"/>
          <w:vertAlign w:val="baseline"/>
        </w:rPr>
        <w:t> </w:t>
      </w:r>
      <w:r>
        <w:rPr>
          <w:vertAlign w:val="baseline"/>
        </w:rPr>
        <w:t>the</w:t>
      </w:r>
      <w:r>
        <w:rPr>
          <w:spacing w:val="-2"/>
          <w:vertAlign w:val="baseline"/>
        </w:rPr>
        <w:t> </w:t>
      </w:r>
      <w:r>
        <w:rPr>
          <w:vertAlign w:val="baseline"/>
        </w:rPr>
        <w:t>selected</w:t>
      </w:r>
      <w:r>
        <w:rPr>
          <w:spacing w:val="-3"/>
          <w:vertAlign w:val="baseline"/>
        </w:rPr>
        <w:t> </w:t>
      </w:r>
      <w:r>
        <w:rPr>
          <w:vertAlign w:val="baseline"/>
        </w:rPr>
        <w:t>team’s</w:t>
      </w:r>
      <w:r>
        <w:rPr>
          <w:spacing w:val="-3"/>
          <w:vertAlign w:val="baseline"/>
        </w:rPr>
        <w:t> </w:t>
      </w:r>
      <w:r>
        <w:rPr>
          <w:spacing w:val="-2"/>
          <w:vertAlign w:val="baseline"/>
        </w:rPr>
        <w:t>attack-</w:t>
      </w:r>
    </w:p>
    <w:p>
      <w:pPr>
        <w:pStyle w:val="BodyText"/>
        <w:spacing w:before="77"/>
        <w:ind w:left="610"/>
      </w:pPr>
      <w:r>
        <w:rPr/>
        <w:pict>
          <v:shape style="position:absolute;margin-left:296.075012pt;margin-top:11.11898pt;width:10.2pt;height:9.65pt;mso-position-horizontal-relative:page;mso-position-vertical-relative:paragraph;z-index:-21723136" type="#_x0000_t202" id="docshape200" filled="false" stroked="false">
            <v:textbox inset="0,0,0,0">
              <w:txbxContent>
                <w:p>
                  <w:pPr>
                    <w:spacing w:line="182" w:lineRule="exact" w:before="0"/>
                    <w:ind w:left="0" w:right="0" w:firstLine="0"/>
                    <w:jc w:val="left"/>
                    <w:rPr>
                      <w:sz w:val="16"/>
                    </w:rPr>
                  </w:pPr>
                  <w:r>
                    <w:rPr>
                      <w:spacing w:val="-5"/>
                      <w:sz w:val="16"/>
                    </w:rPr>
                    <w:t>def</w:t>
                  </w:r>
                </w:p>
              </w:txbxContent>
            </v:textbox>
            <w10:wrap type="none"/>
          </v:shape>
        </w:pict>
      </w:r>
      <w:r>
        <w:rPr/>
        <w:t>ing</w:t>
      </w:r>
      <w:r>
        <w:rPr>
          <w:spacing w:val="-12"/>
        </w:rPr>
        <w:t> </w:t>
      </w:r>
      <w:r>
        <w:rPr/>
        <w:t>mean</w:t>
      </w:r>
      <w:r>
        <w:rPr>
          <w:spacing w:val="-12"/>
        </w:rPr>
        <w:t> </w:t>
      </w:r>
      <w:r>
        <w:rPr/>
        <w:t>EPV</w:t>
      </w:r>
      <w:r>
        <w:rPr>
          <w:spacing w:val="-11"/>
        </w:rPr>
        <w:t> </w:t>
      </w:r>
      <w:r>
        <w:rPr/>
        <w:t>pitch</w:t>
      </w:r>
      <w:r>
        <w:rPr>
          <w:spacing w:val="-12"/>
        </w:rPr>
        <w:t> </w:t>
      </w:r>
      <w:r>
        <w:rPr/>
        <w:t>surface;</w:t>
      </w:r>
      <w:r>
        <w:rPr>
          <w:spacing w:val="-11"/>
        </w:rPr>
        <w:t> </w:t>
      </w:r>
      <w:r>
        <w:rPr/>
        <w:t>and</w:t>
      </w:r>
      <w:r>
        <w:rPr>
          <w:spacing w:val="-11"/>
        </w:rPr>
        <w:t> </w:t>
      </w:r>
      <w:r>
        <w:rPr/>
        <w:t>EPV</w:t>
      </w:r>
      <w:r>
        <w:rPr>
          <w:rFonts w:ascii="Cambria" w:hAnsi="Cambria"/>
          <w:vertAlign w:val="superscript"/>
        </w:rPr>
        <w:t>µ</w:t>
      </w:r>
      <w:r>
        <w:rPr>
          <w:rFonts w:ascii="Cambria" w:hAnsi="Cambria"/>
          <w:spacing w:val="68"/>
          <w:w w:val="150"/>
          <w:vertAlign w:val="baseline"/>
        </w:rPr>
        <w:t> </w:t>
      </w:r>
      <w:r>
        <w:rPr>
          <w:vertAlign w:val="baseline"/>
        </w:rPr>
        <w:t>the</w:t>
      </w:r>
      <w:r>
        <w:rPr>
          <w:spacing w:val="-11"/>
          <w:vertAlign w:val="baseline"/>
        </w:rPr>
        <w:t> </w:t>
      </w:r>
      <w:r>
        <w:rPr>
          <w:vertAlign w:val="baseline"/>
        </w:rPr>
        <w:t>opposition</w:t>
      </w:r>
      <w:r>
        <w:rPr>
          <w:spacing w:val="-12"/>
          <w:vertAlign w:val="baseline"/>
        </w:rPr>
        <w:t> </w:t>
      </w:r>
      <w:r>
        <w:rPr>
          <w:vertAlign w:val="baseline"/>
        </w:rPr>
        <w:t>team’s</w:t>
      </w:r>
      <w:r>
        <w:rPr>
          <w:spacing w:val="-12"/>
          <w:vertAlign w:val="baseline"/>
        </w:rPr>
        <w:t> </w:t>
      </w:r>
      <w:r>
        <w:rPr>
          <w:vertAlign w:val="baseline"/>
        </w:rPr>
        <w:t>mean</w:t>
      </w:r>
      <w:r>
        <w:rPr>
          <w:spacing w:val="-11"/>
          <w:vertAlign w:val="baseline"/>
        </w:rPr>
        <w:t> </w:t>
      </w:r>
      <w:r>
        <w:rPr>
          <w:vertAlign w:val="baseline"/>
        </w:rPr>
        <w:t>defensive</w:t>
      </w:r>
      <w:r>
        <w:rPr>
          <w:spacing w:val="-12"/>
          <w:vertAlign w:val="baseline"/>
        </w:rPr>
        <w:t> </w:t>
      </w:r>
      <w:r>
        <w:rPr>
          <w:vertAlign w:val="baseline"/>
        </w:rPr>
        <w:t>EPV</w:t>
      </w:r>
      <w:r>
        <w:rPr>
          <w:spacing w:val="-12"/>
          <w:vertAlign w:val="baseline"/>
        </w:rPr>
        <w:t> </w:t>
      </w:r>
      <w:r>
        <w:rPr>
          <w:spacing w:val="-2"/>
          <w:vertAlign w:val="baseline"/>
        </w:rPr>
        <w:t>pitch</w:t>
      </w:r>
    </w:p>
    <w:p>
      <w:pPr>
        <w:pStyle w:val="BodyText"/>
        <w:spacing w:line="312" w:lineRule="auto" w:before="81"/>
        <w:ind w:left="610" w:right="389"/>
        <w:jc w:val="both"/>
      </w:pPr>
      <w:r>
        <w:rPr/>
        <w:t>surface.</w:t>
      </w:r>
      <w:r>
        <w:rPr>
          <w:spacing w:val="40"/>
        </w:rPr>
        <w:t> </w:t>
      </w:r>
      <w:r>
        <w:rPr/>
        <w:t>Using the team’s attacking EPV pitch surface in the calculation allows </w:t>
      </w:r>
      <w:r>
        <w:rPr/>
        <w:t>practi- tioners to understand how well the team was able to utilise their strengths against the opposition;</w:t>
      </w:r>
      <w:r>
        <w:rPr>
          <w:spacing w:val="-4"/>
        </w:rPr>
        <w:t> </w:t>
      </w:r>
      <w:r>
        <w:rPr/>
        <w:t>using</w:t>
      </w:r>
      <w:r>
        <w:rPr>
          <w:spacing w:val="-5"/>
        </w:rPr>
        <w:t> </w:t>
      </w:r>
      <w:r>
        <w:rPr/>
        <w:t>the</w:t>
      </w:r>
      <w:r>
        <w:rPr>
          <w:spacing w:val="-5"/>
        </w:rPr>
        <w:t> </w:t>
      </w:r>
      <w:r>
        <w:rPr/>
        <w:t>opposition</w:t>
      </w:r>
      <w:r>
        <w:rPr>
          <w:spacing w:val="-5"/>
        </w:rPr>
        <w:t> </w:t>
      </w:r>
      <w:r>
        <w:rPr/>
        <w:t>team’s</w:t>
      </w:r>
      <w:r>
        <w:rPr>
          <w:spacing w:val="-5"/>
        </w:rPr>
        <w:t> </w:t>
      </w:r>
      <w:r>
        <w:rPr/>
        <w:t>defensive</w:t>
      </w:r>
      <w:r>
        <w:rPr>
          <w:spacing w:val="-5"/>
        </w:rPr>
        <w:t> </w:t>
      </w:r>
      <w:r>
        <w:rPr/>
        <w:t>EPV</w:t>
      </w:r>
      <w:r>
        <w:rPr>
          <w:spacing w:val="-5"/>
        </w:rPr>
        <w:t> </w:t>
      </w:r>
      <w:r>
        <w:rPr/>
        <w:t>pitch</w:t>
      </w:r>
      <w:r>
        <w:rPr>
          <w:spacing w:val="-5"/>
        </w:rPr>
        <w:t> </w:t>
      </w:r>
      <w:r>
        <w:rPr/>
        <w:t>surface</w:t>
      </w:r>
      <w:r>
        <w:rPr>
          <w:spacing w:val="-5"/>
        </w:rPr>
        <w:t> </w:t>
      </w:r>
      <w:r>
        <w:rPr/>
        <w:t>allows</w:t>
      </w:r>
      <w:r>
        <w:rPr>
          <w:spacing w:val="-5"/>
        </w:rPr>
        <w:t> </w:t>
      </w:r>
      <w:r>
        <w:rPr/>
        <w:t>practitioners to understand how well the attacking team was able to exploit the opposition team’s de- fensive</w:t>
      </w:r>
      <w:r>
        <w:rPr>
          <w:spacing w:val="-6"/>
        </w:rPr>
        <w:t> </w:t>
      </w:r>
      <w:r>
        <w:rPr/>
        <w:t>weaknesses. The</w:t>
      </w:r>
      <w:r>
        <w:rPr>
          <w:spacing w:val="-6"/>
        </w:rPr>
        <w:t> </w:t>
      </w:r>
      <w:r>
        <w:rPr/>
        <w:t>expected</w:t>
      </w:r>
      <w:r>
        <w:rPr>
          <w:spacing w:val="-6"/>
        </w:rPr>
        <w:t> </w:t>
      </w:r>
      <w:r>
        <w:rPr/>
        <w:t>points</w:t>
      </w:r>
      <w:r>
        <w:rPr>
          <w:spacing w:val="-7"/>
        </w:rPr>
        <w:t> </w:t>
      </w:r>
      <w:r>
        <w:rPr/>
        <w:t>scored</w:t>
      </w:r>
      <w:r>
        <w:rPr>
          <w:spacing w:val="-6"/>
        </w:rPr>
        <w:t> </w:t>
      </w:r>
      <w:r>
        <w:rPr/>
        <w:t>values</w:t>
      </w:r>
      <w:r>
        <w:rPr>
          <w:spacing w:val="-6"/>
        </w:rPr>
        <w:t> </w:t>
      </w:r>
      <w:r>
        <w:rPr/>
        <w:t>were</w:t>
      </w:r>
      <w:r>
        <w:rPr>
          <w:spacing w:val="-6"/>
        </w:rPr>
        <w:t> </w:t>
      </w:r>
      <w:r>
        <w:rPr/>
        <w:t>summed</w:t>
      </w:r>
      <w:r>
        <w:rPr>
          <w:spacing w:val="-6"/>
        </w:rPr>
        <w:t> </w:t>
      </w:r>
      <w:r>
        <w:rPr/>
        <w:t>to</w:t>
      </w:r>
      <w:r>
        <w:rPr>
          <w:spacing w:val="-7"/>
        </w:rPr>
        <w:t> </w:t>
      </w:r>
      <w:r>
        <w:rPr/>
        <w:t>provide</w:t>
      </w:r>
      <w:r>
        <w:rPr>
          <w:spacing w:val="-6"/>
        </w:rPr>
        <w:t> </w:t>
      </w:r>
      <w:r>
        <w:rPr/>
        <w:t>a</w:t>
      </w:r>
      <w:r>
        <w:rPr>
          <w:spacing w:val="-6"/>
        </w:rPr>
        <w:t> </w:t>
      </w:r>
      <w:r>
        <w:rPr/>
        <w:t>single performance figure for the team across the season.</w:t>
      </w:r>
    </w:p>
    <w:p>
      <w:pPr>
        <w:pStyle w:val="BodyText"/>
        <w:spacing w:before="7"/>
        <w:rPr>
          <w:sz w:val="34"/>
        </w:rPr>
      </w:pPr>
    </w:p>
    <w:p>
      <w:pPr>
        <w:pStyle w:val="Heading3"/>
        <w:numPr>
          <w:ilvl w:val="2"/>
          <w:numId w:val="24"/>
        </w:numPr>
        <w:tabs>
          <w:tab w:pos="1471" w:val="left" w:leader="none"/>
          <w:tab w:pos="1472" w:val="left" w:leader="none"/>
        </w:tabs>
        <w:spacing w:line="240" w:lineRule="auto" w:before="0" w:after="0"/>
        <w:ind w:left="1471" w:right="0" w:hanging="862"/>
        <w:jc w:val="left"/>
      </w:pPr>
      <w:bookmarkStart w:name="6.2.5 Actual vs Expected Ratings" w:id="334"/>
      <w:bookmarkEnd w:id="334"/>
      <w:r>
        <w:rPr>
          <w:b w:val="0"/>
        </w:rPr>
      </w:r>
      <w:bookmarkStart w:name="_bookmark195" w:id="335"/>
      <w:bookmarkEnd w:id="335"/>
      <w:r>
        <w:rPr/>
        <w:t>Actual</w:t>
      </w:r>
      <w:r>
        <w:rPr>
          <w:spacing w:val="15"/>
        </w:rPr>
        <w:t> </w:t>
      </w:r>
      <w:r>
        <w:rPr/>
        <w:t>vs</w:t>
      </w:r>
      <w:r>
        <w:rPr>
          <w:spacing w:val="15"/>
        </w:rPr>
        <w:t> </w:t>
      </w:r>
      <w:r>
        <w:rPr/>
        <w:t>Expected</w:t>
      </w:r>
      <w:r>
        <w:rPr>
          <w:spacing w:val="15"/>
        </w:rPr>
        <w:t> </w:t>
      </w:r>
      <w:r>
        <w:rPr>
          <w:spacing w:val="-2"/>
        </w:rPr>
        <w:t>Ratings</w:t>
      </w:r>
    </w:p>
    <w:p>
      <w:pPr>
        <w:pStyle w:val="BodyText"/>
        <w:spacing w:line="312" w:lineRule="auto" w:before="235"/>
        <w:ind w:left="610" w:right="389"/>
      </w:pPr>
      <w:r>
        <w:rPr/>
        <w:t>To evaluate player performances, Actual vs Expected (AE) player performance </w:t>
      </w:r>
      <w:r>
        <w:rPr/>
        <w:t>ratings were devised using the whole league model.</w:t>
      </w:r>
      <w:r>
        <w:rPr>
          <w:spacing w:val="40"/>
        </w:rPr>
        <w:t> </w:t>
      </w:r>
      <w:r>
        <w:rPr/>
        <w:t>Building upon feedback from Chapter</w:t>
      </w:r>
      <w:r>
        <w:rPr>
          <w:color w:val="0000FF"/>
        </w:rPr>
        <w:t>4</w:t>
      </w:r>
      <w:hyperlink w:history="true" w:anchor="_bookmark92">
        <w:r>
          <w:rPr/>
          <w:t>,</w:t>
        </w:r>
      </w:hyperlink>
      <w:r>
        <w:rPr>
          <w:spacing w:val="40"/>
        </w:rPr>
        <w:t> </w:t>
      </w:r>
      <w:r>
        <w:rPr/>
        <w:t>where</w:t>
      </w:r>
      <w:r>
        <w:rPr>
          <w:spacing w:val="-7"/>
        </w:rPr>
        <w:t> </w:t>
      </w:r>
      <w:r>
        <w:rPr/>
        <w:t>actions</w:t>
      </w:r>
      <w:r>
        <w:rPr>
          <w:spacing w:val="-7"/>
        </w:rPr>
        <w:t> </w:t>
      </w:r>
      <w:r>
        <w:rPr/>
        <w:t>were</w:t>
      </w:r>
      <w:r>
        <w:rPr>
          <w:spacing w:val="-7"/>
        </w:rPr>
        <w:t> </w:t>
      </w:r>
      <w:r>
        <w:rPr/>
        <w:t>valued</w:t>
      </w:r>
      <w:r>
        <w:rPr>
          <w:spacing w:val="-6"/>
        </w:rPr>
        <w:t> </w:t>
      </w:r>
      <w:r>
        <w:rPr/>
        <w:t>for</w:t>
      </w:r>
      <w:r>
        <w:rPr>
          <w:spacing w:val="-7"/>
        </w:rPr>
        <w:t> </w:t>
      </w:r>
      <w:r>
        <w:rPr/>
        <w:t>being</w:t>
      </w:r>
      <w:r>
        <w:rPr>
          <w:spacing w:val="-7"/>
        </w:rPr>
        <w:t> </w:t>
      </w:r>
      <w:r>
        <w:rPr/>
        <w:t>attempted,</w:t>
      </w:r>
      <w:r>
        <w:rPr>
          <w:spacing w:val="-7"/>
        </w:rPr>
        <w:t> </w:t>
      </w:r>
      <w:r>
        <w:rPr/>
        <w:t>rather</w:t>
      </w:r>
      <w:r>
        <w:rPr>
          <w:spacing w:val="-7"/>
        </w:rPr>
        <w:t> </w:t>
      </w:r>
      <w:r>
        <w:rPr/>
        <w:t>than</w:t>
      </w:r>
      <w:r>
        <w:rPr>
          <w:spacing w:val="-7"/>
        </w:rPr>
        <w:t> </w:t>
      </w:r>
      <w:r>
        <w:rPr/>
        <w:t>for</w:t>
      </w:r>
      <w:r>
        <w:rPr>
          <w:spacing w:val="-7"/>
        </w:rPr>
        <w:t> </w:t>
      </w:r>
      <w:r>
        <w:rPr/>
        <w:t>the</w:t>
      </w:r>
      <w:r>
        <w:rPr>
          <w:spacing w:val="-6"/>
        </w:rPr>
        <w:t> </w:t>
      </w:r>
      <w:r>
        <w:rPr/>
        <w:t>outcome</w:t>
      </w:r>
      <w:r>
        <w:rPr>
          <w:spacing w:val="-7"/>
        </w:rPr>
        <w:t> </w:t>
      </w:r>
      <w:r>
        <w:rPr/>
        <w:t>achieved,</w:t>
      </w:r>
      <w:r>
        <w:rPr>
          <w:spacing w:val="-7"/>
        </w:rPr>
        <w:t> </w:t>
      </w:r>
      <w:r>
        <w:rPr/>
        <w:t>the AE</w:t>
      </w:r>
      <w:r>
        <w:rPr>
          <w:spacing w:val="24"/>
        </w:rPr>
        <w:t> </w:t>
      </w:r>
      <w:r>
        <w:rPr/>
        <w:t>ratings</w:t>
      </w:r>
      <w:r>
        <w:rPr>
          <w:spacing w:val="24"/>
        </w:rPr>
        <w:t> </w:t>
      </w:r>
      <w:r>
        <w:rPr/>
        <w:t>compared</w:t>
      </w:r>
      <w:r>
        <w:rPr>
          <w:spacing w:val="24"/>
        </w:rPr>
        <w:t> </w:t>
      </w:r>
      <w:r>
        <w:rPr/>
        <w:t>the</w:t>
      </w:r>
      <w:r>
        <w:rPr>
          <w:spacing w:val="24"/>
        </w:rPr>
        <w:t> </w:t>
      </w:r>
      <w:r>
        <w:rPr/>
        <w:t>actual</w:t>
      </w:r>
      <w:r>
        <w:rPr>
          <w:spacing w:val="24"/>
        </w:rPr>
        <w:t> </w:t>
      </w:r>
      <w:r>
        <w:rPr/>
        <w:t>return</w:t>
      </w:r>
      <w:r>
        <w:rPr>
          <w:spacing w:val="24"/>
        </w:rPr>
        <w:t> </w:t>
      </w:r>
      <w:r>
        <w:rPr/>
        <w:t>of</w:t>
      </w:r>
      <w:r>
        <w:rPr>
          <w:spacing w:val="24"/>
        </w:rPr>
        <w:t> </w:t>
      </w:r>
      <w:r>
        <w:rPr/>
        <w:t>the</w:t>
      </w:r>
      <w:r>
        <w:rPr>
          <w:spacing w:val="24"/>
        </w:rPr>
        <w:t> </w:t>
      </w:r>
      <w:r>
        <w:rPr/>
        <w:t>possession</w:t>
      </w:r>
      <w:r>
        <w:rPr>
          <w:spacing w:val="24"/>
        </w:rPr>
        <w:t> </w:t>
      </w:r>
      <w:r>
        <w:rPr/>
        <w:t>(i.e.</w:t>
      </w:r>
      <w:r>
        <w:rPr>
          <w:spacing w:val="80"/>
        </w:rPr>
        <w:t> </w:t>
      </w:r>
      <w:r>
        <w:rPr/>
        <w:t>the</w:t>
      </w:r>
      <w:r>
        <w:rPr>
          <w:spacing w:val="24"/>
        </w:rPr>
        <w:t> </w:t>
      </w:r>
      <w:r>
        <w:rPr/>
        <w:t>points</w:t>
      </w:r>
      <w:r>
        <w:rPr>
          <w:spacing w:val="24"/>
        </w:rPr>
        <w:t> </w:t>
      </w:r>
      <w:r>
        <w:rPr/>
        <w:t>value</w:t>
      </w:r>
      <w:r>
        <w:rPr>
          <w:spacing w:val="24"/>
        </w:rPr>
        <w:t> </w:t>
      </w:r>
      <w:r>
        <w:rPr/>
        <w:t>for</w:t>
      </w:r>
      <w:r>
        <w:rPr>
          <w:spacing w:val="24"/>
        </w:rPr>
        <w:t> </w:t>
      </w:r>
      <w:r>
        <w:rPr/>
        <w:t>the possession</w:t>
      </w:r>
      <w:r>
        <w:rPr>
          <w:spacing w:val="-2"/>
        </w:rPr>
        <w:t> </w:t>
      </w:r>
      <w:r>
        <w:rPr/>
        <w:t>outcome)</w:t>
      </w:r>
      <w:r>
        <w:rPr>
          <w:spacing w:val="-1"/>
        </w:rPr>
        <w:t> </w:t>
      </w:r>
      <w:r>
        <w:rPr/>
        <w:t>to</w:t>
      </w:r>
      <w:r>
        <w:rPr>
          <w:spacing w:val="-1"/>
        </w:rPr>
        <w:t> </w:t>
      </w:r>
      <w:r>
        <w:rPr/>
        <w:t>its</w:t>
      </w:r>
      <w:r>
        <w:rPr>
          <w:spacing w:val="-1"/>
        </w:rPr>
        <w:t> </w:t>
      </w:r>
      <w:r>
        <w:rPr/>
        <w:t>expected</w:t>
      </w:r>
      <w:r>
        <w:rPr>
          <w:spacing w:val="-1"/>
        </w:rPr>
        <w:t> </w:t>
      </w:r>
      <w:r>
        <w:rPr/>
        <w:t>return</w:t>
      </w:r>
      <w:r>
        <w:rPr>
          <w:spacing w:val="-1"/>
        </w:rPr>
        <w:t> </w:t>
      </w:r>
      <w:r>
        <w:rPr/>
        <w:t>(i.e.</w:t>
      </w:r>
      <w:r>
        <w:rPr>
          <w:spacing w:val="20"/>
        </w:rPr>
        <w:t> </w:t>
      </w:r>
      <w:r>
        <w:rPr/>
        <w:t>the</w:t>
      </w:r>
      <w:r>
        <w:rPr>
          <w:spacing w:val="-2"/>
        </w:rPr>
        <w:t> </w:t>
      </w:r>
      <w:r>
        <w:rPr/>
        <w:t>EPV</w:t>
      </w:r>
      <w:r>
        <w:rPr>
          <w:spacing w:val="-1"/>
        </w:rPr>
        <w:t> </w:t>
      </w:r>
      <w:r>
        <w:rPr/>
        <w:t>at</w:t>
      </w:r>
      <w:r>
        <w:rPr>
          <w:spacing w:val="-1"/>
        </w:rPr>
        <w:t> </w:t>
      </w:r>
      <w:r>
        <w:rPr/>
        <w:t>the</w:t>
      </w:r>
      <w:r>
        <w:rPr>
          <w:spacing w:val="-1"/>
        </w:rPr>
        <w:t> </w:t>
      </w:r>
      <w:r>
        <w:rPr/>
        <w:t>location</w:t>
      </w:r>
      <w:r>
        <w:rPr>
          <w:spacing w:val="-1"/>
        </w:rPr>
        <w:t> </w:t>
      </w:r>
      <w:r>
        <w:rPr/>
        <w:t>where</w:t>
      </w:r>
      <w:r>
        <w:rPr>
          <w:spacing w:val="-1"/>
        </w:rPr>
        <w:t> </w:t>
      </w:r>
      <w:r>
        <w:rPr/>
        <w:t>the</w:t>
      </w:r>
      <w:r>
        <w:rPr>
          <w:spacing w:val="-2"/>
        </w:rPr>
        <w:t> player</w:t>
      </w:r>
    </w:p>
    <w:p>
      <w:pPr>
        <w:pStyle w:val="BodyText"/>
        <w:spacing w:line="277" w:lineRule="exact"/>
        <w:ind w:left="610"/>
      </w:pPr>
      <w:r>
        <w:rPr/>
        <w:pict>
          <v:shape style="position:absolute;margin-left:243.391006pt;margin-top:8.139427pt;width:11.35pt;height:8pt;mso-position-horizontal-relative:page;mso-position-vertical-relative:paragraph;z-index:-21722624" type="#_x0000_t202" id="docshape201" filled="false" stroked="false">
            <v:textbox inset="0,0,0,0">
              <w:txbxContent>
                <w:p>
                  <w:pPr>
                    <w:spacing w:line="155" w:lineRule="exact" w:before="0"/>
                    <w:ind w:left="0" w:right="0" w:firstLine="0"/>
                    <w:jc w:val="left"/>
                    <w:rPr>
                      <w:rFonts w:ascii="Cambria"/>
                      <w:sz w:val="16"/>
                    </w:rPr>
                  </w:pPr>
                  <w:r>
                    <w:rPr>
                      <w:rFonts w:ascii="Cambria"/>
                      <w:spacing w:val="-5"/>
                      <w:w w:val="115"/>
                      <w:sz w:val="16"/>
                    </w:rPr>
                    <w:t>x,y</w:t>
                  </w:r>
                </w:p>
              </w:txbxContent>
            </v:textbox>
            <w10:wrap type="none"/>
          </v:shape>
        </w:pict>
      </w:r>
      <w:r>
        <w:rPr/>
        <w:t>performed</w:t>
      </w:r>
      <w:r>
        <w:rPr>
          <w:spacing w:val="-2"/>
        </w:rPr>
        <w:t> </w:t>
      </w:r>
      <w:r>
        <w:rPr/>
        <w:t>the</w:t>
      </w:r>
      <w:r>
        <w:rPr>
          <w:spacing w:val="-1"/>
        </w:rPr>
        <w:t> </w:t>
      </w:r>
      <w:r>
        <w:rPr/>
        <w:t>action,</w:t>
      </w:r>
      <w:r>
        <w:rPr>
          <w:spacing w:val="-1"/>
        </w:rPr>
        <w:t> </w:t>
      </w:r>
      <w:r>
        <w:rPr/>
        <w:t>EPV</w:t>
      </w:r>
      <w:r>
        <w:rPr>
          <w:rFonts w:ascii="Cambria" w:hAnsi="Cambria"/>
          <w:vertAlign w:val="superscript"/>
        </w:rPr>
        <w:t>µ</w:t>
      </w:r>
      <w:r>
        <w:rPr>
          <w:rFonts w:ascii="Cambria" w:hAnsi="Cambria"/>
          <w:spacing w:val="74"/>
          <w:vertAlign w:val="baseline"/>
        </w:rPr>
        <w:t> </w:t>
      </w:r>
      <w:r>
        <w:rPr>
          <w:vertAlign w:val="baseline"/>
        </w:rPr>
        <w:t>)</w:t>
      </w:r>
      <w:r>
        <w:rPr>
          <w:spacing w:val="-1"/>
          <w:vertAlign w:val="baseline"/>
        </w:rPr>
        <w:t> </w:t>
      </w:r>
      <w:r>
        <w:rPr>
          <w:vertAlign w:val="baseline"/>
        </w:rPr>
        <w:t>for</w:t>
      </w:r>
      <w:r>
        <w:rPr>
          <w:spacing w:val="-2"/>
          <w:vertAlign w:val="baseline"/>
        </w:rPr>
        <w:t> </w:t>
      </w:r>
      <w:r>
        <w:rPr>
          <w:vertAlign w:val="baseline"/>
        </w:rPr>
        <w:t>every</w:t>
      </w:r>
      <w:r>
        <w:rPr>
          <w:spacing w:val="-1"/>
          <w:vertAlign w:val="baseline"/>
        </w:rPr>
        <w:t> </w:t>
      </w:r>
      <w:r>
        <w:rPr>
          <w:vertAlign w:val="baseline"/>
        </w:rPr>
        <w:t>action</w:t>
      </w:r>
      <w:r>
        <w:rPr>
          <w:spacing w:val="-2"/>
          <w:vertAlign w:val="baseline"/>
        </w:rPr>
        <w:t> </w:t>
      </w:r>
      <w:r>
        <w:rPr>
          <w:vertAlign w:val="baseline"/>
        </w:rPr>
        <w:t>a</w:t>
      </w:r>
      <w:r>
        <w:rPr>
          <w:spacing w:val="-1"/>
          <w:vertAlign w:val="baseline"/>
        </w:rPr>
        <w:t> </w:t>
      </w:r>
      <w:r>
        <w:rPr>
          <w:vertAlign w:val="baseline"/>
        </w:rPr>
        <w:t>player</w:t>
      </w:r>
      <w:r>
        <w:rPr>
          <w:spacing w:val="-2"/>
          <w:vertAlign w:val="baseline"/>
        </w:rPr>
        <w:t> </w:t>
      </w:r>
      <w:r>
        <w:rPr>
          <w:vertAlign w:val="baseline"/>
        </w:rPr>
        <w:t>was</w:t>
      </w:r>
      <w:r>
        <w:rPr>
          <w:spacing w:val="-1"/>
          <w:vertAlign w:val="baseline"/>
        </w:rPr>
        <w:t> </w:t>
      </w:r>
      <w:r>
        <w:rPr>
          <w:vertAlign w:val="baseline"/>
        </w:rPr>
        <w:t>involved</w:t>
      </w:r>
      <w:r>
        <w:rPr>
          <w:spacing w:val="-2"/>
          <w:vertAlign w:val="baseline"/>
        </w:rPr>
        <w:t> </w:t>
      </w:r>
      <w:r>
        <w:rPr>
          <w:vertAlign w:val="baseline"/>
        </w:rPr>
        <w:t>in</w:t>
      </w:r>
      <w:r>
        <w:rPr>
          <w:spacing w:val="-1"/>
          <w:vertAlign w:val="baseline"/>
        </w:rPr>
        <w:t> </w:t>
      </w:r>
      <w:r>
        <w:rPr>
          <w:spacing w:val="-2"/>
          <w:vertAlign w:val="baseline"/>
        </w:rPr>
        <w:t>(Equation</w:t>
      </w:r>
      <w:hyperlink w:history="true" w:anchor="_bookmark196">
        <w:r>
          <w:rPr>
            <w:color w:val="0000FF"/>
            <w:spacing w:val="-2"/>
            <w:vertAlign w:val="baseline"/>
          </w:rPr>
          <w:t>6.12</w:t>
        </w:r>
      </w:hyperlink>
      <w:r>
        <w:rPr>
          <w:spacing w:val="-2"/>
          <w:vertAlign w:val="baseline"/>
        </w:rPr>
        <w:t>).</w:t>
      </w:r>
    </w:p>
    <w:p>
      <w:pPr>
        <w:pStyle w:val="BodyText"/>
        <w:spacing w:line="312" w:lineRule="auto" w:before="81"/>
        <w:ind w:left="610" w:right="389"/>
        <w:jc w:val="both"/>
      </w:pPr>
      <w:r>
        <w:rPr/>
        <w:t>The sum of the differences between actual and expected returns was divided by the </w:t>
      </w:r>
      <w:r>
        <w:rPr/>
        <w:t>me- dian number of possessions per player team per fixture.</w:t>
      </w:r>
      <w:r>
        <w:rPr>
          <w:spacing w:val="36"/>
        </w:rPr>
        <w:t> </w:t>
      </w:r>
      <w:r>
        <w:rPr/>
        <w:t>This choice of the denominator ensured that</w:t>
      </w:r>
      <w:r>
        <w:rPr>
          <w:spacing w:val="1"/>
        </w:rPr>
        <w:t> </w:t>
      </w:r>
      <w:r>
        <w:rPr/>
        <w:t>players</w:t>
      </w:r>
      <w:r>
        <w:rPr>
          <w:spacing w:val="1"/>
        </w:rPr>
        <w:t> </w:t>
      </w:r>
      <w:r>
        <w:rPr/>
        <w:t>from teams</w:t>
      </w:r>
      <w:r>
        <w:rPr>
          <w:spacing w:val="1"/>
        </w:rPr>
        <w:t> </w:t>
      </w:r>
      <w:r>
        <w:rPr/>
        <w:t>who</w:t>
      </w:r>
      <w:r>
        <w:rPr>
          <w:spacing w:val="1"/>
        </w:rPr>
        <w:t> </w:t>
      </w:r>
      <w:r>
        <w:rPr/>
        <w:t>had</w:t>
      </w:r>
      <w:r>
        <w:rPr>
          <w:spacing w:val="1"/>
        </w:rPr>
        <w:t> </w:t>
      </w:r>
      <w:r>
        <w:rPr/>
        <w:t>more possessions</w:t>
      </w:r>
      <w:r>
        <w:rPr>
          <w:spacing w:val="1"/>
        </w:rPr>
        <w:t> </w:t>
      </w:r>
      <w:r>
        <w:rPr/>
        <w:t>within</w:t>
      </w:r>
      <w:r>
        <w:rPr>
          <w:spacing w:val="1"/>
        </w:rPr>
        <w:t> </w:t>
      </w:r>
      <w:r>
        <w:rPr/>
        <w:t>a</w:t>
      </w:r>
      <w:r>
        <w:rPr>
          <w:spacing w:val="1"/>
        </w:rPr>
        <w:t> </w:t>
      </w:r>
      <w:r>
        <w:rPr/>
        <w:t>match were</w:t>
      </w:r>
      <w:r>
        <w:rPr>
          <w:spacing w:val="1"/>
        </w:rPr>
        <w:t> </w:t>
      </w:r>
      <w:r>
        <w:rPr/>
        <w:t>not</w:t>
      </w:r>
      <w:r>
        <w:rPr>
          <w:spacing w:val="1"/>
        </w:rPr>
        <w:t> </w:t>
      </w:r>
      <w:r>
        <w:rPr>
          <w:spacing w:val="-5"/>
        </w:rPr>
        <w:t>un-</w:t>
      </w:r>
    </w:p>
    <w:p>
      <w:pPr>
        <w:spacing w:after="0" w:line="312" w:lineRule="auto"/>
        <w:jc w:val="both"/>
        <w:sectPr>
          <w:type w:val="continuous"/>
          <w:pgSz w:w="11910" w:h="16840"/>
          <w:pgMar w:header="1961" w:footer="1428" w:top="1920" w:bottom="280" w:left="1680" w:right="720"/>
        </w:sectPr>
      </w:pPr>
    </w:p>
    <w:p>
      <w:pPr>
        <w:pStyle w:val="BodyText"/>
        <w:rPr>
          <w:sz w:val="20"/>
        </w:rPr>
      </w:pPr>
    </w:p>
    <w:p>
      <w:pPr>
        <w:pStyle w:val="BodyText"/>
        <w:spacing w:before="3"/>
        <w:rPr>
          <w:sz w:val="21"/>
        </w:rPr>
      </w:pPr>
    </w:p>
    <w:p>
      <w:pPr>
        <w:pStyle w:val="BodyText"/>
        <w:spacing w:before="97"/>
        <w:ind w:left="610"/>
      </w:pPr>
      <w:r>
        <w:rPr/>
        <w:t>duly</w:t>
      </w:r>
      <w:r>
        <w:rPr>
          <w:spacing w:val="3"/>
        </w:rPr>
        <w:t> </w:t>
      </w:r>
      <w:r>
        <w:rPr/>
        <w:t>favoured</w:t>
      </w:r>
      <w:r>
        <w:rPr>
          <w:spacing w:val="4"/>
        </w:rPr>
        <w:t> </w:t>
      </w:r>
      <w:r>
        <w:rPr/>
        <w:t>by</w:t>
      </w:r>
      <w:r>
        <w:rPr>
          <w:spacing w:val="3"/>
        </w:rPr>
        <w:t> </w:t>
      </w:r>
      <w:r>
        <w:rPr/>
        <w:t>the</w:t>
      </w:r>
      <w:r>
        <w:rPr>
          <w:spacing w:val="4"/>
        </w:rPr>
        <w:t> </w:t>
      </w:r>
      <w:r>
        <w:rPr/>
        <w:t>results.</w:t>
      </w:r>
      <w:r>
        <w:rPr>
          <w:spacing w:val="36"/>
        </w:rPr>
        <w:t> </w:t>
      </w:r>
      <w:r>
        <w:rPr/>
        <w:t>Only</w:t>
      </w:r>
      <w:r>
        <w:rPr>
          <w:spacing w:val="4"/>
        </w:rPr>
        <w:t> </w:t>
      </w:r>
      <w:r>
        <w:rPr/>
        <w:t>players</w:t>
      </w:r>
      <w:r>
        <w:rPr>
          <w:spacing w:val="4"/>
        </w:rPr>
        <w:t> </w:t>
      </w:r>
      <w:r>
        <w:rPr/>
        <w:t>completing</w:t>
      </w:r>
      <w:r>
        <w:rPr>
          <w:spacing w:val="3"/>
        </w:rPr>
        <w:t> </w:t>
      </w:r>
      <w:r>
        <w:rPr/>
        <w:t>more</w:t>
      </w:r>
      <w:r>
        <w:rPr>
          <w:spacing w:val="4"/>
        </w:rPr>
        <w:t> </w:t>
      </w:r>
      <w:r>
        <w:rPr/>
        <w:t>than</w:t>
      </w:r>
      <w:r>
        <w:rPr>
          <w:spacing w:val="4"/>
        </w:rPr>
        <w:t> </w:t>
      </w:r>
      <w:r>
        <w:rPr/>
        <w:t>200</w:t>
      </w:r>
      <w:r>
        <w:rPr>
          <w:spacing w:val="3"/>
        </w:rPr>
        <w:t> </w:t>
      </w:r>
      <w:r>
        <w:rPr/>
        <w:t>actions</w:t>
      </w:r>
      <w:r>
        <w:rPr>
          <w:spacing w:val="4"/>
        </w:rPr>
        <w:t> </w:t>
      </w:r>
      <w:r>
        <w:rPr/>
        <w:t>across</w:t>
      </w:r>
      <w:r>
        <w:rPr>
          <w:spacing w:val="4"/>
        </w:rPr>
        <w:t> </w:t>
      </w:r>
      <w:r>
        <w:rPr>
          <w:spacing w:val="-5"/>
        </w:rPr>
        <w:t>the</w:t>
      </w:r>
    </w:p>
    <w:p>
      <w:pPr>
        <w:pStyle w:val="BodyText"/>
        <w:spacing w:before="79"/>
        <w:ind w:left="610"/>
      </w:pPr>
      <w:r>
        <w:rPr/>
        <w:pict>
          <v:shape style="position:absolute;margin-left:475.936005pt;margin-top:12.330747pt;width:13.75pt;height:8pt;mso-position-horizontal-relative:page;mso-position-vertical-relative:paragraph;z-index:-21721600" type="#_x0000_t202" id="docshape204" filled="false" stroked="false">
            <v:textbox inset="0,0,0,0">
              <w:txbxContent>
                <w:p>
                  <w:pPr>
                    <w:spacing w:line="155" w:lineRule="exact" w:before="0"/>
                    <w:ind w:left="0" w:right="0" w:firstLine="0"/>
                    <w:jc w:val="left"/>
                    <w:rPr>
                      <w:rFonts w:ascii="Georgia"/>
                      <w:sz w:val="16"/>
                    </w:rPr>
                  </w:pPr>
                  <w:r>
                    <w:rPr>
                      <w:rFonts w:ascii="Cambria"/>
                      <w:spacing w:val="-5"/>
                      <w:w w:val="125"/>
                      <w:sz w:val="16"/>
                    </w:rPr>
                    <w:t>i</w:t>
                  </w:r>
                  <w:r>
                    <w:rPr>
                      <w:rFonts w:ascii="Georgia"/>
                      <w:spacing w:val="-5"/>
                      <w:w w:val="125"/>
                      <w:sz w:val="16"/>
                    </w:rPr>
                    <w:t>=1</w:t>
                  </w:r>
                </w:p>
              </w:txbxContent>
            </v:textbox>
            <w10:wrap type="none"/>
          </v:shape>
        </w:pict>
      </w:r>
      <w:r>
        <w:rPr>
          <w:w w:val="105"/>
        </w:rPr>
        <w:t>season</w:t>
      </w:r>
      <w:r>
        <w:rPr>
          <w:spacing w:val="-16"/>
          <w:w w:val="105"/>
        </w:rPr>
        <w:t> </w:t>
      </w:r>
      <w:r>
        <w:rPr>
          <w:w w:val="105"/>
        </w:rPr>
        <w:t>were</w:t>
      </w:r>
      <w:r>
        <w:rPr>
          <w:spacing w:val="-6"/>
          <w:w w:val="105"/>
        </w:rPr>
        <w:t> </w:t>
      </w:r>
      <w:r>
        <w:rPr>
          <w:w w:val="105"/>
        </w:rPr>
        <w:t>included</w:t>
      </w:r>
      <w:r>
        <w:rPr>
          <w:spacing w:val="-6"/>
          <w:w w:val="105"/>
        </w:rPr>
        <w:t> </w:t>
      </w:r>
      <w:r>
        <w:rPr>
          <w:w w:val="105"/>
        </w:rPr>
        <w:t>in</w:t>
      </w:r>
      <w:r>
        <w:rPr>
          <w:spacing w:val="-6"/>
          <w:w w:val="105"/>
        </w:rPr>
        <w:t> </w:t>
      </w:r>
      <w:r>
        <w:rPr>
          <w:w w:val="105"/>
        </w:rPr>
        <w:t>the</w:t>
      </w:r>
      <w:r>
        <w:rPr>
          <w:spacing w:val="-5"/>
          <w:w w:val="105"/>
        </w:rPr>
        <w:t> </w:t>
      </w:r>
      <w:r>
        <w:rPr>
          <w:w w:val="105"/>
        </w:rPr>
        <w:t>analysis.</w:t>
      </w:r>
      <w:r>
        <w:rPr>
          <w:spacing w:val="18"/>
          <w:w w:val="105"/>
        </w:rPr>
        <w:t> </w:t>
      </w:r>
      <w:r>
        <w:rPr>
          <w:w w:val="105"/>
        </w:rPr>
        <w:t>Recalling</w:t>
      </w:r>
      <w:r>
        <w:rPr>
          <w:spacing w:val="-5"/>
          <w:w w:val="105"/>
        </w:rPr>
        <w:t> </w:t>
      </w:r>
      <w:r>
        <w:rPr>
          <w:w w:val="105"/>
        </w:rPr>
        <w:t>the</w:t>
      </w:r>
      <w:r>
        <w:rPr>
          <w:spacing w:val="-6"/>
          <w:w w:val="105"/>
        </w:rPr>
        <w:t> </w:t>
      </w:r>
      <w:r>
        <w:rPr>
          <w:w w:val="105"/>
        </w:rPr>
        <w:t>dataset</w:t>
      </w:r>
      <w:r>
        <w:rPr>
          <w:spacing w:val="-6"/>
          <w:w w:val="105"/>
        </w:rPr>
        <w:t> </w:t>
      </w:r>
      <w:r>
        <w:rPr>
          <w:rFonts w:ascii="Cambria"/>
          <w:w w:val="105"/>
        </w:rPr>
        <w:t>D</w:t>
      </w:r>
      <w:r>
        <w:rPr>
          <w:rFonts w:ascii="Cambria"/>
          <w:spacing w:val="19"/>
          <w:w w:val="105"/>
        </w:rPr>
        <w:t> </w:t>
      </w:r>
      <w:r>
        <w:rPr>
          <w:rFonts w:ascii="Garamond"/>
          <w:w w:val="105"/>
        </w:rPr>
        <w:t>=</w:t>
      </w:r>
      <w:r>
        <w:rPr>
          <w:rFonts w:ascii="Garamond"/>
          <w:spacing w:val="5"/>
          <w:w w:val="105"/>
        </w:rPr>
        <w:t> </w:t>
      </w:r>
      <w:r>
        <w:rPr>
          <w:rFonts w:ascii="Garamond"/>
          <w:w w:val="105"/>
        </w:rPr>
        <w:t>(</w:t>
      </w:r>
      <w:r>
        <w:rPr>
          <w:rFonts w:ascii="Cambria"/>
          <w:w w:val="105"/>
        </w:rPr>
        <w:t>x</w:t>
      </w:r>
      <w:r>
        <w:rPr>
          <w:rFonts w:ascii="Cambria"/>
          <w:w w:val="105"/>
          <w:vertAlign w:val="subscript"/>
        </w:rPr>
        <w:t>i</w:t>
      </w:r>
      <w:r>
        <w:rPr>
          <w:rFonts w:ascii="Cambria"/>
          <w:w w:val="105"/>
          <w:vertAlign w:val="baseline"/>
        </w:rPr>
        <w:t>,</w:t>
      </w:r>
      <w:r>
        <w:rPr>
          <w:rFonts w:ascii="Cambria"/>
          <w:spacing w:val="-15"/>
          <w:w w:val="105"/>
          <w:vertAlign w:val="baseline"/>
        </w:rPr>
        <w:t> </w:t>
      </w:r>
      <w:r>
        <w:rPr>
          <w:rFonts w:ascii="Cambria"/>
          <w:w w:val="105"/>
          <w:vertAlign w:val="baseline"/>
        </w:rPr>
        <w:t>y</w:t>
      </w:r>
      <w:r>
        <w:rPr>
          <w:rFonts w:ascii="Cambria"/>
          <w:w w:val="105"/>
          <w:vertAlign w:val="subscript"/>
        </w:rPr>
        <w:t>i</w:t>
      </w:r>
      <w:r>
        <w:rPr>
          <w:rFonts w:ascii="Cambria"/>
          <w:w w:val="105"/>
          <w:vertAlign w:val="baseline"/>
        </w:rPr>
        <w:t>,</w:t>
      </w:r>
      <w:r>
        <w:rPr>
          <w:rFonts w:ascii="Cambria"/>
          <w:spacing w:val="-16"/>
          <w:w w:val="105"/>
          <w:vertAlign w:val="baseline"/>
        </w:rPr>
        <w:t> </w:t>
      </w:r>
      <w:r>
        <w:rPr>
          <w:rFonts w:ascii="Cambria"/>
          <w:w w:val="105"/>
          <w:vertAlign w:val="baseline"/>
        </w:rPr>
        <w:t>s</w:t>
      </w:r>
      <w:r>
        <w:rPr>
          <w:rFonts w:ascii="Cambria"/>
          <w:w w:val="105"/>
          <w:vertAlign w:val="subscript"/>
        </w:rPr>
        <w:t>i</w:t>
      </w:r>
      <w:r>
        <w:rPr>
          <w:rFonts w:ascii="Garamond"/>
          <w:w w:val="105"/>
          <w:vertAlign w:val="baseline"/>
        </w:rPr>
        <w:t>)</w:t>
      </w:r>
      <w:r>
        <w:rPr>
          <w:rFonts w:ascii="Cambria"/>
          <w:w w:val="105"/>
          <w:vertAlign w:val="superscript"/>
        </w:rPr>
        <w:t>n</w:t>
      </w:r>
      <w:r>
        <w:rPr>
          <w:rFonts w:ascii="Cambria"/>
          <w:spacing w:val="77"/>
          <w:w w:val="150"/>
          <w:vertAlign w:val="baseline"/>
        </w:rPr>
        <w:t> </w:t>
      </w:r>
      <w:r>
        <w:rPr>
          <w:w w:val="105"/>
          <w:vertAlign w:val="baseline"/>
        </w:rPr>
        <w:t>,</w:t>
      </w:r>
      <w:r>
        <w:rPr>
          <w:spacing w:val="-4"/>
          <w:w w:val="105"/>
          <w:vertAlign w:val="baseline"/>
        </w:rPr>
        <w:t> </w:t>
      </w:r>
      <w:r>
        <w:rPr>
          <w:spacing w:val="-2"/>
          <w:w w:val="105"/>
          <w:vertAlign w:val="baseline"/>
        </w:rPr>
        <w:t>Equation</w:t>
      </w:r>
    </w:p>
    <w:p>
      <w:pPr>
        <w:pStyle w:val="BodyText"/>
        <w:spacing w:before="71"/>
        <w:ind w:left="610"/>
      </w:pPr>
      <w:r>
        <w:rPr/>
        <w:pict>
          <v:shape style="position:absolute;margin-left:281.75pt;margin-top:21.786701pt;width:12.65pt;height:44.4pt;mso-position-horizontal-relative:page;mso-position-vertical-relative:paragraph;z-index:-21721088" type="#_x0000_t202" id="docshape205" filled="false" stroked="false">
            <v:textbox inset="0,0,0,0">
              <w:txbxContent>
                <w:p>
                  <w:pPr>
                    <w:pStyle w:val="BodyText"/>
                    <w:spacing w:line="230" w:lineRule="exact"/>
                    <w:rPr>
                      <w:rFonts w:ascii="Arial"/>
                    </w:rPr>
                  </w:pPr>
                  <w:r>
                    <w:rPr>
                      <w:rFonts w:ascii="Arial"/>
                      <w:spacing w:val="-5"/>
                      <w:w w:val="125"/>
                    </w:rPr>
                    <w:t>L.</w:t>
                  </w:r>
                </w:p>
              </w:txbxContent>
            </v:textbox>
            <w10:wrap type="none"/>
          </v:shape>
        </w:pict>
      </w:r>
      <w:hyperlink w:history="true" w:anchor="_bookmark196">
        <w:r>
          <w:rPr>
            <w:color w:val="0000FF"/>
            <w:spacing w:val="-2"/>
          </w:rPr>
          <w:t>6.12</w:t>
        </w:r>
      </w:hyperlink>
      <w:r>
        <w:rPr>
          <w:spacing w:val="-2"/>
        </w:rPr>
        <w:t>was</w:t>
      </w:r>
      <w:r>
        <w:rPr>
          <w:spacing w:val="-4"/>
        </w:rPr>
        <w:t> </w:t>
      </w:r>
      <w:r>
        <w:rPr>
          <w:spacing w:val="-2"/>
        </w:rPr>
        <w:t>defined</w:t>
      </w:r>
      <w:r>
        <w:rPr>
          <w:spacing w:val="-3"/>
        </w:rPr>
        <w:t> </w:t>
      </w:r>
      <w:r>
        <w:rPr>
          <w:spacing w:val="-5"/>
        </w:rPr>
        <w:t>as:</w:t>
      </w:r>
    </w:p>
    <w:p>
      <w:pPr>
        <w:tabs>
          <w:tab w:pos="4207" w:val="left" w:leader="none"/>
        </w:tabs>
        <w:spacing w:line="160" w:lineRule="auto" w:before="240"/>
        <w:ind w:left="866" w:right="0" w:firstLine="0"/>
        <w:jc w:val="left"/>
        <w:rPr>
          <w:rFonts w:ascii="Garamond" w:hAnsi="Garamond"/>
          <w:sz w:val="24"/>
        </w:rPr>
      </w:pPr>
      <w:r>
        <w:rPr/>
        <w:pict>
          <v:line style="position:absolute;mso-position-horizontal-relative:page;mso-position-vertical-relative:paragraph;z-index:-21722112" from="244.210999pt,29.249153pt" to="522.464999pt,29.249153pt" stroked="true" strokeweight=".478pt" strokecolor="#000000">
            <v:stroke dashstyle="solid"/>
            <w10:wrap type="none"/>
          </v:line>
        </w:pict>
      </w:r>
      <w:r>
        <w:rPr/>
        <w:pict>
          <v:shape style="position:absolute;margin-left:523.659973pt;margin-top:23.270752pt;width:3.25pt;height:12pt;mso-position-horizontal-relative:page;mso-position-vertical-relative:paragraph;z-index:15824384" type="#_x0000_t202" id="docshape206" filled="false" stroked="false">
            <v:textbox inset="0,0,0,0">
              <w:txbxContent>
                <w:p>
                  <w:pPr>
                    <w:spacing w:line="233" w:lineRule="exact" w:before="0"/>
                    <w:ind w:left="0" w:right="0" w:firstLine="0"/>
                    <w:jc w:val="left"/>
                    <w:rPr>
                      <w:rFonts w:ascii="Cambria"/>
                      <w:sz w:val="24"/>
                    </w:rPr>
                  </w:pPr>
                  <w:r>
                    <w:rPr>
                      <w:rFonts w:ascii="Cambria"/>
                      <w:w w:val="131"/>
                      <w:sz w:val="24"/>
                    </w:rPr>
                    <w:t>.</w:t>
                  </w:r>
                </w:p>
              </w:txbxContent>
            </v:textbox>
            <w10:wrap type="none"/>
          </v:shape>
        </w:pict>
      </w:r>
      <w:bookmarkStart w:name="_bookmark196" w:id="336"/>
      <w:bookmarkEnd w:id="336"/>
      <w:r>
        <w:rPr/>
      </w:r>
      <w:r>
        <w:rPr>
          <w:position w:val="-12"/>
          <w:sz w:val="24"/>
        </w:rPr>
        <w:t>Player</w:t>
      </w:r>
      <w:r>
        <w:rPr>
          <w:spacing w:val="-9"/>
          <w:position w:val="-12"/>
          <w:sz w:val="24"/>
        </w:rPr>
        <w:t> </w:t>
      </w:r>
      <w:r>
        <w:rPr>
          <w:position w:val="-12"/>
          <w:sz w:val="24"/>
        </w:rPr>
        <w:t>X’s</w:t>
      </w:r>
      <w:r>
        <w:rPr>
          <w:spacing w:val="-9"/>
          <w:position w:val="-12"/>
          <w:sz w:val="24"/>
        </w:rPr>
        <w:t> </w:t>
      </w:r>
      <w:r>
        <w:rPr>
          <w:position w:val="-12"/>
          <w:sz w:val="24"/>
        </w:rPr>
        <w:t>AE</w:t>
      </w:r>
      <w:r>
        <w:rPr>
          <w:spacing w:val="-9"/>
          <w:position w:val="-12"/>
          <w:sz w:val="24"/>
        </w:rPr>
        <w:t> </w:t>
      </w:r>
      <w:r>
        <w:rPr>
          <w:position w:val="-12"/>
          <w:sz w:val="24"/>
        </w:rPr>
        <w:t>rating</w:t>
      </w:r>
      <w:r>
        <w:rPr>
          <w:spacing w:val="-3"/>
          <w:position w:val="-12"/>
          <w:sz w:val="24"/>
        </w:rPr>
        <w:t> </w:t>
      </w:r>
      <w:r>
        <w:rPr>
          <w:rFonts w:ascii="Garamond" w:hAnsi="Garamond"/>
          <w:spacing w:val="-10"/>
          <w:position w:val="-12"/>
          <w:sz w:val="24"/>
        </w:rPr>
        <w:t>=</w:t>
      </w:r>
      <w:r>
        <w:rPr>
          <w:rFonts w:ascii="Garamond" w:hAnsi="Garamond"/>
          <w:position w:val="-12"/>
          <w:sz w:val="24"/>
        </w:rPr>
        <w:tab/>
      </w:r>
      <w:r>
        <w:rPr>
          <w:rFonts w:ascii="Cambria" w:hAnsi="Cambria"/>
          <w:sz w:val="16"/>
        </w:rPr>
        <w:t>i</w:t>
      </w:r>
      <w:r>
        <w:rPr>
          <w:rFonts w:ascii="Cambria" w:hAnsi="Cambria"/>
          <w:spacing w:val="14"/>
          <w:sz w:val="16"/>
        </w:rPr>
        <w:t> </w:t>
      </w:r>
      <w:r>
        <w:rPr>
          <w:sz w:val="16"/>
        </w:rPr>
        <w:t>such</w:t>
      </w:r>
      <w:r>
        <w:rPr>
          <w:spacing w:val="10"/>
          <w:sz w:val="16"/>
        </w:rPr>
        <w:t> </w:t>
      </w:r>
      <w:r>
        <w:rPr>
          <w:sz w:val="16"/>
        </w:rPr>
        <w:t>that</w:t>
      </w:r>
      <w:r>
        <w:rPr>
          <w:spacing w:val="10"/>
          <w:sz w:val="16"/>
        </w:rPr>
        <w:t> </w:t>
      </w:r>
      <w:r>
        <w:rPr>
          <w:sz w:val="16"/>
        </w:rPr>
        <w:t>player</w:t>
      </w:r>
      <w:r>
        <w:rPr>
          <w:spacing w:val="10"/>
          <w:sz w:val="16"/>
        </w:rPr>
        <w:t> </w:t>
      </w:r>
      <w:r>
        <w:rPr>
          <w:sz w:val="16"/>
        </w:rPr>
        <w:t>X</w:t>
      </w:r>
      <w:r>
        <w:rPr>
          <w:spacing w:val="10"/>
          <w:sz w:val="16"/>
        </w:rPr>
        <w:t> </w:t>
      </w:r>
      <w:r>
        <w:rPr>
          <w:sz w:val="16"/>
        </w:rPr>
        <w:t>in</w:t>
      </w:r>
      <w:r>
        <w:rPr>
          <w:spacing w:val="10"/>
          <w:sz w:val="16"/>
        </w:rPr>
        <w:t> </w:t>
      </w:r>
      <w:r>
        <w:rPr>
          <w:sz w:val="16"/>
        </w:rPr>
        <w:t>possession</w:t>
      </w:r>
      <w:r>
        <w:rPr>
          <w:rFonts w:ascii="Garamond" w:hAnsi="Garamond"/>
          <w:position w:val="7"/>
          <w:sz w:val="24"/>
        </w:rPr>
        <w:t>(</w:t>
      </w:r>
      <w:r>
        <w:rPr>
          <w:rFonts w:ascii="Cambria" w:hAnsi="Cambria"/>
          <w:position w:val="7"/>
          <w:sz w:val="24"/>
        </w:rPr>
        <w:t>s</w:t>
      </w:r>
      <w:r>
        <w:rPr>
          <w:rFonts w:ascii="Cambria" w:hAnsi="Cambria"/>
          <w:position w:val="3"/>
          <w:sz w:val="16"/>
        </w:rPr>
        <w:t>i</w:t>
      </w:r>
      <w:r>
        <w:rPr>
          <w:rFonts w:ascii="Cambria" w:hAnsi="Cambria"/>
          <w:spacing w:val="44"/>
          <w:position w:val="3"/>
          <w:sz w:val="16"/>
        </w:rPr>
        <w:t> </w:t>
      </w:r>
      <w:r>
        <w:rPr>
          <w:rFonts w:ascii="Lucida Sans Unicode" w:hAnsi="Lucida Sans Unicode"/>
          <w:position w:val="7"/>
          <w:sz w:val="24"/>
        </w:rPr>
        <w:t>−</w:t>
      </w:r>
      <w:r>
        <w:rPr>
          <w:rFonts w:ascii="Lucida Sans Unicode" w:hAnsi="Lucida Sans Unicode"/>
          <w:spacing w:val="-8"/>
          <w:position w:val="7"/>
          <w:sz w:val="24"/>
        </w:rPr>
        <w:t> </w:t>
      </w:r>
      <w:r>
        <w:rPr>
          <w:rFonts w:ascii="Cambria" w:hAnsi="Cambria"/>
          <w:spacing w:val="-2"/>
          <w:position w:val="7"/>
          <w:sz w:val="24"/>
        </w:rPr>
        <w:t>EPV</w:t>
      </w:r>
      <w:r>
        <w:rPr>
          <w:rFonts w:ascii="Georgia" w:hAnsi="Georgia"/>
          <w:spacing w:val="-2"/>
          <w:position w:val="3"/>
          <w:sz w:val="16"/>
        </w:rPr>
        <w:t>(</w:t>
      </w:r>
      <w:r>
        <w:rPr>
          <w:rFonts w:ascii="Cambria" w:hAnsi="Cambria"/>
          <w:spacing w:val="-2"/>
          <w:position w:val="3"/>
          <w:sz w:val="16"/>
        </w:rPr>
        <w:t>x</w:t>
      </w:r>
      <w:r>
        <w:rPr>
          <w:rFonts w:ascii="Cambria" w:hAnsi="Cambria"/>
          <w:spacing w:val="-2"/>
          <w:position w:val="1"/>
          <w:sz w:val="12"/>
        </w:rPr>
        <w:t>i</w:t>
      </w:r>
      <w:r>
        <w:rPr>
          <w:rFonts w:ascii="Cambria" w:hAnsi="Cambria"/>
          <w:spacing w:val="-2"/>
          <w:position w:val="3"/>
          <w:sz w:val="16"/>
        </w:rPr>
        <w:t>,y</w:t>
      </w:r>
      <w:r>
        <w:rPr>
          <w:rFonts w:ascii="Cambria" w:hAnsi="Cambria"/>
          <w:spacing w:val="-2"/>
          <w:position w:val="1"/>
          <w:sz w:val="12"/>
        </w:rPr>
        <w:t>i</w:t>
      </w:r>
      <w:r>
        <w:rPr>
          <w:rFonts w:ascii="Georgia" w:hAnsi="Georgia"/>
          <w:spacing w:val="-2"/>
          <w:position w:val="3"/>
          <w:sz w:val="16"/>
        </w:rPr>
        <w:t>)</w:t>
      </w:r>
      <w:r>
        <w:rPr>
          <w:rFonts w:ascii="Garamond" w:hAnsi="Garamond"/>
          <w:spacing w:val="-2"/>
          <w:position w:val="7"/>
          <w:sz w:val="24"/>
        </w:rPr>
        <w:t>)</w:t>
      </w:r>
    </w:p>
    <w:p>
      <w:pPr>
        <w:pStyle w:val="BodyText"/>
        <w:spacing w:line="174" w:lineRule="exact"/>
        <w:ind w:left="3204"/>
      </w:pPr>
      <w:r>
        <w:rPr/>
        <w:t>Player</w:t>
      </w:r>
      <w:r>
        <w:rPr>
          <w:spacing w:val="-9"/>
        </w:rPr>
        <w:t> </w:t>
      </w:r>
      <w:r>
        <w:rPr/>
        <w:t>X’s</w:t>
      </w:r>
      <w:r>
        <w:rPr>
          <w:spacing w:val="-8"/>
        </w:rPr>
        <w:t> </w:t>
      </w:r>
      <w:r>
        <w:rPr/>
        <w:t>team</w:t>
      </w:r>
      <w:r>
        <w:rPr>
          <w:spacing w:val="-9"/>
        </w:rPr>
        <w:t> </w:t>
      </w:r>
      <w:r>
        <w:rPr/>
        <w:t>median</w:t>
      </w:r>
      <w:r>
        <w:rPr>
          <w:spacing w:val="-8"/>
        </w:rPr>
        <w:t> </w:t>
      </w:r>
      <w:r>
        <w:rPr/>
        <w:t>number</w:t>
      </w:r>
      <w:r>
        <w:rPr>
          <w:spacing w:val="-8"/>
        </w:rPr>
        <w:t> </w:t>
      </w:r>
      <w:r>
        <w:rPr/>
        <w:t>of</w:t>
      </w:r>
      <w:r>
        <w:rPr>
          <w:spacing w:val="-9"/>
        </w:rPr>
        <w:t> </w:t>
      </w:r>
      <w:r>
        <w:rPr/>
        <w:t>possessions</w:t>
      </w:r>
      <w:r>
        <w:rPr>
          <w:spacing w:val="-8"/>
        </w:rPr>
        <w:t> </w:t>
      </w:r>
      <w:r>
        <w:rPr/>
        <w:t>per</w:t>
      </w:r>
      <w:r>
        <w:rPr>
          <w:spacing w:val="-8"/>
        </w:rPr>
        <w:t> </w:t>
      </w:r>
      <w:r>
        <w:rPr>
          <w:spacing w:val="-2"/>
        </w:rPr>
        <w:t>fixture</w:t>
      </w:r>
    </w:p>
    <w:p>
      <w:pPr>
        <w:pStyle w:val="BodyText"/>
        <w:spacing w:line="273" w:lineRule="exact"/>
        <w:ind w:left="582" w:right="389"/>
        <w:jc w:val="right"/>
      </w:pPr>
      <w:r>
        <w:rPr>
          <w:spacing w:val="-2"/>
        </w:rPr>
        <w:t>(6.12)</w:t>
      </w:r>
    </w:p>
    <w:p>
      <w:pPr>
        <w:pStyle w:val="BodyText"/>
        <w:rPr>
          <w:sz w:val="28"/>
        </w:rPr>
      </w:pPr>
    </w:p>
    <w:p>
      <w:pPr>
        <w:pStyle w:val="Heading2"/>
        <w:numPr>
          <w:ilvl w:val="1"/>
          <w:numId w:val="24"/>
        </w:numPr>
        <w:tabs>
          <w:tab w:pos="1385" w:val="left" w:leader="none"/>
          <w:tab w:pos="1386" w:val="left" w:leader="none"/>
        </w:tabs>
        <w:spacing w:line="240" w:lineRule="auto" w:before="219" w:after="0"/>
        <w:ind w:left="1385" w:right="0" w:hanging="776"/>
        <w:jc w:val="left"/>
      </w:pPr>
      <w:bookmarkStart w:name="6.3 Results" w:id="337"/>
      <w:bookmarkEnd w:id="337"/>
      <w:r>
        <w:rPr>
          <w:b w:val="0"/>
        </w:rPr>
      </w:r>
      <w:bookmarkStart w:name="_bookmark197" w:id="338"/>
      <w:bookmarkEnd w:id="338"/>
      <w:r>
        <w:rPr>
          <w:spacing w:val="-2"/>
        </w:rPr>
        <w:t>Results</w:t>
      </w:r>
    </w:p>
    <w:p>
      <w:pPr>
        <w:pStyle w:val="BodyText"/>
        <w:spacing w:line="312" w:lineRule="auto" w:before="308"/>
        <w:ind w:left="610" w:right="389"/>
        <w:jc w:val="both"/>
      </w:pPr>
      <w:r>
        <w:rPr/>
        <w:t>The aim of this study was to provide a framework through which player and team per- formances could be evaluated in rugby league in a data-driven manner.</w:t>
      </w:r>
      <w:r>
        <w:rPr>
          <w:spacing w:val="40"/>
        </w:rPr>
        <w:t> </w:t>
      </w:r>
      <w:r>
        <w:rPr/>
        <w:t>To achieve this aim, 138 xml files provided by Opta were preprocessed into a single file of 99,966 </w:t>
      </w:r>
      <w:r>
        <w:rPr/>
        <w:t>rows and</w:t>
      </w:r>
      <w:r>
        <w:rPr>
          <w:spacing w:val="-6"/>
        </w:rPr>
        <w:t> </w:t>
      </w:r>
      <w:r>
        <w:rPr/>
        <w:t>7</w:t>
      </w:r>
      <w:r>
        <w:rPr>
          <w:spacing w:val="-6"/>
        </w:rPr>
        <w:t> </w:t>
      </w:r>
      <w:r>
        <w:rPr/>
        <w:t>columns</w:t>
      </w:r>
      <w:r>
        <w:rPr>
          <w:spacing w:val="-6"/>
        </w:rPr>
        <w:t> </w:t>
      </w:r>
      <w:r>
        <w:rPr/>
        <w:t>(Table</w:t>
      </w:r>
      <w:hyperlink w:history="true" w:anchor="_bookmark176">
        <w:r>
          <w:rPr>
            <w:color w:val="0000FF"/>
          </w:rPr>
          <w:t>6.2</w:t>
        </w:r>
      </w:hyperlink>
      <w:r>
        <w:rPr/>
        <w:t>). Using</w:t>
      </w:r>
      <w:r>
        <w:rPr>
          <w:spacing w:val="-6"/>
        </w:rPr>
        <w:t> </w:t>
      </w:r>
      <w:r>
        <w:rPr/>
        <w:t>this</w:t>
      </w:r>
      <w:r>
        <w:rPr>
          <w:spacing w:val="-6"/>
        </w:rPr>
        <w:t> </w:t>
      </w:r>
      <w:r>
        <w:rPr/>
        <w:t>data,</w:t>
      </w:r>
      <w:r>
        <w:rPr>
          <w:spacing w:val="-6"/>
        </w:rPr>
        <w:t> </w:t>
      </w:r>
      <w:r>
        <w:rPr/>
        <w:t>the</w:t>
      </w:r>
      <w:r>
        <w:rPr>
          <w:spacing w:val="-6"/>
        </w:rPr>
        <w:t> </w:t>
      </w:r>
      <w:r>
        <w:rPr/>
        <w:t>study</w:t>
      </w:r>
      <w:r>
        <w:rPr>
          <w:spacing w:val="-6"/>
        </w:rPr>
        <w:t> </w:t>
      </w:r>
      <w:r>
        <w:rPr/>
        <w:t>proposed</w:t>
      </w:r>
      <w:r>
        <w:rPr>
          <w:spacing w:val="-7"/>
        </w:rPr>
        <w:t> </w:t>
      </w:r>
      <w:r>
        <w:rPr/>
        <w:t>a</w:t>
      </w:r>
      <w:r>
        <w:rPr>
          <w:spacing w:val="-6"/>
        </w:rPr>
        <w:t> </w:t>
      </w:r>
      <w:r>
        <w:rPr/>
        <w:t>novel</w:t>
      </w:r>
      <w:r>
        <w:rPr>
          <w:spacing w:val="-6"/>
        </w:rPr>
        <w:t> </w:t>
      </w:r>
      <w:r>
        <w:rPr/>
        <w:t>EPV</w:t>
      </w:r>
      <w:r>
        <w:rPr>
          <w:spacing w:val="-6"/>
        </w:rPr>
        <w:t> </w:t>
      </w:r>
      <w:r>
        <w:rPr/>
        <w:t>model</w:t>
      </w:r>
      <w:r>
        <w:rPr>
          <w:spacing w:val="-6"/>
        </w:rPr>
        <w:t> </w:t>
      </w:r>
      <w:r>
        <w:rPr/>
        <w:t>which produced</w:t>
      </w:r>
      <w:r>
        <w:rPr>
          <w:spacing w:val="-1"/>
        </w:rPr>
        <w:t> </w:t>
      </w:r>
      <w:r>
        <w:rPr/>
        <w:t>a</w:t>
      </w:r>
      <w:r>
        <w:rPr>
          <w:spacing w:val="-1"/>
        </w:rPr>
        <w:t> </w:t>
      </w:r>
      <w:r>
        <w:rPr/>
        <w:t>smooth</w:t>
      </w:r>
      <w:r>
        <w:rPr>
          <w:spacing w:val="-1"/>
        </w:rPr>
        <w:t> </w:t>
      </w:r>
      <w:r>
        <w:rPr/>
        <w:t>pitch</w:t>
      </w:r>
      <w:r>
        <w:rPr>
          <w:spacing w:val="-1"/>
        </w:rPr>
        <w:t> </w:t>
      </w:r>
      <w:r>
        <w:rPr/>
        <w:t>surface</w:t>
      </w:r>
      <w:r>
        <w:rPr>
          <w:spacing w:val="-1"/>
        </w:rPr>
        <w:t> </w:t>
      </w:r>
      <w:r>
        <w:rPr/>
        <w:t>estimating</w:t>
      </w:r>
      <w:r>
        <w:rPr>
          <w:spacing w:val="-1"/>
        </w:rPr>
        <w:t> </w:t>
      </w:r>
      <w:r>
        <w:rPr/>
        <w:t>the</w:t>
      </w:r>
      <w:r>
        <w:rPr>
          <w:spacing w:val="-1"/>
        </w:rPr>
        <w:t> </w:t>
      </w:r>
      <w:r>
        <w:rPr/>
        <w:t>probability</w:t>
      </w:r>
      <w:r>
        <w:rPr>
          <w:spacing w:val="-1"/>
        </w:rPr>
        <w:t> </w:t>
      </w:r>
      <w:r>
        <w:rPr/>
        <w:t>of</w:t>
      </w:r>
      <w:r>
        <w:rPr>
          <w:spacing w:val="-1"/>
        </w:rPr>
        <w:t> </w:t>
      </w:r>
      <w:r>
        <w:rPr/>
        <w:t>individual</w:t>
      </w:r>
      <w:r>
        <w:rPr>
          <w:spacing w:val="-1"/>
        </w:rPr>
        <w:t> </w:t>
      </w:r>
      <w:r>
        <w:rPr/>
        <w:t>possession</w:t>
      </w:r>
      <w:r>
        <w:rPr>
          <w:spacing w:val="-1"/>
        </w:rPr>
        <w:t> </w:t>
      </w:r>
      <w:r>
        <w:rPr/>
        <w:t>out- comes.</w:t>
      </w:r>
      <w:r>
        <w:rPr>
          <w:spacing w:val="40"/>
        </w:rPr>
        <w:t> </w:t>
      </w:r>
      <w:r>
        <w:rPr/>
        <w:t>33 centres (30 in the field of play, 3 in the try area) were used in a Bayesian Mixture Model approach, which applied linear and bilinear interpolation techniques to produce a smooth pitch surface.</w:t>
      </w:r>
      <w:r>
        <w:rPr>
          <w:spacing w:val="40"/>
        </w:rPr>
        <w:t> </w:t>
      </w:r>
      <w:r>
        <w:rPr/>
        <w:t>The EPV was derived from the individual possession outcome probabilities and their true point scoring values.</w:t>
      </w:r>
      <w:r>
        <w:rPr>
          <w:spacing w:val="40"/>
        </w:rPr>
        <w:t> </w:t>
      </w:r>
      <w:r>
        <w:rPr/>
        <w:t>Both the Bayesian Mixture Model approach used and the estimation of individual possession outcome probabilities are</w:t>
      </w:r>
      <w:r>
        <w:rPr>
          <w:spacing w:val="-15"/>
        </w:rPr>
        <w:t> </w:t>
      </w:r>
      <w:r>
        <w:rPr/>
        <w:t>novel</w:t>
      </w:r>
      <w:r>
        <w:rPr>
          <w:spacing w:val="-15"/>
        </w:rPr>
        <w:t> </w:t>
      </w:r>
      <w:r>
        <w:rPr/>
        <w:t>additions</w:t>
      </w:r>
      <w:r>
        <w:rPr>
          <w:spacing w:val="-15"/>
        </w:rPr>
        <w:t> </w:t>
      </w:r>
      <w:r>
        <w:rPr/>
        <w:t>to</w:t>
      </w:r>
      <w:r>
        <w:rPr>
          <w:spacing w:val="-15"/>
        </w:rPr>
        <w:t> </w:t>
      </w:r>
      <w:r>
        <w:rPr/>
        <w:t>the</w:t>
      </w:r>
      <w:r>
        <w:rPr>
          <w:spacing w:val="-15"/>
        </w:rPr>
        <w:t> </w:t>
      </w:r>
      <w:r>
        <w:rPr/>
        <w:t>literature. EPV</w:t>
      </w:r>
      <w:r>
        <w:rPr>
          <w:spacing w:val="-15"/>
        </w:rPr>
        <w:t> </w:t>
      </w:r>
      <w:r>
        <w:rPr/>
        <w:t>models</w:t>
      </w:r>
      <w:r>
        <w:rPr>
          <w:spacing w:val="-15"/>
        </w:rPr>
        <w:t> </w:t>
      </w:r>
      <w:r>
        <w:rPr/>
        <w:t>were</w:t>
      </w:r>
      <w:r>
        <w:rPr>
          <w:spacing w:val="-15"/>
        </w:rPr>
        <w:t> </w:t>
      </w:r>
      <w:r>
        <w:rPr/>
        <w:t>produced</w:t>
      </w:r>
      <w:r>
        <w:rPr>
          <w:spacing w:val="-15"/>
        </w:rPr>
        <w:t> </w:t>
      </w:r>
      <w:r>
        <w:rPr/>
        <w:t>at</w:t>
      </w:r>
      <w:r>
        <w:rPr>
          <w:spacing w:val="-15"/>
        </w:rPr>
        <w:t> </w:t>
      </w:r>
      <w:r>
        <w:rPr/>
        <w:t>the</w:t>
      </w:r>
      <w:r>
        <w:rPr>
          <w:spacing w:val="-15"/>
        </w:rPr>
        <w:t> </w:t>
      </w:r>
      <w:r>
        <w:rPr/>
        <w:t>whole</w:t>
      </w:r>
      <w:r>
        <w:rPr>
          <w:spacing w:val="-15"/>
        </w:rPr>
        <w:t> </w:t>
      </w:r>
      <w:r>
        <w:rPr/>
        <w:t>league,</w:t>
      </w:r>
      <w:r>
        <w:rPr>
          <w:spacing w:val="-13"/>
        </w:rPr>
        <w:t> </w:t>
      </w:r>
      <w:r>
        <w:rPr/>
        <w:t>team attacking</w:t>
      </w:r>
      <w:r>
        <w:rPr>
          <w:spacing w:val="-15"/>
        </w:rPr>
        <w:t> </w:t>
      </w:r>
      <w:r>
        <w:rPr/>
        <w:t>and</w:t>
      </w:r>
      <w:r>
        <w:rPr>
          <w:spacing w:val="-15"/>
        </w:rPr>
        <w:t> </w:t>
      </w:r>
      <w:r>
        <w:rPr/>
        <w:t>team</w:t>
      </w:r>
      <w:r>
        <w:rPr>
          <w:spacing w:val="-15"/>
        </w:rPr>
        <w:t> </w:t>
      </w:r>
      <w:r>
        <w:rPr/>
        <w:t>defending</w:t>
      </w:r>
      <w:r>
        <w:rPr>
          <w:spacing w:val="-15"/>
        </w:rPr>
        <w:t> </w:t>
      </w:r>
      <w:r>
        <w:rPr/>
        <w:t>levels.</w:t>
      </w:r>
      <w:r>
        <w:rPr>
          <w:spacing w:val="-4"/>
        </w:rPr>
        <w:t> </w:t>
      </w:r>
      <w:r>
        <w:rPr/>
        <w:t>Two</w:t>
      </w:r>
      <w:r>
        <w:rPr>
          <w:spacing w:val="-15"/>
        </w:rPr>
        <w:t> </w:t>
      </w:r>
      <w:r>
        <w:rPr/>
        <w:t>novel</w:t>
      </w:r>
      <w:r>
        <w:rPr>
          <w:spacing w:val="-15"/>
        </w:rPr>
        <w:t> </w:t>
      </w:r>
      <w:r>
        <w:rPr/>
        <w:t>performance</w:t>
      </w:r>
      <w:r>
        <w:rPr>
          <w:spacing w:val="-15"/>
        </w:rPr>
        <w:t> </w:t>
      </w:r>
      <w:r>
        <w:rPr/>
        <w:t>metrics</w:t>
      </w:r>
      <w:r>
        <w:rPr>
          <w:spacing w:val="-15"/>
        </w:rPr>
        <w:t> </w:t>
      </w:r>
      <w:r>
        <w:rPr/>
        <w:t>were</w:t>
      </w:r>
      <w:r>
        <w:rPr>
          <w:spacing w:val="-15"/>
        </w:rPr>
        <w:t> </w:t>
      </w:r>
      <w:r>
        <w:rPr/>
        <w:t>introduced:</w:t>
      </w:r>
      <w:r>
        <w:rPr>
          <w:spacing w:val="-1"/>
        </w:rPr>
        <w:t> </w:t>
      </w:r>
      <w:r>
        <w:rPr/>
        <w:t>an expected points scored measure which quantifies the underlying performances of teams; and an actual versus expected player rating which evaluates player performances.</w:t>
      </w:r>
    </w:p>
    <w:p>
      <w:pPr>
        <w:pStyle w:val="BodyText"/>
        <w:spacing w:line="309" w:lineRule="auto"/>
        <w:ind w:left="610" w:right="431" w:firstLine="351"/>
      </w:pPr>
      <w:r>
        <w:rPr/>
        <w:t>A key component of the EPV model is the use of a novel Bayesian Mixture Model approach, which allows data to be aggregated in a more flexible manner than the zonal approaches previously employed in this thesis and the literature (Chapters</w:t>
      </w:r>
      <w:r>
        <w:rPr>
          <w:color w:val="0000FF"/>
        </w:rPr>
        <w:t>3</w:t>
      </w:r>
      <w:r>
        <w:rPr/>
        <w:t>and</w:t>
      </w:r>
      <w:r>
        <w:rPr>
          <w:color w:val="0000FF"/>
        </w:rPr>
        <w:t>4</w:t>
      </w:r>
      <w:r>
        <w:rPr/>
        <w:t>;</w:t>
      </w:r>
      <w:hyperlink w:history="true" w:anchor="_bookmark92">
        <w:r>
          <w:rPr>
            <w:color w:val="FF0000"/>
          </w:rPr>
          <w:t>Cer</w:t>
        </w:r>
      </w:hyperlink>
      <w:hyperlink w:history="true" w:anchor="_bookmark231">
        <w:r>
          <w:rPr>
            <w:color w:val="FF0000"/>
          </w:rPr>
          <w:t>-</w:t>
        </w:r>
      </w:hyperlink>
      <w:r>
        <w:rPr>
          <w:color w:val="FF0000"/>
        </w:rPr>
        <w:t> </w:t>
      </w:r>
      <w:hyperlink w:history="true" w:anchor="_bookmark231">
        <w:r>
          <w:rPr>
            <w:color w:val="FF0000"/>
          </w:rPr>
          <w:t>vone</w:t>
        </w:r>
        <w:r>
          <w:rPr>
            <w:color w:val="FF0000"/>
            <w:spacing w:val="33"/>
          </w:rPr>
          <w:t> </w:t>
        </w:r>
        <w:r>
          <w:rPr>
            <w:color w:val="FF0000"/>
          </w:rPr>
          <w:t>et</w:t>
        </w:r>
        <w:r>
          <w:rPr>
            <w:color w:val="FF0000"/>
            <w:spacing w:val="33"/>
          </w:rPr>
          <w:t> </w:t>
        </w:r>
        <w:r>
          <w:rPr>
            <w:color w:val="FF0000"/>
          </w:rPr>
          <w:t>al.</w:t>
        </w:r>
      </w:hyperlink>
      <w:r>
        <w:rPr/>
        <w:t>(</w:t>
      </w:r>
      <w:hyperlink w:history="true" w:anchor="_bookmark231">
        <w:r>
          <w:rPr>
            <w:color w:val="FF0000"/>
          </w:rPr>
          <w:t>2016</w:t>
        </w:r>
      </w:hyperlink>
      <w:r>
        <w:rPr/>
        <w:t>);</w:t>
      </w:r>
      <w:r>
        <w:rPr>
          <w:color w:val="FF0000"/>
        </w:rPr>
        <w:t>K</w:t>
      </w:r>
      <w:hyperlink w:history="true" w:anchor="_bookmark263">
        <w:r>
          <w:rPr>
            <w:color w:val="FF0000"/>
          </w:rPr>
          <w:t>empton</w:t>
        </w:r>
        <w:r>
          <w:rPr>
            <w:color w:val="FF0000"/>
            <w:spacing w:val="33"/>
          </w:rPr>
          <w:t> </w:t>
        </w:r>
        <w:r>
          <w:rPr>
            <w:color w:val="FF0000"/>
          </w:rPr>
          <w:t>et</w:t>
        </w:r>
        <w:r>
          <w:rPr>
            <w:color w:val="FF0000"/>
            <w:spacing w:val="34"/>
          </w:rPr>
          <w:t> </w:t>
        </w:r>
        <w:r>
          <w:rPr>
            <w:color w:val="FF0000"/>
          </w:rPr>
          <w:t>al.</w:t>
        </w:r>
        <w:r>
          <w:rPr/>
          <w:t>(</w:t>
        </w:r>
      </w:hyperlink>
      <w:r>
        <w:rPr>
          <w:color w:val="FF0000"/>
        </w:rPr>
        <w:t>2016</w:t>
      </w:r>
      <w:hyperlink w:history="true" w:anchor="_bookmark263">
        <w:r>
          <w:rPr/>
          <w:t>);</w:t>
        </w:r>
      </w:hyperlink>
      <w:r>
        <w:rPr>
          <w:color w:val="FF0000"/>
        </w:rPr>
        <w:t>Singh</w:t>
      </w:r>
      <w:hyperlink w:history="true" w:anchor="_bookmark294">
        <w:r>
          <w:rPr/>
          <w:t>(</w:t>
        </w:r>
        <w:r>
          <w:rPr>
            <w:color w:val="FF0000"/>
          </w:rPr>
          <w:t>n.d.</w:t>
        </w:r>
      </w:hyperlink>
      <w:hyperlink w:history="true" w:anchor="_bookmark294">
        <w:r>
          <w:rPr/>
          <w:t>)).</w:t>
        </w:r>
      </w:hyperlink>
      <w:r>
        <w:rPr>
          <w:spacing w:val="80"/>
        </w:rPr>
        <w:t> </w:t>
      </w:r>
      <w:r>
        <w:rPr/>
        <w:t>In</w:t>
      </w:r>
      <w:r>
        <w:rPr>
          <w:spacing w:val="33"/>
        </w:rPr>
        <w:t> </w:t>
      </w:r>
      <w:r>
        <w:rPr/>
        <w:t>this</w:t>
      </w:r>
      <w:r>
        <w:rPr>
          <w:spacing w:val="33"/>
        </w:rPr>
        <w:t> </w:t>
      </w:r>
      <w:r>
        <w:rPr/>
        <w:t>study,</w:t>
      </w:r>
      <w:r>
        <w:rPr>
          <w:spacing w:val="40"/>
        </w:rPr>
        <w:t> </w:t>
      </w:r>
      <w:r>
        <w:rPr/>
        <w:t>a</w:t>
      </w:r>
      <w:r>
        <w:rPr>
          <w:spacing w:val="33"/>
        </w:rPr>
        <w:t> </w:t>
      </w:r>
      <w:r>
        <w:rPr/>
        <w:t>maximum</w:t>
      </w:r>
      <w:r>
        <w:rPr>
          <w:spacing w:val="33"/>
        </w:rPr>
        <w:t> </w:t>
      </w:r>
      <w:r>
        <w:rPr/>
        <w:t>of four centres received non-zero weights for any </w:t>
      </w:r>
      <w:r>
        <w:rPr>
          <w:rFonts w:ascii="Cambria" w:hAnsi="Cambria"/>
        </w:rPr>
        <w:t>x,</w:t>
      </w:r>
      <w:r>
        <w:rPr>
          <w:rFonts w:ascii="Cambria" w:hAnsi="Cambria"/>
          <w:spacing w:val="-14"/>
        </w:rPr>
        <w:t> </w:t>
      </w:r>
      <w:r>
        <w:rPr>
          <w:rFonts w:ascii="Cambria" w:hAnsi="Cambria"/>
        </w:rPr>
        <w:t>y</w:t>
      </w:r>
      <w:r>
        <w:rPr>
          <w:rFonts w:ascii="Cambria" w:hAnsi="Cambria"/>
          <w:spacing w:val="30"/>
        </w:rPr>
        <w:t> </w:t>
      </w:r>
      <w:r>
        <w:rPr/>
        <w:t>location.</w:t>
      </w:r>
      <w:r>
        <w:rPr>
          <w:spacing w:val="40"/>
        </w:rPr>
        <w:t> </w:t>
      </w:r>
      <w:r>
        <w:rPr/>
        <w:t>These centres formed </w:t>
      </w:r>
      <w:r>
        <w:rPr/>
        <w:t>the corners</w:t>
      </w:r>
      <w:r>
        <w:rPr>
          <w:spacing w:val="-8"/>
        </w:rPr>
        <w:t> </w:t>
      </w:r>
      <w:r>
        <w:rPr/>
        <w:t>of</w:t>
      </w:r>
      <w:r>
        <w:rPr>
          <w:spacing w:val="-6"/>
        </w:rPr>
        <w:t> </w:t>
      </w:r>
      <w:r>
        <w:rPr/>
        <w:t>a</w:t>
      </w:r>
      <w:r>
        <w:rPr>
          <w:spacing w:val="-5"/>
        </w:rPr>
        <w:t> </w:t>
      </w:r>
      <w:r>
        <w:rPr/>
        <w:t>quadrilateral</w:t>
      </w:r>
      <w:r>
        <w:rPr>
          <w:spacing w:val="-6"/>
        </w:rPr>
        <w:t> </w:t>
      </w:r>
      <w:r>
        <w:rPr/>
        <w:t>surrounding</w:t>
      </w:r>
      <w:r>
        <w:rPr>
          <w:spacing w:val="-6"/>
        </w:rPr>
        <w:t> </w:t>
      </w:r>
      <w:r>
        <w:rPr/>
        <w:t>the</w:t>
      </w:r>
      <w:r>
        <w:rPr>
          <w:spacing w:val="-6"/>
        </w:rPr>
        <w:t> </w:t>
      </w:r>
      <w:r>
        <w:rPr>
          <w:rFonts w:ascii="Cambria" w:hAnsi="Cambria"/>
        </w:rPr>
        <w:t>x,</w:t>
      </w:r>
      <w:r>
        <w:rPr>
          <w:rFonts w:ascii="Cambria" w:hAnsi="Cambria"/>
          <w:spacing w:val="-14"/>
        </w:rPr>
        <w:t> </w:t>
      </w:r>
      <w:r>
        <w:rPr>
          <w:rFonts w:ascii="Cambria" w:hAnsi="Cambria"/>
        </w:rPr>
        <w:t>y </w:t>
      </w:r>
      <w:r>
        <w:rPr/>
        <w:t>location</w:t>
      </w:r>
      <w:r>
        <w:rPr>
          <w:spacing w:val="-6"/>
        </w:rPr>
        <w:t> </w:t>
      </w:r>
      <w:r>
        <w:rPr/>
        <w:t>of</w:t>
      </w:r>
      <w:r>
        <w:rPr>
          <w:spacing w:val="-6"/>
        </w:rPr>
        <w:t> </w:t>
      </w:r>
      <w:r>
        <w:rPr/>
        <w:t>an</w:t>
      </w:r>
      <w:r>
        <w:rPr>
          <w:spacing w:val="-5"/>
        </w:rPr>
        <w:t> </w:t>
      </w:r>
      <w:r>
        <w:rPr/>
        <w:t>action. They</w:t>
      </w:r>
      <w:r>
        <w:rPr>
          <w:spacing w:val="-6"/>
        </w:rPr>
        <w:t> </w:t>
      </w:r>
      <w:r>
        <w:rPr/>
        <w:t>could</w:t>
      </w:r>
      <w:r>
        <w:rPr>
          <w:spacing w:val="-6"/>
        </w:rPr>
        <w:t> </w:t>
      </w:r>
      <w:r>
        <w:rPr/>
        <w:t>therefore be considered analogous to the corners of a “zone” used in a Markov model.</w:t>
      </w:r>
      <w:r>
        <w:rPr>
          <w:spacing w:val="40"/>
        </w:rPr>
        <w:t> </w:t>
      </w:r>
      <w:r>
        <w:rPr/>
        <w:t>Table</w:t>
      </w:r>
      <w:hyperlink w:history="true" w:anchor="_bookmark198">
        <w:r>
          <w:rPr>
            <w:color w:val="0000FF"/>
          </w:rPr>
          <w:t>6.5</w:t>
        </w:r>
      </w:hyperlink>
      <w:r>
        <w:rPr>
          <w:color w:val="0000FF"/>
        </w:rPr>
        <w:t> </w:t>
      </w:r>
      <w:r>
        <w:rPr/>
        <w:t>provides a sample of weights for five actions from this study.</w:t>
      </w:r>
      <w:r>
        <w:rPr>
          <w:spacing w:val="40"/>
        </w:rPr>
        <w:t> </w:t>
      </w:r>
      <w:r>
        <w:rPr/>
        <w:t>In a Markov model, the</w:t>
      </w:r>
      <w:r>
        <w:rPr>
          <w:spacing w:val="40"/>
        </w:rPr>
        <w:t> </w:t>
      </w:r>
      <w:r>
        <w:rPr/>
        <w:t>weights for the four non-zero centres would each be equal to 0.250, irrespective of the</w:t>
      </w:r>
      <w:r>
        <w:rPr>
          <w:spacing w:val="80"/>
        </w:rPr>
        <w:t> </w:t>
      </w:r>
      <w:r>
        <w:rPr>
          <w:rFonts w:ascii="Cambria" w:hAnsi="Cambria"/>
        </w:rPr>
        <w:t>x,</w:t>
      </w:r>
      <w:r>
        <w:rPr>
          <w:rFonts w:ascii="Cambria" w:hAnsi="Cambria"/>
          <w:spacing w:val="-14"/>
        </w:rPr>
        <w:t> </w:t>
      </w:r>
      <w:r>
        <w:rPr>
          <w:rFonts w:ascii="Cambria" w:hAnsi="Cambria"/>
        </w:rPr>
        <w:t>y</w:t>
      </w:r>
      <w:r>
        <w:rPr>
          <w:rFonts w:ascii="Cambria" w:hAnsi="Cambria"/>
          <w:spacing w:val="6"/>
        </w:rPr>
        <w:t> </w:t>
      </w:r>
      <w:r>
        <w:rPr/>
        <w:t>location</w:t>
      </w:r>
      <w:r>
        <w:rPr>
          <w:spacing w:val="-7"/>
        </w:rPr>
        <w:t> </w:t>
      </w:r>
      <w:r>
        <w:rPr/>
        <w:t>of</w:t>
      </w:r>
      <w:r>
        <w:rPr>
          <w:spacing w:val="-6"/>
        </w:rPr>
        <w:t> </w:t>
      </w:r>
      <w:r>
        <w:rPr/>
        <w:t>the</w:t>
      </w:r>
      <w:r>
        <w:rPr>
          <w:spacing w:val="-8"/>
        </w:rPr>
        <w:t> </w:t>
      </w:r>
      <w:r>
        <w:rPr/>
        <w:t>action.</w:t>
      </w:r>
      <w:r>
        <w:rPr>
          <w:spacing w:val="8"/>
        </w:rPr>
        <w:t> </w:t>
      </w:r>
      <w:r>
        <w:rPr/>
        <w:t>In</w:t>
      </w:r>
      <w:r>
        <w:rPr>
          <w:spacing w:val="-7"/>
        </w:rPr>
        <w:t> </w:t>
      </w:r>
      <w:r>
        <w:rPr/>
        <w:t>this</w:t>
      </w:r>
      <w:r>
        <w:rPr>
          <w:spacing w:val="-7"/>
        </w:rPr>
        <w:t> </w:t>
      </w:r>
      <w:r>
        <w:rPr/>
        <w:t>study,</w:t>
      </w:r>
      <w:r>
        <w:rPr>
          <w:spacing w:val="-6"/>
        </w:rPr>
        <w:t> </w:t>
      </w:r>
      <w:r>
        <w:rPr/>
        <w:t>the</w:t>
      </w:r>
      <w:r>
        <w:rPr>
          <w:spacing w:val="-7"/>
        </w:rPr>
        <w:t> </w:t>
      </w:r>
      <w:r>
        <w:rPr/>
        <w:t>interpolation</w:t>
      </w:r>
      <w:r>
        <w:rPr>
          <w:spacing w:val="-6"/>
        </w:rPr>
        <w:t> </w:t>
      </w:r>
      <w:r>
        <w:rPr/>
        <w:t>techniques</w:t>
      </w:r>
      <w:r>
        <w:rPr>
          <w:spacing w:val="-8"/>
        </w:rPr>
        <w:t> </w:t>
      </w:r>
      <w:r>
        <w:rPr/>
        <w:t>used</w:t>
      </w:r>
      <w:r>
        <w:rPr>
          <w:spacing w:val="-7"/>
        </w:rPr>
        <w:t> </w:t>
      </w:r>
      <w:r>
        <w:rPr/>
        <w:t>to</w:t>
      </w:r>
      <w:r>
        <w:rPr>
          <w:spacing w:val="-6"/>
        </w:rPr>
        <w:t> </w:t>
      </w:r>
      <w:r>
        <w:rPr/>
        <w:t>calculate</w:t>
      </w:r>
      <w:r>
        <w:rPr>
          <w:spacing w:val="-7"/>
        </w:rPr>
        <w:t> </w:t>
      </w:r>
      <w:r>
        <w:rPr>
          <w:spacing w:val="-5"/>
        </w:rPr>
        <w:t>the</w:t>
      </w:r>
    </w:p>
    <w:p>
      <w:pPr>
        <w:spacing w:after="0" w:line="309" w:lineRule="auto"/>
        <w:sectPr>
          <w:headerReference w:type="default" r:id="rId128"/>
          <w:footerReference w:type="default" r:id="rId129"/>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42" w:lineRule="auto" w:before="105"/>
        <w:ind w:left="610" w:right="389"/>
        <w:jc w:val="both"/>
      </w:pPr>
      <w:bookmarkStart w:name="_bookmark198" w:id="339"/>
      <w:bookmarkEnd w:id="339"/>
      <w:r>
        <w:rPr/>
      </w:r>
      <w:r>
        <w:rPr>
          <w:b/>
        </w:rPr>
        <w:t>Table 6.5: </w:t>
      </w:r>
      <w:r>
        <w:rPr/>
        <w:t>Abbreviated example of weights used in this study.</w:t>
      </w:r>
      <w:r>
        <w:rPr>
          <w:spacing w:val="40"/>
        </w:rPr>
        <w:t> </w:t>
      </w:r>
      <w:r>
        <w:rPr/>
        <w:t>Only first 8 centres </w:t>
      </w:r>
      <w:r>
        <w:rPr/>
        <w:t>are shown,</w:t>
      </w:r>
      <w:r>
        <w:rPr>
          <w:spacing w:val="-10"/>
        </w:rPr>
        <w:t> </w:t>
      </w:r>
      <w:r>
        <w:rPr/>
        <w:t>column</w:t>
      </w:r>
      <w:r>
        <w:rPr>
          <w:spacing w:val="-12"/>
        </w:rPr>
        <w:t> </w:t>
      </w:r>
      <w:r>
        <w:rPr/>
        <w:t>titles</w:t>
      </w:r>
      <w:r>
        <w:rPr>
          <w:spacing w:val="-11"/>
        </w:rPr>
        <w:t> </w:t>
      </w:r>
      <w:r>
        <w:rPr/>
        <w:t>represent</w:t>
      </w:r>
      <w:r>
        <w:rPr>
          <w:spacing w:val="-12"/>
        </w:rPr>
        <w:t> </w:t>
      </w:r>
      <w:r>
        <w:rPr/>
        <w:t>centre</w:t>
      </w:r>
      <w:r>
        <w:rPr>
          <w:spacing w:val="-11"/>
        </w:rPr>
        <w:t> </w:t>
      </w:r>
      <w:r>
        <w:rPr/>
        <w:t>coordinates. All</w:t>
      </w:r>
      <w:r>
        <w:rPr>
          <w:spacing w:val="-12"/>
        </w:rPr>
        <w:t> </w:t>
      </w:r>
      <w:r>
        <w:rPr/>
        <w:t>other</w:t>
      </w:r>
      <w:r>
        <w:rPr>
          <w:spacing w:val="-11"/>
        </w:rPr>
        <w:t> </w:t>
      </w:r>
      <w:r>
        <w:rPr/>
        <w:t>centres</w:t>
      </w:r>
      <w:r>
        <w:rPr>
          <w:spacing w:val="-12"/>
        </w:rPr>
        <w:t> </w:t>
      </w:r>
      <w:r>
        <w:rPr/>
        <w:t>(</w:t>
      </w:r>
      <w:r>
        <w:rPr>
          <w:rFonts w:ascii="Cambria"/>
        </w:rPr>
        <w:t>n</w:t>
      </w:r>
      <w:r>
        <w:rPr>
          <w:rFonts w:ascii="Cambria"/>
          <w:spacing w:val="11"/>
        </w:rPr>
        <w:t> </w:t>
      </w:r>
      <w:r>
        <w:rPr>
          <w:rFonts w:ascii="Garamond"/>
        </w:rPr>
        <w:t>= 25</w:t>
      </w:r>
      <w:r>
        <w:rPr/>
        <w:t>)</w:t>
      </w:r>
      <w:r>
        <w:rPr>
          <w:spacing w:val="-11"/>
        </w:rPr>
        <w:t> </w:t>
      </w:r>
      <w:r>
        <w:rPr/>
        <w:t>are</w:t>
      </w:r>
      <w:r>
        <w:rPr>
          <w:spacing w:val="-12"/>
        </w:rPr>
        <w:t> </w:t>
      </w:r>
      <w:r>
        <w:rPr/>
        <w:t>assigned weights of </w:t>
      </w:r>
      <w:r>
        <w:rPr>
          <w:rFonts w:ascii="Garamond"/>
        </w:rPr>
        <w:t>0 </w:t>
      </w:r>
      <w:r>
        <w:rPr/>
        <w:t>based on the </w:t>
      </w:r>
      <w:r>
        <w:rPr>
          <w:rFonts w:ascii="Cambria"/>
        </w:rPr>
        <w:t>x,</w:t>
      </w:r>
      <w:r>
        <w:rPr>
          <w:rFonts w:ascii="Cambria"/>
          <w:spacing w:val="-4"/>
        </w:rPr>
        <w:t> </w:t>
      </w:r>
      <w:r>
        <w:rPr>
          <w:rFonts w:ascii="Cambria"/>
        </w:rPr>
        <w:t>y </w:t>
      </w:r>
      <w:r>
        <w:rPr/>
        <w:t>location of these example actions.</w:t>
      </w:r>
    </w:p>
    <w:p>
      <w:pPr>
        <w:pStyle w:val="BodyText"/>
        <w:rPr>
          <w:sz w:val="20"/>
        </w:rPr>
      </w:pPr>
    </w:p>
    <w:p>
      <w:pPr>
        <w:pStyle w:val="BodyText"/>
        <w:spacing w:before="10"/>
        <w:rPr>
          <w:sz w:val="23"/>
        </w:rPr>
      </w:pPr>
    </w:p>
    <w:tbl>
      <w:tblPr>
        <w:tblW w:w="0" w:type="auto"/>
        <w:jc w:val="left"/>
        <w:tblInd w:w="6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78"/>
        <w:gridCol w:w="478"/>
        <w:gridCol w:w="896"/>
        <w:gridCol w:w="1016"/>
        <w:gridCol w:w="1016"/>
        <w:gridCol w:w="1016"/>
        <w:gridCol w:w="1016"/>
        <w:gridCol w:w="817"/>
        <w:gridCol w:w="937"/>
        <w:gridCol w:w="937"/>
      </w:tblGrid>
      <w:tr>
        <w:trPr>
          <w:trHeight w:val="272" w:hRule="atLeast"/>
        </w:trPr>
        <w:tc>
          <w:tcPr>
            <w:tcW w:w="478" w:type="dxa"/>
            <w:tcBorders>
              <w:top w:val="single" w:sz="4" w:space="0" w:color="000000"/>
              <w:bottom w:val="single" w:sz="4" w:space="0" w:color="000000"/>
            </w:tcBorders>
          </w:tcPr>
          <w:p>
            <w:pPr>
              <w:pStyle w:val="TableParagraph"/>
              <w:spacing w:line="255" w:lineRule="exact"/>
              <w:ind w:left="172"/>
              <w:jc w:val="left"/>
              <w:rPr>
                <w:rFonts w:ascii="Cambria"/>
                <w:sz w:val="24"/>
              </w:rPr>
            </w:pPr>
            <w:r>
              <w:rPr>
                <w:rFonts w:ascii="Cambria"/>
                <w:w w:val="114"/>
                <w:sz w:val="24"/>
              </w:rPr>
              <w:t>x</w:t>
            </w:r>
          </w:p>
        </w:tc>
        <w:tc>
          <w:tcPr>
            <w:tcW w:w="478" w:type="dxa"/>
            <w:tcBorders>
              <w:top w:val="single" w:sz="4" w:space="0" w:color="000000"/>
              <w:bottom w:val="single" w:sz="4" w:space="0" w:color="000000"/>
            </w:tcBorders>
          </w:tcPr>
          <w:p>
            <w:pPr>
              <w:pStyle w:val="TableParagraph"/>
              <w:spacing w:line="255" w:lineRule="exact"/>
              <w:ind w:left="177"/>
              <w:jc w:val="left"/>
              <w:rPr>
                <w:rFonts w:ascii="Cambria"/>
                <w:sz w:val="24"/>
              </w:rPr>
            </w:pPr>
            <w:r>
              <w:rPr>
                <w:rFonts w:ascii="Cambria"/>
                <w:w w:val="94"/>
                <w:sz w:val="24"/>
              </w:rPr>
              <w:t>y</w:t>
            </w:r>
          </w:p>
        </w:tc>
        <w:tc>
          <w:tcPr>
            <w:tcW w:w="896" w:type="dxa"/>
            <w:tcBorders>
              <w:top w:val="single" w:sz="4" w:space="0" w:color="000000"/>
              <w:bottom w:val="single" w:sz="4" w:space="0" w:color="000000"/>
            </w:tcBorders>
          </w:tcPr>
          <w:p>
            <w:pPr>
              <w:pStyle w:val="TableParagraph"/>
              <w:spacing w:line="253" w:lineRule="exact"/>
              <w:ind w:left="119"/>
              <w:jc w:val="left"/>
              <w:rPr>
                <w:sz w:val="24"/>
              </w:rPr>
            </w:pPr>
            <w:r>
              <w:rPr>
                <w:spacing w:val="-2"/>
                <w:sz w:val="24"/>
              </w:rPr>
              <w:t>(0,-</w:t>
            </w:r>
            <w:r>
              <w:rPr>
                <w:spacing w:val="-5"/>
                <w:sz w:val="24"/>
              </w:rPr>
              <w:t>10)</w:t>
            </w:r>
          </w:p>
        </w:tc>
        <w:tc>
          <w:tcPr>
            <w:tcW w:w="1016" w:type="dxa"/>
            <w:tcBorders>
              <w:top w:val="single" w:sz="4" w:space="0" w:color="000000"/>
              <w:bottom w:val="single" w:sz="4" w:space="0" w:color="000000"/>
            </w:tcBorders>
          </w:tcPr>
          <w:p>
            <w:pPr>
              <w:pStyle w:val="TableParagraph"/>
              <w:spacing w:line="253" w:lineRule="exact"/>
              <w:ind w:left="111" w:right="110"/>
              <w:rPr>
                <w:sz w:val="24"/>
              </w:rPr>
            </w:pPr>
            <w:r>
              <w:rPr>
                <w:spacing w:val="-2"/>
                <w:sz w:val="24"/>
              </w:rPr>
              <w:t>(20,-</w:t>
            </w:r>
            <w:r>
              <w:rPr>
                <w:spacing w:val="-5"/>
                <w:sz w:val="24"/>
              </w:rPr>
              <w:t>10)</w:t>
            </w:r>
          </w:p>
        </w:tc>
        <w:tc>
          <w:tcPr>
            <w:tcW w:w="1016" w:type="dxa"/>
            <w:tcBorders>
              <w:top w:val="single" w:sz="4" w:space="0" w:color="000000"/>
              <w:bottom w:val="single" w:sz="4" w:space="0" w:color="000000"/>
            </w:tcBorders>
          </w:tcPr>
          <w:p>
            <w:pPr>
              <w:pStyle w:val="TableParagraph"/>
              <w:spacing w:line="253" w:lineRule="exact"/>
              <w:ind w:left="111" w:right="110"/>
              <w:rPr>
                <w:sz w:val="24"/>
              </w:rPr>
            </w:pPr>
            <w:r>
              <w:rPr>
                <w:spacing w:val="-2"/>
                <w:sz w:val="24"/>
              </w:rPr>
              <w:t>(35,-</w:t>
            </w:r>
            <w:r>
              <w:rPr>
                <w:spacing w:val="-5"/>
                <w:sz w:val="24"/>
              </w:rPr>
              <w:t>10)</w:t>
            </w:r>
          </w:p>
        </w:tc>
        <w:tc>
          <w:tcPr>
            <w:tcW w:w="1016" w:type="dxa"/>
            <w:tcBorders>
              <w:top w:val="single" w:sz="4" w:space="0" w:color="000000"/>
              <w:bottom w:val="single" w:sz="4" w:space="0" w:color="000000"/>
            </w:tcBorders>
          </w:tcPr>
          <w:p>
            <w:pPr>
              <w:pStyle w:val="TableParagraph"/>
              <w:spacing w:line="253" w:lineRule="exact"/>
              <w:ind w:left="111" w:right="110"/>
              <w:rPr>
                <w:sz w:val="24"/>
              </w:rPr>
            </w:pPr>
            <w:r>
              <w:rPr>
                <w:spacing w:val="-2"/>
                <w:sz w:val="24"/>
              </w:rPr>
              <w:t>(50,-</w:t>
            </w:r>
            <w:r>
              <w:rPr>
                <w:spacing w:val="-5"/>
                <w:sz w:val="24"/>
              </w:rPr>
              <w:t>10)</w:t>
            </w:r>
          </w:p>
        </w:tc>
        <w:tc>
          <w:tcPr>
            <w:tcW w:w="1016" w:type="dxa"/>
            <w:tcBorders>
              <w:top w:val="single" w:sz="4" w:space="0" w:color="000000"/>
              <w:bottom w:val="single" w:sz="4" w:space="0" w:color="000000"/>
            </w:tcBorders>
          </w:tcPr>
          <w:p>
            <w:pPr>
              <w:pStyle w:val="TableParagraph"/>
              <w:spacing w:line="253" w:lineRule="exact"/>
              <w:ind w:left="111" w:right="110"/>
              <w:rPr>
                <w:sz w:val="24"/>
              </w:rPr>
            </w:pPr>
            <w:r>
              <w:rPr>
                <w:spacing w:val="-2"/>
                <w:sz w:val="24"/>
              </w:rPr>
              <w:t>(70,-</w:t>
            </w:r>
            <w:r>
              <w:rPr>
                <w:spacing w:val="-5"/>
                <w:sz w:val="24"/>
              </w:rPr>
              <w:t>10)</w:t>
            </w:r>
          </w:p>
        </w:tc>
        <w:tc>
          <w:tcPr>
            <w:tcW w:w="817" w:type="dxa"/>
            <w:tcBorders>
              <w:top w:val="single" w:sz="4" w:space="0" w:color="000000"/>
              <w:bottom w:val="single" w:sz="4" w:space="0" w:color="000000"/>
            </w:tcBorders>
          </w:tcPr>
          <w:p>
            <w:pPr>
              <w:pStyle w:val="TableParagraph"/>
              <w:spacing w:line="253" w:lineRule="exact"/>
              <w:ind w:left="120"/>
              <w:jc w:val="left"/>
              <w:rPr>
                <w:sz w:val="24"/>
              </w:rPr>
            </w:pPr>
            <w:r>
              <w:rPr>
                <w:spacing w:val="-2"/>
                <w:sz w:val="24"/>
              </w:rPr>
              <w:t>(0,20)</w:t>
            </w:r>
          </w:p>
        </w:tc>
        <w:tc>
          <w:tcPr>
            <w:tcW w:w="937" w:type="dxa"/>
            <w:tcBorders>
              <w:top w:val="single" w:sz="4" w:space="0" w:color="000000"/>
              <w:bottom w:val="single" w:sz="4" w:space="0" w:color="000000"/>
            </w:tcBorders>
          </w:tcPr>
          <w:p>
            <w:pPr>
              <w:pStyle w:val="TableParagraph"/>
              <w:spacing w:line="253" w:lineRule="exact"/>
              <w:ind w:left="105" w:right="105"/>
              <w:rPr>
                <w:sz w:val="24"/>
              </w:rPr>
            </w:pPr>
            <w:r>
              <w:rPr>
                <w:spacing w:val="-2"/>
                <w:sz w:val="24"/>
              </w:rPr>
              <w:t>(20,20)</w:t>
            </w:r>
          </w:p>
        </w:tc>
        <w:tc>
          <w:tcPr>
            <w:tcW w:w="937" w:type="dxa"/>
            <w:tcBorders>
              <w:top w:val="single" w:sz="4" w:space="0" w:color="000000"/>
              <w:bottom w:val="single" w:sz="4" w:space="0" w:color="000000"/>
            </w:tcBorders>
          </w:tcPr>
          <w:p>
            <w:pPr>
              <w:pStyle w:val="TableParagraph"/>
              <w:spacing w:line="253" w:lineRule="exact"/>
              <w:ind w:left="104" w:right="105"/>
              <w:rPr>
                <w:sz w:val="24"/>
              </w:rPr>
            </w:pPr>
            <w:r>
              <w:rPr>
                <w:spacing w:val="-2"/>
                <w:sz w:val="24"/>
              </w:rPr>
              <w:t>(35,20)</w:t>
            </w:r>
          </w:p>
        </w:tc>
      </w:tr>
      <w:tr>
        <w:trPr>
          <w:trHeight w:val="283" w:hRule="atLeast"/>
        </w:trPr>
        <w:tc>
          <w:tcPr>
            <w:tcW w:w="478" w:type="dxa"/>
            <w:tcBorders>
              <w:top w:val="single" w:sz="4" w:space="0" w:color="000000"/>
            </w:tcBorders>
          </w:tcPr>
          <w:p>
            <w:pPr>
              <w:pStyle w:val="TableParagraph"/>
              <w:spacing w:line="249" w:lineRule="exact"/>
              <w:ind w:left="179"/>
              <w:jc w:val="left"/>
              <w:rPr>
                <w:sz w:val="24"/>
              </w:rPr>
            </w:pPr>
            <w:r>
              <w:rPr>
                <w:w w:val="99"/>
                <w:sz w:val="24"/>
              </w:rPr>
              <w:t>9</w:t>
            </w:r>
          </w:p>
        </w:tc>
        <w:tc>
          <w:tcPr>
            <w:tcW w:w="478" w:type="dxa"/>
            <w:tcBorders>
              <w:top w:val="single" w:sz="4" w:space="0" w:color="000000"/>
            </w:tcBorders>
          </w:tcPr>
          <w:p>
            <w:pPr>
              <w:pStyle w:val="TableParagraph"/>
              <w:spacing w:line="249" w:lineRule="exact"/>
              <w:ind w:left="179"/>
              <w:jc w:val="left"/>
              <w:rPr>
                <w:sz w:val="24"/>
              </w:rPr>
            </w:pPr>
            <w:r>
              <w:rPr>
                <w:w w:val="99"/>
                <w:sz w:val="24"/>
              </w:rPr>
              <w:t>4</w:t>
            </w:r>
          </w:p>
        </w:tc>
        <w:tc>
          <w:tcPr>
            <w:tcW w:w="896" w:type="dxa"/>
            <w:tcBorders>
              <w:top w:val="single" w:sz="4" w:space="0" w:color="000000"/>
            </w:tcBorders>
          </w:tcPr>
          <w:p>
            <w:pPr>
              <w:pStyle w:val="TableParagraph"/>
              <w:spacing w:line="249" w:lineRule="exact"/>
              <w:ind w:left="179"/>
              <w:jc w:val="left"/>
              <w:rPr>
                <w:sz w:val="24"/>
              </w:rPr>
            </w:pPr>
            <w:r>
              <w:rPr>
                <w:spacing w:val="-2"/>
                <w:sz w:val="24"/>
              </w:rPr>
              <w:t>0.293</w:t>
            </w:r>
          </w:p>
        </w:tc>
        <w:tc>
          <w:tcPr>
            <w:tcW w:w="1016" w:type="dxa"/>
            <w:tcBorders>
              <w:top w:val="single" w:sz="4" w:space="0" w:color="000000"/>
            </w:tcBorders>
          </w:tcPr>
          <w:p>
            <w:pPr>
              <w:pStyle w:val="TableParagraph"/>
              <w:spacing w:line="249" w:lineRule="exact"/>
              <w:ind w:left="111" w:right="110"/>
              <w:rPr>
                <w:sz w:val="24"/>
              </w:rPr>
            </w:pPr>
            <w:r>
              <w:rPr>
                <w:spacing w:val="-2"/>
                <w:sz w:val="24"/>
              </w:rPr>
              <w:t>0.240</w:t>
            </w:r>
          </w:p>
        </w:tc>
        <w:tc>
          <w:tcPr>
            <w:tcW w:w="1016" w:type="dxa"/>
            <w:tcBorders>
              <w:top w:val="single" w:sz="4" w:space="0" w:color="000000"/>
            </w:tcBorders>
          </w:tcPr>
          <w:p>
            <w:pPr>
              <w:pStyle w:val="TableParagraph"/>
              <w:spacing w:line="249" w:lineRule="exact"/>
              <w:ind w:left="111" w:right="110"/>
              <w:rPr>
                <w:sz w:val="24"/>
              </w:rPr>
            </w:pPr>
            <w:r>
              <w:rPr>
                <w:spacing w:val="-2"/>
                <w:sz w:val="24"/>
              </w:rPr>
              <w:t>0.000</w:t>
            </w:r>
          </w:p>
        </w:tc>
        <w:tc>
          <w:tcPr>
            <w:tcW w:w="1016" w:type="dxa"/>
            <w:tcBorders>
              <w:top w:val="single" w:sz="4" w:space="0" w:color="000000"/>
            </w:tcBorders>
          </w:tcPr>
          <w:p>
            <w:pPr>
              <w:pStyle w:val="TableParagraph"/>
              <w:spacing w:line="249" w:lineRule="exact"/>
              <w:ind w:left="111" w:right="110"/>
              <w:rPr>
                <w:sz w:val="24"/>
              </w:rPr>
            </w:pPr>
            <w:r>
              <w:rPr>
                <w:spacing w:val="-2"/>
                <w:sz w:val="24"/>
              </w:rPr>
              <w:t>0.000</w:t>
            </w:r>
          </w:p>
        </w:tc>
        <w:tc>
          <w:tcPr>
            <w:tcW w:w="1016" w:type="dxa"/>
            <w:tcBorders>
              <w:top w:val="single" w:sz="4" w:space="0" w:color="000000"/>
            </w:tcBorders>
          </w:tcPr>
          <w:p>
            <w:pPr>
              <w:pStyle w:val="TableParagraph"/>
              <w:spacing w:line="249" w:lineRule="exact"/>
              <w:ind w:left="111" w:right="110"/>
              <w:rPr>
                <w:sz w:val="24"/>
              </w:rPr>
            </w:pPr>
            <w:r>
              <w:rPr>
                <w:spacing w:val="-2"/>
                <w:sz w:val="24"/>
              </w:rPr>
              <w:t>0.000</w:t>
            </w:r>
          </w:p>
        </w:tc>
        <w:tc>
          <w:tcPr>
            <w:tcW w:w="817" w:type="dxa"/>
            <w:tcBorders>
              <w:top w:val="single" w:sz="4" w:space="0" w:color="000000"/>
            </w:tcBorders>
          </w:tcPr>
          <w:p>
            <w:pPr>
              <w:pStyle w:val="TableParagraph"/>
              <w:spacing w:line="249" w:lineRule="exact"/>
              <w:ind w:left="140"/>
              <w:jc w:val="left"/>
              <w:rPr>
                <w:sz w:val="24"/>
              </w:rPr>
            </w:pPr>
            <w:r>
              <w:rPr>
                <w:spacing w:val="-2"/>
                <w:sz w:val="24"/>
              </w:rPr>
              <w:t>0.257</w:t>
            </w:r>
          </w:p>
        </w:tc>
        <w:tc>
          <w:tcPr>
            <w:tcW w:w="937" w:type="dxa"/>
            <w:tcBorders>
              <w:top w:val="single" w:sz="4" w:space="0" w:color="000000"/>
            </w:tcBorders>
          </w:tcPr>
          <w:p>
            <w:pPr>
              <w:pStyle w:val="TableParagraph"/>
              <w:spacing w:line="249" w:lineRule="exact"/>
              <w:ind w:left="105" w:right="105"/>
              <w:rPr>
                <w:sz w:val="24"/>
              </w:rPr>
            </w:pPr>
            <w:r>
              <w:rPr>
                <w:spacing w:val="-2"/>
                <w:sz w:val="24"/>
              </w:rPr>
              <w:t>0.210</w:t>
            </w:r>
          </w:p>
        </w:tc>
        <w:tc>
          <w:tcPr>
            <w:tcW w:w="937" w:type="dxa"/>
            <w:tcBorders>
              <w:top w:val="single" w:sz="4" w:space="0" w:color="000000"/>
            </w:tcBorders>
          </w:tcPr>
          <w:p>
            <w:pPr>
              <w:pStyle w:val="TableParagraph"/>
              <w:spacing w:line="249" w:lineRule="exact"/>
              <w:ind w:left="104" w:right="105"/>
              <w:rPr>
                <w:sz w:val="24"/>
              </w:rPr>
            </w:pPr>
            <w:r>
              <w:rPr>
                <w:spacing w:val="-2"/>
                <w:sz w:val="24"/>
              </w:rPr>
              <w:t>0.000</w:t>
            </w:r>
          </w:p>
        </w:tc>
      </w:tr>
      <w:tr>
        <w:trPr>
          <w:trHeight w:val="288" w:hRule="atLeast"/>
        </w:trPr>
        <w:tc>
          <w:tcPr>
            <w:tcW w:w="478" w:type="dxa"/>
          </w:tcPr>
          <w:p>
            <w:pPr>
              <w:pStyle w:val="TableParagraph"/>
              <w:ind w:left="179"/>
              <w:jc w:val="left"/>
              <w:rPr>
                <w:sz w:val="24"/>
              </w:rPr>
            </w:pPr>
            <w:r>
              <w:rPr>
                <w:w w:val="99"/>
                <w:sz w:val="24"/>
              </w:rPr>
              <w:t>9</w:t>
            </w:r>
          </w:p>
        </w:tc>
        <w:tc>
          <w:tcPr>
            <w:tcW w:w="478" w:type="dxa"/>
          </w:tcPr>
          <w:p>
            <w:pPr>
              <w:pStyle w:val="TableParagraph"/>
              <w:ind w:left="179"/>
              <w:jc w:val="left"/>
              <w:rPr>
                <w:sz w:val="24"/>
              </w:rPr>
            </w:pPr>
            <w:r>
              <w:rPr>
                <w:w w:val="99"/>
                <w:sz w:val="24"/>
              </w:rPr>
              <w:t>6</w:t>
            </w:r>
          </w:p>
        </w:tc>
        <w:tc>
          <w:tcPr>
            <w:tcW w:w="896" w:type="dxa"/>
          </w:tcPr>
          <w:p>
            <w:pPr>
              <w:pStyle w:val="TableParagraph"/>
              <w:ind w:left="179"/>
              <w:jc w:val="left"/>
              <w:rPr>
                <w:sz w:val="24"/>
              </w:rPr>
            </w:pPr>
            <w:r>
              <w:rPr>
                <w:spacing w:val="-2"/>
                <w:sz w:val="24"/>
              </w:rPr>
              <w:t>0.257</w:t>
            </w:r>
          </w:p>
        </w:tc>
        <w:tc>
          <w:tcPr>
            <w:tcW w:w="1016" w:type="dxa"/>
          </w:tcPr>
          <w:p>
            <w:pPr>
              <w:pStyle w:val="TableParagraph"/>
              <w:ind w:left="111" w:right="110"/>
              <w:rPr>
                <w:sz w:val="24"/>
              </w:rPr>
            </w:pPr>
            <w:r>
              <w:rPr>
                <w:spacing w:val="-2"/>
                <w:sz w:val="24"/>
              </w:rPr>
              <w:t>0.210</w:t>
            </w:r>
          </w:p>
        </w:tc>
        <w:tc>
          <w:tcPr>
            <w:tcW w:w="1016" w:type="dxa"/>
          </w:tcPr>
          <w:p>
            <w:pPr>
              <w:pStyle w:val="TableParagraph"/>
              <w:ind w:left="111" w:right="110"/>
              <w:rPr>
                <w:sz w:val="24"/>
              </w:rPr>
            </w:pPr>
            <w:r>
              <w:rPr>
                <w:spacing w:val="-2"/>
                <w:sz w:val="24"/>
              </w:rPr>
              <w:t>0.000</w:t>
            </w:r>
          </w:p>
        </w:tc>
        <w:tc>
          <w:tcPr>
            <w:tcW w:w="1016" w:type="dxa"/>
          </w:tcPr>
          <w:p>
            <w:pPr>
              <w:pStyle w:val="TableParagraph"/>
              <w:ind w:left="111" w:right="110"/>
              <w:rPr>
                <w:sz w:val="24"/>
              </w:rPr>
            </w:pPr>
            <w:r>
              <w:rPr>
                <w:spacing w:val="-2"/>
                <w:sz w:val="24"/>
              </w:rPr>
              <w:t>0.000</w:t>
            </w:r>
          </w:p>
        </w:tc>
        <w:tc>
          <w:tcPr>
            <w:tcW w:w="1016" w:type="dxa"/>
          </w:tcPr>
          <w:p>
            <w:pPr>
              <w:pStyle w:val="TableParagraph"/>
              <w:ind w:left="111" w:right="110"/>
              <w:rPr>
                <w:sz w:val="24"/>
              </w:rPr>
            </w:pPr>
            <w:r>
              <w:rPr>
                <w:spacing w:val="-2"/>
                <w:sz w:val="24"/>
              </w:rPr>
              <w:t>0.000</w:t>
            </w:r>
          </w:p>
        </w:tc>
        <w:tc>
          <w:tcPr>
            <w:tcW w:w="817" w:type="dxa"/>
          </w:tcPr>
          <w:p>
            <w:pPr>
              <w:pStyle w:val="TableParagraph"/>
              <w:ind w:left="140"/>
              <w:jc w:val="left"/>
              <w:rPr>
                <w:sz w:val="24"/>
              </w:rPr>
            </w:pPr>
            <w:r>
              <w:rPr>
                <w:spacing w:val="-2"/>
                <w:sz w:val="24"/>
              </w:rPr>
              <w:t>0.293</w:t>
            </w:r>
          </w:p>
        </w:tc>
        <w:tc>
          <w:tcPr>
            <w:tcW w:w="937" w:type="dxa"/>
          </w:tcPr>
          <w:p>
            <w:pPr>
              <w:pStyle w:val="TableParagraph"/>
              <w:ind w:left="105" w:right="105"/>
              <w:rPr>
                <w:sz w:val="24"/>
              </w:rPr>
            </w:pPr>
            <w:r>
              <w:rPr>
                <w:spacing w:val="-2"/>
                <w:sz w:val="24"/>
              </w:rPr>
              <w:t>0.240</w:t>
            </w:r>
          </w:p>
        </w:tc>
        <w:tc>
          <w:tcPr>
            <w:tcW w:w="937" w:type="dxa"/>
          </w:tcPr>
          <w:p>
            <w:pPr>
              <w:pStyle w:val="TableParagraph"/>
              <w:ind w:left="104" w:right="105"/>
              <w:rPr>
                <w:sz w:val="24"/>
              </w:rPr>
            </w:pPr>
            <w:r>
              <w:rPr>
                <w:spacing w:val="-2"/>
                <w:sz w:val="24"/>
              </w:rPr>
              <w:t>0.000</w:t>
            </w:r>
          </w:p>
        </w:tc>
      </w:tr>
      <w:tr>
        <w:trPr>
          <w:trHeight w:val="288" w:hRule="atLeast"/>
        </w:trPr>
        <w:tc>
          <w:tcPr>
            <w:tcW w:w="478" w:type="dxa"/>
          </w:tcPr>
          <w:p>
            <w:pPr>
              <w:pStyle w:val="TableParagraph"/>
              <w:ind w:left="119"/>
              <w:jc w:val="left"/>
              <w:rPr>
                <w:sz w:val="24"/>
              </w:rPr>
            </w:pPr>
            <w:r>
              <w:rPr>
                <w:spacing w:val="-5"/>
                <w:sz w:val="24"/>
              </w:rPr>
              <w:t>14</w:t>
            </w:r>
          </w:p>
        </w:tc>
        <w:tc>
          <w:tcPr>
            <w:tcW w:w="478" w:type="dxa"/>
          </w:tcPr>
          <w:p>
            <w:pPr>
              <w:pStyle w:val="TableParagraph"/>
              <w:ind w:left="119"/>
              <w:jc w:val="left"/>
              <w:rPr>
                <w:sz w:val="24"/>
              </w:rPr>
            </w:pPr>
            <w:r>
              <w:rPr>
                <w:spacing w:val="-5"/>
                <w:sz w:val="24"/>
              </w:rPr>
              <w:t>11</w:t>
            </w:r>
          </w:p>
        </w:tc>
        <w:tc>
          <w:tcPr>
            <w:tcW w:w="896" w:type="dxa"/>
          </w:tcPr>
          <w:p>
            <w:pPr>
              <w:pStyle w:val="TableParagraph"/>
              <w:ind w:left="179"/>
              <w:jc w:val="left"/>
              <w:rPr>
                <w:sz w:val="24"/>
              </w:rPr>
            </w:pPr>
            <w:r>
              <w:rPr>
                <w:spacing w:val="-2"/>
                <w:sz w:val="24"/>
              </w:rPr>
              <w:t>0.090</w:t>
            </w:r>
          </w:p>
        </w:tc>
        <w:tc>
          <w:tcPr>
            <w:tcW w:w="1016" w:type="dxa"/>
          </w:tcPr>
          <w:p>
            <w:pPr>
              <w:pStyle w:val="TableParagraph"/>
              <w:ind w:left="111" w:right="110"/>
              <w:rPr>
                <w:sz w:val="24"/>
              </w:rPr>
            </w:pPr>
            <w:r>
              <w:rPr>
                <w:spacing w:val="-2"/>
                <w:sz w:val="24"/>
              </w:rPr>
              <w:t>0.210</w:t>
            </w:r>
          </w:p>
        </w:tc>
        <w:tc>
          <w:tcPr>
            <w:tcW w:w="1016" w:type="dxa"/>
          </w:tcPr>
          <w:p>
            <w:pPr>
              <w:pStyle w:val="TableParagraph"/>
              <w:ind w:left="111" w:right="110"/>
              <w:rPr>
                <w:sz w:val="24"/>
              </w:rPr>
            </w:pPr>
            <w:r>
              <w:rPr>
                <w:spacing w:val="-2"/>
                <w:sz w:val="24"/>
              </w:rPr>
              <w:t>0.000</w:t>
            </w:r>
          </w:p>
        </w:tc>
        <w:tc>
          <w:tcPr>
            <w:tcW w:w="1016" w:type="dxa"/>
          </w:tcPr>
          <w:p>
            <w:pPr>
              <w:pStyle w:val="TableParagraph"/>
              <w:ind w:left="111" w:right="110"/>
              <w:rPr>
                <w:sz w:val="24"/>
              </w:rPr>
            </w:pPr>
            <w:r>
              <w:rPr>
                <w:spacing w:val="-2"/>
                <w:sz w:val="24"/>
              </w:rPr>
              <w:t>0.000</w:t>
            </w:r>
          </w:p>
        </w:tc>
        <w:tc>
          <w:tcPr>
            <w:tcW w:w="1016" w:type="dxa"/>
          </w:tcPr>
          <w:p>
            <w:pPr>
              <w:pStyle w:val="TableParagraph"/>
              <w:ind w:left="111" w:right="110"/>
              <w:rPr>
                <w:sz w:val="24"/>
              </w:rPr>
            </w:pPr>
            <w:r>
              <w:rPr>
                <w:spacing w:val="-2"/>
                <w:sz w:val="24"/>
              </w:rPr>
              <w:t>0.000</w:t>
            </w:r>
          </w:p>
        </w:tc>
        <w:tc>
          <w:tcPr>
            <w:tcW w:w="817" w:type="dxa"/>
          </w:tcPr>
          <w:p>
            <w:pPr>
              <w:pStyle w:val="TableParagraph"/>
              <w:ind w:left="140"/>
              <w:jc w:val="left"/>
              <w:rPr>
                <w:sz w:val="24"/>
              </w:rPr>
            </w:pPr>
            <w:r>
              <w:rPr>
                <w:spacing w:val="-2"/>
                <w:sz w:val="24"/>
              </w:rPr>
              <w:t>0.210</w:t>
            </w:r>
          </w:p>
        </w:tc>
        <w:tc>
          <w:tcPr>
            <w:tcW w:w="937" w:type="dxa"/>
          </w:tcPr>
          <w:p>
            <w:pPr>
              <w:pStyle w:val="TableParagraph"/>
              <w:ind w:left="105" w:right="105"/>
              <w:rPr>
                <w:sz w:val="24"/>
              </w:rPr>
            </w:pPr>
            <w:r>
              <w:rPr>
                <w:spacing w:val="-2"/>
                <w:sz w:val="24"/>
              </w:rPr>
              <w:t>0.490</w:t>
            </w:r>
          </w:p>
        </w:tc>
        <w:tc>
          <w:tcPr>
            <w:tcW w:w="937" w:type="dxa"/>
          </w:tcPr>
          <w:p>
            <w:pPr>
              <w:pStyle w:val="TableParagraph"/>
              <w:ind w:left="104" w:right="105"/>
              <w:rPr>
                <w:sz w:val="24"/>
              </w:rPr>
            </w:pPr>
            <w:r>
              <w:rPr>
                <w:spacing w:val="-2"/>
                <w:sz w:val="24"/>
              </w:rPr>
              <w:t>0.000</w:t>
            </w:r>
          </w:p>
        </w:tc>
      </w:tr>
      <w:tr>
        <w:trPr>
          <w:trHeight w:val="288" w:hRule="atLeast"/>
        </w:trPr>
        <w:tc>
          <w:tcPr>
            <w:tcW w:w="478" w:type="dxa"/>
          </w:tcPr>
          <w:p>
            <w:pPr>
              <w:pStyle w:val="TableParagraph"/>
              <w:ind w:left="119"/>
              <w:jc w:val="left"/>
              <w:rPr>
                <w:sz w:val="24"/>
              </w:rPr>
            </w:pPr>
            <w:r>
              <w:rPr>
                <w:spacing w:val="-5"/>
                <w:sz w:val="24"/>
              </w:rPr>
              <w:t>22</w:t>
            </w:r>
          </w:p>
        </w:tc>
        <w:tc>
          <w:tcPr>
            <w:tcW w:w="478" w:type="dxa"/>
          </w:tcPr>
          <w:p>
            <w:pPr>
              <w:pStyle w:val="TableParagraph"/>
              <w:ind w:left="119"/>
              <w:jc w:val="left"/>
              <w:rPr>
                <w:sz w:val="24"/>
              </w:rPr>
            </w:pPr>
            <w:r>
              <w:rPr>
                <w:spacing w:val="-5"/>
                <w:sz w:val="24"/>
              </w:rPr>
              <w:t>13</w:t>
            </w:r>
          </w:p>
        </w:tc>
        <w:tc>
          <w:tcPr>
            <w:tcW w:w="896" w:type="dxa"/>
          </w:tcPr>
          <w:p>
            <w:pPr>
              <w:pStyle w:val="TableParagraph"/>
              <w:ind w:left="179"/>
              <w:jc w:val="left"/>
              <w:rPr>
                <w:sz w:val="24"/>
              </w:rPr>
            </w:pPr>
            <w:r>
              <w:rPr>
                <w:spacing w:val="-2"/>
                <w:sz w:val="24"/>
              </w:rPr>
              <w:t>0.000</w:t>
            </w:r>
          </w:p>
        </w:tc>
        <w:tc>
          <w:tcPr>
            <w:tcW w:w="1016" w:type="dxa"/>
          </w:tcPr>
          <w:p>
            <w:pPr>
              <w:pStyle w:val="TableParagraph"/>
              <w:ind w:left="111" w:right="110"/>
              <w:rPr>
                <w:sz w:val="24"/>
              </w:rPr>
            </w:pPr>
            <w:r>
              <w:rPr>
                <w:spacing w:val="-2"/>
                <w:sz w:val="24"/>
              </w:rPr>
              <w:t>0.202</w:t>
            </w:r>
          </w:p>
        </w:tc>
        <w:tc>
          <w:tcPr>
            <w:tcW w:w="1016" w:type="dxa"/>
          </w:tcPr>
          <w:p>
            <w:pPr>
              <w:pStyle w:val="TableParagraph"/>
              <w:ind w:left="111" w:right="110"/>
              <w:rPr>
                <w:sz w:val="24"/>
              </w:rPr>
            </w:pPr>
            <w:r>
              <w:rPr>
                <w:spacing w:val="-2"/>
                <w:sz w:val="24"/>
              </w:rPr>
              <w:t>0.031</w:t>
            </w:r>
          </w:p>
        </w:tc>
        <w:tc>
          <w:tcPr>
            <w:tcW w:w="1016" w:type="dxa"/>
          </w:tcPr>
          <w:p>
            <w:pPr>
              <w:pStyle w:val="TableParagraph"/>
              <w:ind w:left="111" w:right="110"/>
              <w:rPr>
                <w:sz w:val="24"/>
              </w:rPr>
            </w:pPr>
            <w:r>
              <w:rPr>
                <w:spacing w:val="-2"/>
                <w:sz w:val="24"/>
              </w:rPr>
              <w:t>0.000</w:t>
            </w:r>
          </w:p>
        </w:tc>
        <w:tc>
          <w:tcPr>
            <w:tcW w:w="1016" w:type="dxa"/>
          </w:tcPr>
          <w:p>
            <w:pPr>
              <w:pStyle w:val="TableParagraph"/>
              <w:ind w:left="111" w:right="110"/>
              <w:rPr>
                <w:sz w:val="24"/>
              </w:rPr>
            </w:pPr>
            <w:r>
              <w:rPr>
                <w:spacing w:val="-2"/>
                <w:sz w:val="24"/>
              </w:rPr>
              <w:t>0.000</w:t>
            </w:r>
          </w:p>
        </w:tc>
        <w:tc>
          <w:tcPr>
            <w:tcW w:w="817" w:type="dxa"/>
          </w:tcPr>
          <w:p>
            <w:pPr>
              <w:pStyle w:val="TableParagraph"/>
              <w:ind w:left="140"/>
              <w:jc w:val="left"/>
              <w:rPr>
                <w:sz w:val="24"/>
              </w:rPr>
            </w:pPr>
            <w:r>
              <w:rPr>
                <w:spacing w:val="-2"/>
                <w:sz w:val="24"/>
              </w:rPr>
              <w:t>0.000</w:t>
            </w:r>
          </w:p>
        </w:tc>
        <w:tc>
          <w:tcPr>
            <w:tcW w:w="937" w:type="dxa"/>
          </w:tcPr>
          <w:p>
            <w:pPr>
              <w:pStyle w:val="TableParagraph"/>
              <w:ind w:left="105" w:right="105"/>
              <w:rPr>
                <w:sz w:val="24"/>
              </w:rPr>
            </w:pPr>
            <w:r>
              <w:rPr>
                <w:spacing w:val="-2"/>
                <w:sz w:val="24"/>
              </w:rPr>
              <w:t>0.664</w:t>
            </w:r>
          </w:p>
        </w:tc>
        <w:tc>
          <w:tcPr>
            <w:tcW w:w="937" w:type="dxa"/>
          </w:tcPr>
          <w:p>
            <w:pPr>
              <w:pStyle w:val="TableParagraph"/>
              <w:ind w:left="104" w:right="105"/>
              <w:rPr>
                <w:sz w:val="24"/>
              </w:rPr>
            </w:pPr>
            <w:r>
              <w:rPr>
                <w:spacing w:val="-2"/>
                <w:sz w:val="24"/>
              </w:rPr>
              <w:t>0.102</w:t>
            </w:r>
          </w:p>
        </w:tc>
      </w:tr>
      <w:tr>
        <w:trPr>
          <w:trHeight w:val="306" w:hRule="atLeast"/>
        </w:trPr>
        <w:tc>
          <w:tcPr>
            <w:tcW w:w="478" w:type="dxa"/>
            <w:tcBorders>
              <w:bottom w:val="single" w:sz="4" w:space="0" w:color="000000"/>
            </w:tcBorders>
          </w:tcPr>
          <w:p>
            <w:pPr>
              <w:pStyle w:val="TableParagraph"/>
              <w:spacing w:line="273" w:lineRule="exact"/>
              <w:ind w:left="119"/>
              <w:jc w:val="left"/>
              <w:rPr>
                <w:sz w:val="24"/>
              </w:rPr>
            </w:pPr>
            <w:r>
              <w:rPr>
                <w:spacing w:val="-5"/>
                <w:sz w:val="24"/>
              </w:rPr>
              <w:t>12</w:t>
            </w:r>
          </w:p>
        </w:tc>
        <w:tc>
          <w:tcPr>
            <w:tcW w:w="478" w:type="dxa"/>
            <w:tcBorders>
              <w:bottom w:val="single" w:sz="4" w:space="0" w:color="000000"/>
            </w:tcBorders>
          </w:tcPr>
          <w:p>
            <w:pPr>
              <w:pStyle w:val="TableParagraph"/>
              <w:spacing w:line="273" w:lineRule="exact"/>
              <w:ind w:left="119"/>
              <w:jc w:val="left"/>
              <w:rPr>
                <w:sz w:val="24"/>
              </w:rPr>
            </w:pPr>
            <w:r>
              <w:rPr>
                <w:spacing w:val="-5"/>
                <w:sz w:val="24"/>
              </w:rPr>
              <w:t>12</w:t>
            </w:r>
          </w:p>
        </w:tc>
        <w:tc>
          <w:tcPr>
            <w:tcW w:w="896" w:type="dxa"/>
            <w:tcBorders>
              <w:bottom w:val="single" w:sz="4" w:space="0" w:color="000000"/>
            </w:tcBorders>
          </w:tcPr>
          <w:p>
            <w:pPr>
              <w:pStyle w:val="TableParagraph"/>
              <w:spacing w:line="273" w:lineRule="exact"/>
              <w:ind w:left="179"/>
              <w:jc w:val="left"/>
              <w:rPr>
                <w:sz w:val="24"/>
              </w:rPr>
            </w:pPr>
            <w:r>
              <w:rPr>
                <w:spacing w:val="-2"/>
                <w:sz w:val="24"/>
              </w:rPr>
              <w:t>0.107</w:t>
            </w:r>
          </w:p>
        </w:tc>
        <w:tc>
          <w:tcPr>
            <w:tcW w:w="1016" w:type="dxa"/>
            <w:tcBorders>
              <w:bottom w:val="single" w:sz="4" w:space="0" w:color="000000"/>
            </w:tcBorders>
          </w:tcPr>
          <w:p>
            <w:pPr>
              <w:pStyle w:val="TableParagraph"/>
              <w:spacing w:line="273" w:lineRule="exact"/>
              <w:ind w:left="111" w:right="110"/>
              <w:rPr>
                <w:sz w:val="24"/>
              </w:rPr>
            </w:pPr>
            <w:r>
              <w:rPr>
                <w:spacing w:val="-2"/>
                <w:sz w:val="24"/>
              </w:rPr>
              <w:t>0.160</w:t>
            </w:r>
          </w:p>
        </w:tc>
        <w:tc>
          <w:tcPr>
            <w:tcW w:w="1016" w:type="dxa"/>
            <w:tcBorders>
              <w:bottom w:val="single" w:sz="4" w:space="0" w:color="000000"/>
            </w:tcBorders>
          </w:tcPr>
          <w:p>
            <w:pPr>
              <w:pStyle w:val="TableParagraph"/>
              <w:spacing w:line="273" w:lineRule="exact"/>
              <w:ind w:left="111" w:right="110"/>
              <w:rPr>
                <w:sz w:val="24"/>
              </w:rPr>
            </w:pPr>
            <w:r>
              <w:rPr>
                <w:spacing w:val="-2"/>
                <w:sz w:val="24"/>
              </w:rPr>
              <w:t>0.000</w:t>
            </w:r>
          </w:p>
        </w:tc>
        <w:tc>
          <w:tcPr>
            <w:tcW w:w="1016" w:type="dxa"/>
            <w:tcBorders>
              <w:bottom w:val="single" w:sz="4" w:space="0" w:color="000000"/>
            </w:tcBorders>
          </w:tcPr>
          <w:p>
            <w:pPr>
              <w:pStyle w:val="TableParagraph"/>
              <w:spacing w:line="273" w:lineRule="exact"/>
              <w:ind w:left="111" w:right="110"/>
              <w:rPr>
                <w:sz w:val="24"/>
              </w:rPr>
            </w:pPr>
            <w:r>
              <w:rPr>
                <w:spacing w:val="-2"/>
                <w:sz w:val="24"/>
              </w:rPr>
              <w:t>0.000</w:t>
            </w:r>
          </w:p>
        </w:tc>
        <w:tc>
          <w:tcPr>
            <w:tcW w:w="1016" w:type="dxa"/>
            <w:tcBorders>
              <w:bottom w:val="single" w:sz="4" w:space="0" w:color="000000"/>
            </w:tcBorders>
          </w:tcPr>
          <w:p>
            <w:pPr>
              <w:pStyle w:val="TableParagraph"/>
              <w:spacing w:line="273" w:lineRule="exact"/>
              <w:ind w:left="111" w:right="110"/>
              <w:rPr>
                <w:sz w:val="24"/>
              </w:rPr>
            </w:pPr>
            <w:r>
              <w:rPr>
                <w:spacing w:val="-2"/>
                <w:sz w:val="24"/>
              </w:rPr>
              <w:t>0.000</w:t>
            </w:r>
          </w:p>
        </w:tc>
        <w:tc>
          <w:tcPr>
            <w:tcW w:w="817" w:type="dxa"/>
            <w:tcBorders>
              <w:bottom w:val="single" w:sz="4" w:space="0" w:color="000000"/>
            </w:tcBorders>
          </w:tcPr>
          <w:p>
            <w:pPr>
              <w:pStyle w:val="TableParagraph"/>
              <w:spacing w:line="273" w:lineRule="exact"/>
              <w:ind w:left="140"/>
              <w:jc w:val="left"/>
              <w:rPr>
                <w:sz w:val="24"/>
              </w:rPr>
            </w:pPr>
            <w:r>
              <w:rPr>
                <w:spacing w:val="-2"/>
                <w:sz w:val="24"/>
              </w:rPr>
              <w:t>0.293</w:t>
            </w:r>
          </w:p>
        </w:tc>
        <w:tc>
          <w:tcPr>
            <w:tcW w:w="937" w:type="dxa"/>
            <w:tcBorders>
              <w:bottom w:val="single" w:sz="4" w:space="0" w:color="000000"/>
            </w:tcBorders>
          </w:tcPr>
          <w:p>
            <w:pPr>
              <w:pStyle w:val="TableParagraph"/>
              <w:spacing w:line="273" w:lineRule="exact"/>
              <w:ind w:left="105" w:right="105"/>
              <w:rPr>
                <w:sz w:val="24"/>
              </w:rPr>
            </w:pPr>
            <w:r>
              <w:rPr>
                <w:spacing w:val="-2"/>
                <w:sz w:val="24"/>
              </w:rPr>
              <w:t>0.440</w:t>
            </w:r>
          </w:p>
        </w:tc>
        <w:tc>
          <w:tcPr>
            <w:tcW w:w="937" w:type="dxa"/>
            <w:tcBorders>
              <w:bottom w:val="single" w:sz="4" w:space="0" w:color="000000"/>
            </w:tcBorders>
          </w:tcPr>
          <w:p>
            <w:pPr>
              <w:pStyle w:val="TableParagraph"/>
              <w:spacing w:line="273" w:lineRule="exact"/>
              <w:ind w:left="104" w:right="105"/>
              <w:rPr>
                <w:sz w:val="24"/>
              </w:rPr>
            </w:pPr>
            <w:r>
              <w:rPr>
                <w:spacing w:val="-2"/>
                <w:sz w:val="24"/>
              </w:rPr>
              <w:t>0.000</w:t>
            </w:r>
          </w:p>
        </w:tc>
      </w:tr>
    </w:tbl>
    <w:p>
      <w:pPr>
        <w:pStyle w:val="BodyText"/>
        <w:rPr>
          <w:sz w:val="20"/>
        </w:rPr>
      </w:pPr>
    </w:p>
    <w:p>
      <w:pPr>
        <w:pStyle w:val="BodyText"/>
        <w:spacing w:before="10"/>
        <w:rPr>
          <w:sz w:val="29"/>
        </w:rPr>
      </w:pPr>
    </w:p>
    <w:p>
      <w:pPr>
        <w:pStyle w:val="BodyText"/>
        <w:spacing w:line="358" w:lineRule="exact" w:before="35"/>
        <w:ind w:left="610" w:right="389"/>
        <w:jc w:val="both"/>
      </w:pPr>
      <w:r>
        <w:rPr/>
        <w:t>weights</w:t>
      </w:r>
      <w:r>
        <w:rPr>
          <w:spacing w:val="-2"/>
        </w:rPr>
        <w:t> </w:t>
      </w:r>
      <w:r>
        <w:rPr/>
        <w:t>allowed much more flexible weights to be produced based on the </w:t>
      </w:r>
      <w:r>
        <w:rPr>
          <w:rFonts w:ascii="Cambria" w:hAnsi="Cambria"/>
        </w:rPr>
        <w:t>x,</w:t>
      </w:r>
      <w:r>
        <w:rPr>
          <w:rFonts w:ascii="Cambria" w:hAnsi="Cambria"/>
          <w:spacing w:val="-14"/>
        </w:rPr>
        <w:t> </w:t>
      </w:r>
      <w:r>
        <w:rPr>
          <w:rFonts w:ascii="Cambria" w:hAnsi="Cambria"/>
        </w:rPr>
        <w:t>y </w:t>
      </w:r>
      <w:r>
        <w:rPr/>
        <w:t>location’s proximity to the centre.</w:t>
      </w:r>
      <w:r>
        <w:rPr>
          <w:spacing w:val="40"/>
        </w:rPr>
        <w:t> </w:t>
      </w:r>
      <w:r>
        <w:rPr/>
        <w:t>This is shown by the </w:t>
      </w:r>
      <w:r>
        <w:rPr>
          <w:rFonts w:ascii="Garamond" w:hAnsi="Garamond"/>
        </w:rPr>
        <w:t>(20</w:t>
      </w:r>
      <w:r>
        <w:rPr>
          <w:rFonts w:ascii="Cambria" w:hAnsi="Cambria"/>
        </w:rPr>
        <w:t>,</w:t>
      </w:r>
      <w:r>
        <w:rPr>
          <w:rFonts w:ascii="Cambria" w:hAnsi="Cambria"/>
          <w:spacing w:val="-10"/>
        </w:rPr>
        <w:t> </w:t>
      </w:r>
      <w:r>
        <w:rPr>
          <w:rFonts w:ascii="Lucida Sans Unicode" w:hAnsi="Lucida Sans Unicode"/>
        </w:rPr>
        <w:t>−</w:t>
      </w:r>
      <w:r>
        <w:rPr>
          <w:rFonts w:ascii="Garamond" w:hAnsi="Garamond"/>
        </w:rPr>
        <w:t>10) </w:t>
      </w:r>
      <w:r>
        <w:rPr/>
        <w:t>and </w:t>
      </w:r>
      <w:r>
        <w:rPr>
          <w:rFonts w:ascii="Garamond" w:hAnsi="Garamond"/>
        </w:rPr>
        <w:t>(20</w:t>
      </w:r>
      <w:r>
        <w:rPr>
          <w:rFonts w:ascii="Cambria" w:hAnsi="Cambria"/>
        </w:rPr>
        <w:t>,</w:t>
      </w:r>
      <w:r>
        <w:rPr>
          <w:rFonts w:ascii="Cambria" w:hAnsi="Cambria"/>
          <w:spacing w:val="-10"/>
        </w:rPr>
        <w:t> </w:t>
      </w:r>
      <w:r>
        <w:rPr>
          <w:rFonts w:ascii="Garamond" w:hAnsi="Garamond"/>
        </w:rPr>
        <w:t>20) </w:t>
      </w:r>
      <w:r>
        <w:rPr/>
        <w:t>centre weights for the locations </w:t>
      </w:r>
      <w:r>
        <w:rPr>
          <w:rFonts w:ascii="Garamond" w:hAnsi="Garamond"/>
        </w:rPr>
        <w:t>(9</w:t>
      </w:r>
      <w:r>
        <w:rPr>
          <w:rFonts w:ascii="Cambria" w:hAnsi="Cambria"/>
        </w:rPr>
        <w:t>,</w:t>
      </w:r>
      <w:r>
        <w:rPr>
          <w:rFonts w:ascii="Cambria" w:hAnsi="Cambria"/>
          <w:spacing w:val="-10"/>
        </w:rPr>
        <w:t> </w:t>
      </w:r>
      <w:r>
        <w:rPr>
          <w:rFonts w:ascii="Garamond" w:hAnsi="Garamond"/>
        </w:rPr>
        <w:t>4) </w:t>
      </w:r>
      <w:r>
        <w:rPr/>
        <w:t>and </w:t>
      </w:r>
      <w:r>
        <w:rPr>
          <w:rFonts w:ascii="Garamond" w:hAnsi="Garamond"/>
        </w:rPr>
        <w:t>(9</w:t>
      </w:r>
      <w:r>
        <w:rPr>
          <w:rFonts w:ascii="Cambria" w:hAnsi="Cambria"/>
        </w:rPr>
        <w:t>,</w:t>
      </w:r>
      <w:r>
        <w:rPr>
          <w:rFonts w:ascii="Cambria" w:hAnsi="Cambria"/>
          <w:spacing w:val="-10"/>
        </w:rPr>
        <w:t> </w:t>
      </w:r>
      <w:r>
        <w:rPr>
          <w:rFonts w:ascii="Garamond" w:hAnsi="Garamond"/>
        </w:rPr>
        <w:t>6)</w:t>
      </w:r>
      <w:r>
        <w:rPr/>
        <w:t>.</w:t>
      </w:r>
      <w:r>
        <w:rPr>
          <w:spacing w:val="27"/>
        </w:rPr>
        <w:t> </w:t>
      </w:r>
      <w:r>
        <w:rPr/>
        <w:t>The </w:t>
      </w:r>
      <w:r>
        <w:rPr>
          <w:rFonts w:ascii="Cambria" w:hAnsi="Cambria"/>
        </w:rPr>
        <w:t>y</w:t>
      </w:r>
      <w:r>
        <w:rPr>
          <w:rFonts w:ascii="Cambria" w:hAnsi="Cambria"/>
          <w:spacing w:val="22"/>
        </w:rPr>
        <w:t> </w:t>
      </w:r>
      <w:r>
        <w:rPr/>
        <w:t>coordinate half way between </w:t>
      </w:r>
      <w:r>
        <w:rPr>
          <w:rFonts w:ascii="Lucida Sans Unicode" w:hAnsi="Lucida Sans Unicode"/>
        </w:rPr>
        <w:t>−</w:t>
      </w:r>
      <w:r>
        <w:rPr>
          <w:rFonts w:ascii="Garamond" w:hAnsi="Garamond"/>
        </w:rPr>
        <w:t>10 </w:t>
      </w:r>
      <w:r>
        <w:rPr/>
        <w:t>and </w:t>
      </w:r>
      <w:r>
        <w:rPr>
          <w:rFonts w:ascii="Garamond" w:hAnsi="Garamond"/>
        </w:rPr>
        <w:t>20 </w:t>
      </w:r>
      <w:r>
        <w:rPr/>
        <w:t>is </w:t>
      </w:r>
      <w:r>
        <w:rPr>
          <w:rFonts w:ascii="Garamond" w:hAnsi="Garamond"/>
        </w:rPr>
        <w:t>5</w:t>
      </w:r>
      <w:r>
        <w:rPr/>
        <w:t>.</w:t>
      </w:r>
      <w:r>
        <w:rPr>
          <w:spacing w:val="27"/>
        </w:rPr>
        <w:t> </w:t>
      </w:r>
      <w:r>
        <w:rPr/>
        <w:t>Both </w:t>
      </w:r>
      <w:r>
        <w:rPr>
          <w:rFonts w:ascii="Garamond" w:hAnsi="Garamond"/>
        </w:rPr>
        <w:t>(9</w:t>
      </w:r>
      <w:r>
        <w:rPr>
          <w:rFonts w:ascii="Cambria" w:hAnsi="Cambria"/>
        </w:rPr>
        <w:t>,</w:t>
      </w:r>
      <w:r>
        <w:rPr>
          <w:rFonts w:ascii="Cambria" w:hAnsi="Cambria"/>
          <w:spacing w:val="-11"/>
        </w:rPr>
        <w:t> </w:t>
      </w:r>
      <w:r>
        <w:rPr>
          <w:rFonts w:ascii="Garamond" w:hAnsi="Garamond"/>
        </w:rPr>
        <w:t>4) </w:t>
      </w:r>
      <w:r>
        <w:rPr/>
        <w:t>and </w:t>
      </w:r>
      <w:r>
        <w:rPr>
          <w:rFonts w:ascii="Garamond" w:hAnsi="Garamond"/>
        </w:rPr>
        <w:t>(9</w:t>
      </w:r>
      <w:r>
        <w:rPr>
          <w:rFonts w:ascii="Cambria" w:hAnsi="Cambria"/>
        </w:rPr>
        <w:t>,</w:t>
      </w:r>
      <w:r>
        <w:rPr>
          <w:rFonts w:ascii="Cambria" w:hAnsi="Cambria"/>
          <w:spacing w:val="-11"/>
        </w:rPr>
        <w:t> </w:t>
      </w:r>
      <w:r>
        <w:rPr>
          <w:rFonts w:ascii="Garamond" w:hAnsi="Garamond"/>
        </w:rPr>
        <w:t>6) </w:t>
      </w:r>
      <w:r>
        <w:rPr/>
        <w:t>are 1m away from this point in opposite directions and therefore have opposing weights for the centres </w:t>
      </w:r>
      <w:r>
        <w:rPr>
          <w:rFonts w:ascii="Garamond" w:hAnsi="Garamond"/>
        </w:rPr>
        <w:t>(20</w:t>
      </w:r>
      <w:r>
        <w:rPr>
          <w:rFonts w:ascii="Cambria" w:hAnsi="Cambria"/>
        </w:rPr>
        <w:t>,</w:t>
      </w:r>
      <w:r>
        <w:rPr>
          <w:rFonts w:ascii="Cambria" w:hAnsi="Cambria"/>
          <w:spacing w:val="-10"/>
        </w:rPr>
        <w:t> </w:t>
      </w:r>
      <w:r>
        <w:rPr>
          <w:rFonts w:ascii="Lucida Sans Unicode" w:hAnsi="Lucida Sans Unicode"/>
        </w:rPr>
        <w:t>−</w:t>
      </w:r>
      <w:r>
        <w:rPr>
          <w:rFonts w:ascii="Garamond" w:hAnsi="Garamond"/>
        </w:rPr>
        <w:t>10) </w:t>
      </w:r>
      <w:r>
        <w:rPr/>
        <w:t>and </w:t>
      </w:r>
      <w:r>
        <w:rPr>
          <w:rFonts w:ascii="Garamond" w:hAnsi="Garamond"/>
        </w:rPr>
        <w:t>(20</w:t>
      </w:r>
      <w:r>
        <w:rPr>
          <w:rFonts w:ascii="Cambria" w:hAnsi="Cambria"/>
        </w:rPr>
        <w:t>,</w:t>
      </w:r>
      <w:r>
        <w:rPr>
          <w:rFonts w:ascii="Cambria" w:hAnsi="Cambria"/>
          <w:spacing w:val="-10"/>
        </w:rPr>
        <w:t> </w:t>
      </w:r>
      <w:r>
        <w:rPr>
          <w:rFonts w:ascii="Garamond" w:hAnsi="Garamond"/>
        </w:rPr>
        <w:t>20)</w:t>
      </w:r>
      <w:r>
        <w:rPr/>
        <w:t>.</w:t>
      </w:r>
      <w:r>
        <w:rPr>
          <w:spacing w:val="40"/>
        </w:rPr>
        <w:t> </w:t>
      </w:r>
      <w:r>
        <w:rPr/>
        <w:t>To this end, any probability or EPV</w:t>
      </w:r>
      <w:r>
        <w:rPr>
          <w:spacing w:val="-10"/>
        </w:rPr>
        <w:t> </w:t>
      </w:r>
      <w:r>
        <w:rPr/>
        <w:t>estimates</w:t>
      </w:r>
      <w:r>
        <w:rPr>
          <w:spacing w:val="-7"/>
        </w:rPr>
        <w:t> </w:t>
      </w:r>
      <w:r>
        <w:rPr/>
        <w:t>for</w:t>
      </w:r>
      <w:r>
        <w:rPr>
          <w:spacing w:val="-8"/>
        </w:rPr>
        <w:t> </w:t>
      </w:r>
      <w:r>
        <w:rPr/>
        <w:t>location</w:t>
      </w:r>
      <w:r>
        <w:rPr>
          <w:spacing w:val="-8"/>
        </w:rPr>
        <w:t> </w:t>
      </w:r>
      <w:r>
        <w:rPr/>
        <w:t>(</w:t>
      </w:r>
      <w:r>
        <w:rPr>
          <w:rFonts w:ascii="Garamond" w:hAnsi="Garamond"/>
        </w:rPr>
        <w:t>9</w:t>
      </w:r>
      <w:r>
        <w:rPr>
          <w:rFonts w:ascii="Cambria" w:hAnsi="Cambria"/>
        </w:rPr>
        <w:t>,</w:t>
      </w:r>
      <w:r>
        <w:rPr>
          <w:rFonts w:ascii="Cambria" w:hAnsi="Cambria"/>
          <w:spacing w:val="-14"/>
        </w:rPr>
        <w:t> </w:t>
      </w:r>
      <w:r>
        <w:rPr>
          <w:rFonts w:ascii="Garamond" w:hAnsi="Garamond"/>
        </w:rPr>
        <w:t>4</w:t>
      </w:r>
      <w:r>
        <w:rPr/>
        <w:t>)</w:t>
      </w:r>
      <w:r>
        <w:rPr>
          <w:spacing w:val="-8"/>
        </w:rPr>
        <w:t> </w:t>
      </w:r>
      <w:r>
        <w:rPr/>
        <w:t>were</w:t>
      </w:r>
      <w:r>
        <w:rPr>
          <w:spacing w:val="-7"/>
        </w:rPr>
        <w:t> </w:t>
      </w:r>
      <w:r>
        <w:rPr/>
        <w:t>influenced</w:t>
      </w:r>
      <w:r>
        <w:rPr>
          <w:spacing w:val="-8"/>
        </w:rPr>
        <w:t> </w:t>
      </w:r>
      <w:r>
        <w:rPr/>
        <w:t>to</w:t>
      </w:r>
      <w:r>
        <w:rPr>
          <w:spacing w:val="-8"/>
        </w:rPr>
        <w:t> </w:t>
      </w:r>
      <w:r>
        <w:rPr/>
        <w:t>a</w:t>
      </w:r>
      <w:r>
        <w:rPr>
          <w:spacing w:val="-7"/>
        </w:rPr>
        <w:t> </w:t>
      </w:r>
      <w:r>
        <w:rPr/>
        <w:t>slightly</w:t>
      </w:r>
      <w:r>
        <w:rPr>
          <w:spacing w:val="-8"/>
        </w:rPr>
        <w:t> </w:t>
      </w:r>
      <w:r>
        <w:rPr/>
        <w:t>greater</w:t>
      </w:r>
      <w:r>
        <w:rPr>
          <w:spacing w:val="-7"/>
        </w:rPr>
        <w:t> </w:t>
      </w:r>
      <w:r>
        <w:rPr/>
        <w:t>extent</w:t>
      </w:r>
      <w:r>
        <w:rPr>
          <w:spacing w:val="-8"/>
        </w:rPr>
        <w:t> </w:t>
      </w:r>
      <w:r>
        <w:rPr/>
        <w:t>by</w:t>
      </w:r>
      <w:r>
        <w:rPr>
          <w:spacing w:val="-8"/>
        </w:rPr>
        <w:t> </w:t>
      </w:r>
      <w:r>
        <w:rPr/>
        <w:t>the</w:t>
      </w:r>
      <w:r>
        <w:rPr>
          <w:spacing w:val="-7"/>
        </w:rPr>
        <w:t> </w:t>
      </w:r>
      <w:r>
        <w:rPr/>
        <w:t>centre </w:t>
      </w:r>
      <w:r>
        <w:rPr>
          <w:rFonts w:ascii="Garamond" w:hAnsi="Garamond"/>
        </w:rPr>
        <w:t>(20</w:t>
      </w:r>
      <w:r>
        <w:rPr>
          <w:rFonts w:ascii="Cambria" w:hAnsi="Cambria"/>
        </w:rPr>
        <w:t>,</w:t>
      </w:r>
      <w:r>
        <w:rPr>
          <w:rFonts w:ascii="Cambria" w:hAnsi="Cambria"/>
          <w:spacing w:val="-12"/>
        </w:rPr>
        <w:t> </w:t>
      </w:r>
      <w:r>
        <w:rPr>
          <w:rFonts w:ascii="Lucida Sans Unicode" w:hAnsi="Lucida Sans Unicode"/>
        </w:rPr>
        <w:t>−</w:t>
      </w:r>
      <w:r>
        <w:rPr>
          <w:rFonts w:ascii="Garamond" w:hAnsi="Garamond"/>
        </w:rPr>
        <w:t>10)</w:t>
      </w:r>
      <w:r>
        <w:rPr/>
        <w:t>, whereas any probability or EPV estimates for location (</w:t>
      </w:r>
      <w:r>
        <w:rPr>
          <w:rFonts w:ascii="Garamond" w:hAnsi="Garamond"/>
        </w:rPr>
        <w:t>9</w:t>
      </w:r>
      <w:r>
        <w:rPr>
          <w:rFonts w:ascii="Cambria" w:hAnsi="Cambria"/>
        </w:rPr>
        <w:t>,</w:t>
      </w:r>
      <w:r>
        <w:rPr>
          <w:rFonts w:ascii="Cambria" w:hAnsi="Cambria"/>
          <w:spacing w:val="-12"/>
        </w:rPr>
        <w:t> </w:t>
      </w:r>
      <w:r>
        <w:rPr>
          <w:rFonts w:ascii="Garamond" w:hAnsi="Garamond"/>
        </w:rPr>
        <w:t>6</w:t>
      </w:r>
      <w:r>
        <w:rPr/>
        <w:t>) were influenced to a slightly greater extent by the centre </w:t>
      </w:r>
      <w:r>
        <w:rPr>
          <w:rFonts w:ascii="Garamond" w:hAnsi="Garamond"/>
        </w:rPr>
        <w:t>(20</w:t>
      </w:r>
      <w:r>
        <w:rPr>
          <w:rFonts w:ascii="Cambria" w:hAnsi="Cambria"/>
        </w:rPr>
        <w:t>,</w:t>
      </w:r>
      <w:r>
        <w:rPr>
          <w:rFonts w:ascii="Cambria" w:hAnsi="Cambria"/>
          <w:spacing w:val="-13"/>
        </w:rPr>
        <w:t> </w:t>
      </w:r>
      <w:r>
        <w:rPr>
          <w:rFonts w:ascii="Garamond" w:hAnsi="Garamond"/>
        </w:rPr>
        <w:t>20)</w:t>
      </w:r>
      <w:r>
        <w:rPr/>
        <w:t>.</w:t>
      </w:r>
      <w:r>
        <w:rPr>
          <w:spacing w:val="19"/>
        </w:rPr>
        <w:t> </w:t>
      </w:r>
      <w:r>
        <w:rPr/>
        <w:t>It is this weighting system that allowed a smooth pitch surface to be produced.</w:t>
      </w:r>
    </w:p>
    <w:p>
      <w:pPr>
        <w:pStyle w:val="BodyText"/>
        <w:spacing w:line="312" w:lineRule="auto" w:before="62"/>
        <w:ind w:left="610" w:right="389" w:firstLine="351"/>
        <w:jc w:val="both"/>
      </w:pPr>
      <w:r>
        <w:rPr/>
        <w:t>Within</w:t>
      </w:r>
      <w:r>
        <w:rPr>
          <w:spacing w:val="-12"/>
        </w:rPr>
        <w:t> </w:t>
      </w:r>
      <w:r>
        <w:rPr/>
        <w:t>the</w:t>
      </w:r>
      <w:r>
        <w:rPr>
          <w:spacing w:val="-12"/>
        </w:rPr>
        <w:t> </w:t>
      </w:r>
      <w:r>
        <w:rPr/>
        <w:t>mixture</w:t>
      </w:r>
      <w:r>
        <w:rPr>
          <w:spacing w:val="-12"/>
        </w:rPr>
        <w:t> </w:t>
      </w:r>
      <w:r>
        <w:rPr/>
        <w:t>model</w:t>
      </w:r>
      <w:r>
        <w:rPr>
          <w:spacing w:val="-12"/>
        </w:rPr>
        <w:t> </w:t>
      </w:r>
      <w:r>
        <w:rPr/>
        <w:t>approach,</w:t>
      </w:r>
      <w:r>
        <w:rPr>
          <w:spacing w:val="-11"/>
        </w:rPr>
        <w:t> </w:t>
      </w:r>
      <w:r>
        <w:rPr/>
        <w:t>the</w:t>
      </w:r>
      <w:r>
        <w:rPr>
          <w:spacing w:val="-12"/>
        </w:rPr>
        <w:t> </w:t>
      </w:r>
      <w:r>
        <w:rPr/>
        <w:t>decision</w:t>
      </w:r>
      <w:r>
        <w:rPr>
          <w:spacing w:val="-12"/>
        </w:rPr>
        <w:t> </w:t>
      </w:r>
      <w:r>
        <w:rPr/>
        <w:t>was</w:t>
      </w:r>
      <w:r>
        <w:rPr>
          <w:spacing w:val="-12"/>
        </w:rPr>
        <w:t> </w:t>
      </w:r>
      <w:r>
        <w:rPr/>
        <w:t>made</w:t>
      </w:r>
      <w:r>
        <w:rPr>
          <w:spacing w:val="-12"/>
        </w:rPr>
        <w:t> </w:t>
      </w:r>
      <w:r>
        <w:rPr/>
        <w:t>to</w:t>
      </w:r>
      <w:r>
        <w:rPr>
          <w:spacing w:val="-12"/>
        </w:rPr>
        <w:t> </w:t>
      </w:r>
      <w:r>
        <w:rPr/>
        <w:t>treat</w:t>
      </w:r>
      <w:r>
        <w:rPr>
          <w:spacing w:val="-12"/>
        </w:rPr>
        <w:t> </w:t>
      </w:r>
      <w:r>
        <w:rPr/>
        <w:t>centres</w:t>
      </w:r>
      <w:r>
        <w:rPr>
          <w:spacing w:val="-12"/>
        </w:rPr>
        <w:t> </w:t>
      </w:r>
      <w:r>
        <w:rPr/>
        <w:t>in</w:t>
      </w:r>
      <w:r>
        <w:rPr>
          <w:spacing w:val="-12"/>
        </w:rPr>
        <w:t> </w:t>
      </w:r>
      <w:r>
        <w:rPr/>
        <w:t>the</w:t>
      </w:r>
      <w:r>
        <w:rPr>
          <w:spacing w:val="-12"/>
        </w:rPr>
        <w:t> </w:t>
      </w:r>
      <w:r>
        <w:rPr/>
        <w:t>field of</w:t>
      </w:r>
      <w:r>
        <w:rPr>
          <w:spacing w:val="12"/>
        </w:rPr>
        <w:t> </w:t>
      </w:r>
      <w:r>
        <w:rPr/>
        <w:t>play</w:t>
      </w:r>
      <w:r>
        <w:rPr>
          <w:spacing w:val="12"/>
        </w:rPr>
        <w:t> </w:t>
      </w:r>
      <w:r>
        <w:rPr/>
        <w:t>and</w:t>
      </w:r>
      <w:r>
        <w:rPr>
          <w:spacing w:val="12"/>
        </w:rPr>
        <w:t> </w:t>
      </w:r>
      <w:r>
        <w:rPr/>
        <w:t>try</w:t>
      </w:r>
      <w:r>
        <w:rPr>
          <w:spacing w:val="12"/>
        </w:rPr>
        <w:t> </w:t>
      </w:r>
      <w:r>
        <w:rPr/>
        <w:t>areas</w:t>
      </w:r>
      <w:r>
        <w:rPr>
          <w:spacing w:val="12"/>
        </w:rPr>
        <w:t> </w:t>
      </w:r>
      <w:r>
        <w:rPr/>
        <w:t>independently.</w:t>
      </w:r>
      <w:r>
        <w:rPr>
          <w:spacing w:val="61"/>
        </w:rPr>
        <w:t> </w:t>
      </w:r>
      <w:r>
        <w:rPr/>
        <w:t>Of</w:t>
      </w:r>
      <w:r>
        <w:rPr>
          <w:spacing w:val="13"/>
        </w:rPr>
        <w:t> </w:t>
      </w:r>
      <w:r>
        <w:rPr/>
        <w:t>the</w:t>
      </w:r>
      <w:r>
        <w:rPr>
          <w:spacing w:val="12"/>
        </w:rPr>
        <w:t> </w:t>
      </w:r>
      <w:r>
        <w:rPr/>
        <w:t>99,966</w:t>
      </w:r>
      <w:r>
        <w:rPr>
          <w:spacing w:val="12"/>
        </w:rPr>
        <w:t> </w:t>
      </w:r>
      <w:r>
        <w:rPr/>
        <w:t>actions</w:t>
      </w:r>
      <w:r>
        <w:rPr>
          <w:spacing w:val="12"/>
        </w:rPr>
        <w:t> </w:t>
      </w:r>
      <w:r>
        <w:rPr/>
        <w:t>included</w:t>
      </w:r>
      <w:r>
        <w:rPr>
          <w:spacing w:val="12"/>
        </w:rPr>
        <w:t> </w:t>
      </w:r>
      <w:r>
        <w:rPr/>
        <w:t>in</w:t>
      </w:r>
      <w:r>
        <w:rPr>
          <w:spacing w:val="12"/>
        </w:rPr>
        <w:t> </w:t>
      </w:r>
      <w:r>
        <w:rPr/>
        <w:t>this</w:t>
      </w:r>
      <w:r>
        <w:rPr>
          <w:spacing w:val="12"/>
        </w:rPr>
        <w:t> </w:t>
      </w:r>
      <w:r>
        <w:rPr/>
        <w:t>study,</w:t>
      </w:r>
      <w:r>
        <w:rPr>
          <w:spacing w:val="17"/>
        </w:rPr>
        <w:t> </w:t>
      </w:r>
      <w:r>
        <w:rPr>
          <w:spacing w:val="-4"/>
        </w:rPr>
        <w:t>only</w:t>
      </w:r>
    </w:p>
    <w:p>
      <w:pPr>
        <w:pStyle w:val="BodyText"/>
        <w:tabs>
          <w:tab w:pos="4735" w:val="left" w:leader="none"/>
        </w:tabs>
        <w:spacing w:before="1"/>
        <w:ind w:left="610"/>
      </w:pPr>
      <w:r>
        <w:rPr/>
        <w:pict>
          <v:shape style="position:absolute;margin-left:298.338013pt;margin-top:9.247779pt;width:18.2pt;height:8pt;mso-position-horizontal-relative:page;mso-position-vertical-relative:paragraph;z-index:-21720064" type="#_x0000_t202" id="docshape207" filled="false" stroked="false">
            <v:textbox inset="0,0,0,0">
              <w:txbxContent>
                <w:p>
                  <w:pPr>
                    <w:spacing w:line="155" w:lineRule="exact" w:before="0"/>
                    <w:ind w:left="0" w:right="0" w:firstLine="0"/>
                    <w:jc w:val="left"/>
                    <w:rPr>
                      <w:rFonts w:ascii="Georgia"/>
                      <w:sz w:val="16"/>
                    </w:rPr>
                  </w:pPr>
                  <w:r>
                    <w:rPr>
                      <w:rFonts w:ascii="Georgia"/>
                      <w:spacing w:val="-4"/>
                      <w:w w:val="115"/>
                      <w:sz w:val="16"/>
                    </w:rPr>
                    <w:t>(</w:t>
                  </w:r>
                  <w:r>
                    <w:rPr>
                      <w:rFonts w:ascii="Cambria"/>
                      <w:spacing w:val="-4"/>
                      <w:w w:val="115"/>
                      <w:sz w:val="16"/>
                    </w:rPr>
                    <w:t>x,y</w:t>
                  </w:r>
                  <w:r>
                    <w:rPr>
                      <w:rFonts w:ascii="Georgia"/>
                      <w:spacing w:val="-4"/>
                      <w:w w:val="115"/>
                      <w:sz w:val="16"/>
                    </w:rPr>
                    <w:t>)</w:t>
                  </w:r>
                </w:p>
              </w:txbxContent>
            </v:textbox>
            <w10:wrap type="none"/>
          </v:shape>
        </w:pict>
      </w:r>
      <w:r>
        <w:rPr/>
        <w:t>91</w:t>
      </w:r>
      <w:r>
        <w:rPr>
          <w:spacing w:val="11"/>
        </w:rPr>
        <w:t> </w:t>
      </w:r>
      <w:r>
        <w:rPr/>
        <w:t>occurred</w:t>
      </w:r>
      <w:r>
        <w:rPr>
          <w:spacing w:val="12"/>
        </w:rPr>
        <w:t> </w:t>
      </w:r>
      <w:r>
        <w:rPr/>
        <w:t>in</w:t>
      </w:r>
      <w:r>
        <w:rPr>
          <w:spacing w:val="11"/>
        </w:rPr>
        <w:t> </w:t>
      </w:r>
      <w:r>
        <w:rPr/>
        <w:t>the</w:t>
      </w:r>
      <w:r>
        <w:rPr>
          <w:spacing w:val="12"/>
        </w:rPr>
        <w:t> </w:t>
      </w:r>
      <w:r>
        <w:rPr/>
        <w:t>try</w:t>
      </w:r>
      <w:r>
        <w:rPr>
          <w:spacing w:val="11"/>
        </w:rPr>
        <w:t> </w:t>
      </w:r>
      <w:r>
        <w:rPr/>
        <w:t>area.</w:t>
      </w:r>
      <w:r>
        <w:rPr>
          <w:spacing w:val="55"/>
        </w:rPr>
        <w:t> </w:t>
      </w:r>
      <w:r>
        <w:rPr/>
        <w:t>The</w:t>
      </w:r>
      <w:r>
        <w:rPr>
          <w:spacing w:val="12"/>
        </w:rPr>
        <w:t> </w:t>
      </w:r>
      <w:r>
        <w:rPr>
          <w:spacing w:val="-4"/>
        </w:rPr>
        <w:t>EPV</w:t>
      </w:r>
      <w:r>
        <w:rPr>
          <w:rFonts w:ascii="Cambria" w:hAnsi="Cambria"/>
          <w:spacing w:val="-4"/>
          <w:vertAlign w:val="superscript"/>
        </w:rPr>
        <w:t>µ</w:t>
      </w:r>
      <w:r>
        <w:rPr>
          <w:rFonts w:ascii="Cambria" w:hAnsi="Cambria"/>
          <w:vertAlign w:val="baseline"/>
        </w:rPr>
        <w:tab/>
      </w:r>
      <w:r>
        <w:rPr>
          <w:vertAlign w:val="baseline"/>
        </w:rPr>
        <w:t>of</w:t>
      </w:r>
      <w:r>
        <w:rPr>
          <w:spacing w:val="9"/>
          <w:vertAlign w:val="baseline"/>
        </w:rPr>
        <w:t> </w:t>
      </w:r>
      <w:r>
        <w:rPr>
          <w:vertAlign w:val="baseline"/>
        </w:rPr>
        <w:t>these</w:t>
      </w:r>
      <w:r>
        <w:rPr>
          <w:spacing w:val="10"/>
          <w:vertAlign w:val="baseline"/>
        </w:rPr>
        <w:t> </w:t>
      </w:r>
      <w:r>
        <w:rPr>
          <w:vertAlign w:val="baseline"/>
        </w:rPr>
        <w:t>actions</w:t>
      </w:r>
      <w:r>
        <w:rPr>
          <w:spacing w:val="10"/>
          <w:vertAlign w:val="baseline"/>
        </w:rPr>
        <w:t> </w:t>
      </w:r>
      <w:r>
        <w:rPr>
          <w:vertAlign w:val="baseline"/>
        </w:rPr>
        <w:t>was</w:t>
      </w:r>
      <w:r>
        <w:rPr>
          <w:spacing w:val="10"/>
          <w:vertAlign w:val="baseline"/>
        </w:rPr>
        <w:t> </w:t>
      </w:r>
      <w:r>
        <w:rPr>
          <w:vertAlign w:val="baseline"/>
        </w:rPr>
        <w:t>much</w:t>
      </w:r>
      <w:r>
        <w:rPr>
          <w:spacing w:val="9"/>
          <w:vertAlign w:val="baseline"/>
        </w:rPr>
        <w:t> </w:t>
      </w:r>
      <w:r>
        <w:rPr>
          <w:vertAlign w:val="baseline"/>
        </w:rPr>
        <w:t>greater</w:t>
      </w:r>
      <w:r>
        <w:rPr>
          <w:spacing w:val="10"/>
          <w:vertAlign w:val="baseline"/>
        </w:rPr>
        <w:t> </w:t>
      </w:r>
      <w:r>
        <w:rPr>
          <w:vertAlign w:val="baseline"/>
        </w:rPr>
        <w:t>than</w:t>
      </w:r>
      <w:r>
        <w:rPr>
          <w:spacing w:val="10"/>
          <w:vertAlign w:val="baseline"/>
        </w:rPr>
        <w:t> </w:t>
      </w:r>
      <w:r>
        <w:rPr>
          <w:spacing w:val="-2"/>
          <w:vertAlign w:val="baseline"/>
        </w:rPr>
        <w:t>those</w:t>
      </w:r>
    </w:p>
    <w:p>
      <w:pPr>
        <w:pStyle w:val="BodyText"/>
        <w:spacing w:before="81"/>
        <w:ind w:left="610"/>
      </w:pPr>
      <w:r>
        <w:rPr/>
        <w:t>actions</w:t>
      </w:r>
      <w:r>
        <w:rPr>
          <w:spacing w:val="23"/>
        </w:rPr>
        <w:t> </w:t>
      </w:r>
      <w:r>
        <w:rPr/>
        <w:t>outside</w:t>
      </w:r>
      <w:r>
        <w:rPr>
          <w:spacing w:val="23"/>
        </w:rPr>
        <w:t> </w:t>
      </w:r>
      <w:r>
        <w:rPr/>
        <w:t>of</w:t>
      </w:r>
      <w:r>
        <w:rPr>
          <w:spacing w:val="23"/>
        </w:rPr>
        <w:t> </w:t>
      </w:r>
      <w:r>
        <w:rPr/>
        <w:t>the</w:t>
      </w:r>
      <w:r>
        <w:rPr>
          <w:spacing w:val="24"/>
        </w:rPr>
        <w:t> </w:t>
      </w:r>
      <w:r>
        <w:rPr/>
        <w:t>try</w:t>
      </w:r>
      <w:r>
        <w:rPr>
          <w:spacing w:val="23"/>
        </w:rPr>
        <w:t> </w:t>
      </w:r>
      <w:r>
        <w:rPr/>
        <w:t>area.</w:t>
      </w:r>
      <w:r>
        <w:rPr>
          <w:spacing w:val="62"/>
          <w:w w:val="150"/>
        </w:rPr>
        <w:t> </w:t>
      </w:r>
      <w:r>
        <w:rPr/>
        <w:t>For</w:t>
      </w:r>
      <w:r>
        <w:rPr>
          <w:spacing w:val="23"/>
        </w:rPr>
        <w:t> </w:t>
      </w:r>
      <w:r>
        <w:rPr/>
        <w:t>example,</w:t>
      </w:r>
      <w:r>
        <w:rPr>
          <w:spacing w:val="30"/>
        </w:rPr>
        <w:t> </w:t>
      </w:r>
      <w:r>
        <w:rPr/>
        <w:t>using</w:t>
      </w:r>
      <w:r>
        <w:rPr>
          <w:spacing w:val="23"/>
        </w:rPr>
        <w:t> </w:t>
      </w:r>
      <w:r>
        <w:rPr/>
        <w:t>centre</w:t>
      </w:r>
      <w:r>
        <w:rPr>
          <w:spacing w:val="24"/>
        </w:rPr>
        <w:t> </w:t>
      </w:r>
      <w:r>
        <w:rPr/>
        <w:t>values,</w:t>
      </w:r>
      <w:r>
        <w:rPr>
          <w:spacing w:val="29"/>
        </w:rPr>
        <w:t> </w:t>
      </w:r>
      <w:r>
        <w:rPr/>
        <w:t>the</w:t>
      </w:r>
      <w:r>
        <w:rPr>
          <w:spacing w:val="24"/>
        </w:rPr>
        <w:t> </w:t>
      </w:r>
      <w:r>
        <w:rPr/>
        <w:t>highest</w:t>
      </w:r>
      <w:r>
        <w:rPr>
          <w:spacing w:val="23"/>
        </w:rPr>
        <w:t> </w:t>
      </w:r>
      <w:r>
        <w:rPr/>
        <w:t>EPV</w:t>
      </w:r>
      <w:r>
        <w:rPr>
          <w:spacing w:val="23"/>
        </w:rPr>
        <w:t> </w:t>
      </w:r>
      <w:r>
        <w:rPr>
          <w:spacing w:val="-5"/>
        </w:rPr>
        <w:t>in</w:t>
      </w:r>
    </w:p>
    <w:p>
      <w:pPr>
        <w:pStyle w:val="BodyText"/>
        <w:tabs>
          <w:tab w:pos="6506" w:val="left" w:leader="none"/>
        </w:tabs>
        <w:spacing w:before="78"/>
        <w:ind w:left="610"/>
      </w:pPr>
      <w:r>
        <w:rPr/>
        <w:pict>
          <v:shape style="position:absolute;margin-left:373.265015pt;margin-top:13.096767pt;width:30.15pt;height:8pt;mso-position-horizontal-relative:page;mso-position-vertical-relative:paragraph;z-index:-21719552" type="#_x0000_t202" id="docshape208" filled="false" stroked="false">
            <v:textbox inset="0,0,0,0">
              <w:txbxContent>
                <w:p>
                  <w:pPr>
                    <w:spacing w:line="155" w:lineRule="exact" w:before="0"/>
                    <w:ind w:left="0" w:right="0" w:firstLine="0"/>
                    <w:jc w:val="left"/>
                    <w:rPr>
                      <w:rFonts w:ascii="Georgia"/>
                      <w:sz w:val="16"/>
                    </w:rPr>
                  </w:pPr>
                  <w:r>
                    <w:rPr>
                      <w:rFonts w:ascii="Georgia"/>
                      <w:spacing w:val="-2"/>
                      <w:sz w:val="16"/>
                    </w:rPr>
                    <w:t>(50</w:t>
                  </w:r>
                  <w:r>
                    <w:rPr>
                      <w:rFonts w:ascii="Cambria"/>
                      <w:spacing w:val="-2"/>
                      <w:sz w:val="16"/>
                    </w:rPr>
                    <w:t>,</w:t>
                  </w:r>
                  <w:r>
                    <w:rPr>
                      <w:rFonts w:ascii="Georgia"/>
                      <w:spacing w:val="-2"/>
                      <w:sz w:val="16"/>
                    </w:rPr>
                    <w:t>100)</w:t>
                  </w:r>
                </w:p>
              </w:txbxContent>
            </v:textbox>
            <w10:wrap type="none"/>
          </v:shape>
        </w:pict>
      </w:r>
      <w:r>
        <w:rPr/>
        <w:t>the</w:t>
      </w:r>
      <w:r>
        <w:rPr>
          <w:spacing w:val="25"/>
        </w:rPr>
        <w:t> </w:t>
      </w:r>
      <w:r>
        <w:rPr/>
        <w:t>field</w:t>
      </w:r>
      <w:r>
        <w:rPr>
          <w:spacing w:val="25"/>
        </w:rPr>
        <w:t> </w:t>
      </w:r>
      <w:r>
        <w:rPr/>
        <w:t>of</w:t>
      </w:r>
      <w:r>
        <w:rPr>
          <w:spacing w:val="25"/>
        </w:rPr>
        <w:t> </w:t>
      </w:r>
      <w:r>
        <w:rPr/>
        <w:t>play</w:t>
      </w:r>
      <w:r>
        <w:rPr>
          <w:spacing w:val="25"/>
        </w:rPr>
        <w:t> </w:t>
      </w:r>
      <w:r>
        <w:rPr/>
        <w:t>was</w:t>
      </w:r>
      <w:r>
        <w:rPr>
          <w:spacing w:val="25"/>
        </w:rPr>
        <w:t> </w:t>
      </w:r>
      <w:r>
        <w:rPr/>
        <w:t>at</w:t>
      </w:r>
      <w:r>
        <w:rPr>
          <w:spacing w:val="25"/>
        </w:rPr>
        <w:t> </w:t>
      </w:r>
      <w:r>
        <w:rPr/>
        <w:t>centre</w:t>
      </w:r>
      <w:r>
        <w:rPr>
          <w:spacing w:val="26"/>
        </w:rPr>
        <w:t> </w:t>
      </w:r>
      <w:r>
        <w:rPr>
          <w:rFonts w:ascii="Garamond" w:hAnsi="Garamond"/>
        </w:rPr>
        <w:t>(50</w:t>
      </w:r>
      <w:r>
        <w:rPr>
          <w:rFonts w:ascii="Cambria" w:hAnsi="Cambria"/>
        </w:rPr>
        <w:t>,</w:t>
      </w:r>
      <w:r>
        <w:rPr>
          <w:rFonts w:ascii="Cambria" w:hAnsi="Cambria"/>
          <w:spacing w:val="-11"/>
        </w:rPr>
        <w:t> </w:t>
      </w:r>
      <w:r>
        <w:rPr>
          <w:rFonts w:ascii="Garamond" w:hAnsi="Garamond"/>
        </w:rPr>
        <w:t>100)</w:t>
      </w:r>
      <w:r>
        <w:rPr/>
        <w:t>,</w:t>
      </w:r>
      <w:r>
        <w:rPr>
          <w:spacing w:val="31"/>
        </w:rPr>
        <w:t> </w:t>
      </w:r>
      <w:r>
        <w:rPr/>
        <w:t>where</w:t>
      </w:r>
      <w:r>
        <w:rPr>
          <w:spacing w:val="25"/>
        </w:rPr>
        <w:t> </w:t>
      </w:r>
      <w:r>
        <w:rPr>
          <w:spacing w:val="-4"/>
        </w:rPr>
        <w:t>EPV</w:t>
      </w:r>
      <w:r>
        <w:rPr>
          <w:rFonts w:ascii="Cambria" w:hAnsi="Cambria"/>
          <w:spacing w:val="-4"/>
          <w:vertAlign w:val="superscript"/>
        </w:rPr>
        <w:t>µ</w:t>
      </w:r>
      <w:r>
        <w:rPr>
          <w:rFonts w:ascii="Cambria" w:hAnsi="Cambria"/>
          <w:vertAlign w:val="baseline"/>
        </w:rPr>
        <w:tab/>
      </w:r>
      <w:r>
        <w:rPr>
          <w:rFonts w:ascii="Garamond" w:hAnsi="Garamond"/>
          <w:vertAlign w:val="baseline"/>
        </w:rPr>
        <w:t>=</w:t>
      </w:r>
      <w:r>
        <w:rPr>
          <w:rFonts w:ascii="Garamond" w:hAnsi="Garamond"/>
          <w:spacing w:val="56"/>
          <w:vertAlign w:val="baseline"/>
        </w:rPr>
        <w:t> </w:t>
      </w:r>
      <w:r>
        <w:rPr>
          <w:rFonts w:ascii="Garamond" w:hAnsi="Garamond"/>
          <w:vertAlign w:val="baseline"/>
        </w:rPr>
        <w:t>1</w:t>
      </w:r>
      <w:r>
        <w:rPr>
          <w:rFonts w:ascii="Cambria" w:hAnsi="Cambria"/>
          <w:vertAlign w:val="baseline"/>
        </w:rPr>
        <w:t>.</w:t>
      </w:r>
      <w:r>
        <w:rPr>
          <w:rFonts w:ascii="Garamond" w:hAnsi="Garamond"/>
          <w:vertAlign w:val="baseline"/>
        </w:rPr>
        <w:t>73</w:t>
      </w:r>
      <w:r>
        <w:rPr>
          <w:vertAlign w:val="baseline"/>
        </w:rPr>
        <w:t>.</w:t>
      </w:r>
      <w:r>
        <w:rPr>
          <w:spacing w:val="63"/>
          <w:w w:val="150"/>
          <w:vertAlign w:val="baseline"/>
        </w:rPr>
        <w:t> </w:t>
      </w:r>
      <w:r>
        <w:rPr>
          <w:vertAlign w:val="baseline"/>
        </w:rPr>
        <w:t>All</w:t>
      </w:r>
      <w:r>
        <w:rPr>
          <w:spacing w:val="28"/>
          <w:vertAlign w:val="baseline"/>
        </w:rPr>
        <w:t> </w:t>
      </w:r>
      <w:r>
        <w:rPr>
          <w:vertAlign w:val="baseline"/>
        </w:rPr>
        <w:t>three</w:t>
      </w:r>
      <w:r>
        <w:rPr>
          <w:spacing w:val="28"/>
          <w:vertAlign w:val="baseline"/>
        </w:rPr>
        <w:t> </w:t>
      </w:r>
      <w:r>
        <w:rPr>
          <w:vertAlign w:val="baseline"/>
        </w:rPr>
        <w:t>try</w:t>
      </w:r>
      <w:r>
        <w:rPr>
          <w:spacing w:val="28"/>
          <w:vertAlign w:val="baseline"/>
        </w:rPr>
        <w:t> </w:t>
      </w:r>
      <w:r>
        <w:rPr>
          <w:spacing w:val="-4"/>
          <w:vertAlign w:val="baseline"/>
        </w:rPr>
        <w:t>area</w:t>
      </w:r>
    </w:p>
    <w:p>
      <w:pPr>
        <w:pStyle w:val="BodyText"/>
        <w:tabs>
          <w:tab w:pos="4714" w:val="left" w:leader="none"/>
        </w:tabs>
        <w:spacing w:before="33"/>
        <w:ind w:left="610"/>
      </w:pPr>
      <w:r>
        <w:rPr/>
        <w:pict>
          <v:shape style="position:absolute;margin-left:297.561005pt;margin-top:12.604578pt;width:18.2pt;height:8pt;mso-position-horizontal-relative:page;mso-position-vertical-relative:paragraph;z-index:-21719040" type="#_x0000_t202" id="docshape209" filled="false" stroked="false">
            <v:textbox inset="0,0,0,0">
              <w:txbxContent>
                <w:p>
                  <w:pPr>
                    <w:spacing w:line="155" w:lineRule="exact" w:before="0"/>
                    <w:ind w:left="0" w:right="0" w:firstLine="0"/>
                    <w:jc w:val="left"/>
                    <w:rPr>
                      <w:rFonts w:ascii="Georgia"/>
                      <w:sz w:val="16"/>
                    </w:rPr>
                  </w:pPr>
                  <w:r>
                    <w:rPr>
                      <w:rFonts w:ascii="Georgia"/>
                      <w:spacing w:val="-4"/>
                      <w:w w:val="115"/>
                      <w:sz w:val="16"/>
                    </w:rPr>
                    <w:t>(</w:t>
                  </w:r>
                  <w:r>
                    <w:rPr>
                      <w:rFonts w:ascii="Cambria"/>
                      <w:spacing w:val="-4"/>
                      <w:w w:val="115"/>
                      <w:sz w:val="16"/>
                    </w:rPr>
                    <w:t>x,y</w:t>
                  </w:r>
                  <w:r>
                    <w:rPr>
                      <w:rFonts w:ascii="Georgia"/>
                      <w:spacing w:val="-4"/>
                      <w:w w:val="115"/>
                      <w:sz w:val="16"/>
                    </w:rPr>
                    <w:t>)</w:t>
                  </w:r>
                </w:p>
              </w:txbxContent>
            </v:textbox>
            <w10:wrap type="none"/>
          </v:shape>
        </w:pict>
      </w:r>
      <w:r>
        <w:rPr/>
        <w:t>centres</w:t>
      </w:r>
      <w:r>
        <w:rPr>
          <w:spacing w:val="-6"/>
        </w:rPr>
        <w:t> </w:t>
      </w:r>
      <w:r>
        <w:rPr/>
        <w:t>had</w:t>
      </w:r>
      <w:r>
        <w:rPr>
          <w:spacing w:val="-6"/>
        </w:rPr>
        <w:t> </w:t>
      </w:r>
      <w:r>
        <w:rPr/>
        <w:t>much</w:t>
      </w:r>
      <w:r>
        <w:rPr>
          <w:spacing w:val="-6"/>
        </w:rPr>
        <w:t> </w:t>
      </w:r>
      <w:r>
        <w:rPr/>
        <w:t>greater</w:t>
      </w:r>
      <w:r>
        <w:rPr>
          <w:spacing w:val="-6"/>
        </w:rPr>
        <w:t> </w:t>
      </w:r>
      <w:r>
        <w:rPr/>
        <w:t>values</w:t>
      </w:r>
      <w:r>
        <w:rPr>
          <w:spacing w:val="-6"/>
        </w:rPr>
        <w:t> </w:t>
      </w:r>
      <w:r>
        <w:rPr>
          <w:spacing w:val="-2"/>
        </w:rPr>
        <w:t>(EPV</w:t>
      </w:r>
      <w:r>
        <w:rPr>
          <w:rFonts w:ascii="Cambria" w:hAnsi="Cambria"/>
          <w:spacing w:val="-2"/>
          <w:vertAlign w:val="superscript"/>
        </w:rPr>
        <w:t>µ</w:t>
      </w:r>
      <w:r>
        <w:rPr>
          <w:rFonts w:ascii="Cambria" w:hAnsi="Cambria"/>
          <w:vertAlign w:val="baseline"/>
        </w:rPr>
        <w:tab/>
      </w:r>
      <w:r>
        <w:rPr>
          <w:rFonts w:ascii="Lucida Sans Unicode" w:hAnsi="Lucida Sans Unicode"/>
          <w:vertAlign w:val="baseline"/>
        </w:rPr>
        <w:t>∈</w:t>
      </w:r>
      <w:r>
        <w:rPr>
          <w:rFonts w:ascii="Lucida Sans Unicode" w:hAnsi="Lucida Sans Unicode"/>
          <w:spacing w:val="19"/>
          <w:vertAlign w:val="baseline"/>
        </w:rPr>
        <w:t> </w:t>
      </w:r>
      <w:r>
        <w:rPr>
          <w:rFonts w:ascii="Lucida Sans Unicode" w:hAnsi="Lucida Sans Unicode"/>
          <w:vertAlign w:val="baseline"/>
        </w:rPr>
        <w:t>{</w:t>
      </w:r>
      <w:r>
        <w:rPr>
          <w:rFonts w:ascii="Garamond" w:hAnsi="Garamond"/>
          <w:vertAlign w:val="baseline"/>
        </w:rPr>
        <w:t>3</w:t>
      </w:r>
      <w:r>
        <w:rPr>
          <w:rFonts w:ascii="Cambria" w:hAnsi="Cambria"/>
          <w:vertAlign w:val="baseline"/>
        </w:rPr>
        <w:t>.</w:t>
      </w:r>
      <w:r>
        <w:rPr>
          <w:rFonts w:ascii="Garamond" w:hAnsi="Garamond"/>
          <w:vertAlign w:val="baseline"/>
        </w:rPr>
        <w:t>52</w:t>
      </w:r>
      <w:r>
        <w:rPr>
          <w:rFonts w:ascii="Cambria" w:hAnsi="Cambria"/>
          <w:vertAlign w:val="baseline"/>
        </w:rPr>
        <w:t>,</w:t>
      </w:r>
      <w:r>
        <w:rPr>
          <w:rFonts w:ascii="Cambria" w:hAnsi="Cambria"/>
          <w:spacing w:val="2"/>
          <w:vertAlign w:val="baseline"/>
        </w:rPr>
        <w:t> </w:t>
      </w:r>
      <w:r>
        <w:rPr>
          <w:rFonts w:ascii="Garamond" w:hAnsi="Garamond"/>
          <w:vertAlign w:val="baseline"/>
        </w:rPr>
        <w:t>3</w:t>
      </w:r>
      <w:r>
        <w:rPr>
          <w:rFonts w:ascii="Cambria" w:hAnsi="Cambria"/>
          <w:vertAlign w:val="baseline"/>
        </w:rPr>
        <w:t>.</w:t>
      </w:r>
      <w:r>
        <w:rPr>
          <w:rFonts w:ascii="Garamond" w:hAnsi="Garamond"/>
          <w:vertAlign w:val="baseline"/>
        </w:rPr>
        <w:t>72</w:t>
      </w:r>
      <w:r>
        <w:rPr>
          <w:rFonts w:ascii="Cambria" w:hAnsi="Cambria"/>
          <w:vertAlign w:val="baseline"/>
        </w:rPr>
        <w:t>,</w:t>
      </w:r>
      <w:r>
        <w:rPr>
          <w:rFonts w:ascii="Cambria" w:hAnsi="Cambria"/>
          <w:spacing w:val="2"/>
          <w:vertAlign w:val="baseline"/>
        </w:rPr>
        <w:t> </w:t>
      </w:r>
      <w:r>
        <w:rPr>
          <w:rFonts w:ascii="Garamond" w:hAnsi="Garamond"/>
          <w:vertAlign w:val="baseline"/>
        </w:rPr>
        <w:t>3</w:t>
      </w:r>
      <w:r>
        <w:rPr>
          <w:rFonts w:ascii="Cambria" w:hAnsi="Cambria"/>
          <w:vertAlign w:val="baseline"/>
        </w:rPr>
        <w:t>.</w:t>
      </w:r>
      <w:r>
        <w:rPr>
          <w:rFonts w:ascii="Garamond" w:hAnsi="Garamond"/>
          <w:vertAlign w:val="baseline"/>
        </w:rPr>
        <w:t>16</w:t>
      </w:r>
      <w:r>
        <w:rPr>
          <w:rFonts w:ascii="Lucida Sans Unicode" w:hAnsi="Lucida Sans Unicode"/>
          <w:vertAlign w:val="baseline"/>
        </w:rPr>
        <w:t>}</w:t>
      </w:r>
      <w:r>
        <w:rPr>
          <w:vertAlign w:val="baseline"/>
        </w:rPr>
        <w:t>).</w:t>
      </w:r>
      <w:r>
        <w:rPr>
          <w:spacing w:val="49"/>
          <w:vertAlign w:val="baseline"/>
        </w:rPr>
        <w:t> </w:t>
      </w:r>
      <w:r>
        <w:rPr>
          <w:vertAlign w:val="baseline"/>
        </w:rPr>
        <w:t>This</w:t>
      </w:r>
      <w:r>
        <w:rPr>
          <w:spacing w:val="25"/>
          <w:vertAlign w:val="baseline"/>
        </w:rPr>
        <w:t> </w:t>
      </w:r>
      <w:r>
        <w:rPr>
          <w:vertAlign w:val="baseline"/>
        </w:rPr>
        <w:t>difference</w:t>
      </w:r>
      <w:r>
        <w:rPr>
          <w:spacing w:val="24"/>
          <w:vertAlign w:val="baseline"/>
        </w:rPr>
        <w:t> </w:t>
      </w:r>
      <w:r>
        <w:rPr>
          <w:spacing w:val="-2"/>
          <w:vertAlign w:val="baseline"/>
        </w:rPr>
        <w:t>justifies</w:t>
      </w:r>
    </w:p>
    <w:p>
      <w:pPr>
        <w:pStyle w:val="BodyText"/>
        <w:spacing w:line="312" w:lineRule="auto" w:before="29"/>
        <w:ind w:left="610" w:right="389"/>
        <w:jc w:val="both"/>
      </w:pPr>
      <w:r>
        <w:rPr/>
        <w:t>the separation between field of play centres and try area centres.</w:t>
      </w:r>
      <w:r>
        <w:rPr>
          <w:spacing w:val="40"/>
        </w:rPr>
        <w:t> </w:t>
      </w:r>
      <w:r>
        <w:rPr/>
        <w:t>For clarity of </w:t>
      </w:r>
      <w:r>
        <w:rPr/>
        <w:t>figure presentation, the try area values are removed from all plots for the rest of this chapter.</w:t>
      </w:r>
    </w:p>
    <w:p>
      <w:pPr>
        <w:pStyle w:val="BodyText"/>
        <w:spacing w:before="7"/>
        <w:rPr>
          <w:sz w:val="34"/>
        </w:rPr>
      </w:pPr>
    </w:p>
    <w:p>
      <w:pPr>
        <w:pStyle w:val="Heading3"/>
        <w:numPr>
          <w:ilvl w:val="2"/>
          <w:numId w:val="24"/>
        </w:numPr>
        <w:tabs>
          <w:tab w:pos="1471" w:val="left" w:leader="none"/>
          <w:tab w:pos="1472" w:val="left" w:leader="none"/>
        </w:tabs>
        <w:spacing w:line="240" w:lineRule="auto" w:before="0" w:after="0"/>
        <w:ind w:left="1471" w:right="0" w:hanging="862"/>
        <w:jc w:val="left"/>
      </w:pPr>
      <w:bookmarkStart w:name="6.3.1 Estimation of Individual Possessio" w:id="340"/>
      <w:bookmarkEnd w:id="340"/>
      <w:r>
        <w:rPr>
          <w:b w:val="0"/>
        </w:rPr>
      </w:r>
      <w:bookmarkStart w:name="_bookmark199" w:id="341"/>
      <w:bookmarkEnd w:id="341"/>
      <w:r>
        <w:rPr/>
        <w:t>Estimation</w:t>
      </w:r>
      <w:r>
        <w:rPr>
          <w:spacing w:val="18"/>
        </w:rPr>
        <w:t> </w:t>
      </w:r>
      <w:r>
        <w:rPr/>
        <w:t>of</w:t>
      </w:r>
      <w:r>
        <w:rPr>
          <w:spacing w:val="19"/>
        </w:rPr>
        <w:t> </w:t>
      </w:r>
      <w:r>
        <w:rPr/>
        <w:t>Individual</w:t>
      </w:r>
      <w:r>
        <w:rPr>
          <w:spacing w:val="19"/>
        </w:rPr>
        <w:t> </w:t>
      </w:r>
      <w:r>
        <w:rPr/>
        <w:t>Possession</w:t>
      </w:r>
      <w:r>
        <w:rPr>
          <w:spacing w:val="19"/>
        </w:rPr>
        <w:t> </w:t>
      </w:r>
      <w:r>
        <w:rPr>
          <w:spacing w:val="-2"/>
        </w:rPr>
        <w:t>Outcomes</w:t>
      </w:r>
    </w:p>
    <w:p>
      <w:pPr>
        <w:pStyle w:val="BodyText"/>
        <w:spacing w:line="312" w:lineRule="auto" w:before="235"/>
        <w:ind w:left="610" w:right="389"/>
        <w:jc w:val="both"/>
      </w:pPr>
      <w:r>
        <w:rPr/>
        <w:t>Alongside the modelling approach, the estimation of individual possession </w:t>
      </w:r>
      <w:r>
        <w:rPr/>
        <w:t>outcomes probabilities in a single model is another novel addition to the literature.</w:t>
      </w:r>
      <w:r>
        <w:rPr>
          <w:spacing w:val="40"/>
        </w:rPr>
        <w:t> </w:t>
      </w:r>
      <w:r>
        <w:rPr/>
        <w:t>Previous ap- proaches</w:t>
      </w:r>
      <w:r>
        <w:rPr>
          <w:spacing w:val="-13"/>
        </w:rPr>
        <w:t> </w:t>
      </w:r>
      <w:r>
        <w:rPr/>
        <w:t>either</w:t>
      </w:r>
      <w:r>
        <w:rPr>
          <w:spacing w:val="-13"/>
        </w:rPr>
        <w:t> </w:t>
      </w:r>
      <w:r>
        <w:rPr/>
        <w:t>aggregated</w:t>
      </w:r>
      <w:r>
        <w:rPr>
          <w:spacing w:val="-13"/>
        </w:rPr>
        <w:t> </w:t>
      </w:r>
      <w:r>
        <w:rPr/>
        <w:t>the</w:t>
      </w:r>
      <w:r>
        <w:rPr>
          <w:spacing w:val="-13"/>
        </w:rPr>
        <w:t> </w:t>
      </w:r>
      <w:r>
        <w:rPr/>
        <w:t>calculation</w:t>
      </w:r>
      <w:r>
        <w:rPr>
          <w:spacing w:val="-13"/>
        </w:rPr>
        <w:t> </w:t>
      </w:r>
      <w:r>
        <w:rPr/>
        <w:t>of</w:t>
      </w:r>
      <w:r>
        <w:rPr>
          <w:spacing w:val="-13"/>
        </w:rPr>
        <w:t> </w:t>
      </w:r>
      <w:r>
        <w:rPr/>
        <w:t>all</w:t>
      </w:r>
      <w:r>
        <w:rPr>
          <w:spacing w:val="-13"/>
        </w:rPr>
        <w:t> </w:t>
      </w:r>
      <w:r>
        <w:rPr/>
        <w:t>possession</w:t>
      </w:r>
      <w:r>
        <w:rPr>
          <w:spacing w:val="-13"/>
        </w:rPr>
        <w:t> </w:t>
      </w:r>
      <w:r>
        <w:rPr/>
        <w:t>outcome</w:t>
      </w:r>
      <w:r>
        <w:rPr>
          <w:spacing w:val="-13"/>
        </w:rPr>
        <w:t> </w:t>
      </w:r>
      <w:r>
        <w:rPr/>
        <w:t>probabilities</w:t>
      </w:r>
      <w:r>
        <w:rPr>
          <w:spacing w:val="-12"/>
        </w:rPr>
        <w:t> </w:t>
      </w:r>
      <w:r>
        <w:rPr>
          <w:spacing w:val="-2"/>
        </w:rPr>
        <w:t>numer-</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after="1"/>
        <w:rPr>
          <w:sz w:val="28"/>
        </w:rPr>
      </w:pPr>
    </w:p>
    <w:p>
      <w:pPr>
        <w:pStyle w:val="BodyText"/>
        <w:ind w:left="1673"/>
        <w:rPr>
          <w:sz w:val="20"/>
        </w:rPr>
      </w:pPr>
      <w:r>
        <w:rPr>
          <w:sz w:val="20"/>
        </w:rPr>
        <w:drawing>
          <wp:inline distT="0" distB="0" distL="0" distR="0">
            <wp:extent cx="4048305" cy="4828032"/>
            <wp:effectExtent l="0" t="0" r="0" b="0"/>
            <wp:docPr id="103" name="image52.jpeg"/>
            <wp:cNvGraphicFramePr>
              <a:graphicFrameLocks noChangeAspect="1"/>
            </wp:cNvGraphicFramePr>
            <a:graphic>
              <a:graphicData uri="http://schemas.openxmlformats.org/drawingml/2006/picture">
                <pic:pic>
                  <pic:nvPicPr>
                    <pic:cNvPr id="104" name="image52.jpeg"/>
                    <pic:cNvPicPr/>
                  </pic:nvPicPr>
                  <pic:blipFill>
                    <a:blip r:embed="rId130" cstate="print"/>
                    <a:stretch>
                      <a:fillRect/>
                    </a:stretch>
                  </pic:blipFill>
                  <pic:spPr>
                    <a:xfrm>
                      <a:off x="0" y="0"/>
                      <a:ext cx="4048305" cy="4828032"/>
                    </a:xfrm>
                    <a:prstGeom prst="rect">
                      <a:avLst/>
                    </a:prstGeom>
                  </pic:spPr>
                </pic:pic>
              </a:graphicData>
            </a:graphic>
          </wp:inline>
        </w:drawing>
      </w:r>
      <w:r>
        <w:rPr>
          <w:sz w:val="20"/>
        </w:rPr>
      </w:r>
    </w:p>
    <w:p>
      <w:pPr>
        <w:pStyle w:val="BodyText"/>
        <w:spacing w:before="7"/>
        <w:rPr>
          <w:sz w:val="10"/>
        </w:rPr>
      </w:pPr>
    </w:p>
    <w:p>
      <w:pPr>
        <w:pStyle w:val="BodyText"/>
        <w:spacing w:line="249" w:lineRule="auto" w:before="106"/>
        <w:ind w:left="610" w:right="389"/>
        <w:jc w:val="both"/>
      </w:pPr>
      <w:bookmarkStart w:name="_bookmark200" w:id="342"/>
      <w:bookmarkEnd w:id="342"/>
      <w:r>
        <w:rPr/>
      </w:r>
      <w:r>
        <w:rPr>
          <w:b/>
        </w:rPr>
        <w:t>Figure 6.2: </w:t>
      </w:r>
      <w:r>
        <w:rPr/>
        <w:t>Whole league model mean pitch surface plot.</w:t>
      </w:r>
      <w:r>
        <w:rPr>
          <w:spacing w:val="40"/>
        </w:rPr>
        <w:t> </w:t>
      </w:r>
      <w:r>
        <w:rPr/>
        <w:t>4pt Try and 6pt Try refer to unconverted and converted tries respectively.</w:t>
      </w:r>
      <w:r>
        <w:rPr>
          <w:spacing w:val="40"/>
        </w:rPr>
        <w:t> </w:t>
      </w:r>
      <w:r>
        <w:rPr/>
        <w:t>With the exception of EPV, probabilities are</w:t>
      </w:r>
      <w:r>
        <w:rPr>
          <w:spacing w:val="-12"/>
        </w:rPr>
        <w:t> </w:t>
      </w:r>
      <w:r>
        <w:rPr/>
        <w:t>plotted. Smooth</w:t>
      </w:r>
      <w:r>
        <w:rPr>
          <w:spacing w:val="-12"/>
        </w:rPr>
        <w:t> </w:t>
      </w:r>
      <w:r>
        <w:rPr/>
        <w:t>pitch</w:t>
      </w:r>
      <w:r>
        <w:rPr>
          <w:spacing w:val="-12"/>
        </w:rPr>
        <w:t> </w:t>
      </w:r>
      <w:r>
        <w:rPr/>
        <w:t>surface</w:t>
      </w:r>
      <w:r>
        <w:rPr>
          <w:spacing w:val="-12"/>
        </w:rPr>
        <w:t> </w:t>
      </w:r>
      <w:r>
        <w:rPr/>
        <w:t>for</w:t>
      </w:r>
      <w:r>
        <w:rPr>
          <w:spacing w:val="-12"/>
        </w:rPr>
        <w:t> </w:t>
      </w:r>
      <w:r>
        <w:rPr/>
        <w:t>possession</w:t>
      </w:r>
      <w:r>
        <w:rPr>
          <w:spacing w:val="-12"/>
        </w:rPr>
        <w:t> </w:t>
      </w:r>
      <w:r>
        <w:rPr/>
        <w:t>outcome</w:t>
      </w:r>
      <w:r>
        <w:rPr>
          <w:spacing w:val="-12"/>
        </w:rPr>
        <w:t> </w:t>
      </w:r>
      <w:r>
        <w:rPr/>
        <w:t>probabilities</w:t>
      </w:r>
      <w:r>
        <w:rPr>
          <w:spacing w:val="-12"/>
        </w:rPr>
        <w:t> </w:t>
      </w:r>
      <w:r>
        <w:rPr/>
        <w:t>is</w:t>
      </w:r>
      <w:r>
        <w:rPr>
          <w:spacing w:val="-12"/>
        </w:rPr>
        <w:t> </w:t>
      </w:r>
      <w:r>
        <w:rPr/>
        <w:t>calculated</w:t>
      </w:r>
      <w:r>
        <w:rPr>
          <w:spacing w:val="-12"/>
        </w:rPr>
        <w:t> </w:t>
      </w:r>
      <w:r>
        <w:rPr/>
        <w:t>using Equation</w:t>
      </w:r>
      <w:hyperlink w:history="true" w:anchor="_bookmark181">
        <w:r>
          <w:rPr>
            <w:color w:val="0000FF"/>
          </w:rPr>
          <w:t>6.3</w:t>
        </w:r>
      </w:hyperlink>
      <w:r>
        <w:rPr/>
        <w:t>for</w:t>
      </w:r>
      <w:r>
        <w:rPr>
          <w:spacing w:val="-9"/>
        </w:rPr>
        <w:t> </w:t>
      </w:r>
      <w:r>
        <w:rPr/>
        <w:t>each</w:t>
      </w:r>
      <w:r>
        <w:rPr>
          <w:spacing w:val="80"/>
        </w:rPr>
        <w:t> </w:t>
      </w:r>
      <w:r>
        <w:rPr>
          <w:rFonts w:ascii="Cambria"/>
        </w:rPr>
        <w:t>x,</w:t>
      </w:r>
      <w:r>
        <w:rPr>
          <w:rFonts w:ascii="Cambria"/>
          <w:spacing w:val="-14"/>
        </w:rPr>
        <w:t> </w:t>
      </w:r>
      <w:r>
        <w:rPr>
          <w:rFonts w:ascii="Cambria"/>
        </w:rPr>
        <w:t>y </w:t>
      </w:r>
      <w:r>
        <w:rPr/>
        <w:t>location</w:t>
      </w:r>
      <w:r>
        <w:rPr>
          <w:spacing w:val="-8"/>
        </w:rPr>
        <w:t> </w:t>
      </w:r>
      <w:r>
        <w:rPr/>
        <w:t>on</w:t>
      </w:r>
      <w:r>
        <w:rPr>
          <w:spacing w:val="-8"/>
        </w:rPr>
        <w:t> </w:t>
      </w:r>
      <w:r>
        <w:rPr/>
        <w:t>the</w:t>
      </w:r>
      <w:r>
        <w:rPr>
          <w:spacing w:val="-8"/>
        </w:rPr>
        <w:t> </w:t>
      </w:r>
      <w:r>
        <w:rPr/>
        <w:t>pitch. EPV</w:t>
      </w:r>
      <w:r>
        <w:rPr>
          <w:spacing w:val="-8"/>
        </w:rPr>
        <w:t> </w:t>
      </w:r>
      <w:r>
        <w:rPr/>
        <w:t>for</w:t>
      </w:r>
      <w:r>
        <w:rPr>
          <w:spacing w:val="-8"/>
        </w:rPr>
        <w:t> </w:t>
      </w:r>
      <w:r>
        <w:rPr/>
        <w:t>each</w:t>
      </w:r>
      <w:r>
        <w:rPr>
          <w:spacing w:val="-8"/>
        </w:rPr>
        <w:t> </w:t>
      </w:r>
      <w:r>
        <w:rPr/>
        <w:t>location</w:t>
      </w:r>
      <w:r>
        <w:rPr>
          <w:spacing w:val="-8"/>
        </w:rPr>
        <w:t> </w:t>
      </w:r>
      <w:r>
        <w:rPr/>
        <w:t>is</w:t>
      </w:r>
      <w:r>
        <w:rPr>
          <w:spacing w:val="-8"/>
        </w:rPr>
        <w:t> </w:t>
      </w:r>
      <w:r>
        <w:rPr/>
        <w:t>calculated</w:t>
      </w:r>
      <w:r>
        <w:rPr>
          <w:spacing w:val="-8"/>
        </w:rPr>
        <w:t> </w:t>
      </w:r>
      <w:r>
        <w:rPr/>
        <w:t>using Equation</w:t>
      </w:r>
      <w:hyperlink w:history="true" w:anchor="_bookmark189">
        <w:r>
          <w:rPr>
            <w:color w:val="0000FF"/>
          </w:rPr>
          <w:t>6.10</w:t>
        </w:r>
        <w:r>
          <w:rPr/>
          <w:t>.</w:t>
        </w:r>
      </w:hyperlink>
      <w:r>
        <w:rPr/>
        <w:t> Brighter areas represent higher values.</w:t>
      </w:r>
    </w:p>
    <w:p>
      <w:pPr>
        <w:pStyle w:val="BodyText"/>
        <w:spacing w:before="2"/>
        <w:rPr>
          <w:sz w:val="38"/>
        </w:rPr>
      </w:pPr>
    </w:p>
    <w:p>
      <w:pPr>
        <w:pStyle w:val="BodyText"/>
        <w:ind w:left="610"/>
        <w:jc w:val="both"/>
      </w:pPr>
      <w:r>
        <w:rPr>
          <w:spacing w:val="-2"/>
        </w:rPr>
        <w:t>ically</w:t>
      </w:r>
      <w:r>
        <w:rPr/>
        <w:t> </w:t>
      </w:r>
      <w:r>
        <w:rPr>
          <w:spacing w:val="-2"/>
        </w:rPr>
        <w:t>(Chapters</w:t>
      </w:r>
      <w:r>
        <w:rPr>
          <w:color w:val="0000FF"/>
          <w:spacing w:val="-2"/>
        </w:rPr>
        <w:t>3</w:t>
      </w:r>
      <w:r>
        <w:rPr>
          <w:spacing w:val="-2"/>
        </w:rPr>
        <w:t>and</w:t>
      </w:r>
      <w:r>
        <w:rPr>
          <w:color w:val="0000FF"/>
          <w:spacing w:val="-2"/>
        </w:rPr>
        <w:t>4</w:t>
      </w:r>
      <w:r>
        <w:rPr>
          <w:spacing w:val="-2"/>
        </w:rPr>
        <w:t>;</w:t>
      </w:r>
      <w:r>
        <w:rPr>
          <w:color w:val="FF0000"/>
          <w:spacing w:val="-2"/>
        </w:rPr>
        <w:t>C</w:t>
      </w:r>
      <w:hyperlink w:history="true" w:anchor="_bookmark231">
        <w:r>
          <w:rPr>
            <w:color w:val="FF0000"/>
            <w:spacing w:val="-2"/>
          </w:rPr>
          <w:t>ervone</w:t>
        </w:r>
        <w:r>
          <w:rPr>
            <w:color w:val="FF0000"/>
          </w:rPr>
          <w:t> </w:t>
        </w:r>
        <w:r>
          <w:rPr>
            <w:color w:val="FF0000"/>
            <w:spacing w:val="-2"/>
          </w:rPr>
          <w:t>et</w:t>
        </w:r>
        <w:r>
          <w:rPr>
            <w:color w:val="FF0000"/>
          </w:rPr>
          <w:t> </w:t>
        </w:r>
        <w:r>
          <w:rPr>
            <w:color w:val="FF0000"/>
            <w:spacing w:val="-2"/>
          </w:rPr>
          <w:t>al.</w:t>
        </w:r>
        <w:r>
          <w:rPr>
            <w:spacing w:val="-2"/>
          </w:rPr>
          <w:t>(</w:t>
        </w:r>
      </w:hyperlink>
      <w:r>
        <w:rPr>
          <w:color w:val="FF0000"/>
          <w:spacing w:val="-2"/>
        </w:rPr>
        <w:t>2016</w:t>
      </w:r>
      <w:hyperlink w:history="true" w:anchor="_bookmark231">
        <w:r>
          <w:rPr>
            <w:spacing w:val="-2"/>
          </w:rPr>
          <w:t>);</w:t>
        </w:r>
      </w:hyperlink>
      <w:r>
        <w:rPr>
          <w:color w:val="FF0000"/>
          <w:spacing w:val="-2"/>
        </w:rPr>
        <w:t>Chan</w:t>
      </w:r>
      <w:r>
        <w:rPr>
          <w:color w:val="FF0000"/>
        </w:rPr>
        <w:t> </w:t>
      </w:r>
      <w:hyperlink w:history="true" w:anchor="_bookmark232">
        <w:r>
          <w:rPr>
            <w:color w:val="FF0000"/>
            <w:spacing w:val="-2"/>
          </w:rPr>
          <w:t>et</w:t>
        </w:r>
        <w:r>
          <w:rPr>
            <w:color w:val="FF0000"/>
            <w:spacing w:val="1"/>
          </w:rPr>
          <w:t> </w:t>
        </w:r>
        <w:r>
          <w:rPr>
            <w:color w:val="FF0000"/>
            <w:spacing w:val="-2"/>
          </w:rPr>
          <w:t>al.</w:t>
        </w:r>
        <w:r>
          <w:rPr>
            <w:spacing w:val="-2"/>
          </w:rPr>
          <w:t>(</w:t>
        </w:r>
      </w:hyperlink>
      <w:r>
        <w:rPr>
          <w:color w:val="FF0000"/>
          <w:spacing w:val="-2"/>
        </w:rPr>
        <w:t>2021</w:t>
      </w:r>
      <w:hyperlink w:history="true" w:anchor="_bookmark232">
        <w:r>
          <w:rPr>
            <w:spacing w:val="-2"/>
          </w:rPr>
          <w:t>);</w:t>
        </w:r>
        <w:r>
          <w:rPr>
            <w:color w:val="FF0000"/>
            <w:spacing w:val="-2"/>
          </w:rPr>
          <w:t>K</w:t>
        </w:r>
      </w:hyperlink>
      <w:r>
        <w:rPr>
          <w:color w:val="FF0000"/>
          <w:spacing w:val="-2"/>
        </w:rPr>
        <w:t>empton</w:t>
      </w:r>
      <w:r>
        <w:rPr>
          <w:color w:val="FF0000"/>
        </w:rPr>
        <w:t> </w:t>
      </w:r>
      <w:hyperlink w:history="true" w:anchor="_bookmark263">
        <w:r>
          <w:rPr>
            <w:color w:val="FF0000"/>
            <w:spacing w:val="-2"/>
          </w:rPr>
          <w:t>et</w:t>
        </w:r>
        <w:r>
          <w:rPr>
            <w:color w:val="FF0000"/>
          </w:rPr>
          <w:t> </w:t>
        </w:r>
        <w:r>
          <w:rPr>
            <w:color w:val="FF0000"/>
            <w:spacing w:val="-2"/>
          </w:rPr>
          <w:t>al.</w:t>
        </w:r>
        <w:r>
          <w:rPr>
            <w:spacing w:val="-2"/>
          </w:rPr>
          <w:t>(</w:t>
        </w:r>
        <w:r>
          <w:rPr>
            <w:color w:val="FF0000"/>
            <w:spacing w:val="-2"/>
          </w:rPr>
          <w:t>2016</w:t>
        </w:r>
      </w:hyperlink>
      <w:hyperlink w:history="true" w:anchor="_bookmark263">
        <w:r>
          <w:rPr>
            <w:spacing w:val="-2"/>
          </w:rPr>
          <w:t>))</w:t>
        </w:r>
      </w:hyperlink>
    </w:p>
    <w:p>
      <w:pPr>
        <w:pStyle w:val="BodyText"/>
        <w:spacing w:line="312" w:lineRule="auto" w:before="83"/>
        <w:ind w:left="610" w:right="389"/>
        <w:jc w:val="both"/>
      </w:pPr>
      <w:r>
        <w:rPr/>
        <w:t>or</w:t>
      </w:r>
      <w:r>
        <w:rPr>
          <w:spacing w:val="-8"/>
        </w:rPr>
        <w:t> </w:t>
      </w:r>
      <w:r>
        <w:rPr/>
        <w:t>produced</w:t>
      </w:r>
      <w:r>
        <w:rPr>
          <w:spacing w:val="-8"/>
        </w:rPr>
        <w:t> </w:t>
      </w:r>
      <w:r>
        <w:rPr/>
        <w:t>separate</w:t>
      </w:r>
      <w:r>
        <w:rPr>
          <w:spacing w:val="-8"/>
        </w:rPr>
        <w:t> </w:t>
      </w:r>
      <w:r>
        <w:rPr/>
        <w:t>models</w:t>
      </w:r>
      <w:r>
        <w:rPr>
          <w:spacing w:val="-8"/>
        </w:rPr>
        <w:t> </w:t>
      </w:r>
      <w:r>
        <w:rPr/>
        <w:t>for</w:t>
      </w:r>
      <w:r>
        <w:rPr>
          <w:spacing w:val="-8"/>
        </w:rPr>
        <w:t> </w:t>
      </w:r>
      <w:r>
        <w:rPr/>
        <w:t>different</w:t>
      </w:r>
      <w:r>
        <w:rPr>
          <w:spacing w:val="-8"/>
        </w:rPr>
        <w:t> </w:t>
      </w:r>
      <w:r>
        <w:rPr/>
        <w:t>possession</w:t>
      </w:r>
      <w:r>
        <w:rPr>
          <w:spacing w:val="-8"/>
        </w:rPr>
        <w:t> </w:t>
      </w:r>
      <w:r>
        <w:rPr/>
        <w:t>outcomes</w:t>
      </w:r>
      <w:r>
        <w:rPr>
          <w:spacing w:val="-8"/>
        </w:rPr>
        <w:t> </w:t>
      </w:r>
      <w:r>
        <w:rPr/>
        <w:t>(</w:t>
      </w:r>
      <w:hyperlink w:history="true" w:anchor="_bookmark239">
        <w:r>
          <w:rPr>
            <w:color w:val="FF0000"/>
          </w:rPr>
          <w:t>Decroos</w:t>
        </w:r>
        <w:r>
          <w:rPr>
            <w:color w:val="FF0000"/>
            <w:spacing w:val="-8"/>
          </w:rPr>
          <w:t> </w:t>
        </w:r>
        <w:r>
          <w:rPr>
            <w:color w:val="FF0000"/>
          </w:rPr>
          <w:t>et</w:t>
        </w:r>
        <w:r>
          <w:rPr>
            <w:color w:val="FF0000"/>
            <w:spacing w:val="-8"/>
          </w:rPr>
          <w:t> </w:t>
        </w:r>
        <w:r>
          <w:rPr>
            <w:color w:val="FF0000"/>
          </w:rPr>
          <w:t>al.</w:t>
        </w:r>
      </w:hyperlink>
      <w:r>
        <w:rPr/>
        <w:t>,</w:t>
      </w:r>
      <w:hyperlink w:history="true" w:anchor="_bookmark239">
        <w:r>
          <w:rPr>
            <w:color w:val="FF0000"/>
          </w:rPr>
          <w:t>2019</w:t>
        </w:r>
      </w:hyperlink>
      <w:r>
        <w:rPr/>
        <w:t>). By producing smooth pitch surfaces for each possession outcome within a single model, as well as deriving the EPV, it is possible to gain greater insights into areas where teams generate value.</w:t>
      </w:r>
    </w:p>
    <w:p>
      <w:pPr>
        <w:pStyle w:val="BodyText"/>
        <w:spacing w:line="286" w:lineRule="exact"/>
        <w:ind w:left="961"/>
        <w:jc w:val="both"/>
      </w:pPr>
      <w:r>
        <w:rPr/>
        <w:pict>
          <v:shape style="position:absolute;margin-left:499.727997pt;margin-top:7.02384pt;width:8pt;height:9.65pt;mso-position-horizontal-relative:page;mso-position-vertical-relative:paragraph;z-index:-21718528" type="#_x0000_t202" id="docshape210" filled="false" stroked="false">
            <v:textbox inset="0,0,0,0">
              <w:txbxContent>
                <w:p>
                  <w:pPr>
                    <w:spacing w:line="182" w:lineRule="exact" w:before="0"/>
                    <w:ind w:left="0" w:right="0" w:firstLine="0"/>
                    <w:jc w:val="left"/>
                    <w:rPr>
                      <w:sz w:val="16"/>
                    </w:rPr>
                  </w:pPr>
                  <w:r>
                    <w:rPr>
                      <w:spacing w:val="-5"/>
                      <w:sz w:val="16"/>
                    </w:rPr>
                    <w:t>wl</w:t>
                  </w:r>
                </w:p>
              </w:txbxContent>
            </v:textbox>
            <w10:wrap type="none"/>
          </v:shape>
        </w:pict>
      </w:r>
      <w:r>
        <w:rPr/>
        <w:t>Figure</w:t>
      </w:r>
      <w:hyperlink w:history="true" w:anchor="_bookmark200">
        <w:r>
          <w:rPr>
            <w:color w:val="0000FF"/>
          </w:rPr>
          <w:t>6.2</w:t>
        </w:r>
      </w:hyperlink>
      <w:r>
        <w:rPr/>
        <w:t>depicts</w:t>
      </w:r>
      <w:r>
        <w:rPr>
          <w:spacing w:val="-1"/>
        </w:rPr>
        <w:t> </w:t>
      </w:r>
      <w:r>
        <w:rPr/>
        <w:t>the</w:t>
      </w:r>
      <w:r>
        <w:rPr>
          <w:spacing w:val="-1"/>
        </w:rPr>
        <w:t> </w:t>
      </w:r>
      <w:r>
        <w:rPr/>
        <w:t>mean pitch</w:t>
      </w:r>
      <w:r>
        <w:rPr>
          <w:spacing w:val="-1"/>
        </w:rPr>
        <w:t> </w:t>
      </w:r>
      <w:r>
        <w:rPr/>
        <w:t>surface for</w:t>
      </w:r>
      <w:r>
        <w:rPr>
          <w:spacing w:val="-1"/>
        </w:rPr>
        <w:t> </w:t>
      </w:r>
      <w:r>
        <w:rPr/>
        <w:t>the whole</w:t>
      </w:r>
      <w:r>
        <w:rPr>
          <w:spacing w:val="-1"/>
        </w:rPr>
        <w:t> </w:t>
      </w:r>
      <w:r>
        <w:rPr/>
        <w:t>league data</w:t>
      </w:r>
      <w:r>
        <w:rPr>
          <w:spacing w:val="-1"/>
        </w:rPr>
        <w:t> </w:t>
      </w:r>
      <w:r>
        <w:rPr/>
        <w:t>model (</w:t>
      </w:r>
      <w:r>
        <w:rPr>
          <w:spacing w:val="59"/>
        </w:rPr>
        <w:t> </w:t>
      </w:r>
      <w:r>
        <w:rPr>
          <w:rFonts w:ascii="Cambria" w:hAnsi="Cambria"/>
          <w:spacing w:val="16"/>
        </w:rPr>
        <w:t>P</w:t>
      </w:r>
      <w:r>
        <w:rPr>
          <w:rFonts w:ascii="Cambria" w:hAnsi="Cambria"/>
          <w:spacing w:val="16"/>
          <w:vertAlign w:val="superscript"/>
        </w:rPr>
        <w:t>µ</w:t>
      </w:r>
      <w:r>
        <w:rPr>
          <w:rFonts w:ascii="Cambria" w:hAnsi="Cambria"/>
          <w:spacing w:val="-18"/>
          <w:vertAlign w:val="baseline"/>
        </w:rPr>
        <w:t> </w:t>
      </w:r>
      <w:r>
        <w:rPr>
          <w:rFonts w:ascii="Garamond" w:hAnsi="Garamond"/>
          <w:vertAlign w:val="baseline"/>
        </w:rPr>
        <w:t>(</w:t>
      </w:r>
      <w:r>
        <w:rPr>
          <w:rFonts w:ascii="Cambria" w:hAnsi="Cambria"/>
          <w:vertAlign w:val="baseline"/>
        </w:rPr>
        <w:t>s</w:t>
      </w:r>
      <w:r>
        <w:rPr>
          <w:rFonts w:ascii="Garamond" w:hAnsi="Garamond"/>
          <w:vertAlign w:val="baseline"/>
        </w:rPr>
        <w:t>)</w:t>
      </w:r>
      <w:r>
        <w:rPr>
          <w:rFonts w:ascii="Garamond" w:hAnsi="Garamond"/>
          <w:spacing w:val="-1"/>
          <w:vertAlign w:val="baseline"/>
        </w:rPr>
        <w:t> </w:t>
      </w:r>
      <w:r>
        <w:rPr>
          <w:spacing w:val="-5"/>
          <w:vertAlign w:val="baseline"/>
        </w:rPr>
        <w:t>for</w:t>
      </w:r>
    </w:p>
    <w:p>
      <w:pPr>
        <w:spacing w:after="0" w:line="286" w:lineRule="exact"/>
        <w:jc w:val="both"/>
        <w:sectPr>
          <w:pgSz w:w="11910" w:h="16840"/>
          <w:pgMar w:header="1961" w:footer="1428" w:top="2280" w:bottom="1620" w:left="1680" w:right="720"/>
        </w:sectPr>
      </w:pPr>
    </w:p>
    <w:p>
      <w:pPr>
        <w:pStyle w:val="BodyText"/>
        <w:rPr>
          <w:sz w:val="20"/>
        </w:rPr>
      </w:pPr>
    </w:p>
    <w:p>
      <w:pPr>
        <w:pStyle w:val="BodyText"/>
        <w:spacing w:before="3"/>
        <w:rPr>
          <w:sz w:val="20"/>
        </w:rPr>
      </w:pPr>
    </w:p>
    <w:p>
      <w:pPr>
        <w:pStyle w:val="BodyText"/>
        <w:spacing w:line="358" w:lineRule="exact" w:before="46"/>
        <w:ind w:left="610" w:right="389"/>
        <w:jc w:val="both"/>
      </w:pPr>
      <w:r>
        <w:rPr/>
        <w:pict>
          <v:shape style="position:absolute;margin-left:204.494003pt;margin-top:12.485607pt;width:8pt;height:9.65pt;mso-position-horizontal-relative:page;mso-position-vertical-relative:paragraph;z-index:-21718016" type="#_x0000_t202" id="docshape211" filled="false" stroked="false">
            <v:textbox inset="0,0,0,0">
              <w:txbxContent>
                <w:p>
                  <w:pPr>
                    <w:spacing w:line="182" w:lineRule="exact" w:before="0"/>
                    <w:ind w:left="0" w:right="0" w:firstLine="0"/>
                    <w:jc w:val="left"/>
                    <w:rPr>
                      <w:sz w:val="16"/>
                    </w:rPr>
                  </w:pPr>
                  <w:r>
                    <w:rPr>
                      <w:spacing w:val="-5"/>
                      <w:sz w:val="16"/>
                    </w:rPr>
                    <w:t>wl</w:t>
                  </w:r>
                </w:p>
              </w:txbxContent>
            </v:textbox>
            <w10:wrap type="none"/>
          </v:shape>
        </w:pict>
      </w:r>
      <w:r>
        <w:rPr/>
        <w:t>all </w:t>
      </w:r>
      <w:r>
        <w:rPr>
          <w:rFonts w:ascii="Cambria" w:hAnsi="Cambria"/>
        </w:rPr>
        <w:t>s </w:t>
      </w:r>
      <w:r>
        <w:rPr>
          <w:rFonts w:ascii="Lucida Sans Unicode" w:hAnsi="Lucida Sans Unicode"/>
        </w:rPr>
        <w:t>∈</w:t>
      </w:r>
      <w:r>
        <w:rPr>
          <w:rFonts w:ascii="Lucida Sans Unicode" w:hAnsi="Lucida Sans Unicode"/>
          <w:spacing w:val="-6"/>
        </w:rPr>
        <w:t> </w:t>
      </w:r>
      <w:r>
        <w:rPr>
          <w:rFonts w:ascii="Cambria" w:hAnsi="Cambria"/>
        </w:rPr>
        <w:t>S </w:t>
      </w:r>
      <w:r>
        <w:rPr/>
        <w:t>and EPV</w:t>
      </w:r>
      <w:r>
        <w:rPr>
          <w:rFonts w:ascii="Cambria" w:hAnsi="Cambria"/>
          <w:vertAlign w:val="superscript"/>
        </w:rPr>
        <w:t>µ</w:t>
      </w:r>
      <w:r>
        <w:rPr>
          <w:rFonts w:ascii="Cambria" w:hAnsi="Cambria"/>
          <w:vertAlign w:val="baseline"/>
        </w:rPr>
        <w:t> </w:t>
      </w:r>
      <w:r>
        <w:rPr>
          <w:vertAlign w:val="baseline"/>
        </w:rPr>
        <w:t>). There is a greater probability of points being scored by the end of the</w:t>
      </w:r>
      <w:r>
        <w:rPr>
          <w:spacing w:val="-2"/>
          <w:vertAlign w:val="baseline"/>
        </w:rPr>
        <w:t> </w:t>
      </w:r>
      <w:r>
        <w:rPr>
          <w:vertAlign w:val="baseline"/>
        </w:rPr>
        <w:t>possession,</w:t>
      </w:r>
      <w:r>
        <w:rPr>
          <w:spacing w:val="-1"/>
          <w:vertAlign w:val="baseline"/>
        </w:rPr>
        <w:t> </w:t>
      </w:r>
      <w:r>
        <w:rPr>
          <w:vertAlign w:val="baseline"/>
        </w:rPr>
        <w:t>the</w:t>
      </w:r>
      <w:r>
        <w:rPr>
          <w:spacing w:val="-2"/>
          <w:vertAlign w:val="baseline"/>
        </w:rPr>
        <w:t> </w:t>
      </w:r>
      <w:r>
        <w:rPr>
          <w:vertAlign w:val="baseline"/>
        </w:rPr>
        <w:t>closer</w:t>
      </w:r>
      <w:r>
        <w:rPr>
          <w:spacing w:val="-1"/>
          <w:vertAlign w:val="baseline"/>
        </w:rPr>
        <w:t> </w:t>
      </w:r>
      <w:r>
        <w:rPr>
          <w:vertAlign w:val="baseline"/>
        </w:rPr>
        <w:t>the</w:t>
      </w:r>
      <w:r>
        <w:rPr>
          <w:spacing w:val="-2"/>
          <w:vertAlign w:val="baseline"/>
        </w:rPr>
        <w:t> </w:t>
      </w:r>
      <w:r>
        <w:rPr>
          <w:vertAlign w:val="baseline"/>
        </w:rPr>
        <w:t>location</w:t>
      </w:r>
      <w:r>
        <w:rPr>
          <w:spacing w:val="-2"/>
          <w:vertAlign w:val="baseline"/>
        </w:rPr>
        <w:t> </w:t>
      </w:r>
      <w:r>
        <w:rPr>
          <w:vertAlign w:val="baseline"/>
        </w:rPr>
        <w:t>is</w:t>
      </w:r>
      <w:r>
        <w:rPr>
          <w:spacing w:val="-1"/>
          <w:vertAlign w:val="baseline"/>
        </w:rPr>
        <w:t> </w:t>
      </w:r>
      <w:r>
        <w:rPr>
          <w:vertAlign w:val="baseline"/>
        </w:rPr>
        <w:t>to</w:t>
      </w:r>
      <w:r>
        <w:rPr>
          <w:spacing w:val="-2"/>
          <w:vertAlign w:val="baseline"/>
        </w:rPr>
        <w:t> </w:t>
      </w:r>
      <w:r>
        <w:rPr>
          <w:vertAlign w:val="baseline"/>
        </w:rPr>
        <w:t>the</w:t>
      </w:r>
      <w:r>
        <w:rPr>
          <w:spacing w:val="-1"/>
          <w:vertAlign w:val="baseline"/>
        </w:rPr>
        <w:t> </w:t>
      </w:r>
      <w:r>
        <w:rPr>
          <w:vertAlign w:val="baseline"/>
        </w:rPr>
        <w:t>opposition</w:t>
      </w:r>
      <w:r>
        <w:rPr>
          <w:spacing w:val="-1"/>
          <w:vertAlign w:val="baseline"/>
        </w:rPr>
        <w:t> </w:t>
      </w:r>
      <w:r>
        <w:rPr>
          <w:vertAlign w:val="baseline"/>
        </w:rPr>
        <w:t>try</w:t>
      </w:r>
      <w:r>
        <w:rPr>
          <w:spacing w:val="-2"/>
          <w:vertAlign w:val="baseline"/>
        </w:rPr>
        <w:t> </w:t>
      </w:r>
      <w:r>
        <w:rPr>
          <w:vertAlign w:val="baseline"/>
        </w:rPr>
        <w:t>area. The</w:t>
      </w:r>
      <w:r>
        <w:rPr>
          <w:spacing w:val="-1"/>
          <w:vertAlign w:val="baseline"/>
        </w:rPr>
        <w:t> </w:t>
      </w:r>
      <w:r>
        <w:rPr>
          <w:vertAlign w:val="baseline"/>
        </w:rPr>
        <w:t>darker</w:t>
      </w:r>
      <w:r>
        <w:rPr>
          <w:spacing w:val="-2"/>
          <w:vertAlign w:val="baseline"/>
        </w:rPr>
        <w:t> </w:t>
      </w:r>
      <w:r>
        <w:rPr>
          <w:vertAlign w:val="baseline"/>
        </w:rPr>
        <w:t>arc</w:t>
      </w:r>
      <w:r>
        <w:rPr>
          <w:spacing w:val="-2"/>
          <w:vertAlign w:val="baseline"/>
        </w:rPr>
        <w:t> </w:t>
      </w:r>
      <w:r>
        <w:rPr>
          <w:vertAlign w:val="baseline"/>
        </w:rPr>
        <w:t>on</w:t>
      </w:r>
      <w:r>
        <w:rPr>
          <w:spacing w:val="-1"/>
          <w:vertAlign w:val="baseline"/>
        </w:rPr>
        <w:t> </w:t>
      </w:r>
      <w:r>
        <w:rPr>
          <w:vertAlign w:val="baseline"/>
        </w:rPr>
        <w:t>the no</w:t>
      </w:r>
      <w:r>
        <w:rPr>
          <w:spacing w:val="-11"/>
          <w:vertAlign w:val="baseline"/>
        </w:rPr>
        <w:t> </w:t>
      </w:r>
      <w:r>
        <w:rPr>
          <w:vertAlign w:val="baseline"/>
        </w:rPr>
        <w:t>points</w:t>
      </w:r>
      <w:r>
        <w:rPr>
          <w:spacing w:val="-11"/>
          <w:vertAlign w:val="baseline"/>
        </w:rPr>
        <w:t> </w:t>
      </w:r>
      <w:r>
        <w:rPr>
          <w:vertAlign w:val="baseline"/>
        </w:rPr>
        <w:t>probability</w:t>
      </w:r>
      <w:r>
        <w:rPr>
          <w:spacing w:val="-11"/>
          <w:vertAlign w:val="baseline"/>
        </w:rPr>
        <w:t> </w:t>
      </w:r>
      <w:r>
        <w:rPr>
          <w:vertAlign w:val="baseline"/>
        </w:rPr>
        <w:t>surface</w:t>
      </w:r>
      <w:r>
        <w:rPr>
          <w:spacing w:val="-11"/>
          <w:vertAlign w:val="baseline"/>
        </w:rPr>
        <w:t> </w:t>
      </w:r>
      <w:r>
        <w:rPr>
          <w:vertAlign w:val="baseline"/>
        </w:rPr>
        <w:t>close</w:t>
      </w:r>
      <w:r>
        <w:rPr>
          <w:spacing w:val="-11"/>
          <w:vertAlign w:val="baseline"/>
        </w:rPr>
        <w:t> </w:t>
      </w:r>
      <w:r>
        <w:rPr>
          <w:vertAlign w:val="baseline"/>
        </w:rPr>
        <w:t>to</w:t>
      </w:r>
      <w:r>
        <w:rPr>
          <w:spacing w:val="-11"/>
          <w:vertAlign w:val="baseline"/>
        </w:rPr>
        <w:t> </w:t>
      </w:r>
      <w:r>
        <w:rPr>
          <w:vertAlign w:val="baseline"/>
        </w:rPr>
        <w:t>the</w:t>
      </w:r>
      <w:r>
        <w:rPr>
          <w:spacing w:val="-11"/>
          <w:vertAlign w:val="baseline"/>
        </w:rPr>
        <w:t> </w:t>
      </w:r>
      <w:r>
        <w:rPr>
          <w:vertAlign w:val="baseline"/>
        </w:rPr>
        <w:t>opposition</w:t>
      </w:r>
      <w:r>
        <w:rPr>
          <w:spacing w:val="-11"/>
          <w:vertAlign w:val="baseline"/>
        </w:rPr>
        <w:t> </w:t>
      </w:r>
      <w:r>
        <w:rPr>
          <w:vertAlign w:val="baseline"/>
        </w:rPr>
        <w:t>try</w:t>
      </w:r>
      <w:r>
        <w:rPr>
          <w:spacing w:val="-11"/>
          <w:vertAlign w:val="baseline"/>
        </w:rPr>
        <w:t> </w:t>
      </w:r>
      <w:r>
        <w:rPr>
          <w:vertAlign w:val="baseline"/>
        </w:rPr>
        <w:t>line</w:t>
      </w:r>
      <w:r>
        <w:rPr>
          <w:spacing w:val="-11"/>
          <w:vertAlign w:val="baseline"/>
        </w:rPr>
        <w:t> </w:t>
      </w:r>
      <w:r>
        <w:rPr>
          <w:vertAlign w:val="baseline"/>
        </w:rPr>
        <w:t>indicates</w:t>
      </w:r>
      <w:r>
        <w:rPr>
          <w:spacing w:val="-11"/>
          <w:vertAlign w:val="baseline"/>
        </w:rPr>
        <w:t> </w:t>
      </w:r>
      <w:r>
        <w:rPr>
          <w:vertAlign w:val="baseline"/>
        </w:rPr>
        <w:t>that</w:t>
      </w:r>
      <w:r>
        <w:rPr>
          <w:spacing w:val="-11"/>
          <w:vertAlign w:val="baseline"/>
        </w:rPr>
        <w:t> </w:t>
      </w:r>
      <w:r>
        <w:rPr>
          <w:vertAlign w:val="baseline"/>
        </w:rPr>
        <w:t>more</w:t>
      </w:r>
      <w:r>
        <w:rPr>
          <w:spacing w:val="-11"/>
          <w:vertAlign w:val="baseline"/>
        </w:rPr>
        <w:t> </w:t>
      </w:r>
      <w:r>
        <w:rPr>
          <w:vertAlign w:val="baseline"/>
        </w:rPr>
        <w:t>points</w:t>
      </w:r>
      <w:r>
        <w:rPr>
          <w:spacing w:val="-11"/>
          <w:vertAlign w:val="baseline"/>
        </w:rPr>
        <w:t> </w:t>
      </w:r>
      <w:r>
        <w:rPr>
          <w:vertAlign w:val="baseline"/>
        </w:rPr>
        <w:t>are likely</w:t>
      </w:r>
      <w:r>
        <w:rPr>
          <w:spacing w:val="-15"/>
          <w:vertAlign w:val="baseline"/>
        </w:rPr>
        <w:t> </w:t>
      </w:r>
      <w:r>
        <w:rPr>
          <w:vertAlign w:val="baseline"/>
        </w:rPr>
        <w:t>to</w:t>
      </w:r>
      <w:r>
        <w:rPr>
          <w:spacing w:val="-14"/>
          <w:vertAlign w:val="baseline"/>
        </w:rPr>
        <w:t> </w:t>
      </w:r>
      <w:r>
        <w:rPr>
          <w:vertAlign w:val="baseline"/>
        </w:rPr>
        <w:t>be</w:t>
      </w:r>
      <w:r>
        <w:rPr>
          <w:spacing w:val="-15"/>
          <w:vertAlign w:val="baseline"/>
        </w:rPr>
        <w:t> </w:t>
      </w:r>
      <w:r>
        <w:rPr>
          <w:vertAlign w:val="baseline"/>
        </w:rPr>
        <w:t>scored</w:t>
      </w:r>
      <w:r>
        <w:rPr>
          <w:spacing w:val="-15"/>
          <w:vertAlign w:val="baseline"/>
        </w:rPr>
        <w:t> </w:t>
      </w:r>
      <w:r>
        <w:rPr>
          <w:vertAlign w:val="baseline"/>
        </w:rPr>
        <w:t>from</w:t>
      </w:r>
      <w:r>
        <w:rPr>
          <w:spacing w:val="-15"/>
          <w:vertAlign w:val="baseline"/>
        </w:rPr>
        <w:t> </w:t>
      </w:r>
      <w:r>
        <w:rPr>
          <w:vertAlign w:val="baseline"/>
        </w:rPr>
        <w:t>central</w:t>
      </w:r>
      <w:r>
        <w:rPr>
          <w:spacing w:val="-14"/>
          <w:vertAlign w:val="baseline"/>
        </w:rPr>
        <w:t> </w:t>
      </w:r>
      <w:r>
        <w:rPr>
          <w:vertAlign w:val="baseline"/>
        </w:rPr>
        <w:t>locations</w:t>
      </w:r>
      <w:r>
        <w:rPr>
          <w:spacing w:val="-15"/>
          <w:vertAlign w:val="baseline"/>
        </w:rPr>
        <w:t> </w:t>
      </w:r>
      <w:r>
        <w:rPr>
          <w:vertAlign w:val="baseline"/>
        </w:rPr>
        <w:t>than</w:t>
      </w:r>
      <w:r>
        <w:rPr>
          <w:spacing w:val="-15"/>
          <w:vertAlign w:val="baseline"/>
        </w:rPr>
        <w:t> </w:t>
      </w:r>
      <w:r>
        <w:rPr>
          <w:vertAlign w:val="baseline"/>
        </w:rPr>
        <w:t>wider</w:t>
      </w:r>
      <w:r>
        <w:rPr>
          <w:spacing w:val="-14"/>
          <w:vertAlign w:val="baseline"/>
        </w:rPr>
        <w:t> </w:t>
      </w:r>
      <w:r>
        <w:rPr>
          <w:vertAlign w:val="baseline"/>
        </w:rPr>
        <w:t>locations</w:t>
      </w:r>
      <w:r>
        <w:rPr>
          <w:spacing w:val="-14"/>
          <w:vertAlign w:val="baseline"/>
        </w:rPr>
        <w:t> </w:t>
      </w:r>
      <w:r>
        <w:rPr>
          <w:vertAlign w:val="baseline"/>
        </w:rPr>
        <w:t>unless</w:t>
      </w:r>
      <w:r>
        <w:rPr>
          <w:spacing w:val="-15"/>
          <w:vertAlign w:val="baseline"/>
        </w:rPr>
        <w:t> </w:t>
      </w:r>
      <w:r>
        <w:rPr>
          <w:vertAlign w:val="baseline"/>
        </w:rPr>
        <w:t>a</w:t>
      </w:r>
      <w:r>
        <w:rPr>
          <w:spacing w:val="-15"/>
          <w:vertAlign w:val="baseline"/>
        </w:rPr>
        <w:t> </w:t>
      </w:r>
      <w:r>
        <w:rPr>
          <w:vertAlign w:val="baseline"/>
        </w:rPr>
        <w:t>player</w:t>
      </w:r>
      <w:r>
        <w:rPr>
          <w:spacing w:val="-14"/>
          <w:vertAlign w:val="baseline"/>
        </w:rPr>
        <w:t> </w:t>
      </w:r>
      <w:r>
        <w:rPr>
          <w:vertAlign w:val="baseline"/>
        </w:rPr>
        <w:t>is</w:t>
      </w:r>
      <w:r>
        <w:rPr>
          <w:spacing w:val="-15"/>
          <w:vertAlign w:val="baseline"/>
        </w:rPr>
        <w:t> </w:t>
      </w:r>
      <w:r>
        <w:rPr>
          <w:vertAlign w:val="baseline"/>
        </w:rPr>
        <w:t>extremely close to the try line.</w:t>
      </w:r>
      <w:r>
        <w:rPr>
          <w:spacing w:val="36"/>
          <w:vertAlign w:val="baseline"/>
        </w:rPr>
        <w:t> </w:t>
      </w:r>
      <w:r>
        <w:rPr>
          <w:vertAlign w:val="baseline"/>
        </w:rPr>
        <w:t>In general, a converted try was more likely to occur at the end of </w:t>
      </w:r>
      <w:r>
        <w:rPr>
          <w:vertAlign w:val="baseline"/>
        </w:rPr>
        <w:t>a possession than an unconverted try and a penalty goal was more likely to be scored than a</w:t>
      </w:r>
      <w:r>
        <w:rPr>
          <w:spacing w:val="-5"/>
          <w:vertAlign w:val="baseline"/>
        </w:rPr>
        <w:t> </w:t>
      </w:r>
      <w:r>
        <w:rPr>
          <w:vertAlign w:val="baseline"/>
        </w:rPr>
        <w:t>drop</w:t>
      </w:r>
      <w:r>
        <w:rPr>
          <w:spacing w:val="-5"/>
          <w:vertAlign w:val="baseline"/>
        </w:rPr>
        <w:t> </w:t>
      </w:r>
      <w:r>
        <w:rPr>
          <w:vertAlign w:val="baseline"/>
        </w:rPr>
        <w:t>goal. An</w:t>
      </w:r>
      <w:r>
        <w:rPr>
          <w:spacing w:val="-5"/>
          <w:vertAlign w:val="baseline"/>
        </w:rPr>
        <w:t> </w:t>
      </w:r>
      <w:r>
        <w:rPr>
          <w:vertAlign w:val="baseline"/>
        </w:rPr>
        <w:t>interesting</w:t>
      </w:r>
      <w:r>
        <w:rPr>
          <w:spacing w:val="-5"/>
          <w:vertAlign w:val="baseline"/>
        </w:rPr>
        <w:t> </w:t>
      </w:r>
      <w:r>
        <w:rPr>
          <w:vertAlign w:val="baseline"/>
        </w:rPr>
        <w:t>observation</w:t>
      </w:r>
      <w:r>
        <w:rPr>
          <w:spacing w:val="-5"/>
          <w:vertAlign w:val="baseline"/>
        </w:rPr>
        <w:t> </w:t>
      </w:r>
      <w:r>
        <w:rPr>
          <w:vertAlign w:val="baseline"/>
        </w:rPr>
        <w:t>is</w:t>
      </w:r>
      <w:r>
        <w:rPr>
          <w:spacing w:val="-5"/>
          <w:vertAlign w:val="baseline"/>
        </w:rPr>
        <w:t> </w:t>
      </w:r>
      <w:r>
        <w:rPr>
          <w:vertAlign w:val="baseline"/>
        </w:rPr>
        <w:t>the</w:t>
      </w:r>
      <w:r>
        <w:rPr>
          <w:spacing w:val="-5"/>
          <w:vertAlign w:val="baseline"/>
        </w:rPr>
        <w:t> </w:t>
      </w:r>
      <w:r>
        <w:rPr>
          <w:vertAlign w:val="baseline"/>
        </w:rPr>
        <w:t>increased</w:t>
      </w:r>
      <w:r>
        <w:rPr>
          <w:spacing w:val="-5"/>
          <w:vertAlign w:val="baseline"/>
        </w:rPr>
        <w:t> </w:t>
      </w:r>
      <w:r>
        <w:rPr>
          <w:vertAlign w:val="baseline"/>
        </w:rPr>
        <w:t>probability</w:t>
      </w:r>
      <w:r>
        <w:rPr>
          <w:spacing w:val="-5"/>
          <w:vertAlign w:val="baseline"/>
        </w:rPr>
        <w:t> </w:t>
      </w:r>
      <w:r>
        <w:rPr>
          <w:vertAlign w:val="baseline"/>
        </w:rPr>
        <w:t>of</w:t>
      </w:r>
      <w:r>
        <w:rPr>
          <w:spacing w:val="-5"/>
          <w:vertAlign w:val="baseline"/>
        </w:rPr>
        <w:t> </w:t>
      </w:r>
      <w:r>
        <w:rPr>
          <w:vertAlign w:val="baseline"/>
        </w:rPr>
        <w:t>an</w:t>
      </w:r>
      <w:r>
        <w:rPr>
          <w:spacing w:val="-5"/>
          <w:vertAlign w:val="baseline"/>
        </w:rPr>
        <w:t> </w:t>
      </w:r>
      <w:r>
        <w:rPr>
          <w:vertAlign w:val="baseline"/>
        </w:rPr>
        <w:t>unconverted</w:t>
      </w:r>
      <w:r>
        <w:rPr>
          <w:spacing w:val="-5"/>
          <w:vertAlign w:val="baseline"/>
        </w:rPr>
        <w:t> </w:t>
      </w:r>
      <w:r>
        <w:rPr>
          <w:vertAlign w:val="baseline"/>
        </w:rPr>
        <w:t>try on the very right hand side of the pitch close to the try line.</w:t>
      </w:r>
      <w:r>
        <w:rPr>
          <w:spacing w:val="32"/>
          <w:vertAlign w:val="baseline"/>
        </w:rPr>
        <w:t> </w:t>
      </w:r>
      <w:r>
        <w:rPr>
          <w:vertAlign w:val="baseline"/>
        </w:rPr>
        <w:t>This links with a prevailing theory</w:t>
      </w:r>
      <w:r>
        <w:rPr>
          <w:spacing w:val="-2"/>
          <w:vertAlign w:val="baseline"/>
        </w:rPr>
        <w:t> </w:t>
      </w:r>
      <w:r>
        <w:rPr>
          <w:vertAlign w:val="baseline"/>
        </w:rPr>
        <w:t>within</w:t>
      </w:r>
      <w:r>
        <w:rPr>
          <w:spacing w:val="-2"/>
          <w:vertAlign w:val="baseline"/>
        </w:rPr>
        <w:t> </w:t>
      </w:r>
      <w:r>
        <w:rPr>
          <w:vertAlign w:val="baseline"/>
        </w:rPr>
        <w:t>rugby</w:t>
      </w:r>
      <w:r>
        <w:rPr>
          <w:spacing w:val="-2"/>
          <w:vertAlign w:val="baseline"/>
        </w:rPr>
        <w:t> </w:t>
      </w:r>
      <w:r>
        <w:rPr>
          <w:vertAlign w:val="baseline"/>
        </w:rPr>
        <w:t>league</w:t>
      </w:r>
      <w:r>
        <w:rPr>
          <w:spacing w:val="-2"/>
          <w:vertAlign w:val="baseline"/>
        </w:rPr>
        <w:t> </w:t>
      </w:r>
      <w:r>
        <w:rPr>
          <w:vertAlign w:val="baseline"/>
        </w:rPr>
        <w:t>that</w:t>
      </w:r>
      <w:r>
        <w:rPr>
          <w:spacing w:val="-2"/>
          <w:vertAlign w:val="baseline"/>
        </w:rPr>
        <w:t> </w:t>
      </w:r>
      <w:r>
        <w:rPr>
          <w:vertAlign w:val="baseline"/>
        </w:rPr>
        <w:t>right</w:t>
      </w:r>
      <w:r>
        <w:rPr>
          <w:spacing w:val="-2"/>
          <w:vertAlign w:val="baseline"/>
        </w:rPr>
        <w:t> </w:t>
      </w:r>
      <w:r>
        <w:rPr>
          <w:vertAlign w:val="baseline"/>
        </w:rPr>
        <w:t>footed</w:t>
      </w:r>
      <w:r>
        <w:rPr>
          <w:spacing w:val="-2"/>
          <w:vertAlign w:val="baseline"/>
        </w:rPr>
        <w:t> </w:t>
      </w:r>
      <w:r>
        <w:rPr>
          <w:vertAlign w:val="baseline"/>
        </w:rPr>
        <w:t>kickers</w:t>
      </w:r>
      <w:r>
        <w:rPr>
          <w:spacing w:val="-2"/>
          <w:vertAlign w:val="baseline"/>
        </w:rPr>
        <w:t> </w:t>
      </w:r>
      <w:r>
        <w:rPr>
          <w:vertAlign w:val="baseline"/>
        </w:rPr>
        <w:t>(the</w:t>
      </w:r>
      <w:r>
        <w:rPr>
          <w:spacing w:val="-2"/>
          <w:vertAlign w:val="baseline"/>
        </w:rPr>
        <w:t> </w:t>
      </w:r>
      <w:r>
        <w:rPr>
          <w:vertAlign w:val="baseline"/>
        </w:rPr>
        <w:t>majority</w:t>
      </w:r>
      <w:r>
        <w:rPr>
          <w:spacing w:val="-2"/>
          <w:vertAlign w:val="baseline"/>
        </w:rPr>
        <w:t> </w:t>
      </w:r>
      <w:r>
        <w:rPr>
          <w:vertAlign w:val="baseline"/>
        </w:rPr>
        <w:t>of</w:t>
      </w:r>
      <w:r>
        <w:rPr>
          <w:spacing w:val="-2"/>
          <w:vertAlign w:val="baseline"/>
        </w:rPr>
        <w:t> </w:t>
      </w:r>
      <w:r>
        <w:rPr>
          <w:vertAlign w:val="baseline"/>
        </w:rPr>
        <w:t>kickers</w:t>
      </w:r>
      <w:r>
        <w:rPr>
          <w:spacing w:val="-2"/>
          <w:vertAlign w:val="baseline"/>
        </w:rPr>
        <w:t> </w:t>
      </w:r>
      <w:r>
        <w:rPr>
          <w:vertAlign w:val="baseline"/>
        </w:rPr>
        <w:t>in</w:t>
      </w:r>
      <w:r>
        <w:rPr>
          <w:spacing w:val="-2"/>
          <w:vertAlign w:val="baseline"/>
        </w:rPr>
        <w:t> </w:t>
      </w:r>
      <w:r>
        <w:rPr>
          <w:vertAlign w:val="baseline"/>
        </w:rPr>
        <w:t>the</w:t>
      </w:r>
      <w:r>
        <w:rPr>
          <w:spacing w:val="-2"/>
          <w:vertAlign w:val="baseline"/>
        </w:rPr>
        <w:t> </w:t>
      </w:r>
      <w:r>
        <w:rPr>
          <w:vertAlign w:val="baseline"/>
        </w:rPr>
        <w:t>Super League</w:t>
      </w:r>
      <w:r>
        <w:rPr>
          <w:spacing w:val="-10"/>
          <w:vertAlign w:val="baseline"/>
        </w:rPr>
        <w:t> </w:t>
      </w:r>
      <w:r>
        <w:rPr>
          <w:vertAlign w:val="baseline"/>
        </w:rPr>
        <w:t>are</w:t>
      </w:r>
      <w:r>
        <w:rPr>
          <w:spacing w:val="-10"/>
          <w:vertAlign w:val="baseline"/>
        </w:rPr>
        <w:t> </w:t>
      </w:r>
      <w:r>
        <w:rPr>
          <w:vertAlign w:val="baseline"/>
        </w:rPr>
        <w:t>right</w:t>
      </w:r>
      <w:r>
        <w:rPr>
          <w:spacing w:val="-10"/>
          <w:vertAlign w:val="baseline"/>
        </w:rPr>
        <w:t> </w:t>
      </w:r>
      <w:r>
        <w:rPr>
          <w:vertAlign w:val="baseline"/>
        </w:rPr>
        <w:t>footed)</w:t>
      </w:r>
      <w:r>
        <w:rPr>
          <w:spacing w:val="-10"/>
          <w:vertAlign w:val="baseline"/>
        </w:rPr>
        <w:t> </w:t>
      </w:r>
      <w:r>
        <w:rPr>
          <w:vertAlign w:val="baseline"/>
        </w:rPr>
        <w:t>find</w:t>
      </w:r>
      <w:r>
        <w:rPr>
          <w:spacing w:val="-10"/>
          <w:vertAlign w:val="baseline"/>
        </w:rPr>
        <w:t> </w:t>
      </w:r>
      <w:r>
        <w:rPr>
          <w:vertAlign w:val="baseline"/>
        </w:rPr>
        <w:t>it</w:t>
      </w:r>
      <w:r>
        <w:rPr>
          <w:spacing w:val="-10"/>
          <w:vertAlign w:val="baseline"/>
        </w:rPr>
        <w:t> </w:t>
      </w:r>
      <w:r>
        <w:rPr>
          <w:vertAlign w:val="baseline"/>
        </w:rPr>
        <w:t>harder</w:t>
      </w:r>
      <w:r>
        <w:rPr>
          <w:spacing w:val="-10"/>
          <w:vertAlign w:val="baseline"/>
        </w:rPr>
        <w:t> </w:t>
      </w:r>
      <w:r>
        <w:rPr>
          <w:vertAlign w:val="baseline"/>
        </w:rPr>
        <w:t>to</w:t>
      </w:r>
      <w:r>
        <w:rPr>
          <w:spacing w:val="-10"/>
          <w:vertAlign w:val="baseline"/>
        </w:rPr>
        <w:t> </w:t>
      </w:r>
      <w:r>
        <w:rPr>
          <w:vertAlign w:val="baseline"/>
        </w:rPr>
        <w:t>kick</w:t>
      </w:r>
      <w:r>
        <w:rPr>
          <w:spacing w:val="-10"/>
          <w:vertAlign w:val="baseline"/>
        </w:rPr>
        <w:t> </w:t>
      </w:r>
      <w:r>
        <w:rPr>
          <w:vertAlign w:val="baseline"/>
        </w:rPr>
        <w:t>conversions</w:t>
      </w:r>
      <w:r>
        <w:rPr>
          <w:spacing w:val="-10"/>
          <w:vertAlign w:val="baseline"/>
        </w:rPr>
        <w:t> </w:t>
      </w:r>
      <w:r>
        <w:rPr>
          <w:vertAlign w:val="baseline"/>
        </w:rPr>
        <w:t>from</w:t>
      </w:r>
      <w:r>
        <w:rPr>
          <w:spacing w:val="-10"/>
          <w:vertAlign w:val="baseline"/>
        </w:rPr>
        <w:t> </w:t>
      </w:r>
      <w:r>
        <w:rPr>
          <w:vertAlign w:val="baseline"/>
        </w:rPr>
        <w:t>the</w:t>
      </w:r>
      <w:r>
        <w:rPr>
          <w:spacing w:val="-10"/>
          <w:vertAlign w:val="baseline"/>
        </w:rPr>
        <w:t> </w:t>
      </w:r>
      <w:r>
        <w:rPr>
          <w:vertAlign w:val="baseline"/>
        </w:rPr>
        <w:t>right</w:t>
      </w:r>
      <w:r>
        <w:rPr>
          <w:spacing w:val="-10"/>
          <w:vertAlign w:val="baseline"/>
        </w:rPr>
        <w:t> </w:t>
      </w:r>
      <w:r>
        <w:rPr>
          <w:vertAlign w:val="baseline"/>
        </w:rPr>
        <w:t>side</w:t>
      </w:r>
      <w:r>
        <w:rPr>
          <w:spacing w:val="-10"/>
          <w:vertAlign w:val="baseline"/>
        </w:rPr>
        <w:t> </w:t>
      </w:r>
      <w:r>
        <w:rPr>
          <w:vertAlign w:val="baseline"/>
        </w:rPr>
        <w:t>of</w:t>
      </w:r>
      <w:r>
        <w:rPr>
          <w:spacing w:val="-10"/>
          <w:vertAlign w:val="baseline"/>
        </w:rPr>
        <w:t> </w:t>
      </w:r>
      <w:r>
        <w:rPr>
          <w:vertAlign w:val="baseline"/>
        </w:rPr>
        <w:t>the</w:t>
      </w:r>
      <w:r>
        <w:rPr>
          <w:spacing w:val="-10"/>
          <w:vertAlign w:val="baseline"/>
        </w:rPr>
        <w:t> </w:t>
      </w:r>
      <w:r>
        <w:rPr>
          <w:vertAlign w:val="baseline"/>
        </w:rPr>
        <w:t>pitch. The greater probability of drop goals and penalty goals being scored in the centre of the pitch is also notable and suggests that typically teams only attempt either type of kick</w:t>
      </w:r>
      <w:r>
        <w:rPr>
          <w:spacing w:val="80"/>
          <w:w w:val="150"/>
          <w:vertAlign w:val="baseline"/>
        </w:rPr>
        <w:t> </w:t>
      </w:r>
      <w:r>
        <w:rPr>
          <w:vertAlign w:val="baseline"/>
        </w:rPr>
        <w:t>in areas where they feel they are guaranteed to score points.</w:t>
      </w:r>
      <w:r>
        <w:rPr>
          <w:spacing w:val="40"/>
          <w:vertAlign w:val="baseline"/>
        </w:rPr>
        <w:t> </w:t>
      </w:r>
      <w:r>
        <w:rPr>
          <w:vertAlign w:val="baseline"/>
        </w:rPr>
        <w:t>The smooth pitch surface for</w:t>
      </w:r>
      <w:r>
        <w:rPr>
          <w:spacing w:val="-8"/>
          <w:vertAlign w:val="baseline"/>
        </w:rPr>
        <w:t> </w:t>
      </w:r>
      <w:r>
        <w:rPr>
          <w:vertAlign w:val="baseline"/>
        </w:rPr>
        <w:t>each</w:t>
      </w:r>
      <w:r>
        <w:rPr>
          <w:spacing w:val="-8"/>
          <w:vertAlign w:val="baseline"/>
        </w:rPr>
        <w:t> </w:t>
      </w:r>
      <w:r>
        <w:rPr>
          <w:vertAlign w:val="baseline"/>
        </w:rPr>
        <w:t>individual</w:t>
      </w:r>
      <w:r>
        <w:rPr>
          <w:spacing w:val="-8"/>
          <w:vertAlign w:val="baseline"/>
        </w:rPr>
        <w:t> </w:t>
      </w:r>
      <w:r>
        <w:rPr>
          <w:vertAlign w:val="baseline"/>
        </w:rPr>
        <w:t>possession</w:t>
      </w:r>
      <w:r>
        <w:rPr>
          <w:spacing w:val="-8"/>
          <w:vertAlign w:val="baseline"/>
        </w:rPr>
        <w:t> </w:t>
      </w:r>
      <w:r>
        <w:rPr>
          <w:vertAlign w:val="baseline"/>
        </w:rPr>
        <w:t>outcome</w:t>
      </w:r>
      <w:r>
        <w:rPr>
          <w:spacing w:val="-8"/>
          <w:vertAlign w:val="baseline"/>
        </w:rPr>
        <w:t> </w:t>
      </w:r>
      <w:r>
        <w:rPr>
          <w:vertAlign w:val="baseline"/>
        </w:rPr>
        <w:t>produced</w:t>
      </w:r>
      <w:r>
        <w:rPr>
          <w:spacing w:val="-8"/>
          <w:vertAlign w:val="baseline"/>
        </w:rPr>
        <w:t> </w:t>
      </w:r>
      <w:r>
        <w:rPr>
          <w:vertAlign w:val="baseline"/>
        </w:rPr>
        <w:t>by</w:t>
      </w:r>
      <w:r>
        <w:rPr>
          <w:spacing w:val="-8"/>
          <w:vertAlign w:val="baseline"/>
        </w:rPr>
        <w:t> </w:t>
      </w:r>
      <w:r>
        <w:rPr>
          <w:vertAlign w:val="baseline"/>
        </w:rPr>
        <w:t>the</w:t>
      </w:r>
      <w:r>
        <w:rPr>
          <w:spacing w:val="-8"/>
          <w:vertAlign w:val="baseline"/>
        </w:rPr>
        <w:t> </w:t>
      </w:r>
      <w:r>
        <w:rPr>
          <w:vertAlign w:val="baseline"/>
        </w:rPr>
        <w:t>model</w:t>
      </w:r>
      <w:r>
        <w:rPr>
          <w:spacing w:val="-8"/>
          <w:vertAlign w:val="baseline"/>
        </w:rPr>
        <w:t> </w:t>
      </w:r>
      <w:r>
        <w:rPr>
          <w:vertAlign w:val="baseline"/>
        </w:rPr>
        <w:t>in</w:t>
      </w:r>
      <w:r>
        <w:rPr>
          <w:spacing w:val="-8"/>
          <w:vertAlign w:val="baseline"/>
        </w:rPr>
        <w:t> </w:t>
      </w:r>
      <w:r>
        <w:rPr>
          <w:vertAlign w:val="baseline"/>
        </w:rPr>
        <w:t>this</w:t>
      </w:r>
      <w:r>
        <w:rPr>
          <w:spacing w:val="-8"/>
          <w:vertAlign w:val="baseline"/>
        </w:rPr>
        <w:t> </w:t>
      </w:r>
      <w:r>
        <w:rPr>
          <w:vertAlign w:val="baseline"/>
        </w:rPr>
        <w:t>study</w:t>
      </w:r>
      <w:r>
        <w:rPr>
          <w:spacing w:val="-8"/>
          <w:vertAlign w:val="baseline"/>
        </w:rPr>
        <w:t> </w:t>
      </w:r>
      <w:r>
        <w:rPr>
          <w:vertAlign w:val="baseline"/>
        </w:rPr>
        <w:t>allows</w:t>
      </w:r>
      <w:r>
        <w:rPr>
          <w:spacing w:val="-8"/>
          <w:vertAlign w:val="baseline"/>
        </w:rPr>
        <w:t> </w:t>
      </w:r>
      <w:r>
        <w:rPr>
          <w:vertAlign w:val="baseline"/>
        </w:rPr>
        <w:t>much greater information to be extracted than the zonal EPV-19 models produced in Chapters </w:t>
      </w:r>
      <w:hyperlink w:history="true" w:anchor="_bookmark48">
        <w:r>
          <w:rPr>
            <w:color w:val="0000FF"/>
            <w:vertAlign w:val="baseline"/>
          </w:rPr>
          <w:t>3</w:t>
        </w:r>
      </w:hyperlink>
      <w:r>
        <w:rPr>
          <w:vertAlign w:val="baseline"/>
        </w:rPr>
        <w:t>and</w:t>
      </w:r>
      <w:r>
        <w:rPr>
          <w:color w:val="0000FF"/>
          <w:vertAlign w:val="baseline"/>
        </w:rPr>
        <w:t>4</w:t>
      </w:r>
      <w:hyperlink w:history="true" w:anchor="_bookmark92">
        <w:r>
          <w:rPr>
            <w:vertAlign w:val="baseline"/>
          </w:rPr>
          <w:t>and</w:t>
        </w:r>
      </w:hyperlink>
      <w:r>
        <w:rPr>
          <w:vertAlign w:val="baseline"/>
        </w:rPr>
        <w:t> the literature (</w:t>
      </w:r>
      <w:r>
        <w:rPr>
          <w:color w:val="FF0000"/>
          <w:vertAlign w:val="baseline"/>
        </w:rPr>
        <w:t>Cerv</w:t>
      </w:r>
      <w:hyperlink w:history="true" w:anchor="_bookmark231">
        <w:r>
          <w:rPr>
            <w:color w:val="FF0000"/>
            <w:vertAlign w:val="baseline"/>
          </w:rPr>
          <w:t>one et al.</w:t>
        </w:r>
        <w:r>
          <w:rPr>
            <w:vertAlign w:val="baseline"/>
          </w:rPr>
          <w:t>,</w:t>
        </w:r>
      </w:hyperlink>
      <w:r>
        <w:rPr>
          <w:color w:val="FF0000"/>
          <w:vertAlign w:val="baseline"/>
        </w:rPr>
        <w:t>2016</w:t>
      </w:r>
      <w:hyperlink w:history="true" w:anchor="_bookmark231">
        <w:r>
          <w:rPr>
            <w:vertAlign w:val="baseline"/>
          </w:rPr>
          <w:t>;</w:t>
        </w:r>
      </w:hyperlink>
      <w:r>
        <w:rPr>
          <w:color w:val="FF0000"/>
          <w:vertAlign w:val="baseline"/>
        </w:rPr>
        <w:t>Chan </w:t>
      </w:r>
      <w:hyperlink w:history="true" w:anchor="_bookmark232">
        <w:r>
          <w:rPr>
            <w:color w:val="FF0000"/>
            <w:vertAlign w:val="baseline"/>
          </w:rPr>
          <w:t>et al.</w:t>
        </w:r>
        <w:r>
          <w:rPr>
            <w:vertAlign w:val="baseline"/>
          </w:rPr>
          <w:t>,</w:t>
        </w:r>
      </w:hyperlink>
      <w:r>
        <w:rPr>
          <w:color w:val="FF0000"/>
          <w:vertAlign w:val="baseline"/>
        </w:rPr>
        <w:t>2021</w:t>
      </w:r>
      <w:hyperlink w:history="true" w:anchor="_bookmark232">
        <w:r>
          <w:rPr>
            <w:vertAlign w:val="baseline"/>
          </w:rPr>
          <w:t>;</w:t>
        </w:r>
        <w:r>
          <w:rPr>
            <w:color w:val="FF0000"/>
            <w:vertAlign w:val="baseline"/>
          </w:rPr>
          <w:t>K</w:t>
        </w:r>
      </w:hyperlink>
      <w:r>
        <w:rPr>
          <w:color w:val="FF0000"/>
          <w:vertAlign w:val="baseline"/>
        </w:rPr>
        <w:t>empton </w:t>
      </w:r>
      <w:hyperlink w:history="true" w:anchor="_bookmark263">
        <w:r>
          <w:rPr>
            <w:color w:val="FF0000"/>
            <w:vertAlign w:val="baseline"/>
          </w:rPr>
          <w:t>et al.</w:t>
        </w:r>
        <w:r>
          <w:rPr>
            <w:vertAlign w:val="baseline"/>
          </w:rPr>
          <w:t>,</w:t>
        </w:r>
        <w:r>
          <w:rPr>
            <w:color w:val="FF0000"/>
            <w:vertAlign w:val="baseline"/>
          </w:rPr>
          <w:t>2016</w:t>
        </w:r>
      </w:hyperlink>
      <w:hyperlink w:history="true" w:anchor="_bookmark263">
        <w:r>
          <w:rPr>
            <w:vertAlign w:val="baseline"/>
          </w:rPr>
          <w:t>).</w:t>
        </w:r>
      </w:hyperlink>
    </w:p>
    <w:p>
      <w:pPr>
        <w:pStyle w:val="BodyText"/>
        <w:spacing w:line="300" w:lineRule="auto" w:before="71"/>
        <w:ind w:left="610" w:right="389" w:firstLine="351"/>
      </w:pPr>
      <w:r>
        <w:rPr/>
        <w:pict>
          <v:shape style="position:absolute;margin-left:336.360992pt;margin-top:64.179764pt;width:8pt;height:9.65pt;mso-position-horizontal-relative:page;mso-position-vertical-relative:paragraph;z-index:-21717504" type="#_x0000_t202" id="docshape212" filled="false" stroked="false">
            <v:textbox inset="0,0,0,0">
              <w:txbxContent>
                <w:p>
                  <w:pPr>
                    <w:spacing w:line="182" w:lineRule="exact" w:before="0"/>
                    <w:ind w:left="0" w:right="0" w:firstLine="0"/>
                    <w:jc w:val="left"/>
                    <w:rPr>
                      <w:sz w:val="16"/>
                    </w:rPr>
                  </w:pPr>
                  <w:r>
                    <w:rPr>
                      <w:spacing w:val="-5"/>
                      <w:sz w:val="16"/>
                    </w:rPr>
                    <w:t>wl</w:t>
                  </w:r>
                </w:p>
              </w:txbxContent>
            </v:textbox>
            <w10:wrap type="none"/>
          </v:shape>
        </w:pict>
      </w:r>
      <w:r>
        <w:rPr/>
        <w:t>An</w:t>
      </w:r>
      <w:r>
        <w:rPr>
          <w:spacing w:val="-5"/>
        </w:rPr>
        <w:t> </w:t>
      </w:r>
      <w:r>
        <w:rPr/>
        <w:t>advantage</w:t>
      </w:r>
      <w:r>
        <w:rPr>
          <w:spacing w:val="-5"/>
        </w:rPr>
        <w:t> </w:t>
      </w:r>
      <w:r>
        <w:rPr/>
        <w:t>of</w:t>
      </w:r>
      <w:r>
        <w:rPr>
          <w:spacing w:val="-5"/>
        </w:rPr>
        <w:t> </w:t>
      </w:r>
      <w:r>
        <w:rPr/>
        <w:t>adopting</w:t>
      </w:r>
      <w:r>
        <w:rPr>
          <w:spacing w:val="-5"/>
        </w:rPr>
        <w:t> </w:t>
      </w:r>
      <w:r>
        <w:rPr/>
        <w:t>a</w:t>
      </w:r>
      <w:r>
        <w:rPr>
          <w:spacing w:val="-5"/>
        </w:rPr>
        <w:t> </w:t>
      </w:r>
      <w:r>
        <w:rPr/>
        <w:t>Bayesian</w:t>
      </w:r>
      <w:r>
        <w:rPr>
          <w:spacing w:val="-5"/>
        </w:rPr>
        <w:t> </w:t>
      </w:r>
      <w:r>
        <w:rPr/>
        <w:t>approach</w:t>
      </w:r>
      <w:r>
        <w:rPr>
          <w:spacing w:val="-5"/>
        </w:rPr>
        <w:t> </w:t>
      </w:r>
      <w:r>
        <w:rPr/>
        <w:t>to</w:t>
      </w:r>
      <w:r>
        <w:rPr>
          <w:spacing w:val="-5"/>
        </w:rPr>
        <w:t> </w:t>
      </w:r>
      <w:r>
        <w:rPr/>
        <w:t>the</w:t>
      </w:r>
      <w:r>
        <w:rPr>
          <w:spacing w:val="-5"/>
        </w:rPr>
        <w:t> </w:t>
      </w:r>
      <w:r>
        <w:rPr/>
        <w:t>model</w:t>
      </w:r>
      <w:r>
        <w:rPr>
          <w:spacing w:val="-5"/>
        </w:rPr>
        <w:t> </w:t>
      </w:r>
      <w:r>
        <w:rPr/>
        <w:t>proposed</w:t>
      </w:r>
      <w:r>
        <w:rPr>
          <w:spacing w:val="-5"/>
        </w:rPr>
        <w:t> </w:t>
      </w:r>
      <w:r>
        <w:rPr/>
        <w:t>in</w:t>
      </w:r>
      <w:r>
        <w:rPr>
          <w:spacing w:val="-5"/>
        </w:rPr>
        <w:t> </w:t>
      </w:r>
      <w:r>
        <w:rPr/>
        <w:t>this</w:t>
      </w:r>
      <w:r>
        <w:rPr>
          <w:spacing w:val="-5"/>
        </w:rPr>
        <w:t> </w:t>
      </w:r>
      <w:r>
        <w:rPr/>
        <w:t>study</w:t>
      </w:r>
      <w:r>
        <w:rPr>
          <w:spacing w:val="-5"/>
        </w:rPr>
        <w:t> </w:t>
      </w:r>
      <w:r>
        <w:rPr/>
        <w:t>is that</w:t>
      </w:r>
      <w:r>
        <w:rPr>
          <w:spacing w:val="-3"/>
        </w:rPr>
        <w:t> </w:t>
      </w:r>
      <w:r>
        <w:rPr/>
        <w:t>it</w:t>
      </w:r>
      <w:r>
        <w:rPr>
          <w:spacing w:val="-3"/>
        </w:rPr>
        <w:t> </w:t>
      </w:r>
      <w:r>
        <w:rPr/>
        <w:t>allows</w:t>
      </w:r>
      <w:r>
        <w:rPr>
          <w:spacing w:val="-3"/>
        </w:rPr>
        <w:t> </w:t>
      </w:r>
      <w:r>
        <w:rPr/>
        <w:t>an</w:t>
      </w:r>
      <w:r>
        <w:rPr>
          <w:spacing w:val="-3"/>
        </w:rPr>
        <w:t> </w:t>
      </w:r>
      <w:r>
        <w:rPr/>
        <w:t>understanding</w:t>
      </w:r>
      <w:r>
        <w:rPr>
          <w:spacing w:val="-3"/>
        </w:rPr>
        <w:t> </w:t>
      </w:r>
      <w:r>
        <w:rPr/>
        <w:t>of</w:t>
      </w:r>
      <w:r>
        <w:rPr>
          <w:spacing w:val="-3"/>
        </w:rPr>
        <w:t> </w:t>
      </w:r>
      <w:r>
        <w:rPr/>
        <w:t>the</w:t>
      </w:r>
      <w:r>
        <w:rPr>
          <w:spacing w:val="-3"/>
        </w:rPr>
        <w:t> </w:t>
      </w:r>
      <w:r>
        <w:rPr/>
        <w:t>certainty</w:t>
      </w:r>
      <w:r>
        <w:rPr>
          <w:spacing w:val="-3"/>
        </w:rPr>
        <w:t> </w:t>
      </w:r>
      <w:r>
        <w:rPr/>
        <w:t>within</w:t>
      </w:r>
      <w:r>
        <w:rPr>
          <w:spacing w:val="-3"/>
        </w:rPr>
        <w:t> </w:t>
      </w:r>
      <w:r>
        <w:rPr/>
        <w:t>parameter</w:t>
      </w:r>
      <w:r>
        <w:rPr>
          <w:spacing w:val="-3"/>
        </w:rPr>
        <w:t> </w:t>
      </w:r>
      <w:r>
        <w:rPr/>
        <w:t>estimates</w:t>
      </w:r>
      <w:r>
        <w:rPr>
          <w:spacing w:val="-3"/>
        </w:rPr>
        <w:t> </w:t>
      </w:r>
      <w:r>
        <w:rPr/>
        <w:t>to</w:t>
      </w:r>
      <w:r>
        <w:rPr>
          <w:spacing w:val="-3"/>
        </w:rPr>
        <w:t> </w:t>
      </w:r>
      <w:r>
        <w:rPr/>
        <w:t>be</w:t>
      </w:r>
      <w:r>
        <w:rPr>
          <w:spacing w:val="-3"/>
        </w:rPr>
        <w:t> </w:t>
      </w:r>
      <w:r>
        <w:rPr/>
        <w:t>gleaned. Figure</w:t>
      </w:r>
      <w:hyperlink w:history="true" w:anchor="_bookmark201">
        <w:r>
          <w:rPr>
            <w:color w:val="0000FF"/>
          </w:rPr>
          <w:t>6.3</w:t>
        </w:r>
      </w:hyperlink>
      <w:r>
        <w:rPr/>
        <w:t>provides</w:t>
      </w:r>
      <w:r>
        <w:rPr>
          <w:spacing w:val="-12"/>
        </w:rPr>
        <w:t> </w:t>
      </w:r>
      <w:r>
        <w:rPr/>
        <w:t>standard</w:t>
      </w:r>
      <w:r>
        <w:rPr>
          <w:spacing w:val="-12"/>
        </w:rPr>
        <w:t> </w:t>
      </w:r>
      <w:r>
        <w:rPr/>
        <w:t>deviation</w:t>
      </w:r>
      <w:r>
        <w:rPr>
          <w:spacing w:val="-12"/>
        </w:rPr>
        <w:t> </w:t>
      </w:r>
      <w:r>
        <w:rPr/>
        <w:t>pitch</w:t>
      </w:r>
      <w:r>
        <w:rPr>
          <w:spacing w:val="-13"/>
        </w:rPr>
        <w:t> </w:t>
      </w:r>
      <w:r>
        <w:rPr/>
        <w:t>surface</w:t>
      </w:r>
      <w:r>
        <w:rPr>
          <w:spacing w:val="-12"/>
        </w:rPr>
        <w:t> </w:t>
      </w:r>
      <w:r>
        <w:rPr/>
        <w:t>plots</w:t>
      </w:r>
      <w:r>
        <w:rPr>
          <w:spacing w:val="-12"/>
        </w:rPr>
        <w:t> </w:t>
      </w:r>
      <w:r>
        <w:rPr/>
        <w:t>for</w:t>
      </w:r>
      <w:r>
        <w:rPr>
          <w:spacing w:val="-12"/>
        </w:rPr>
        <w:t> </w:t>
      </w:r>
      <w:r>
        <w:rPr/>
        <w:t>all</w:t>
      </w:r>
      <w:r>
        <w:rPr>
          <w:spacing w:val="-12"/>
        </w:rPr>
        <w:t> </w:t>
      </w:r>
      <w:r>
        <w:rPr/>
        <w:t>possession</w:t>
      </w:r>
      <w:r>
        <w:rPr>
          <w:spacing w:val="-12"/>
        </w:rPr>
        <w:t> </w:t>
      </w:r>
      <w:r>
        <w:rPr/>
        <w:t>outcome</w:t>
      </w:r>
      <w:r>
        <w:rPr>
          <w:spacing w:val="-12"/>
        </w:rPr>
        <w:t> </w:t>
      </w:r>
      <w:r>
        <w:rPr/>
        <w:t>prob- abilities using the whole league data model </w:t>
      </w:r>
      <w:r>
        <w:rPr>
          <w:spacing w:val="10"/>
        </w:rPr>
        <w:t>(</w:t>
      </w:r>
      <w:r>
        <w:rPr>
          <w:rFonts w:ascii="Cambria" w:hAnsi="Cambria"/>
          <w:spacing w:val="10"/>
        </w:rPr>
        <w:t>P</w:t>
      </w:r>
      <w:r>
        <w:rPr>
          <w:rFonts w:ascii="Cambria" w:hAnsi="Cambria"/>
          <w:spacing w:val="10"/>
          <w:vertAlign w:val="superscript"/>
        </w:rPr>
        <w:t>σ</w:t>
      </w:r>
      <w:r>
        <w:rPr>
          <w:rFonts w:ascii="Cambria" w:hAnsi="Cambria"/>
          <w:spacing w:val="-12"/>
          <w:vertAlign w:val="baseline"/>
        </w:rPr>
        <w:t> </w:t>
      </w:r>
      <w:r>
        <w:rPr>
          <w:rFonts w:ascii="Garamond" w:hAnsi="Garamond"/>
          <w:vertAlign w:val="baseline"/>
        </w:rPr>
        <w:t>(</w:t>
      </w:r>
      <w:r>
        <w:rPr>
          <w:rFonts w:ascii="Cambria" w:hAnsi="Cambria"/>
          <w:vertAlign w:val="baseline"/>
        </w:rPr>
        <w:t>s</w:t>
      </w:r>
      <w:r>
        <w:rPr>
          <w:rFonts w:ascii="Garamond" w:hAnsi="Garamond"/>
          <w:vertAlign w:val="baseline"/>
        </w:rPr>
        <w:t>) </w:t>
      </w:r>
      <w:r>
        <w:rPr>
          <w:vertAlign w:val="baseline"/>
        </w:rPr>
        <w:t>for all </w:t>
      </w:r>
      <w:r>
        <w:rPr>
          <w:rFonts w:ascii="Cambria" w:hAnsi="Cambria"/>
          <w:vertAlign w:val="baseline"/>
        </w:rPr>
        <w:t>s</w:t>
      </w:r>
      <w:r>
        <w:rPr>
          <w:rFonts w:ascii="Cambria" w:hAnsi="Cambria"/>
          <w:spacing w:val="19"/>
          <w:vertAlign w:val="baseline"/>
        </w:rPr>
        <w:t> </w:t>
      </w:r>
      <w:r>
        <w:rPr>
          <w:rFonts w:ascii="Lucida Sans Unicode" w:hAnsi="Lucida Sans Unicode"/>
          <w:vertAlign w:val="baseline"/>
        </w:rPr>
        <w:t>∈</w:t>
      </w:r>
      <w:r>
        <w:rPr>
          <w:rFonts w:ascii="Lucida Sans Unicode" w:hAnsi="Lucida Sans Unicode"/>
          <w:spacing w:val="-4"/>
          <w:vertAlign w:val="baseline"/>
        </w:rPr>
        <w:t> </w:t>
      </w:r>
      <w:r>
        <w:rPr>
          <w:rFonts w:ascii="Cambria" w:hAnsi="Cambria"/>
          <w:vertAlign w:val="baseline"/>
        </w:rPr>
        <w:t>S</w:t>
      </w:r>
      <w:r>
        <w:rPr>
          <w:vertAlign w:val="baseline"/>
        </w:rPr>
        <w:t>).</w:t>
      </w:r>
      <w:r>
        <w:rPr>
          <w:spacing w:val="22"/>
          <w:vertAlign w:val="baseline"/>
        </w:rPr>
        <w:t> </w:t>
      </w:r>
      <w:r>
        <w:rPr>
          <w:vertAlign w:val="baseline"/>
        </w:rPr>
        <w:t>Also plotted in Figure</w:t>
      </w:r>
    </w:p>
    <w:p>
      <w:pPr>
        <w:pStyle w:val="BodyText"/>
        <w:spacing w:line="214" w:lineRule="exact"/>
        <w:ind w:left="610"/>
        <w:jc w:val="both"/>
      </w:pPr>
      <w:hyperlink w:history="true" w:anchor="_bookmark201">
        <w:r>
          <w:rPr>
            <w:color w:val="0000FF"/>
          </w:rPr>
          <w:t>6.3</w:t>
        </w:r>
      </w:hyperlink>
      <w:r>
        <w:rPr/>
        <w:t>is</w:t>
      </w:r>
      <w:r>
        <w:rPr>
          <w:spacing w:val="-6"/>
        </w:rPr>
        <w:t> </w:t>
      </w:r>
      <w:r>
        <w:rPr/>
        <w:t>the</w:t>
      </w:r>
      <w:r>
        <w:rPr>
          <w:spacing w:val="-6"/>
        </w:rPr>
        <w:t> </w:t>
      </w:r>
      <w:r>
        <w:rPr/>
        <w:t>whole</w:t>
      </w:r>
      <w:r>
        <w:rPr>
          <w:spacing w:val="-5"/>
        </w:rPr>
        <w:t> </w:t>
      </w:r>
      <w:r>
        <w:rPr/>
        <w:t>league</w:t>
      </w:r>
      <w:r>
        <w:rPr>
          <w:spacing w:val="-6"/>
        </w:rPr>
        <w:t> </w:t>
      </w:r>
      <w:r>
        <w:rPr/>
        <w:t>KDE</w:t>
      </w:r>
      <w:r>
        <w:rPr>
          <w:spacing w:val="-5"/>
        </w:rPr>
        <w:t> </w:t>
      </w:r>
      <w:r>
        <w:rPr/>
        <w:t>produced</w:t>
      </w:r>
      <w:r>
        <w:rPr>
          <w:spacing w:val="-6"/>
        </w:rPr>
        <w:t> </w:t>
      </w:r>
      <w:r>
        <w:rPr/>
        <w:t>in</w:t>
      </w:r>
      <w:r>
        <w:rPr>
          <w:spacing w:val="-5"/>
        </w:rPr>
        <w:t> </w:t>
      </w:r>
      <w:r>
        <w:rPr/>
        <w:t>Chapter</w:t>
      </w:r>
      <w:r>
        <w:rPr>
          <w:color w:val="0000FF"/>
        </w:rPr>
        <w:t>5</w:t>
      </w:r>
      <w:hyperlink w:history="true" w:anchor="_bookmark122">
        <w:r>
          <w:rPr/>
          <w:t>,</w:t>
        </w:r>
      </w:hyperlink>
      <w:r>
        <w:rPr>
          <w:spacing w:val="-6"/>
        </w:rPr>
        <w:t> </w:t>
      </w:r>
      <w:r>
        <w:rPr/>
        <w:t>which</w:t>
      </w:r>
      <w:r>
        <w:rPr>
          <w:spacing w:val="-6"/>
        </w:rPr>
        <w:t> </w:t>
      </w:r>
      <w:r>
        <w:rPr/>
        <w:t>provides</w:t>
      </w:r>
      <w:r>
        <w:rPr>
          <w:spacing w:val="-5"/>
        </w:rPr>
        <w:t> </w:t>
      </w:r>
      <w:r>
        <w:rPr/>
        <w:t>an</w:t>
      </w:r>
      <w:r>
        <w:rPr>
          <w:spacing w:val="-6"/>
        </w:rPr>
        <w:t> </w:t>
      </w:r>
      <w:r>
        <w:rPr/>
        <w:t>understanding</w:t>
      </w:r>
      <w:r>
        <w:rPr>
          <w:spacing w:val="-5"/>
        </w:rPr>
        <w:t> of</w:t>
      </w:r>
    </w:p>
    <w:p>
      <w:pPr>
        <w:pStyle w:val="BodyText"/>
        <w:spacing w:line="312" w:lineRule="auto" w:before="83"/>
        <w:ind w:left="610" w:right="389"/>
        <w:jc w:val="both"/>
      </w:pPr>
      <w:r>
        <w:rPr/>
        <w:t>the location densities across the pitch.</w:t>
      </w:r>
      <w:r>
        <w:rPr>
          <w:spacing w:val="40"/>
        </w:rPr>
        <w:t> </w:t>
      </w:r>
      <w:r>
        <w:rPr/>
        <w:t>In all possession outcome plots, there is greater variability in the wider areas of the pitch, which is accompanied by a lower density </w:t>
      </w:r>
      <w:r>
        <w:rPr/>
        <w:t>of actions</w:t>
      </w:r>
      <w:r>
        <w:rPr>
          <w:spacing w:val="-11"/>
        </w:rPr>
        <w:t> </w:t>
      </w:r>
      <w:r>
        <w:rPr/>
        <w:t>in</w:t>
      </w:r>
      <w:r>
        <w:rPr>
          <w:spacing w:val="-11"/>
        </w:rPr>
        <w:t> </w:t>
      </w:r>
      <w:r>
        <w:rPr/>
        <w:t>those</w:t>
      </w:r>
      <w:r>
        <w:rPr>
          <w:spacing w:val="-11"/>
        </w:rPr>
        <w:t> </w:t>
      </w:r>
      <w:r>
        <w:rPr/>
        <w:t>areas</w:t>
      </w:r>
      <w:r>
        <w:rPr>
          <w:spacing w:val="-11"/>
        </w:rPr>
        <w:t> </w:t>
      </w:r>
      <w:r>
        <w:rPr/>
        <w:t>in</w:t>
      </w:r>
      <w:r>
        <w:rPr>
          <w:spacing w:val="-11"/>
        </w:rPr>
        <w:t> </w:t>
      </w:r>
      <w:r>
        <w:rPr/>
        <w:t>the</w:t>
      </w:r>
      <w:r>
        <w:rPr>
          <w:spacing w:val="-11"/>
        </w:rPr>
        <w:t> </w:t>
      </w:r>
      <w:r>
        <w:rPr/>
        <w:t>KDE</w:t>
      </w:r>
      <w:r>
        <w:rPr>
          <w:spacing w:val="-11"/>
        </w:rPr>
        <w:t> </w:t>
      </w:r>
      <w:r>
        <w:rPr/>
        <w:t>plot. This</w:t>
      </w:r>
      <w:r>
        <w:rPr>
          <w:spacing w:val="-11"/>
        </w:rPr>
        <w:t> </w:t>
      </w:r>
      <w:r>
        <w:rPr/>
        <w:t>variability</w:t>
      </w:r>
      <w:r>
        <w:rPr>
          <w:spacing w:val="-11"/>
        </w:rPr>
        <w:t> </w:t>
      </w:r>
      <w:r>
        <w:rPr/>
        <w:t>is</w:t>
      </w:r>
      <w:r>
        <w:rPr>
          <w:spacing w:val="-11"/>
        </w:rPr>
        <w:t> </w:t>
      </w:r>
      <w:r>
        <w:rPr/>
        <w:t>particularly</w:t>
      </w:r>
      <w:r>
        <w:rPr>
          <w:spacing w:val="-11"/>
        </w:rPr>
        <w:t> </w:t>
      </w:r>
      <w:r>
        <w:rPr/>
        <w:t>large</w:t>
      </w:r>
      <w:r>
        <w:rPr>
          <w:spacing w:val="-11"/>
        </w:rPr>
        <w:t> </w:t>
      </w:r>
      <w:r>
        <w:rPr/>
        <w:t>for</w:t>
      </w:r>
      <w:r>
        <w:rPr>
          <w:spacing w:val="-11"/>
        </w:rPr>
        <w:t> </w:t>
      </w:r>
      <w:r>
        <w:rPr/>
        <w:t>the</w:t>
      </w:r>
      <w:r>
        <w:rPr>
          <w:spacing w:val="-11"/>
        </w:rPr>
        <w:t> </w:t>
      </w:r>
      <w:r>
        <w:rPr/>
        <w:t>penalty goal probabilities in wide areas, which could indicate that the result does not occur that often</w:t>
      </w:r>
      <w:r>
        <w:rPr>
          <w:spacing w:val="-15"/>
        </w:rPr>
        <w:t> </w:t>
      </w:r>
      <w:r>
        <w:rPr/>
        <w:t>from</w:t>
      </w:r>
      <w:r>
        <w:rPr>
          <w:spacing w:val="-15"/>
        </w:rPr>
        <w:t> </w:t>
      </w:r>
      <w:r>
        <w:rPr/>
        <w:t>these</w:t>
      </w:r>
      <w:r>
        <w:rPr>
          <w:spacing w:val="-15"/>
        </w:rPr>
        <w:t> </w:t>
      </w:r>
      <w:r>
        <w:rPr/>
        <w:t>areas</w:t>
      </w:r>
      <w:r>
        <w:rPr>
          <w:spacing w:val="-15"/>
        </w:rPr>
        <w:t> </w:t>
      </w:r>
      <w:r>
        <w:rPr/>
        <w:t>and</w:t>
      </w:r>
      <w:r>
        <w:rPr>
          <w:spacing w:val="-15"/>
        </w:rPr>
        <w:t> </w:t>
      </w:r>
      <w:r>
        <w:rPr/>
        <w:t>that</w:t>
      </w:r>
      <w:r>
        <w:rPr>
          <w:spacing w:val="-15"/>
        </w:rPr>
        <w:t> </w:t>
      </w:r>
      <w:r>
        <w:rPr/>
        <w:t>the</w:t>
      </w:r>
      <w:r>
        <w:rPr>
          <w:spacing w:val="-15"/>
        </w:rPr>
        <w:t> </w:t>
      </w:r>
      <w:r>
        <w:rPr/>
        <w:t>probabilities</w:t>
      </w:r>
      <w:r>
        <w:rPr>
          <w:spacing w:val="-15"/>
        </w:rPr>
        <w:t> </w:t>
      </w:r>
      <w:r>
        <w:rPr/>
        <w:t>estimated</w:t>
      </w:r>
      <w:r>
        <w:rPr>
          <w:spacing w:val="-15"/>
        </w:rPr>
        <w:t> </w:t>
      </w:r>
      <w:r>
        <w:rPr/>
        <w:t>for</w:t>
      </w:r>
      <w:r>
        <w:rPr>
          <w:spacing w:val="-15"/>
        </w:rPr>
        <w:t> </w:t>
      </w:r>
      <w:r>
        <w:rPr/>
        <w:t>those</w:t>
      </w:r>
      <w:r>
        <w:rPr>
          <w:spacing w:val="-15"/>
        </w:rPr>
        <w:t> </w:t>
      </w:r>
      <w:r>
        <w:rPr/>
        <w:t>areas</w:t>
      </w:r>
      <w:r>
        <w:rPr>
          <w:spacing w:val="-15"/>
        </w:rPr>
        <w:t> </w:t>
      </w:r>
      <w:r>
        <w:rPr/>
        <w:t>should</w:t>
      </w:r>
      <w:r>
        <w:rPr>
          <w:spacing w:val="-15"/>
        </w:rPr>
        <w:t> </w:t>
      </w:r>
      <w:r>
        <w:rPr/>
        <w:t>be</w:t>
      </w:r>
      <w:r>
        <w:rPr>
          <w:spacing w:val="-15"/>
        </w:rPr>
        <w:t> </w:t>
      </w:r>
      <w:r>
        <w:rPr/>
        <w:t>treated with</w:t>
      </w:r>
      <w:r>
        <w:rPr>
          <w:spacing w:val="-13"/>
        </w:rPr>
        <w:t> </w:t>
      </w:r>
      <w:r>
        <w:rPr/>
        <w:t>a</w:t>
      </w:r>
      <w:r>
        <w:rPr>
          <w:spacing w:val="-13"/>
        </w:rPr>
        <w:t> </w:t>
      </w:r>
      <w:r>
        <w:rPr/>
        <w:t>degree</w:t>
      </w:r>
      <w:r>
        <w:rPr>
          <w:spacing w:val="-13"/>
        </w:rPr>
        <w:t> </w:t>
      </w:r>
      <w:r>
        <w:rPr/>
        <w:t>of</w:t>
      </w:r>
      <w:r>
        <w:rPr>
          <w:spacing w:val="-13"/>
        </w:rPr>
        <w:t> </w:t>
      </w:r>
      <w:r>
        <w:rPr/>
        <w:t>caution. A</w:t>
      </w:r>
      <w:r>
        <w:rPr>
          <w:spacing w:val="-13"/>
        </w:rPr>
        <w:t> </w:t>
      </w:r>
      <w:r>
        <w:rPr/>
        <w:t>similarly</w:t>
      </w:r>
      <w:r>
        <w:rPr>
          <w:spacing w:val="-13"/>
        </w:rPr>
        <w:t> </w:t>
      </w:r>
      <w:r>
        <w:rPr/>
        <w:t>interesting</w:t>
      </w:r>
      <w:r>
        <w:rPr>
          <w:spacing w:val="-13"/>
        </w:rPr>
        <w:t> </w:t>
      </w:r>
      <w:r>
        <w:rPr/>
        <w:t>observation</w:t>
      </w:r>
      <w:r>
        <w:rPr>
          <w:spacing w:val="-13"/>
        </w:rPr>
        <w:t> </w:t>
      </w:r>
      <w:r>
        <w:rPr/>
        <w:t>is</w:t>
      </w:r>
      <w:r>
        <w:rPr>
          <w:spacing w:val="-13"/>
        </w:rPr>
        <w:t> </w:t>
      </w:r>
      <w:r>
        <w:rPr/>
        <w:t>the</w:t>
      </w:r>
      <w:r>
        <w:rPr>
          <w:spacing w:val="-13"/>
        </w:rPr>
        <w:t> </w:t>
      </w:r>
      <w:r>
        <w:rPr/>
        <w:t>increased</w:t>
      </w:r>
      <w:r>
        <w:rPr>
          <w:spacing w:val="-13"/>
        </w:rPr>
        <w:t> </w:t>
      </w:r>
      <w:r>
        <w:rPr/>
        <w:t>variability</w:t>
      </w:r>
      <w:r>
        <w:rPr>
          <w:spacing w:val="-13"/>
        </w:rPr>
        <w:t> </w:t>
      </w:r>
      <w:r>
        <w:rPr/>
        <w:t>in try/no try probabilities in both corners of the pitch on the opposition try line.</w:t>
      </w:r>
      <w:r>
        <w:rPr>
          <w:spacing w:val="25"/>
        </w:rPr>
        <w:t> </w:t>
      </w:r>
      <w:r>
        <w:rPr/>
        <w:t>This could be</w:t>
      </w:r>
      <w:r>
        <w:rPr>
          <w:spacing w:val="-15"/>
        </w:rPr>
        <w:t> </w:t>
      </w:r>
      <w:r>
        <w:rPr/>
        <w:t>due</w:t>
      </w:r>
      <w:r>
        <w:rPr>
          <w:spacing w:val="-15"/>
        </w:rPr>
        <w:t> </w:t>
      </w:r>
      <w:r>
        <w:rPr/>
        <w:t>to</w:t>
      </w:r>
      <w:r>
        <w:rPr>
          <w:spacing w:val="-15"/>
        </w:rPr>
        <w:t> </w:t>
      </w:r>
      <w:r>
        <w:rPr/>
        <w:t>a</w:t>
      </w:r>
      <w:r>
        <w:rPr>
          <w:spacing w:val="-15"/>
        </w:rPr>
        <w:t> </w:t>
      </w:r>
      <w:r>
        <w:rPr/>
        <w:t>number</w:t>
      </w:r>
      <w:r>
        <w:rPr>
          <w:spacing w:val="-15"/>
        </w:rPr>
        <w:t> </w:t>
      </w:r>
      <w:r>
        <w:rPr/>
        <w:t>of</w:t>
      </w:r>
      <w:r>
        <w:rPr>
          <w:spacing w:val="-15"/>
        </w:rPr>
        <w:t> </w:t>
      </w:r>
      <w:r>
        <w:rPr/>
        <w:t>factors,</w:t>
      </w:r>
      <w:r>
        <w:rPr>
          <w:spacing w:val="-15"/>
        </w:rPr>
        <w:t> </w:t>
      </w:r>
      <w:r>
        <w:rPr/>
        <w:t>including</w:t>
      </w:r>
      <w:r>
        <w:rPr>
          <w:spacing w:val="-15"/>
        </w:rPr>
        <w:t> </w:t>
      </w:r>
      <w:r>
        <w:rPr/>
        <w:t>fewer</w:t>
      </w:r>
      <w:r>
        <w:rPr>
          <w:spacing w:val="-15"/>
        </w:rPr>
        <w:t> </w:t>
      </w:r>
      <w:r>
        <w:rPr/>
        <w:t>actions</w:t>
      </w:r>
      <w:r>
        <w:rPr>
          <w:spacing w:val="-15"/>
        </w:rPr>
        <w:t> </w:t>
      </w:r>
      <w:r>
        <w:rPr/>
        <w:t>happening</w:t>
      </w:r>
      <w:r>
        <w:rPr>
          <w:spacing w:val="-15"/>
        </w:rPr>
        <w:t> </w:t>
      </w:r>
      <w:r>
        <w:rPr/>
        <w:t>in</w:t>
      </w:r>
      <w:r>
        <w:rPr>
          <w:spacing w:val="-15"/>
        </w:rPr>
        <w:t> </w:t>
      </w:r>
      <w:r>
        <w:rPr/>
        <w:t>these</w:t>
      </w:r>
      <w:r>
        <w:rPr>
          <w:spacing w:val="-15"/>
        </w:rPr>
        <w:t> </w:t>
      </w:r>
      <w:r>
        <w:rPr/>
        <w:t>areas</w:t>
      </w:r>
      <w:r>
        <w:rPr>
          <w:spacing w:val="-15"/>
        </w:rPr>
        <w:t> </w:t>
      </w:r>
      <w:r>
        <w:rPr/>
        <w:t>(suggested by the KDE plot) and more conversion kicks being missed from these areas after the try has</w:t>
      </w:r>
      <w:r>
        <w:rPr>
          <w:spacing w:val="-2"/>
        </w:rPr>
        <w:t> </w:t>
      </w:r>
      <w:r>
        <w:rPr/>
        <w:t>been</w:t>
      </w:r>
      <w:r>
        <w:rPr>
          <w:spacing w:val="-2"/>
        </w:rPr>
        <w:t> </w:t>
      </w:r>
      <w:r>
        <w:rPr/>
        <w:t>scored</w:t>
      </w:r>
      <w:r>
        <w:rPr>
          <w:spacing w:val="-2"/>
        </w:rPr>
        <w:t> </w:t>
      </w:r>
      <w:r>
        <w:rPr/>
        <w:t>(suggested</w:t>
      </w:r>
      <w:r>
        <w:rPr>
          <w:spacing w:val="-2"/>
        </w:rPr>
        <w:t> </w:t>
      </w:r>
      <w:r>
        <w:rPr/>
        <w:t>by</w:t>
      </w:r>
      <w:r>
        <w:rPr>
          <w:spacing w:val="-2"/>
        </w:rPr>
        <w:t> </w:t>
      </w:r>
      <w:r>
        <w:rPr/>
        <w:t>the</w:t>
      </w:r>
      <w:r>
        <w:rPr>
          <w:spacing w:val="-2"/>
        </w:rPr>
        <w:t> </w:t>
      </w:r>
      <w:r>
        <w:rPr/>
        <w:t>increased</w:t>
      </w:r>
      <w:r>
        <w:rPr>
          <w:spacing w:val="-2"/>
        </w:rPr>
        <w:t> </w:t>
      </w:r>
      <w:r>
        <w:rPr/>
        <w:t>probability</w:t>
      </w:r>
      <w:r>
        <w:rPr>
          <w:spacing w:val="-2"/>
        </w:rPr>
        <w:t> </w:t>
      </w:r>
      <w:r>
        <w:rPr/>
        <w:t>of</w:t>
      </w:r>
      <w:r>
        <w:rPr>
          <w:spacing w:val="-2"/>
        </w:rPr>
        <w:t> </w:t>
      </w:r>
      <w:r>
        <w:rPr/>
        <w:t>unconverted</w:t>
      </w:r>
      <w:r>
        <w:rPr>
          <w:spacing w:val="-2"/>
        </w:rPr>
        <w:t> </w:t>
      </w:r>
      <w:r>
        <w:rPr/>
        <w:t>tries</w:t>
      </w:r>
      <w:r>
        <w:rPr>
          <w:spacing w:val="-2"/>
        </w:rPr>
        <w:t> </w:t>
      </w:r>
      <w:r>
        <w:rPr/>
        <w:t>on</w:t>
      </w:r>
      <w:r>
        <w:rPr>
          <w:spacing w:val="-2"/>
        </w:rPr>
        <w:t> </w:t>
      </w:r>
      <w:r>
        <w:rPr/>
        <w:t>the</w:t>
      </w:r>
      <w:r>
        <w:rPr>
          <w:spacing w:val="-2"/>
        </w:rPr>
        <w:t> </w:t>
      </w:r>
      <w:r>
        <w:rPr/>
        <w:t>right side of the pitch).</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4" w:after="1"/>
        <w:rPr>
          <w:sz w:val="28"/>
        </w:rPr>
      </w:pPr>
    </w:p>
    <w:p>
      <w:pPr>
        <w:pStyle w:val="BodyText"/>
        <w:ind w:left="1673"/>
        <w:rPr>
          <w:sz w:val="20"/>
        </w:rPr>
      </w:pPr>
      <w:r>
        <w:rPr>
          <w:sz w:val="20"/>
        </w:rPr>
        <w:drawing>
          <wp:inline distT="0" distB="0" distL="0" distR="0">
            <wp:extent cx="4048305" cy="4828032"/>
            <wp:effectExtent l="0" t="0" r="0" b="0"/>
            <wp:docPr id="105" name="image53.jpeg"/>
            <wp:cNvGraphicFramePr>
              <a:graphicFrameLocks noChangeAspect="1"/>
            </wp:cNvGraphicFramePr>
            <a:graphic>
              <a:graphicData uri="http://schemas.openxmlformats.org/drawingml/2006/picture">
                <pic:pic>
                  <pic:nvPicPr>
                    <pic:cNvPr id="106" name="image53.jpeg"/>
                    <pic:cNvPicPr/>
                  </pic:nvPicPr>
                  <pic:blipFill>
                    <a:blip r:embed="rId131" cstate="print"/>
                    <a:stretch>
                      <a:fillRect/>
                    </a:stretch>
                  </pic:blipFill>
                  <pic:spPr>
                    <a:xfrm>
                      <a:off x="0" y="0"/>
                      <a:ext cx="4048305" cy="4828032"/>
                    </a:xfrm>
                    <a:prstGeom prst="rect">
                      <a:avLst/>
                    </a:prstGeom>
                  </pic:spPr>
                </pic:pic>
              </a:graphicData>
            </a:graphic>
          </wp:inline>
        </w:drawing>
      </w:r>
      <w:r>
        <w:rPr>
          <w:sz w:val="20"/>
        </w:rPr>
      </w:r>
    </w:p>
    <w:p>
      <w:pPr>
        <w:pStyle w:val="BodyText"/>
        <w:spacing w:before="7"/>
        <w:rPr>
          <w:sz w:val="10"/>
        </w:rPr>
      </w:pPr>
    </w:p>
    <w:p>
      <w:pPr>
        <w:pStyle w:val="BodyText"/>
        <w:spacing w:line="252" w:lineRule="auto" w:before="106"/>
        <w:ind w:left="610" w:right="389"/>
      </w:pPr>
      <w:bookmarkStart w:name="_bookmark201" w:id="343"/>
      <w:bookmarkEnd w:id="343"/>
      <w:r>
        <w:rPr/>
      </w:r>
      <w:r>
        <w:rPr>
          <w:b/>
        </w:rPr>
        <w:t>Figure</w:t>
      </w:r>
      <w:r>
        <w:rPr>
          <w:b/>
          <w:spacing w:val="-3"/>
        </w:rPr>
        <w:t> </w:t>
      </w:r>
      <w:r>
        <w:rPr>
          <w:b/>
        </w:rPr>
        <w:t>6.3: </w:t>
      </w:r>
      <w:r>
        <w:rPr/>
        <w:t>Whole</w:t>
      </w:r>
      <w:r>
        <w:rPr>
          <w:spacing w:val="-3"/>
        </w:rPr>
        <w:t> </w:t>
      </w:r>
      <w:r>
        <w:rPr/>
        <w:t>league</w:t>
      </w:r>
      <w:r>
        <w:rPr>
          <w:spacing w:val="-3"/>
        </w:rPr>
        <w:t> </w:t>
      </w:r>
      <w:r>
        <w:rPr/>
        <w:t>model</w:t>
      </w:r>
      <w:r>
        <w:rPr>
          <w:spacing w:val="-3"/>
        </w:rPr>
        <w:t> </w:t>
      </w:r>
      <w:r>
        <w:rPr/>
        <w:t>EPV</w:t>
      </w:r>
      <w:r>
        <w:rPr>
          <w:spacing w:val="-3"/>
        </w:rPr>
        <w:t> </w:t>
      </w:r>
      <w:r>
        <w:rPr/>
        <w:t>standard</w:t>
      </w:r>
      <w:r>
        <w:rPr>
          <w:spacing w:val="-3"/>
        </w:rPr>
        <w:t> </w:t>
      </w:r>
      <w:r>
        <w:rPr/>
        <w:t>deviation</w:t>
      </w:r>
      <w:r>
        <w:rPr>
          <w:spacing w:val="-3"/>
        </w:rPr>
        <w:t> </w:t>
      </w:r>
      <w:r>
        <w:rPr/>
        <w:t>plot.</w:t>
      </w:r>
      <w:r>
        <w:rPr>
          <w:spacing w:val="18"/>
        </w:rPr>
        <w:t> </w:t>
      </w:r>
      <w:r>
        <w:rPr/>
        <w:t>4pt</w:t>
      </w:r>
      <w:r>
        <w:rPr>
          <w:spacing w:val="-3"/>
        </w:rPr>
        <w:t> </w:t>
      </w:r>
      <w:r>
        <w:rPr/>
        <w:t>Try</w:t>
      </w:r>
      <w:r>
        <w:rPr>
          <w:spacing w:val="-3"/>
        </w:rPr>
        <w:t> </w:t>
      </w:r>
      <w:r>
        <w:rPr/>
        <w:t>and</w:t>
      </w:r>
      <w:r>
        <w:rPr>
          <w:spacing w:val="-3"/>
        </w:rPr>
        <w:t> </w:t>
      </w:r>
      <w:r>
        <w:rPr/>
        <w:t>6pt</w:t>
      </w:r>
      <w:r>
        <w:rPr>
          <w:spacing w:val="-3"/>
        </w:rPr>
        <w:t> </w:t>
      </w:r>
      <w:r>
        <w:rPr/>
        <w:t>Try</w:t>
      </w:r>
      <w:r>
        <w:rPr>
          <w:spacing w:val="-3"/>
        </w:rPr>
        <w:t> </w:t>
      </w:r>
      <w:r>
        <w:rPr/>
        <w:t>refer to unconverted and converted tries respectively.</w:t>
      </w:r>
      <w:r>
        <w:rPr>
          <w:spacing w:val="33"/>
        </w:rPr>
        <w:t> </w:t>
      </w:r>
      <w:r>
        <w:rPr/>
        <w:t>Whole league KDE is reproduced </w:t>
      </w:r>
      <w:r>
        <w:rPr/>
        <w:t>from Chapter</w:t>
      </w:r>
      <w:r>
        <w:rPr>
          <w:color w:val="0000FF"/>
        </w:rPr>
        <w:t>5</w:t>
      </w:r>
      <w:r>
        <w:rPr/>
        <w:t>to provide an understanding of location densities.</w:t>
      </w:r>
      <w:r>
        <w:rPr>
          <w:spacing w:val="40"/>
        </w:rPr>
        <w:t> </w:t>
      </w:r>
      <w:r>
        <w:rPr/>
        <w:t>Brighter colours indicate</w:t>
      </w:r>
      <w:r>
        <w:rPr>
          <w:spacing w:val="40"/>
        </w:rPr>
        <w:t> </w:t>
      </w:r>
      <w:r>
        <w:rPr/>
        <w:t>higher values.</w:t>
      </w:r>
    </w:p>
    <w:p>
      <w:pPr>
        <w:pStyle w:val="BodyText"/>
        <w:spacing w:before="3"/>
        <w:rPr>
          <w:sz w:val="34"/>
        </w:rPr>
      </w:pPr>
    </w:p>
    <w:p>
      <w:pPr>
        <w:pStyle w:val="Heading3"/>
        <w:numPr>
          <w:ilvl w:val="2"/>
          <w:numId w:val="24"/>
        </w:numPr>
        <w:tabs>
          <w:tab w:pos="1471" w:val="left" w:leader="none"/>
          <w:tab w:pos="1472" w:val="left" w:leader="none"/>
        </w:tabs>
        <w:spacing w:line="240" w:lineRule="auto" w:before="0" w:after="0"/>
        <w:ind w:left="1471" w:right="0" w:hanging="862"/>
        <w:jc w:val="left"/>
      </w:pPr>
      <w:bookmarkStart w:name="6.3.2 Evaluation of Team Performances" w:id="344"/>
      <w:bookmarkEnd w:id="344"/>
      <w:r>
        <w:rPr>
          <w:b w:val="0"/>
        </w:rPr>
      </w:r>
      <w:bookmarkStart w:name="_bookmark202" w:id="345"/>
      <w:bookmarkEnd w:id="345"/>
      <w:r>
        <w:rPr/>
        <w:t>E</w:t>
      </w:r>
      <w:r>
        <w:rPr/>
        <w:t>valuation</w:t>
      </w:r>
      <w:r>
        <w:rPr>
          <w:spacing w:val="5"/>
        </w:rPr>
        <w:t> </w:t>
      </w:r>
      <w:r>
        <w:rPr/>
        <w:t>of</w:t>
      </w:r>
      <w:r>
        <w:rPr>
          <w:spacing w:val="6"/>
        </w:rPr>
        <w:t> </w:t>
      </w:r>
      <w:r>
        <w:rPr/>
        <w:t>Team</w:t>
      </w:r>
      <w:r>
        <w:rPr>
          <w:spacing w:val="6"/>
        </w:rPr>
        <w:t> </w:t>
      </w:r>
      <w:r>
        <w:rPr>
          <w:spacing w:val="-2"/>
        </w:rPr>
        <w:t>Performances</w:t>
      </w:r>
    </w:p>
    <w:p>
      <w:pPr>
        <w:pStyle w:val="BodyText"/>
        <w:spacing w:line="312" w:lineRule="auto" w:before="236"/>
        <w:ind w:left="610" w:right="389"/>
        <w:jc w:val="both"/>
      </w:pPr>
      <w:r>
        <w:rPr/>
        <w:t>To</w:t>
      </w:r>
      <w:r>
        <w:rPr>
          <w:spacing w:val="-12"/>
        </w:rPr>
        <w:t> </w:t>
      </w:r>
      <w:r>
        <w:rPr/>
        <w:t>evaluate</w:t>
      </w:r>
      <w:r>
        <w:rPr>
          <w:spacing w:val="-12"/>
        </w:rPr>
        <w:t> </w:t>
      </w:r>
      <w:r>
        <w:rPr/>
        <w:t>performances</w:t>
      </w:r>
      <w:r>
        <w:rPr>
          <w:spacing w:val="-12"/>
        </w:rPr>
        <w:t> </w:t>
      </w:r>
      <w:r>
        <w:rPr/>
        <w:t>at</w:t>
      </w:r>
      <w:r>
        <w:rPr>
          <w:spacing w:val="-12"/>
        </w:rPr>
        <w:t> </w:t>
      </w:r>
      <w:r>
        <w:rPr/>
        <w:t>a</w:t>
      </w:r>
      <w:r>
        <w:rPr>
          <w:spacing w:val="-12"/>
        </w:rPr>
        <w:t> </w:t>
      </w:r>
      <w:r>
        <w:rPr/>
        <w:t>team</w:t>
      </w:r>
      <w:r>
        <w:rPr>
          <w:spacing w:val="-12"/>
        </w:rPr>
        <w:t> </w:t>
      </w:r>
      <w:r>
        <w:rPr/>
        <w:t>level,</w:t>
      </w:r>
      <w:r>
        <w:rPr>
          <w:spacing w:val="-11"/>
        </w:rPr>
        <w:t> </w:t>
      </w:r>
      <w:r>
        <w:rPr/>
        <w:t>individual</w:t>
      </w:r>
      <w:r>
        <w:rPr>
          <w:spacing w:val="-12"/>
        </w:rPr>
        <w:t> </w:t>
      </w:r>
      <w:r>
        <w:rPr/>
        <w:t>EPV</w:t>
      </w:r>
      <w:r>
        <w:rPr>
          <w:spacing w:val="-12"/>
        </w:rPr>
        <w:t> </w:t>
      </w:r>
      <w:r>
        <w:rPr/>
        <w:t>models</w:t>
      </w:r>
      <w:r>
        <w:rPr>
          <w:spacing w:val="-12"/>
        </w:rPr>
        <w:t> </w:t>
      </w:r>
      <w:r>
        <w:rPr/>
        <w:t>were</w:t>
      </w:r>
      <w:r>
        <w:rPr>
          <w:spacing w:val="-12"/>
        </w:rPr>
        <w:t> </w:t>
      </w:r>
      <w:r>
        <w:rPr/>
        <w:t>produced</w:t>
      </w:r>
      <w:r>
        <w:rPr>
          <w:spacing w:val="-12"/>
        </w:rPr>
        <w:t> </w:t>
      </w:r>
      <w:r>
        <w:rPr/>
        <w:t>for</w:t>
      </w:r>
      <w:r>
        <w:rPr>
          <w:spacing w:val="-12"/>
        </w:rPr>
        <w:t> </w:t>
      </w:r>
      <w:r>
        <w:rPr/>
        <w:t>each team’s attacking and defensive data subsets.</w:t>
      </w:r>
      <w:r>
        <w:rPr>
          <w:spacing w:val="40"/>
        </w:rPr>
        <w:t> </w:t>
      </w:r>
      <w:r>
        <w:rPr/>
        <w:t>The team attacking models provided an understanding</w:t>
      </w:r>
      <w:r>
        <w:rPr>
          <w:spacing w:val="-3"/>
        </w:rPr>
        <w:t> </w:t>
      </w:r>
      <w:r>
        <w:rPr/>
        <w:t>of</w:t>
      </w:r>
      <w:r>
        <w:rPr>
          <w:spacing w:val="-3"/>
        </w:rPr>
        <w:t> </w:t>
      </w:r>
      <w:r>
        <w:rPr/>
        <w:t>the</w:t>
      </w:r>
      <w:r>
        <w:rPr>
          <w:spacing w:val="-3"/>
        </w:rPr>
        <w:t> </w:t>
      </w:r>
      <w:r>
        <w:rPr/>
        <w:t>probabilities</w:t>
      </w:r>
      <w:r>
        <w:rPr>
          <w:spacing w:val="-3"/>
        </w:rPr>
        <w:t> </w:t>
      </w:r>
      <w:r>
        <w:rPr/>
        <w:t>of</w:t>
      </w:r>
      <w:r>
        <w:rPr>
          <w:spacing w:val="-3"/>
        </w:rPr>
        <w:t> </w:t>
      </w:r>
      <w:r>
        <w:rPr/>
        <w:t>a</w:t>
      </w:r>
      <w:r>
        <w:rPr>
          <w:spacing w:val="-3"/>
        </w:rPr>
        <w:t> </w:t>
      </w:r>
      <w:r>
        <w:rPr/>
        <w:t>team</w:t>
      </w:r>
      <w:r>
        <w:rPr>
          <w:spacing w:val="-3"/>
        </w:rPr>
        <w:t> </w:t>
      </w:r>
      <w:r>
        <w:rPr/>
        <w:t>achieving</w:t>
      </w:r>
      <w:r>
        <w:rPr>
          <w:spacing w:val="-3"/>
        </w:rPr>
        <w:t> </w:t>
      </w:r>
      <w:r>
        <w:rPr/>
        <w:t>a</w:t>
      </w:r>
      <w:r>
        <w:rPr>
          <w:spacing w:val="-3"/>
        </w:rPr>
        <w:t> </w:t>
      </w:r>
      <w:r>
        <w:rPr/>
        <w:t>given</w:t>
      </w:r>
      <w:r>
        <w:rPr>
          <w:spacing w:val="-3"/>
        </w:rPr>
        <w:t> </w:t>
      </w:r>
      <w:r>
        <w:rPr/>
        <w:t>possession</w:t>
      </w:r>
      <w:r>
        <w:rPr>
          <w:spacing w:val="-3"/>
        </w:rPr>
        <w:t> </w:t>
      </w:r>
      <w:r>
        <w:rPr/>
        <w:t>outcome</w:t>
      </w:r>
      <w:r>
        <w:rPr>
          <w:spacing w:val="-3"/>
        </w:rPr>
        <w:t> </w:t>
      </w:r>
      <w:r>
        <w:rPr/>
        <w:t>at</w:t>
      </w:r>
      <w:r>
        <w:rPr>
          <w:spacing w:val="-3"/>
        </w:rPr>
        <w:t> </w:t>
      </w:r>
      <w:r>
        <w:rPr/>
        <w:t>the end of their possession for any given location.</w:t>
      </w:r>
      <w:r>
        <w:rPr>
          <w:spacing w:val="33"/>
        </w:rPr>
        <w:t> </w:t>
      </w:r>
      <w:r>
        <w:rPr/>
        <w:t>The team defending model estimated the probabilities</w:t>
      </w:r>
      <w:r>
        <w:rPr>
          <w:spacing w:val="22"/>
        </w:rPr>
        <w:t> </w:t>
      </w:r>
      <w:r>
        <w:rPr/>
        <w:t>of</w:t>
      </w:r>
      <w:r>
        <w:rPr>
          <w:spacing w:val="22"/>
        </w:rPr>
        <w:t> </w:t>
      </w:r>
      <w:r>
        <w:rPr/>
        <w:t>any</w:t>
      </w:r>
      <w:r>
        <w:rPr>
          <w:spacing w:val="23"/>
        </w:rPr>
        <w:t> </w:t>
      </w:r>
      <w:r>
        <w:rPr/>
        <w:t>opposition</w:t>
      </w:r>
      <w:r>
        <w:rPr>
          <w:spacing w:val="22"/>
        </w:rPr>
        <w:t> </w:t>
      </w:r>
      <w:r>
        <w:rPr/>
        <w:t>team</w:t>
      </w:r>
      <w:r>
        <w:rPr>
          <w:spacing w:val="23"/>
        </w:rPr>
        <w:t> </w:t>
      </w:r>
      <w:r>
        <w:rPr/>
        <w:t>achieving</w:t>
      </w:r>
      <w:r>
        <w:rPr>
          <w:spacing w:val="22"/>
        </w:rPr>
        <w:t> </w:t>
      </w:r>
      <w:r>
        <w:rPr/>
        <w:t>a</w:t>
      </w:r>
      <w:r>
        <w:rPr>
          <w:spacing w:val="22"/>
        </w:rPr>
        <w:t> </w:t>
      </w:r>
      <w:r>
        <w:rPr/>
        <w:t>given</w:t>
      </w:r>
      <w:r>
        <w:rPr>
          <w:spacing w:val="23"/>
        </w:rPr>
        <w:t> </w:t>
      </w:r>
      <w:r>
        <w:rPr/>
        <w:t>possession</w:t>
      </w:r>
      <w:r>
        <w:rPr>
          <w:spacing w:val="22"/>
        </w:rPr>
        <w:t> </w:t>
      </w:r>
      <w:r>
        <w:rPr/>
        <w:t>outcome</w:t>
      </w:r>
      <w:r>
        <w:rPr>
          <w:spacing w:val="23"/>
        </w:rPr>
        <w:t> </w:t>
      </w:r>
      <w:r>
        <w:rPr/>
        <w:t>at</w:t>
      </w:r>
      <w:r>
        <w:rPr>
          <w:spacing w:val="22"/>
        </w:rPr>
        <w:t> </w:t>
      </w:r>
      <w:r>
        <w:rPr/>
        <w:t>the</w:t>
      </w:r>
      <w:r>
        <w:rPr>
          <w:spacing w:val="22"/>
        </w:rPr>
        <w:t> </w:t>
      </w:r>
      <w:r>
        <w:rPr>
          <w:spacing w:val="-5"/>
        </w:rPr>
        <w:t>end</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0"/>
        <w:rPr>
          <w:sz w:val="15"/>
        </w:rPr>
      </w:pPr>
    </w:p>
    <w:p>
      <w:pPr>
        <w:pStyle w:val="BodyText"/>
        <w:ind w:left="1460"/>
        <w:rPr>
          <w:sz w:val="20"/>
        </w:rPr>
      </w:pPr>
      <w:r>
        <w:rPr>
          <w:sz w:val="20"/>
        </w:rPr>
        <w:drawing>
          <wp:inline distT="0" distB="0" distL="0" distR="0">
            <wp:extent cx="4279392" cy="4718304"/>
            <wp:effectExtent l="0" t="0" r="0" b="0"/>
            <wp:docPr id="107" name="image54.jpeg"/>
            <wp:cNvGraphicFramePr>
              <a:graphicFrameLocks noChangeAspect="1"/>
            </wp:cNvGraphicFramePr>
            <a:graphic>
              <a:graphicData uri="http://schemas.openxmlformats.org/drawingml/2006/picture">
                <pic:pic>
                  <pic:nvPicPr>
                    <pic:cNvPr id="108" name="image54.jpeg"/>
                    <pic:cNvPicPr/>
                  </pic:nvPicPr>
                  <pic:blipFill>
                    <a:blip r:embed="rId132" cstate="print"/>
                    <a:stretch>
                      <a:fillRect/>
                    </a:stretch>
                  </pic:blipFill>
                  <pic:spPr>
                    <a:xfrm>
                      <a:off x="0" y="0"/>
                      <a:ext cx="4279392" cy="4718304"/>
                    </a:xfrm>
                    <a:prstGeom prst="rect">
                      <a:avLst/>
                    </a:prstGeom>
                  </pic:spPr>
                </pic:pic>
              </a:graphicData>
            </a:graphic>
          </wp:inline>
        </w:drawing>
      </w:r>
      <w:r>
        <w:rPr>
          <w:sz w:val="20"/>
        </w:rPr>
      </w:r>
    </w:p>
    <w:p>
      <w:pPr>
        <w:pStyle w:val="BodyText"/>
        <w:spacing w:before="5"/>
        <w:rPr>
          <w:sz w:val="27"/>
        </w:rPr>
      </w:pPr>
    </w:p>
    <w:p>
      <w:pPr>
        <w:pStyle w:val="BodyText"/>
        <w:spacing w:line="252" w:lineRule="auto" w:before="106"/>
        <w:ind w:left="610" w:right="389"/>
        <w:jc w:val="both"/>
      </w:pPr>
      <w:bookmarkStart w:name="_bookmark203" w:id="346"/>
      <w:bookmarkEnd w:id="346"/>
      <w:r>
        <w:rPr/>
      </w:r>
      <w:r>
        <w:rPr>
          <w:b/>
        </w:rPr>
        <w:t>Figure</w:t>
      </w:r>
      <w:r>
        <w:rPr>
          <w:b/>
          <w:spacing w:val="-13"/>
        </w:rPr>
        <w:t> </w:t>
      </w:r>
      <w:r>
        <w:rPr>
          <w:b/>
        </w:rPr>
        <w:t>6.4: </w:t>
      </w:r>
      <w:r>
        <w:rPr/>
        <w:t>Castleford</w:t>
      </w:r>
      <w:r>
        <w:rPr>
          <w:spacing w:val="-13"/>
        </w:rPr>
        <w:t> </w:t>
      </w:r>
      <w:r>
        <w:rPr/>
        <w:t>smooth</w:t>
      </w:r>
      <w:r>
        <w:rPr>
          <w:spacing w:val="-13"/>
        </w:rPr>
        <w:t> </w:t>
      </w:r>
      <w:r>
        <w:rPr/>
        <w:t>pitch</w:t>
      </w:r>
      <w:r>
        <w:rPr>
          <w:spacing w:val="-13"/>
        </w:rPr>
        <w:t> </w:t>
      </w:r>
      <w:r>
        <w:rPr/>
        <w:t>surface</w:t>
      </w:r>
      <w:r>
        <w:rPr>
          <w:spacing w:val="-13"/>
        </w:rPr>
        <w:t> </w:t>
      </w:r>
      <w:r>
        <w:rPr/>
        <w:t>plot</w:t>
      </w:r>
      <w:r>
        <w:rPr>
          <w:spacing w:val="-13"/>
        </w:rPr>
        <w:t> </w:t>
      </w:r>
      <w:r>
        <w:rPr/>
        <w:t>from</w:t>
      </w:r>
      <w:r>
        <w:rPr>
          <w:spacing w:val="-13"/>
        </w:rPr>
        <w:t> </w:t>
      </w:r>
      <w:r>
        <w:rPr/>
        <w:t>team</w:t>
      </w:r>
      <w:r>
        <w:rPr>
          <w:spacing w:val="-13"/>
        </w:rPr>
        <w:t> </w:t>
      </w:r>
      <w:r>
        <w:rPr/>
        <w:t>attacking</w:t>
      </w:r>
      <w:r>
        <w:rPr>
          <w:spacing w:val="-13"/>
        </w:rPr>
        <w:t> </w:t>
      </w:r>
      <w:r>
        <w:rPr/>
        <w:t>model. Green</w:t>
      </w:r>
      <w:r>
        <w:rPr>
          <w:spacing w:val="-13"/>
        </w:rPr>
        <w:t> </w:t>
      </w:r>
      <w:r>
        <w:rPr/>
        <w:t>areas represent higher value for more favourable event (i.e.</w:t>
      </w:r>
      <w:r>
        <w:rPr>
          <w:spacing w:val="40"/>
        </w:rPr>
        <w:t> </w:t>
      </w:r>
      <w:r>
        <w:rPr/>
        <w:t>greater probability of all events occurring</w:t>
      </w:r>
      <w:r>
        <w:rPr>
          <w:spacing w:val="-2"/>
        </w:rPr>
        <w:t> </w:t>
      </w:r>
      <w:r>
        <w:rPr/>
        <w:t>except</w:t>
      </w:r>
      <w:r>
        <w:rPr>
          <w:spacing w:val="-2"/>
        </w:rPr>
        <w:t> </w:t>
      </w:r>
      <w:r>
        <w:rPr/>
        <w:t>No</w:t>
      </w:r>
      <w:r>
        <w:rPr>
          <w:spacing w:val="-2"/>
        </w:rPr>
        <w:t> </w:t>
      </w:r>
      <w:r>
        <w:rPr/>
        <w:t>Points)</w:t>
      </w:r>
      <w:r>
        <w:rPr>
          <w:spacing w:val="-2"/>
        </w:rPr>
        <w:t> </w:t>
      </w:r>
      <w:r>
        <w:rPr/>
        <w:t>compared</w:t>
      </w:r>
      <w:r>
        <w:rPr>
          <w:spacing w:val="-2"/>
        </w:rPr>
        <w:t> </w:t>
      </w:r>
      <w:r>
        <w:rPr/>
        <w:t>to</w:t>
      </w:r>
      <w:r>
        <w:rPr>
          <w:spacing w:val="-2"/>
        </w:rPr>
        <w:t> </w:t>
      </w:r>
      <w:r>
        <w:rPr/>
        <w:t>whole</w:t>
      </w:r>
      <w:r>
        <w:rPr>
          <w:spacing w:val="-2"/>
        </w:rPr>
        <w:t> </w:t>
      </w:r>
      <w:r>
        <w:rPr/>
        <w:t>league</w:t>
      </w:r>
      <w:r>
        <w:rPr>
          <w:spacing w:val="-2"/>
        </w:rPr>
        <w:t> </w:t>
      </w:r>
      <w:r>
        <w:rPr/>
        <w:t>model. 4pt</w:t>
      </w:r>
      <w:r>
        <w:rPr>
          <w:spacing w:val="-2"/>
        </w:rPr>
        <w:t> </w:t>
      </w:r>
      <w:r>
        <w:rPr/>
        <w:t>Try</w:t>
      </w:r>
      <w:r>
        <w:rPr>
          <w:spacing w:val="-2"/>
        </w:rPr>
        <w:t> </w:t>
      </w:r>
      <w:r>
        <w:rPr/>
        <w:t>and</w:t>
      </w:r>
      <w:r>
        <w:rPr>
          <w:spacing w:val="-2"/>
        </w:rPr>
        <w:t> </w:t>
      </w:r>
      <w:r>
        <w:rPr/>
        <w:t>6pt</w:t>
      </w:r>
      <w:r>
        <w:rPr>
          <w:spacing w:val="-2"/>
        </w:rPr>
        <w:t> </w:t>
      </w:r>
      <w:r>
        <w:rPr/>
        <w:t>Try</w:t>
      </w:r>
      <w:r>
        <w:rPr>
          <w:spacing w:val="-2"/>
        </w:rPr>
        <w:t> </w:t>
      </w:r>
      <w:r>
        <w:rPr/>
        <w:t>refer to unconverted and converted tries respectively.</w:t>
      </w:r>
    </w:p>
    <w:p>
      <w:pPr>
        <w:pStyle w:val="BodyText"/>
        <w:spacing w:before="1"/>
        <w:rPr>
          <w:sz w:val="37"/>
        </w:rPr>
      </w:pPr>
    </w:p>
    <w:p>
      <w:pPr>
        <w:pStyle w:val="BodyText"/>
        <w:spacing w:line="312" w:lineRule="auto"/>
        <w:ind w:left="610" w:right="389"/>
        <w:jc w:val="both"/>
      </w:pPr>
      <w:r>
        <w:rPr/>
        <w:pict>
          <v:shape style="position:absolute;margin-left:293.812012pt;margin-top:61.110756pt;width:10.2pt;height:9.65pt;mso-position-horizontal-relative:page;mso-position-vertical-relative:paragraph;z-index:-21716480" type="#_x0000_t202" id="docshape213" filled="false" stroked="false">
            <v:textbox inset="0,0,0,0">
              <w:txbxContent>
                <w:p>
                  <w:pPr>
                    <w:spacing w:line="182" w:lineRule="exact" w:before="0"/>
                    <w:ind w:left="0" w:right="0" w:firstLine="0"/>
                    <w:jc w:val="left"/>
                    <w:rPr>
                      <w:sz w:val="16"/>
                    </w:rPr>
                  </w:pPr>
                  <w:r>
                    <w:rPr>
                      <w:spacing w:val="-5"/>
                      <w:sz w:val="16"/>
                    </w:rPr>
                    <w:t>def</w:t>
                  </w:r>
                </w:p>
              </w:txbxContent>
            </v:textbox>
            <w10:wrap type="none"/>
          </v:shape>
        </w:pict>
      </w:r>
      <w:r>
        <w:rPr/>
        <w:t>of their possession when controlling the ball at any given location against the defending team.</w:t>
      </w:r>
      <w:r>
        <w:rPr>
          <w:spacing w:val="40"/>
        </w:rPr>
        <w:t> </w:t>
      </w:r>
      <w:r>
        <w:rPr/>
        <w:t>As with the whole league model, the EPV was derived from these </w:t>
      </w:r>
      <w:r>
        <w:rPr/>
        <w:t>possession outcome probabilities (Equation</w:t>
      </w:r>
      <w:hyperlink w:history="true" w:anchor="_bookmark189">
        <w:r>
          <w:rPr>
            <w:color w:val="0000FF"/>
          </w:rPr>
          <w:t>6.10</w:t>
        </w:r>
      </w:hyperlink>
      <w:r>
        <w:rPr/>
        <w:t>).</w:t>
      </w:r>
      <w:r>
        <w:rPr>
          <w:spacing w:val="40"/>
        </w:rPr>
        <w:t> </w:t>
      </w:r>
      <w:r>
        <w:rPr/>
        <w:t>Each team’s smooth EPV pitch surfaces for the</w:t>
      </w:r>
    </w:p>
    <w:p>
      <w:pPr>
        <w:spacing w:after="0" w:line="312" w:lineRule="auto"/>
        <w:jc w:val="both"/>
        <w:sectPr>
          <w:pgSz w:w="11910" w:h="16840"/>
          <w:pgMar w:header="1961" w:footer="1428" w:top="2280" w:bottom="1620" w:left="1680" w:right="720"/>
        </w:sectPr>
      </w:pPr>
    </w:p>
    <w:p>
      <w:pPr>
        <w:pStyle w:val="BodyText"/>
        <w:spacing w:before="1"/>
        <w:ind w:left="610"/>
        <w:rPr>
          <w:rFonts w:ascii="Cambria" w:hAnsi="Cambria"/>
        </w:rPr>
      </w:pPr>
      <w:r>
        <w:rPr/>
        <w:pict>
          <v:shape style="position:absolute;margin-left:185.119995pt;margin-top:6.496978pt;width:8pt;height:9.65pt;mso-position-horizontal-relative:page;mso-position-vertical-relative:paragraph;z-index:-21716992" type="#_x0000_t202" id="docshape214" filled="false" stroked="false">
            <v:textbox inset="0,0,0,0">
              <w:txbxContent>
                <w:p>
                  <w:pPr>
                    <w:spacing w:line="182" w:lineRule="exact" w:before="0"/>
                    <w:ind w:left="0" w:right="0" w:firstLine="0"/>
                    <w:jc w:val="left"/>
                    <w:rPr>
                      <w:sz w:val="16"/>
                    </w:rPr>
                  </w:pPr>
                  <w:r>
                    <w:rPr>
                      <w:spacing w:val="-5"/>
                      <w:sz w:val="16"/>
                    </w:rPr>
                    <w:t>att</w:t>
                  </w:r>
                </w:p>
              </w:txbxContent>
            </v:textbox>
            <w10:wrap type="none"/>
          </v:shape>
        </w:pict>
      </w:r>
      <w:r>
        <w:rPr/>
        <w:t>attacking</w:t>
      </w:r>
      <w:r>
        <w:rPr>
          <w:spacing w:val="14"/>
        </w:rPr>
        <w:t> </w:t>
      </w:r>
      <w:r>
        <w:rPr>
          <w:spacing w:val="-4"/>
        </w:rPr>
        <w:t>EPV</w:t>
      </w:r>
      <w:r>
        <w:rPr>
          <w:rFonts w:ascii="Cambria" w:hAnsi="Cambria"/>
          <w:spacing w:val="-4"/>
          <w:vertAlign w:val="superscript"/>
        </w:rPr>
        <w:t>µ</w:t>
      </w:r>
    </w:p>
    <w:p>
      <w:pPr>
        <w:pStyle w:val="BodyText"/>
        <w:spacing w:before="1"/>
        <w:ind w:left="111"/>
        <w:rPr>
          <w:rFonts w:ascii="Cambria" w:hAnsi="Cambria"/>
        </w:rPr>
      </w:pPr>
      <w:r>
        <w:rPr/>
        <w:br w:type="column"/>
      </w:r>
      <w:r>
        <w:rPr/>
        <w:t>and</w:t>
      </w:r>
      <w:r>
        <w:rPr>
          <w:spacing w:val="16"/>
        </w:rPr>
        <w:t> </w:t>
      </w:r>
      <w:r>
        <w:rPr/>
        <w:t>defending</w:t>
      </w:r>
      <w:r>
        <w:rPr>
          <w:spacing w:val="16"/>
        </w:rPr>
        <w:t> </w:t>
      </w:r>
      <w:r>
        <w:rPr>
          <w:spacing w:val="-4"/>
        </w:rPr>
        <w:t>EPV</w:t>
      </w:r>
      <w:r>
        <w:rPr>
          <w:rFonts w:ascii="Cambria" w:hAnsi="Cambria"/>
          <w:spacing w:val="-4"/>
          <w:vertAlign w:val="superscript"/>
        </w:rPr>
        <w:t>µ</w:t>
      </w:r>
    </w:p>
    <w:p>
      <w:pPr>
        <w:pStyle w:val="BodyText"/>
        <w:spacing w:before="5"/>
        <w:ind w:left="155"/>
      </w:pPr>
      <w:r>
        <w:rPr/>
        <w:br w:type="column"/>
      </w:r>
      <w:r>
        <w:rPr/>
        <w:t>models</w:t>
      </w:r>
      <w:r>
        <w:rPr>
          <w:spacing w:val="18"/>
        </w:rPr>
        <w:t> </w:t>
      </w:r>
      <w:r>
        <w:rPr/>
        <w:t>were</w:t>
      </w:r>
      <w:r>
        <w:rPr>
          <w:spacing w:val="19"/>
        </w:rPr>
        <w:t> </w:t>
      </w:r>
      <w:r>
        <w:rPr/>
        <w:t>used</w:t>
      </w:r>
      <w:r>
        <w:rPr>
          <w:spacing w:val="19"/>
        </w:rPr>
        <w:t> </w:t>
      </w:r>
      <w:r>
        <w:rPr/>
        <w:t>in</w:t>
      </w:r>
      <w:r>
        <w:rPr>
          <w:spacing w:val="18"/>
        </w:rPr>
        <w:t> </w:t>
      </w:r>
      <w:r>
        <w:rPr/>
        <w:t>the</w:t>
      </w:r>
      <w:r>
        <w:rPr>
          <w:spacing w:val="19"/>
        </w:rPr>
        <w:t> </w:t>
      </w:r>
      <w:r>
        <w:rPr/>
        <w:t>calculation</w:t>
      </w:r>
      <w:r>
        <w:rPr>
          <w:spacing w:val="19"/>
        </w:rPr>
        <w:t> </w:t>
      </w:r>
      <w:r>
        <w:rPr/>
        <w:t>of</w:t>
      </w:r>
      <w:r>
        <w:rPr>
          <w:spacing w:val="18"/>
        </w:rPr>
        <w:t> </w:t>
      </w:r>
      <w:r>
        <w:rPr/>
        <w:t>a</w:t>
      </w:r>
      <w:r>
        <w:rPr>
          <w:spacing w:val="19"/>
        </w:rPr>
        <w:t> </w:t>
      </w:r>
      <w:r>
        <w:rPr>
          <w:spacing w:val="-4"/>
        </w:rPr>
        <w:t>novel</w:t>
      </w:r>
    </w:p>
    <w:p>
      <w:pPr>
        <w:spacing w:after="0"/>
        <w:sectPr>
          <w:type w:val="continuous"/>
          <w:pgSz w:w="11910" w:h="16840"/>
          <w:pgMar w:header="1961" w:footer="1428" w:top="1920" w:bottom="280" w:left="1680" w:right="720"/>
          <w:cols w:num="3" w:equalWidth="0">
            <w:col w:w="2125" w:space="40"/>
            <w:col w:w="2134" w:space="39"/>
            <w:col w:w="5172"/>
          </w:cols>
        </w:sectPr>
      </w:pPr>
    </w:p>
    <w:p>
      <w:pPr>
        <w:pStyle w:val="BodyText"/>
        <w:spacing w:before="81"/>
        <w:ind w:left="610"/>
      </w:pPr>
      <w:r>
        <w:rPr/>
        <w:t>expected</w:t>
      </w:r>
      <w:r>
        <w:rPr>
          <w:spacing w:val="-9"/>
        </w:rPr>
        <w:t> </w:t>
      </w:r>
      <w:r>
        <w:rPr/>
        <w:t>points</w:t>
      </w:r>
      <w:r>
        <w:rPr>
          <w:spacing w:val="-9"/>
        </w:rPr>
        <w:t> </w:t>
      </w:r>
      <w:r>
        <w:rPr/>
        <w:t>scored</w:t>
      </w:r>
      <w:r>
        <w:rPr>
          <w:spacing w:val="-9"/>
        </w:rPr>
        <w:t> </w:t>
      </w:r>
      <w:r>
        <w:rPr/>
        <w:t>metric</w:t>
      </w:r>
      <w:r>
        <w:rPr>
          <w:spacing w:val="-8"/>
        </w:rPr>
        <w:t> </w:t>
      </w:r>
      <w:r>
        <w:rPr>
          <w:spacing w:val="-2"/>
        </w:rPr>
        <w:t>(Equation</w:t>
      </w:r>
      <w:hyperlink w:history="true" w:anchor="_bookmark194">
        <w:r>
          <w:rPr>
            <w:color w:val="0000FF"/>
            <w:spacing w:val="-2"/>
          </w:rPr>
          <w:t>6.11</w:t>
        </w:r>
      </w:hyperlink>
      <w:r>
        <w:rPr>
          <w:spacing w:val="-2"/>
        </w:rPr>
        <w:t>).</w:t>
      </w:r>
    </w:p>
    <w:p>
      <w:pPr>
        <w:pStyle w:val="BodyText"/>
        <w:spacing w:before="82"/>
        <w:ind w:left="961"/>
      </w:pPr>
      <w:r>
        <w:rPr/>
        <w:t>Similar</w:t>
      </w:r>
      <w:r>
        <w:rPr>
          <w:spacing w:val="-11"/>
        </w:rPr>
        <w:t> </w:t>
      </w:r>
      <w:r>
        <w:rPr/>
        <w:t>to</w:t>
      </w:r>
      <w:r>
        <w:rPr>
          <w:spacing w:val="-11"/>
        </w:rPr>
        <w:t> </w:t>
      </w:r>
      <w:r>
        <w:rPr/>
        <w:t>the</w:t>
      </w:r>
      <w:r>
        <w:rPr>
          <w:spacing w:val="-10"/>
        </w:rPr>
        <w:t> </w:t>
      </w:r>
      <w:r>
        <w:rPr/>
        <w:t>whole</w:t>
      </w:r>
      <w:r>
        <w:rPr>
          <w:spacing w:val="-11"/>
        </w:rPr>
        <w:t> </w:t>
      </w:r>
      <w:r>
        <w:rPr/>
        <w:t>league</w:t>
      </w:r>
      <w:r>
        <w:rPr>
          <w:spacing w:val="-10"/>
        </w:rPr>
        <w:t> </w:t>
      </w:r>
      <w:r>
        <w:rPr/>
        <w:t>model,</w:t>
      </w:r>
      <w:r>
        <w:rPr>
          <w:spacing w:val="-10"/>
        </w:rPr>
        <w:t> </w:t>
      </w:r>
      <w:r>
        <w:rPr/>
        <w:t>visual</w:t>
      </w:r>
      <w:r>
        <w:rPr>
          <w:spacing w:val="-11"/>
        </w:rPr>
        <w:t> </w:t>
      </w:r>
      <w:r>
        <w:rPr/>
        <w:t>inspection</w:t>
      </w:r>
      <w:r>
        <w:rPr>
          <w:spacing w:val="-10"/>
        </w:rPr>
        <w:t> </w:t>
      </w:r>
      <w:r>
        <w:rPr/>
        <w:t>of</w:t>
      </w:r>
      <w:r>
        <w:rPr>
          <w:spacing w:val="-11"/>
        </w:rPr>
        <w:t> </w:t>
      </w:r>
      <w:r>
        <w:rPr/>
        <w:t>the</w:t>
      </w:r>
      <w:r>
        <w:rPr>
          <w:spacing w:val="-11"/>
        </w:rPr>
        <w:t> </w:t>
      </w:r>
      <w:r>
        <w:rPr/>
        <w:t>smooth</w:t>
      </w:r>
      <w:r>
        <w:rPr>
          <w:spacing w:val="-10"/>
        </w:rPr>
        <w:t> </w:t>
      </w:r>
      <w:r>
        <w:rPr/>
        <w:t>pitch</w:t>
      </w:r>
      <w:r>
        <w:rPr>
          <w:spacing w:val="-11"/>
        </w:rPr>
        <w:t> </w:t>
      </w:r>
      <w:r>
        <w:rPr/>
        <w:t>surface</w:t>
      </w:r>
      <w:r>
        <w:rPr>
          <w:spacing w:val="-10"/>
        </w:rPr>
        <w:t> </w:t>
      </w:r>
      <w:r>
        <w:rPr>
          <w:spacing w:val="-2"/>
        </w:rPr>
        <w:t>plots</w:t>
      </w:r>
    </w:p>
    <w:p>
      <w:pPr>
        <w:spacing w:after="0"/>
        <w:sectPr>
          <w:type w:val="continuous"/>
          <w:pgSz w:w="11910" w:h="16840"/>
          <w:pgMar w:header="1961" w:footer="1428" w:top="1920" w:bottom="280" w:left="1680" w:right="720"/>
        </w:sectPr>
      </w:pPr>
    </w:p>
    <w:p>
      <w:pPr>
        <w:pStyle w:val="BodyText"/>
        <w:rPr>
          <w:sz w:val="20"/>
        </w:rPr>
      </w:pPr>
    </w:p>
    <w:p>
      <w:pPr>
        <w:pStyle w:val="BodyText"/>
        <w:rPr>
          <w:sz w:val="20"/>
        </w:rPr>
      </w:pPr>
    </w:p>
    <w:p>
      <w:pPr>
        <w:pStyle w:val="BodyText"/>
        <w:spacing w:before="10"/>
        <w:rPr>
          <w:sz w:val="15"/>
        </w:rPr>
      </w:pPr>
    </w:p>
    <w:p>
      <w:pPr>
        <w:pStyle w:val="BodyText"/>
        <w:ind w:left="1460"/>
        <w:rPr>
          <w:sz w:val="20"/>
        </w:rPr>
      </w:pPr>
      <w:r>
        <w:rPr>
          <w:sz w:val="20"/>
        </w:rPr>
        <w:drawing>
          <wp:inline distT="0" distB="0" distL="0" distR="0">
            <wp:extent cx="4279392" cy="4718304"/>
            <wp:effectExtent l="0" t="0" r="0" b="0"/>
            <wp:docPr id="109" name="image55.jpeg"/>
            <wp:cNvGraphicFramePr>
              <a:graphicFrameLocks noChangeAspect="1"/>
            </wp:cNvGraphicFramePr>
            <a:graphic>
              <a:graphicData uri="http://schemas.openxmlformats.org/drawingml/2006/picture">
                <pic:pic>
                  <pic:nvPicPr>
                    <pic:cNvPr id="110" name="image55.jpeg"/>
                    <pic:cNvPicPr/>
                  </pic:nvPicPr>
                  <pic:blipFill>
                    <a:blip r:embed="rId133" cstate="print"/>
                    <a:stretch>
                      <a:fillRect/>
                    </a:stretch>
                  </pic:blipFill>
                  <pic:spPr>
                    <a:xfrm>
                      <a:off x="0" y="0"/>
                      <a:ext cx="4279392" cy="4718304"/>
                    </a:xfrm>
                    <a:prstGeom prst="rect">
                      <a:avLst/>
                    </a:prstGeom>
                  </pic:spPr>
                </pic:pic>
              </a:graphicData>
            </a:graphic>
          </wp:inline>
        </w:drawing>
      </w:r>
      <w:r>
        <w:rPr>
          <w:sz w:val="20"/>
        </w:rPr>
      </w:r>
    </w:p>
    <w:p>
      <w:pPr>
        <w:pStyle w:val="BodyText"/>
        <w:rPr>
          <w:sz w:val="20"/>
        </w:rPr>
      </w:pPr>
    </w:p>
    <w:p>
      <w:pPr>
        <w:pStyle w:val="BodyText"/>
        <w:spacing w:line="252" w:lineRule="auto" w:before="224"/>
        <w:ind w:left="610" w:right="389"/>
        <w:jc w:val="both"/>
      </w:pPr>
      <w:bookmarkStart w:name="_bookmark204" w:id="347"/>
      <w:bookmarkEnd w:id="347"/>
      <w:r>
        <w:rPr/>
      </w:r>
      <w:r>
        <w:rPr>
          <w:b/>
        </w:rPr>
        <w:t>Figure 6.5: </w:t>
      </w:r>
      <w:r>
        <w:rPr/>
        <w:t>Catalans smooth pitch surface plot from team attacking model.</w:t>
      </w:r>
      <w:r>
        <w:rPr>
          <w:spacing w:val="27"/>
        </w:rPr>
        <w:t> </w:t>
      </w:r>
      <w:r>
        <w:rPr/>
        <w:t>Green areas represent higher value for more favourable event (i.e.</w:t>
      </w:r>
      <w:r>
        <w:rPr>
          <w:spacing w:val="40"/>
        </w:rPr>
        <w:t> </w:t>
      </w:r>
      <w:r>
        <w:rPr/>
        <w:t>greater probability of all </w:t>
      </w:r>
      <w:r>
        <w:rPr/>
        <w:t>events occurring</w:t>
      </w:r>
      <w:r>
        <w:rPr>
          <w:spacing w:val="-2"/>
        </w:rPr>
        <w:t> </w:t>
      </w:r>
      <w:r>
        <w:rPr/>
        <w:t>except</w:t>
      </w:r>
      <w:r>
        <w:rPr>
          <w:spacing w:val="-2"/>
        </w:rPr>
        <w:t> </w:t>
      </w:r>
      <w:r>
        <w:rPr/>
        <w:t>No</w:t>
      </w:r>
      <w:r>
        <w:rPr>
          <w:spacing w:val="-2"/>
        </w:rPr>
        <w:t> </w:t>
      </w:r>
      <w:r>
        <w:rPr/>
        <w:t>Points)</w:t>
      </w:r>
      <w:r>
        <w:rPr>
          <w:spacing w:val="-2"/>
        </w:rPr>
        <w:t> </w:t>
      </w:r>
      <w:r>
        <w:rPr/>
        <w:t>compared</w:t>
      </w:r>
      <w:r>
        <w:rPr>
          <w:spacing w:val="-2"/>
        </w:rPr>
        <w:t> </w:t>
      </w:r>
      <w:r>
        <w:rPr/>
        <w:t>to</w:t>
      </w:r>
      <w:r>
        <w:rPr>
          <w:spacing w:val="-2"/>
        </w:rPr>
        <w:t> </w:t>
      </w:r>
      <w:r>
        <w:rPr/>
        <w:t>whole</w:t>
      </w:r>
      <w:r>
        <w:rPr>
          <w:spacing w:val="-2"/>
        </w:rPr>
        <w:t> </w:t>
      </w:r>
      <w:r>
        <w:rPr/>
        <w:t>league</w:t>
      </w:r>
      <w:r>
        <w:rPr>
          <w:spacing w:val="-2"/>
        </w:rPr>
        <w:t> </w:t>
      </w:r>
      <w:r>
        <w:rPr/>
        <w:t>model. 4pt</w:t>
      </w:r>
      <w:r>
        <w:rPr>
          <w:spacing w:val="-2"/>
        </w:rPr>
        <w:t> </w:t>
      </w:r>
      <w:r>
        <w:rPr/>
        <w:t>Try</w:t>
      </w:r>
      <w:r>
        <w:rPr>
          <w:spacing w:val="-2"/>
        </w:rPr>
        <w:t> </w:t>
      </w:r>
      <w:r>
        <w:rPr/>
        <w:t>and</w:t>
      </w:r>
      <w:r>
        <w:rPr>
          <w:spacing w:val="-2"/>
        </w:rPr>
        <w:t> </w:t>
      </w:r>
      <w:r>
        <w:rPr/>
        <w:t>6pt</w:t>
      </w:r>
      <w:r>
        <w:rPr>
          <w:spacing w:val="-2"/>
        </w:rPr>
        <w:t> </w:t>
      </w:r>
      <w:r>
        <w:rPr/>
        <w:t>Try</w:t>
      </w:r>
      <w:r>
        <w:rPr>
          <w:spacing w:val="-2"/>
        </w:rPr>
        <w:t> </w:t>
      </w:r>
      <w:r>
        <w:rPr/>
        <w:t>refer to unconverted and converted tries respectively.</w:t>
      </w:r>
    </w:p>
    <w:p>
      <w:pPr>
        <w:pStyle w:val="BodyText"/>
        <w:spacing w:before="7"/>
        <w:rPr>
          <w:sz w:val="28"/>
        </w:rPr>
      </w:pPr>
    </w:p>
    <w:p>
      <w:pPr>
        <w:pStyle w:val="BodyText"/>
        <w:spacing w:line="358" w:lineRule="exact"/>
        <w:ind w:left="610" w:right="389"/>
      </w:pPr>
      <w:r>
        <w:rPr/>
        <w:t>produced for each team could be used to evaluate their strengths and weaknesses across the pitch. Figures</w:t>
      </w:r>
      <w:hyperlink w:history="true" w:anchor="_bookmark203">
        <w:r>
          <w:rPr>
            <w:color w:val="0000FF"/>
          </w:rPr>
          <w:t>6.4</w:t>
        </w:r>
        <w:r>
          <w:rPr/>
          <w:t>,</w:t>
        </w:r>
      </w:hyperlink>
      <w:r>
        <w:rPr>
          <w:color w:val="0000FF"/>
        </w:rPr>
        <w:t>6.5</w:t>
      </w:r>
      <w:hyperlink w:history="true" w:anchor="_bookmark204">
        <w:r>
          <w:rPr/>
          <w:t>,</w:t>
        </w:r>
      </w:hyperlink>
      <w:r>
        <w:rPr>
          <w:color w:val="0000FF"/>
        </w:rPr>
        <w:t>6.6</w:t>
      </w:r>
      <w:r>
        <w:rPr/>
        <w:t>show the smooth pitch surface plots for the team attacking models </w:t>
      </w:r>
      <w:r>
        <w:rPr>
          <w:spacing w:val="10"/>
        </w:rPr>
        <w:t>(</w:t>
      </w:r>
      <w:r>
        <w:rPr>
          <w:rFonts w:ascii="Cambria" w:hAnsi="Cambria"/>
          <w:spacing w:val="10"/>
        </w:rPr>
        <w:t>P</w:t>
      </w:r>
      <w:r>
        <w:rPr>
          <w:rFonts w:ascii="Cambria" w:hAnsi="Cambria"/>
          <w:spacing w:val="10"/>
          <w:vertAlign w:val="superscript"/>
        </w:rPr>
        <w:t>µ</w:t>
      </w:r>
      <w:r>
        <w:rPr>
          <w:rFonts w:ascii="Cambria" w:hAnsi="Cambria"/>
          <w:spacing w:val="-18"/>
          <w:vertAlign w:val="baseline"/>
        </w:rPr>
        <w:t> </w:t>
      </w:r>
      <w:r>
        <w:rPr>
          <w:rFonts w:ascii="Garamond" w:hAnsi="Garamond"/>
          <w:vertAlign w:val="baseline"/>
        </w:rPr>
        <w:t>(</w:t>
      </w:r>
      <w:r>
        <w:rPr>
          <w:rFonts w:ascii="Cambria" w:hAnsi="Cambria"/>
          <w:vertAlign w:val="baseline"/>
        </w:rPr>
        <w:t>s</w:t>
      </w:r>
      <w:r>
        <w:rPr>
          <w:rFonts w:ascii="Garamond" w:hAnsi="Garamond"/>
          <w:vertAlign w:val="baseline"/>
        </w:rPr>
        <w:t>) </w:t>
      </w:r>
      <w:r>
        <w:rPr>
          <w:vertAlign w:val="baseline"/>
        </w:rPr>
        <w:t>for all </w:t>
      </w:r>
      <w:r>
        <w:rPr>
          <w:rFonts w:ascii="Cambria" w:hAnsi="Cambria"/>
          <w:vertAlign w:val="baseline"/>
        </w:rPr>
        <w:t>s</w:t>
      </w:r>
      <w:r>
        <w:rPr>
          <w:rFonts w:ascii="Cambria" w:hAnsi="Cambria"/>
          <w:spacing w:val="18"/>
          <w:vertAlign w:val="baseline"/>
        </w:rPr>
        <w:t> </w:t>
      </w:r>
      <w:r>
        <w:rPr>
          <w:rFonts w:ascii="Lucida Sans Unicode" w:hAnsi="Lucida Sans Unicode"/>
          <w:vertAlign w:val="baseline"/>
        </w:rPr>
        <w:t>∈</w:t>
      </w:r>
      <w:r>
        <w:rPr>
          <w:rFonts w:ascii="Lucida Sans Unicode" w:hAnsi="Lucida Sans Unicode"/>
          <w:spacing w:val="-5"/>
          <w:vertAlign w:val="baseline"/>
        </w:rPr>
        <w:t> </w:t>
      </w:r>
      <w:r>
        <w:rPr>
          <w:rFonts w:ascii="Cambria" w:hAnsi="Cambria"/>
          <w:vertAlign w:val="baseline"/>
        </w:rPr>
        <w:t>S</w:t>
      </w:r>
      <w:r>
        <w:rPr>
          <w:rFonts w:ascii="Cambria" w:hAnsi="Cambria"/>
          <w:spacing w:val="23"/>
          <w:vertAlign w:val="baseline"/>
        </w:rPr>
        <w:t> </w:t>
      </w:r>
      <w:r>
        <w:rPr>
          <w:vertAlign w:val="baseline"/>
        </w:rPr>
        <w:t>and EPV</w:t>
      </w:r>
      <w:r>
        <w:rPr>
          <w:rFonts w:ascii="Cambria" w:hAnsi="Cambria"/>
          <w:vertAlign w:val="superscript"/>
        </w:rPr>
        <w:t>µ</w:t>
      </w:r>
      <w:r>
        <w:rPr>
          <w:rFonts w:ascii="Cambria" w:hAnsi="Cambria"/>
          <w:spacing w:val="14"/>
          <w:vertAlign w:val="baseline"/>
        </w:rPr>
        <w:t> </w:t>
      </w:r>
      <w:r>
        <w:rPr>
          <w:vertAlign w:val="baseline"/>
        </w:rPr>
        <w:t>) of Castleford, Catalans and Wigan respectively,</w:t>
      </w:r>
    </w:p>
    <w:p>
      <w:pPr>
        <w:tabs>
          <w:tab w:pos="4250" w:val="left" w:leader="none"/>
        </w:tabs>
        <w:spacing w:line="53" w:lineRule="exact" w:before="0"/>
        <w:ind w:left="1593" w:right="0" w:firstLine="0"/>
        <w:jc w:val="left"/>
        <w:rPr>
          <w:sz w:val="16"/>
        </w:rPr>
      </w:pPr>
      <w:r>
        <w:rPr>
          <w:spacing w:val="-5"/>
          <w:sz w:val="16"/>
        </w:rPr>
        <w:t>att</w:t>
      </w:r>
      <w:r>
        <w:rPr>
          <w:sz w:val="16"/>
        </w:rPr>
        <w:tab/>
      </w:r>
      <w:r>
        <w:rPr>
          <w:spacing w:val="-5"/>
          <w:sz w:val="16"/>
        </w:rPr>
        <w:t>att</w:t>
      </w:r>
    </w:p>
    <w:p>
      <w:pPr>
        <w:pStyle w:val="BodyText"/>
        <w:spacing w:line="312" w:lineRule="auto" w:before="51"/>
        <w:ind w:left="610" w:right="389"/>
        <w:jc w:val="both"/>
      </w:pPr>
      <w:r>
        <w:rPr/>
        <w:t>compared</w:t>
      </w:r>
      <w:r>
        <w:rPr>
          <w:spacing w:val="-15"/>
        </w:rPr>
        <w:t> </w:t>
      </w:r>
      <w:r>
        <w:rPr/>
        <w:t>to</w:t>
      </w:r>
      <w:r>
        <w:rPr>
          <w:spacing w:val="-15"/>
        </w:rPr>
        <w:t> </w:t>
      </w:r>
      <w:r>
        <w:rPr/>
        <w:t>the</w:t>
      </w:r>
      <w:r>
        <w:rPr>
          <w:spacing w:val="-15"/>
        </w:rPr>
        <w:t> </w:t>
      </w:r>
      <w:r>
        <w:rPr/>
        <w:t>whole</w:t>
      </w:r>
      <w:r>
        <w:rPr>
          <w:spacing w:val="-15"/>
        </w:rPr>
        <w:t> </w:t>
      </w:r>
      <w:r>
        <w:rPr/>
        <w:t>league</w:t>
      </w:r>
      <w:r>
        <w:rPr>
          <w:spacing w:val="-15"/>
        </w:rPr>
        <w:t> </w:t>
      </w:r>
      <w:r>
        <w:rPr/>
        <w:t>model.</w:t>
      </w:r>
      <w:r>
        <w:rPr>
          <w:spacing w:val="-2"/>
        </w:rPr>
        <w:t> </w:t>
      </w:r>
      <w:r>
        <w:rPr/>
        <w:t>Castleford</w:t>
      </w:r>
      <w:r>
        <w:rPr>
          <w:spacing w:val="-15"/>
        </w:rPr>
        <w:t> </w:t>
      </w:r>
      <w:r>
        <w:rPr/>
        <w:t>(Figure</w:t>
      </w:r>
      <w:hyperlink w:history="true" w:anchor="_bookmark203">
        <w:r>
          <w:rPr>
            <w:color w:val="0000FF"/>
          </w:rPr>
          <w:t>6.4</w:t>
        </w:r>
        <w:r>
          <w:rPr/>
          <w:t>)</w:t>
        </w:r>
      </w:hyperlink>
      <w:r>
        <w:rPr>
          <w:spacing w:val="-15"/>
        </w:rPr>
        <w:t> </w:t>
      </w:r>
      <w:r>
        <w:rPr/>
        <w:t>show</w:t>
      </w:r>
      <w:r>
        <w:rPr>
          <w:spacing w:val="-15"/>
        </w:rPr>
        <w:t> </w:t>
      </w:r>
      <w:r>
        <w:rPr/>
        <w:t>a</w:t>
      </w:r>
      <w:r>
        <w:rPr>
          <w:spacing w:val="-15"/>
        </w:rPr>
        <w:t> </w:t>
      </w:r>
      <w:r>
        <w:rPr/>
        <w:t>greater</w:t>
      </w:r>
      <w:r>
        <w:rPr>
          <w:spacing w:val="-15"/>
        </w:rPr>
        <w:t> </w:t>
      </w:r>
      <w:r>
        <w:rPr/>
        <w:t>probability</w:t>
      </w:r>
      <w:r>
        <w:rPr>
          <w:spacing w:val="-15"/>
        </w:rPr>
        <w:t> </w:t>
      </w:r>
      <w:r>
        <w:rPr/>
        <w:t>of scoring</w:t>
      </w:r>
      <w:r>
        <w:rPr>
          <w:spacing w:val="-15"/>
        </w:rPr>
        <w:t> </w:t>
      </w:r>
      <w:r>
        <w:rPr/>
        <w:t>tries</w:t>
      </w:r>
      <w:r>
        <w:rPr>
          <w:spacing w:val="-15"/>
        </w:rPr>
        <w:t> </w:t>
      </w:r>
      <w:r>
        <w:rPr/>
        <w:t>on</w:t>
      </w:r>
      <w:r>
        <w:rPr>
          <w:spacing w:val="-15"/>
        </w:rPr>
        <w:t> </w:t>
      </w:r>
      <w:r>
        <w:rPr/>
        <w:t>the</w:t>
      </w:r>
      <w:r>
        <w:rPr>
          <w:spacing w:val="-15"/>
        </w:rPr>
        <w:t> </w:t>
      </w:r>
      <w:r>
        <w:rPr/>
        <w:t>left</w:t>
      </w:r>
      <w:r>
        <w:rPr>
          <w:spacing w:val="-15"/>
        </w:rPr>
        <w:t> </w:t>
      </w:r>
      <w:r>
        <w:rPr/>
        <w:t>side</w:t>
      </w:r>
      <w:r>
        <w:rPr>
          <w:spacing w:val="-15"/>
        </w:rPr>
        <w:t> </w:t>
      </w:r>
      <w:r>
        <w:rPr/>
        <w:t>of</w:t>
      </w:r>
      <w:r>
        <w:rPr>
          <w:spacing w:val="-15"/>
        </w:rPr>
        <w:t> </w:t>
      </w:r>
      <w:r>
        <w:rPr/>
        <w:t>the</w:t>
      </w:r>
      <w:r>
        <w:rPr>
          <w:spacing w:val="-15"/>
        </w:rPr>
        <w:t> </w:t>
      </w:r>
      <w:r>
        <w:rPr/>
        <w:t>pitch</w:t>
      </w:r>
      <w:r>
        <w:rPr>
          <w:spacing w:val="-15"/>
        </w:rPr>
        <w:t> </w:t>
      </w:r>
      <w:r>
        <w:rPr/>
        <w:t>compared</w:t>
      </w:r>
      <w:r>
        <w:rPr>
          <w:spacing w:val="-15"/>
        </w:rPr>
        <w:t> </w:t>
      </w:r>
      <w:r>
        <w:rPr/>
        <w:t>to</w:t>
      </w:r>
      <w:r>
        <w:rPr>
          <w:spacing w:val="-15"/>
        </w:rPr>
        <w:t> </w:t>
      </w:r>
      <w:r>
        <w:rPr/>
        <w:t>the</w:t>
      </w:r>
      <w:r>
        <w:rPr>
          <w:spacing w:val="-15"/>
        </w:rPr>
        <w:t> </w:t>
      </w:r>
      <w:r>
        <w:rPr/>
        <w:t>whole</w:t>
      </w:r>
      <w:r>
        <w:rPr>
          <w:spacing w:val="-15"/>
        </w:rPr>
        <w:t> </w:t>
      </w:r>
      <w:r>
        <w:rPr/>
        <w:t>league</w:t>
      </w:r>
      <w:r>
        <w:rPr>
          <w:spacing w:val="-15"/>
        </w:rPr>
        <w:t> </w:t>
      </w:r>
      <w:r>
        <w:rPr/>
        <w:t>model.</w:t>
      </w:r>
      <w:r>
        <w:rPr>
          <w:spacing w:val="5"/>
        </w:rPr>
        <w:t> </w:t>
      </w:r>
      <w:r>
        <w:rPr/>
        <w:t>On</w:t>
      </w:r>
      <w:r>
        <w:rPr>
          <w:spacing w:val="-15"/>
        </w:rPr>
        <w:t> </w:t>
      </w:r>
      <w:r>
        <w:rPr/>
        <w:t>the</w:t>
      </w:r>
      <w:r>
        <w:rPr>
          <w:spacing w:val="-15"/>
        </w:rPr>
        <w:t> </w:t>
      </w:r>
      <w:r>
        <w:rPr/>
        <w:t>right side</w:t>
      </w:r>
      <w:r>
        <w:rPr>
          <w:spacing w:val="-15"/>
        </w:rPr>
        <w:t> </w:t>
      </w:r>
      <w:r>
        <w:rPr/>
        <w:t>of</w:t>
      </w:r>
      <w:r>
        <w:rPr>
          <w:spacing w:val="-15"/>
        </w:rPr>
        <w:t> </w:t>
      </w:r>
      <w:r>
        <w:rPr/>
        <w:t>the</w:t>
      </w:r>
      <w:r>
        <w:rPr>
          <w:spacing w:val="-15"/>
        </w:rPr>
        <w:t> </w:t>
      </w:r>
      <w:r>
        <w:rPr/>
        <w:t>pitch,</w:t>
      </w:r>
      <w:r>
        <w:rPr>
          <w:spacing w:val="-14"/>
        </w:rPr>
        <w:t> </w:t>
      </w:r>
      <w:r>
        <w:rPr/>
        <w:t>they</w:t>
      </w:r>
      <w:r>
        <w:rPr>
          <w:spacing w:val="-15"/>
        </w:rPr>
        <w:t> </w:t>
      </w:r>
      <w:r>
        <w:rPr/>
        <w:t>show</w:t>
      </w:r>
      <w:r>
        <w:rPr>
          <w:spacing w:val="-14"/>
        </w:rPr>
        <w:t> </w:t>
      </w:r>
      <w:r>
        <w:rPr/>
        <w:t>a</w:t>
      </w:r>
      <w:r>
        <w:rPr>
          <w:spacing w:val="-15"/>
        </w:rPr>
        <w:t> </w:t>
      </w:r>
      <w:r>
        <w:rPr/>
        <w:t>much</w:t>
      </w:r>
      <w:r>
        <w:rPr>
          <w:spacing w:val="-15"/>
        </w:rPr>
        <w:t> </w:t>
      </w:r>
      <w:r>
        <w:rPr/>
        <w:t>greater</w:t>
      </w:r>
      <w:r>
        <w:rPr>
          <w:spacing w:val="-14"/>
        </w:rPr>
        <w:t> </w:t>
      </w:r>
      <w:r>
        <w:rPr/>
        <w:t>probability</w:t>
      </w:r>
      <w:r>
        <w:rPr>
          <w:spacing w:val="-15"/>
        </w:rPr>
        <w:t> </w:t>
      </w:r>
      <w:r>
        <w:rPr/>
        <w:t>of</w:t>
      </w:r>
      <w:r>
        <w:rPr>
          <w:spacing w:val="-15"/>
        </w:rPr>
        <w:t> </w:t>
      </w:r>
      <w:r>
        <w:rPr/>
        <w:t>scoring</w:t>
      </w:r>
      <w:r>
        <w:rPr>
          <w:spacing w:val="-14"/>
        </w:rPr>
        <w:t> </w:t>
      </w:r>
      <w:r>
        <w:rPr/>
        <w:t>penalties,</w:t>
      </w:r>
      <w:r>
        <w:rPr>
          <w:spacing w:val="-14"/>
        </w:rPr>
        <w:t> </w:t>
      </w:r>
      <w:r>
        <w:rPr/>
        <w:t>particularly</w:t>
      </w:r>
      <w:r>
        <w:rPr>
          <w:spacing w:val="-15"/>
        </w:rPr>
        <w:t> </w:t>
      </w:r>
      <w:r>
        <w:rPr>
          <w:spacing w:val="-5"/>
        </w:rPr>
        <w:t>in</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0"/>
        <w:rPr>
          <w:sz w:val="15"/>
        </w:rPr>
      </w:pPr>
    </w:p>
    <w:p>
      <w:pPr>
        <w:pStyle w:val="BodyText"/>
        <w:ind w:left="1460"/>
        <w:rPr>
          <w:sz w:val="20"/>
        </w:rPr>
      </w:pPr>
      <w:r>
        <w:rPr>
          <w:sz w:val="20"/>
        </w:rPr>
        <w:drawing>
          <wp:inline distT="0" distB="0" distL="0" distR="0">
            <wp:extent cx="4279392" cy="4718304"/>
            <wp:effectExtent l="0" t="0" r="0" b="0"/>
            <wp:docPr id="111" name="image56.jpeg"/>
            <wp:cNvGraphicFramePr>
              <a:graphicFrameLocks noChangeAspect="1"/>
            </wp:cNvGraphicFramePr>
            <a:graphic>
              <a:graphicData uri="http://schemas.openxmlformats.org/drawingml/2006/picture">
                <pic:pic>
                  <pic:nvPicPr>
                    <pic:cNvPr id="112" name="image56.jpeg"/>
                    <pic:cNvPicPr/>
                  </pic:nvPicPr>
                  <pic:blipFill>
                    <a:blip r:embed="rId134" cstate="print"/>
                    <a:stretch>
                      <a:fillRect/>
                    </a:stretch>
                  </pic:blipFill>
                  <pic:spPr>
                    <a:xfrm>
                      <a:off x="0" y="0"/>
                      <a:ext cx="4279392" cy="4718304"/>
                    </a:xfrm>
                    <a:prstGeom prst="rect">
                      <a:avLst/>
                    </a:prstGeom>
                  </pic:spPr>
                </pic:pic>
              </a:graphicData>
            </a:graphic>
          </wp:inline>
        </w:drawing>
      </w:r>
      <w:r>
        <w:rPr>
          <w:sz w:val="20"/>
        </w:rPr>
      </w:r>
    </w:p>
    <w:p>
      <w:pPr>
        <w:pStyle w:val="BodyText"/>
        <w:rPr>
          <w:sz w:val="20"/>
        </w:rPr>
      </w:pPr>
    </w:p>
    <w:p>
      <w:pPr>
        <w:pStyle w:val="BodyText"/>
        <w:spacing w:line="252" w:lineRule="auto" w:before="224"/>
        <w:ind w:left="610" w:right="389"/>
        <w:jc w:val="both"/>
      </w:pPr>
      <w:bookmarkStart w:name="_bookmark205" w:id="348"/>
      <w:bookmarkEnd w:id="348"/>
      <w:r>
        <w:rPr/>
      </w:r>
      <w:r>
        <w:rPr>
          <w:b/>
        </w:rPr>
        <w:t>Figure 6.6: </w:t>
      </w:r>
      <w:r>
        <w:rPr/>
        <w:t>Wigan smooth pitch surface plot from team attacking model.</w:t>
      </w:r>
      <w:r>
        <w:rPr>
          <w:spacing w:val="40"/>
        </w:rPr>
        <w:t> </w:t>
      </w:r>
      <w:r>
        <w:rPr/>
        <w:t>Green areas represent higher value for more favourable event (i.e.</w:t>
      </w:r>
      <w:r>
        <w:rPr>
          <w:spacing w:val="40"/>
        </w:rPr>
        <w:t> </w:t>
      </w:r>
      <w:r>
        <w:rPr/>
        <w:t>greater probability of all </w:t>
      </w:r>
      <w:r>
        <w:rPr/>
        <w:t>events occurring</w:t>
      </w:r>
      <w:r>
        <w:rPr>
          <w:spacing w:val="-2"/>
        </w:rPr>
        <w:t> </w:t>
      </w:r>
      <w:r>
        <w:rPr/>
        <w:t>except</w:t>
      </w:r>
      <w:r>
        <w:rPr>
          <w:spacing w:val="-2"/>
        </w:rPr>
        <w:t> </w:t>
      </w:r>
      <w:r>
        <w:rPr/>
        <w:t>No</w:t>
      </w:r>
      <w:r>
        <w:rPr>
          <w:spacing w:val="-2"/>
        </w:rPr>
        <w:t> </w:t>
      </w:r>
      <w:r>
        <w:rPr/>
        <w:t>Points)</w:t>
      </w:r>
      <w:r>
        <w:rPr>
          <w:spacing w:val="-2"/>
        </w:rPr>
        <w:t> </w:t>
      </w:r>
      <w:r>
        <w:rPr/>
        <w:t>compared</w:t>
      </w:r>
      <w:r>
        <w:rPr>
          <w:spacing w:val="-2"/>
        </w:rPr>
        <w:t> </w:t>
      </w:r>
      <w:r>
        <w:rPr/>
        <w:t>to</w:t>
      </w:r>
      <w:r>
        <w:rPr>
          <w:spacing w:val="-2"/>
        </w:rPr>
        <w:t> </w:t>
      </w:r>
      <w:r>
        <w:rPr/>
        <w:t>whole</w:t>
      </w:r>
      <w:r>
        <w:rPr>
          <w:spacing w:val="-2"/>
        </w:rPr>
        <w:t> </w:t>
      </w:r>
      <w:r>
        <w:rPr/>
        <w:t>league</w:t>
      </w:r>
      <w:r>
        <w:rPr>
          <w:spacing w:val="-2"/>
        </w:rPr>
        <w:t> </w:t>
      </w:r>
      <w:r>
        <w:rPr/>
        <w:t>model. 4pt</w:t>
      </w:r>
      <w:r>
        <w:rPr>
          <w:spacing w:val="-2"/>
        </w:rPr>
        <w:t> </w:t>
      </w:r>
      <w:r>
        <w:rPr/>
        <w:t>Try</w:t>
      </w:r>
      <w:r>
        <w:rPr>
          <w:spacing w:val="-2"/>
        </w:rPr>
        <w:t> </w:t>
      </w:r>
      <w:r>
        <w:rPr/>
        <w:t>and</w:t>
      </w:r>
      <w:r>
        <w:rPr>
          <w:spacing w:val="-2"/>
        </w:rPr>
        <w:t> </w:t>
      </w:r>
      <w:r>
        <w:rPr/>
        <w:t>6pt</w:t>
      </w:r>
      <w:r>
        <w:rPr>
          <w:spacing w:val="-2"/>
        </w:rPr>
        <w:t> </w:t>
      </w:r>
      <w:r>
        <w:rPr/>
        <w:t>Try</w:t>
      </w:r>
      <w:r>
        <w:rPr>
          <w:spacing w:val="-2"/>
        </w:rPr>
        <w:t> </w:t>
      </w:r>
      <w:r>
        <w:rPr/>
        <w:t>refer to unconverted and converted tries respectively.</w:t>
      </w:r>
    </w:p>
    <w:p>
      <w:pPr>
        <w:pStyle w:val="BodyText"/>
        <w:spacing w:before="6"/>
        <w:rPr>
          <w:sz w:val="37"/>
        </w:rPr>
      </w:pPr>
    </w:p>
    <w:p>
      <w:pPr>
        <w:pStyle w:val="BodyText"/>
        <w:spacing w:line="312" w:lineRule="auto"/>
        <w:ind w:left="610" w:right="389"/>
        <w:jc w:val="both"/>
      </w:pPr>
      <w:r>
        <w:rPr/>
        <w:t>the</w:t>
      </w:r>
      <w:r>
        <w:rPr>
          <w:spacing w:val="-12"/>
        </w:rPr>
        <w:t> </w:t>
      </w:r>
      <w:r>
        <w:rPr/>
        <w:t>opposition</w:t>
      </w:r>
      <w:r>
        <w:rPr>
          <w:spacing w:val="-12"/>
        </w:rPr>
        <w:t> </w:t>
      </w:r>
      <w:r>
        <w:rPr/>
        <w:t>30m,</w:t>
      </w:r>
      <w:r>
        <w:rPr>
          <w:spacing w:val="-11"/>
        </w:rPr>
        <w:t> </w:t>
      </w:r>
      <w:r>
        <w:rPr/>
        <w:t>potentially</w:t>
      </w:r>
      <w:r>
        <w:rPr>
          <w:spacing w:val="-12"/>
        </w:rPr>
        <w:t> </w:t>
      </w:r>
      <w:r>
        <w:rPr/>
        <w:t>providing</w:t>
      </w:r>
      <w:r>
        <w:rPr>
          <w:spacing w:val="-12"/>
        </w:rPr>
        <w:t> </w:t>
      </w:r>
      <w:r>
        <w:rPr/>
        <w:t>insights</w:t>
      </w:r>
      <w:r>
        <w:rPr>
          <w:spacing w:val="-12"/>
        </w:rPr>
        <w:t> </w:t>
      </w:r>
      <w:r>
        <w:rPr/>
        <w:t>into</w:t>
      </w:r>
      <w:r>
        <w:rPr>
          <w:spacing w:val="-12"/>
        </w:rPr>
        <w:t> </w:t>
      </w:r>
      <w:r>
        <w:rPr/>
        <w:t>their</w:t>
      </w:r>
      <w:r>
        <w:rPr>
          <w:spacing w:val="-12"/>
        </w:rPr>
        <w:t> </w:t>
      </w:r>
      <w:r>
        <w:rPr/>
        <w:t>decision</w:t>
      </w:r>
      <w:r>
        <w:rPr>
          <w:spacing w:val="-12"/>
        </w:rPr>
        <w:t> </w:t>
      </w:r>
      <w:r>
        <w:rPr/>
        <w:t>making</w:t>
      </w:r>
      <w:r>
        <w:rPr>
          <w:spacing w:val="-12"/>
        </w:rPr>
        <w:t> </w:t>
      </w:r>
      <w:r>
        <w:rPr/>
        <w:t>processes</w:t>
      </w:r>
      <w:r>
        <w:rPr>
          <w:spacing w:val="-12"/>
        </w:rPr>
        <w:t> </w:t>
      </w:r>
      <w:r>
        <w:rPr/>
        <w:t>in different</w:t>
      </w:r>
      <w:r>
        <w:rPr>
          <w:spacing w:val="-6"/>
        </w:rPr>
        <w:t> </w:t>
      </w:r>
      <w:r>
        <w:rPr/>
        <w:t>areas</w:t>
      </w:r>
      <w:r>
        <w:rPr>
          <w:spacing w:val="-6"/>
        </w:rPr>
        <w:t> </w:t>
      </w:r>
      <w:r>
        <w:rPr/>
        <w:t>of</w:t>
      </w:r>
      <w:r>
        <w:rPr>
          <w:spacing w:val="-6"/>
        </w:rPr>
        <w:t> </w:t>
      </w:r>
      <w:r>
        <w:rPr/>
        <w:t>the</w:t>
      </w:r>
      <w:r>
        <w:rPr>
          <w:spacing w:val="-6"/>
        </w:rPr>
        <w:t> </w:t>
      </w:r>
      <w:r>
        <w:rPr/>
        <w:t>pitch. Catalans</w:t>
      </w:r>
      <w:r>
        <w:rPr>
          <w:spacing w:val="-6"/>
        </w:rPr>
        <w:t> </w:t>
      </w:r>
      <w:r>
        <w:rPr/>
        <w:t>(Figure</w:t>
      </w:r>
      <w:hyperlink w:history="true" w:anchor="_bookmark204">
        <w:r>
          <w:rPr>
            <w:color w:val="0000FF"/>
          </w:rPr>
          <w:t>6.5</w:t>
        </w:r>
        <w:r>
          <w:rPr/>
          <w:t>)</w:t>
        </w:r>
      </w:hyperlink>
      <w:r>
        <w:rPr>
          <w:spacing w:val="-6"/>
        </w:rPr>
        <w:t> </w:t>
      </w:r>
      <w:r>
        <w:rPr/>
        <w:t>were</w:t>
      </w:r>
      <w:r>
        <w:rPr>
          <w:spacing w:val="-6"/>
        </w:rPr>
        <w:t> </w:t>
      </w:r>
      <w:r>
        <w:rPr/>
        <w:t>less</w:t>
      </w:r>
      <w:r>
        <w:rPr>
          <w:spacing w:val="-6"/>
        </w:rPr>
        <w:t> </w:t>
      </w:r>
      <w:r>
        <w:rPr/>
        <w:t>likely</w:t>
      </w:r>
      <w:r>
        <w:rPr>
          <w:spacing w:val="-6"/>
        </w:rPr>
        <w:t> </w:t>
      </w:r>
      <w:r>
        <w:rPr/>
        <w:t>to</w:t>
      </w:r>
      <w:r>
        <w:rPr>
          <w:spacing w:val="-6"/>
        </w:rPr>
        <w:t> </w:t>
      </w:r>
      <w:r>
        <w:rPr/>
        <w:t>score</w:t>
      </w:r>
      <w:r>
        <w:rPr>
          <w:spacing w:val="-6"/>
        </w:rPr>
        <w:t> </w:t>
      </w:r>
      <w:r>
        <w:rPr/>
        <w:t>an</w:t>
      </w:r>
      <w:r>
        <w:rPr>
          <w:spacing w:val="-6"/>
        </w:rPr>
        <w:t> </w:t>
      </w:r>
      <w:r>
        <w:rPr/>
        <w:t>unconverted try compared to the whole league model in the opposition 20m but were more likely to score</w:t>
      </w:r>
      <w:r>
        <w:rPr>
          <w:spacing w:val="-2"/>
        </w:rPr>
        <w:t> </w:t>
      </w:r>
      <w:r>
        <w:rPr/>
        <w:t>a</w:t>
      </w:r>
      <w:r>
        <w:rPr>
          <w:spacing w:val="-2"/>
        </w:rPr>
        <w:t> </w:t>
      </w:r>
      <w:r>
        <w:rPr/>
        <w:t>converted</w:t>
      </w:r>
      <w:r>
        <w:rPr>
          <w:spacing w:val="-2"/>
        </w:rPr>
        <w:t> </w:t>
      </w:r>
      <w:r>
        <w:rPr/>
        <w:t>try</w:t>
      </w:r>
      <w:r>
        <w:rPr>
          <w:spacing w:val="-2"/>
        </w:rPr>
        <w:t> </w:t>
      </w:r>
      <w:r>
        <w:rPr/>
        <w:t>across</w:t>
      </w:r>
      <w:r>
        <w:rPr>
          <w:spacing w:val="-2"/>
        </w:rPr>
        <w:t> </w:t>
      </w:r>
      <w:r>
        <w:rPr/>
        <w:t>the</w:t>
      </w:r>
      <w:r>
        <w:rPr>
          <w:spacing w:val="-2"/>
        </w:rPr>
        <w:t> </w:t>
      </w:r>
      <w:r>
        <w:rPr/>
        <w:t>majority</w:t>
      </w:r>
      <w:r>
        <w:rPr>
          <w:spacing w:val="-2"/>
        </w:rPr>
        <w:t> </w:t>
      </w:r>
      <w:r>
        <w:rPr/>
        <w:t>of</w:t>
      </w:r>
      <w:r>
        <w:rPr>
          <w:spacing w:val="-2"/>
        </w:rPr>
        <w:t> </w:t>
      </w:r>
      <w:r>
        <w:rPr/>
        <w:t>the</w:t>
      </w:r>
      <w:r>
        <w:rPr>
          <w:spacing w:val="-2"/>
        </w:rPr>
        <w:t> </w:t>
      </w:r>
      <w:r>
        <w:rPr/>
        <w:t>pitch. They</w:t>
      </w:r>
      <w:r>
        <w:rPr>
          <w:spacing w:val="-2"/>
        </w:rPr>
        <w:t> </w:t>
      </w:r>
      <w:r>
        <w:rPr/>
        <w:t>were</w:t>
      </w:r>
      <w:r>
        <w:rPr>
          <w:spacing w:val="-2"/>
        </w:rPr>
        <w:t> </w:t>
      </w:r>
      <w:r>
        <w:rPr/>
        <w:t>also</w:t>
      </w:r>
      <w:r>
        <w:rPr>
          <w:spacing w:val="-2"/>
        </w:rPr>
        <w:t> </w:t>
      </w:r>
      <w:r>
        <w:rPr/>
        <w:t>less</w:t>
      </w:r>
      <w:r>
        <w:rPr>
          <w:spacing w:val="-2"/>
        </w:rPr>
        <w:t> </w:t>
      </w:r>
      <w:r>
        <w:rPr/>
        <w:t>likely</w:t>
      </w:r>
      <w:r>
        <w:rPr>
          <w:spacing w:val="-2"/>
        </w:rPr>
        <w:t> </w:t>
      </w:r>
      <w:r>
        <w:rPr/>
        <w:t>to</w:t>
      </w:r>
      <w:r>
        <w:rPr>
          <w:spacing w:val="-2"/>
        </w:rPr>
        <w:t> </w:t>
      </w:r>
      <w:r>
        <w:rPr/>
        <w:t>score </w:t>
      </w:r>
      <w:r>
        <w:rPr>
          <w:spacing w:val="-2"/>
        </w:rPr>
        <w:t>no</w:t>
      </w:r>
      <w:r>
        <w:rPr>
          <w:spacing w:val="-9"/>
        </w:rPr>
        <w:t> </w:t>
      </w:r>
      <w:r>
        <w:rPr>
          <w:spacing w:val="-2"/>
        </w:rPr>
        <w:t>points</w:t>
      </w:r>
      <w:r>
        <w:rPr>
          <w:spacing w:val="-9"/>
        </w:rPr>
        <w:t> </w:t>
      </w:r>
      <w:r>
        <w:rPr>
          <w:spacing w:val="-2"/>
        </w:rPr>
        <w:t>across</w:t>
      </w:r>
      <w:r>
        <w:rPr>
          <w:spacing w:val="-9"/>
        </w:rPr>
        <w:t> </w:t>
      </w:r>
      <w:r>
        <w:rPr>
          <w:spacing w:val="-2"/>
        </w:rPr>
        <w:t>the</w:t>
      </w:r>
      <w:r>
        <w:rPr>
          <w:spacing w:val="-9"/>
        </w:rPr>
        <w:t> </w:t>
      </w:r>
      <w:r>
        <w:rPr>
          <w:spacing w:val="-2"/>
        </w:rPr>
        <w:t>majority</w:t>
      </w:r>
      <w:r>
        <w:rPr>
          <w:spacing w:val="-9"/>
        </w:rPr>
        <w:t> </w:t>
      </w:r>
      <w:r>
        <w:rPr>
          <w:spacing w:val="-2"/>
        </w:rPr>
        <w:t>of</w:t>
      </w:r>
      <w:r>
        <w:rPr>
          <w:spacing w:val="-10"/>
        </w:rPr>
        <w:t> </w:t>
      </w:r>
      <w:r>
        <w:rPr>
          <w:spacing w:val="-2"/>
        </w:rPr>
        <w:t>the</w:t>
      </w:r>
      <w:r>
        <w:rPr>
          <w:spacing w:val="-9"/>
        </w:rPr>
        <w:t> </w:t>
      </w:r>
      <w:r>
        <w:rPr>
          <w:spacing w:val="-2"/>
        </w:rPr>
        <w:t>pitch,</w:t>
      </w:r>
      <w:r>
        <w:rPr>
          <w:spacing w:val="-6"/>
        </w:rPr>
        <w:t> </w:t>
      </w:r>
      <w:r>
        <w:rPr>
          <w:spacing w:val="-2"/>
        </w:rPr>
        <w:t>which</w:t>
      </w:r>
      <w:r>
        <w:rPr>
          <w:spacing w:val="-9"/>
        </w:rPr>
        <w:t> </w:t>
      </w:r>
      <w:r>
        <w:rPr>
          <w:spacing w:val="-2"/>
        </w:rPr>
        <w:t>is</w:t>
      </w:r>
      <w:r>
        <w:rPr>
          <w:spacing w:val="-9"/>
        </w:rPr>
        <w:t> </w:t>
      </w:r>
      <w:r>
        <w:rPr>
          <w:spacing w:val="-2"/>
        </w:rPr>
        <w:t>reflected</w:t>
      </w:r>
      <w:r>
        <w:rPr>
          <w:spacing w:val="-9"/>
        </w:rPr>
        <w:t> </w:t>
      </w:r>
      <w:r>
        <w:rPr>
          <w:spacing w:val="-2"/>
        </w:rPr>
        <w:t>in</w:t>
      </w:r>
      <w:r>
        <w:rPr>
          <w:spacing w:val="-9"/>
        </w:rPr>
        <w:t> </w:t>
      </w:r>
      <w:r>
        <w:rPr>
          <w:spacing w:val="-2"/>
        </w:rPr>
        <w:t>their</w:t>
      </w:r>
      <w:r>
        <w:rPr>
          <w:spacing w:val="-9"/>
        </w:rPr>
        <w:t> </w:t>
      </w:r>
      <w:r>
        <w:rPr>
          <w:spacing w:val="-2"/>
        </w:rPr>
        <w:t>EPV</w:t>
      </w:r>
      <w:r>
        <w:rPr>
          <w:spacing w:val="-9"/>
        </w:rPr>
        <w:t> </w:t>
      </w:r>
      <w:r>
        <w:rPr>
          <w:spacing w:val="-2"/>
        </w:rPr>
        <w:t>plot</w:t>
      </w:r>
      <w:r>
        <w:rPr>
          <w:spacing w:val="-9"/>
        </w:rPr>
        <w:t> </w:t>
      </w:r>
      <w:r>
        <w:rPr>
          <w:spacing w:val="-2"/>
        </w:rPr>
        <w:t>being</w:t>
      </w:r>
      <w:r>
        <w:rPr>
          <w:spacing w:val="-9"/>
        </w:rPr>
        <w:t> </w:t>
      </w:r>
      <w:r>
        <w:rPr>
          <w:spacing w:val="-2"/>
        </w:rPr>
        <w:t>greater </w:t>
      </w:r>
      <w:r>
        <w:rPr/>
        <w:t>than</w:t>
      </w:r>
      <w:r>
        <w:rPr>
          <w:spacing w:val="-11"/>
        </w:rPr>
        <w:t> </w:t>
      </w:r>
      <w:r>
        <w:rPr/>
        <w:t>the</w:t>
      </w:r>
      <w:r>
        <w:rPr>
          <w:spacing w:val="-11"/>
        </w:rPr>
        <w:t> </w:t>
      </w:r>
      <w:r>
        <w:rPr/>
        <w:t>whole</w:t>
      </w:r>
      <w:r>
        <w:rPr>
          <w:spacing w:val="-11"/>
        </w:rPr>
        <w:t> </w:t>
      </w:r>
      <w:r>
        <w:rPr/>
        <w:t>league</w:t>
      </w:r>
      <w:r>
        <w:rPr>
          <w:spacing w:val="-11"/>
        </w:rPr>
        <w:t> </w:t>
      </w:r>
      <w:r>
        <w:rPr/>
        <w:t>model</w:t>
      </w:r>
      <w:r>
        <w:rPr>
          <w:spacing w:val="-11"/>
        </w:rPr>
        <w:t> </w:t>
      </w:r>
      <w:r>
        <w:rPr/>
        <w:t>in</w:t>
      </w:r>
      <w:r>
        <w:rPr>
          <w:spacing w:val="-11"/>
        </w:rPr>
        <w:t> </w:t>
      </w:r>
      <w:r>
        <w:rPr/>
        <w:t>most</w:t>
      </w:r>
      <w:r>
        <w:rPr>
          <w:spacing w:val="-11"/>
        </w:rPr>
        <w:t> </w:t>
      </w:r>
      <w:r>
        <w:rPr/>
        <w:t>pitch</w:t>
      </w:r>
      <w:r>
        <w:rPr>
          <w:spacing w:val="-11"/>
        </w:rPr>
        <w:t> </w:t>
      </w:r>
      <w:r>
        <w:rPr/>
        <w:t>locations.</w:t>
      </w:r>
      <w:r>
        <w:rPr>
          <w:spacing w:val="8"/>
        </w:rPr>
        <w:t> </w:t>
      </w:r>
      <w:r>
        <w:rPr/>
        <w:t>Wigan</w:t>
      </w:r>
      <w:r>
        <w:rPr>
          <w:spacing w:val="-11"/>
        </w:rPr>
        <w:t> </w:t>
      </w:r>
      <w:r>
        <w:rPr/>
        <w:t>(Figure</w:t>
      </w:r>
      <w:hyperlink w:history="true" w:anchor="_bookmark205">
        <w:r>
          <w:rPr>
            <w:color w:val="0000FF"/>
          </w:rPr>
          <w:t>6.6</w:t>
        </w:r>
        <w:r>
          <w:rPr/>
          <w:t>)</w:t>
        </w:r>
      </w:hyperlink>
      <w:r>
        <w:rPr>
          <w:spacing w:val="-11"/>
        </w:rPr>
        <w:t> </w:t>
      </w:r>
      <w:r>
        <w:rPr/>
        <w:t>showed</w:t>
      </w:r>
      <w:r>
        <w:rPr>
          <w:spacing w:val="-11"/>
        </w:rPr>
        <w:t> </w:t>
      </w:r>
      <w:r>
        <w:rPr/>
        <w:t>a</w:t>
      </w:r>
      <w:r>
        <w:rPr>
          <w:spacing w:val="-11"/>
        </w:rPr>
        <w:t> </w:t>
      </w:r>
      <w:r>
        <w:rPr/>
        <w:t>greater</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0"/>
        <w:rPr>
          <w:sz w:val="15"/>
        </w:rPr>
      </w:pPr>
    </w:p>
    <w:p>
      <w:pPr>
        <w:pStyle w:val="BodyText"/>
        <w:ind w:left="1460"/>
        <w:rPr>
          <w:sz w:val="20"/>
        </w:rPr>
      </w:pPr>
      <w:r>
        <w:rPr>
          <w:sz w:val="20"/>
        </w:rPr>
        <w:drawing>
          <wp:inline distT="0" distB="0" distL="0" distR="0">
            <wp:extent cx="4279392" cy="4718304"/>
            <wp:effectExtent l="0" t="0" r="0" b="0"/>
            <wp:docPr id="113" name="image57.jpeg"/>
            <wp:cNvGraphicFramePr>
              <a:graphicFrameLocks noChangeAspect="1"/>
            </wp:cNvGraphicFramePr>
            <a:graphic>
              <a:graphicData uri="http://schemas.openxmlformats.org/drawingml/2006/picture">
                <pic:pic>
                  <pic:nvPicPr>
                    <pic:cNvPr id="114" name="image57.jpeg"/>
                    <pic:cNvPicPr/>
                  </pic:nvPicPr>
                  <pic:blipFill>
                    <a:blip r:embed="rId135" cstate="print"/>
                    <a:stretch>
                      <a:fillRect/>
                    </a:stretch>
                  </pic:blipFill>
                  <pic:spPr>
                    <a:xfrm>
                      <a:off x="0" y="0"/>
                      <a:ext cx="4279392" cy="4718304"/>
                    </a:xfrm>
                    <a:prstGeom prst="rect">
                      <a:avLst/>
                    </a:prstGeom>
                  </pic:spPr>
                </pic:pic>
              </a:graphicData>
            </a:graphic>
          </wp:inline>
        </w:drawing>
      </w:r>
      <w:r>
        <w:rPr>
          <w:sz w:val="20"/>
        </w:rPr>
      </w:r>
    </w:p>
    <w:p>
      <w:pPr>
        <w:pStyle w:val="BodyText"/>
        <w:rPr>
          <w:sz w:val="20"/>
        </w:rPr>
      </w:pPr>
    </w:p>
    <w:p>
      <w:pPr>
        <w:pStyle w:val="BodyText"/>
        <w:spacing w:line="252" w:lineRule="auto" w:before="224"/>
        <w:ind w:left="610" w:right="389"/>
        <w:jc w:val="both"/>
      </w:pPr>
      <w:bookmarkStart w:name="_bookmark206" w:id="349"/>
      <w:bookmarkEnd w:id="349"/>
      <w:r>
        <w:rPr/>
      </w:r>
      <w:r>
        <w:rPr>
          <w:b/>
        </w:rPr>
        <w:t>Figure 6.7: </w:t>
      </w:r>
      <w:r>
        <w:rPr/>
        <w:t>Castleford smooth pitch surface plot from team defending model.</w:t>
      </w:r>
      <w:r>
        <w:rPr>
          <w:spacing w:val="40"/>
        </w:rPr>
        <w:t> </w:t>
      </w:r>
      <w:r>
        <w:rPr/>
        <w:t>Green areas</w:t>
      </w:r>
      <w:r>
        <w:rPr>
          <w:spacing w:val="-14"/>
        </w:rPr>
        <w:t> </w:t>
      </w:r>
      <w:r>
        <w:rPr/>
        <w:t>represent</w:t>
      </w:r>
      <w:r>
        <w:rPr>
          <w:spacing w:val="-14"/>
        </w:rPr>
        <w:t> </w:t>
      </w:r>
      <w:r>
        <w:rPr/>
        <w:t>higher</w:t>
      </w:r>
      <w:r>
        <w:rPr>
          <w:spacing w:val="-14"/>
        </w:rPr>
        <w:t> </w:t>
      </w:r>
      <w:r>
        <w:rPr/>
        <w:t>value</w:t>
      </w:r>
      <w:r>
        <w:rPr>
          <w:spacing w:val="-14"/>
        </w:rPr>
        <w:t> </w:t>
      </w:r>
      <w:r>
        <w:rPr/>
        <w:t>for</w:t>
      </w:r>
      <w:r>
        <w:rPr>
          <w:spacing w:val="-14"/>
        </w:rPr>
        <w:t> </w:t>
      </w:r>
      <w:r>
        <w:rPr/>
        <w:t>more</w:t>
      </w:r>
      <w:r>
        <w:rPr>
          <w:spacing w:val="-14"/>
        </w:rPr>
        <w:t> </w:t>
      </w:r>
      <w:r>
        <w:rPr/>
        <w:t>favourable</w:t>
      </w:r>
      <w:r>
        <w:rPr>
          <w:spacing w:val="-14"/>
        </w:rPr>
        <w:t> </w:t>
      </w:r>
      <w:r>
        <w:rPr/>
        <w:t>event</w:t>
      </w:r>
      <w:r>
        <w:rPr>
          <w:spacing w:val="-14"/>
        </w:rPr>
        <w:t> </w:t>
      </w:r>
      <w:r>
        <w:rPr/>
        <w:t>(i.e. lower</w:t>
      </w:r>
      <w:r>
        <w:rPr>
          <w:spacing w:val="-14"/>
        </w:rPr>
        <w:t> </w:t>
      </w:r>
      <w:r>
        <w:rPr/>
        <w:t>probability</w:t>
      </w:r>
      <w:r>
        <w:rPr>
          <w:spacing w:val="-14"/>
        </w:rPr>
        <w:t> </w:t>
      </w:r>
      <w:r>
        <w:rPr/>
        <w:t>of</w:t>
      </w:r>
      <w:r>
        <w:rPr>
          <w:spacing w:val="-14"/>
        </w:rPr>
        <w:t> </w:t>
      </w:r>
      <w:r>
        <w:rPr/>
        <w:t>all</w:t>
      </w:r>
      <w:r>
        <w:rPr>
          <w:spacing w:val="-14"/>
        </w:rPr>
        <w:t> </w:t>
      </w:r>
      <w:r>
        <w:rPr/>
        <w:t>events occurring</w:t>
      </w:r>
      <w:r>
        <w:rPr>
          <w:spacing w:val="-2"/>
        </w:rPr>
        <w:t> </w:t>
      </w:r>
      <w:r>
        <w:rPr/>
        <w:t>except</w:t>
      </w:r>
      <w:r>
        <w:rPr>
          <w:spacing w:val="-2"/>
        </w:rPr>
        <w:t> </w:t>
      </w:r>
      <w:r>
        <w:rPr/>
        <w:t>No</w:t>
      </w:r>
      <w:r>
        <w:rPr>
          <w:spacing w:val="-2"/>
        </w:rPr>
        <w:t> </w:t>
      </w:r>
      <w:r>
        <w:rPr/>
        <w:t>Points)</w:t>
      </w:r>
      <w:r>
        <w:rPr>
          <w:spacing w:val="-2"/>
        </w:rPr>
        <w:t> </w:t>
      </w:r>
      <w:r>
        <w:rPr/>
        <w:t>compared</w:t>
      </w:r>
      <w:r>
        <w:rPr>
          <w:spacing w:val="-2"/>
        </w:rPr>
        <w:t> </w:t>
      </w:r>
      <w:r>
        <w:rPr/>
        <w:t>to</w:t>
      </w:r>
      <w:r>
        <w:rPr>
          <w:spacing w:val="-2"/>
        </w:rPr>
        <w:t> </w:t>
      </w:r>
      <w:r>
        <w:rPr/>
        <w:t>whole</w:t>
      </w:r>
      <w:r>
        <w:rPr>
          <w:spacing w:val="-2"/>
        </w:rPr>
        <w:t> </w:t>
      </w:r>
      <w:r>
        <w:rPr/>
        <w:t>league</w:t>
      </w:r>
      <w:r>
        <w:rPr>
          <w:spacing w:val="-2"/>
        </w:rPr>
        <w:t> </w:t>
      </w:r>
      <w:r>
        <w:rPr/>
        <w:t>model. 4pt</w:t>
      </w:r>
      <w:r>
        <w:rPr>
          <w:spacing w:val="-2"/>
        </w:rPr>
        <w:t> </w:t>
      </w:r>
      <w:r>
        <w:rPr/>
        <w:t>Try</w:t>
      </w:r>
      <w:r>
        <w:rPr>
          <w:spacing w:val="-2"/>
        </w:rPr>
        <w:t> </w:t>
      </w:r>
      <w:r>
        <w:rPr/>
        <w:t>and</w:t>
      </w:r>
      <w:r>
        <w:rPr>
          <w:spacing w:val="-2"/>
        </w:rPr>
        <w:t> </w:t>
      </w:r>
      <w:r>
        <w:rPr/>
        <w:t>6pt</w:t>
      </w:r>
      <w:r>
        <w:rPr>
          <w:spacing w:val="-2"/>
        </w:rPr>
        <w:t> </w:t>
      </w:r>
      <w:r>
        <w:rPr/>
        <w:t>Try</w:t>
      </w:r>
      <w:r>
        <w:rPr>
          <w:spacing w:val="-2"/>
        </w:rPr>
        <w:t> </w:t>
      </w:r>
      <w:r>
        <w:rPr/>
        <w:t>refer to unconverted and converted tries respectively.</w:t>
      </w:r>
    </w:p>
    <w:p>
      <w:pPr>
        <w:pStyle w:val="BodyText"/>
        <w:spacing w:before="6"/>
        <w:rPr>
          <w:sz w:val="37"/>
        </w:rPr>
      </w:pPr>
    </w:p>
    <w:p>
      <w:pPr>
        <w:pStyle w:val="BodyText"/>
        <w:spacing w:line="312" w:lineRule="auto"/>
        <w:ind w:left="610" w:right="389"/>
        <w:jc w:val="both"/>
      </w:pPr>
      <w:r>
        <w:rPr/>
        <w:t>probability</w:t>
      </w:r>
      <w:r>
        <w:rPr>
          <w:spacing w:val="-14"/>
        </w:rPr>
        <w:t> </w:t>
      </w:r>
      <w:r>
        <w:rPr/>
        <w:t>of</w:t>
      </w:r>
      <w:r>
        <w:rPr>
          <w:spacing w:val="-14"/>
        </w:rPr>
        <w:t> </w:t>
      </w:r>
      <w:r>
        <w:rPr/>
        <w:t>scoring</w:t>
      </w:r>
      <w:r>
        <w:rPr>
          <w:spacing w:val="-14"/>
        </w:rPr>
        <w:t> </w:t>
      </w:r>
      <w:r>
        <w:rPr/>
        <w:t>unconverted</w:t>
      </w:r>
      <w:r>
        <w:rPr>
          <w:spacing w:val="-14"/>
        </w:rPr>
        <w:t> </w:t>
      </w:r>
      <w:r>
        <w:rPr/>
        <w:t>tries</w:t>
      </w:r>
      <w:r>
        <w:rPr>
          <w:spacing w:val="-14"/>
        </w:rPr>
        <w:t> </w:t>
      </w:r>
      <w:r>
        <w:rPr/>
        <w:t>or</w:t>
      </w:r>
      <w:r>
        <w:rPr>
          <w:spacing w:val="-14"/>
        </w:rPr>
        <w:t> </w:t>
      </w:r>
      <w:r>
        <w:rPr/>
        <w:t>no</w:t>
      </w:r>
      <w:r>
        <w:rPr>
          <w:spacing w:val="-14"/>
        </w:rPr>
        <w:t> </w:t>
      </w:r>
      <w:r>
        <w:rPr/>
        <w:t>points</w:t>
      </w:r>
      <w:r>
        <w:rPr>
          <w:spacing w:val="-14"/>
        </w:rPr>
        <w:t> </w:t>
      </w:r>
      <w:r>
        <w:rPr/>
        <w:t>across</w:t>
      </w:r>
      <w:r>
        <w:rPr>
          <w:spacing w:val="-14"/>
        </w:rPr>
        <w:t> </w:t>
      </w:r>
      <w:r>
        <w:rPr/>
        <w:t>the</w:t>
      </w:r>
      <w:r>
        <w:rPr>
          <w:spacing w:val="-14"/>
        </w:rPr>
        <w:t> </w:t>
      </w:r>
      <w:r>
        <w:rPr/>
        <w:t>pitch</w:t>
      </w:r>
      <w:r>
        <w:rPr>
          <w:spacing w:val="-14"/>
        </w:rPr>
        <w:t> </w:t>
      </w:r>
      <w:r>
        <w:rPr/>
        <w:t>in</w:t>
      </w:r>
      <w:r>
        <w:rPr>
          <w:spacing w:val="-14"/>
        </w:rPr>
        <w:t> </w:t>
      </w:r>
      <w:r>
        <w:rPr/>
        <w:t>the</w:t>
      </w:r>
      <w:r>
        <w:rPr>
          <w:spacing w:val="-14"/>
        </w:rPr>
        <w:t> </w:t>
      </w:r>
      <w:r>
        <w:rPr/>
        <w:t>opposition</w:t>
      </w:r>
      <w:r>
        <w:rPr>
          <w:spacing w:val="-14"/>
        </w:rPr>
        <w:t> </w:t>
      </w:r>
      <w:r>
        <w:rPr/>
        <w:t>half in their model.</w:t>
      </w:r>
      <w:r>
        <w:rPr>
          <w:spacing w:val="31"/>
        </w:rPr>
        <w:t> </w:t>
      </w:r>
      <w:r>
        <w:rPr/>
        <w:t>This trend is reflected by the red (meaning reduced probability or value) areas</w:t>
      </w:r>
      <w:r>
        <w:rPr>
          <w:spacing w:val="-12"/>
        </w:rPr>
        <w:t> </w:t>
      </w:r>
      <w:r>
        <w:rPr/>
        <w:t>present</w:t>
      </w:r>
      <w:r>
        <w:rPr>
          <w:spacing w:val="-12"/>
        </w:rPr>
        <w:t> </w:t>
      </w:r>
      <w:r>
        <w:rPr/>
        <w:t>across</w:t>
      </w:r>
      <w:r>
        <w:rPr>
          <w:spacing w:val="-12"/>
        </w:rPr>
        <w:t> </w:t>
      </w:r>
      <w:r>
        <w:rPr/>
        <w:t>the</w:t>
      </w:r>
      <w:r>
        <w:rPr>
          <w:spacing w:val="-12"/>
        </w:rPr>
        <w:t> </w:t>
      </w:r>
      <w:r>
        <w:rPr/>
        <w:t>converted</w:t>
      </w:r>
      <w:r>
        <w:rPr>
          <w:spacing w:val="-12"/>
        </w:rPr>
        <w:t> </w:t>
      </w:r>
      <w:r>
        <w:rPr/>
        <w:t>try,</w:t>
      </w:r>
      <w:r>
        <w:rPr>
          <w:spacing w:val="-11"/>
        </w:rPr>
        <w:t> </w:t>
      </w:r>
      <w:r>
        <w:rPr/>
        <w:t>penalty</w:t>
      </w:r>
      <w:r>
        <w:rPr>
          <w:spacing w:val="-12"/>
        </w:rPr>
        <w:t> </w:t>
      </w:r>
      <w:r>
        <w:rPr/>
        <w:t>and</w:t>
      </w:r>
      <w:r>
        <w:rPr>
          <w:spacing w:val="-12"/>
        </w:rPr>
        <w:t> </w:t>
      </w:r>
      <w:r>
        <w:rPr/>
        <w:t>EPV</w:t>
      </w:r>
      <w:r>
        <w:rPr>
          <w:spacing w:val="-12"/>
        </w:rPr>
        <w:t> </w:t>
      </w:r>
      <w:r>
        <w:rPr/>
        <w:t>plots. They</w:t>
      </w:r>
      <w:r>
        <w:rPr>
          <w:spacing w:val="-12"/>
        </w:rPr>
        <w:t> </w:t>
      </w:r>
      <w:r>
        <w:rPr/>
        <w:t>were</w:t>
      </w:r>
      <w:r>
        <w:rPr>
          <w:spacing w:val="-12"/>
        </w:rPr>
        <w:t> </w:t>
      </w:r>
      <w:r>
        <w:rPr/>
        <w:t>also</w:t>
      </w:r>
      <w:r>
        <w:rPr>
          <w:spacing w:val="-12"/>
        </w:rPr>
        <w:t> </w:t>
      </w:r>
      <w:r>
        <w:rPr/>
        <w:t>more</w:t>
      </w:r>
      <w:r>
        <w:rPr>
          <w:spacing w:val="-12"/>
        </w:rPr>
        <w:t> </w:t>
      </w:r>
      <w:r>
        <w:rPr/>
        <w:t>likely to</w:t>
      </w:r>
      <w:r>
        <w:rPr>
          <w:spacing w:val="-5"/>
        </w:rPr>
        <w:t> </w:t>
      </w:r>
      <w:r>
        <w:rPr/>
        <w:t>score</w:t>
      </w:r>
      <w:r>
        <w:rPr>
          <w:spacing w:val="-5"/>
        </w:rPr>
        <w:t> </w:t>
      </w:r>
      <w:r>
        <w:rPr/>
        <w:t>unconverted</w:t>
      </w:r>
      <w:r>
        <w:rPr>
          <w:spacing w:val="-5"/>
        </w:rPr>
        <w:t> </w:t>
      </w:r>
      <w:r>
        <w:rPr/>
        <w:t>tries</w:t>
      </w:r>
      <w:r>
        <w:rPr>
          <w:spacing w:val="-5"/>
        </w:rPr>
        <w:t> </w:t>
      </w:r>
      <w:r>
        <w:rPr/>
        <w:t>in</w:t>
      </w:r>
      <w:r>
        <w:rPr>
          <w:spacing w:val="-5"/>
        </w:rPr>
        <w:t> </w:t>
      </w:r>
      <w:r>
        <w:rPr/>
        <w:t>the</w:t>
      </w:r>
      <w:r>
        <w:rPr>
          <w:spacing w:val="-5"/>
        </w:rPr>
        <w:t> </w:t>
      </w:r>
      <w:r>
        <w:rPr/>
        <w:t>opposition</w:t>
      </w:r>
      <w:r>
        <w:rPr>
          <w:spacing w:val="-5"/>
        </w:rPr>
        <w:t> </w:t>
      </w:r>
      <w:r>
        <w:rPr/>
        <w:t>20m</w:t>
      </w:r>
      <w:r>
        <w:rPr>
          <w:spacing w:val="-5"/>
        </w:rPr>
        <w:t> </w:t>
      </w:r>
      <w:r>
        <w:rPr/>
        <w:t>as</w:t>
      </w:r>
      <w:r>
        <w:rPr>
          <w:spacing w:val="-5"/>
        </w:rPr>
        <w:t> </w:t>
      </w:r>
      <w:r>
        <w:rPr/>
        <w:t>shown</w:t>
      </w:r>
      <w:r>
        <w:rPr>
          <w:spacing w:val="-5"/>
        </w:rPr>
        <w:t> </w:t>
      </w:r>
      <w:r>
        <w:rPr/>
        <w:t>by</w:t>
      </w:r>
      <w:r>
        <w:rPr>
          <w:spacing w:val="-5"/>
        </w:rPr>
        <w:t> </w:t>
      </w:r>
      <w:r>
        <w:rPr/>
        <w:t>the</w:t>
      </w:r>
      <w:r>
        <w:rPr>
          <w:spacing w:val="-5"/>
        </w:rPr>
        <w:t> </w:t>
      </w:r>
      <w:r>
        <w:rPr/>
        <w:t>green</w:t>
      </w:r>
      <w:r>
        <w:rPr>
          <w:spacing w:val="-5"/>
        </w:rPr>
        <w:t> </w:t>
      </w:r>
      <w:r>
        <w:rPr/>
        <w:t>areas</w:t>
      </w:r>
      <w:r>
        <w:rPr>
          <w:spacing w:val="-5"/>
        </w:rPr>
        <w:t> </w:t>
      </w:r>
      <w:r>
        <w:rPr/>
        <w:t>in</w:t>
      </w:r>
      <w:r>
        <w:rPr>
          <w:spacing w:val="-5"/>
        </w:rPr>
        <w:t> </w:t>
      </w:r>
      <w:r>
        <w:rPr/>
        <w:t>that</w:t>
      </w:r>
      <w:r>
        <w:rPr>
          <w:spacing w:val="-5"/>
        </w:rPr>
        <w:t> </w:t>
      </w:r>
      <w:r>
        <w:rPr/>
        <w:t>plot. Coaches can use this information to understand different opponents’ attacking strengths and develop defensive strategies to face them.</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0"/>
        <w:rPr>
          <w:sz w:val="15"/>
        </w:rPr>
      </w:pPr>
    </w:p>
    <w:p>
      <w:pPr>
        <w:pStyle w:val="BodyText"/>
        <w:ind w:left="1460"/>
        <w:rPr>
          <w:sz w:val="20"/>
        </w:rPr>
      </w:pPr>
      <w:r>
        <w:rPr>
          <w:sz w:val="20"/>
        </w:rPr>
        <w:drawing>
          <wp:inline distT="0" distB="0" distL="0" distR="0">
            <wp:extent cx="4279392" cy="4773168"/>
            <wp:effectExtent l="0" t="0" r="0" b="0"/>
            <wp:docPr id="115" name="image58.jpeg"/>
            <wp:cNvGraphicFramePr>
              <a:graphicFrameLocks noChangeAspect="1"/>
            </wp:cNvGraphicFramePr>
            <a:graphic>
              <a:graphicData uri="http://schemas.openxmlformats.org/drawingml/2006/picture">
                <pic:pic>
                  <pic:nvPicPr>
                    <pic:cNvPr id="116" name="image58.jpeg"/>
                    <pic:cNvPicPr/>
                  </pic:nvPicPr>
                  <pic:blipFill>
                    <a:blip r:embed="rId136" cstate="print"/>
                    <a:stretch>
                      <a:fillRect/>
                    </a:stretch>
                  </pic:blipFill>
                  <pic:spPr>
                    <a:xfrm>
                      <a:off x="0" y="0"/>
                      <a:ext cx="4279392" cy="4773168"/>
                    </a:xfrm>
                    <a:prstGeom prst="rect">
                      <a:avLst/>
                    </a:prstGeom>
                  </pic:spPr>
                </pic:pic>
              </a:graphicData>
            </a:graphic>
          </wp:inline>
        </w:drawing>
      </w:r>
      <w:r>
        <w:rPr>
          <w:sz w:val="20"/>
        </w:rPr>
      </w:r>
    </w:p>
    <w:p>
      <w:pPr>
        <w:pStyle w:val="BodyText"/>
        <w:spacing w:before="9"/>
        <w:rPr>
          <w:sz w:val="22"/>
        </w:rPr>
      </w:pPr>
    </w:p>
    <w:p>
      <w:pPr>
        <w:pStyle w:val="BodyText"/>
        <w:spacing w:line="252" w:lineRule="auto" w:before="106"/>
        <w:ind w:left="610" w:right="389"/>
        <w:jc w:val="both"/>
      </w:pPr>
      <w:bookmarkStart w:name="_bookmark207" w:id="350"/>
      <w:bookmarkEnd w:id="350"/>
      <w:r>
        <w:rPr/>
      </w:r>
      <w:r>
        <w:rPr>
          <w:b/>
        </w:rPr>
        <w:t>Figure</w:t>
      </w:r>
      <w:r>
        <w:rPr>
          <w:b/>
          <w:spacing w:val="-5"/>
        </w:rPr>
        <w:t> </w:t>
      </w:r>
      <w:r>
        <w:rPr>
          <w:b/>
        </w:rPr>
        <w:t>6.8: </w:t>
      </w:r>
      <w:r>
        <w:rPr/>
        <w:t>Catalans</w:t>
      </w:r>
      <w:r>
        <w:rPr>
          <w:spacing w:val="-5"/>
        </w:rPr>
        <w:t> </w:t>
      </w:r>
      <w:r>
        <w:rPr/>
        <w:t>smooth</w:t>
      </w:r>
      <w:r>
        <w:rPr>
          <w:spacing w:val="-5"/>
        </w:rPr>
        <w:t> </w:t>
      </w:r>
      <w:r>
        <w:rPr/>
        <w:t>pitch</w:t>
      </w:r>
      <w:r>
        <w:rPr>
          <w:spacing w:val="-5"/>
        </w:rPr>
        <w:t> </w:t>
      </w:r>
      <w:r>
        <w:rPr/>
        <w:t>surface</w:t>
      </w:r>
      <w:r>
        <w:rPr>
          <w:spacing w:val="-5"/>
        </w:rPr>
        <w:t> </w:t>
      </w:r>
      <w:r>
        <w:rPr/>
        <w:t>plot</w:t>
      </w:r>
      <w:r>
        <w:rPr>
          <w:spacing w:val="-5"/>
        </w:rPr>
        <w:t> </w:t>
      </w:r>
      <w:r>
        <w:rPr/>
        <w:t>from</w:t>
      </w:r>
      <w:r>
        <w:rPr>
          <w:spacing w:val="-5"/>
        </w:rPr>
        <w:t> </w:t>
      </w:r>
      <w:r>
        <w:rPr/>
        <w:t>team</w:t>
      </w:r>
      <w:r>
        <w:rPr>
          <w:spacing w:val="-5"/>
        </w:rPr>
        <w:t> </w:t>
      </w:r>
      <w:r>
        <w:rPr/>
        <w:t>defending</w:t>
      </w:r>
      <w:r>
        <w:rPr>
          <w:spacing w:val="-5"/>
        </w:rPr>
        <w:t> </w:t>
      </w:r>
      <w:r>
        <w:rPr/>
        <w:t>model. Green</w:t>
      </w:r>
      <w:r>
        <w:rPr>
          <w:spacing w:val="-5"/>
        </w:rPr>
        <w:t> </w:t>
      </w:r>
      <w:r>
        <w:rPr/>
        <w:t>areas represent higher value for more favourable event (i.e.</w:t>
      </w:r>
      <w:r>
        <w:rPr>
          <w:spacing w:val="40"/>
        </w:rPr>
        <w:t> </w:t>
      </w:r>
      <w:r>
        <w:rPr/>
        <w:t>lower probability of all events occurring</w:t>
      </w:r>
      <w:r>
        <w:rPr>
          <w:spacing w:val="-2"/>
        </w:rPr>
        <w:t> </w:t>
      </w:r>
      <w:r>
        <w:rPr/>
        <w:t>except</w:t>
      </w:r>
      <w:r>
        <w:rPr>
          <w:spacing w:val="-2"/>
        </w:rPr>
        <w:t> </w:t>
      </w:r>
      <w:r>
        <w:rPr/>
        <w:t>No</w:t>
      </w:r>
      <w:r>
        <w:rPr>
          <w:spacing w:val="-2"/>
        </w:rPr>
        <w:t> </w:t>
      </w:r>
      <w:r>
        <w:rPr/>
        <w:t>Points)</w:t>
      </w:r>
      <w:r>
        <w:rPr>
          <w:spacing w:val="-2"/>
        </w:rPr>
        <w:t> </w:t>
      </w:r>
      <w:r>
        <w:rPr/>
        <w:t>compared</w:t>
      </w:r>
      <w:r>
        <w:rPr>
          <w:spacing w:val="-2"/>
        </w:rPr>
        <w:t> </w:t>
      </w:r>
      <w:r>
        <w:rPr/>
        <w:t>to</w:t>
      </w:r>
      <w:r>
        <w:rPr>
          <w:spacing w:val="-2"/>
        </w:rPr>
        <w:t> </w:t>
      </w:r>
      <w:r>
        <w:rPr/>
        <w:t>whole</w:t>
      </w:r>
      <w:r>
        <w:rPr>
          <w:spacing w:val="-2"/>
        </w:rPr>
        <w:t> </w:t>
      </w:r>
      <w:r>
        <w:rPr/>
        <w:t>league</w:t>
      </w:r>
      <w:r>
        <w:rPr>
          <w:spacing w:val="-2"/>
        </w:rPr>
        <w:t> </w:t>
      </w:r>
      <w:r>
        <w:rPr/>
        <w:t>model. 4pt</w:t>
      </w:r>
      <w:r>
        <w:rPr>
          <w:spacing w:val="-2"/>
        </w:rPr>
        <w:t> </w:t>
      </w:r>
      <w:r>
        <w:rPr/>
        <w:t>Try</w:t>
      </w:r>
      <w:r>
        <w:rPr>
          <w:spacing w:val="-2"/>
        </w:rPr>
        <w:t> </w:t>
      </w:r>
      <w:r>
        <w:rPr/>
        <w:t>and</w:t>
      </w:r>
      <w:r>
        <w:rPr>
          <w:spacing w:val="-2"/>
        </w:rPr>
        <w:t> </w:t>
      </w:r>
      <w:r>
        <w:rPr/>
        <w:t>6pt</w:t>
      </w:r>
      <w:r>
        <w:rPr>
          <w:spacing w:val="-2"/>
        </w:rPr>
        <w:t> </w:t>
      </w:r>
      <w:r>
        <w:rPr/>
        <w:t>Try</w:t>
      </w:r>
      <w:r>
        <w:rPr>
          <w:spacing w:val="-2"/>
        </w:rPr>
        <w:t> </w:t>
      </w:r>
      <w:r>
        <w:rPr/>
        <w:t>refer to unconverted and converted tries respectively.</w:t>
      </w:r>
    </w:p>
    <w:p>
      <w:pPr>
        <w:pStyle w:val="BodyText"/>
        <w:spacing w:before="6"/>
        <w:rPr>
          <w:sz w:val="37"/>
        </w:rPr>
      </w:pPr>
    </w:p>
    <w:p>
      <w:pPr>
        <w:pStyle w:val="BodyText"/>
        <w:ind w:left="961"/>
      </w:pPr>
      <w:r>
        <w:rPr/>
        <w:t>Figures</w:t>
      </w:r>
      <w:hyperlink w:history="true" w:anchor="_bookmark206">
        <w:r>
          <w:rPr>
            <w:color w:val="0000FF"/>
          </w:rPr>
          <w:t>6.7</w:t>
        </w:r>
        <w:r>
          <w:rPr/>
          <w:t>,</w:t>
        </w:r>
      </w:hyperlink>
      <w:r>
        <w:rPr>
          <w:color w:val="0000FF"/>
        </w:rPr>
        <w:t>6.8</w:t>
      </w:r>
      <w:hyperlink w:history="true" w:anchor="_bookmark207">
        <w:r>
          <w:rPr/>
          <w:t>,</w:t>
        </w:r>
      </w:hyperlink>
      <w:r>
        <w:rPr>
          <w:color w:val="0000FF"/>
        </w:rPr>
        <w:t>6.9</w:t>
      </w:r>
      <w:r>
        <w:rPr/>
        <w:t>show smooth pitch</w:t>
      </w:r>
      <w:r>
        <w:rPr>
          <w:spacing w:val="1"/>
        </w:rPr>
        <w:t> </w:t>
      </w:r>
      <w:r>
        <w:rPr/>
        <w:t>surface plots</w:t>
      </w:r>
      <w:r>
        <w:rPr>
          <w:spacing w:val="1"/>
        </w:rPr>
        <w:t> </w:t>
      </w:r>
      <w:r>
        <w:rPr/>
        <w:t>for</w:t>
      </w:r>
      <w:r>
        <w:rPr>
          <w:spacing w:val="1"/>
        </w:rPr>
        <w:t> </w:t>
      </w:r>
      <w:r>
        <w:rPr/>
        <w:t>the team defending</w:t>
      </w:r>
      <w:r>
        <w:rPr>
          <w:spacing w:val="1"/>
        </w:rPr>
        <w:t> </w:t>
      </w:r>
      <w:r>
        <w:rPr>
          <w:spacing w:val="-2"/>
        </w:rPr>
        <w:t>models</w:t>
      </w:r>
    </w:p>
    <w:p>
      <w:pPr>
        <w:pStyle w:val="BodyText"/>
        <w:spacing w:line="181" w:lineRule="exact" w:before="44"/>
        <w:ind w:left="610"/>
      </w:pPr>
      <w:r>
        <w:rPr>
          <w:spacing w:val="10"/>
        </w:rPr>
        <w:t>(</w:t>
      </w:r>
      <w:r>
        <w:rPr>
          <w:rFonts w:ascii="Cambria" w:hAnsi="Cambria"/>
          <w:spacing w:val="10"/>
        </w:rPr>
        <w:t>P</w:t>
      </w:r>
      <w:r>
        <w:rPr>
          <w:rFonts w:ascii="Cambria" w:hAnsi="Cambria"/>
          <w:spacing w:val="10"/>
          <w:vertAlign w:val="superscript"/>
        </w:rPr>
        <w:t>µ</w:t>
      </w:r>
      <w:r>
        <w:rPr>
          <w:rFonts w:ascii="Cambria" w:hAnsi="Cambria"/>
          <w:spacing w:val="27"/>
          <w:vertAlign w:val="baseline"/>
        </w:rPr>
        <w:t> </w:t>
      </w:r>
      <w:r>
        <w:rPr>
          <w:rFonts w:ascii="Garamond" w:hAnsi="Garamond"/>
          <w:vertAlign w:val="baseline"/>
        </w:rPr>
        <w:t>(</w:t>
      </w:r>
      <w:r>
        <w:rPr>
          <w:rFonts w:ascii="Cambria" w:hAnsi="Cambria"/>
          <w:vertAlign w:val="baseline"/>
        </w:rPr>
        <w:t>s</w:t>
      </w:r>
      <w:r>
        <w:rPr>
          <w:rFonts w:ascii="Garamond" w:hAnsi="Garamond"/>
          <w:vertAlign w:val="baseline"/>
        </w:rPr>
        <w:t>)</w:t>
      </w:r>
      <w:r>
        <w:rPr>
          <w:rFonts w:ascii="Garamond" w:hAnsi="Garamond"/>
          <w:spacing w:val="24"/>
          <w:vertAlign w:val="baseline"/>
        </w:rPr>
        <w:t> </w:t>
      </w:r>
      <w:r>
        <w:rPr>
          <w:vertAlign w:val="baseline"/>
        </w:rPr>
        <w:t>for</w:t>
      </w:r>
      <w:r>
        <w:rPr>
          <w:spacing w:val="23"/>
          <w:vertAlign w:val="baseline"/>
        </w:rPr>
        <w:t> </w:t>
      </w:r>
      <w:r>
        <w:rPr>
          <w:vertAlign w:val="baseline"/>
        </w:rPr>
        <w:t>all</w:t>
      </w:r>
      <w:r>
        <w:rPr>
          <w:spacing w:val="23"/>
          <w:vertAlign w:val="baseline"/>
        </w:rPr>
        <w:t> </w:t>
      </w:r>
      <w:r>
        <w:rPr>
          <w:rFonts w:ascii="Cambria" w:hAnsi="Cambria"/>
          <w:vertAlign w:val="baseline"/>
        </w:rPr>
        <w:t>s</w:t>
      </w:r>
      <w:r>
        <w:rPr>
          <w:rFonts w:ascii="Cambria" w:hAnsi="Cambria"/>
          <w:spacing w:val="57"/>
          <w:vertAlign w:val="baseline"/>
        </w:rPr>
        <w:t> </w:t>
      </w:r>
      <w:r>
        <w:rPr>
          <w:rFonts w:ascii="Lucida Sans Unicode" w:hAnsi="Lucida Sans Unicode"/>
          <w:vertAlign w:val="baseline"/>
        </w:rPr>
        <w:t>∈</w:t>
      </w:r>
      <w:r>
        <w:rPr>
          <w:rFonts w:ascii="Lucida Sans Unicode" w:hAnsi="Lucida Sans Unicode"/>
          <w:spacing w:val="35"/>
          <w:vertAlign w:val="baseline"/>
        </w:rPr>
        <w:t> </w:t>
      </w:r>
      <w:r>
        <w:rPr>
          <w:rFonts w:ascii="Cambria" w:hAnsi="Cambria"/>
          <w:vertAlign w:val="baseline"/>
        </w:rPr>
        <w:t>S</w:t>
      </w:r>
      <w:r>
        <w:rPr>
          <w:rFonts w:ascii="Cambria" w:hAnsi="Cambria"/>
          <w:spacing w:val="44"/>
          <w:vertAlign w:val="baseline"/>
        </w:rPr>
        <w:t> </w:t>
      </w:r>
      <w:r>
        <w:rPr>
          <w:vertAlign w:val="baseline"/>
        </w:rPr>
        <w:t>and</w:t>
      </w:r>
      <w:r>
        <w:rPr>
          <w:spacing w:val="23"/>
          <w:vertAlign w:val="baseline"/>
        </w:rPr>
        <w:t> </w:t>
      </w:r>
      <w:r>
        <w:rPr>
          <w:vertAlign w:val="baseline"/>
        </w:rPr>
        <w:t>EPV</w:t>
      </w:r>
      <w:r>
        <w:rPr>
          <w:rFonts w:ascii="Cambria" w:hAnsi="Cambria"/>
          <w:vertAlign w:val="superscript"/>
        </w:rPr>
        <w:t>µ</w:t>
      </w:r>
      <w:r>
        <w:rPr>
          <w:rFonts w:ascii="Cambria" w:hAnsi="Cambria"/>
          <w:spacing w:val="59"/>
          <w:vertAlign w:val="baseline"/>
        </w:rPr>
        <w:t> </w:t>
      </w:r>
      <w:r>
        <w:rPr>
          <w:vertAlign w:val="baseline"/>
        </w:rPr>
        <w:t>)</w:t>
      </w:r>
      <w:r>
        <w:rPr>
          <w:spacing w:val="23"/>
          <w:vertAlign w:val="baseline"/>
        </w:rPr>
        <w:t> </w:t>
      </w:r>
      <w:r>
        <w:rPr>
          <w:vertAlign w:val="baseline"/>
        </w:rPr>
        <w:t>for</w:t>
      </w:r>
      <w:r>
        <w:rPr>
          <w:spacing w:val="23"/>
          <w:vertAlign w:val="baseline"/>
        </w:rPr>
        <w:t> </w:t>
      </w:r>
      <w:r>
        <w:rPr>
          <w:vertAlign w:val="baseline"/>
        </w:rPr>
        <w:t>Castleford,</w:t>
      </w:r>
      <w:r>
        <w:rPr>
          <w:spacing w:val="30"/>
          <w:vertAlign w:val="baseline"/>
        </w:rPr>
        <w:t> </w:t>
      </w:r>
      <w:r>
        <w:rPr>
          <w:vertAlign w:val="baseline"/>
        </w:rPr>
        <w:t>Catalans</w:t>
      </w:r>
      <w:r>
        <w:rPr>
          <w:spacing w:val="23"/>
          <w:vertAlign w:val="baseline"/>
        </w:rPr>
        <w:t> </w:t>
      </w:r>
      <w:r>
        <w:rPr>
          <w:vertAlign w:val="baseline"/>
        </w:rPr>
        <w:t>and</w:t>
      </w:r>
      <w:r>
        <w:rPr>
          <w:spacing w:val="23"/>
          <w:vertAlign w:val="baseline"/>
        </w:rPr>
        <w:t> </w:t>
      </w:r>
      <w:r>
        <w:rPr>
          <w:vertAlign w:val="baseline"/>
        </w:rPr>
        <w:t>Wigan.</w:t>
      </w:r>
      <w:r>
        <w:rPr>
          <w:spacing w:val="55"/>
          <w:w w:val="150"/>
          <w:vertAlign w:val="baseline"/>
        </w:rPr>
        <w:t> </w:t>
      </w:r>
      <w:r>
        <w:rPr>
          <w:vertAlign w:val="baseline"/>
        </w:rPr>
        <w:t>These</w:t>
      </w:r>
      <w:r>
        <w:rPr>
          <w:spacing w:val="24"/>
          <w:vertAlign w:val="baseline"/>
        </w:rPr>
        <w:t> </w:t>
      </w:r>
      <w:r>
        <w:rPr>
          <w:spacing w:val="-2"/>
          <w:vertAlign w:val="baseline"/>
        </w:rPr>
        <w:t>models</w:t>
      </w:r>
    </w:p>
    <w:p>
      <w:pPr>
        <w:tabs>
          <w:tab w:pos="3722" w:val="left" w:leader="none"/>
        </w:tabs>
        <w:spacing w:line="182" w:lineRule="exact" w:before="0"/>
        <w:ind w:left="840" w:right="0" w:firstLine="0"/>
        <w:jc w:val="left"/>
        <w:rPr>
          <w:sz w:val="16"/>
        </w:rPr>
      </w:pPr>
      <w:r>
        <w:rPr>
          <w:spacing w:val="-5"/>
          <w:sz w:val="16"/>
        </w:rPr>
        <w:t>def</w:t>
      </w:r>
      <w:r>
        <w:rPr>
          <w:sz w:val="16"/>
        </w:rPr>
        <w:tab/>
      </w:r>
      <w:r>
        <w:rPr>
          <w:spacing w:val="-5"/>
          <w:sz w:val="16"/>
        </w:rPr>
        <w:t>def</w:t>
      </w:r>
    </w:p>
    <w:p>
      <w:pPr>
        <w:pStyle w:val="BodyText"/>
        <w:spacing w:line="312" w:lineRule="auto" w:before="35"/>
        <w:ind w:left="610" w:right="389"/>
        <w:jc w:val="both"/>
      </w:pPr>
      <w:r>
        <w:rPr/>
        <w:t>represent the actions of all opposition teams against the nominated team.</w:t>
      </w:r>
      <w:r>
        <w:rPr>
          <w:spacing w:val="40"/>
        </w:rPr>
        <w:t> </w:t>
      </w:r>
      <w:r>
        <w:rPr/>
        <w:t>As such, the colour</w:t>
      </w:r>
      <w:r>
        <w:rPr>
          <w:spacing w:val="-4"/>
        </w:rPr>
        <w:t> </w:t>
      </w:r>
      <w:r>
        <w:rPr/>
        <w:t>scheme</w:t>
      </w:r>
      <w:r>
        <w:rPr>
          <w:spacing w:val="-4"/>
        </w:rPr>
        <w:t> </w:t>
      </w:r>
      <w:r>
        <w:rPr/>
        <w:t>is</w:t>
      </w:r>
      <w:r>
        <w:rPr>
          <w:spacing w:val="-4"/>
        </w:rPr>
        <w:t> </w:t>
      </w:r>
      <w:r>
        <w:rPr/>
        <w:t>reversed</w:t>
      </w:r>
      <w:r>
        <w:rPr>
          <w:spacing w:val="-4"/>
        </w:rPr>
        <w:t> </w:t>
      </w:r>
      <w:r>
        <w:rPr/>
        <w:t>to</w:t>
      </w:r>
      <w:r>
        <w:rPr>
          <w:spacing w:val="-4"/>
        </w:rPr>
        <w:t> </w:t>
      </w:r>
      <w:r>
        <w:rPr/>
        <w:t>provide</w:t>
      </w:r>
      <w:r>
        <w:rPr>
          <w:spacing w:val="-4"/>
        </w:rPr>
        <w:t> </w:t>
      </w:r>
      <w:r>
        <w:rPr/>
        <w:t>a</w:t>
      </w:r>
      <w:r>
        <w:rPr>
          <w:spacing w:val="-4"/>
        </w:rPr>
        <w:t> </w:t>
      </w:r>
      <w:r>
        <w:rPr/>
        <w:t>true</w:t>
      </w:r>
      <w:r>
        <w:rPr>
          <w:spacing w:val="-4"/>
        </w:rPr>
        <w:t> </w:t>
      </w:r>
      <w:r>
        <w:rPr/>
        <w:t>representation</w:t>
      </w:r>
      <w:r>
        <w:rPr>
          <w:spacing w:val="-4"/>
        </w:rPr>
        <w:t> </w:t>
      </w:r>
      <w:r>
        <w:rPr/>
        <w:t>of</w:t>
      </w:r>
      <w:r>
        <w:rPr>
          <w:spacing w:val="-4"/>
        </w:rPr>
        <w:t> </w:t>
      </w:r>
      <w:r>
        <w:rPr/>
        <w:t>the</w:t>
      </w:r>
      <w:r>
        <w:rPr>
          <w:spacing w:val="-4"/>
        </w:rPr>
        <w:t> </w:t>
      </w:r>
      <w:r>
        <w:rPr/>
        <w:t>teams’</w:t>
      </w:r>
      <w:r>
        <w:rPr>
          <w:spacing w:val="-4"/>
        </w:rPr>
        <w:t> </w:t>
      </w:r>
      <w:r>
        <w:rPr/>
        <w:t>defensive</w:t>
      </w:r>
      <w:r>
        <w:rPr>
          <w:spacing w:val="-4"/>
        </w:rPr>
        <w:t> </w:t>
      </w:r>
      <w:r>
        <w:rPr/>
        <w:t>ability (i.e.</w:t>
      </w:r>
      <w:r>
        <w:rPr>
          <w:spacing w:val="23"/>
        </w:rPr>
        <w:t> </w:t>
      </w:r>
      <w:r>
        <w:rPr/>
        <w:t>whereas an increased probability of scoring no points is bad and coloured red when attacking, it is good and coloured green when defending).</w:t>
      </w:r>
      <w:r>
        <w:rPr>
          <w:spacing w:val="40"/>
        </w:rPr>
        <w:t> </w:t>
      </w:r>
      <w:r>
        <w:rPr/>
        <w:t>Castleford’s plot (Figure</w:t>
      </w:r>
      <w:hyperlink w:history="true" w:anchor="_bookmark206">
        <w:r>
          <w:rPr>
            <w:color w:val="0000FF"/>
          </w:rPr>
          <w:t>6.7</w:t>
        </w:r>
        <w:r>
          <w:rPr/>
          <w:t>)</w:t>
        </w:r>
      </w:hyperlink>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spacing w:before="10"/>
        <w:rPr>
          <w:sz w:val="15"/>
        </w:rPr>
      </w:pPr>
    </w:p>
    <w:p>
      <w:pPr>
        <w:pStyle w:val="BodyText"/>
        <w:ind w:left="1460"/>
        <w:rPr>
          <w:sz w:val="20"/>
        </w:rPr>
      </w:pPr>
      <w:r>
        <w:rPr>
          <w:sz w:val="20"/>
        </w:rPr>
        <w:drawing>
          <wp:inline distT="0" distB="0" distL="0" distR="0">
            <wp:extent cx="4279392" cy="4718304"/>
            <wp:effectExtent l="0" t="0" r="0" b="0"/>
            <wp:docPr id="117" name="image59.jpeg"/>
            <wp:cNvGraphicFramePr>
              <a:graphicFrameLocks noChangeAspect="1"/>
            </wp:cNvGraphicFramePr>
            <a:graphic>
              <a:graphicData uri="http://schemas.openxmlformats.org/drawingml/2006/picture">
                <pic:pic>
                  <pic:nvPicPr>
                    <pic:cNvPr id="118" name="image59.jpeg"/>
                    <pic:cNvPicPr/>
                  </pic:nvPicPr>
                  <pic:blipFill>
                    <a:blip r:embed="rId137" cstate="print"/>
                    <a:stretch>
                      <a:fillRect/>
                    </a:stretch>
                  </pic:blipFill>
                  <pic:spPr>
                    <a:xfrm>
                      <a:off x="0" y="0"/>
                      <a:ext cx="4279392" cy="4718304"/>
                    </a:xfrm>
                    <a:prstGeom prst="rect">
                      <a:avLst/>
                    </a:prstGeom>
                  </pic:spPr>
                </pic:pic>
              </a:graphicData>
            </a:graphic>
          </wp:inline>
        </w:drawing>
      </w:r>
      <w:r>
        <w:rPr>
          <w:sz w:val="20"/>
        </w:rPr>
      </w:r>
    </w:p>
    <w:p>
      <w:pPr>
        <w:pStyle w:val="BodyText"/>
        <w:rPr>
          <w:sz w:val="20"/>
        </w:rPr>
      </w:pPr>
    </w:p>
    <w:p>
      <w:pPr>
        <w:pStyle w:val="BodyText"/>
        <w:spacing w:line="252" w:lineRule="auto" w:before="224"/>
        <w:ind w:left="610" w:right="389"/>
        <w:jc w:val="both"/>
      </w:pPr>
      <w:bookmarkStart w:name="_bookmark208" w:id="351"/>
      <w:bookmarkEnd w:id="351"/>
      <w:r>
        <w:rPr/>
      </w:r>
      <w:r>
        <w:rPr>
          <w:b/>
        </w:rPr>
        <w:t>Figure 6.9: </w:t>
      </w:r>
      <w:r>
        <w:rPr/>
        <w:t>Wigan smooth pitch surface plot from team defending model.</w:t>
      </w:r>
      <w:r>
        <w:rPr>
          <w:spacing w:val="40"/>
        </w:rPr>
        <w:t> </w:t>
      </w:r>
      <w:r>
        <w:rPr/>
        <w:t>Green </w:t>
      </w:r>
      <w:r>
        <w:rPr/>
        <w:t>areas represent higher value for more favourable event (i.e.</w:t>
      </w:r>
      <w:r>
        <w:rPr>
          <w:spacing w:val="40"/>
        </w:rPr>
        <w:t> </w:t>
      </w:r>
      <w:r>
        <w:rPr/>
        <w:t>lower probability of all events occurring</w:t>
      </w:r>
      <w:r>
        <w:rPr>
          <w:spacing w:val="-2"/>
        </w:rPr>
        <w:t> </w:t>
      </w:r>
      <w:r>
        <w:rPr/>
        <w:t>except</w:t>
      </w:r>
      <w:r>
        <w:rPr>
          <w:spacing w:val="-2"/>
        </w:rPr>
        <w:t> </w:t>
      </w:r>
      <w:r>
        <w:rPr/>
        <w:t>No</w:t>
      </w:r>
      <w:r>
        <w:rPr>
          <w:spacing w:val="-2"/>
        </w:rPr>
        <w:t> </w:t>
      </w:r>
      <w:r>
        <w:rPr/>
        <w:t>Points)</w:t>
      </w:r>
      <w:r>
        <w:rPr>
          <w:spacing w:val="-2"/>
        </w:rPr>
        <w:t> </w:t>
      </w:r>
      <w:r>
        <w:rPr/>
        <w:t>compared</w:t>
      </w:r>
      <w:r>
        <w:rPr>
          <w:spacing w:val="-2"/>
        </w:rPr>
        <w:t> </w:t>
      </w:r>
      <w:r>
        <w:rPr/>
        <w:t>to</w:t>
      </w:r>
      <w:r>
        <w:rPr>
          <w:spacing w:val="-2"/>
        </w:rPr>
        <w:t> </w:t>
      </w:r>
      <w:r>
        <w:rPr/>
        <w:t>whole</w:t>
      </w:r>
      <w:r>
        <w:rPr>
          <w:spacing w:val="-2"/>
        </w:rPr>
        <w:t> </w:t>
      </w:r>
      <w:r>
        <w:rPr/>
        <w:t>league</w:t>
      </w:r>
      <w:r>
        <w:rPr>
          <w:spacing w:val="-2"/>
        </w:rPr>
        <w:t> </w:t>
      </w:r>
      <w:r>
        <w:rPr/>
        <w:t>model. 4pt</w:t>
      </w:r>
      <w:r>
        <w:rPr>
          <w:spacing w:val="-2"/>
        </w:rPr>
        <w:t> </w:t>
      </w:r>
      <w:r>
        <w:rPr/>
        <w:t>Try</w:t>
      </w:r>
      <w:r>
        <w:rPr>
          <w:spacing w:val="-2"/>
        </w:rPr>
        <w:t> </w:t>
      </w:r>
      <w:r>
        <w:rPr/>
        <w:t>and</w:t>
      </w:r>
      <w:r>
        <w:rPr>
          <w:spacing w:val="-2"/>
        </w:rPr>
        <w:t> </w:t>
      </w:r>
      <w:r>
        <w:rPr/>
        <w:t>6pt</w:t>
      </w:r>
      <w:r>
        <w:rPr>
          <w:spacing w:val="-2"/>
        </w:rPr>
        <w:t> </w:t>
      </w:r>
      <w:r>
        <w:rPr/>
        <w:t>Try</w:t>
      </w:r>
      <w:r>
        <w:rPr>
          <w:spacing w:val="-2"/>
        </w:rPr>
        <w:t> </w:t>
      </w:r>
      <w:r>
        <w:rPr/>
        <w:t>refer to unconverted and converted tries respectively.</w:t>
      </w:r>
    </w:p>
    <w:p>
      <w:pPr>
        <w:pStyle w:val="BodyText"/>
        <w:spacing w:before="6"/>
        <w:rPr>
          <w:sz w:val="37"/>
        </w:rPr>
      </w:pPr>
    </w:p>
    <w:p>
      <w:pPr>
        <w:pStyle w:val="BodyText"/>
        <w:spacing w:line="312" w:lineRule="auto"/>
        <w:ind w:left="610" w:right="389"/>
        <w:jc w:val="both"/>
      </w:pPr>
      <w:r>
        <w:rPr/>
        <w:t>indicated a greater probability of no points being scored with actions close to their </w:t>
      </w:r>
      <w:r>
        <w:rPr/>
        <w:t>try line and a lower chance of drop goals and penalties being scored across the pitch,</w:t>
      </w:r>
      <w:r>
        <w:rPr>
          <w:spacing w:val="25"/>
        </w:rPr>
        <w:t> </w:t>
      </w:r>
      <w:r>
        <w:rPr/>
        <w:t>but</w:t>
      </w:r>
      <w:r>
        <w:rPr>
          <w:spacing w:val="80"/>
        </w:rPr>
        <w:t> </w:t>
      </w:r>
      <w:r>
        <w:rPr/>
        <w:t>an average to greater than average chance of opposition teams scoring a converted try everywhere except on the sides of the pitch near Castleford’s try line.</w:t>
      </w:r>
      <w:r>
        <w:rPr>
          <w:spacing w:val="40"/>
        </w:rPr>
        <w:t> </w:t>
      </w:r>
      <w:r>
        <w:rPr/>
        <w:t>Taken together these results potentially indicate that Castleford are susceptible to direct attacks from a greater</w:t>
      </w:r>
      <w:r>
        <w:rPr>
          <w:spacing w:val="6"/>
        </w:rPr>
        <w:t> </w:t>
      </w:r>
      <w:r>
        <w:rPr/>
        <w:t>distance</w:t>
      </w:r>
      <w:r>
        <w:rPr>
          <w:spacing w:val="7"/>
        </w:rPr>
        <w:t> </w:t>
      </w:r>
      <w:r>
        <w:rPr/>
        <w:t>as</w:t>
      </w:r>
      <w:r>
        <w:rPr>
          <w:spacing w:val="7"/>
        </w:rPr>
        <w:t> </w:t>
      </w:r>
      <w:r>
        <w:rPr/>
        <w:t>fewer</w:t>
      </w:r>
      <w:r>
        <w:rPr>
          <w:spacing w:val="7"/>
        </w:rPr>
        <w:t> </w:t>
      </w:r>
      <w:r>
        <w:rPr/>
        <w:t>actions</w:t>
      </w:r>
      <w:r>
        <w:rPr>
          <w:spacing w:val="7"/>
        </w:rPr>
        <w:t> </w:t>
      </w:r>
      <w:r>
        <w:rPr/>
        <w:t>near</w:t>
      </w:r>
      <w:r>
        <w:rPr>
          <w:spacing w:val="7"/>
        </w:rPr>
        <w:t> </w:t>
      </w:r>
      <w:r>
        <w:rPr/>
        <w:t>their</w:t>
      </w:r>
      <w:r>
        <w:rPr>
          <w:spacing w:val="7"/>
        </w:rPr>
        <w:t> </w:t>
      </w:r>
      <w:r>
        <w:rPr/>
        <w:t>try</w:t>
      </w:r>
      <w:r>
        <w:rPr>
          <w:spacing w:val="7"/>
        </w:rPr>
        <w:t> </w:t>
      </w:r>
      <w:r>
        <w:rPr/>
        <w:t>line</w:t>
      </w:r>
      <w:r>
        <w:rPr>
          <w:spacing w:val="7"/>
        </w:rPr>
        <w:t> </w:t>
      </w:r>
      <w:r>
        <w:rPr/>
        <w:t>are</w:t>
      </w:r>
      <w:r>
        <w:rPr>
          <w:spacing w:val="7"/>
        </w:rPr>
        <w:t> </w:t>
      </w:r>
      <w:r>
        <w:rPr/>
        <w:t>successful</w:t>
      </w:r>
      <w:r>
        <w:rPr>
          <w:spacing w:val="7"/>
        </w:rPr>
        <w:t> </w:t>
      </w:r>
      <w:r>
        <w:rPr/>
        <w:t>but</w:t>
      </w:r>
      <w:r>
        <w:rPr>
          <w:spacing w:val="7"/>
        </w:rPr>
        <w:t> </w:t>
      </w:r>
      <w:r>
        <w:rPr/>
        <w:t>actions</w:t>
      </w:r>
      <w:r>
        <w:rPr>
          <w:spacing w:val="7"/>
        </w:rPr>
        <w:t> </w:t>
      </w:r>
      <w:r>
        <w:rPr/>
        <w:t>outside</w:t>
      </w:r>
      <w:r>
        <w:rPr>
          <w:spacing w:val="7"/>
        </w:rPr>
        <w:t> </w:t>
      </w:r>
      <w:r>
        <w:rPr>
          <w:spacing w:val="-5"/>
        </w:rPr>
        <w:t>of</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their 20m are more valuable. Catalans’ plot (Figure</w:t>
      </w:r>
      <w:hyperlink w:history="true" w:anchor="_bookmark207">
        <w:r>
          <w:rPr>
            <w:color w:val="0000FF"/>
          </w:rPr>
          <w:t>6.8</w:t>
        </w:r>
        <w:r>
          <w:rPr/>
          <w:t>)</w:t>
        </w:r>
      </w:hyperlink>
      <w:r>
        <w:rPr/>
        <w:t> shows large areas of better than average defence, but suggest the defence was worse than average on the left side of </w:t>
      </w:r>
      <w:r>
        <w:rPr/>
        <w:t>the pitch</w:t>
      </w:r>
      <w:r>
        <w:rPr>
          <w:spacing w:val="-8"/>
        </w:rPr>
        <w:t> </w:t>
      </w:r>
      <w:r>
        <w:rPr/>
        <w:t>(their</w:t>
      </w:r>
      <w:r>
        <w:rPr>
          <w:spacing w:val="-8"/>
        </w:rPr>
        <w:t> </w:t>
      </w:r>
      <w:r>
        <w:rPr/>
        <w:t>right</w:t>
      </w:r>
      <w:r>
        <w:rPr>
          <w:spacing w:val="-8"/>
        </w:rPr>
        <w:t> </w:t>
      </w:r>
      <w:r>
        <w:rPr/>
        <w:t>sided</w:t>
      </w:r>
      <w:r>
        <w:rPr>
          <w:spacing w:val="-8"/>
        </w:rPr>
        <w:t> </w:t>
      </w:r>
      <w:r>
        <w:rPr/>
        <w:t>defenders)</w:t>
      </w:r>
      <w:r>
        <w:rPr>
          <w:spacing w:val="-8"/>
        </w:rPr>
        <w:t> </w:t>
      </w:r>
      <w:r>
        <w:rPr/>
        <w:t>in</w:t>
      </w:r>
      <w:r>
        <w:rPr>
          <w:spacing w:val="-8"/>
        </w:rPr>
        <w:t> </w:t>
      </w:r>
      <w:r>
        <w:rPr/>
        <w:t>their</w:t>
      </w:r>
      <w:r>
        <w:rPr>
          <w:spacing w:val="-8"/>
        </w:rPr>
        <w:t> </w:t>
      </w:r>
      <w:r>
        <w:rPr/>
        <w:t>own</w:t>
      </w:r>
      <w:r>
        <w:rPr>
          <w:spacing w:val="-8"/>
        </w:rPr>
        <w:t> </w:t>
      </w:r>
      <w:r>
        <w:rPr/>
        <w:t>20m</w:t>
      </w:r>
      <w:r>
        <w:rPr>
          <w:spacing w:val="-8"/>
        </w:rPr>
        <w:t> </w:t>
      </w:r>
      <w:r>
        <w:rPr/>
        <w:t>with</w:t>
      </w:r>
      <w:r>
        <w:rPr>
          <w:spacing w:val="-8"/>
        </w:rPr>
        <w:t> </w:t>
      </w:r>
      <w:r>
        <w:rPr/>
        <w:t>respect</w:t>
      </w:r>
      <w:r>
        <w:rPr>
          <w:spacing w:val="-8"/>
        </w:rPr>
        <w:t> </w:t>
      </w:r>
      <w:r>
        <w:rPr/>
        <w:t>to</w:t>
      </w:r>
      <w:r>
        <w:rPr>
          <w:spacing w:val="-8"/>
        </w:rPr>
        <w:t> </w:t>
      </w:r>
      <w:r>
        <w:rPr/>
        <w:t>converted</w:t>
      </w:r>
      <w:r>
        <w:rPr>
          <w:spacing w:val="-8"/>
        </w:rPr>
        <w:t> </w:t>
      </w:r>
      <w:r>
        <w:rPr/>
        <w:t>tries</w:t>
      </w:r>
      <w:r>
        <w:rPr>
          <w:spacing w:val="-8"/>
        </w:rPr>
        <w:t> </w:t>
      </w:r>
      <w:r>
        <w:rPr/>
        <w:t>and</w:t>
      </w:r>
      <w:r>
        <w:rPr>
          <w:spacing w:val="-8"/>
        </w:rPr>
        <w:t> </w:t>
      </w:r>
      <w:r>
        <w:rPr/>
        <w:t>on the</w:t>
      </w:r>
      <w:r>
        <w:rPr>
          <w:spacing w:val="-15"/>
        </w:rPr>
        <w:t> </w:t>
      </w:r>
      <w:r>
        <w:rPr/>
        <w:t>right</w:t>
      </w:r>
      <w:r>
        <w:rPr>
          <w:spacing w:val="-14"/>
        </w:rPr>
        <w:t> </w:t>
      </w:r>
      <w:r>
        <w:rPr/>
        <w:t>side</w:t>
      </w:r>
      <w:r>
        <w:rPr>
          <w:spacing w:val="-15"/>
        </w:rPr>
        <w:t> </w:t>
      </w:r>
      <w:r>
        <w:rPr/>
        <w:t>of</w:t>
      </w:r>
      <w:r>
        <w:rPr>
          <w:spacing w:val="-15"/>
        </w:rPr>
        <w:t> </w:t>
      </w:r>
      <w:r>
        <w:rPr/>
        <w:t>the</w:t>
      </w:r>
      <w:r>
        <w:rPr>
          <w:spacing w:val="-14"/>
        </w:rPr>
        <w:t> </w:t>
      </w:r>
      <w:r>
        <w:rPr/>
        <w:t>pitch</w:t>
      </w:r>
      <w:r>
        <w:rPr>
          <w:spacing w:val="-15"/>
        </w:rPr>
        <w:t> </w:t>
      </w:r>
      <w:r>
        <w:rPr/>
        <w:t>where</w:t>
      </w:r>
      <w:r>
        <w:rPr>
          <w:spacing w:val="-14"/>
        </w:rPr>
        <w:t> </w:t>
      </w:r>
      <w:r>
        <w:rPr/>
        <w:t>teams</w:t>
      </w:r>
      <w:r>
        <w:rPr>
          <w:spacing w:val="-15"/>
        </w:rPr>
        <w:t> </w:t>
      </w:r>
      <w:r>
        <w:rPr/>
        <w:t>had</w:t>
      </w:r>
      <w:r>
        <w:rPr>
          <w:spacing w:val="-15"/>
        </w:rPr>
        <w:t> </w:t>
      </w:r>
      <w:r>
        <w:rPr/>
        <w:t>a</w:t>
      </w:r>
      <w:r>
        <w:rPr>
          <w:spacing w:val="-14"/>
        </w:rPr>
        <w:t> </w:t>
      </w:r>
      <w:r>
        <w:rPr/>
        <w:t>greater</w:t>
      </w:r>
      <w:r>
        <w:rPr>
          <w:spacing w:val="-15"/>
        </w:rPr>
        <w:t> </w:t>
      </w:r>
      <w:r>
        <w:rPr/>
        <w:t>probability</w:t>
      </w:r>
      <w:r>
        <w:rPr>
          <w:spacing w:val="-15"/>
        </w:rPr>
        <w:t> </w:t>
      </w:r>
      <w:r>
        <w:rPr/>
        <w:t>of</w:t>
      </w:r>
      <w:r>
        <w:rPr>
          <w:spacing w:val="-14"/>
        </w:rPr>
        <w:t> </w:t>
      </w:r>
      <w:r>
        <w:rPr/>
        <w:t>scoring</w:t>
      </w:r>
      <w:r>
        <w:rPr>
          <w:spacing w:val="-15"/>
        </w:rPr>
        <w:t> </w:t>
      </w:r>
      <w:r>
        <w:rPr/>
        <w:t>penalty</w:t>
      </w:r>
      <w:r>
        <w:rPr>
          <w:spacing w:val="-14"/>
        </w:rPr>
        <w:t> </w:t>
      </w:r>
      <w:r>
        <w:rPr/>
        <w:t>goals</w:t>
      </w:r>
      <w:r>
        <w:rPr>
          <w:spacing w:val="-14"/>
        </w:rPr>
        <w:t> </w:t>
      </w:r>
      <w:r>
        <w:rPr/>
        <w:t>in the</w:t>
      </w:r>
      <w:r>
        <w:rPr>
          <w:spacing w:val="-7"/>
        </w:rPr>
        <w:t> </w:t>
      </w:r>
      <w:r>
        <w:rPr/>
        <w:t>Catalans</w:t>
      </w:r>
      <w:r>
        <w:rPr>
          <w:spacing w:val="-7"/>
        </w:rPr>
        <w:t> </w:t>
      </w:r>
      <w:r>
        <w:rPr/>
        <w:t>half. Wigan’s</w:t>
      </w:r>
      <w:r>
        <w:rPr>
          <w:spacing w:val="-7"/>
        </w:rPr>
        <w:t> </w:t>
      </w:r>
      <w:r>
        <w:rPr/>
        <w:t>plot</w:t>
      </w:r>
      <w:r>
        <w:rPr>
          <w:spacing w:val="-7"/>
        </w:rPr>
        <w:t> </w:t>
      </w:r>
      <w:r>
        <w:rPr/>
        <w:t>(Figure</w:t>
      </w:r>
      <w:hyperlink w:history="true" w:anchor="_bookmark208">
        <w:r>
          <w:rPr>
            <w:color w:val="0000FF"/>
          </w:rPr>
          <w:t>6.9</w:t>
        </w:r>
        <w:r>
          <w:rPr/>
          <w:t>)</w:t>
        </w:r>
      </w:hyperlink>
      <w:r>
        <w:rPr>
          <w:spacing w:val="-7"/>
        </w:rPr>
        <w:t> </w:t>
      </w:r>
      <w:r>
        <w:rPr/>
        <w:t>shows</w:t>
      </w:r>
      <w:r>
        <w:rPr>
          <w:spacing w:val="-7"/>
        </w:rPr>
        <w:t> </w:t>
      </w:r>
      <w:r>
        <w:rPr/>
        <w:t>above</w:t>
      </w:r>
      <w:r>
        <w:rPr>
          <w:spacing w:val="-7"/>
        </w:rPr>
        <w:t> </w:t>
      </w:r>
      <w:r>
        <w:rPr/>
        <w:t>average</w:t>
      </w:r>
      <w:r>
        <w:rPr>
          <w:spacing w:val="-7"/>
        </w:rPr>
        <w:t> </w:t>
      </w:r>
      <w:r>
        <w:rPr/>
        <w:t>defence</w:t>
      </w:r>
      <w:r>
        <w:rPr>
          <w:spacing w:val="-7"/>
        </w:rPr>
        <w:t> </w:t>
      </w:r>
      <w:r>
        <w:rPr/>
        <w:t>with</w:t>
      </w:r>
      <w:r>
        <w:rPr>
          <w:spacing w:val="-7"/>
        </w:rPr>
        <w:t> </w:t>
      </w:r>
      <w:r>
        <w:rPr/>
        <w:t>regards</w:t>
      </w:r>
      <w:r>
        <w:rPr>
          <w:spacing w:val="-7"/>
        </w:rPr>
        <w:t> </w:t>
      </w:r>
      <w:r>
        <w:rPr/>
        <w:t>to both</w:t>
      </w:r>
      <w:r>
        <w:rPr>
          <w:spacing w:val="-12"/>
        </w:rPr>
        <w:t> </w:t>
      </w:r>
      <w:r>
        <w:rPr/>
        <w:t>converted</w:t>
      </w:r>
      <w:r>
        <w:rPr>
          <w:spacing w:val="-12"/>
        </w:rPr>
        <w:t> </w:t>
      </w:r>
      <w:r>
        <w:rPr/>
        <w:t>and</w:t>
      </w:r>
      <w:r>
        <w:rPr>
          <w:spacing w:val="-12"/>
        </w:rPr>
        <w:t> </w:t>
      </w:r>
      <w:r>
        <w:rPr/>
        <w:t>unconverted</w:t>
      </w:r>
      <w:r>
        <w:rPr>
          <w:spacing w:val="-12"/>
        </w:rPr>
        <w:t> </w:t>
      </w:r>
      <w:r>
        <w:rPr/>
        <w:t>tries. Furthermore,</w:t>
      </w:r>
      <w:r>
        <w:rPr>
          <w:spacing w:val="-11"/>
        </w:rPr>
        <w:t> </w:t>
      </w:r>
      <w:r>
        <w:rPr/>
        <w:t>they</w:t>
      </w:r>
      <w:r>
        <w:rPr>
          <w:spacing w:val="-12"/>
        </w:rPr>
        <w:t> </w:t>
      </w:r>
      <w:r>
        <w:rPr/>
        <w:t>show</w:t>
      </w:r>
      <w:r>
        <w:rPr>
          <w:spacing w:val="-12"/>
        </w:rPr>
        <w:t> </w:t>
      </w:r>
      <w:r>
        <w:rPr/>
        <w:t>a</w:t>
      </w:r>
      <w:r>
        <w:rPr>
          <w:spacing w:val="-12"/>
        </w:rPr>
        <w:t> </w:t>
      </w:r>
      <w:r>
        <w:rPr/>
        <w:t>much</w:t>
      </w:r>
      <w:r>
        <w:rPr>
          <w:spacing w:val="-12"/>
        </w:rPr>
        <w:t> </w:t>
      </w:r>
      <w:r>
        <w:rPr/>
        <w:t>greater</w:t>
      </w:r>
      <w:r>
        <w:rPr>
          <w:spacing w:val="-12"/>
        </w:rPr>
        <w:t> </w:t>
      </w:r>
      <w:r>
        <w:rPr/>
        <w:t>probability of no points being scored by opposition teams.</w:t>
      </w:r>
      <w:r>
        <w:rPr>
          <w:spacing w:val="40"/>
        </w:rPr>
        <w:t> </w:t>
      </w:r>
      <w:r>
        <w:rPr/>
        <w:t>Opposition teams have a greater than average probability of scoring penalty goals against Wigan across the majority of the pitch.</w:t>
      </w:r>
      <w:r>
        <w:rPr>
          <w:spacing w:val="23"/>
        </w:rPr>
        <w:t> </w:t>
      </w:r>
      <w:r>
        <w:rPr/>
        <w:t>In both cases, the</w:t>
      </w:r>
      <w:r>
        <w:rPr>
          <w:spacing w:val="-1"/>
        </w:rPr>
        <w:t> </w:t>
      </w:r>
      <w:r>
        <w:rPr/>
        <w:t>decision taken by opposition</w:t>
      </w:r>
      <w:r>
        <w:rPr>
          <w:spacing w:val="-1"/>
        </w:rPr>
        <w:t> </w:t>
      </w:r>
      <w:r>
        <w:rPr/>
        <w:t>teams to score</w:t>
      </w:r>
      <w:r>
        <w:rPr>
          <w:spacing w:val="-1"/>
        </w:rPr>
        <w:t> </w:t>
      </w:r>
      <w:r>
        <w:rPr/>
        <w:t>penalty goals could be an indication that teams have been unable to penetrate the strong defensive line and </w:t>
      </w:r>
      <w:r>
        <w:rPr>
          <w:spacing w:val="-2"/>
        </w:rPr>
        <w:t>score</w:t>
      </w:r>
      <w:r>
        <w:rPr>
          <w:spacing w:val="-9"/>
        </w:rPr>
        <w:t> </w:t>
      </w:r>
      <w:r>
        <w:rPr>
          <w:spacing w:val="-2"/>
        </w:rPr>
        <w:t>tries.</w:t>
      </w:r>
      <w:r>
        <w:rPr>
          <w:spacing w:val="19"/>
        </w:rPr>
        <w:t> </w:t>
      </w:r>
      <w:r>
        <w:rPr>
          <w:spacing w:val="-2"/>
        </w:rPr>
        <w:t>As</w:t>
      </w:r>
      <w:r>
        <w:rPr>
          <w:spacing w:val="-9"/>
        </w:rPr>
        <w:t> </w:t>
      </w:r>
      <w:r>
        <w:rPr>
          <w:spacing w:val="-2"/>
        </w:rPr>
        <w:t>with</w:t>
      </w:r>
      <w:r>
        <w:rPr>
          <w:spacing w:val="-9"/>
        </w:rPr>
        <w:t> </w:t>
      </w:r>
      <w:r>
        <w:rPr>
          <w:spacing w:val="-2"/>
        </w:rPr>
        <w:t>the</w:t>
      </w:r>
      <w:r>
        <w:rPr>
          <w:spacing w:val="-9"/>
        </w:rPr>
        <w:t> </w:t>
      </w:r>
      <w:r>
        <w:rPr>
          <w:spacing w:val="-2"/>
        </w:rPr>
        <w:t>attacking</w:t>
      </w:r>
      <w:r>
        <w:rPr>
          <w:spacing w:val="-9"/>
        </w:rPr>
        <w:t> </w:t>
      </w:r>
      <w:r>
        <w:rPr>
          <w:spacing w:val="-2"/>
        </w:rPr>
        <w:t>plots,</w:t>
      </w:r>
      <w:r>
        <w:rPr>
          <w:spacing w:val="-5"/>
        </w:rPr>
        <w:t> </w:t>
      </w:r>
      <w:r>
        <w:rPr>
          <w:spacing w:val="-2"/>
        </w:rPr>
        <w:t>coaches</w:t>
      </w:r>
      <w:r>
        <w:rPr>
          <w:spacing w:val="-9"/>
        </w:rPr>
        <w:t> </w:t>
      </w:r>
      <w:r>
        <w:rPr>
          <w:spacing w:val="-2"/>
        </w:rPr>
        <w:t>can</w:t>
      </w:r>
      <w:r>
        <w:rPr>
          <w:spacing w:val="-9"/>
        </w:rPr>
        <w:t> </w:t>
      </w:r>
      <w:r>
        <w:rPr>
          <w:spacing w:val="-2"/>
        </w:rPr>
        <w:t>use</w:t>
      </w:r>
      <w:r>
        <w:rPr>
          <w:spacing w:val="-9"/>
        </w:rPr>
        <w:t> </w:t>
      </w:r>
      <w:r>
        <w:rPr>
          <w:spacing w:val="-2"/>
        </w:rPr>
        <w:t>this</w:t>
      </w:r>
      <w:r>
        <w:rPr>
          <w:spacing w:val="-9"/>
        </w:rPr>
        <w:t> </w:t>
      </w:r>
      <w:r>
        <w:rPr>
          <w:spacing w:val="-2"/>
        </w:rPr>
        <w:t>information</w:t>
      </w:r>
      <w:r>
        <w:rPr>
          <w:spacing w:val="-9"/>
        </w:rPr>
        <w:t> </w:t>
      </w:r>
      <w:r>
        <w:rPr>
          <w:spacing w:val="-2"/>
        </w:rPr>
        <w:t>to</w:t>
      </w:r>
      <w:r>
        <w:rPr>
          <w:spacing w:val="-9"/>
        </w:rPr>
        <w:t> </w:t>
      </w:r>
      <w:r>
        <w:rPr>
          <w:spacing w:val="-2"/>
        </w:rPr>
        <w:t>devise</w:t>
      </w:r>
      <w:r>
        <w:rPr>
          <w:spacing w:val="-9"/>
        </w:rPr>
        <w:t> </w:t>
      </w:r>
      <w:r>
        <w:rPr>
          <w:spacing w:val="-2"/>
        </w:rPr>
        <w:t>strategic </w:t>
      </w:r>
      <w:r>
        <w:rPr/>
        <w:t>plans to beat the opposition.</w:t>
      </w:r>
    </w:p>
    <w:p>
      <w:pPr>
        <w:pStyle w:val="BodyText"/>
        <w:spacing w:before="2"/>
        <w:rPr>
          <w:sz w:val="30"/>
        </w:rPr>
      </w:pPr>
    </w:p>
    <w:p>
      <w:pPr>
        <w:pStyle w:val="Heading4"/>
        <w:numPr>
          <w:ilvl w:val="3"/>
          <w:numId w:val="24"/>
        </w:numPr>
        <w:tabs>
          <w:tab w:pos="1506" w:val="left" w:leader="none"/>
          <w:tab w:pos="1508" w:val="left" w:leader="none"/>
        </w:tabs>
        <w:spacing w:line="240" w:lineRule="auto" w:before="0" w:after="0"/>
        <w:ind w:left="1507" w:right="0" w:hanging="898"/>
        <w:jc w:val="left"/>
      </w:pPr>
      <w:bookmarkStart w:name="6.3.2.1 Expected Points Scored" w:id="352"/>
      <w:bookmarkEnd w:id="352"/>
      <w:r>
        <w:rPr>
          <w:b w:val="0"/>
        </w:rPr>
      </w:r>
      <w:bookmarkStart w:name="_bookmark209" w:id="353"/>
      <w:bookmarkEnd w:id="353"/>
      <w:r>
        <w:rPr/>
        <w:t>Expected</w:t>
      </w:r>
      <w:r>
        <w:rPr>
          <w:spacing w:val="-12"/>
        </w:rPr>
        <w:t> </w:t>
      </w:r>
      <w:r>
        <w:rPr/>
        <w:t>Points</w:t>
      </w:r>
      <w:r>
        <w:rPr>
          <w:spacing w:val="-11"/>
        </w:rPr>
        <w:t> </w:t>
      </w:r>
      <w:r>
        <w:rPr>
          <w:spacing w:val="-2"/>
        </w:rPr>
        <w:t>Scored</w:t>
      </w:r>
    </w:p>
    <w:p>
      <w:pPr>
        <w:pStyle w:val="BodyText"/>
        <w:spacing w:line="312" w:lineRule="auto" w:before="239"/>
        <w:ind w:left="610" w:right="389"/>
      </w:pPr>
      <w:r>
        <w:rPr/>
        <w:pict>
          <v:shape style="position:absolute;margin-left:214.598999pt;margin-top:108.094765pt;width:8pt;height:9.65pt;mso-position-horizontal-relative:page;mso-position-vertical-relative:paragraph;z-index:-21715968" type="#_x0000_t202" id="docshape215" filled="false" stroked="false">
            <v:textbox inset="0,0,0,0">
              <w:txbxContent>
                <w:p>
                  <w:pPr>
                    <w:spacing w:line="182" w:lineRule="exact" w:before="0"/>
                    <w:ind w:left="0" w:right="0" w:firstLine="0"/>
                    <w:jc w:val="left"/>
                    <w:rPr>
                      <w:sz w:val="16"/>
                    </w:rPr>
                  </w:pPr>
                  <w:r>
                    <w:rPr>
                      <w:spacing w:val="-5"/>
                      <w:sz w:val="16"/>
                    </w:rPr>
                    <w:t>att</w:t>
                  </w:r>
                </w:p>
              </w:txbxContent>
            </v:textbox>
            <w10:wrap type="none"/>
          </v:shape>
        </w:pict>
      </w:r>
      <w:r>
        <w:rPr/>
        <w:t>Alongside</w:t>
      </w:r>
      <w:r>
        <w:rPr>
          <w:spacing w:val="-10"/>
        </w:rPr>
        <w:t> </w:t>
      </w:r>
      <w:r>
        <w:rPr/>
        <w:t>visual</w:t>
      </w:r>
      <w:r>
        <w:rPr>
          <w:spacing w:val="-10"/>
        </w:rPr>
        <w:t> </w:t>
      </w:r>
      <w:r>
        <w:rPr/>
        <w:t>inspection</w:t>
      </w:r>
      <w:r>
        <w:rPr>
          <w:spacing w:val="-10"/>
        </w:rPr>
        <w:t> </w:t>
      </w:r>
      <w:r>
        <w:rPr/>
        <w:t>of</w:t>
      </w:r>
      <w:r>
        <w:rPr>
          <w:spacing w:val="-10"/>
        </w:rPr>
        <w:t> </w:t>
      </w:r>
      <w:r>
        <w:rPr/>
        <w:t>attacking</w:t>
      </w:r>
      <w:r>
        <w:rPr>
          <w:spacing w:val="-10"/>
        </w:rPr>
        <w:t> </w:t>
      </w:r>
      <w:r>
        <w:rPr/>
        <w:t>and</w:t>
      </w:r>
      <w:r>
        <w:rPr>
          <w:spacing w:val="-10"/>
        </w:rPr>
        <w:t> </w:t>
      </w:r>
      <w:r>
        <w:rPr/>
        <w:t>defending</w:t>
      </w:r>
      <w:r>
        <w:rPr>
          <w:spacing w:val="-10"/>
        </w:rPr>
        <w:t> </w:t>
      </w:r>
      <w:r>
        <w:rPr/>
        <w:t>performances,</w:t>
      </w:r>
      <w:r>
        <w:rPr>
          <w:spacing w:val="-10"/>
        </w:rPr>
        <w:t> </w:t>
      </w:r>
      <w:r>
        <w:rPr/>
        <w:t>an</w:t>
      </w:r>
      <w:r>
        <w:rPr>
          <w:spacing w:val="-10"/>
        </w:rPr>
        <w:t> </w:t>
      </w:r>
      <w:r>
        <w:rPr/>
        <w:t>expected</w:t>
      </w:r>
      <w:r>
        <w:rPr>
          <w:spacing w:val="-10"/>
        </w:rPr>
        <w:t> </w:t>
      </w:r>
      <w:r>
        <w:rPr/>
        <w:t>points scored measure was developed to provide an understanding of the underlying attacking performances</w:t>
      </w:r>
      <w:r>
        <w:rPr>
          <w:spacing w:val="-3"/>
        </w:rPr>
        <w:t> </w:t>
      </w:r>
      <w:r>
        <w:rPr/>
        <w:t>achieved</w:t>
      </w:r>
      <w:r>
        <w:rPr>
          <w:spacing w:val="-3"/>
        </w:rPr>
        <w:t> </w:t>
      </w:r>
      <w:r>
        <w:rPr/>
        <w:t>by</w:t>
      </w:r>
      <w:r>
        <w:rPr>
          <w:spacing w:val="-3"/>
        </w:rPr>
        <w:t> </w:t>
      </w:r>
      <w:r>
        <w:rPr/>
        <w:t>teams. Table</w:t>
      </w:r>
      <w:hyperlink w:history="true" w:anchor="_bookmark210">
        <w:r>
          <w:rPr>
            <w:color w:val="0000FF"/>
          </w:rPr>
          <w:t>6.6</w:t>
        </w:r>
      </w:hyperlink>
      <w:r>
        <w:rPr/>
        <w:t>provides</w:t>
      </w:r>
      <w:r>
        <w:rPr>
          <w:spacing w:val="-3"/>
        </w:rPr>
        <w:t> </w:t>
      </w:r>
      <w:r>
        <w:rPr/>
        <w:t>details</w:t>
      </w:r>
      <w:r>
        <w:rPr>
          <w:spacing w:val="-3"/>
        </w:rPr>
        <w:t> </w:t>
      </w:r>
      <w:r>
        <w:rPr/>
        <w:t>of</w:t>
      </w:r>
      <w:r>
        <w:rPr>
          <w:spacing w:val="-3"/>
        </w:rPr>
        <w:t> </w:t>
      </w:r>
      <w:r>
        <w:rPr/>
        <w:t>the</w:t>
      </w:r>
      <w:r>
        <w:rPr>
          <w:spacing w:val="-3"/>
        </w:rPr>
        <w:t> </w:t>
      </w:r>
      <w:r>
        <w:rPr/>
        <w:t>expected</w:t>
      </w:r>
      <w:r>
        <w:rPr>
          <w:spacing w:val="-3"/>
        </w:rPr>
        <w:t> </w:t>
      </w:r>
      <w:r>
        <w:rPr/>
        <w:t>points</w:t>
      </w:r>
      <w:r>
        <w:rPr>
          <w:spacing w:val="-3"/>
        </w:rPr>
        <w:t> </w:t>
      </w:r>
      <w:r>
        <w:rPr/>
        <w:t>scored and</w:t>
      </w:r>
      <w:r>
        <w:rPr>
          <w:spacing w:val="-12"/>
        </w:rPr>
        <w:t> </w:t>
      </w:r>
      <w:r>
        <w:rPr/>
        <w:t>actual</w:t>
      </w:r>
      <w:r>
        <w:rPr>
          <w:spacing w:val="-12"/>
        </w:rPr>
        <w:t> </w:t>
      </w:r>
      <w:r>
        <w:rPr/>
        <w:t>points</w:t>
      </w:r>
      <w:r>
        <w:rPr>
          <w:spacing w:val="-12"/>
        </w:rPr>
        <w:t> </w:t>
      </w:r>
      <w:r>
        <w:rPr/>
        <w:t>scored</w:t>
      </w:r>
      <w:r>
        <w:rPr>
          <w:spacing w:val="-12"/>
        </w:rPr>
        <w:t> </w:t>
      </w:r>
      <w:r>
        <w:rPr/>
        <w:t>for</w:t>
      </w:r>
      <w:r>
        <w:rPr>
          <w:spacing w:val="-12"/>
        </w:rPr>
        <w:t> </w:t>
      </w:r>
      <w:r>
        <w:rPr/>
        <w:t>each</w:t>
      </w:r>
      <w:r>
        <w:rPr>
          <w:spacing w:val="-12"/>
        </w:rPr>
        <w:t> </w:t>
      </w:r>
      <w:r>
        <w:rPr/>
        <w:t>team</w:t>
      </w:r>
      <w:r>
        <w:rPr>
          <w:spacing w:val="-12"/>
        </w:rPr>
        <w:t> </w:t>
      </w:r>
      <w:r>
        <w:rPr/>
        <w:t>across</w:t>
      </w:r>
      <w:r>
        <w:rPr>
          <w:spacing w:val="-12"/>
        </w:rPr>
        <w:t> </w:t>
      </w:r>
      <w:r>
        <w:rPr/>
        <w:t>the</w:t>
      </w:r>
      <w:r>
        <w:rPr>
          <w:spacing w:val="-12"/>
        </w:rPr>
        <w:t> </w:t>
      </w:r>
      <w:r>
        <w:rPr/>
        <w:t>2021</w:t>
      </w:r>
      <w:r>
        <w:rPr>
          <w:spacing w:val="-12"/>
        </w:rPr>
        <w:t> </w:t>
      </w:r>
      <w:r>
        <w:rPr/>
        <w:t>Super</w:t>
      </w:r>
      <w:r>
        <w:rPr>
          <w:spacing w:val="-12"/>
        </w:rPr>
        <w:t> </w:t>
      </w:r>
      <w:r>
        <w:rPr/>
        <w:t>League</w:t>
      </w:r>
      <w:r>
        <w:rPr>
          <w:spacing w:val="-12"/>
        </w:rPr>
        <w:t> </w:t>
      </w:r>
      <w:r>
        <w:rPr/>
        <w:t>season. The</w:t>
      </w:r>
      <w:r>
        <w:rPr>
          <w:spacing w:val="-12"/>
        </w:rPr>
        <w:t> </w:t>
      </w:r>
      <w:r>
        <w:rPr/>
        <w:t>average difference</w:t>
      </w:r>
      <w:r>
        <w:rPr>
          <w:spacing w:val="-2"/>
        </w:rPr>
        <w:t> </w:t>
      </w:r>
      <w:r>
        <w:rPr/>
        <w:t>between</w:t>
      </w:r>
      <w:r>
        <w:rPr>
          <w:spacing w:val="-2"/>
        </w:rPr>
        <w:t> </w:t>
      </w:r>
      <w:r>
        <w:rPr/>
        <w:t>points</w:t>
      </w:r>
      <w:r>
        <w:rPr>
          <w:spacing w:val="-2"/>
        </w:rPr>
        <w:t> </w:t>
      </w:r>
      <w:r>
        <w:rPr/>
        <w:t>scored</w:t>
      </w:r>
      <w:r>
        <w:rPr>
          <w:spacing w:val="-2"/>
        </w:rPr>
        <w:t> </w:t>
      </w:r>
      <w:r>
        <w:rPr/>
        <w:t>and</w:t>
      </w:r>
      <w:r>
        <w:rPr>
          <w:spacing w:val="-2"/>
        </w:rPr>
        <w:t> </w:t>
      </w:r>
      <w:r>
        <w:rPr/>
        <w:t>expected</w:t>
      </w:r>
      <w:r>
        <w:rPr>
          <w:spacing w:val="-2"/>
        </w:rPr>
        <w:t> </w:t>
      </w:r>
      <w:r>
        <w:rPr/>
        <w:t>points</w:t>
      </w:r>
      <w:r>
        <w:rPr>
          <w:spacing w:val="-2"/>
        </w:rPr>
        <w:t> </w:t>
      </w:r>
      <w:r>
        <w:rPr/>
        <w:t>scored</w:t>
      </w:r>
      <w:r>
        <w:rPr>
          <w:spacing w:val="-2"/>
        </w:rPr>
        <w:t> </w:t>
      </w:r>
      <w:r>
        <w:rPr/>
        <w:t>was</w:t>
      </w:r>
      <w:r>
        <w:rPr>
          <w:spacing w:val="-2"/>
        </w:rPr>
        <w:t> </w:t>
      </w:r>
      <w:r>
        <w:rPr/>
        <w:t>30.27</w:t>
      </w:r>
      <w:r>
        <w:rPr>
          <w:spacing w:val="-2"/>
        </w:rPr>
        <w:t> </w:t>
      </w:r>
      <w:r>
        <w:rPr/>
        <w:t>when</w:t>
      </w:r>
      <w:r>
        <w:rPr>
          <w:spacing w:val="-2"/>
        </w:rPr>
        <w:t> </w:t>
      </w:r>
      <w:r>
        <w:rPr/>
        <w:t>the</w:t>
      </w:r>
      <w:r>
        <w:rPr>
          <w:spacing w:val="-2"/>
        </w:rPr>
        <w:t> </w:t>
      </w:r>
      <w:r>
        <w:rPr/>
        <w:t>team’s attacking</w:t>
      </w:r>
      <w:r>
        <w:rPr>
          <w:spacing w:val="5"/>
        </w:rPr>
        <w:t> </w:t>
      </w:r>
      <w:r>
        <w:rPr/>
        <w:t>EPV</w:t>
      </w:r>
      <w:r>
        <w:rPr>
          <w:spacing w:val="5"/>
        </w:rPr>
        <w:t> </w:t>
      </w:r>
      <w:r>
        <w:rPr/>
        <w:t>(EPV</w:t>
      </w:r>
      <w:r>
        <w:rPr>
          <w:rFonts w:ascii="Cambria" w:hAnsi="Cambria"/>
          <w:vertAlign w:val="superscript"/>
        </w:rPr>
        <w:t>µ</w:t>
      </w:r>
      <w:r>
        <w:rPr>
          <w:rFonts w:ascii="Cambria" w:hAnsi="Cambria"/>
          <w:spacing w:val="9"/>
          <w:vertAlign w:val="baseline"/>
        </w:rPr>
        <w:t> </w:t>
      </w:r>
      <w:r>
        <w:rPr>
          <w:vertAlign w:val="baseline"/>
        </w:rPr>
        <w:t>)</w:t>
      </w:r>
      <w:r>
        <w:rPr>
          <w:spacing w:val="5"/>
          <w:vertAlign w:val="baseline"/>
        </w:rPr>
        <w:t> </w:t>
      </w:r>
      <w:r>
        <w:rPr>
          <w:vertAlign w:val="baseline"/>
        </w:rPr>
        <w:t>was</w:t>
      </w:r>
      <w:r>
        <w:rPr>
          <w:spacing w:val="5"/>
          <w:vertAlign w:val="baseline"/>
        </w:rPr>
        <w:t> </w:t>
      </w:r>
      <w:r>
        <w:rPr>
          <w:vertAlign w:val="baseline"/>
        </w:rPr>
        <w:t>used</w:t>
      </w:r>
      <w:r>
        <w:rPr>
          <w:spacing w:val="6"/>
          <w:vertAlign w:val="baseline"/>
        </w:rPr>
        <w:t> </w:t>
      </w:r>
      <w:r>
        <w:rPr>
          <w:vertAlign w:val="baseline"/>
        </w:rPr>
        <w:t>and</w:t>
      </w:r>
      <w:r>
        <w:rPr>
          <w:spacing w:val="5"/>
          <w:vertAlign w:val="baseline"/>
        </w:rPr>
        <w:t> </w:t>
      </w:r>
      <w:r>
        <w:rPr>
          <w:vertAlign w:val="baseline"/>
        </w:rPr>
        <w:t>30.97</w:t>
      </w:r>
      <w:r>
        <w:rPr>
          <w:spacing w:val="5"/>
          <w:vertAlign w:val="baseline"/>
        </w:rPr>
        <w:t> </w:t>
      </w:r>
      <w:r>
        <w:rPr>
          <w:vertAlign w:val="baseline"/>
        </w:rPr>
        <w:t>when</w:t>
      </w:r>
      <w:r>
        <w:rPr>
          <w:spacing w:val="6"/>
          <w:vertAlign w:val="baseline"/>
        </w:rPr>
        <w:t> </w:t>
      </w:r>
      <w:r>
        <w:rPr>
          <w:vertAlign w:val="baseline"/>
        </w:rPr>
        <w:t>the</w:t>
      </w:r>
      <w:r>
        <w:rPr>
          <w:spacing w:val="5"/>
          <w:vertAlign w:val="baseline"/>
        </w:rPr>
        <w:t> </w:t>
      </w:r>
      <w:r>
        <w:rPr>
          <w:vertAlign w:val="baseline"/>
        </w:rPr>
        <w:t>opposition</w:t>
      </w:r>
      <w:r>
        <w:rPr>
          <w:spacing w:val="5"/>
          <w:vertAlign w:val="baseline"/>
        </w:rPr>
        <w:t> </w:t>
      </w:r>
      <w:r>
        <w:rPr>
          <w:vertAlign w:val="baseline"/>
        </w:rPr>
        <w:t>team’s</w:t>
      </w:r>
      <w:r>
        <w:rPr>
          <w:spacing w:val="5"/>
          <w:vertAlign w:val="baseline"/>
        </w:rPr>
        <w:t> </w:t>
      </w:r>
      <w:r>
        <w:rPr>
          <w:vertAlign w:val="baseline"/>
        </w:rPr>
        <w:t>defending</w:t>
      </w:r>
      <w:r>
        <w:rPr>
          <w:spacing w:val="6"/>
          <w:vertAlign w:val="baseline"/>
        </w:rPr>
        <w:t> </w:t>
      </w:r>
      <w:r>
        <w:rPr>
          <w:spacing w:val="-5"/>
          <w:vertAlign w:val="baseline"/>
        </w:rPr>
        <w:t>EPV</w:t>
      </w:r>
    </w:p>
    <w:p>
      <w:pPr>
        <w:pStyle w:val="BodyText"/>
        <w:spacing w:line="275" w:lineRule="exact"/>
        <w:ind w:left="610"/>
      </w:pPr>
      <w:r>
        <w:rPr/>
        <w:pict>
          <v:shape style="position:absolute;margin-left:141.084pt;margin-top:6.928298pt;width:10.2pt;height:9.65pt;mso-position-horizontal-relative:page;mso-position-vertical-relative:paragraph;z-index:-21715456" type="#_x0000_t202" id="docshape216" filled="false" stroked="false">
            <v:textbox inset="0,0,0,0">
              <w:txbxContent>
                <w:p>
                  <w:pPr>
                    <w:spacing w:line="182" w:lineRule="exact" w:before="0"/>
                    <w:ind w:left="0" w:right="0" w:firstLine="0"/>
                    <w:jc w:val="left"/>
                    <w:rPr>
                      <w:sz w:val="16"/>
                    </w:rPr>
                  </w:pPr>
                  <w:r>
                    <w:rPr>
                      <w:spacing w:val="-5"/>
                      <w:sz w:val="16"/>
                    </w:rPr>
                    <w:t>def</w:t>
                  </w:r>
                </w:p>
              </w:txbxContent>
            </v:textbox>
            <w10:wrap type="none"/>
          </v:shape>
        </w:pict>
      </w:r>
      <w:r>
        <w:rPr/>
        <w:t>(EPV</w:t>
      </w:r>
      <w:r>
        <w:rPr>
          <w:rFonts w:ascii="Cambria" w:hAnsi="Cambria"/>
          <w:vertAlign w:val="superscript"/>
        </w:rPr>
        <w:t>µ</w:t>
      </w:r>
      <w:r>
        <w:rPr>
          <w:rFonts w:ascii="Cambria" w:hAnsi="Cambria"/>
          <w:spacing w:val="48"/>
          <w:vertAlign w:val="baseline"/>
        </w:rPr>
        <w:t> </w:t>
      </w:r>
      <w:r>
        <w:rPr>
          <w:vertAlign w:val="baseline"/>
        </w:rPr>
        <w:t>)</w:t>
      </w:r>
      <w:r>
        <w:rPr>
          <w:spacing w:val="-14"/>
          <w:vertAlign w:val="baseline"/>
        </w:rPr>
        <w:t> </w:t>
      </w:r>
      <w:r>
        <w:rPr>
          <w:vertAlign w:val="baseline"/>
        </w:rPr>
        <w:t>was</w:t>
      </w:r>
      <w:r>
        <w:rPr>
          <w:spacing w:val="-13"/>
          <w:vertAlign w:val="baseline"/>
        </w:rPr>
        <w:t> </w:t>
      </w:r>
      <w:r>
        <w:rPr>
          <w:vertAlign w:val="baseline"/>
        </w:rPr>
        <w:t>used.</w:t>
      </w:r>
      <w:r>
        <w:rPr>
          <w:spacing w:val="5"/>
          <w:vertAlign w:val="baseline"/>
        </w:rPr>
        <w:t> </w:t>
      </w:r>
      <w:r>
        <w:rPr>
          <w:vertAlign w:val="baseline"/>
        </w:rPr>
        <w:t>These</w:t>
      </w:r>
      <w:r>
        <w:rPr>
          <w:spacing w:val="-13"/>
          <w:vertAlign w:val="baseline"/>
        </w:rPr>
        <w:t> </w:t>
      </w:r>
      <w:r>
        <w:rPr>
          <w:vertAlign w:val="baseline"/>
        </w:rPr>
        <w:t>differences</w:t>
      </w:r>
      <w:r>
        <w:rPr>
          <w:spacing w:val="-13"/>
          <w:vertAlign w:val="baseline"/>
        </w:rPr>
        <w:t> </w:t>
      </w:r>
      <w:r>
        <w:rPr>
          <w:vertAlign w:val="baseline"/>
        </w:rPr>
        <w:t>are</w:t>
      </w:r>
      <w:r>
        <w:rPr>
          <w:spacing w:val="-13"/>
          <w:vertAlign w:val="baseline"/>
        </w:rPr>
        <w:t> </w:t>
      </w:r>
      <w:r>
        <w:rPr>
          <w:vertAlign w:val="baseline"/>
        </w:rPr>
        <w:t>likely</w:t>
      </w:r>
      <w:r>
        <w:rPr>
          <w:spacing w:val="-13"/>
          <w:vertAlign w:val="baseline"/>
        </w:rPr>
        <w:t> </w:t>
      </w:r>
      <w:r>
        <w:rPr>
          <w:vertAlign w:val="baseline"/>
        </w:rPr>
        <w:t>due</w:t>
      </w:r>
      <w:r>
        <w:rPr>
          <w:spacing w:val="-14"/>
          <w:vertAlign w:val="baseline"/>
        </w:rPr>
        <w:t> </w:t>
      </w:r>
      <w:r>
        <w:rPr>
          <w:vertAlign w:val="baseline"/>
        </w:rPr>
        <w:t>to</w:t>
      </w:r>
      <w:r>
        <w:rPr>
          <w:spacing w:val="-13"/>
          <w:vertAlign w:val="baseline"/>
        </w:rPr>
        <w:t> </w:t>
      </w:r>
      <w:r>
        <w:rPr>
          <w:vertAlign w:val="baseline"/>
        </w:rPr>
        <w:t>the</w:t>
      </w:r>
      <w:r>
        <w:rPr>
          <w:spacing w:val="-13"/>
          <w:vertAlign w:val="baseline"/>
        </w:rPr>
        <w:t> </w:t>
      </w:r>
      <w:r>
        <w:rPr>
          <w:vertAlign w:val="baseline"/>
        </w:rPr>
        <w:t>smoothing</w:t>
      </w:r>
      <w:r>
        <w:rPr>
          <w:spacing w:val="-13"/>
          <w:vertAlign w:val="baseline"/>
        </w:rPr>
        <w:t> </w:t>
      </w:r>
      <w:r>
        <w:rPr>
          <w:vertAlign w:val="baseline"/>
        </w:rPr>
        <w:t>induced</w:t>
      </w:r>
      <w:r>
        <w:rPr>
          <w:spacing w:val="-13"/>
          <w:vertAlign w:val="baseline"/>
        </w:rPr>
        <w:t> </w:t>
      </w:r>
      <w:r>
        <w:rPr>
          <w:vertAlign w:val="baseline"/>
        </w:rPr>
        <w:t>by</w:t>
      </w:r>
      <w:r>
        <w:rPr>
          <w:spacing w:val="-13"/>
          <w:vertAlign w:val="baseline"/>
        </w:rPr>
        <w:t> </w:t>
      </w:r>
      <w:r>
        <w:rPr>
          <w:vertAlign w:val="baseline"/>
        </w:rPr>
        <w:t>the</w:t>
      </w:r>
      <w:r>
        <w:rPr>
          <w:spacing w:val="-14"/>
          <w:vertAlign w:val="baseline"/>
        </w:rPr>
        <w:t> </w:t>
      </w:r>
      <w:r>
        <w:rPr>
          <w:spacing w:val="-5"/>
          <w:vertAlign w:val="baseline"/>
        </w:rPr>
        <w:t>KDE</w:t>
      </w:r>
    </w:p>
    <w:p>
      <w:pPr>
        <w:pStyle w:val="BodyText"/>
        <w:spacing w:line="312" w:lineRule="auto" w:before="81"/>
        <w:ind w:left="610" w:right="389"/>
      </w:pPr>
      <w:r>
        <w:rPr/>
        <w:t>models.</w:t>
      </w:r>
      <w:r>
        <w:rPr>
          <w:spacing w:val="34"/>
        </w:rPr>
        <w:t> </w:t>
      </w:r>
      <w:r>
        <w:rPr/>
        <w:t>Of the top 6 teams reaching the playoffs, only Wigan did so without exceeding their expected points scored by more than the average amount.</w:t>
      </w:r>
      <w:r>
        <w:rPr>
          <w:spacing w:val="40"/>
        </w:rPr>
        <w:t> </w:t>
      </w:r>
      <w:r>
        <w:rPr/>
        <w:t>Wigan were clearly the best</w:t>
      </w:r>
      <w:r>
        <w:rPr>
          <w:spacing w:val="28"/>
        </w:rPr>
        <w:t> </w:t>
      </w:r>
      <w:r>
        <w:rPr/>
        <w:t>defensive</w:t>
      </w:r>
      <w:r>
        <w:rPr>
          <w:spacing w:val="28"/>
        </w:rPr>
        <w:t> </w:t>
      </w:r>
      <w:r>
        <w:rPr/>
        <w:t>team</w:t>
      </w:r>
      <w:r>
        <w:rPr>
          <w:spacing w:val="28"/>
        </w:rPr>
        <w:t> </w:t>
      </w:r>
      <w:r>
        <w:rPr/>
        <w:t>in</w:t>
      </w:r>
      <w:r>
        <w:rPr>
          <w:spacing w:val="28"/>
        </w:rPr>
        <w:t> </w:t>
      </w:r>
      <w:r>
        <w:rPr/>
        <w:t>the</w:t>
      </w:r>
      <w:r>
        <w:rPr>
          <w:spacing w:val="28"/>
        </w:rPr>
        <w:t> </w:t>
      </w:r>
      <w:r>
        <w:rPr/>
        <w:t>league</w:t>
      </w:r>
      <w:r>
        <w:rPr>
          <w:spacing w:val="28"/>
        </w:rPr>
        <w:t> </w:t>
      </w:r>
      <w:r>
        <w:rPr/>
        <w:t>in</w:t>
      </w:r>
      <w:r>
        <w:rPr>
          <w:spacing w:val="28"/>
        </w:rPr>
        <w:t> </w:t>
      </w:r>
      <w:r>
        <w:rPr/>
        <w:t>2021,</w:t>
      </w:r>
      <w:r>
        <w:rPr>
          <w:spacing w:val="36"/>
        </w:rPr>
        <w:t> </w:t>
      </w:r>
      <w:r>
        <w:rPr/>
        <w:t>as</w:t>
      </w:r>
      <w:r>
        <w:rPr>
          <w:spacing w:val="28"/>
        </w:rPr>
        <w:t> </w:t>
      </w:r>
      <w:r>
        <w:rPr/>
        <w:t>shown</w:t>
      </w:r>
      <w:r>
        <w:rPr>
          <w:spacing w:val="28"/>
        </w:rPr>
        <w:t> </w:t>
      </w:r>
      <w:r>
        <w:rPr/>
        <w:t>by</w:t>
      </w:r>
      <w:r>
        <w:rPr>
          <w:spacing w:val="28"/>
        </w:rPr>
        <w:t> </w:t>
      </w:r>
      <w:r>
        <w:rPr/>
        <w:t>their</w:t>
      </w:r>
      <w:r>
        <w:rPr>
          <w:spacing w:val="28"/>
        </w:rPr>
        <w:t> </w:t>
      </w:r>
      <w:r>
        <w:rPr/>
        <w:t>defensive</w:t>
      </w:r>
      <w:r>
        <w:rPr>
          <w:spacing w:val="28"/>
        </w:rPr>
        <w:t> </w:t>
      </w:r>
      <w:r>
        <w:rPr/>
        <w:t>EPV</w:t>
      </w:r>
      <w:r>
        <w:rPr>
          <w:spacing w:val="28"/>
        </w:rPr>
        <w:t> </w:t>
      </w:r>
      <w:r>
        <w:rPr/>
        <w:t>plot</w:t>
      </w:r>
      <w:hyperlink w:history="true" w:anchor="_bookmark208">
        <w:r>
          <w:rPr>
            <w:color w:val="0000FF"/>
          </w:rPr>
          <w:t>6.9</w:t>
        </w:r>
        <w:r>
          <w:rPr/>
          <w:t>,</w:t>
        </w:r>
      </w:hyperlink>
      <w:r>
        <w:rPr/>
        <w:t> and</w:t>
      </w:r>
      <w:r>
        <w:rPr>
          <w:spacing w:val="25"/>
        </w:rPr>
        <w:t> </w:t>
      </w:r>
      <w:r>
        <w:rPr/>
        <w:t>so</w:t>
      </w:r>
      <w:r>
        <w:rPr>
          <w:spacing w:val="25"/>
        </w:rPr>
        <w:t> </w:t>
      </w:r>
      <w:r>
        <w:rPr/>
        <w:t>may</w:t>
      </w:r>
      <w:r>
        <w:rPr>
          <w:spacing w:val="25"/>
        </w:rPr>
        <w:t> </w:t>
      </w:r>
      <w:r>
        <w:rPr/>
        <w:t>have</w:t>
      </w:r>
      <w:r>
        <w:rPr>
          <w:spacing w:val="26"/>
        </w:rPr>
        <w:t> </w:t>
      </w:r>
      <w:r>
        <w:rPr/>
        <w:t>been</w:t>
      </w:r>
      <w:r>
        <w:rPr>
          <w:spacing w:val="25"/>
        </w:rPr>
        <w:t> </w:t>
      </w:r>
      <w:r>
        <w:rPr/>
        <w:t>able</w:t>
      </w:r>
      <w:r>
        <w:rPr>
          <w:spacing w:val="25"/>
        </w:rPr>
        <w:t> </w:t>
      </w:r>
      <w:r>
        <w:rPr/>
        <w:t>to</w:t>
      </w:r>
      <w:r>
        <w:rPr>
          <w:spacing w:val="25"/>
        </w:rPr>
        <w:t> </w:t>
      </w:r>
      <w:r>
        <w:rPr/>
        <w:t>win</w:t>
      </w:r>
      <w:r>
        <w:rPr>
          <w:spacing w:val="25"/>
        </w:rPr>
        <w:t> </w:t>
      </w:r>
      <w:r>
        <w:rPr/>
        <w:t>matches</w:t>
      </w:r>
      <w:r>
        <w:rPr>
          <w:spacing w:val="25"/>
        </w:rPr>
        <w:t> </w:t>
      </w:r>
      <w:r>
        <w:rPr/>
        <w:t>despite</w:t>
      </w:r>
      <w:r>
        <w:rPr>
          <w:spacing w:val="26"/>
        </w:rPr>
        <w:t> </w:t>
      </w:r>
      <w:r>
        <w:rPr/>
        <w:t>their</w:t>
      </w:r>
      <w:r>
        <w:rPr>
          <w:spacing w:val="26"/>
        </w:rPr>
        <w:t> </w:t>
      </w:r>
      <w:r>
        <w:rPr/>
        <w:t>poor</w:t>
      </w:r>
      <w:r>
        <w:rPr>
          <w:spacing w:val="25"/>
        </w:rPr>
        <w:t> </w:t>
      </w:r>
      <w:r>
        <w:rPr/>
        <w:t>attacking</w:t>
      </w:r>
      <w:r>
        <w:rPr>
          <w:spacing w:val="25"/>
        </w:rPr>
        <w:t> </w:t>
      </w:r>
      <w:r>
        <w:rPr/>
        <w:t>performances as they reduced the points any opposition team was able to score.</w:t>
      </w:r>
      <w:r>
        <w:rPr>
          <w:spacing w:val="40"/>
        </w:rPr>
        <w:t> </w:t>
      </w:r>
      <w:r>
        <w:rPr/>
        <w:t>Interestingly, in </w:t>
      </w:r>
      <w:r>
        <w:rPr/>
        <w:t>the</w:t>
      </w:r>
      <w:r>
        <w:rPr>
          <w:spacing w:val="40"/>
        </w:rPr>
        <w:t> </w:t>
      </w:r>
      <w:r>
        <w:rPr/>
        <w:t>2022</w:t>
      </w:r>
      <w:r>
        <w:rPr>
          <w:spacing w:val="-5"/>
        </w:rPr>
        <w:t> </w:t>
      </w:r>
      <w:r>
        <w:rPr/>
        <w:t>season,</w:t>
      </w:r>
      <w:r>
        <w:rPr>
          <w:spacing w:val="-5"/>
        </w:rPr>
        <w:t> </w:t>
      </w:r>
      <w:r>
        <w:rPr/>
        <w:t>Wigan</w:t>
      </w:r>
      <w:r>
        <w:rPr>
          <w:spacing w:val="-5"/>
        </w:rPr>
        <w:t> </w:t>
      </w:r>
      <w:r>
        <w:rPr/>
        <w:t>were</w:t>
      </w:r>
      <w:r>
        <w:rPr>
          <w:spacing w:val="-5"/>
        </w:rPr>
        <w:t> </w:t>
      </w:r>
      <w:r>
        <w:rPr/>
        <w:t>the</w:t>
      </w:r>
      <w:r>
        <w:rPr>
          <w:spacing w:val="-5"/>
        </w:rPr>
        <w:t> </w:t>
      </w:r>
      <w:r>
        <w:rPr/>
        <w:t>top</w:t>
      </w:r>
      <w:r>
        <w:rPr>
          <w:spacing w:val="-5"/>
        </w:rPr>
        <w:t> </w:t>
      </w:r>
      <w:r>
        <w:rPr/>
        <w:t>points</w:t>
      </w:r>
      <w:r>
        <w:rPr>
          <w:spacing w:val="-5"/>
        </w:rPr>
        <w:t> </w:t>
      </w:r>
      <w:r>
        <w:rPr/>
        <w:t>scorers</w:t>
      </w:r>
      <w:r>
        <w:rPr>
          <w:spacing w:val="-5"/>
        </w:rPr>
        <w:t> </w:t>
      </w:r>
      <w:r>
        <w:rPr/>
        <w:t>in</w:t>
      </w:r>
      <w:r>
        <w:rPr>
          <w:spacing w:val="-5"/>
        </w:rPr>
        <w:t> </w:t>
      </w:r>
      <w:r>
        <w:rPr/>
        <w:t>the</w:t>
      </w:r>
      <w:r>
        <w:rPr>
          <w:spacing w:val="-5"/>
        </w:rPr>
        <w:t> </w:t>
      </w:r>
      <w:r>
        <w:rPr/>
        <w:t>league</w:t>
      </w:r>
      <w:r>
        <w:rPr>
          <w:spacing w:val="-5"/>
        </w:rPr>
        <w:t> </w:t>
      </w:r>
      <w:r>
        <w:rPr/>
        <w:t>suggesting</w:t>
      </w:r>
      <w:r>
        <w:rPr>
          <w:spacing w:val="-5"/>
        </w:rPr>
        <w:t> </w:t>
      </w:r>
      <w:r>
        <w:rPr/>
        <w:t>that</w:t>
      </w:r>
      <w:r>
        <w:rPr>
          <w:spacing w:val="-5"/>
        </w:rPr>
        <w:t> </w:t>
      </w:r>
      <w:r>
        <w:rPr/>
        <w:t>the</w:t>
      </w:r>
      <w:r>
        <w:rPr>
          <w:spacing w:val="-5"/>
        </w:rPr>
        <w:t> </w:t>
      </w:r>
      <w:r>
        <w:rPr/>
        <w:t>coaches were</w:t>
      </w:r>
      <w:r>
        <w:rPr>
          <w:spacing w:val="-14"/>
        </w:rPr>
        <w:t> </w:t>
      </w:r>
      <w:r>
        <w:rPr/>
        <w:t>able</w:t>
      </w:r>
      <w:r>
        <w:rPr>
          <w:spacing w:val="-14"/>
        </w:rPr>
        <w:t> </w:t>
      </w:r>
      <w:r>
        <w:rPr/>
        <w:t>to</w:t>
      </w:r>
      <w:r>
        <w:rPr>
          <w:spacing w:val="-14"/>
        </w:rPr>
        <w:t> </w:t>
      </w:r>
      <w:r>
        <w:rPr/>
        <w:t>solve</w:t>
      </w:r>
      <w:r>
        <w:rPr>
          <w:spacing w:val="-14"/>
        </w:rPr>
        <w:t> </w:t>
      </w:r>
      <w:r>
        <w:rPr/>
        <w:t>the</w:t>
      </w:r>
      <w:r>
        <w:rPr>
          <w:spacing w:val="-14"/>
        </w:rPr>
        <w:t> </w:t>
      </w:r>
      <w:r>
        <w:rPr/>
        <w:t>problem</w:t>
      </w:r>
      <w:r>
        <w:rPr>
          <w:spacing w:val="-14"/>
        </w:rPr>
        <w:t> </w:t>
      </w:r>
      <w:r>
        <w:rPr/>
        <w:t>of</w:t>
      </w:r>
      <w:r>
        <w:rPr>
          <w:spacing w:val="-14"/>
        </w:rPr>
        <w:t> </w:t>
      </w:r>
      <w:r>
        <w:rPr/>
        <w:t>converting</w:t>
      </w:r>
      <w:r>
        <w:rPr>
          <w:spacing w:val="-14"/>
        </w:rPr>
        <w:t> </w:t>
      </w:r>
      <w:r>
        <w:rPr/>
        <w:t>their</w:t>
      </w:r>
      <w:r>
        <w:rPr>
          <w:spacing w:val="-14"/>
        </w:rPr>
        <w:t> </w:t>
      </w:r>
      <w:r>
        <w:rPr/>
        <w:t>underlying</w:t>
      </w:r>
      <w:r>
        <w:rPr>
          <w:spacing w:val="-14"/>
        </w:rPr>
        <w:t> </w:t>
      </w:r>
      <w:r>
        <w:rPr/>
        <w:t>attacking</w:t>
      </w:r>
      <w:r>
        <w:rPr>
          <w:spacing w:val="-14"/>
        </w:rPr>
        <w:t> </w:t>
      </w:r>
      <w:r>
        <w:rPr/>
        <w:t>performances</w:t>
      </w:r>
      <w:r>
        <w:rPr>
          <w:spacing w:val="-14"/>
        </w:rPr>
        <w:t> </w:t>
      </w:r>
      <w:r>
        <w:rPr/>
        <w:t>into actual points scored.</w:t>
      </w:r>
    </w:p>
    <w:p>
      <w:pPr>
        <w:spacing w:after="0" w:line="312" w:lineRule="auto"/>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jc w:val="both"/>
      </w:pPr>
      <w:bookmarkStart w:name="_bookmark210" w:id="354"/>
      <w:bookmarkEnd w:id="354"/>
      <w:r>
        <w:rPr/>
      </w:r>
      <w:r>
        <w:rPr>
          <w:b/>
        </w:rPr>
        <w:t>Table</w:t>
      </w:r>
      <w:r>
        <w:rPr>
          <w:b/>
          <w:spacing w:val="-2"/>
        </w:rPr>
        <w:t> </w:t>
      </w:r>
      <w:r>
        <w:rPr>
          <w:b/>
        </w:rPr>
        <w:t>6.6: </w:t>
      </w:r>
      <w:r>
        <w:rPr/>
        <w:t>Expected</w:t>
      </w:r>
      <w:r>
        <w:rPr>
          <w:spacing w:val="-2"/>
        </w:rPr>
        <w:t> </w:t>
      </w:r>
      <w:r>
        <w:rPr/>
        <w:t>points</w:t>
      </w:r>
      <w:r>
        <w:rPr>
          <w:spacing w:val="-2"/>
        </w:rPr>
        <w:t> </w:t>
      </w:r>
      <w:r>
        <w:rPr/>
        <w:t>scored</w:t>
      </w:r>
      <w:r>
        <w:rPr>
          <w:spacing w:val="-2"/>
        </w:rPr>
        <w:t> </w:t>
      </w:r>
      <w:r>
        <w:rPr/>
        <w:t>across</w:t>
      </w:r>
      <w:r>
        <w:rPr>
          <w:spacing w:val="-2"/>
        </w:rPr>
        <w:t> </w:t>
      </w:r>
      <w:r>
        <w:rPr/>
        <w:t>the</w:t>
      </w:r>
      <w:r>
        <w:rPr>
          <w:spacing w:val="-2"/>
        </w:rPr>
        <w:t> </w:t>
      </w:r>
      <w:r>
        <w:rPr/>
        <w:t>season</w:t>
      </w:r>
      <w:r>
        <w:rPr>
          <w:spacing w:val="-2"/>
        </w:rPr>
        <w:t> </w:t>
      </w:r>
      <w:r>
        <w:rPr/>
        <w:t>compared</w:t>
      </w:r>
      <w:r>
        <w:rPr>
          <w:spacing w:val="-2"/>
        </w:rPr>
        <w:t> </w:t>
      </w:r>
      <w:r>
        <w:rPr/>
        <w:t>to</w:t>
      </w:r>
      <w:r>
        <w:rPr>
          <w:spacing w:val="-2"/>
        </w:rPr>
        <w:t> </w:t>
      </w:r>
      <w:r>
        <w:rPr/>
        <w:t>actual</w:t>
      </w:r>
      <w:r>
        <w:rPr>
          <w:spacing w:val="-2"/>
        </w:rPr>
        <w:t> </w:t>
      </w:r>
      <w:r>
        <w:rPr/>
        <w:t>points</w:t>
      </w:r>
      <w:r>
        <w:rPr>
          <w:spacing w:val="-2"/>
        </w:rPr>
        <w:t> </w:t>
      </w:r>
      <w:r>
        <w:rPr/>
        <w:t>scored</w:t>
      </w:r>
      <w:r>
        <w:rPr>
          <w:spacing w:val="-2"/>
        </w:rPr>
        <w:t> </w:t>
      </w:r>
      <w:r>
        <w:rPr/>
        <w:t>at the team overall level.</w:t>
      </w:r>
      <w:r>
        <w:rPr>
          <w:spacing w:val="40"/>
        </w:rPr>
        <w:t> </w:t>
      </w:r>
      <w:r>
        <w:rPr/>
        <w:t>Exp Att refers to expected points scored as computed using the attacking</w:t>
      </w:r>
      <w:r>
        <w:rPr>
          <w:spacing w:val="-4"/>
        </w:rPr>
        <w:t> </w:t>
      </w:r>
      <w:r>
        <w:rPr/>
        <w:t>team</w:t>
      </w:r>
      <w:r>
        <w:rPr>
          <w:spacing w:val="-4"/>
        </w:rPr>
        <w:t> </w:t>
      </w:r>
      <w:r>
        <w:rPr/>
        <w:t>EPV;</w:t>
      </w:r>
      <w:r>
        <w:rPr>
          <w:spacing w:val="-4"/>
        </w:rPr>
        <w:t> </w:t>
      </w:r>
      <w:r>
        <w:rPr/>
        <w:t>Exp</w:t>
      </w:r>
      <w:r>
        <w:rPr>
          <w:spacing w:val="-4"/>
        </w:rPr>
        <w:t> </w:t>
      </w:r>
      <w:r>
        <w:rPr/>
        <w:t>Def</w:t>
      </w:r>
      <w:r>
        <w:rPr>
          <w:spacing w:val="-4"/>
        </w:rPr>
        <w:t> </w:t>
      </w:r>
      <w:r>
        <w:rPr/>
        <w:t>refers</w:t>
      </w:r>
      <w:r>
        <w:rPr>
          <w:spacing w:val="-4"/>
        </w:rPr>
        <w:t> </w:t>
      </w:r>
      <w:r>
        <w:rPr/>
        <w:t>to</w:t>
      </w:r>
      <w:r>
        <w:rPr>
          <w:spacing w:val="-4"/>
        </w:rPr>
        <w:t> </w:t>
      </w:r>
      <w:r>
        <w:rPr/>
        <w:t>expected</w:t>
      </w:r>
      <w:r>
        <w:rPr>
          <w:spacing w:val="-4"/>
        </w:rPr>
        <w:t> </w:t>
      </w:r>
      <w:r>
        <w:rPr/>
        <w:t>points</w:t>
      </w:r>
      <w:r>
        <w:rPr>
          <w:spacing w:val="-4"/>
        </w:rPr>
        <w:t> </w:t>
      </w:r>
      <w:r>
        <w:rPr/>
        <w:t>scored</w:t>
      </w:r>
      <w:r>
        <w:rPr>
          <w:spacing w:val="-4"/>
        </w:rPr>
        <w:t> </w:t>
      </w:r>
      <w:r>
        <w:rPr/>
        <w:t>as</w:t>
      </w:r>
      <w:r>
        <w:rPr>
          <w:spacing w:val="-4"/>
        </w:rPr>
        <w:t> </w:t>
      </w:r>
      <w:r>
        <w:rPr/>
        <w:t>computed</w:t>
      </w:r>
      <w:r>
        <w:rPr>
          <w:spacing w:val="-4"/>
        </w:rPr>
        <w:t> </w:t>
      </w:r>
      <w:r>
        <w:rPr/>
        <w:t>using</w:t>
      </w:r>
      <w:r>
        <w:rPr>
          <w:spacing w:val="-4"/>
        </w:rPr>
        <w:t> </w:t>
      </w:r>
      <w:r>
        <w:rPr/>
        <w:t>the</w:t>
      </w:r>
      <w:r>
        <w:rPr>
          <w:spacing w:val="-4"/>
        </w:rPr>
        <w:t> </w:t>
      </w:r>
      <w:r>
        <w:rPr/>
        <w:t>de- fending team EPV; Diff refers to the difference between points scored and the expected points scored (positive means more points were scored than expected).</w:t>
      </w:r>
      <w:r>
        <w:rPr>
          <w:spacing w:val="40"/>
        </w:rPr>
        <w:t> </w:t>
      </w:r>
      <w:r>
        <w:rPr/>
        <w:t>Teams are pro- vided in league position order.</w:t>
      </w:r>
    </w:p>
    <w:p>
      <w:pPr>
        <w:pStyle w:val="BodyText"/>
        <w:rPr>
          <w:sz w:val="20"/>
        </w:rPr>
      </w:pPr>
    </w:p>
    <w:p>
      <w:pPr>
        <w:pStyle w:val="BodyText"/>
        <w:spacing w:before="8"/>
        <w:rPr>
          <w:sz w:val="21"/>
        </w:rPr>
      </w:pPr>
    </w:p>
    <w:tbl>
      <w:tblPr>
        <w:tblW w:w="0" w:type="auto"/>
        <w:jc w:val="left"/>
        <w:tblInd w:w="13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474"/>
        <w:gridCol w:w="1561"/>
        <w:gridCol w:w="990"/>
        <w:gridCol w:w="997"/>
        <w:gridCol w:w="1043"/>
        <w:gridCol w:w="1050"/>
      </w:tblGrid>
      <w:tr>
        <w:trPr>
          <w:trHeight w:val="272" w:hRule="atLeast"/>
        </w:trPr>
        <w:tc>
          <w:tcPr>
            <w:tcW w:w="1474" w:type="dxa"/>
            <w:tcBorders>
              <w:top w:val="single" w:sz="4" w:space="0" w:color="000000"/>
              <w:bottom w:val="single" w:sz="4" w:space="0" w:color="000000"/>
            </w:tcBorders>
          </w:tcPr>
          <w:p>
            <w:pPr>
              <w:pStyle w:val="TableParagraph"/>
              <w:spacing w:line="253" w:lineRule="exact"/>
              <w:ind w:left="102" w:right="102"/>
              <w:rPr>
                <w:sz w:val="24"/>
              </w:rPr>
            </w:pPr>
            <w:r>
              <w:rPr>
                <w:spacing w:val="-4"/>
                <w:sz w:val="24"/>
              </w:rPr>
              <w:t>Team</w:t>
            </w:r>
          </w:p>
        </w:tc>
        <w:tc>
          <w:tcPr>
            <w:tcW w:w="1561" w:type="dxa"/>
            <w:tcBorders>
              <w:top w:val="single" w:sz="4" w:space="0" w:color="000000"/>
              <w:bottom w:val="single" w:sz="4" w:space="0" w:color="000000"/>
            </w:tcBorders>
          </w:tcPr>
          <w:p>
            <w:pPr>
              <w:pStyle w:val="TableParagraph"/>
              <w:spacing w:line="253" w:lineRule="exact"/>
              <w:ind w:left="107" w:right="107"/>
              <w:rPr>
                <w:sz w:val="24"/>
              </w:rPr>
            </w:pPr>
            <w:r>
              <w:rPr>
                <w:sz w:val="24"/>
              </w:rPr>
              <w:t>Points</w:t>
            </w:r>
            <w:r>
              <w:rPr>
                <w:spacing w:val="-9"/>
                <w:sz w:val="24"/>
              </w:rPr>
              <w:t> </w:t>
            </w:r>
            <w:r>
              <w:rPr>
                <w:spacing w:val="-2"/>
                <w:sz w:val="24"/>
              </w:rPr>
              <w:t>Scored</w:t>
            </w:r>
          </w:p>
        </w:tc>
        <w:tc>
          <w:tcPr>
            <w:tcW w:w="990" w:type="dxa"/>
            <w:tcBorders>
              <w:top w:val="single" w:sz="4" w:space="0" w:color="000000"/>
              <w:bottom w:val="single" w:sz="4" w:space="0" w:color="000000"/>
            </w:tcBorders>
          </w:tcPr>
          <w:p>
            <w:pPr>
              <w:pStyle w:val="TableParagraph"/>
              <w:spacing w:line="253" w:lineRule="exact"/>
              <w:ind w:left="108" w:right="108"/>
              <w:rPr>
                <w:sz w:val="24"/>
              </w:rPr>
            </w:pPr>
            <w:r>
              <w:rPr>
                <w:sz w:val="24"/>
              </w:rPr>
              <w:t>Exp</w:t>
            </w:r>
            <w:r>
              <w:rPr>
                <w:spacing w:val="-5"/>
                <w:sz w:val="24"/>
              </w:rPr>
              <w:t> Att</w:t>
            </w:r>
          </w:p>
        </w:tc>
        <w:tc>
          <w:tcPr>
            <w:tcW w:w="997" w:type="dxa"/>
            <w:tcBorders>
              <w:top w:val="single" w:sz="4" w:space="0" w:color="000000"/>
              <w:bottom w:val="single" w:sz="4" w:space="0" w:color="000000"/>
            </w:tcBorders>
          </w:tcPr>
          <w:p>
            <w:pPr>
              <w:pStyle w:val="TableParagraph"/>
              <w:spacing w:line="253" w:lineRule="exact"/>
              <w:ind w:left="105" w:right="105"/>
              <w:rPr>
                <w:sz w:val="24"/>
              </w:rPr>
            </w:pPr>
            <w:r>
              <w:rPr>
                <w:sz w:val="24"/>
              </w:rPr>
              <w:t>Att</w:t>
            </w:r>
            <w:r>
              <w:rPr>
                <w:spacing w:val="-5"/>
                <w:sz w:val="24"/>
              </w:rPr>
              <w:t> </w:t>
            </w:r>
            <w:r>
              <w:rPr>
                <w:spacing w:val="-4"/>
                <w:sz w:val="24"/>
              </w:rPr>
              <w:t>Diff</w:t>
            </w:r>
          </w:p>
        </w:tc>
        <w:tc>
          <w:tcPr>
            <w:tcW w:w="1043" w:type="dxa"/>
            <w:tcBorders>
              <w:top w:val="single" w:sz="4" w:space="0" w:color="000000"/>
              <w:bottom w:val="single" w:sz="4" w:space="0" w:color="000000"/>
            </w:tcBorders>
          </w:tcPr>
          <w:p>
            <w:pPr>
              <w:pStyle w:val="TableParagraph"/>
              <w:spacing w:line="253" w:lineRule="exact"/>
              <w:ind w:left="119"/>
              <w:jc w:val="left"/>
              <w:rPr>
                <w:sz w:val="24"/>
              </w:rPr>
            </w:pPr>
            <w:r>
              <w:rPr>
                <w:sz w:val="24"/>
              </w:rPr>
              <w:t>Exp</w:t>
            </w:r>
            <w:r>
              <w:rPr>
                <w:spacing w:val="-5"/>
                <w:sz w:val="24"/>
              </w:rPr>
              <w:t> Def</w:t>
            </w:r>
          </w:p>
        </w:tc>
        <w:tc>
          <w:tcPr>
            <w:tcW w:w="1050" w:type="dxa"/>
            <w:tcBorders>
              <w:top w:val="single" w:sz="4" w:space="0" w:color="000000"/>
              <w:bottom w:val="single" w:sz="4" w:space="0" w:color="000000"/>
            </w:tcBorders>
          </w:tcPr>
          <w:p>
            <w:pPr>
              <w:pStyle w:val="TableParagraph"/>
              <w:spacing w:line="253" w:lineRule="exact"/>
              <w:ind w:left="105" w:right="105"/>
              <w:rPr>
                <w:sz w:val="24"/>
              </w:rPr>
            </w:pPr>
            <w:r>
              <w:rPr>
                <w:sz w:val="24"/>
              </w:rPr>
              <w:t>Def</w:t>
            </w:r>
            <w:r>
              <w:rPr>
                <w:spacing w:val="-5"/>
                <w:sz w:val="24"/>
              </w:rPr>
              <w:t> </w:t>
            </w:r>
            <w:r>
              <w:rPr>
                <w:spacing w:val="-4"/>
                <w:sz w:val="24"/>
              </w:rPr>
              <w:t>Diff</w:t>
            </w:r>
          </w:p>
        </w:tc>
      </w:tr>
      <w:tr>
        <w:trPr>
          <w:trHeight w:val="283" w:hRule="atLeast"/>
        </w:trPr>
        <w:tc>
          <w:tcPr>
            <w:tcW w:w="1474" w:type="dxa"/>
            <w:tcBorders>
              <w:top w:val="single" w:sz="4" w:space="0" w:color="000000"/>
            </w:tcBorders>
          </w:tcPr>
          <w:p>
            <w:pPr>
              <w:pStyle w:val="TableParagraph"/>
              <w:spacing w:line="249" w:lineRule="exact"/>
              <w:ind w:left="102" w:right="102"/>
              <w:rPr>
                <w:sz w:val="24"/>
              </w:rPr>
            </w:pPr>
            <w:r>
              <w:rPr>
                <w:spacing w:val="-2"/>
                <w:sz w:val="24"/>
              </w:rPr>
              <w:t>Catalans</w:t>
            </w:r>
          </w:p>
        </w:tc>
        <w:tc>
          <w:tcPr>
            <w:tcW w:w="1561" w:type="dxa"/>
            <w:tcBorders>
              <w:top w:val="single" w:sz="4" w:space="0" w:color="000000"/>
            </w:tcBorders>
          </w:tcPr>
          <w:p>
            <w:pPr>
              <w:pStyle w:val="TableParagraph"/>
              <w:spacing w:line="249" w:lineRule="exact"/>
              <w:ind w:left="107" w:right="107"/>
              <w:rPr>
                <w:sz w:val="24"/>
              </w:rPr>
            </w:pPr>
            <w:r>
              <w:rPr>
                <w:spacing w:val="-5"/>
                <w:sz w:val="24"/>
              </w:rPr>
              <w:t>726</w:t>
            </w:r>
          </w:p>
        </w:tc>
        <w:tc>
          <w:tcPr>
            <w:tcW w:w="990" w:type="dxa"/>
            <w:tcBorders>
              <w:top w:val="single" w:sz="4" w:space="0" w:color="000000"/>
            </w:tcBorders>
          </w:tcPr>
          <w:p>
            <w:pPr>
              <w:pStyle w:val="TableParagraph"/>
              <w:spacing w:line="249" w:lineRule="exact"/>
              <w:ind w:left="108" w:right="108"/>
              <w:rPr>
                <w:sz w:val="24"/>
              </w:rPr>
            </w:pPr>
            <w:r>
              <w:rPr>
                <w:spacing w:val="-2"/>
                <w:sz w:val="24"/>
              </w:rPr>
              <w:t>563.80</w:t>
            </w:r>
          </w:p>
        </w:tc>
        <w:tc>
          <w:tcPr>
            <w:tcW w:w="997" w:type="dxa"/>
            <w:tcBorders>
              <w:top w:val="single" w:sz="4" w:space="0" w:color="000000"/>
            </w:tcBorders>
          </w:tcPr>
          <w:p>
            <w:pPr>
              <w:pStyle w:val="TableParagraph"/>
              <w:spacing w:line="249" w:lineRule="exact"/>
              <w:ind w:left="105" w:right="105"/>
              <w:rPr>
                <w:sz w:val="24"/>
              </w:rPr>
            </w:pPr>
            <w:r>
              <w:rPr>
                <w:spacing w:val="-2"/>
                <w:sz w:val="24"/>
              </w:rPr>
              <w:t>162.20</w:t>
            </w:r>
          </w:p>
        </w:tc>
        <w:tc>
          <w:tcPr>
            <w:tcW w:w="1043" w:type="dxa"/>
            <w:tcBorders>
              <w:top w:val="single" w:sz="4" w:space="0" w:color="000000"/>
            </w:tcBorders>
          </w:tcPr>
          <w:p>
            <w:pPr>
              <w:pStyle w:val="TableParagraph"/>
              <w:spacing w:line="249" w:lineRule="exact"/>
              <w:ind w:left="192"/>
              <w:jc w:val="left"/>
              <w:rPr>
                <w:sz w:val="24"/>
              </w:rPr>
            </w:pPr>
            <w:r>
              <w:rPr>
                <w:spacing w:val="-2"/>
                <w:sz w:val="24"/>
              </w:rPr>
              <w:t>527.75</w:t>
            </w:r>
          </w:p>
        </w:tc>
        <w:tc>
          <w:tcPr>
            <w:tcW w:w="1050" w:type="dxa"/>
            <w:tcBorders>
              <w:top w:val="single" w:sz="4" w:space="0" w:color="000000"/>
            </w:tcBorders>
          </w:tcPr>
          <w:p>
            <w:pPr>
              <w:pStyle w:val="TableParagraph"/>
              <w:spacing w:line="249" w:lineRule="exact"/>
              <w:ind w:left="105" w:right="105"/>
              <w:rPr>
                <w:sz w:val="24"/>
              </w:rPr>
            </w:pPr>
            <w:r>
              <w:rPr>
                <w:spacing w:val="-2"/>
                <w:sz w:val="24"/>
              </w:rPr>
              <w:t>198.25</w:t>
            </w:r>
          </w:p>
        </w:tc>
      </w:tr>
      <w:tr>
        <w:trPr>
          <w:trHeight w:val="288" w:hRule="atLeast"/>
        </w:trPr>
        <w:tc>
          <w:tcPr>
            <w:tcW w:w="1474" w:type="dxa"/>
          </w:tcPr>
          <w:p>
            <w:pPr>
              <w:pStyle w:val="TableParagraph"/>
              <w:ind w:left="102" w:right="102"/>
              <w:rPr>
                <w:sz w:val="24"/>
              </w:rPr>
            </w:pPr>
            <w:r>
              <w:rPr>
                <w:sz w:val="24"/>
              </w:rPr>
              <w:t>St</w:t>
            </w:r>
            <w:r>
              <w:rPr>
                <w:spacing w:val="-5"/>
                <w:sz w:val="24"/>
              </w:rPr>
              <w:t> </w:t>
            </w:r>
            <w:r>
              <w:rPr>
                <w:spacing w:val="-2"/>
                <w:sz w:val="24"/>
              </w:rPr>
              <w:t>Helens</w:t>
            </w:r>
          </w:p>
        </w:tc>
        <w:tc>
          <w:tcPr>
            <w:tcW w:w="1561" w:type="dxa"/>
          </w:tcPr>
          <w:p>
            <w:pPr>
              <w:pStyle w:val="TableParagraph"/>
              <w:ind w:left="107" w:right="107"/>
              <w:rPr>
                <w:sz w:val="24"/>
              </w:rPr>
            </w:pPr>
            <w:r>
              <w:rPr>
                <w:spacing w:val="-5"/>
                <w:sz w:val="24"/>
              </w:rPr>
              <w:t>572</w:t>
            </w:r>
          </w:p>
        </w:tc>
        <w:tc>
          <w:tcPr>
            <w:tcW w:w="990" w:type="dxa"/>
          </w:tcPr>
          <w:p>
            <w:pPr>
              <w:pStyle w:val="TableParagraph"/>
              <w:ind w:left="108" w:right="108"/>
              <w:rPr>
                <w:sz w:val="24"/>
              </w:rPr>
            </w:pPr>
            <w:r>
              <w:rPr>
                <w:spacing w:val="-2"/>
                <w:sz w:val="24"/>
              </w:rPr>
              <w:t>492.93</w:t>
            </w:r>
          </w:p>
        </w:tc>
        <w:tc>
          <w:tcPr>
            <w:tcW w:w="997" w:type="dxa"/>
          </w:tcPr>
          <w:p>
            <w:pPr>
              <w:pStyle w:val="TableParagraph"/>
              <w:ind w:left="105" w:right="105"/>
              <w:rPr>
                <w:sz w:val="24"/>
              </w:rPr>
            </w:pPr>
            <w:r>
              <w:rPr>
                <w:spacing w:val="-2"/>
                <w:sz w:val="24"/>
              </w:rPr>
              <w:t>79.07</w:t>
            </w:r>
          </w:p>
        </w:tc>
        <w:tc>
          <w:tcPr>
            <w:tcW w:w="1043" w:type="dxa"/>
          </w:tcPr>
          <w:p>
            <w:pPr>
              <w:pStyle w:val="TableParagraph"/>
              <w:ind w:left="192"/>
              <w:jc w:val="left"/>
              <w:rPr>
                <w:sz w:val="24"/>
              </w:rPr>
            </w:pPr>
            <w:r>
              <w:rPr>
                <w:spacing w:val="-2"/>
                <w:sz w:val="24"/>
              </w:rPr>
              <w:t>480.10</w:t>
            </w:r>
          </w:p>
        </w:tc>
        <w:tc>
          <w:tcPr>
            <w:tcW w:w="1050" w:type="dxa"/>
          </w:tcPr>
          <w:p>
            <w:pPr>
              <w:pStyle w:val="TableParagraph"/>
              <w:ind w:left="105" w:right="105"/>
              <w:rPr>
                <w:sz w:val="24"/>
              </w:rPr>
            </w:pPr>
            <w:r>
              <w:rPr>
                <w:spacing w:val="-2"/>
                <w:sz w:val="24"/>
              </w:rPr>
              <w:t>91.90</w:t>
            </w:r>
          </w:p>
        </w:tc>
      </w:tr>
      <w:tr>
        <w:trPr>
          <w:trHeight w:val="288" w:hRule="atLeast"/>
        </w:trPr>
        <w:tc>
          <w:tcPr>
            <w:tcW w:w="1474" w:type="dxa"/>
          </w:tcPr>
          <w:p>
            <w:pPr>
              <w:pStyle w:val="TableParagraph"/>
              <w:ind w:left="102" w:right="102"/>
              <w:rPr>
                <w:sz w:val="24"/>
              </w:rPr>
            </w:pPr>
            <w:r>
              <w:rPr>
                <w:spacing w:val="-2"/>
                <w:sz w:val="24"/>
              </w:rPr>
              <w:t>Warrington</w:t>
            </w:r>
          </w:p>
        </w:tc>
        <w:tc>
          <w:tcPr>
            <w:tcW w:w="1561" w:type="dxa"/>
          </w:tcPr>
          <w:p>
            <w:pPr>
              <w:pStyle w:val="TableParagraph"/>
              <w:ind w:left="107" w:right="107"/>
              <w:rPr>
                <w:sz w:val="24"/>
              </w:rPr>
            </w:pPr>
            <w:r>
              <w:rPr>
                <w:spacing w:val="-5"/>
                <w:sz w:val="24"/>
              </w:rPr>
              <w:t>588</w:t>
            </w:r>
          </w:p>
        </w:tc>
        <w:tc>
          <w:tcPr>
            <w:tcW w:w="990" w:type="dxa"/>
          </w:tcPr>
          <w:p>
            <w:pPr>
              <w:pStyle w:val="TableParagraph"/>
              <w:ind w:left="108" w:right="108"/>
              <w:rPr>
                <w:sz w:val="24"/>
              </w:rPr>
            </w:pPr>
            <w:r>
              <w:rPr>
                <w:spacing w:val="-2"/>
                <w:sz w:val="24"/>
              </w:rPr>
              <w:t>476.44</w:t>
            </w:r>
          </w:p>
        </w:tc>
        <w:tc>
          <w:tcPr>
            <w:tcW w:w="997" w:type="dxa"/>
          </w:tcPr>
          <w:p>
            <w:pPr>
              <w:pStyle w:val="TableParagraph"/>
              <w:ind w:left="105" w:right="105"/>
              <w:rPr>
                <w:sz w:val="24"/>
              </w:rPr>
            </w:pPr>
            <w:r>
              <w:rPr>
                <w:spacing w:val="-2"/>
                <w:sz w:val="24"/>
              </w:rPr>
              <w:t>111.56</w:t>
            </w:r>
          </w:p>
        </w:tc>
        <w:tc>
          <w:tcPr>
            <w:tcW w:w="1043" w:type="dxa"/>
          </w:tcPr>
          <w:p>
            <w:pPr>
              <w:pStyle w:val="TableParagraph"/>
              <w:ind w:left="192"/>
              <w:jc w:val="left"/>
              <w:rPr>
                <w:sz w:val="24"/>
              </w:rPr>
            </w:pPr>
            <w:r>
              <w:rPr>
                <w:spacing w:val="-2"/>
                <w:sz w:val="24"/>
              </w:rPr>
              <w:t>470.55</w:t>
            </w:r>
          </w:p>
        </w:tc>
        <w:tc>
          <w:tcPr>
            <w:tcW w:w="1050" w:type="dxa"/>
          </w:tcPr>
          <w:p>
            <w:pPr>
              <w:pStyle w:val="TableParagraph"/>
              <w:ind w:left="104" w:right="105"/>
              <w:rPr>
                <w:sz w:val="24"/>
              </w:rPr>
            </w:pPr>
            <w:r>
              <w:rPr>
                <w:spacing w:val="-2"/>
                <w:sz w:val="24"/>
              </w:rPr>
              <w:t>117.45</w:t>
            </w:r>
          </w:p>
        </w:tc>
      </w:tr>
      <w:tr>
        <w:trPr>
          <w:trHeight w:val="288" w:hRule="atLeast"/>
        </w:trPr>
        <w:tc>
          <w:tcPr>
            <w:tcW w:w="1474" w:type="dxa"/>
          </w:tcPr>
          <w:p>
            <w:pPr>
              <w:pStyle w:val="TableParagraph"/>
              <w:ind w:left="102" w:right="102"/>
              <w:rPr>
                <w:sz w:val="24"/>
              </w:rPr>
            </w:pPr>
            <w:r>
              <w:rPr>
                <w:spacing w:val="-4"/>
                <w:sz w:val="24"/>
              </w:rPr>
              <w:t>Wigan</w:t>
            </w:r>
          </w:p>
        </w:tc>
        <w:tc>
          <w:tcPr>
            <w:tcW w:w="1561" w:type="dxa"/>
          </w:tcPr>
          <w:p>
            <w:pPr>
              <w:pStyle w:val="TableParagraph"/>
              <w:ind w:left="107" w:right="107"/>
              <w:rPr>
                <w:sz w:val="24"/>
              </w:rPr>
            </w:pPr>
            <w:r>
              <w:rPr>
                <w:spacing w:val="-5"/>
                <w:sz w:val="24"/>
              </w:rPr>
              <w:t>387</w:t>
            </w:r>
          </w:p>
        </w:tc>
        <w:tc>
          <w:tcPr>
            <w:tcW w:w="990" w:type="dxa"/>
          </w:tcPr>
          <w:p>
            <w:pPr>
              <w:pStyle w:val="TableParagraph"/>
              <w:ind w:left="108" w:right="108"/>
              <w:rPr>
                <w:sz w:val="24"/>
              </w:rPr>
            </w:pPr>
            <w:r>
              <w:rPr>
                <w:spacing w:val="-2"/>
                <w:sz w:val="24"/>
              </w:rPr>
              <w:t>492.82</w:t>
            </w:r>
          </w:p>
        </w:tc>
        <w:tc>
          <w:tcPr>
            <w:tcW w:w="997" w:type="dxa"/>
          </w:tcPr>
          <w:p>
            <w:pPr>
              <w:pStyle w:val="TableParagraph"/>
              <w:ind w:left="105" w:right="105"/>
              <w:rPr>
                <w:sz w:val="24"/>
              </w:rPr>
            </w:pPr>
            <w:r>
              <w:rPr>
                <w:spacing w:val="-2"/>
                <w:sz w:val="24"/>
              </w:rPr>
              <w:t>-105.82</w:t>
            </w:r>
          </w:p>
        </w:tc>
        <w:tc>
          <w:tcPr>
            <w:tcW w:w="1043" w:type="dxa"/>
          </w:tcPr>
          <w:p>
            <w:pPr>
              <w:pStyle w:val="TableParagraph"/>
              <w:ind w:left="192"/>
              <w:jc w:val="left"/>
              <w:rPr>
                <w:sz w:val="24"/>
              </w:rPr>
            </w:pPr>
            <w:r>
              <w:rPr>
                <w:spacing w:val="-2"/>
                <w:sz w:val="24"/>
              </w:rPr>
              <w:t>540.34</w:t>
            </w:r>
          </w:p>
        </w:tc>
        <w:tc>
          <w:tcPr>
            <w:tcW w:w="1050" w:type="dxa"/>
          </w:tcPr>
          <w:p>
            <w:pPr>
              <w:pStyle w:val="TableParagraph"/>
              <w:ind w:left="105" w:right="105"/>
              <w:rPr>
                <w:sz w:val="24"/>
              </w:rPr>
            </w:pPr>
            <w:r>
              <w:rPr>
                <w:spacing w:val="-2"/>
                <w:sz w:val="24"/>
              </w:rPr>
              <w:t>-153.34</w:t>
            </w:r>
          </w:p>
        </w:tc>
      </w:tr>
      <w:tr>
        <w:trPr>
          <w:trHeight w:val="288" w:hRule="atLeast"/>
        </w:trPr>
        <w:tc>
          <w:tcPr>
            <w:tcW w:w="1474" w:type="dxa"/>
          </w:tcPr>
          <w:p>
            <w:pPr>
              <w:pStyle w:val="TableParagraph"/>
              <w:ind w:left="102" w:right="102"/>
              <w:rPr>
                <w:sz w:val="24"/>
              </w:rPr>
            </w:pPr>
            <w:r>
              <w:rPr>
                <w:spacing w:val="-2"/>
                <w:sz w:val="24"/>
              </w:rPr>
              <w:t>Leeds</w:t>
            </w:r>
          </w:p>
        </w:tc>
        <w:tc>
          <w:tcPr>
            <w:tcW w:w="1561" w:type="dxa"/>
          </w:tcPr>
          <w:p>
            <w:pPr>
              <w:pStyle w:val="TableParagraph"/>
              <w:ind w:left="107" w:right="107"/>
              <w:rPr>
                <w:sz w:val="24"/>
              </w:rPr>
            </w:pPr>
            <w:r>
              <w:rPr>
                <w:spacing w:val="-5"/>
                <w:sz w:val="24"/>
              </w:rPr>
              <w:t>572</w:t>
            </w:r>
          </w:p>
        </w:tc>
        <w:tc>
          <w:tcPr>
            <w:tcW w:w="990" w:type="dxa"/>
          </w:tcPr>
          <w:p>
            <w:pPr>
              <w:pStyle w:val="TableParagraph"/>
              <w:ind w:left="108" w:right="108"/>
              <w:rPr>
                <w:sz w:val="24"/>
              </w:rPr>
            </w:pPr>
            <w:r>
              <w:rPr>
                <w:spacing w:val="-2"/>
                <w:sz w:val="24"/>
              </w:rPr>
              <w:t>528.10</w:t>
            </w:r>
          </w:p>
        </w:tc>
        <w:tc>
          <w:tcPr>
            <w:tcW w:w="997" w:type="dxa"/>
          </w:tcPr>
          <w:p>
            <w:pPr>
              <w:pStyle w:val="TableParagraph"/>
              <w:ind w:left="105" w:right="105"/>
              <w:rPr>
                <w:sz w:val="24"/>
              </w:rPr>
            </w:pPr>
            <w:r>
              <w:rPr>
                <w:spacing w:val="-2"/>
                <w:sz w:val="24"/>
              </w:rPr>
              <w:t>43.90</w:t>
            </w:r>
          </w:p>
        </w:tc>
        <w:tc>
          <w:tcPr>
            <w:tcW w:w="1043" w:type="dxa"/>
          </w:tcPr>
          <w:p>
            <w:pPr>
              <w:pStyle w:val="TableParagraph"/>
              <w:ind w:left="192"/>
              <w:jc w:val="left"/>
              <w:rPr>
                <w:sz w:val="24"/>
              </w:rPr>
            </w:pPr>
            <w:r>
              <w:rPr>
                <w:spacing w:val="-2"/>
                <w:sz w:val="24"/>
              </w:rPr>
              <w:t>528.05</w:t>
            </w:r>
          </w:p>
        </w:tc>
        <w:tc>
          <w:tcPr>
            <w:tcW w:w="1050" w:type="dxa"/>
          </w:tcPr>
          <w:p>
            <w:pPr>
              <w:pStyle w:val="TableParagraph"/>
              <w:ind w:left="104" w:right="105"/>
              <w:rPr>
                <w:sz w:val="24"/>
              </w:rPr>
            </w:pPr>
            <w:r>
              <w:rPr>
                <w:spacing w:val="-2"/>
                <w:sz w:val="24"/>
              </w:rPr>
              <w:t>43.95</w:t>
            </w:r>
          </w:p>
        </w:tc>
      </w:tr>
      <w:tr>
        <w:trPr>
          <w:trHeight w:val="288" w:hRule="atLeast"/>
        </w:trPr>
        <w:tc>
          <w:tcPr>
            <w:tcW w:w="1474" w:type="dxa"/>
          </w:tcPr>
          <w:p>
            <w:pPr>
              <w:pStyle w:val="TableParagraph"/>
              <w:ind w:left="102" w:right="102"/>
              <w:rPr>
                <w:sz w:val="24"/>
              </w:rPr>
            </w:pPr>
            <w:r>
              <w:rPr>
                <w:sz w:val="24"/>
              </w:rPr>
              <w:t>Hull</w:t>
            </w:r>
            <w:r>
              <w:rPr>
                <w:spacing w:val="-6"/>
                <w:sz w:val="24"/>
              </w:rPr>
              <w:t> </w:t>
            </w:r>
            <w:r>
              <w:rPr>
                <w:spacing w:val="-5"/>
                <w:sz w:val="24"/>
              </w:rPr>
              <w:t>KR</w:t>
            </w:r>
          </w:p>
        </w:tc>
        <w:tc>
          <w:tcPr>
            <w:tcW w:w="1561" w:type="dxa"/>
          </w:tcPr>
          <w:p>
            <w:pPr>
              <w:pStyle w:val="TableParagraph"/>
              <w:ind w:left="107" w:right="107"/>
              <w:rPr>
                <w:sz w:val="24"/>
              </w:rPr>
            </w:pPr>
            <w:r>
              <w:rPr>
                <w:spacing w:val="-5"/>
                <w:sz w:val="24"/>
              </w:rPr>
              <w:t>526</w:t>
            </w:r>
          </w:p>
        </w:tc>
        <w:tc>
          <w:tcPr>
            <w:tcW w:w="990" w:type="dxa"/>
          </w:tcPr>
          <w:p>
            <w:pPr>
              <w:pStyle w:val="TableParagraph"/>
              <w:ind w:left="108" w:right="108"/>
              <w:rPr>
                <w:sz w:val="24"/>
              </w:rPr>
            </w:pPr>
            <w:r>
              <w:rPr>
                <w:spacing w:val="-2"/>
                <w:sz w:val="24"/>
              </w:rPr>
              <w:t>449.15</w:t>
            </w:r>
          </w:p>
        </w:tc>
        <w:tc>
          <w:tcPr>
            <w:tcW w:w="997" w:type="dxa"/>
          </w:tcPr>
          <w:p>
            <w:pPr>
              <w:pStyle w:val="TableParagraph"/>
              <w:ind w:left="105" w:right="105"/>
              <w:rPr>
                <w:sz w:val="24"/>
              </w:rPr>
            </w:pPr>
            <w:r>
              <w:rPr>
                <w:spacing w:val="-2"/>
                <w:sz w:val="24"/>
              </w:rPr>
              <w:t>76.85</w:t>
            </w:r>
          </w:p>
        </w:tc>
        <w:tc>
          <w:tcPr>
            <w:tcW w:w="1043" w:type="dxa"/>
          </w:tcPr>
          <w:p>
            <w:pPr>
              <w:pStyle w:val="TableParagraph"/>
              <w:ind w:left="192"/>
              <w:jc w:val="left"/>
              <w:rPr>
                <w:sz w:val="24"/>
              </w:rPr>
            </w:pPr>
            <w:r>
              <w:rPr>
                <w:spacing w:val="-2"/>
                <w:sz w:val="24"/>
              </w:rPr>
              <w:t>448.29</w:t>
            </w:r>
          </w:p>
        </w:tc>
        <w:tc>
          <w:tcPr>
            <w:tcW w:w="1050" w:type="dxa"/>
          </w:tcPr>
          <w:p>
            <w:pPr>
              <w:pStyle w:val="TableParagraph"/>
              <w:ind w:left="105" w:right="105"/>
              <w:rPr>
                <w:sz w:val="24"/>
              </w:rPr>
            </w:pPr>
            <w:r>
              <w:rPr>
                <w:spacing w:val="-2"/>
                <w:sz w:val="24"/>
              </w:rPr>
              <w:t>77.71</w:t>
            </w:r>
          </w:p>
        </w:tc>
      </w:tr>
      <w:tr>
        <w:trPr>
          <w:trHeight w:val="288" w:hRule="atLeast"/>
        </w:trPr>
        <w:tc>
          <w:tcPr>
            <w:tcW w:w="1474" w:type="dxa"/>
          </w:tcPr>
          <w:p>
            <w:pPr>
              <w:pStyle w:val="TableParagraph"/>
              <w:ind w:left="102" w:right="102"/>
              <w:rPr>
                <w:sz w:val="24"/>
              </w:rPr>
            </w:pPr>
            <w:r>
              <w:rPr>
                <w:spacing w:val="-2"/>
                <w:sz w:val="24"/>
              </w:rPr>
              <w:t>Castleford</w:t>
            </w:r>
          </w:p>
        </w:tc>
        <w:tc>
          <w:tcPr>
            <w:tcW w:w="1561" w:type="dxa"/>
          </w:tcPr>
          <w:p>
            <w:pPr>
              <w:pStyle w:val="TableParagraph"/>
              <w:ind w:left="107" w:right="107"/>
              <w:rPr>
                <w:sz w:val="24"/>
              </w:rPr>
            </w:pPr>
            <w:r>
              <w:rPr>
                <w:spacing w:val="-5"/>
                <w:sz w:val="24"/>
              </w:rPr>
              <w:t>413</w:t>
            </w:r>
          </w:p>
        </w:tc>
        <w:tc>
          <w:tcPr>
            <w:tcW w:w="990" w:type="dxa"/>
          </w:tcPr>
          <w:p>
            <w:pPr>
              <w:pStyle w:val="TableParagraph"/>
              <w:ind w:left="108" w:right="108"/>
              <w:rPr>
                <w:sz w:val="24"/>
              </w:rPr>
            </w:pPr>
            <w:r>
              <w:rPr>
                <w:spacing w:val="-2"/>
                <w:sz w:val="24"/>
              </w:rPr>
              <w:t>411.72</w:t>
            </w:r>
          </w:p>
        </w:tc>
        <w:tc>
          <w:tcPr>
            <w:tcW w:w="997" w:type="dxa"/>
          </w:tcPr>
          <w:p>
            <w:pPr>
              <w:pStyle w:val="TableParagraph"/>
              <w:ind w:left="105" w:right="105"/>
              <w:rPr>
                <w:sz w:val="24"/>
              </w:rPr>
            </w:pPr>
            <w:r>
              <w:rPr>
                <w:spacing w:val="-4"/>
                <w:sz w:val="24"/>
              </w:rPr>
              <w:t>1.28</w:t>
            </w:r>
          </w:p>
        </w:tc>
        <w:tc>
          <w:tcPr>
            <w:tcW w:w="1043" w:type="dxa"/>
          </w:tcPr>
          <w:p>
            <w:pPr>
              <w:pStyle w:val="TableParagraph"/>
              <w:ind w:left="192"/>
              <w:jc w:val="left"/>
              <w:rPr>
                <w:sz w:val="24"/>
              </w:rPr>
            </w:pPr>
            <w:r>
              <w:rPr>
                <w:spacing w:val="-2"/>
                <w:sz w:val="24"/>
              </w:rPr>
              <w:t>404.35</w:t>
            </w:r>
          </w:p>
        </w:tc>
        <w:tc>
          <w:tcPr>
            <w:tcW w:w="1050" w:type="dxa"/>
          </w:tcPr>
          <w:p>
            <w:pPr>
              <w:pStyle w:val="TableParagraph"/>
              <w:ind w:left="104" w:right="105"/>
              <w:rPr>
                <w:sz w:val="24"/>
              </w:rPr>
            </w:pPr>
            <w:r>
              <w:rPr>
                <w:spacing w:val="-4"/>
                <w:sz w:val="24"/>
              </w:rPr>
              <w:t>8.65</w:t>
            </w:r>
          </w:p>
        </w:tc>
      </w:tr>
      <w:tr>
        <w:trPr>
          <w:trHeight w:val="288" w:hRule="atLeast"/>
        </w:trPr>
        <w:tc>
          <w:tcPr>
            <w:tcW w:w="1474" w:type="dxa"/>
          </w:tcPr>
          <w:p>
            <w:pPr>
              <w:pStyle w:val="TableParagraph"/>
              <w:ind w:left="102" w:right="102"/>
              <w:rPr>
                <w:sz w:val="24"/>
              </w:rPr>
            </w:pPr>
            <w:r>
              <w:rPr>
                <w:spacing w:val="-4"/>
                <w:sz w:val="24"/>
              </w:rPr>
              <w:t>Hull</w:t>
            </w:r>
          </w:p>
        </w:tc>
        <w:tc>
          <w:tcPr>
            <w:tcW w:w="1561" w:type="dxa"/>
          </w:tcPr>
          <w:p>
            <w:pPr>
              <w:pStyle w:val="TableParagraph"/>
              <w:ind w:left="107" w:right="107"/>
              <w:rPr>
                <w:sz w:val="24"/>
              </w:rPr>
            </w:pPr>
            <w:r>
              <w:rPr>
                <w:spacing w:val="-5"/>
                <w:sz w:val="24"/>
              </w:rPr>
              <w:t>409</w:t>
            </w:r>
          </w:p>
        </w:tc>
        <w:tc>
          <w:tcPr>
            <w:tcW w:w="990" w:type="dxa"/>
          </w:tcPr>
          <w:p>
            <w:pPr>
              <w:pStyle w:val="TableParagraph"/>
              <w:ind w:left="108" w:right="108"/>
              <w:rPr>
                <w:sz w:val="24"/>
              </w:rPr>
            </w:pPr>
            <w:r>
              <w:rPr>
                <w:spacing w:val="-2"/>
                <w:sz w:val="24"/>
              </w:rPr>
              <w:t>412.10</w:t>
            </w:r>
          </w:p>
        </w:tc>
        <w:tc>
          <w:tcPr>
            <w:tcW w:w="997" w:type="dxa"/>
          </w:tcPr>
          <w:p>
            <w:pPr>
              <w:pStyle w:val="TableParagraph"/>
              <w:ind w:left="105" w:right="105"/>
              <w:rPr>
                <w:sz w:val="24"/>
              </w:rPr>
            </w:pPr>
            <w:r>
              <w:rPr>
                <w:spacing w:val="-2"/>
                <w:sz w:val="24"/>
              </w:rPr>
              <w:t>-</w:t>
            </w:r>
            <w:r>
              <w:rPr>
                <w:spacing w:val="-4"/>
                <w:sz w:val="24"/>
              </w:rPr>
              <w:t>3.10</w:t>
            </w:r>
          </w:p>
        </w:tc>
        <w:tc>
          <w:tcPr>
            <w:tcW w:w="1043" w:type="dxa"/>
          </w:tcPr>
          <w:p>
            <w:pPr>
              <w:pStyle w:val="TableParagraph"/>
              <w:ind w:left="192"/>
              <w:jc w:val="left"/>
              <w:rPr>
                <w:sz w:val="24"/>
              </w:rPr>
            </w:pPr>
            <w:r>
              <w:rPr>
                <w:spacing w:val="-2"/>
                <w:sz w:val="24"/>
              </w:rPr>
              <w:t>410.99</w:t>
            </w:r>
          </w:p>
        </w:tc>
        <w:tc>
          <w:tcPr>
            <w:tcW w:w="1050" w:type="dxa"/>
          </w:tcPr>
          <w:p>
            <w:pPr>
              <w:pStyle w:val="TableParagraph"/>
              <w:ind w:left="105" w:right="105"/>
              <w:rPr>
                <w:sz w:val="24"/>
              </w:rPr>
            </w:pPr>
            <w:r>
              <w:rPr>
                <w:spacing w:val="-2"/>
                <w:sz w:val="24"/>
              </w:rPr>
              <w:t>-</w:t>
            </w:r>
            <w:r>
              <w:rPr>
                <w:spacing w:val="-4"/>
                <w:sz w:val="24"/>
              </w:rPr>
              <w:t>1.99</w:t>
            </w:r>
          </w:p>
        </w:tc>
      </w:tr>
      <w:tr>
        <w:trPr>
          <w:trHeight w:val="288" w:hRule="atLeast"/>
        </w:trPr>
        <w:tc>
          <w:tcPr>
            <w:tcW w:w="1474" w:type="dxa"/>
          </w:tcPr>
          <w:p>
            <w:pPr>
              <w:pStyle w:val="TableParagraph"/>
              <w:ind w:left="102" w:right="102"/>
              <w:rPr>
                <w:sz w:val="24"/>
              </w:rPr>
            </w:pPr>
            <w:r>
              <w:rPr>
                <w:spacing w:val="-2"/>
                <w:sz w:val="24"/>
              </w:rPr>
              <w:t>Huddersfield</w:t>
            </w:r>
          </w:p>
        </w:tc>
        <w:tc>
          <w:tcPr>
            <w:tcW w:w="1561" w:type="dxa"/>
          </w:tcPr>
          <w:p>
            <w:pPr>
              <w:pStyle w:val="TableParagraph"/>
              <w:ind w:left="107" w:right="107"/>
              <w:rPr>
                <w:sz w:val="24"/>
              </w:rPr>
            </w:pPr>
            <w:r>
              <w:rPr>
                <w:spacing w:val="-5"/>
                <w:sz w:val="24"/>
              </w:rPr>
              <w:t>460</w:t>
            </w:r>
          </w:p>
        </w:tc>
        <w:tc>
          <w:tcPr>
            <w:tcW w:w="990" w:type="dxa"/>
          </w:tcPr>
          <w:p>
            <w:pPr>
              <w:pStyle w:val="TableParagraph"/>
              <w:ind w:left="108" w:right="108"/>
              <w:rPr>
                <w:sz w:val="24"/>
              </w:rPr>
            </w:pPr>
            <w:r>
              <w:rPr>
                <w:spacing w:val="-2"/>
                <w:sz w:val="24"/>
              </w:rPr>
              <w:t>452.61</w:t>
            </w:r>
          </w:p>
        </w:tc>
        <w:tc>
          <w:tcPr>
            <w:tcW w:w="997" w:type="dxa"/>
          </w:tcPr>
          <w:p>
            <w:pPr>
              <w:pStyle w:val="TableParagraph"/>
              <w:ind w:left="105" w:right="105"/>
              <w:rPr>
                <w:sz w:val="24"/>
              </w:rPr>
            </w:pPr>
            <w:r>
              <w:rPr>
                <w:spacing w:val="-4"/>
                <w:sz w:val="24"/>
              </w:rPr>
              <w:t>7.39</w:t>
            </w:r>
          </w:p>
        </w:tc>
        <w:tc>
          <w:tcPr>
            <w:tcW w:w="1043" w:type="dxa"/>
          </w:tcPr>
          <w:p>
            <w:pPr>
              <w:pStyle w:val="TableParagraph"/>
              <w:ind w:left="192"/>
              <w:jc w:val="left"/>
              <w:rPr>
                <w:sz w:val="24"/>
              </w:rPr>
            </w:pPr>
            <w:r>
              <w:rPr>
                <w:spacing w:val="-2"/>
                <w:sz w:val="24"/>
              </w:rPr>
              <w:t>456.10</w:t>
            </w:r>
          </w:p>
        </w:tc>
        <w:tc>
          <w:tcPr>
            <w:tcW w:w="1050" w:type="dxa"/>
          </w:tcPr>
          <w:p>
            <w:pPr>
              <w:pStyle w:val="TableParagraph"/>
              <w:ind w:left="105" w:right="105"/>
              <w:rPr>
                <w:sz w:val="24"/>
              </w:rPr>
            </w:pPr>
            <w:r>
              <w:rPr>
                <w:spacing w:val="-4"/>
                <w:sz w:val="24"/>
              </w:rPr>
              <w:t>3.90</w:t>
            </w:r>
          </w:p>
        </w:tc>
      </w:tr>
      <w:tr>
        <w:trPr>
          <w:trHeight w:val="288" w:hRule="atLeast"/>
        </w:trPr>
        <w:tc>
          <w:tcPr>
            <w:tcW w:w="1474" w:type="dxa"/>
          </w:tcPr>
          <w:p>
            <w:pPr>
              <w:pStyle w:val="TableParagraph"/>
              <w:ind w:left="102" w:right="102"/>
              <w:rPr>
                <w:sz w:val="24"/>
              </w:rPr>
            </w:pPr>
            <w:r>
              <w:rPr>
                <w:spacing w:val="-2"/>
                <w:sz w:val="24"/>
              </w:rPr>
              <w:t>Wakefield</w:t>
            </w:r>
          </w:p>
        </w:tc>
        <w:tc>
          <w:tcPr>
            <w:tcW w:w="1561" w:type="dxa"/>
          </w:tcPr>
          <w:p>
            <w:pPr>
              <w:pStyle w:val="TableParagraph"/>
              <w:ind w:left="107" w:right="107"/>
              <w:rPr>
                <w:sz w:val="24"/>
              </w:rPr>
            </w:pPr>
            <w:r>
              <w:rPr>
                <w:spacing w:val="-5"/>
                <w:sz w:val="24"/>
              </w:rPr>
              <w:t>482</w:t>
            </w:r>
          </w:p>
        </w:tc>
        <w:tc>
          <w:tcPr>
            <w:tcW w:w="990" w:type="dxa"/>
          </w:tcPr>
          <w:p>
            <w:pPr>
              <w:pStyle w:val="TableParagraph"/>
              <w:ind w:left="108" w:right="108"/>
              <w:rPr>
                <w:sz w:val="24"/>
              </w:rPr>
            </w:pPr>
            <w:r>
              <w:rPr>
                <w:spacing w:val="-2"/>
                <w:sz w:val="24"/>
              </w:rPr>
              <w:t>447.81</w:t>
            </w:r>
          </w:p>
        </w:tc>
        <w:tc>
          <w:tcPr>
            <w:tcW w:w="997" w:type="dxa"/>
          </w:tcPr>
          <w:p>
            <w:pPr>
              <w:pStyle w:val="TableParagraph"/>
              <w:ind w:left="105" w:right="105"/>
              <w:rPr>
                <w:sz w:val="24"/>
              </w:rPr>
            </w:pPr>
            <w:r>
              <w:rPr>
                <w:spacing w:val="-2"/>
                <w:sz w:val="24"/>
              </w:rPr>
              <w:t>34.19</w:t>
            </w:r>
          </w:p>
        </w:tc>
        <w:tc>
          <w:tcPr>
            <w:tcW w:w="1043" w:type="dxa"/>
          </w:tcPr>
          <w:p>
            <w:pPr>
              <w:pStyle w:val="TableParagraph"/>
              <w:ind w:left="192"/>
              <w:jc w:val="left"/>
              <w:rPr>
                <w:sz w:val="24"/>
              </w:rPr>
            </w:pPr>
            <w:r>
              <w:rPr>
                <w:spacing w:val="-2"/>
                <w:sz w:val="24"/>
              </w:rPr>
              <w:t>459.56</w:t>
            </w:r>
          </w:p>
        </w:tc>
        <w:tc>
          <w:tcPr>
            <w:tcW w:w="1050" w:type="dxa"/>
          </w:tcPr>
          <w:p>
            <w:pPr>
              <w:pStyle w:val="TableParagraph"/>
              <w:ind w:left="105" w:right="105"/>
              <w:rPr>
                <w:sz w:val="24"/>
              </w:rPr>
            </w:pPr>
            <w:r>
              <w:rPr>
                <w:spacing w:val="-2"/>
                <w:sz w:val="24"/>
              </w:rPr>
              <w:t>22.44</w:t>
            </w:r>
          </w:p>
        </w:tc>
      </w:tr>
      <w:tr>
        <w:trPr>
          <w:trHeight w:val="288" w:hRule="atLeast"/>
        </w:trPr>
        <w:tc>
          <w:tcPr>
            <w:tcW w:w="1474" w:type="dxa"/>
          </w:tcPr>
          <w:p>
            <w:pPr>
              <w:pStyle w:val="TableParagraph"/>
              <w:ind w:left="102" w:right="102"/>
              <w:rPr>
                <w:sz w:val="24"/>
              </w:rPr>
            </w:pPr>
            <w:r>
              <w:rPr>
                <w:spacing w:val="-2"/>
                <w:sz w:val="24"/>
              </w:rPr>
              <w:t>Salford</w:t>
            </w:r>
          </w:p>
        </w:tc>
        <w:tc>
          <w:tcPr>
            <w:tcW w:w="1561" w:type="dxa"/>
          </w:tcPr>
          <w:p>
            <w:pPr>
              <w:pStyle w:val="TableParagraph"/>
              <w:ind w:left="107" w:right="107"/>
              <w:rPr>
                <w:sz w:val="24"/>
              </w:rPr>
            </w:pPr>
            <w:r>
              <w:rPr>
                <w:spacing w:val="-5"/>
                <w:sz w:val="24"/>
              </w:rPr>
              <w:t>402</w:t>
            </w:r>
          </w:p>
        </w:tc>
        <w:tc>
          <w:tcPr>
            <w:tcW w:w="990" w:type="dxa"/>
          </w:tcPr>
          <w:p>
            <w:pPr>
              <w:pStyle w:val="TableParagraph"/>
              <w:ind w:left="108" w:right="108"/>
              <w:rPr>
                <w:sz w:val="24"/>
              </w:rPr>
            </w:pPr>
            <w:r>
              <w:rPr>
                <w:spacing w:val="-2"/>
                <w:sz w:val="24"/>
              </w:rPr>
              <w:t>415.22</w:t>
            </w:r>
          </w:p>
        </w:tc>
        <w:tc>
          <w:tcPr>
            <w:tcW w:w="997" w:type="dxa"/>
          </w:tcPr>
          <w:p>
            <w:pPr>
              <w:pStyle w:val="TableParagraph"/>
              <w:ind w:left="105" w:right="105"/>
              <w:rPr>
                <w:sz w:val="24"/>
              </w:rPr>
            </w:pPr>
            <w:r>
              <w:rPr>
                <w:spacing w:val="-2"/>
                <w:sz w:val="24"/>
              </w:rPr>
              <w:t>-13.22</w:t>
            </w:r>
          </w:p>
        </w:tc>
        <w:tc>
          <w:tcPr>
            <w:tcW w:w="1043" w:type="dxa"/>
          </w:tcPr>
          <w:p>
            <w:pPr>
              <w:pStyle w:val="TableParagraph"/>
              <w:ind w:left="192"/>
              <w:jc w:val="left"/>
              <w:rPr>
                <w:sz w:val="24"/>
              </w:rPr>
            </w:pPr>
            <w:r>
              <w:rPr>
                <w:spacing w:val="-2"/>
                <w:sz w:val="24"/>
              </w:rPr>
              <w:t>416.78</w:t>
            </w:r>
          </w:p>
        </w:tc>
        <w:tc>
          <w:tcPr>
            <w:tcW w:w="1050" w:type="dxa"/>
          </w:tcPr>
          <w:p>
            <w:pPr>
              <w:pStyle w:val="TableParagraph"/>
              <w:ind w:left="105" w:right="105"/>
              <w:rPr>
                <w:sz w:val="24"/>
              </w:rPr>
            </w:pPr>
            <w:r>
              <w:rPr>
                <w:spacing w:val="-2"/>
                <w:sz w:val="24"/>
              </w:rPr>
              <w:t>-14.78</w:t>
            </w:r>
          </w:p>
        </w:tc>
      </w:tr>
      <w:tr>
        <w:trPr>
          <w:trHeight w:val="306" w:hRule="atLeast"/>
        </w:trPr>
        <w:tc>
          <w:tcPr>
            <w:tcW w:w="1474" w:type="dxa"/>
            <w:tcBorders>
              <w:bottom w:val="single" w:sz="4" w:space="0" w:color="000000"/>
            </w:tcBorders>
          </w:tcPr>
          <w:p>
            <w:pPr>
              <w:pStyle w:val="TableParagraph"/>
              <w:spacing w:line="273" w:lineRule="exact"/>
              <w:ind w:left="102" w:right="102"/>
              <w:rPr>
                <w:sz w:val="24"/>
              </w:rPr>
            </w:pPr>
            <w:r>
              <w:rPr>
                <w:spacing w:val="-2"/>
                <w:sz w:val="24"/>
              </w:rPr>
              <w:t>Leigh</w:t>
            </w:r>
          </w:p>
        </w:tc>
        <w:tc>
          <w:tcPr>
            <w:tcW w:w="1561" w:type="dxa"/>
            <w:tcBorders>
              <w:bottom w:val="single" w:sz="4" w:space="0" w:color="000000"/>
            </w:tcBorders>
          </w:tcPr>
          <w:p>
            <w:pPr>
              <w:pStyle w:val="TableParagraph"/>
              <w:spacing w:line="273" w:lineRule="exact"/>
              <w:ind w:left="107" w:right="107"/>
              <w:rPr>
                <w:sz w:val="24"/>
              </w:rPr>
            </w:pPr>
            <w:r>
              <w:rPr>
                <w:spacing w:val="-5"/>
                <w:sz w:val="24"/>
              </w:rPr>
              <w:t>356</w:t>
            </w:r>
          </w:p>
        </w:tc>
        <w:tc>
          <w:tcPr>
            <w:tcW w:w="990" w:type="dxa"/>
            <w:tcBorders>
              <w:bottom w:val="single" w:sz="4" w:space="0" w:color="000000"/>
            </w:tcBorders>
          </w:tcPr>
          <w:p>
            <w:pPr>
              <w:pStyle w:val="TableParagraph"/>
              <w:spacing w:line="273" w:lineRule="exact"/>
              <w:ind w:left="108" w:right="108"/>
              <w:rPr>
                <w:sz w:val="24"/>
              </w:rPr>
            </w:pPr>
            <w:r>
              <w:rPr>
                <w:spacing w:val="-2"/>
                <w:sz w:val="24"/>
              </w:rPr>
              <w:t>387.10</w:t>
            </w:r>
          </w:p>
        </w:tc>
        <w:tc>
          <w:tcPr>
            <w:tcW w:w="997" w:type="dxa"/>
            <w:tcBorders>
              <w:bottom w:val="single" w:sz="4" w:space="0" w:color="000000"/>
            </w:tcBorders>
          </w:tcPr>
          <w:p>
            <w:pPr>
              <w:pStyle w:val="TableParagraph"/>
              <w:spacing w:line="273" w:lineRule="exact"/>
              <w:ind w:left="105" w:right="105"/>
              <w:rPr>
                <w:sz w:val="24"/>
              </w:rPr>
            </w:pPr>
            <w:r>
              <w:rPr>
                <w:spacing w:val="-2"/>
                <w:sz w:val="24"/>
              </w:rPr>
              <w:t>-31.10</w:t>
            </w:r>
          </w:p>
        </w:tc>
        <w:tc>
          <w:tcPr>
            <w:tcW w:w="1043" w:type="dxa"/>
            <w:tcBorders>
              <w:bottom w:val="single" w:sz="4" w:space="0" w:color="000000"/>
            </w:tcBorders>
          </w:tcPr>
          <w:p>
            <w:pPr>
              <w:pStyle w:val="TableParagraph"/>
              <w:spacing w:line="273" w:lineRule="exact"/>
              <w:ind w:left="192"/>
              <w:jc w:val="left"/>
              <w:rPr>
                <w:sz w:val="24"/>
              </w:rPr>
            </w:pPr>
            <w:r>
              <w:rPr>
                <w:spacing w:val="-2"/>
                <w:sz w:val="24"/>
              </w:rPr>
              <w:t>378.50</w:t>
            </w:r>
          </w:p>
        </w:tc>
        <w:tc>
          <w:tcPr>
            <w:tcW w:w="1050" w:type="dxa"/>
            <w:tcBorders>
              <w:bottom w:val="single" w:sz="4" w:space="0" w:color="000000"/>
            </w:tcBorders>
          </w:tcPr>
          <w:p>
            <w:pPr>
              <w:pStyle w:val="TableParagraph"/>
              <w:spacing w:line="273" w:lineRule="exact"/>
              <w:ind w:left="105" w:right="105"/>
              <w:rPr>
                <w:sz w:val="24"/>
              </w:rPr>
            </w:pPr>
            <w:r>
              <w:rPr>
                <w:spacing w:val="-2"/>
                <w:sz w:val="24"/>
              </w:rPr>
              <w:t>-22.50</w:t>
            </w:r>
          </w:p>
        </w:tc>
      </w:tr>
    </w:tbl>
    <w:p>
      <w:pPr>
        <w:pStyle w:val="BodyText"/>
        <w:rPr>
          <w:sz w:val="20"/>
        </w:rPr>
      </w:pPr>
    </w:p>
    <w:p>
      <w:pPr>
        <w:pStyle w:val="BodyText"/>
        <w:spacing w:before="8"/>
        <w:rPr>
          <w:sz w:val="25"/>
        </w:rPr>
      </w:pPr>
    </w:p>
    <w:p>
      <w:pPr>
        <w:pStyle w:val="Heading3"/>
        <w:numPr>
          <w:ilvl w:val="2"/>
          <w:numId w:val="24"/>
        </w:numPr>
        <w:tabs>
          <w:tab w:pos="1471" w:val="left" w:leader="none"/>
          <w:tab w:pos="1472" w:val="left" w:leader="none"/>
        </w:tabs>
        <w:spacing w:line="240" w:lineRule="auto" w:before="114" w:after="0"/>
        <w:ind w:left="1471" w:right="0" w:hanging="862"/>
        <w:jc w:val="left"/>
      </w:pPr>
      <w:bookmarkStart w:name="6.3.3 Evaluation of Player Performances" w:id="355"/>
      <w:bookmarkEnd w:id="355"/>
      <w:r>
        <w:rPr>
          <w:b w:val="0"/>
        </w:rPr>
      </w:r>
      <w:bookmarkStart w:name="_bookmark211" w:id="356"/>
      <w:bookmarkEnd w:id="356"/>
      <w:r>
        <w:rPr/>
        <w:t>E</w:t>
      </w:r>
      <w:r>
        <w:rPr/>
        <w:t>valuation</w:t>
      </w:r>
      <w:r>
        <w:rPr>
          <w:spacing w:val="14"/>
        </w:rPr>
        <w:t> </w:t>
      </w:r>
      <w:r>
        <w:rPr/>
        <w:t>of</w:t>
      </w:r>
      <w:r>
        <w:rPr>
          <w:spacing w:val="14"/>
        </w:rPr>
        <w:t> </w:t>
      </w:r>
      <w:r>
        <w:rPr/>
        <w:t>Player</w:t>
      </w:r>
      <w:r>
        <w:rPr>
          <w:spacing w:val="15"/>
        </w:rPr>
        <w:t> </w:t>
      </w:r>
      <w:r>
        <w:rPr>
          <w:spacing w:val="-2"/>
        </w:rPr>
        <w:t>Performances</w:t>
      </w:r>
    </w:p>
    <w:p>
      <w:pPr>
        <w:pStyle w:val="BodyText"/>
        <w:spacing w:line="312" w:lineRule="auto" w:before="236"/>
        <w:ind w:left="610" w:right="389"/>
      </w:pPr>
      <w:r>
        <w:rPr/>
        <w:t>To</w:t>
      </w:r>
      <w:r>
        <w:rPr>
          <w:spacing w:val="-3"/>
        </w:rPr>
        <w:t> </w:t>
      </w:r>
      <w:r>
        <w:rPr/>
        <w:t>evaluate</w:t>
      </w:r>
      <w:r>
        <w:rPr>
          <w:spacing w:val="-3"/>
        </w:rPr>
        <w:t> </w:t>
      </w:r>
      <w:r>
        <w:rPr/>
        <w:t>player</w:t>
      </w:r>
      <w:r>
        <w:rPr>
          <w:spacing w:val="-3"/>
        </w:rPr>
        <w:t> </w:t>
      </w:r>
      <w:r>
        <w:rPr/>
        <w:t>performances,</w:t>
      </w:r>
      <w:r>
        <w:rPr>
          <w:spacing w:val="-2"/>
        </w:rPr>
        <w:t> </w:t>
      </w:r>
      <w:r>
        <w:rPr/>
        <w:t>a</w:t>
      </w:r>
      <w:r>
        <w:rPr>
          <w:spacing w:val="-3"/>
        </w:rPr>
        <w:t> </w:t>
      </w:r>
      <w:r>
        <w:rPr/>
        <w:t>novel</w:t>
      </w:r>
      <w:r>
        <w:rPr>
          <w:spacing w:val="-3"/>
        </w:rPr>
        <w:t> </w:t>
      </w:r>
      <w:r>
        <w:rPr/>
        <w:t>actual</w:t>
      </w:r>
      <w:r>
        <w:rPr>
          <w:spacing w:val="-3"/>
        </w:rPr>
        <w:t> </w:t>
      </w:r>
      <w:r>
        <w:rPr/>
        <w:t>vs</w:t>
      </w:r>
      <w:r>
        <w:rPr>
          <w:spacing w:val="-3"/>
        </w:rPr>
        <w:t> </w:t>
      </w:r>
      <w:r>
        <w:rPr/>
        <w:t>expected</w:t>
      </w:r>
      <w:r>
        <w:rPr>
          <w:spacing w:val="-3"/>
        </w:rPr>
        <w:t> </w:t>
      </w:r>
      <w:r>
        <w:rPr/>
        <w:t>(AE)</w:t>
      </w:r>
      <w:r>
        <w:rPr>
          <w:spacing w:val="-3"/>
        </w:rPr>
        <w:t> </w:t>
      </w:r>
      <w:r>
        <w:rPr/>
        <w:t>player</w:t>
      </w:r>
      <w:r>
        <w:rPr>
          <w:spacing w:val="-3"/>
        </w:rPr>
        <w:t> </w:t>
      </w:r>
      <w:r>
        <w:rPr/>
        <w:t>rating</w:t>
      </w:r>
      <w:r>
        <w:rPr>
          <w:spacing w:val="-3"/>
        </w:rPr>
        <w:t> </w:t>
      </w:r>
      <w:r>
        <w:rPr/>
        <w:t>was</w:t>
      </w:r>
      <w:r>
        <w:rPr>
          <w:spacing w:val="-3"/>
        </w:rPr>
        <w:t> </w:t>
      </w:r>
      <w:r>
        <w:rPr/>
        <w:t>pro- posed</w:t>
      </w:r>
      <w:r>
        <w:rPr>
          <w:spacing w:val="38"/>
        </w:rPr>
        <w:t> </w:t>
      </w:r>
      <w:r>
        <w:rPr/>
        <w:t>(Equation</w:t>
      </w:r>
      <w:hyperlink w:history="true" w:anchor="_bookmark196">
        <w:r>
          <w:rPr>
            <w:color w:val="0000FF"/>
          </w:rPr>
          <w:t>6.12</w:t>
        </w:r>
        <w:r>
          <w:rPr/>
          <w:t>).</w:t>
        </w:r>
      </w:hyperlink>
      <w:r>
        <w:rPr>
          <w:spacing w:val="80"/>
        </w:rPr>
        <w:t> </w:t>
      </w:r>
      <w:r>
        <w:rPr/>
        <w:t>The</w:t>
      </w:r>
      <w:r>
        <w:rPr>
          <w:spacing w:val="38"/>
        </w:rPr>
        <w:t> </w:t>
      </w:r>
      <w:r>
        <w:rPr/>
        <w:t>AE</w:t>
      </w:r>
      <w:r>
        <w:rPr>
          <w:spacing w:val="38"/>
        </w:rPr>
        <w:t> </w:t>
      </w:r>
      <w:r>
        <w:rPr/>
        <w:t>ratings</w:t>
      </w:r>
      <w:r>
        <w:rPr>
          <w:spacing w:val="38"/>
        </w:rPr>
        <w:t> </w:t>
      </w:r>
      <w:r>
        <w:rPr/>
        <w:t>represent</w:t>
      </w:r>
      <w:r>
        <w:rPr>
          <w:spacing w:val="38"/>
        </w:rPr>
        <w:t> </w:t>
      </w:r>
      <w:r>
        <w:rPr/>
        <w:t>the</w:t>
      </w:r>
      <w:r>
        <w:rPr>
          <w:spacing w:val="38"/>
        </w:rPr>
        <w:t> </w:t>
      </w:r>
      <w:r>
        <w:rPr/>
        <w:t>average</w:t>
      </w:r>
      <w:r>
        <w:rPr>
          <w:spacing w:val="38"/>
        </w:rPr>
        <w:t> </w:t>
      </w:r>
      <w:r>
        <w:rPr/>
        <w:t>points</w:t>
      </w:r>
      <w:r>
        <w:rPr>
          <w:spacing w:val="38"/>
        </w:rPr>
        <w:t> </w:t>
      </w:r>
      <w:r>
        <w:rPr/>
        <w:t>contribution</w:t>
      </w:r>
      <w:r>
        <w:rPr>
          <w:spacing w:val="38"/>
        </w:rPr>
        <w:t> </w:t>
      </w:r>
      <w:r>
        <w:rPr/>
        <w:t>per match</w:t>
      </w:r>
      <w:r>
        <w:rPr>
          <w:spacing w:val="23"/>
        </w:rPr>
        <w:t> </w:t>
      </w:r>
      <w:r>
        <w:rPr/>
        <w:t>for</w:t>
      </w:r>
      <w:r>
        <w:rPr>
          <w:spacing w:val="23"/>
        </w:rPr>
        <w:t> </w:t>
      </w:r>
      <w:r>
        <w:rPr/>
        <w:t>a</w:t>
      </w:r>
      <w:r>
        <w:rPr>
          <w:spacing w:val="23"/>
        </w:rPr>
        <w:t> </w:t>
      </w:r>
      <w:r>
        <w:rPr/>
        <w:t>player,</w:t>
      </w:r>
      <w:r>
        <w:rPr>
          <w:spacing w:val="28"/>
        </w:rPr>
        <w:t> </w:t>
      </w:r>
      <w:r>
        <w:rPr/>
        <w:t>above</w:t>
      </w:r>
      <w:r>
        <w:rPr>
          <w:spacing w:val="23"/>
        </w:rPr>
        <w:t> </w:t>
      </w:r>
      <w:r>
        <w:rPr/>
        <w:t>or</w:t>
      </w:r>
      <w:r>
        <w:rPr>
          <w:spacing w:val="23"/>
        </w:rPr>
        <w:t> </w:t>
      </w:r>
      <w:r>
        <w:rPr/>
        <w:t>below</w:t>
      </w:r>
      <w:r>
        <w:rPr>
          <w:spacing w:val="23"/>
        </w:rPr>
        <w:t> </w:t>
      </w:r>
      <w:r>
        <w:rPr/>
        <w:t>the</w:t>
      </w:r>
      <w:r>
        <w:rPr>
          <w:spacing w:val="23"/>
        </w:rPr>
        <w:t> </w:t>
      </w:r>
      <w:r>
        <w:rPr/>
        <w:t>expected</w:t>
      </w:r>
      <w:r>
        <w:rPr>
          <w:spacing w:val="23"/>
        </w:rPr>
        <w:t> </w:t>
      </w:r>
      <w:r>
        <w:rPr/>
        <w:t>points</w:t>
      </w:r>
      <w:r>
        <w:rPr>
          <w:spacing w:val="23"/>
        </w:rPr>
        <w:t> </w:t>
      </w:r>
      <w:r>
        <w:rPr/>
        <w:t>gained.</w:t>
      </w:r>
      <w:r>
        <w:rPr>
          <w:spacing w:val="80"/>
        </w:rPr>
        <w:t> </w:t>
      </w:r>
      <w:r>
        <w:rPr/>
        <w:t>Table</w:t>
      </w:r>
      <w:hyperlink w:history="true" w:anchor="_bookmark212">
        <w:r>
          <w:rPr>
            <w:color w:val="0000FF"/>
          </w:rPr>
          <w:t>6.7</w:t>
        </w:r>
      </w:hyperlink>
      <w:r>
        <w:rPr/>
        <w:t>rates</w:t>
      </w:r>
      <w:r>
        <w:rPr>
          <w:spacing w:val="23"/>
        </w:rPr>
        <w:t> </w:t>
      </w:r>
      <w:r>
        <w:rPr/>
        <w:t>the</w:t>
      </w:r>
      <w:r>
        <w:rPr>
          <w:spacing w:val="23"/>
        </w:rPr>
        <w:t> </w:t>
      </w:r>
      <w:r>
        <w:rPr/>
        <w:t>top 20</w:t>
      </w:r>
      <w:r>
        <w:rPr>
          <w:spacing w:val="-2"/>
        </w:rPr>
        <w:t> </w:t>
      </w:r>
      <w:r>
        <w:rPr/>
        <w:t>players</w:t>
      </w:r>
      <w:r>
        <w:rPr>
          <w:spacing w:val="-2"/>
        </w:rPr>
        <w:t> </w:t>
      </w:r>
      <w:r>
        <w:rPr/>
        <w:t>in</w:t>
      </w:r>
      <w:r>
        <w:rPr>
          <w:spacing w:val="-2"/>
        </w:rPr>
        <w:t> </w:t>
      </w:r>
      <w:r>
        <w:rPr/>
        <w:t>Super</w:t>
      </w:r>
      <w:r>
        <w:rPr>
          <w:spacing w:val="-2"/>
        </w:rPr>
        <w:t> </w:t>
      </w:r>
      <w:r>
        <w:rPr/>
        <w:t>League</w:t>
      </w:r>
      <w:r>
        <w:rPr>
          <w:spacing w:val="-2"/>
        </w:rPr>
        <w:t> </w:t>
      </w:r>
      <w:r>
        <w:rPr/>
        <w:t>2021. The</w:t>
      </w:r>
      <w:r>
        <w:rPr>
          <w:spacing w:val="-2"/>
        </w:rPr>
        <w:t> </w:t>
      </w:r>
      <w:r>
        <w:rPr/>
        <w:t>same</w:t>
      </w:r>
      <w:r>
        <w:rPr>
          <w:spacing w:val="-2"/>
        </w:rPr>
        <w:t> </w:t>
      </w:r>
      <w:r>
        <w:rPr/>
        <w:t>reference</w:t>
      </w:r>
      <w:r>
        <w:rPr>
          <w:spacing w:val="-2"/>
        </w:rPr>
        <w:t> </w:t>
      </w:r>
      <w:r>
        <w:rPr/>
        <w:t>statistics</w:t>
      </w:r>
      <w:r>
        <w:rPr>
          <w:spacing w:val="-2"/>
        </w:rPr>
        <w:t> </w:t>
      </w:r>
      <w:r>
        <w:rPr/>
        <w:t>are</w:t>
      </w:r>
      <w:r>
        <w:rPr>
          <w:spacing w:val="-2"/>
        </w:rPr>
        <w:t> </w:t>
      </w:r>
      <w:r>
        <w:rPr/>
        <w:t>provided</w:t>
      </w:r>
      <w:r>
        <w:rPr>
          <w:spacing w:val="-2"/>
        </w:rPr>
        <w:t> </w:t>
      </w:r>
      <w:r>
        <w:rPr/>
        <w:t>as</w:t>
      </w:r>
      <w:r>
        <w:rPr>
          <w:spacing w:val="-2"/>
        </w:rPr>
        <w:t> </w:t>
      </w:r>
      <w:r>
        <w:rPr/>
        <w:t>in</w:t>
      </w:r>
      <w:r>
        <w:rPr>
          <w:spacing w:val="-2"/>
        </w:rPr>
        <w:t> </w:t>
      </w:r>
      <w:r>
        <w:rPr/>
        <w:t>Chap- ter</w:t>
      </w:r>
      <w:r>
        <w:rPr>
          <w:color w:val="0000FF"/>
        </w:rPr>
        <w:t>4</w:t>
      </w:r>
      <w:r>
        <w:rPr/>
        <w:t>(tries, try assists, metres gained and goals scored).</w:t>
      </w:r>
      <w:r>
        <w:rPr>
          <w:spacing w:val="40"/>
        </w:rPr>
        <w:t> </w:t>
      </w:r>
      <w:r>
        <w:rPr/>
        <w:t>A wider variety of positions are included in the AE ratings compared to the action impact ratings in Chapter</w:t>
      </w:r>
      <w:r>
        <w:rPr>
          <w:color w:val="0000FF"/>
        </w:rPr>
        <w:t>4</w:t>
      </w:r>
      <w:hyperlink w:history="true" w:anchor="_bookmark92">
        <w:r>
          <w:rPr/>
          <w:t>,</w:t>
        </w:r>
      </w:hyperlink>
      <w:r>
        <w:rPr/>
        <w:t> highlight- ing</w:t>
      </w:r>
      <w:r>
        <w:rPr>
          <w:spacing w:val="-6"/>
        </w:rPr>
        <w:t> </w:t>
      </w:r>
      <w:r>
        <w:rPr/>
        <w:t>the</w:t>
      </w:r>
      <w:r>
        <w:rPr>
          <w:spacing w:val="-6"/>
        </w:rPr>
        <w:t> </w:t>
      </w:r>
      <w:r>
        <w:rPr/>
        <w:t>benefit</w:t>
      </w:r>
      <w:r>
        <w:rPr>
          <w:spacing w:val="-6"/>
        </w:rPr>
        <w:t> </w:t>
      </w:r>
      <w:r>
        <w:rPr/>
        <w:t>of</w:t>
      </w:r>
      <w:r>
        <w:rPr>
          <w:spacing w:val="-6"/>
        </w:rPr>
        <w:t> </w:t>
      </w:r>
      <w:r>
        <w:rPr/>
        <w:t>valuing</w:t>
      </w:r>
      <w:r>
        <w:rPr>
          <w:spacing w:val="-6"/>
        </w:rPr>
        <w:t> </w:t>
      </w:r>
      <w:r>
        <w:rPr/>
        <w:t>how</w:t>
      </w:r>
      <w:r>
        <w:rPr>
          <w:spacing w:val="-6"/>
        </w:rPr>
        <w:t> </w:t>
      </w:r>
      <w:r>
        <w:rPr/>
        <w:t>well</w:t>
      </w:r>
      <w:r>
        <w:rPr>
          <w:spacing w:val="-6"/>
        </w:rPr>
        <w:t> </w:t>
      </w:r>
      <w:r>
        <w:rPr/>
        <w:t>an</w:t>
      </w:r>
      <w:r>
        <w:rPr>
          <w:spacing w:val="-6"/>
        </w:rPr>
        <w:t> </w:t>
      </w:r>
      <w:r>
        <w:rPr/>
        <w:t>action</w:t>
      </w:r>
      <w:r>
        <w:rPr>
          <w:spacing w:val="-6"/>
        </w:rPr>
        <w:t> </w:t>
      </w:r>
      <w:r>
        <w:rPr/>
        <w:t>was</w:t>
      </w:r>
      <w:r>
        <w:rPr>
          <w:spacing w:val="-6"/>
        </w:rPr>
        <w:t> </w:t>
      </w:r>
      <w:r>
        <w:rPr/>
        <w:t>performed,</w:t>
      </w:r>
      <w:r>
        <w:rPr>
          <w:spacing w:val="-6"/>
        </w:rPr>
        <w:t> </w:t>
      </w:r>
      <w:r>
        <w:rPr/>
        <w:t>rather</w:t>
      </w:r>
      <w:r>
        <w:rPr>
          <w:spacing w:val="-6"/>
        </w:rPr>
        <w:t> </w:t>
      </w:r>
      <w:r>
        <w:rPr/>
        <w:t>than</w:t>
      </w:r>
      <w:r>
        <w:rPr>
          <w:spacing w:val="-6"/>
        </w:rPr>
        <w:t> </w:t>
      </w:r>
      <w:r>
        <w:rPr/>
        <w:t>valuing</w:t>
      </w:r>
      <w:r>
        <w:rPr>
          <w:spacing w:val="-6"/>
        </w:rPr>
        <w:t> </w:t>
      </w:r>
      <w:r>
        <w:rPr/>
        <w:t>a</w:t>
      </w:r>
      <w:r>
        <w:rPr>
          <w:spacing w:val="-6"/>
        </w:rPr>
        <w:t> </w:t>
      </w:r>
      <w:r>
        <w:rPr/>
        <w:t>player performing the action.</w:t>
      </w:r>
      <w:r>
        <w:rPr>
          <w:spacing w:val="40"/>
        </w:rPr>
        <w:t> </w:t>
      </w:r>
      <w:r>
        <w:rPr/>
        <w:t>The ratings have good face validity as one of the best players in the</w:t>
      </w:r>
      <w:r>
        <w:rPr>
          <w:spacing w:val="-10"/>
        </w:rPr>
        <w:t> </w:t>
      </w:r>
      <w:r>
        <w:rPr/>
        <w:t>AE</w:t>
      </w:r>
      <w:r>
        <w:rPr>
          <w:spacing w:val="-9"/>
        </w:rPr>
        <w:t> </w:t>
      </w:r>
      <w:r>
        <w:rPr/>
        <w:t>ratings</w:t>
      </w:r>
      <w:r>
        <w:rPr>
          <w:spacing w:val="-10"/>
        </w:rPr>
        <w:t> </w:t>
      </w:r>
      <w:r>
        <w:rPr/>
        <w:t>was</w:t>
      </w:r>
      <w:r>
        <w:rPr>
          <w:spacing w:val="-9"/>
        </w:rPr>
        <w:t> </w:t>
      </w:r>
      <w:r>
        <w:rPr/>
        <w:t>awarded</w:t>
      </w:r>
      <w:r>
        <w:rPr>
          <w:spacing w:val="-10"/>
        </w:rPr>
        <w:t> </w:t>
      </w:r>
      <w:r>
        <w:rPr/>
        <w:t>the</w:t>
      </w:r>
      <w:r>
        <w:rPr>
          <w:spacing w:val="-9"/>
        </w:rPr>
        <w:t> </w:t>
      </w:r>
      <w:r>
        <w:rPr/>
        <w:t>Man</w:t>
      </w:r>
      <w:r>
        <w:rPr>
          <w:spacing w:val="-10"/>
        </w:rPr>
        <w:t> </w:t>
      </w:r>
      <w:r>
        <w:rPr/>
        <w:t>of</w:t>
      </w:r>
      <w:r>
        <w:rPr>
          <w:spacing w:val="-9"/>
        </w:rPr>
        <w:t> </w:t>
      </w:r>
      <w:r>
        <w:rPr/>
        <w:t>Steel</w:t>
      </w:r>
      <w:r>
        <w:rPr>
          <w:spacing w:val="-10"/>
        </w:rPr>
        <w:t> </w:t>
      </w:r>
      <w:r>
        <w:rPr/>
        <w:t>trophy</w:t>
      </w:r>
      <w:r>
        <w:rPr>
          <w:spacing w:val="-9"/>
        </w:rPr>
        <w:t> </w:t>
      </w:r>
      <w:r>
        <w:rPr/>
        <w:t>given</w:t>
      </w:r>
      <w:r>
        <w:rPr>
          <w:spacing w:val="-10"/>
        </w:rPr>
        <w:t> </w:t>
      </w:r>
      <w:r>
        <w:rPr/>
        <w:t>to</w:t>
      </w:r>
      <w:r>
        <w:rPr>
          <w:spacing w:val="-9"/>
        </w:rPr>
        <w:t> </w:t>
      </w:r>
      <w:r>
        <w:rPr/>
        <w:t>the</w:t>
      </w:r>
      <w:r>
        <w:rPr>
          <w:spacing w:val="-10"/>
        </w:rPr>
        <w:t> </w:t>
      </w:r>
      <w:r>
        <w:rPr/>
        <w:t>best</w:t>
      </w:r>
      <w:r>
        <w:rPr>
          <w:spacing w:val="-9"/>
        </w:rPr>
        <w:t> </w:t>
      </w:r>
      <w:r>
        <w:rPr/>
        <w:t>player</w:t>
      </w:r>
      <w:r>
        <w:rPr>
          <w:spacing w:val="-9"/>
        </w:rPr>
        <w:t> </w:t>
      </w:r>
      <w:r>
        <w:rPr/>
        <w:t>in</w:t>
      </w:r>
      <w:r>
        <w:rPr>
          <w:spacing w:val="-10"/>
        </w:rPr>
        <w:t> </w:t>
      </w:r>
      <w:r>
        <w:rPr/>
        <w:t>the</w:t>
      </w:r>
      <w:r>
        <w:rPr>
          <w:spacing w:val="-9"/>
        </w:rPr>
        <w:t> </w:t>
      </w:r>
      <w:r>
        <w:rPr/>
        <w:t>league and</w:t>
      </w:r>
      <w:r>
        <w:rPr>
          <w:spacing w:val="-1"/>
        </w:rPr>
        <w:t> </w:t>
      </w:r>
      <w:r>
        <w:rPr/>
        <w:t>the</w:t>
      </w:r>
      <w:r>
        <w:rPr>
          <w:spacing w:val="-1"/>
        </w:rPr>
        <w:t> </w:t>
      </w:r>
      <w:r>
        <w:rPr/>
        <w:t>Young</w:t>
      </w:r>
      <w:r>
        <w:rPr>
          <w:spacing w:val="-1"/>
        </w:rPr>
        <w:t> </w:t>
      </w:r>
      <w:r>
        <w:rPr/>
        <w:t>Player</w:t>
      </w:r>
      <w:r>
        <w:rPr>
          <w:spacing w:val="-1"/>
        </w:rPr>
        <w:t> </w:t>
      </w:r>
      <w:r>
        <w:rPr/>
        <w:t>of</w:t>
      </w:r>
      <w:r>
        <w:rPr>
          <w:spacing w:val="-1"/>
        </w:rPr>
        <w:t> </w:t>
      </w:r>
      <w:r>
        <w:rPr/>
        <w:t>the</w:t>
      </w:r>
      <w:r>
        <w:rPr>
          <w:spacing w:val="-1"/>
        </w:rPr>
        <w:t> </w:t>
      </w:r>
      <w:r>
        <w:rPr/>
        <w:t>Year</w:t>
      </w:r>
      <w:r>
        <w:rPr>
          <w:spacing w:val="-1"/>
        </w:rPr>
        <w:t> </w:t>
      </w:r>
      <w:r>
        <w:rPr/>
        <w:t>for</w:t>
      </w:r>
      <w:r>
        <w:rPr>
          <w:spacing w:val="-1"/>
        </w:rPr>
        <w:t> </w:t>
      </w:r>
      <w:r>
        <w:rPr/>
        <w:t>the</w:t>
      </w:r>
      <w:r>
        <w:rPr>
          <w:spacing w:val="-1"/>
        </w:rPr>
        <w:t> </w:t>
      </w:r>
      <w:r>
        <w:rPr/>
        <w:t>2021</w:t>
      </w:r>
      <w:r>
        <w:rPr>
          <w:spacing w:val="-1"/>
        </w:rPr>
        <w:t> </w:t>
      </w:r>
      <w:r>
        <w:rPr/>
        <w:t>Super</w:t>
      </w:r>
      <w:r>
        <w:rPr>
          <w:spacing w:val="-1"/>
        </w:rPr>
        <w:t> </w:t>
      </w:r>
      <w:r>
        <w:rPr/>
        <w:t>League</w:t>
      </w:r>
      <w:r>
        <w:rPr>
          <w:spacing w:val="-1"/>
        </w:rPr>
        <w:t> </w:t>
      </w:r>
      <w:r>
        <w:rPr/>
        <w:t>season</w:t>
      </w:r>
      <w:r>
        <w:rPr>
          <w:spacing w:val="-1"/>
        </w:rPr>
        <w:t> </w:t>
      </w:r>
      <w:r>
        <w:rPr/>
        <w:t>is</w:t>
      </w:r>
      <w:r>
        <w:rPr>
          <w:spacing w:val="-1"/>
        </w:rPr>
        <w:t> </w:t>
      </w:r>
      <w:r>
        <w:rPr/>
        <w:t>also</w:t>
      </w:r>
      <w:r>
        <w:rPr>
          <w:spacing w:val="-1"/>
        </w:rPr>
        <w:t> </w:t>
      </w:r>
      <w:r>
        <w:rPr/>
        <w:t>in</w:t>
      </w:r>
      <w:r>
        <w:rPr>
          <w:spacing w:val="-1"/>
        </w:rPr>
        <w:t> </w:t>
      </w:r>
      <w:r>
        <w:rPr/>
        <w:t>the</w:t>
      </w:r>
      <w:r>
        <w:rPr>
          <w:spacing w:val="-1"/>
        </w:rPr>
        <w:t> </w:t>
      </w:r>
      <w:r>
        <w:rPr/>
        <w:t>top</w:t>
      </w:r>
      <w:r>
        <w:rPr>
          <w:spacing w:val="-1"/>
        </w:rPr>
        <w:t> </w:t>
      </w:r>
      <w:r>
        <w:rPr/>
        <w:t>20 rated players.</w:t>
      </w:r>
    </w:p>
    <w:p>
      <w:pPr>
        <w:pStyle w:val="BodyText"/>
        <w:spacing w:line="312" w:lineRule="auto"/>
        <w:ind w:left="610" w:right="389" w:firstLine="351"/>
      </w:pPr>
      <w:r>
        <w:rPr/>
        <w:t>The model was presented to coaches at Leeds Rhinos, a team competing within the Super</w:t>
      </w:r>
      <w:r>
        <w:rPr>
          <w:spacing w:val="2"/>
        </w:rPr>
        <w:t> </w:t>
      </w:r>
      <w:r>
        <w:rPr/>
        <w:t>League.</w:t>
      </w:r>
      <w:r>
        <w:rPr>
          <w:spacing w:val="33"/>
        </w:rPr>
        <w:t> </w:t>
      </w:r>
      <w:r>
        <w:rPr/>
        <w:t>The</w:t>
      </w:r>
      <w:r>
        <w:rPr>
          <w:spacing w:val="2"/>
        </w:rPr>
        <w:t> </w:t>
      </w:r>
      <w:r>
        <w:rPr/>
        <w:t>results</w:t>
      </w:r>
      <w:r>
        <w:rPr>
          <w:spacing w:val="3"/>
        </w:rPr>
        <w:t> </w:t>
      </w:r>
      <w:r>
        <w:rPr/>
        <w:t>were</w:t>
      </w:r>
      <w:r>
        <w:rPr>
          <w:spacing w:val="3"/>
        </w:rPr>
        <w:t> </w:t>
      </w:r>
      <w:r>
        <w:rPr/>
        <w:t>widely</w:t>
      </w:r>
      <w:r>
        <w:rPr>
          <w:spacing w:val="2"/>
        </w:rPr>
        <w:t> </w:t>
      </w:r>
      <w:r>
        <w:rPr/>
        <w:t>praised.</w:t>
      </w:r>
      <w:r>
        <w:rPr>
          <w:spacing w:val="33"/>
        </w:rPr>
        <w:t> </w:t>
      </w:r>
      <w:r>
        <w:rPr/>
        <w:t>Visual</w:t>
      </w:r>
      <w:r>
        <w:rPr>
          <w:spacing w:val="2"/>
        </w:rPr>
        <w:t> </w:t>
      </w:r>
      <w:r>
        <w:rPr/>
        <w:t>inspection</w:t>
      </w:r>
      <w:r>
        <w:rPr>
          <w:spacing w:val="3"/>
        </w:rPr>
        <w:t> </w:t>
      </w:r>
      <w:r>
        <w:rPr/>
        <w:t>of</w:t>
      </w:r>
      <w:r>
        <w:rPr>
          <w:spacing w:val="3"/>
        </w:rPr>
        <w:t> </w:t>
      </w:r>
      <w:r>
        <w:rPr/>
        <w:t>the</w:t>
      </w:r>
      <w:r>
        <w:rPr>
          <w:spacing w:val="2"/>
        </w:rPr>
        <w:t> </w:t>
      </w:r>
      <w:r>
        <w:rPr/>
        <w:t>team</w:t>
      </w:r>
      <w:r>
        <w:rPr>
          <w:spacing w:val="3"/>
        </w:rPr>
        <w:t> </w:t>
      </w:r>
      <w:r>
        <w:rPr>
          <w:spacing w:val="-2"/>
        </w:rPr>
        <w:t>attacking</w:t>
      </w:r>
    </w:p>
    <w:p>
      <w:pPr>
        <w:spacing w:after="0" w:line="312" w:lineRule="auto"/>
        <w:sectPr>
          <w:pgSz w:w="11910" w:h="16840"/>
          <w:pgMar w:header="1961" w:footer="1428" w:top="2280" w:bottom="1620" w:left="1680" w:right="720"/>
        </w:sectPr>
      </w:pPr>
    </w:p>
    <w:p>
      <w:pPr>
        <w:pStyle w:val="BodyText"/>
        <w:rPr>
          <w:sz w:val="20"/>
        </w:rPr>
      </w:pPr>
    </w:p>
    <w:p>
      <w:pPr>
        <w:pStyle w:val="BodyText"/>
        <w:spacing w:before="4"/>
        <w:rPr>
          <w:sz w:val="17"/>
        </w:rPr>
      </w:pPr>
    </w:p>
    <w:p>
      <w:pPr>
        <w:pStyle w:val="BodyText"/>
        <w:spacing w:line="252" w:lineRule="auto" w:before="105"/>
        <w:ind w:left="610" w:right="389"/>
      </w:pPr>
      <w:bookmarkStart w:name="_bookmark212" w:id="357"/>
      <w:bookmarkEnd w:id="357"/>
      <w:r>
        <w:rPr/>
      </w:r>
      <w:r>
        <w:rPr>
          <w:b/>
        </w:rPr>
        <w:t>Table 6.7:</w:t>
      </w:r>
      <w:r>
        <w:rPr>
          <w:b/>
          <w:spacing w:val="40"/>
        </w:rPr>
        <w:t> </w:t>
      </w:r>
      <w:r>
        <w:rPr/>
        <w:t>Top 20 player ratings as assessed by the AE ratings (Equation</w:t>
      </w:r>
      <w:hyperlink w:history="true" w:anchor="_bookmark196">
        <w:r>
          <w:rPr>
            <w:color w:val="0000FF"/>
          </w:rPr>
          <w:t>6.12</w:t>
        </w:r>
      </w:hyperlink>
      <w:r>
        <w:rPr/>
        <w:t>).</w:t>
      </w:r>
      <w:r>
        <w:rPr>
          <w:spacing w:val="40"/>
        </w:rPr>
        <w:t> </w:t>
      </w:r>
      <w:r>
        <w:rPr/>
        <w:t>Tries, Try Assists, Metres and Goals are provided as references of statistics currently </w:t>
      </w:r>
      <w:r>
        <w:rPr/>
        <w:t>provided for</w:t>
      </w:r>
      <w:r>
        <w:rPr>
          <w:spacing w:val="-11"/>
        </w:rPr>
        <w:t> </w:t>
      </w:r>
      <w:r>
        <w:rPr/>
        <w:t>player</w:t>
      </w:r>
      <w:r>
        <w:rPr>
          <w:spacing w:val="-11"/>
        </w:rPr>
        <w:t> </w:t>
      </w:r>
      <w:r>
        <w:rPr/>
        <w:t>performances. To</w:t>
      </w:r>
      <w:r>
        <w:rPr>
          <w:spacing w:val="-11"/>
        </w:rPr>
        <w:t> </w:t>
      </w:r>
      <w:r>
        <w:rPr/>
        <w:t>protect</w:t>
      </w:r>
      <w:r>
        <w:rPr>
          <w:spacing w:val="-11"/>
        </w:rPr>
        <w:t> </w:t>
      </w:r>
      <w:r>
        <w:rPr/>
        <w:t>anonymity,</w:t>
      </w:r>
      <w:r>
        <w:rPr>
          <w:spacing w:val="-11"/>
        </w:rPr>
        <w:t> </w:t>
      </w:r>
      <w:r>
        <w:rPr/>
        <w:t>reference</w:t>
      </w:r>
      <w:r>
        <w:rPr>
          <w:spacing w:val="-11"/>
        </w:rPr>
        <w:t> </w:t>
      </w:r>
      <w:r>
        <w:rPr/>
        <w:t>statistics</w:t>
      </w:r>
      <w:r>
        <w:rPr>
          <w:spacing w:val="-11"/>
        </w:rPr>
        <w:t> </w:t>
      </w:r>
      <w:r>
        <w:rPr/>
        <w:t>are</w:t>
      </w:r>
      <w:r>
        <w:rPr>
          <w:spacing w:val="-11"/>
        </w:rPr>
        <w:t> </w:t>
      </w:r>
      <w:r>
        <w:rPr/>
        <w:t>provided</w:t>
      </w:r>
      <w:r>
        <w:rPr>
          <w:spacing w:val="-11"/>
        </w:rPr>
        <w:t> </w:t>
      </w:r>
      <w:r>
        <w:rPr/>
        <w:t>based</w:t>
      </w:r>
      <w:r>
        <w:rPr>
          <w:spacing w:val="-11"/>
        </w:rPr>
        <w:t> </w:t>
      </w:r>
      <w:r>
        <w:rPr/>
        <w:t>on the whole season as: T-5 (top 5); T-10 (top 10), T-20 (top 20) and 20+ (outside top 20).</w:t>
      </w:r>
    </w:p>
    <w:p>
      <w:pPr>
        <w:pStyle w:val="BodyText"/>
        <w:spacing w:before="3" w:after="1"/>
        <w:rPr>
          <w:sz w:val="19"/>
        </w:rPr>
      </w:pPr>
    </w:p>
    <w:tbl>
      <w:tblPr>
        <w:tblW w:w="0" w:type="auto"/>
        <w:jc w:val="left"/>
        <w:tblInd w:w="11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50"/>
        <w:gridCol w:w="1687"/>
        <w:gridCol w:w="1255"/>
        <w:gridCol w:w="722"/>
        <w:gridCol w:w="1313"/>
        <w:gridCol w:w="903"/>
        <w:gridCol w:w="797"/>
      </w:tblGrid>
      <w:tr>
        <w:trPr>
          <w:trHeight w:val="272" w:hRule="atLeast"/>
        </w:trPr>
        <w:tc>
          <w:tcPr>
            <w:tcW w:w="850" w:type="dxa"/>
            <w:tcBorders>
              <w:top w:val="single" w:sz="4" w:space="0" w:color="000000"/>
              <w:bottom w:val="single" w:sz="4" w:space="0" w:color="000000"/>
            </w:tcBorders>
          </w:tcPr>
          <w:p>
            <w:pPr>
              <w:pStyle w:val="TableParagraph"/>
              <w:spacing w:line="253" w:lineRule="exact"/>
              <w:ind w:right="117"/>
              <w:jc w:val="right"/>
              <w:rPr>
                <w:sz w:val="24"/>
              </w:rPr>
            </w:pPr>
            <w:r>
              <w:rPr>
                <w:spacing w:val="-2"/>
                <w:sz w:val="24"/>
              </w:rPr>
              <w:t>Player</w:t>
            </w:r>
          </w:p>
        </w:tc>
        <w:tc>
          <w:tcPr>
            <w:tcW w:w="1687" w:type="dxa"/>
            <w:tcBorders>
              <w:top w:val="single" w:sz="4" w:space="0" w:color="000000"/>
              <w:bottom w:val="single" w:sz="4" w:space="0" w:color="000000"/>
            </w:tcBorders>
          </w:tcPr>
          <w:p>
            <w:pPr>
              <w:pStyle w:val="TableParagraph"/>
              <w:spacing w:line="253" w:lineRule="exact"/>
              <w:ind w:left="104" w:right="104"/>
              <w:rPr>
                <w:sz w:val="24"/>
              </w:rPr>
            </w:pPr>
            <w:r>
              <w:rPr>
                <w:spacing w:val="-2"/>
                <w:sz w:val="24"/>
              </w:rPr>
              <w:t>Position</w:t>
            </w:r>
          </w:p>
        </w:tc>
        <w:tc>
          <w:tcPr>
            <w:tcW w:w="1255" w:type="dxa"/>
            <w:tcBorders>
              <w:top w:val="single" w:sz="4" w:space="0" w:color="000000"/>
              <w:bottom w:val="single" w:sz="4" w:space="0" w:color="000000"/>
            </w:tcBorders>
          </w:tcPr>
          <w:p>
            <w:pPr>
              <w:pStyle w:val="TableParagraph"/>
              <w:spacing w:line="253" w:lineRule="exact"/>
              <w:ind w:left="106" w:right="105"/>
              <w:rPr>
                <w:sz w:val="24"/>
              </w:rPr>
            </w:pPr>
            <w:r>
              <w:rPr>
                <w:sz w:val="24"/>
              </w:rPr>
              <w:t>AE</w:t>
            </w:r>
            <w:r>
              <w:rPr>
                <w:spacing w:val="-5"/>
                <w:sz w:val="24"/>
              </w:rPr>
              <w:t> </w:t>
            </w:r>
            <w:r>
              <w:rPr>
                <w:spacing w:val="-2"/>
                <w:sz w:val="24"/>
              </w:rPr>
              <w:t>Rating</w:t>
            </w:r>
          </w:p>
        </w:tc>
        <w:tc>
          <w:tcPr>
            <w:tcW w:w="722" w:type="dxa"/>
            <w:tcBorders>
              <w:top w:val="single" w:sz="4" w:space="0" w:color="000000"/>
              <w:bottom w:val="single" w:sz="4" w:space="0" w:color="000000"/>
            </w:tcBorders>
          </w:tcPr>
          <w:p>
            <w:pPr>
              <w:pStyle w:val="TableParagraph"/>
              <w:spacing w:line="253" w:lineRule="exact"/>
              <w:ind w:left="99" w:right="98"/>
              <w:rPr>
                <w:sz w:val="24"/>
              </w:rPr>
            </w:pPr>
            <w:r>
              <w:rPr>
                <w:spacing w:val="-2"/>
                <w:sz w:val="24"/>
              </w:rPr>
              <w:t>Tries</w:t>
            </w:r>
          </w:p>
        </w:tc>
        <w:tc>
          <w:tcPr>
            <w:tcW w:w="1313" w:type="dxa"/>
            <w:tcBorders>
              <w:top w:val="single" w:sz="4" w:space="0" w:color="000000"/>
              <w:bottom w:val="single" w:sz="4" w:space="0" w:color="000000"/>
            </w:tcBorders>
          </w:tcPr>
          <w:p>
            <w:pPr>
              <w:pStyle w:val="TableParagraph"/>
              <w:spacing w:line="253" w:lineRule="exact"/>
              <w:ind w:left="106" w:right="105"/>
              <w:rPr>
                <w:sz w:val="24"/>
              </w:rPr>
            </w:pPr>
            <w:r>
              <w:rPr>
                <w:sz w:val="24"/>
              </w:rPr>
              <w:t>Try</w:t>
            </w:r>
            <w:r>
              <w:rPr>
                <w:spacing w:val="-14"/>
                <w:sz w:val="24"/>
              </w:rPr>
              <w:t> </w:t>
            </w:r>
            <w:r>
              <w:rPr>
                <w:spacing w:val="-2"/>
                <w:sz w:val="24"/>
              </w:rPr>
              <w:t>Assists</w:t>
            </w:r>
          </w:p>
        </w:tc>
        <w:tc>
          <w:tcPr>
            <w:tcW w:w="903" w:type="dxa"/>
            <w:tcBorders>
              <w:top w:val="single" w:sz="4" w:space="0" w:color="000000"/>
              <w:bottom w:val="single" w:sz="4" w:space="0" w:color="000000"/>
            </w:tcBorders>
          </w:tcPr>
          <w:p>
            <w:pPr>
              <w:pStyle w:val="TableParagraph"/>
              <w:spacing w:line="253" w:lineRule="exact"/>
              <w:ind w:left="103" w:right="101"/>
              <w:rPr>
                <w:sz w:val="24"/>
              </w:rPr>
            </w:pPr>
            <w:r>
              <w:rPr>
                <w:spacing w:val="-2"/>
                <w:sz w:val="24"/>
              </w:rPr>
              <w:t>Metres</w:t>
            </w:r>
          </w:p>
        </w:tc>
        <w:tc>
          <w:tcPr>
            <w:tcW w:w="797" w:type="dxa"/>
            <w:tcBorders>
              <w:top w:val="single" w:sz="4" w:space="0" w:color="000000"/>
              <w:bottom w:val="single" w:sz="4" w:space="0" w:color="000000"/>
            </w:tcBorders>
          </w:tcPr>
          <w:p>
            <w:pPr>
              <w:pStyle w:val="TableParagraph"/>
              <w:spacing w:line="253" w:lineRule="exact"/>
              <w:ind w:left="103" w:right="101"/>
              <w:rPr>
                <w:sz w:val="24"/>
              </w:rPr>
            </w:pPr>
            <w:r>
              <w:rPr>
                <w:spacing w:val="-2"/>
                <w:sz w:val="24"/>
              </w:rPr>
              <w:t>Goals</w:t>
            </w:r>
          </w:p>
        </w:tc>
      </w:tr>
      <w:tr>
        <w:trPr>
          <w:trHeight w:val="283" w:hRule="atLeast"/>
        </w:trPr>
        <w:tc>
          <w:tcPr>
            <w:tcW w:w="850" w:type="dxa"/>
            <w:tcBorders>
              <w:top w:val="single" w:sz="4" w:space="0" w:color="000000"/>
            </w:tcBorders>
          </w:tcPr>
          <w:p>
            <w:pPr>
              <w:pStyle w:val="TableParagraph"/>
              <w:spacing w:line="249" w:lineRule="exact"/>
              <w:ind w:left="245"/>
              <w:jc w:val="left"/>
              <w:rPr>
                <w:sz w:val="24"/>
              </w:rPr>
            </w:pPr>
            <w:r>
              <w:rPr>
                <w:spacing w:val="-5"/>
                <w:sz w:val="24"/>
              </w:rPr>
              <w:t>276</w:t>
            </w:r>
          </w:p>
        </w:tc>
        <w:tc>
          <w:tcPr>
            <w:tcW w:w="1687" w:type="dxa"/>
            <w:tcBorders>
              <w:top w:val="single" w:sz="4" w:space="0" w:color="000000"/>
            </w:tcBorders>
          </w:tcPr>
          <w:p>
            <w:pPr>
              <w:pStyle w:val="TableParagraph"/>
              <w:spacing w:line="249" w:lineRule="exact"/>
              <w:ind w:left="104" w:right="104"/>
              <w:rPr>
                <w:sz w:val="24"/>
              </w:rPr>
            </w:pPr>
            <w:r>
              <w:rPr>
                <w:sz w:val="24"/>
              </w:rPr>
              <w:t>Full</w:t>
            </w:r>
            <w:r>
              <w:rPr>
                <w:spacing w:val="-6"/>
                <w:sz w:val="24"/>
              </w:rPr>
              <w:t> </w:t>
            </w:r>
            <w:r>
              <w:rPr>
                <w:spacing w:val="-4"/>
                <w:sz w:val="24"/>
              </w:rPr>
              <w:t>Back</w:t>
            </w:r>
          </w:p>
        </w:tc>
        <w:tc>
          <w:tcPr>
            <w:tcW w:w="1255" w:type="dxa"/>
            <w:tcBorders>
              <w:top w:val="single" w:sz="4" w:space="0" w:color="000000"/>
            </w:tcBorders>
          </w:tcPr>
          <w:p>
            <w:pPr>
              <w:pStyle w:val="TableParagraph"/>
              <w:spacing w:line="249" w:lineRule="exact"/>
              <w:ind w:left="105" w:right="105"/>
              <w:rPr>
                <w:sz w:val="24"/>
              </w:rPr>
            </w:pPr>
            <w:r>
              <w:rPr>
                <w:spacing w:val="-4"/>
                <w:sz w:val="24"/>
              </w:rPr>
              <w:t>8.21</w:t>
            </w:r>
          </w:p>
        </w:tc>
        <w:tc>
          <w:tcPr>
            <w:tcW w:w="722" w:type="dxa"/>
            <w:tcBorders>
              <w:top w:val="single" w:sz="4" w:space="0" w:color="000000"/>
            </w:tcBorders>
          </w:tcPr>
          <w:p>
            <w:pPr>
              <w:pStyle w:val="TableParagraph"/>
              <w:spacing w:line="249" w:lineRule="exact"/>
              <w:ind w:left="99" w:right="98"/>
              <w:rPr>
                <w:sz w:val="24"/>
              </w:rPr>
            </w:pPr>
            <w:r>
              <w:rPr>
                <w:spacing w:val="-14"/>
                <w:sz w:val="24"/>
              </w:rPr>
              <w:t>T-</w:t>
            </w:r>
            <w:r>
              <w:rPr>
                <w:spacing w:val="-5"/>
                <w:sz w:val="24"/>
              </w:rPr>
              <w:t>20</w:t>
            </w:r>
          </w:p>
        </w:tc>
        <w:tc>
          <w:tcPr>
            <w:tcW w:w="1313" w:type="dxa"/>
            <w:tcBorders>
              <w:top w:val="single" w:sz="4" w:space="0" w:color="000000"/>
            </w:tcBorders>
          </w:tcPr>
          <w:p>
            <w:pPr>
              <w:pStyle w:val="TableParagraph"/>
              <w:spacing w:line="249" w:lineRule="exact"/>
              <w:ind w:left="106" w:right="105"/>
              <w:rPr>
                <w:sz w:val="24"/>
              </w:rPr>
            </w:pPr>
            <w:r>
              <w:rPr>
                <w:spacing w:val="-14"/>
                <w:sz w:val="24"/>
              </w:rPr>
              <w:t>T-</w:t>
            </w:r>
            <w:r>
              <w:rPr>
                <w:spacing w:val="-10"/>
                <w:sz w:val="24"/>
              </w:rPr>
              <w:t>5</w:t>
            </w:r>
          </w:p>
        </w:tc>
        <w:tc>
          <w:tcPr>
            <w:tcW w:w="903" w:type="dxa"/>
            <w:tcBorders>
              <w:top w:val="single" w:sz="4" w:space="0" w:color="000000"/>
            </w:tcBorders>
          </w:tcPr>
          <w:p>
            <w:pPr>
              <w:pStyle w:val="TableParagraph"/>
              <w:spacing w:line="249" w:lineRule="exact"/>
              <w:ind w:left="103" w:right="101"/>
              <w:rPr>
                <w:sz w:val="24"/>
              </w:rPr>
            </w:pPr>
            <w:r>
              <w:rPr>
                <w:spacing w:val="-5"/>
                <w:sz w:val="24"/>
              </w:rPr>
              <w:t>20+</w:t>
            </w:r>
          </w:p>
        </w:tc>
        <w:tc>
          <w:tcPr>
            <w:tcW w:w="797" w:type="dxa"/>
            <w:tcBorders>
              <w:top w:val="single" w:sz="4" w:space="0" w:color="000000"/>
            </w:tcBorders>
          </w:tcPr>
          <w:p>
            <w:pPr>
              <w:pStyle w:val="TableParagraph"/>
              <w:spacing w:line="249" w:lineRule="exact"/>
              <w:ind w:left="103" w:right="101"/>
              <w:rPr>
                <w:sz w:val="24"/>
              </w:rPr>
            </w:pPr>
            <w:r>
              <w:rPr>
                <w:spacing w:val="-5"/>
                <w:sz w:val="24"/>
              </w:rPr>
              <w:t>20+</w:t>
            </w:r>
          </w:p>
        </w:tc>
      </w:tr>
      <w:tr>
        <w:trPr>
          <w:trHeight w:val="288" w:hRule="atLeast"/>
        </w:trPr>
        <w:tc>
          <w:tcPr>
            <w:tcW w:w="850" w:type="dxa"/>
          </w:tcPr>
          <w:p>
            <w:pPr>
              <w:pStyle w:val="TableParagraph"/>
              <w:ind w:left="290" w:right="290"/>
              <w:rPr>
                <w:sz w:val="24"/>
              </w:rPr>
            </w:pPr>
            <w:r>
              <w:rPr>
                <w:spacing w:val="-5"/>
                <w:sz w:val="24"/>
              </w:rPr>
              <w:t>19</w:t>
            </w:r>
          </w:p>
        </w:tc>
        <w:tc>
          <w:tcPr>
            <w:tcW w:w="1687" w:type="dxa"/>
          </w:tcPr>
          <w:p>
            <w:pPr>
              <w:pStyle w:val="TableParagraph"/>
              <w:ind w:left="104" w:right="104"/>
              <w:rPr>
                <w:sz w:val="24"/>
              </w:rPr>
            </w:pPr>
            <w:r>
              <w:rPr>
                <w:spacing w:val="-2"/>
                <w:sz w:val="24"/>
              </w:rPr>
              <w:t>Winger</w:t>
            </w:r>
          </w:p>
        </w:tc>
        <w:tc>
          <w:tcPr>
            <w:tcW w:w="1255" w:type="dxa"/>
          </w:tcPr>
          <w:p>
            <w:pPr>
              <w:pStyle w:val="TableParagraph"/>
              <w:ind w:left="105" w:right="105"/>
              <w:rPr>
                <w:sz w:val="24"/>
              </w:rPr>
            </w:pPr>
            <w:r>
              <w:rPr>
                <w:spacing w:val="-4"/>
                <w:sz w:val="24"/>
              </w:rPr>
              <w:t>6.67</w:t>
            </w:r>
          </w:p>
        </w:tc>
        <w:tc>
          <w:tcPr>
            <w:tcW w:w="722" w:type="dxa"/>
          </w:tcPr>
          <w:p>
            <w:pPr>
              <w:pStyle w:val="TableParagraph"/>
              <w:ind w:left="99" w:right="98"/>
              <w:rPr>
                <w:sz w:val="24"/>
              </w:rPr>
            </w:pPr>
            <w:r>
              <w:rPr>
                <w:spacing w:val="-14"/>
                <w:sz w:val="24"/>
              </w:rPr>
              <w:t>T-</w:t>
            </w:r>
            <w:r>
              <w:rPr>
                <w:spacing w:val="-10"/>
                <w:sz w:val="24"/>
              </w:rPr>
              <w:t>5</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14"/>
                <w:sz w:val="24"/>
              </w:rPr>
              <w:t>T-</w:t>
            </w:r>
            <w:r>
              <w:rPr>
                <w:spacing w:val="-10"/>
                <w:sz w:val="24"/>
              </w:rPr>
              <w:t>5</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right="183"/>
              <w:jc w:val="right"/>
              <w:rPr>
                <w:sz w:val="24"/>
              </w:rPr>
            </w:pPr>
            <w:r>
              <w:rPr>
                <w:spacing w:val="-4"/>
                <w:sz w:val="24"/>
              </w:rPr>
              <w:t>6335</w:t>
            </w:r>
          </w:p>
        </w:tc>
        <w:tc>
          <w:tcPr>
            <w:tcW w:w="1687" w:type="dxa"/>
          </w:tcPr>
          <w:p>
            <w:pPr>
              <w:pStyle w:val="TableParagraph"/>
              <w:ind w:left="104" w:right="104"/>
              <w:rPr>
                <w:sz w:val="24"/>
              </w:rPr>
            </w:pPr>
            <w:r>
              <w:rPr>
                <w:spacing w:val="-2"/>
                <w:sz w:val="24"/>
              </w:rPr>
              <w:t>Stand-</w:t>
            </w:r>
            <w:r>
              <w:rPr>
                <w:spacing w:val="-5"/>
                <w:sz w:val="24"/>
              </w:rPr>
              <w:t>off</w:t>
            </w:r>
          </w:p>
        </w:tc>
        <w:tc>
          <w:tcPr>
            <w:tcW w:w="1255" w:type="dxa"/>
          </w:tcPr>
          <w:p>
            <w:pPr>
              <w:pStyle w:val="TableParagraph"/>
              <w:ind w:left="105" w:right="105"/>
              <w:rPr>
                <w:sz w:val="24"/>
              </w:rPr>
            </w:pPr>
            <w:r>
              <w:rPr>
                <w:spacing w:val="-4"/>
                <w:sz w:val="24"/>
              </w:rPr>
              <w:t>6.35</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14"/>
                <w:sz w:val="24"/>
              </w:rPr>
              <w:t>T-</w:t>
            </w:r>
            <w:r>
              <w:rPr>
                <w:spacing w:val="-10"/>
                <w:sz w:val="24"/>
              </w:rPr>
              <w:t>5</w:t>
            </w:r>
          </w:p>
        </w:tc>
      </w:tr>
      <w:tr>
        <w:trPr>
          <w:trHeight w:val="288" w:hRule="atLeast"/>
        </w:trPr>
        <w:tc>
          <w:tcPr>
            <w:tcW w:w="850" w:type="dxa"/>
          </w:tcPr>
          <w:p>
            <w:pPr>
              <w:pStyle w:val="TableParagraph"/>
              <w:ind w:right="183"/>
              <w:jc w:val="right"/>
              <w:rPr>
                <w:sz w:val="24"/>
              </w:rPr>
            </w:pPr>
            <w:r>
              <w:rPr>
                <w:spacing w:val="-4"/>
                <w:sz w:val="24"/>
              </w:rPr>
              <w:t>1004</w:t>
            </w:r>
          </w:p>
        </w:tc>
        <w:tc>
          <w:tcPr>
            <w:tcW w:w="1687" w:type="dxa"/>
          </w:tcPr>
          <w:p>
            <w:pPr>
              <w:pStyle w:val="TableParagraph"/>
              <w:ind w:left="104" w:right="104"/>
              <w:rPr>
                <w:sz w:val="24"/>
              </w:rPr>
            </w:pPr>
            <w:r>
              <w:rPr>
                <w:sz w:val="24"/>
              </w:rPr>
              <w:t>Scrum</w:t>
            </w:r>
            <w:r>
              <w:rPr>
                <w:spacing w:val="-8"/>
                <w:sz w:val="24"/>
              </w:rPr>
              <w:t> </w:t>
            </w:r>
            <w:r>
              <w:rPr>
                <w:spacing w:val="-4"/>
                <w:sz w:val="24"/>
              </w:rPr>
              <w:t>Half</w:t>
            </w:r>
          </w:p>
        </w:tc>
        <w:tc>
          <w:tcPr>
            <w:tcW w:w="1255" w:type="dxa"/>
          </w:tcPr>
          <w:p>
            <w:pPr>
              <w:pStyle w:val="TableParagraph"/>
              <w:ind w:left="105" w:right="105"/>
              <w:rPr>
                <w:sz w:val="24"/>
              </w:rPr>
            </w:pPr>
            <w:r>
              <w:rPr>
                <w:spacing w:val="-4"/>
                <w:sz w:val="24"/>
              </w:rPr>
              <w:t>6.10</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left="245"/>
              <w:jc w:val="left"/>
              <w:rPr>
                <w:sz w:val="24"/>
              </w:rPr>
            </w:pPr>
            <w:r>
              <w:rPr>
                <w:spacing w:val="-5"/>
                <w:sz w:val="24"/>
              </w:rPr>
              <w:t>433</w:t>
            </w:r>
          </w:p>
        </w:tc>
        <w:tc>
          <w:tcPr>
            <w:tcW w:w="1687" w:type="dxa"/>
          </w:tcPr>
          <w:p>
            <w:pPr>
              <w:pStyle w:val="TableParagraph"/>
              <w:ind w:left="104" w:right="104"/>
              <w:rPr>
                <w:sz w:val="24"/>
              </w:rPr>
            </w:pPr>
            <w:r>
              <w:rPr>
                <w:sz w:val="24"/>
              </w:rPr>
              <w:t>Full</w:t>
            </w:r>
            <w:r>
              <w:rPr>
                <w:spacing w:val="-6"/>
                <w:sz w:val="24"/>
              </w:rPr>
              <w:t> </w:t>
            </w:r>
            <w:r>
              <w:rPr>
                <w:spacing w:val="-4"/>
                <w:sz w:val="24"/>
              </w:rPr>
              <w:t>Back</w:t>
            </w:r>
          </w:p>
        </w:tc>
        <w:tc>
          <w:tcPr>
            <w:tcW w:w="1255" w:type="dxa"/>
          </w:tcPr>
          <w:p>
            <w:pPr>
              <w:pStyle w:val="TableParagraph"/>
              <w:ind w:left="105" w:right="105"/>
              <w:rPr>
                <w:sz w:val="24"/>
              </w:rPr>
            </w:pPr>
            <w:r>
              <w:rPr>
                <w:spacing w:val="-4"/>
                <w:sz w:val="24"/>
              </w:rPr>
              <w:t>4.96</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14"/>
                <w:sz w:val="24"/>
              </w:rPr>
              <w:t>T-</w:t>
            </w:r>
            <w:r>
              <w:rPr>
                <w:spacing w:val="-5"/>
                <w:sz w:val="24"/>
              </w:rPr>
              <w:t>10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14"/>
                <w:sz w:val="24"/>
              </w:rPr>
              <w:t>T-</w:t>
            </w:r>
            <w:r>
              <w:rPr>
                <w:spacing w:val="-10"/>
                <w:sz w:val="24"/>
              </w:rPr>
              <w:t>5</w:t>
            </w:r>
          </w:p>
        </w:tc>
      </w:tr>
      <w:tr>
        <w:trPr>
          <w:trHeight w:val="288" w:hRule="atLeast"/>
        </w:trPr>
        <w:tc>
          <w:tcPr>
            <w:tcW w:w="850" w:type="dxa"/>
          </w:tcPr>
          <w:p>
            <w:pPr>
              <w:pStyle w:val="TableParagraph"/>
              <w:ind w:left="245"/>
              <w:jc w:val="left"/>
              <w:rPr>
                <w:sz w:val="24"/>
              </w:rPr>
            </w:pPr>
            <w:r>
              <w:rPr>
                <w:spacing w:val="-5"/>
                <w:sz w:val="24"/>
              </w:rPr>
              <w:t>158</w:t>
            </w:r>
          </w:p>
        </w:tc>
        <w:tc>
          <w:tcPr>
            <w:tcW w:w="1687" w:type="dxa"/>
          </w:tcPr>
          <w:p>
            <w:pPr>
              <w:pStyle w:val="TableParagraph"/>
              <w:ind w:left="104" w:right="104"/>
              <w:rPr>
                <w:sz w:val="24"/>
              </w:rPr>
            </w:pPr>
            <w:r>
              <w:rPr>
                <w:spacing w:val="-2"/>
                <w:sz w:val="24"/>
              </w:rPr>
              <w:t>Winger</w:t>
            </w:r>
          </w:p>
        </w:tc>
        <w:tc>
          <w:tcPr>
            <w:tcW w:w="1255" w:type="dxa"/>
          </w:tcPr>
          <w:p>
            <w:pPr>
              <w:pStyle w:val="TableParagraph"/>
              <w:ind w:left="105" w:right="105"/>
              <w:rPr>
                <w:sz w:val="24"/>
              </w:rPr>
            </w:pPr>
            <w:r>
              <w:rPr>
                <w:spacing w:val="-4"/>
                <w:sz w:val="24"/>
              </w:rPr>
              <w:t>4.82</w:t>
            </w:r>
          </w:p>
        </w:tc>
        <w:tc>
          <w:tcPr>
            <w:tcW w:w="722" w:type="dxa"/>
          </w:tcPr>
          <w:p>
            <w:pPr>
              <w:pStyle w:val="TableParagraph"/>
              <w:ind w:left="99" w:right="98"/>
              <w:rPr>
                <w:sz w:val="24"/>
              </w:rPr>
            </w:pPr>
            <w:r>
              <w:rPr>
                <w:spacing w:val="-14"/>
                <w:sz w:val="24"/>
              </w:rPr>
              <w:t>T-</w:t>
            </w:r>
            <w:r>
              <w:rPr>
                <w:spacing w:val="-10"/>
                <w:sz w:val="24"/>
              </w:rPr>
              <w:t>5</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14"/>
                <w:sz w:val="24"/>
              </w:rPr>
              <w:t>T-</w:t>
            </w:r>
            <w:r>
              <w:rPr>
                <w:spacing w:val="-5"/>
                <w:sz w:val="24"/>
              </w:rPr>
              <w:t>10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left="245"/>
              <w:jc w:val="left"/>
              <w:rPr>
                <w:sz w:val="24"/>
              </w:rPr>
            </w:pPr>
            <w:r>
              <w:rPr>
                <w:spacing w:val="-5"/>
                <w:sz w:val="24"/>
              </w:rPr>
              <w:t>188</w:t>
            </w:r>
          </w:p>
        </w:tc>
        <w:tc>
          <w:tcPr>
            <w:tcW w:w="1687" w:type="dxa"/>
          </w:tcPr>
          <w:p>
            <w:pPr>
              <w:pStyle w:val="TableParagraph"/>
              <w:ind w:left="104" w:right="104"/>
              <w:rPr>
                <w:sz w:val="24"/>
              </w:rPr>
            </w:pPr>
            <w:r>
              <w:rPr>
                <w:spacing w:val="-2"/>
                <w:sz w:val="24"/>
              </w:rPr>
              <w:t>Centre</w:t>
            </w:r>
          </w:p>
        </w:tc>
        <w:tc>
          <w:tcPr>
            <w:tcW w:w="1255" w:type="dxa"/>
          </w:tcPr>
          <w:p>
            <w:pPr>
              <w:pStyle w:val="TableParagraph"/>
              <w:ind w:left="105" w:right="105"/>
              <w:rPr>
                <w:sz w:val="24"/>
              </w:rPr>
            </w:pPr>
            <w:r>
              <w:rPr>
                <w:spacing w:val="-4"/>
                <w:sz w:val="24"/>
              </w:rPr>
              <w:t>4.78</w:t>
            </w:r>
          </w:p>
        </w:tc>
        <w:tc>
          <w:tcPr>
            <w:tcW w:w="722" w:type="dxa"/>
          </w:tcPr>
          <w:p>
            <w:pPr>
              <w:pStyle w:val="TableParagraph"/>
              <w:ind w:left="99" w:right="98"/>
              <w:rPr>
                <w:sz w:val="24"/>
              </w:rPr>
            </w:pPr>
            <w:r>
              <w:rPr>
                <w:spacing w:val="-14"/>
                <w:sz w:val="24"/>
              </w:rPr>
              <w:t>T-</w:t>
            </w:r>
            <w:r>
              <w:rPr>
                <w:spacing w:val="-10"/>
                <w:sz w:val="24"/>
              </w:rPr>
              <w:t>5</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14"/>
                <w:sz w:val="24"/>
              </w:rPr>
              <w:t>T-</w:t>
            </w:r>
            <w:r>
              <w:rPr>
                <w:spacing w:val="-10"/>
                <w:sz w:val="24"/>
              </w:rPr>
              <w:t>5</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right="183"/>
              <w:jc w:val="right"/>
              <w:rPr>
                <w:sz w:val="24"/>
              </w:rPr>
            </w:pPr>
            <w:r>
              <w:rPr>
                <w:spacing w:val="-4"/>
                <w:sz w:val="24"/>
              </w:rPr>
              <w:t>1249</w:t>
            </w:r>
          </w:p>
        </w:tc>
        <w:tc>
          <w:tcPr>
            <w:tcW w:w="1687" w:type="dxa"/>
          </w:tcPr>
          <w:p>
            <w:pPr>
              <w:pStyle w:val="TableParagraph"/>
              <w:ind w:left="104" w:right="104"/>
              <w:rPr>
                <w:sz w:val="24"/>
              </w:rPr>
            </w:pPr>
            <w:r>
              <w:rPr>
                <w:spacing w:val="-2"/>
                <w:sz w:val="24"/>
              </w:rPr>
              <w:t>Hooker</w:t>
            </w:r>
          </w:p>
        </w:tc>
        <w:tc>
          <w:tcPr>
            <w:tcW w:w="1255" w:type="dxa"/>
          </w:tcPr>
          <w:p>
            <w:pPr>
              <w:pStyle w:val="TableParagraph"/>
              <w:ind w:left="105" w:right="105"/>
              <w:rPr>
                <w:sz w:val="24"/>
              </w:rPr>
            </w:pPr>
            <w:r>
              <w:rPr>
                <w:spacing w:val="-4"/>
                <w:sz w:val="24"/>
              </w:rPr>
              <w:t>4.37</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left="290" w:right="290"/>
              <w:rPr>
                <w:sz w:val="24"/>
              </w:rPr>
            </w:pPr>
            <w:r>
              <w:rPr>
                <w:spacing w:val="-5"/>
                <w:sz w:val="24"/>
              </w:rPr>
              <w:t>92</w:t>
            </w:r>
          </w:p>
        </w:tc>
        <w:tc>
          <w:tcPr>
            <w:tcW w:w="1687" w:type="dxa"/>
          </w:tcPr>
          <w:p>
            <w:pPr>
              <w:pStyle w:val="TableParagraph"/>
              <w:ind w:left="104" w:right="104"/>
              <w:rPr>
                <w:sz w:val="24"/>
              </w:rPr>
            </w:pPr>
            <w:r>
              <w:rPr>
                <w:sz w:val="24"/>
              </w:rPr>
              <w:t>Scrum</w:t>
            </w:r>
            <w:r>
              <w:rPr>
                <w:spacing w:val="-8"/>
                <w:sz w:val="24"/>
              </w:rPr>
              <w:t> </w:t>
            </w:r>
            <w:r>
              <w:rPr>
                <w:spacing w:val="-4"/>
                <w:sz w:val="24"/>
              </w:rPr>
              <w:t>Half</w:t>
            </w:r>
          </w:p>
        </w:tc>
        <w:tc>
          <w:tcPr>
            <w:tcW w:w="1255" w:type="dxa"/>
          </w:tcPr>
          <w:p>
            <w:pPr>
              <w:pStyle w:val="TableParagraph"/>
              <w:ind w:left="105" w:right="105"/>
              <w:rPr>
                <w:sz w:val="24"/>
              </w:rPr>
            </w:pPr>
            <w:r>
              <w:rPr>
                <w:spacing w:val="-4"/>
                <w:sz w:val="24"/>
              </w:rPr>
              <w:t>3.91</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14"/>
                <w:sz w:val="24"/>
              </w:rPr>
              <w:t>T-</w:t>
            </w:r>
            <w:r>
              <w:rPr>
                <w:spacing w:val="-10"/>
                <w:sz w:val="24"/>
              </w:rPr>
              <w:t>5</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right="183"/>
              <w:jc w:val="right"/>
              <w:rPr>
                <w:sz w:val="24"/>
              </w:rPr>
            </w:pPr>
            <w:r>
              <w:rPr>
                <w:spacing w:val="-4"/>
                <w:sz w:val="24"/>
              </w:rPr>
              <w:t>1281</w:t>
            </w:r>
          </w:p>
        </w:tc>
        <w:tc>
          <w:tcPr>
            <w:tcW w:w="1687" w:type="dxa"/>
          </w:tcPr>
          <w:p>
            <w:pPr>
              <w:pStyle w:val="TableParagraph"/>
              <w:ind w:left="104" w:right="104"/>
              <w:rPr>
                <w:sz w:val="24"/>
              </w:rPr>
            </w:pPr>
            <w:r>
              <w:rPr>
                <w:sz w:val="24"/>
              </w:rPr>
              <w:t>Loose</w:t>
            </w:r>
            <w:r>
              <w:rPr>
                <w:spacing w:val="-8"/>
                <w:sz w:val="24"/>
              </w:rPr>
              <w:t> </w:t>
            </w:r>
            <w:r>
              <w:rPr>
                <w:spacing w:val="-2"/>
                <w:sz w:val="24"/>
              </w:rPr>
              <w:t>Forward</w:t>
            </w:r>
          </w:p>
        </w:tc>
        <w:tc>
          <w:tcPr>
            <w:tcW w:w="1255" w:type="dxa"/>
          </w:tcPr>
          <w:p>
            <w:pPr>
              <w:pStyle w:val="TableParagraph"/>
              <w:ind w:left="105" w:right="105"/>
              <w:rPr>
                <w:sz w:val="24"/>
              </w:rPr>
            </w:pPr>
            <w:r>
              <w:rPr>
                <w:spacing w:val="-4"/>
                <w:sz w:val="24"/>
              </w:rPr>
              <w:t>3.86</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left="245"/>
              <w:jc w:val="left"/>
              <w:rPr>
                <w:sz w:val="24"/>
              </w:rPr>
            </w:pPr>
            <w:r>
              <w:rPr>
                <w:spacing w:val="-5"/>
                <w:sz w:val="24"/>
              </w:rPr>
              <w:t>406</w:t>
            </w:r>
          </w:p>
        </w:tc>
        <w:tc>
          <w:tcPr>
            <w:tcW w:w="1687" w:type="dxa"/>
          </w:tcPr>
          <w:p>
            <w:pPr>
              <w:pStyle w:val="TableParagraph"/>
              <w:ind w:left="104" w:right="104"/>
              <w:rPr>
                <w:sz w:val="24"/>
              </w:rPr>
            </w:pPr>
            <w:r>
              <w:rPr>
                <w:sz w:val="24"/>
              </w:rPr>
              <w:t>Loose</w:t>
            </w:r>
            <w:r>
              <w:rPr>
                <w:spacing w:val="-7"/>
                <w:sz w:val="24"/>
              </w:rPr>
              <w:t> </w:t>
            </w:r>
            <w:r>
              <w:rPr>
                <w:spacing w:val="-2"/>
                <w:sz w:val="24"/>
              </w:rPr>
              <w:t>Forward</w:t>
            </w:r>
          </w:p>
        </w:tc>
        <w:tc>
          <w:tcPr>
            <w:tcW w:w="1255" w:type="dxa"/>
          </w:tcPr>
          <w:p>
            <w:pPr>
              <w:pStyle w:val="TableParagraph"/>
              <w:ind w:left="105" w:right="105"/>
              <w:rPr>
                <w:sz w:val="24"/>
              </w:rPr>
            </w:pPr>
            <w:r>
              <w:rPr>
                <w:spacing w:val="-4"/>
                <w:sz w:val="24"/>
              </w:rPr>
              <w:t>3.82</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left="245"/>
              <w:jc w:val="left"/>
              <w:rPr>
                <w:sz w:val="24"/>
              </w:rPr>
            </w:pPr>
            <w:r>
              <w:rPr>
                <w:spacing w:val="-5"/>
                <w:sz w:val="24"/>
              </w:rPr>
              <w:t>371</w:t>
            </w:r>
          </w:p>
        </w:tc>
        <w:tc>
          <w:tcPr>
            <w:tcW w:w="1687" w:type="dxa"/>
          </w:tcPr>
          <w:p>
            <w:pPr>
              <w:pStyle w:val="TableParagraph"/>
              <w:ind w:left="104" w:right="104"/>
              <w:rPr>
                <w:sz w:val="24"/>
              </w:rPr>
            </w:pPr>
            <w:r>
              <w:rPr>
                <w:spacing w:val="-2"/>
                <w:sz w:val="24"/>
              </w:rPr>
              <w:t>Winger</w:t>
            </w:r>
          </w:p>
        </w:tc>
        <w:tc>
          <w:tcPr>
            <w:tcW w:w="1255" w:type="dxa"/>
          </w:tcPr>
          <w:p>
            <w:pPr>
              <w:pStyle w:val="TableParagraph"/>
              <w:ind w:left="105" w:right="105"/>
              <w:rPr>
                <w:sz w:val="24"/>
              </w:rPr>
            </w:pPr>
            <w:r>
              <w:rPr>
                <w:spacing w:val="-4"/>
                <w:sz w:val="24"/>
              </w:rPr>
              <w:t>3.37</w:t>
            </w:r>
          </w:p>
        </w:tc>
        <w:tc>
          <w:tcPr>
            <w:tcW w:w="722" w:type="dxa"/>
          </w:tcPr>
          <w:p>
            <w:pPr>
              <w:pStyle w:val="TableParagraph"/>
              <w:ind w:left="99" w:right="98"/>
              <w:rPr>
                <w:sz w:val="24"/>
              </w:rPr>
            </w:pPr>
            <w:r>
              <w:rPr>
                <w:spacing w:val="-14"/>
                <w:sz w:val="24"/>
              </w:rPr>
              <w:t>T-</w:t>
            </w: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14"/>
                <w:sz w:val="24"/>
              </w:rPr>
              <w:t>T-</w:t>
            </w: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rPr>
                <w:sz w:val="24"/>
              </w:rPr>
            </w:pPr>
            <w:r>
              <w:rPr>
                <w:w w:val="99"/>
                <w:sz w:val="24"/>
              </w:rPr>
              <w:t>8</w:t>
            </w:r>
          </w:p>
        </w:tc>
        <w:tc>
          <w:tcPr>
            <w:tcW w:w="1687" w:type="dxa"/>
          </w:tcPr>
          <w:p>
            <w:pPr>
              <w:pStyle w:val="TableParagraph"/>
              <w:ind w:left="104" w:right="104"/>
              <w:rPr>
                <w:sz w:val="24"/>
              </w:rPr>
            </w:pPr>
            <w:r>
              <w:rPr>
                <w:spacing w:val="-4"/>
                <w:sz w:val="24"/>
              </w:rPr>
              <w:t>Prop</w:t>
            </w:r>
          </w:p>
        </w:tc>
        <w:tc>
          <w:tcPr>
            <w:tcW w:w="1255" w:type="dxa"/>
          </w:tcPr>
          <w:p>
            <w:pPr>
              <w:pStyle w:val="TableParagraph"/>
              <w:ind w:left="105" w:right="105"/>
              <w:rPr>
                <w:sz w:val="24"/>
              </w:rPr>
            </w:pPr>
            <w:r>
              <w:rPr>
                <w:spacing w:val="-4"/>
                <w:sz w:val="24"/>
              </w:rPr>
              <w:t>3.33</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14"/>
                <w:sz w:val="24"/>
              </w:rPr>
              <w:t>T-</w:t>
            </w:r>
            <w:r>
              <w:rPr>
                <w:spacing w:val="-5"/>
                <w:sz w:val="24"/>
              </w:rPr>
              <w:t>10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left="245"/>
              <w:jc w:val="left"/>
              <w:rPr>
                <w:sz w:val="24"/>
              </w:rPr>
            </w:pPr>
            <w:r>
              <w:rPr>
                <w:spacing w:val="-5"/>
                <w:sz w:val="24"/>
              </w:rPr>
              <w:t>282</w:t>
            </w:r>
          </w:p>
        </w:tc>
        <w:tc>
          <w:tcPr>
            <w:tcW w:w="1687" w:type="dxa"/>
          </w:tcPr>
          <w:p>
            <w:pPr>
              <w:pStyle w:val="TableParagraph"/>
              <w:ind w:left="104" w:right="104"/>
              <w:rPr>
                <w:sz w:val="24"/>
              </w:rPr>
            </w:pPr>
            <w:r>
              <w:rPr>
                <w:sz w:val="24"/>
              </w:rPr>
              <w:t>Second</w:t>
            </w:r>
            <w:r>
              <w:rPr>
                <w:spacing w:val="-9"/>
                <w:sz w:val="24"/>
              </w:rPr>
              <w:t> </w:t>
            </w:r>
            <w:r>
              <w:rPr>
                <w:spacing w:val="-5"/>
                <w:sz w:val="24"/>
              </w:rPr>
              <w:t>Row</w:t>
            </w:r>
          </w:p>
        </w:tc>
        <w:tc>
          <w:tcPr>
            <w:tcW w:w="1255" w:type="dxa"/>
          </w:tcPr>
          <w:p>
            <w:pPr>
              <w:pStyle w:val="TableParagraph"/>
              <w:ind w:left="105" w:right="105"/>
              <w:rPr>
                <w:sz w:val="24"/>
              </w:rPr>
            </w:pPr>
            <w:r>
              <w:rPr>
                <w:spacing w:val="-4"/>
                <w:sz w:val="24"/>
              </w:rPr>
              <w:t>3.28</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right="124"/>
              <w:jc w:val="right"/>
              <w:rPr>
                <w:sz w:val="24"/>
              </w:rPr>
            </w:pPr>
            <w:r>
              <w:rPr>
                <w:spacing w:val="-2"/>
                <w:sz w:val="24"/>
              </w:rPr>
              <w:t>20528</w:t>
            </w:r>
          </w:p>
        </w:tc>
        <w:tc>
          <w:tcPr>
            <w:tcW w:w="1687" w:type="dxa"/>
          </w:tcPr>
          <w:p>
            <w:pPr>
              <w:pStyle w:val="TableParagraph"/>
              <w:ind w:left="104" w:right="104"/>
              <w:rPr>
                <w:sz w:val="24"/>
              </w:rPr>
            </w:pPr>
            <w:r>
              <w:rPr>
                <w:spacing w:val="-2"/>
                <w:sz w:val="24"/>
              </w:rPr>
              <w:t>Winger</w:t>
            </w:r>
          </w:p>
        </w:tc>
        <w:tc>
          <w:tcPr>
            <w:tcW w:w="1255" w:type="dxa"/>
          </w:tcPr>
          <w:p>
            <w:pPr>
              <w:pStyle w:val="TableParagraph"/>
              <w:ind w:left="105" w:right="105"/>
              <w:rPr>
                <w:sz w:val="24"/>
              </w:rPr>
            </w:pPr>
            <w:r>
              <w:rPr>
                <w:spacing w:val="-4"/>
                <w:sz w:val="24"/>
              </w:rPr>
              <w:t>3.11</w:t>
            </w:r>
          </w:p>
        </w:tc>
        <w:tc>
          <w:tcPr>
            <w:tcW w:w="722" w:type="dxa"/>
          </w:tcPr>
          <w:p>
            <w:pPr>
              <w:pStyle w:val="TableParagraph"/>
              <w:ind w:left="99" w:right="98"/>
              <w:rPr>
                <w:sz w:val="24"/>
              </w:rPr>
            </w:pPr>
            <w:r>
              <w:rPr>
                <w:spacing w:val="-14"/>
                <w:sz w:val="24"/>
              </w:rPr>
              <w:t>T-</w:t>
            </w:r>
            <w:r>
              <w:rPr>
                <w:spacing w:val="-10"/>
                <w:sz w:val="24"/>
              </w:rPr>
              <w:t>5</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14"/>
                <w:sz w:val="24"/>
              </w:rPr>
              <w:t>T-</w:t>
            </w:r>
            <w:r>
              <w:rPr>
                <w:spacing w:val="-10"/>
                <w:sz w:val="24"/>
              </w:rPr>
              <w:t>5</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right="124"/>
              <w:jc w:val="right"/>
              <w:rPr>
                <w:sz w:val="24"/>
              </w:rPr>
            </w:pPr>
            <w:r>
              <w:rPr>
                <w:spacing w:val="-2"/>
                <w:sz w:val="24"/>
              </w:rPr>
              <w:t>22852</w:t>
            </w:r>
          </w:p>
        </w:tc>
        <w:tc>
          <w:tcPr>
            <w:tcW w:w="1687" w:type="dxa"/>
          </w:tcPr>
          <w:p>
            <w:pPr>
              <w:pStyle w:val="TableParagraph"/>
              <w:ind w:left="104" w:right="104"/>
              <w:rPr>
                <w:sz w:val="24"/>
              </w:rPr>
            </w:pPr>
            <w:r>
              <w:rPr>
                <w:sz w:val="24"/>
              </w:rPr>
              <w:t>Full</w:t>
            </w:r>
            <w:r>
              <w:rPr>
                <w:spacing w:val="-5"/>
                <w:sz w:val="24"/>
              </w:rPr>
              <w:t> </w:t>
            </w:r>
            <w:r>
              <w:rPr>
                <w:spacing w:val="-4"/>
                <w:sz w:val="24"/>
              </w:rPr>
              <w:t>Back</w:t>
            </w:r>
          </w:p>
        </w:tc>
        <w:tc>
          <w:tcPr>
            <w:tcW w:w="1255" w:type="dxa"/>
          </w:tcPr>
          <w:p>
            <w:pPr>
              <w:pStyle w:val="TableParagraph"/>
              <w:ind w:left="105" w:right="105"/>
              <w:rPr>
                <w:sz w:val="24"/>
              </w:rPr>
            </w:pPr>
            <w:r>
              <w:rPr>
                <w:spacing w:val="-4"/>
                <w:sz w:val="24"/>
              </w:rPr>
              <w:t>3.10</w:t>
            </w:r>
          </w:p>
        </w:tc>
        <w:tc>
          <w:tcPr>
            <w:tcW w:w="722" w:type="dxa"/>
          </w:tcPr>
          <w:p>
            <w:pPr>
              <w:pStyle w:val="TableParagraph"/>
              <w:ind w:left="99" w:right="98"/>
              <w:rPr>
                <w:sz w:val="24"/>
              </w:rPr>
            </w:pPr>
            <w:r>
              <w:rPr>
                <w:spacing w:val="-14"/>
                <w:sz w:val="24"/>
              </w:rPr>
              <w:t>T-</w:t>
            </w:r>
            <w:r>
              <w:rPr>
                <w:spacing w:val="-5"/>
                <w:sz w:val="24"/>
              </w:rPr>
              <w:t>10</w:t>
            </w:r>
          </w:p>
        </w:tc>
        <w:tc>
          <w:tcPr>
            <w:tcW w:w="1313" w:type="dxa"/>
          </w:tcPr>
          <w:p>
            <w:pPr>
              <w:pStyle w:val="TableParagraph"/>
              <w:ind w:left="106" w:right="105"/>
              <w:rPr>
                <w:sz w:val="24"/>
              </w:rPr>
            </w:pPr>
            <w:r>
              <w:rPr>
                <w:spacing w:val="-14"/>
                <w:sz w:val="24"/>
              </w:rPr>
              <w:t>T-</w:t>
            </w: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rPr>
                <w:sz w:val="24"/>
              </w:rPr>
            </w:pPr>
            <w:r>
              <w:rPr>
                <w:w w:val="99"/>
                <w:sz w:val="24"/>
              </w:rPr>
              <w:t>5</w:t>
            </w:r>
          </w:p>
        </w:tc>
        <w:tc>
          <w:tcPr>
            <w:tcW w:w="1687" w:type="dxa"/>
          </w:tcPr>
          <w:p>
            <w:pPr>
              <w:pStyle w:val="TableParagraph"/>
              <w:ind w:left="104" w:right="104"/>
              <w:rPr>
                <w:sz w:val="24"/>
              </w:rPr>
            </w:pPr>
            <w:r>
              <w:rPr>
                <w:spacing w:val="-2"/>
                <w:sz w:val="24"/>
              </w:rPr>
              <w:t>Winger</w:t>
            </w:r>
          </w:p>
        </w:tc>
        <w:tc>
          <w:tcPr>
            <w:tcW w:w="1255" w:type="dxa"/>
          </w:tcPr>
          <w:p>
            <w:pPr>
              <w:pStyle w:val="TableParagraph"/>
              <w:ind w:left="105" w:right="105"/>
              <w:rPr>
                <w:sz w:val="24"/>
              </w:rPr>
            </w:pPr>
            <w:r>
              <w:rPr>
                <w:spacing w:val="-4"/>
                <w:sz w:val="24"/>
              </w:rPr>
              <w:t>3.08</w:t>
            </w:r>
          </w:p>
        </w:tc>
        <w:tc>
          <w:tcPr>
            <w:tcW w:w="722" w:type="dxa"/>
          </w:tcPr>
          <w:p>
            <w:pPr>
              <w:pStyle w:val="TableParagraph"/>
              <w:ind w:left="99" w:right="98"/>
              <w:rPr>
                <w:sz w:val="24"/>
              </w:rPr>
            </w:pPr>
            <w:r>
              <w:rPr>
                <w:spacing w:val="-14"/>
                <w:sz w:val="24"/>
              </w:rPr>
              <w:t>T-</w:t>
            </w: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left="290" w:right="290"/>
              <w:rPr>
                <w:sz w:val="24"/>
              </w:rPr>
            </w:pPr>
            <w:r>
              <w:rPr>
                <w:spacing w:val="-5"/>
                <w:sz w:val="24"/>
              </w:rPr>
              <w:t>26</w:t>
            </w:r>
          </w:p>
        </w:tc>
        <w:tc>
          <w:tcPr>
            <w:tcW w:w="1687" w:type="dxa"/>
          </w:tcPr>
          <w:p>
            <w:pPr>
              <w:pStyle w:val="TableParagraph"/>
              <w:ind w:left="104" w:right="104"/>
              <w:rPr>
                <w:sz w:val="24"/>
              </w:rPr>
            </w:pPr>
            <w:r>
              <w:rPr>
                <w:spacing w:val="-2"/>
                <w:sz w:val="24"/>
              </w:rPr>
              <w:t>Hooker</w:t>
            </w:r>
          </w:p>
        </w:tc>
        <w:tc>
          <w:tcPr>
            <w:tcW w:w="1255" w:type="dxa"/>
          </w:tcPr>
          <w:p>
            <w:pPr>
              <w:pStyle w:val="TableParagraph"/>
              <w:ind w:left="105" w:right="105"/>
              <w:rPr>
                <w:sz w:val="24"/>
              </w:rPr>
            </w:pPr>
            <w:r>
              <w:rPr>
                <w:spacing w:val="-4"/>
                <w:sz w:val="24"/>
              </w:rPr>
              <w:t>2.96</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288" w:hRule="atLeast"/>
        </w:trPr>
        <w:tc>
          <w:tcPr>
            <w:tcW w:w="850" w:type="dxa"/>
          </w:tcPr>
          <w:p>
            <w:pPr>
              <w:pStyle w:val="TableParagraph"/>
              <w:ind w:left="245"/>
              <w:jc w:val="left"/>
              <w:rPr>
                <w:sz w:val="24"/>
              </w:rPr>
            </w:pPr>
            <w:r>
              <w:rPr>
                <w:spacing w:val="-5"/>
                <w:sz w:val="24"/>
              </w:rPr>
              <w:t>440</w:t>
            </w:r>
          </w:p>
        </w:tc>
        <w:tc>
          <w:tcPr>
            <w:tcW w:w="1687" w:type="dxa"/>
          </w:tcPr>
          <w:p>
            <w:pPr>
              <w:pStyle w:val="TableParagraph"/>
              <w:ind w:left="104" w:right="104"/>
              <w:rPr>
                <w:sz w:val="24"/>
              </w:rPr>
            </w:pPr>
            <w:r>
              <w:rPr>
                <w:sz w:val="24"/>
              </w:rPr>
              <w:t>Loose</w:t>
            </w:r>
            <w:r>
              <w:rPr>
                <w:spacing w:val="-7"/>
                <w:sz w:val="24"/>
              </w:rPr>
              <w:t> </w:t>
            </w:r>
            <w:r>
              <w:rPr>
                <w:spacing w:val="-2"/>
                <w:sz w:val="24"/>
              </w:rPr>
              <w:t>Forward</w:t>
            </w:r>
          </w:p>
        </w:tc>
        <w:tc>
          <w:tcPr>
            <w:tcW w:w="1255" w:type="dxa"/>
          </w:tcPr>
          <w:p>
            <w:pPr>
              <w:pStyle w:val="TableParagraph"/>
              <w:ind w:left="105" w:right="105"/>
              <w:rPr>
                <w:sz w:val="24"/>
              </w:rPr>
            </w:pPr>
            <w:r>
              <w:rPr>
                <w:spacing w:val="-4"/>
                <w:sz w:val="24"/>
              </w:rPr>
              <w:t>2.88</w:t>
            </w:r>
          </w:p>
        </w:tc>
        <w:tc>
          <w:tcPr>
            <w:tcW w:w="722" w:type="dxa"/>
          </w:tcPr>
          <w:p>
            <w:pPr>
              <w:pStyle w:val="TableParagraph"/>
              <w:ind w:left="99" w:right="98"/>
              <w:rPr>
                <w:sz w:val="24"/>
              </w:rPr>
            </w:pPr>
            <w:r>
              <w:rPr>
                <w:spacing w:val="-5"/>
                <w:sz w:val="24"/>
              </w:rPr>
              <w:t>20+</w:t>
            </w:r>
          </w:p>
        </w:tc>
        <w:tc>
          <w:tcPr>
            <w:tcW w:w="1313" w:type="dxa"/>
          </w:tcPr>
          <w:p>
            <w:pPr>
              <w:pStyle w:val="TableParagraph"/>
              <w:ind w:left="106" w:right="105"/>
              <w:rPr>
                <w:sz w:val="24"/>
              </w:rPr>
            </w:pPr>
            <w:r>
              <w:rPr>
                <w:spacing w:val="-5"/>
                <w:sz w:val="24"/>
              </w:rPr>
              <w:t>20+</w:t>
            </w:r>
          </w:p>
        </w:tc>
        <w:tc>
          <w:tcPr>
            <w:tcW w:w="903" w:type="dxa"/>
          </w:tcPr>
          <w:p>
            <w:pPr>
              <w:pStyle w:val="TableParagraph"/>
              <w:ind w:left="103" w:right="101"/>
              <w:rPr>
                <w:sz w:val="24"/>
              </w:rPr>
            </w:pPr>
            <w:r>
              <w:rPr>
                <w:spacing w:val="-5"/>
                <w:sz w:val="24"/>
              </w:rPr>
              <w:t>20+</w:t>
            </w:r>
          </w:p>
        </w:tc>
        <w:tc>
          <w:tcPr>
            <w:tcW w:w="797" w:type="dxa"/>
          </w:tcPr>
          <w:p>
            <w:pPr>
              <w:pStyle w:val="TableParagraph"/>
              <w:ind w:left="103" w:right="101"/>
              <w:rPr>
                <w:sz w:val="24"/>
              </w:rPr>
            </w:pPr>
            <w:r>
              <w:rPr>
                <w:spacing w:val="-5"/>
                <w:sz w:val="24"/>
              </w:rPr>
              <w:t>20+</w:t>
            </w:r>
          </w:p>
        </w:tc>
      </w:tr>
      <w:tr>
        <w:trPr>
          <w:trHeight w:val="306" w:hRule="atLeast"/>
        </w:trPr>
        <w:tc>
          <w:tcPr>
            <w:tcW w:w="850" w:type="dxa"/>
            <w:tcBorders>
              <w:bottom w:val="single" w:sz="4" w:space="0" w:color="000000"/>
            </w:tcBorders>
          </w:tcPr>
          <w:p>
            <w:pPr>
              <w:pStyle w:val="TableParagraph"/>
              <w:spacing w:line="273" w:lineRule="exact"/>
              <w:ind w:left="245"/>
              <w:jc w:val="left"/>
              <w:rPr>
                <w:sz w:val="24"/>
              </w:rPr>
            </w:pPr>
            <w:r>
              <w:rPr>
                <w:spacing w:val="-5"/>
                <w:sz w:val="24"/>
              </w:rPr>
              <w:t>988</w:t>
            </w:r>
          </w:p>
        </w:tc>
        <w:tc>
          <w:tcPr>
            <w:tcW w:w="1687" w:type="dxa"/>
            <w:tcBorders>
              <w:bottom w:val="single" w:sz="4" w:space="0" w:color="000000"/>
            </w:tcBorders>
          </w:tcPr>
          <w:p>
            <w:pPr>
              <w:pStyle w:val="TableParagraph"/>
              <w:spacing w:line="273" w:lineRule="exact"/>
              <w:ind w:left="104" w:right="104"/>
              <w:rPr>
                <w:sz w:val="24"/>
              </w:rPr>
            </w:pPr>
            <w:r>
              <w:rPr>
                <w:spacing w:val="-2"/>
                <w:sz w:val="24"/>
              </w:rPr>
              <w:t>Stand-</w:t>
            </w:r>
            <w:r>
              <w:rPr>
                <w:spacing w:val="-5"/>
                <w:sz w:val="24"/>
              </w:rPr>
              <w:t>off</w:t>
            </w:r>
          </w:p>
        </w:tc>
        <w:tc>
          <w:tcPr>
            <w:tcW w:w="1255" w:type="dxa"/>
            <w:tcBorders>
              <w:bottom w:val="single" w:sz="4" w:space="0" w:color="000000"/>
            </w:tcBorders>
          </w:tcPr>
          <w:p>
            <w:pPr>
              <w:pStyle w:val="TableParagraph"/>
              <w:spacing w:line="273" w:lineRule="exact"/>
              <w:ind w:left="105" w:right="105"/>
              <w:rPr>
                <w:sz w:val="24"/>
              </w:rPr>
            </w:pPr>
            <w:r>
              <w:rPr>
                <w:spacing w:val="-4"/>
                <w:sz w:val="24"/>
              </w:rPr>
              <w:t>2.81</w:t>
            </w:r>
          </w:p>
        </w:tc>
        <w:tc>
          <w:tcPr>
            <w:tcW w:w="722" w:type="dxa"/>
            <w:tcBorders>
              <w:bottom w:val="single" w:sz="4" w:space="0" w:color="000000"/>
            </w:tcBorders>
          </w:tcPr>
          <w:p>
            <w:pPr>
              <w:pStyle w:val="TableParagraph"/>
              <w:spacing w:line="273" w:lineRule="exact"/>
              <w:ind w:left="99" w:right="98"/>
              <w:rPr>
                <w:sz w:val="24"/>
              </w:rPr>
            </w:pPr>
            <w:r>
              <w:rPr>
                <w:spacing w:val="-5"/>
                <w:sz w:val="24"/>
              </w:rPr>
              <w:t>20+</w:t>
            </w:r>
          </w:p>
        </w:tc>
        <w:tc>
          <w:tcPr>
            <w:tcW w:w="1313" w:type="dxa"/>
            <w:tcBorders>
              <w:bottom w:val="single" w:sz="4" w:space="0" w:color="000000"/>
            </w:tcBorders>
          </w:tcPr>
          <w:p>
            <w:pPr>
              <w:pStyle w:val="TableParagraph"/>
              <w:spacing w:line="273" w:lineRule="exact"/>
              <w:ind w:left="106" w:right="105"/>
              <w:rPr>
                <w:sz w:val="24"/>
              </w:rPr>
            </w:pPr>
            <w:r>
              <w:rPr>
                <w:spacing w:val="-5"/>
                <w:sz w:val="24"/>
              </w:rPr>
              <w:t>20+</w:t>
            </w:r>
          </w:p>
        </w:tc>
        <w:tc>
          <w:tcPr>
            <w:tcW w:w="903" w:type="dxa"/>
            <w:tcBorders>
              <w:bottom w:val="single" w:sz="4" w:space="0" w:color="000000"/>
            </w:tcBorders>
          </w:tcPr>
          <w:p>
            <w:pPr>
              <w:pStyle w:val="TableParagraph"/>
              <w:spacing w:line="273" w:lineRule="exact"/>
              <w:ind w:left="103" w:right="101"/>
              <w:rPr>
                <w:sz w:val="24"/>
              </w:rPr>
            </w:pPr>
            <w:r>
              <w:rPr>
                <w:spacing w:val="-5"/>
                <w:sz w:val="24"/>
              </w:rPr>
              <w:t>20+</w:t>
            </w:r>
          </w:p>
        </w:tc>
        <w:tc>
          <w:tcPr>
            <w:tcW w:w="797" w:type="dxa"/>
            <w:tcBorders>
              <w:bottom w:val="single" w:sz="4" w:space="0" w:color="000000"/>
            </w:tcBorders>
          </w:tcPr>
          <w:p>
            <w:pPr>
              <w:pStyle w:val="TableParagraph"/>
              <w:spacing w:line="273" w:lineRule="exact"/>
              <w:ind w:left="103" w:right="101"/>
              <w:rPr>
                <w:sz w:val="24"/>
              </w:rPr>
            </w:pPr>
            <w:r>
              <w:rPr>
                <w:spacing w:val="-5"/>
                <w:sz w:val="24"/>
              </w:rPr>
              <w:t>20+</w:t>
            </w:r>
          </w:p>
        </w:tc>
      </w:tr>
    </w:tbl>
    <w:p>
      <w:pPr>
        <w:pStyle w:val="BodyText"/>
        <w:rPr>
          <w:sz w:val="28"/>
        </w:rPr>
      </w:pPr>
    </w:p>
    <w:p>
      <w:pPr>
        <w:pStyle w:val="BodyText"/>
        <w:spacing w:before="6"/>
        <w:rPr>
          <w:sz w:val="31"/>
        </w:rPr>
      </w:pPr>
    </w:p>
    <w:p>
      <w:pPr>
        <w:pStyle w:val="BodyText"/>
        <w:spacing w:line="312" w:lineRule="auto"/>
        <w:ind w:left="610" w:right="389"/>
        <w:jc w:val="both"/>
      </w:pPr>
      <w:r>
        <w:rPr/>
        <w:t>and</w:t>
      </w:r>
      <w:r>
        <w:rPr>
          <w:spacing w:val="-1"/>
        </w:rPr>
        <w:t> </w:t>
      </w:r>
      <w:r>
        <w:rPr/>
        <w:t>defending</w:t>
      </w:r>
      <w:r>
        <w:rPr>
          <w:spacing w:val="-2"/>
        </w:rPr>
        <w:t> </w:t>
      </w:r>
      <w:r>
        <w:rPr/>
        <w:t>plots</w:t>
      </w:r>
      <w:r>
        <w:rPr>
          <w:spacing w:val="-1"/>
        </w:rPr>
        <w:t> </w:t>
      </w:r>
      <w:r>
        <w:rPr/>
        <w:t>identified</w:t>
      </w:r>
      <w:r>
        <w:rPr>
          <w:spacing w:val="-2"/>
        </w:rPr>
        <w:t> </w:t>
      </w:r>
      <w:r>
        <w:rPr/>
        <w:t>elements</w:t>
      </w:r>
      <w:r>
        <w:rPr>
          <w:spacing w:val="-1"/>
        </w:rPr>
        <w:t> </w:t>
      </w:r>
      <w:r>
        <w:rPr/>
        <w:t>that</w:t>
      </w:r>
      <w:r>
        <w:rPr>
          <w:spacing w:val="-1"/>
        </w:rPr>
        <w:t> </w:t>
      </w:r>
      <w:r>
        <w:rPr/>
        <w:t>they</w:t>
      </w:r>
      <w:r>
        <w:rPr>
          <w:spacing w:val="-2"/>
        </w:rPr>
        <w:t> </w:t>
      </w:r>
      <w:r>
        <w:rPr/>
        <w:t>agreed</w:t>
      </w:r>
      <w:r>
        <w:rPr>
          <w:spacing w:val="-1"/>
        </w:rPr>
        <w:t> </w:t>
      </w:r>
      <w:r>
        <w:rPr/>
        <w:t>with</w:t>
      </w:r>
      <w:r>
        <w:rPr>
          <w:spacing w:val="-1"/>
        </w:rPr>
        <w:t> </w:t>
      </w:r>
      <w:r>
        <w:rPr/>
        <w:t>anecdotally</w:t>
      </w:r>
      <w:r>
        <w:rPr>
          <w:spacing w:val="-2"/>
        </w:rPr>
        <w:t> </w:t>
      </w:r>
      <w:r>
        <w:rPr/>
        <w:t>(Wigan’s</w:t>
      </w:r>
      <w:r>
        <w:rPr>
          <w:spacing w:val="-1"/>
        </w:rPr>
        <w:t> </w:t>
      </w:r>
      <w:r>
        <w:rPr/>
        <w:t>poor attacking prowess and Catalan’s weakness on the right side of their defence) and an el- ement that they hadn’t considered (Castleford’s left sided bias).</w:t>
      </w:r>
      <w:r>
        <w:rPr>
          <w:spacing w:val="40"/>
        </w:rPr>
        <w:t> </w:t>
      </w:r>
      <w:r>
        <w:rPr/>
        <w:t>They approved of the expected points scored as a potential performance measure and pointed out Wigan’s im- proved</w:t>
      </w:r>
      <w:r>
        <w:rPr>
          <w:spacing w:val="-13"/>
        </w:rPr>
        <w:t> </w:t>
      </w:r>
      <w:r>
        <w:rPr/>
        <w:t>performance</w:t>
      </w:r>
      <w:r>
        <w:rPr>
          <w:spacing w:val="-13"/>
        </w:rPr>
        <w:t> </w:t>
      </w:r>
      <w:r>
        <w:rPr/>
        <w:t>in</w:t>
      </w:r>
      <w:r>
        <w:rPr>
          <w:spacing w:val="-13"/>
        </w:rPr>
        <w:t> </w:t>
      </w:r>
      <w:r>
        <w:rPr/>
        <w:t>the</w:t>
      </w:r>
      <w:r>
        <w:rPr>
          <w:spacing w:val="-13"/>
        </w:rPr>
        <w:t> </w:t>
      </w:r>
      <w:r>
        <w:rPr/>
        <w:t>league</w:t>
      </w:r>
      <w:r>
        <w:rPr>
          <w:spacing w:val="-13"/>
        </w:rPr>
        <w:t> </w:t>
      </w:r>
      <w:r>
        <w:rPr/>
        <w:t>in</w:t>
      </w:r>
      <w:r>
        <w:rPr>
          <w:spacing w:val="-13"/>
        </w:rPr>
        <w:t> </w:t>
      </w:r>
      <w:r>
        <w:rPr/>
        <w:t>2022</w:t>
      </w:r>
      <w:r>
        <w:rPr>
          <w:spacing w:val="-13"/>
        </w:rPr>
        <w:t> </w:t>
      </w:r>
      <w:r>
        <w:rPr/>
        <w:t>after</w:t>
      </w:r>
      <w:r>
        <w:rPr>
          <w:spacing w:val="-13"/>
        </w:rPr>
        <w:t> </w:t>
      </w:r>
      <w:r>
        <w:rPr/>
        <w:t>seeing</w:t>
      </w:r>
      <w:r>
        <w:rPr>
          <w:spacing w:val="-13"/>
        </w:rPr>
        <w:t> </w:t>
      </w:r>
      <w:r>
        <w:rPr/>
        <w:t>it. However,</w:t>
      </w:r>
      <w:r>
        <w:rPr>
          <w:spacing w:val="-11"/>
        </w:rPr>
        <w:t> </w:t>
      </w:r>
      <w:r>
        <w:rPr/>
        <w:t>they</w:t>
      </w:r>
      <w:r>
        <w:rPr>
          <w:spacing w:val="-13"/>
        </w:rPr>
        <w:t> </w:t>
      </w:r>
      <w:r>
        <w:rPr/>
        <w:t>would</w:t>
      </w:r>
      <w:r>
        <w:rPr>
          <w:spacing w:val="-13"/>
        </w:rPr>
        <w:t> </w:t>
      </w:r>
      <w:r>
        <w:rPr/>
        <w:t>prefer</w:t>
      </w:r>
      <w:r>
        <w:rPr>
          <w:spacing w:val="-13"/>
        </w:rPr>
        <w:t> </w:t>
      </w:r>
      <w:r>
        <w:rPr/>
        <w:t>it</w:t>
      </w:r>
      <w:r>
        <w:rPr>
          <w:spacing w:val="-13"/>
        </w:rPr>
        <w:t> </w:t>
      </w:r>
      <w:r>
        <w:rPr/>
        <w:t>to be</w:t>
      </w:r>
      <w:r>
        <w:rPr>
          <w:spacing w:val="-10"/>
        </w:rPr>
        <w:t> </w:t>
      </w:r>
      <w:r>
        <w:rPr/>
        <w:t>used</w:t>
      </w:r>
      <w:r>
        <w:rPr>
          <w:spacing w:val="-10"/>
        </w:rPr>
        <w:t> </w:t>
      </w:r>
      <w:r>
        <w:rPr/>
        <w:t>on</w:t>
      </w:r>
      <w:r>
        <w:rPr>
          <w:spacing w:val="-10"/>
        </w:rPr>
        <w:t> </w:t>
      </w:r>
      <w:r>
        <w:rPr/>
        <w:t>a</w:t>
      </w:r>
      <w:r>
        <w:rPr>
          <w:spacing w:val="-10"/>
        </w:rPr>
        <w:t> </w:t>
      </w:r>
      <w:r>
        <w:rPr/>
        <w:t>match</w:t>
      </w:r>
      <w:r>
        <w:rPr>
          <w:spacing w:val="-10"/>
        </w:rPr>
        <w:t> </w:t>
      </w:r>
      <w:r>
        <w:rPr/>
        <w:t>by</w:t>
      </w:r>
      <w:r>
        <w:rPr>
          <w:spacing w:val="-10"/>
        </w:rPr>
        <w:t> </w:t>
      </w:r>
      <w:r>
        <w:rPr/>
        <w:t>match</w:t>
      </w:r>
      <w:r>
        <w:rPr>
          <w:spacing w:val="-10"/>
        </w:rPr>
        <w:t> </w:t>
      </w:r>
      <w:r>
        <w:rPr/>
        <w:t>basis</w:t>
      </w:r>
      <w:r>
        <w:rPr>
          <w:spacing w:val="-10"/>
        </w:rPr>
        <w:t> </w:t>
      </w:r>
      <w:r>
        <w:rPr/>
        <w:t>rather</w:t>
      </w:r>
      <w:r>
        <w:rPr>
          <w:spacing w:val="-10"/>
        </w:rPr>
        <w:t> </w:t>
      </w:r>
      <w:r>
        <w:rPr/>
        <w:t>than</w:t>
      </w:r>
      <w:r>
        <w:rPr>
          <w:spacing w:val="-10"/>
        </w:rPr>
        <w:t> </w:t>
      </w:r>
      <w:r>
        <w:rPr/>
        <w:t>across</w:t>
      </w:r>
      <w:r>
        <w:rPr>
          <w:spacing w:val="-10"/>
        </w:rPr>
        <w:t> </w:t>
      </w:r>
      <w:r>
        <w:rPr/>
        <w:t>a</w:t>
      </w:r>
      <w:r>
        <w:rPr>
          <w:spacing w:val="-10"/>
        </w:rPr>
        <w:t> </w:t>
      </w:r>
      <w:r>
        <w:rPr/>
        <w:t>season,</w:t>
      </w:r>
      <w:r>
        <w:rPr>
          <w:spacing w:val="-9"/>
        </w:rPr>
        <w:t> </w:t>
      </w:r>
      <w:r>
        <w:rPr/>
        <w:t>which</w:t>
      </w:r>
      <w:r>
        <w:rPr>
          <w:spacing w:val="-10"/>
        </w:rPr>
        <w:t> </w:t>
      </w:r>
      <w:r>
        <w:rPr/>
        <w:t>may</w:t>
      </w:r>
      <w:r>
        <w:rPr>
          <w:spacing w:val="-10"/>
        </w:rPr>
        <w:t> </w:t>
      </w:r>
      <w:r>
        <w:rPr/>
        <w:t>be</w:t>
      </w:r>
      <w:r>
        <w:rPr>
          <w:spacing w:val="-10"/>
        </w:rPr>
        <w:t> </w:t>
      </w:r>
      <w:r>
        <w:rPr/>
        <w:t>problematic due to the low sample sizes each match.</w:t>
      </w:r>
      <w:r>
        <w:rPr>
          <w:spacing w:val="26"/>
        </w:rPr>
        <w:t> </w:t>
      </w:r>
      <w:r>
        <w:rPr/>
        <w:t>The player ratings provided 19 names that they agreed</w:t>
      </w:r>
      <w:r>
        <w:rPr>
          <w:spacing w:val="-9"/>
        </w:rPr>
        <w:t> </w:t>
      </w:r>
      <w:r>
        <w:rPr/>
        <w:t>with</w:t>
      </w:r>
      <w:r>
        <w:rPr>
          <w:spacing w:val="-9"/>
        </w:rPr>
        <w:t> </w:t>
      </w:r>
      <w:r>
        <w:rPr/>
        <w:t>and</w:t>
      </w:r>
      <w:r>
        <w:rPr>
          <w:spacing w:val="-9"/>
        </w:rPr>
        <w:t> </w:t>
      </w:r>
      <w:r>
        <w:rPr/>
        <w:t>one</w:t>
      </w:r>
      <w:r>
        <w:rPr>
          <w:spacing w:val="-9"/>
        </w:rPr>
        <w:t> </w:t>
      </w:r>
      <w:r>
        <w:rPr/>
        <w:t>name</w:t>
      </w:r>
      <w:r>
        <w:rPr>
          <w:spacing w:val="-9"/>
        </w:rPr>
        <w:t> </w:t>
      </w:r>
      <w:r>
        <w:rPr/>
        <w:t>they</w:t>
      </w:r>
      <w:r>
        <w:rPr>
          <w:spacing w:val="-9"/>
        </w:rPr>
        <w:t> </w:t>
      </w:r>
      <w:r>
        <w:rPr/>
        <w:t>wouldn’t</w:t>
      </w:r>
      <w:r>
        <w:rPr>
          <w:spacing w:val="-9"/>
        </w:rPr>
        <w:t> </w:t>
      </w:r>
      <w:r>
        <w:rPr/>
        <w:t>have</w:t>
      </w:r>
      <w:r>
        <w:rPr>
          <w:spacing w:val="-9"/>
        </w:rPr>
        <w:t> </w:t>
      </w:r>
      <w:r>
        <w:rPr/>
        <w:t>expected,</w:t>
      </w:r>
      <w:r>
        <w:rPr>
          <w:spacing w:val="-8"/>
        </w:rPr>
        <w:t> </w:t>
      </w:r>
      <w:r>
        <w:rPr/>
        <w:t>but</w:t>
      </w:r>
      <w:r>
        <w:rPr>
          <w:spacing w:val="-9"/>
        </w:rPr>
        <w:t> </w:t>
      </w:r>
      <w:r>
        <w:rPr/>
        <w:t>suggested</w:t>
      </w:r>
      <w:r>
        <w:rPr>
          <w:spacing w:val="-9"/>
        </w:rPr>
        <w:t> </w:t>
      </w:r>
      <w:r>
        <w:rPr/>
        <w:t>was</w:t>
      </w:r>
      <w:r>
        <w:rPr>
          <w:spacing w:val="-9"/>
        </w:rPr>
        <w:t> </w:t>
      </w:r>
      <w:r>
        <w:rPr/>
        <w:t>likely</w:t>
      </w:r>
      <w:r>
        <w:rPr>
          <w:spacing w:val="-9"/>
        </w:rPr>
        <w:t> </w:t>
      </w:r>
      <w:r>
        <w:rPr/>
        <w:t>to</w:t>
      </w:r>
      <w:r>
        <w:rPr>
          <w:spacing w:val="-9"/>
        </w:rPr>
        <w:t> </w:t>
      </w:r>
      <w:r>
        <w:rPr/>
        <w:t>be</w:t>
      </w:r>
      <w:r>
        <w:rPr>
          <w:spacing w:val="-9"/>
        </w:rPr>
        <w:t> </w:t>
      </w:r>
      <w:r>
        <w:rPr/>
        <w:t>in the</w:t>
      </w:r>
      <w:r>
        <w:rPr>
          <w:spacing w:val="-8"/>
        </w:rPr>
        <w:t> </w:t>
      </w:r>
      <w:r>
        <w:rPr/>
        <w:t>top</w:t>
      </w:r>
      <w:r>
        <w:rPr>
          <w:spacing w:val="-8"/>
        </w:rPr>
        <w:t> </w:t>
      </w:r>
      <w:r>
        <w:rPr/>
        <w:t>20</w:t>
      </w:r>
      <w:r>
        <w:rPr>
          <w:spacing w:val="-8"/>
        </w:rPr>
        <w:t> </w:t>
      </w:r>
      <w:r>
        <w:rPr/>
        <w:t>players</w:t>
      </w:r>
      <w:r>
        <w:rPr>
          <w:spacing w:val="-8"/>
        </w:rPr>
        <w:t> </w:t>
      </w:r>
      <w:r>
        <w:rPr/>
        <w:t>at</w:t>
      </w:r>
      <w:r>
        <w:rPr>
          <w:spacing w:val="-8"/>
        </w:rPr>
        <w:t> </w:t>
      </w:r>
      <w:r>
        <w:rPr/>
        <w:t>the</w:t>
      </w:r>
      <w:r>
        <w:rPr>
          <w:spacing w:val="-8"/>
        </w:rPr>
        <w:t> </w:t>
      </w:r>
      <w:r>
        <w:rPr/>
        <w:t>end</w:t>
      </w:r>
      <w:r>
        <w:rPr>
          <w:spacing w:val="-8"/>
        </w:rPr>
        <w:t> </w:t>
      </w:r>
      <w:r>
        <w:rPr/>
        <w:t>of</w:t>
      </w:r>
      <w:r>
        <w:rPr>
          <w:spacing w:val="-8"/>
        </w:rPr>
        <w:t> </w:t>
      </w:r>
      <w:r>
        <w:rPr/>
        <w:t>the</w:t>
      </w:r>
      <w:r>
        <w:rPr>
          <w:spacing w:val="-8"/>
        </w:rPr>
        <w:t> </w:t>
      </w:r>
      <w:r>
        <w:rPr/>
        <w:t>season</w:t>
      </w:r>
      <w:r>
        <w:rPr>
          <w:spacing w:val="-8"/>
        </w:rPr>
        <w:t> </w:t>
      </w:r>
      <w:r>
        <w:rPr/>
        <w:t>due</w:t>
      </w:r>
      <w:r>
        <w:rPr>
          <w:spacing w:val="-8"/>
        </w:rPr>
        <w:t> </w:t>
      </w:r>
      <w:r>
        <w:rPr/>
        <w:t>to</w:t>
      </w:r>
      <w:r>
        <w:rPr>
          <w:spacing w:val="-8"/>
        </w:rPr>
        <w:t> </w:t>
      </w:r>
      <w:r>
        <w:rPr/>
        <w:t>the</w:t>
      </w:r>
      <w:r>
        <w:rPr>
          <w:spacing w:val="-8"/>
        </w:rPr>
        <w:t> </w:t>
      </w:r>
      <w:r>
        <w:rPr/>
        <w:t>number</w:t>
      </w:r>
      <w:r>
        <w:rPr>
          <w:spacing w:val="-8"/>
        </w:rPr>
        <w:t> </w:t>
      </w:r>
      <w:r>
        <w:rPr/>
        <w:t>of</w:t>
      </w:r>
      <w:r>
        <w:rPr>
          <w:spacing w:val="-8"/>
        </w:rPr>
        <w:t> </w:t>
      </w:r>
      <w:r>
        <w:rPr/>
        <w:t>touches</w:t>
      </w:r>
      <w:r>
        <w:rPr>
          <w:spacing w:val="-8"/>
        </w:rPr>
        <w:t> </w:t>
      </w:r>
      <w:r>
        <w:rPr/>
        <w:t>of</w:t>
      </w:r>
      <w:r>
        <w:rPr>
          <w:spacing w:val="-8"/>
        </w:rPr>
        <w:t> </w:t>
      </w:r>
      <w:r>
        <w:rPr/>
        <w:t>the</w:t>
      </w:r>
      <w:r>
        <w:rPr>
          <w:spacing w:val="-8"/>
        </w:rPr>
        <w:t> </w:t>
      </w:r>
      <w:r>
        <w:rPr/>
        <w:t>ball</w:t>
      </w:r>
      <w:r>
        <w:rPr>
          <w:spacing w:val="-8"/>
        </w:rPr>
        <w:t> </w:t>
      </w:r>
      <w:r>
        <w:rPr/>
        <w:t>he</w:t>
      </w:r>
      <w:r>
        <w:rPr>
          <w:spacing w:val="-8"/>
        </w:rPr>
        <w:t> </w:t>
      </w:r>
      <w:r>
        <w:rPr/>
        <w:t>was likely to have per possession, which was not controlled for in the rating.</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firstLine="351"/>
        <w:jc w:val="both"/>
      </w:pPr>
      <w:r>
        <w:rPr/>
        <w:t>Preprocessing</w:t>
      </w:r>
      <w:r>
        <w:rPr>
          <w:spacing w:val="-10"/>
        </w:rPr>
        <w:t> </w:t>
      </w:r>
      <w:r>
        <w:rPr/>
        <w:t>and</w:t>
      </w:r>
      <w:r>
        <w:rPr>
          <w:spacing w:val="-10"/>
        </w:rPr>
        <w:t> </w:t>
      </w:r>
      <w:r>
        <w:rPr/>
        <w:t>weights</w:t>
      </w:r>
      <w:r>
        <w:rPr>
          <w:spacing w:val="-10"/>
        </w:rPr>
        <w:t> </w:t>
      </w:r>
      <w:r>
        <w:rPr/>
        <w:t>calculations</w:t>
      </w:r>
      <w:r>
        <w:rPr>
          <w:spacing w:val="-10"/>
        </w:rPr>
        <w:t> </w:t>
      </w:r>
      <w:r>
        <w:rPr/>
        <w:t>were</w:t>
      </w:r>
      <w:r>
        <w:rPr>
          <w:spacing w:val="-10"/>
        </w:rPr>
        <w:t> </w:t>
      </w:r>
      <w:r>
        <w:rPr/>
        <w:t>completed</w:t>
      </w:r>
      <w:r>
        <w:rPr>
          <w:spacing w:val="-10"/>
        </w:rPr>
        <w:t> </w:t>
      </w:r>
      <w:r>
        <w:rPr/>
        <w:t>using</w:t>
      </w:r>
      <w:r>
        <w:rPr>
          <w:spacing w:val="-10"/>
        </w:rPr>
        <w:t> </w:t>
      </w:r>
      <w:r>
        <w:rPr/>
        <w:t>bespoke</w:t>
      </w:r>
      <w:r>
        <w:rPr>
          <w:spacing w:val="-10"/>
        </w:rPr>
        <w:t> </w:t>
      </w:r>
      <w:r>
        <w:rPr/>
        <w:t>Python</w:t>
      </w:r>
      <w:r>
        <w:rPr>
          <w:spacing w:val="-10"/>
        </w:rPr>
        <w:t> </w:t>
      </w:r>
      <w:r>
        <w:rPr/>
        <w:t>scripts (Python 3.7, Python Software Foundation, Delawere, USA). PyMC3 v3.11.4 (</w:t>
      </w:r>
      <w:hyperlink w:history="true" w:anchor="_bookmark288">
        <w:r>
          <w:rPr>
            <w:color w:val="FF0000"/>
          </w:rPr>
          <w:t>Salvatier</w:t>
        </w:r>
      </w:hyperlink>
      <w:r>
        <w:rPr>
          <w:color w:val="FF0000"/>
        </w:rPr>
        <w:t> </w:t>
      </w:r>
      <w:hyperlink w:history="true" w:anchor="_bookmark288">
        <w:r>
          <w:rPr>
            <w:color w:val="FF0000"/>
          </w:rPr>
          <w:t>et al.</w:t>
        </w:r>
      </w:hyperlink>
      <w:r>
        <w:rPr/>
        <w:t>,</w:t>
      </w:r>
      <w:hyperlink w:history="true" w:anchor="_bookmark288">
        <w:r>
          <w:rPr>
            <w:color w:val="FF0000"/>
          </w:rPr>
          <w:t>2016</w:t>
        </w:r>
        <w:r>
          <w:rPr/>
          <w:t>)</w:t>
        </w:r>
      </w:hyperlink>
      <w:r>
        <w:rPr/>
        <w:t> was used to conduct all Bayesian analyses.</w:t>
      </w:r>
    </w:p>
    <w:p>
      <w:pPr>
        <w:pStyle w:val="BodyText"/>
        <w:spacing w:before="8"/>
        <w:rPr>
          <w:sz w:val="40"/>
        </w:rPr>
      </w:pPr>
    </w:p>
    <w:p>
      <w:pPr>
        <w:pStyle w:val="Heading2"/>
        <w:numPr>
          <w:ilvl w:val="1"/>
          <w:numId w:val="24"/>
        </w:numPr>
        <w:tabs>
          <w:tab w:pos="1385" w:val="left" w:leader="none"/>
          <w:tab w:pos="1386" w:val="left" w:leader="none"/>
        </w:tabs>
        <w:spacing w:line="240" w:lineRule="auto" w:before="0" w:after="0"/>
        <w:ind w:left="1385" w:right="0" w:hanging="776"/>
        <w:jc w:val="left"/>
      </w:pPr>
      <w:bookmarkStart w:name="6.4 Summary" w:id="358"/>
      <w:bookmarkEnd w:id="358"/>
      <w:r>
        <w:rPr>
          <w:b w:val="0"/>
        </w:rPr>
      </w:r>
      <w:bookmarkStart w:name="_bookmark213" w:id="359"/>
      <w:bookmarkEnd w:id="359"/>
      <w:r>
        <w:rPr>
          <w:spacing w:val="-2"/>
        </w:rPr>
        <w:t>Summary</w:t>
      </w:r>
    </w:p>
    <w:p>
      <w:pPr>
        <w:pStyle w:val="BodyText"/>
        <w:spacing w:line="312" w:lineRule="auto" w:before="309"/>
        <w:ind w:left="610" w:right="389"/>
      </w:pPr>
      <w:r>
        <w:rPr/>
        <w:t>This study improved upon the work presented in Chapter</w:t>
      </w:r>
      <w:r>
        <w:rPr>
          <w:color w:val="0000FF"/>
        </w:rPr>
        <w:t>5</w:t>
      </w:r>
      <w:r>
        <w:rPr/>
        <w:t>by proposing a novel EPV model</w:t>
      </w:r>
      <w:r>
        <w:rPr>
          <w:spacing w:val="-10"/>
        </w:rPr>
        <w:t> </w:t>
      </w:r>
      <w:r>
        <w:rPr/>
        <w:t>which</w:t>
      </w:r>
      <w:r>
        <w:rPr>
          <w:spacing w:val="-10"/>
        </w:rPr>
        <w:t> </w:t>
      </w:r>
      <w:r>
        <w:rPr/>
        <w:t>can</w:t>
      </w:r>
      <w:r>
        <w:rPr>
          <w:spacing w:val="-10"/>
        </w:rPr>
        <w:t> </w:t>
      </w:r>
      <w:r>
        <w:rPr/>
        <w:t>be</w:t>
      </w:r>
      <w:r>
        <w:rPr>
          <w:spacing w:val="-10"/>
        </w:rPr>
        <w:t> </w:t>
      </w:r>
      <w:r>
        <w:rPr/>
        <w:t>used</w:t>
      </w:r>
      <w:r>
        <w:rPr>
          <w:spacing w:val="-10"/>
        </w:rPr>
        <w:t> </w:t>
      </w:r>
      <w:r>
        <w:rPr/>
        <w:t>to</w:t>
      </w:r>
      <w:r>
        <w:rPr>
          <w:spacing w:val="-10"/>
        </w:rPr>
        <w:t> </w:t>
      </w:r>
      <w:r>
        <w:rPr/>
        <w:t>evaluate</w:t>
      </w:r>
      <w:r>
        <w:rPr>
          <w:spacing w:val="-10"/>
        </w:rPr>
        <w:t> </w:t>
      </w:r>
      <w:r>
        <w:rPr/>
        <w:t>team</w:t>
      </w:r>
      <w:r>
        <w:rPr>
          <w:spacing w:val="-10"/>
        </w:rPr>
        <w:t> </w:t>
      </w:r>
      <w:r>
        <w:rPr/>
        <w:t>and</w:t>
      </w:r>
      <w:r>
        <w:rPr>
          <w:spacing w:val="-10"/>
        </w:rPr>
        <w:t> </w:t>
      </w:r>
      <w:r>
        <w:rPr/>
        <w:t>player</w:t>
      </w:r>
      <w:r>
        <w:rPr>
          <w:spacing w:val="-10"/>
        </w:rPr>
        <w:t> </w:t>
      </w:r>
      <w:r>
        <w:rPr/>
        <w:t>performances</w:t>
      </w:r>
      <w:r>
        <w:rPr>
          <w:spacing w:val="-10"/>
        </w:rPr>
        <w:t> </w:t>
      </w:r>
      <w:r>
        <w:rPr/>
        <w:t>in</w:t>
      </w:r>
      <w:r>
        <w:rPr>
          <w:spacing w:val="-10"/>
        </w:rPr>
        <w:t> </w:t>
      </w:r>
      <w:r>
        <w:rPr/>
        <w:t>rugby</w:t>
      </w:r>
      <w:r>
        <w:rPr>
          <w:spacing w:val="-10"/>
        </w:rPr>
        <w:t> </w:t>
      </w:r>
      <w:r>
        <w:rPr/>
        <w:t>league</w:t>
      </w:r>
      <w:r>
        <w:rPr>
          <w:spacing w:val="-10"/>
        </w:rPr>
        <w:t> </w:t>
      </w:r>
      <w:r>
        <w:rPr/>
        <w:t>with- out</w:t>
      </w:r>
      <w:r>
        <w:rPr>
          <w:spacing w:val="-1"/>
        </w:rPr>
        <w:t> </w:t>
      </w:r>
      <w:r>
        <w:rPr/>
        <w:t>the</w:t>
      </w:r>
      <w:r>
        <w:rPr>
          <w:spacing w:val="-1"/>
        </w:rPr>
        <w:t> </w:t>
      </w:r>
      <w:r>
        <w:rPr/>
        <w:t>need</w:t>
      </w:r>
      <w:r>
        <w:rPr>
          <w:spacing w:val="-1"/>
        </w:rPr>
        <w:t> </w:t>
      </w:r>
      <w:r>
        <w:rPr/>
        <w:t>for</w:t>
      </w:r>
      <w:r>
        <w:rPr>
          <w:spacing w:val="-1"/>
        </w:rPr>
        <w:t> </w:t>
      </w:r>
      <w:r>
        <w:rPr/>
        <w:t>additional</w:t>
      </w:r>
      <w:r>
        <w:rPr>
          <w:spacing w:val="-1"/>
        </w:rPr>
        <w:t> </w:t>
      </w:r>
      <w:r>
        <w:rPr/>
        <w:t>contextual</w:t>
      </w:r>
      <w:r>
        <w:rPr>
          <w:spacing w:val="-1"/>
        </w:rPr>
        <w:t> </w:t>
      </w:r>
      <w:r>
        <w:rPr/>
        <w:t>information.</w:t>
      </w:r>
      <w:r>
        <w:rPr>
          <w:spacing w:val="23"/>
        </w:rPr>
        <w:t> </w:t>
      </w:r>
      <w:r>
        <w:rPr/>
        <w:t>A</w:t>
      </w:r>
      <w:r>
        <w:rPr>
          <w:spacing w:val="-1"/>
        </w:rPr>
        <w:t> </w:t>
      </w:r>
      <w:r>
        <w:rPr/>
        <w:t>Bayesian</w:t>
      </w:r>
      <w:r>
        <w:rPr>
          <w:spacing w:val="-1"/>
        </w:rPr>
        <w:t> </w:t>
      </w:r>
      <w:r>
        <w:rPr/>
        <w:t>Mixture</w:t>
      </w:r>
      <w:r>
        <w:rPr>
          <w:spacing w:val="-1"/>
        </w:rPr>
        <w:t> </w:t>
      </w:r>
      <w:r>
        <w:rPr/>
        <w:t>Model</w:t>
      </w:r>
      <w:r>
        <w:rPr>
          <w:spacing w:val="-1"/>
        </w:rPr>
        <w:t> </w:t>
      </w:r>
      <w:r>
        <w:rPr/>
        <w:t>provided a smooth pitch surface of possession outcome probabilities and EPV, improving upon</w:t>
      </w:r>
      <w:r>
        <w:rPr>
          <w:spacing w:val="40"/>
        </w:rPr>
        <w:t> </w:t>
      </w:r>
      <w:r>
        <w:rPr/>
        <w:t>the zonal aggregation methods previously used (Chapters</w:t>
      </w:r>
      <w:r>
        <w:rPr>
          <w:color w:val="0000FF"/>
        </w:rPr>
        <w:t>3</w:t>
      </w:r>
      <w:r>
        <w:rPr/>
        <w:t>and</w:t>
      </w:r>
      <w:r>
        <w:rPr>
          <w:color w:val="0000FF"/>
        </w:rPr>
        <w:t>4</w:t>
      </w:r>
      <w:r>
        <w:rPr/>
        <w:t>;</w:t>
      </w:r>
      <w:hyperlink w:history="true" w:anchor="_bookmark92">
        <w:r>
          <w:rPr>
            <w:color w:val="FF0000"/>
          </w:rPr>
          <w:t>Cerv</w:t>
        </w:r>
      </w:hyperlink>
      <w:hyperlink w:history="true" w:anchor="_bookmark231">
        <w:r>
          <w:rPr>
            <w:color w:val="FF0000"/>
          </w:rPr>
          <w:t>one et al.</w:t>
        </w:r>
        <w:r>
          <w:rPr/>
          <w:t>(</w:t>
        </w:r>
      </w:hyperlink>
      <w:r>
        <w:rPr>
          <w:color w:val="FF0000"/>
        </w:rPr>
        <w:t>2016</w:t>
      </w:r>
      <w:hyperlink w:history="true" w:anchor="_bookmark231">
        <w:r>
          <w:rPr/>
          <w:t>);</w:t>
        </w:r>
      </w:hyperlink>
      <w:r>
        <w:rPr/>
        <w:t> </w:t>
      </w:r>
      <w:hyperlink w:history="true" w:anchor="_bookmark232">
        <w:r>
          <w:rPr>
            <w:color w:val="FF0000"/>
          </w:rPr>
          <w:t>Chan et al.</w:t>
        </w:r>
      </w:hyperlink>
      <w:r>
        <w:rPr/>
        <w:t>(</w:t>
      </w:r>
      <w:hyperlink w:history="true" w:anchor="_bookmark232">
        <w:r>
          <w:rPr>
            <w:color w:val="FF0000"/>
          </w:rPr>
          <w:t>2021</w:t>
        </w:r>
      </w:hyperlink>
      <w:r>
        <w:rPr/>
        <w:t>);</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Similarly, this was the first model to estimate multiple individual possession outcome probabilities in a single model rather than com- bining them numerically (</w:t>
      </w:r>
      <w:hyperlink w:history="true" w:anchor="_bookmark231">
        <w:r>
          <w:rPr>
            <w:color w:val="FF0000"/>
          </w:rPr>
          <w:t>Cervone et al.</w:t>
        </w:r>
      </w:hyperlink>
      <w:r>
        <w:rPr/>
        <w:t>,</w:t>
      </w:r>
      <w:hyperlink w:history="true" w:anchor="_bookmark231">
        <w:r>
          <w:rPr>
            <w:color w:val="FF0000"/>
          </w:rPr>
          <w:t>2016</w:t>
        </w:r>
        <w:r>
          <w:rPr/>
          <w:t>;</w:t>
        </w:r>
      </w:hyperlink>
      <w:hyperlink w:history="true" w:anchor="_bookmark232">
        <w:r>
          <w:rPr>
            <w:color w:val="FF0000"/>
          </w:rPr>
          <w:t>Chan et al.</w:t>
        </w:r>
        <w:r>
          <w:rPr/>
          <w:t>,</w:t>
        </w:r>
      </w:hyperlink>
      <w:r>
        <w:rPr>
          <w:color w:val="FF0000"/>
        </w:rPr>
        <w:t>2021</w:t>
      </w:r>
      <w:hyperlink w:history="true" w:anchor="_bookmark232">
        <w:r>
          <w:rPr/>
          <w:t>;</w:t>
        </w:r>
        <w:r>
          <w:rPr>
            <w:color w:val="FF0000"/>
          </w:rPr>
          <w:t>K</w:t>
        </w:r>
      </w:hyperlink>
      <w:hyperlink w:history="true" w:anchor="_bookmark263">
        <w:r>
          <w:rPr>
            <w:color w:val="FF0000"/>
          </w:rPr>
          <w:t>empton et al.</w:t>
        </w:r>
        <w:r>
          <w:rPr/>
          <w:t>,</w:t>
        </w:r>
      </w:hyperlink>
      <w:r>
        <w:rPr>
          <w:color w:val="FF0000"/>
        </w:rPr>
        <w:t>2016</w:t>
      </w:r>
      <w:hyperlink w:history="true" w:anchor="_bookmark263">
        <w:r>
          <w:rPr/>
          <w:t>)</w:t>
        </w:r>
      </w:hyperlink>
    </w:p>
    <w:p>
      <w:pPr>
        <w:pStyle w:val="BodyText"/>
        <w:spacing w:line="312" w:lineRule="auto"/>
        <w:ind w:left="610" w:right="389"/>
      </w:pPr>
      <w:r>
        <w:rPr/>
        <w:t>or estimating them in separate models (</w:t>
      </w:r>
      <w:hyperlink w:history="true" w:anchor="_bookmark239">
        <w:r>
          <w:rPr>
            <w:color w:val="FF0000"/>
          </w:rPr>
          <w:t>Decroos et al.</w:t>
        </w:r>
      </w:hyperlink>
      <w:r>
        <w:rPr/>
        <w:t>,</w:t>
      </w:r>
      <w:hyperlink w:history="true" w:anchor="_bookmark239">
        <w:r>
          <w:rPr>
            <w:color w:val="FF0000"/>
          </w:rPr>
          <w:t>2019</w:t>
        </w:r>
      </w:hyperlink>
      <w:r>
        <w:rPr/>
        <w:t>).</w:t>
      </w:r>
      <w:r>
        <w:rPr>
          <w:spacing w:val="40"/>
        </w:rPr>
        <w:t> </w:t>
      </w:r>
      <w:r>
        <w:rPr/>
        <w:t>Two novel metrics were presented: expected</w:t>
      </w:r>
      <w:r>
        <w:rPr>
          <w:spacing w:val="-9"/>
        </w:rPr>
        <w:t> </w:t>
      </w:r>
      <w:r>
        <w:rPr/>
        <w:t>points</w:t>
      </w:r>
      <w:r>
        <w:rPr>
          <w:spacing w:val="-9"/>
        </w:rPr>
        <w:t> </w:t>
      </w:r>
      <w:r>
        <w:rPr/>
        <w:t>scored</w:t>
      </w:r>
      <w:r>
        <w:rPr>
          <w:spacing w:val="-9"/>
        </w:rPr>
        <w:t> </w:t>
      </w:r>
      <w:r>
        <w:rPr/>
        <w:t>to</w:t>
      </w:r>
      <w:r>
        <w:rPr>
          <w:spacing w:val="-9"/>
        </w:rPr>
        <w:t> </w:t>
      </w:r>
      <w:r>
        <w:rPr/>
        <w:t>evaluate</w:t>
      </w:r>
      <w:r>
        <w:rPr>
          <w:spacing w:val="-9"/>
        </w:rPr>
        <w:t> </w:t>
      </w:r>
      <w:r>
        <w:rPr/>
        <w:t>underlying</w:t>
      </w:r>
      <w:r>
        <w:rPr>
          <w:spacing w:val="-9"/>
        </w:rPr>
        <w:t> </w:t>
      </w:r>
      <w:r>
        <w:rPr/>
        <w:t>team</w:t>
      </w:r>
      <w:r>
        <w:rPr>
          <w:spacing w:val="-9"/>
        </w:rPr>
        <w:t> </w:t>
      </w:r>
      <w:r>
        <w:rPr/>
        <w:t>performances</w:t>
      </w:r>
      <w:r>
        <w:rPr>
          <w:spacing w:val="-9"/>
        </w:rPr>
        <w:t> </w:t>
      </w:r>
      <w:r>
        <w:rPr/>
        <w:t>and</w:t>
      </w:r>
      <w:r>
        <w:rPr>
          <w:spacing w:val="-9"/>
        </w:rPr>
        <w:t> </w:t>
      </w:r>
      <w:r>
        <w:rPr/>
        <w:t>AE</w:t>
      </w:r>
      <w:r>
        <w:rPr>
          <w:spacing w:val="-9"/>
        </w:rPr>
        <w:t> </w:t>
      </w:r>
      <w:r>
        <w:rPr/>
        <w:t>(ac- tual</w:t>
      </w:r>
      <w:r>
        <w:rPr>
          <w:spacing w:val="-7"/>
        </w:rPr>
        <w:t> </w:t>
      </w:r>
      <w:r>
        <w:rPr/>
        <w:t>vs</w:t>
      </w:r>
      <w:r>
        <w:rPr>
          <w:spacing w:val="-7"/>
        </w:rPr>
        <w:t> </w:t>
      </w:r>
      <w:r>
        <w:rPr/>
        <w:t>expected)</w:t>
      </w:r>
      <w:r>
        <w:rPr>
          <w:spacing w:val="-7"/>
        </w:rPr>
        <w:t> </w:t>
      </w:r>
      <w:r>
        <w:rPr/>
        <w:t>player</w:t>
      </w:r>
      <w:r>
        <w:rPr>
          <w:spacing w:val="-7"/>
        </w:rPr>
        <w:t> </w:t>
      </w:r>
      <w:r>
        <w:rPr/>
        <w:t>ratings</w:t>
      </w:r>
      <w:r>
        <w:rPr>
          <w:spacing w:val="-7"/>
        </w:rPr>
        <w:t> </w:t>
      </w:r>
      <w:r>
        <w:rPr/>
        <w:t>to</w:t>
      </w:r>
      <w:r>
        <w:rPr>
          <w:spacing w:val="-7"/>
        </w:rPr>
        <w:t> </w:t>
      </w:r>
      <w:r>
        <w:rPr/>
        <w:t>evaluate</w:t>
      </w:r>
      <w:r>
        <w:rPr>
          <w:spacing w:val="-7"/>
        </w:rPr>
        <w:t> </w:t>
      </w:r>
      <w:r>
        <w:rPr/>
        <w:t>player</w:t>
      </w:r>
      <w:r>
        <w:rPr>
          <w:spacing w:val="-7"/>
        </w:rPr>
        <w:t> </w:t>
      </w:r>
      <w:r>
        <w:rPr/>
        <w:t>performances. Visual</w:t>
      </w:r>
      <w:r>
        <w:rPr>
          <w:spacing w:val="-7"/>
        </w:rPr>
        <w:t> </w:t>
      </w:r>
      <w:r>
        <w:rPr/>
        <w:t>inspection</w:t>
      </w:r>
      <w:r>
        <w:rPr>
          <w:spacing w:val="-7"/>
        </w:rPr>
        <w:t> </w:t>
      </w:r>
      <w:r>
        <w:rPr/>
        <w:t>of</w:t>
      </w:r>
      <w:r>
        <w:rPr>
          <w:spacing w:val="-7"/>
        </w:rPr>
        <w:t> </w:t>
      </w:r>
      <w:r>
        <w:rPr/>
        <w:t>the smooth</w:t>
      </w:r>
      <w:r>
        <w:rPr>
          <w:spacing w:val="-15"/>
        </w:rPr>
        <w:t> </w:t>
      </w:r>
      <w:r>
        <w:rPr/>
        <w:t>pitch</w:t>
      </w:r>
      <w:r>
        <w:rPr>
          <w:spacing w:val="-15"/>
        </w:rPr>
        <w:t> </w:t>
      </w:r>
      <w:r>
        <w:rPr/>
        <w:t>surface</w:t>
      </w:r>
      <w:r>
        <w:rPr>
          <w:spacing w:val="-15"/>
        </w:rPr>
        <w:t> </w:t>
      </w:r>
      <w:r>
        <w:rPr/>
        <w:t>plots</w:t>
      </w:r>
      <w:r>
        <w:rPr>
          <w:spacing w:val="-15"/>
        </w:rPr>
        <w:t> </w:t>
      </w:r>
      <w:r>
        <w:rPr/>
        <w:t>was</w:t>
      </w:r>
      <w:r>
        <w:rPr>
          <w:spacing w:val="-15"/>
        </w:rPr>
        <w:t> </w:t>
      </w:r>
      <w:r>
        <w:rPr/>
        <w:t>also</w:t>
      </w:r>
      <w:r>
        <w:rPr>
          <w:spacing w:val="-15"/>
        </w:rPr>
        <w:t> </w:t>
      </w:r>
      <w:r>
        <w:rPr/>
        <w:t>shown</w:t>
      </w:r>
      <w:r>
        <w:rPr>
          <w:spacing w:val="-15"/>
        </w:rPr>
        <w:t> </w:t>
      </w:r>
      <w:r>
        <w:rPr/>
        <w:t>to</w:t>
      </w:r>
      <w:r>
        <w:rPr>
          <w:spacing w:val="-15"/>
        </w:rPr>
        <w:t> </w:t>
      </w:r>
      <w:r>
        <w:rPr/>
        <w:t>be</w:t>
      </w:r>
      <w:r>
        <w:rPr>
          <w:spacing w:val="-15"/>
        </w:rPr>
        <w:t> </w:t>
      </w:r>
      <w:r>
        <w:rPr/>
        <w:t>an</w:t>
      </w:r>
      <w:r>
        <w:rPr>
          <w:spacing w:val="-15"/>
        </w:rPr>
        <w:t> </w:t>
      </w:r>
      <w:r>
        <w:rPr/>
        <w:t>extremely</w:t>
      </w:r>
      <w:r>
        <w:rPr>
          <w:spacing w:val="-15"/>
        </w:rPr>
        <w:t> </w:t>
      </w:r>
      <w:r>
        <w:rPr/>
        <w:t>useful</w:t>
      </w:r>
      <w:r>
        <w:rPr>
          <w:spacing w:val="-15"/>
        </w:rPr>
        <w:t> </w:t>
      </w:r>
      <w:r>
        <w:rPr/>
        <w:t>method</w:t>
      </w:r>
      <w:r>
        <w:rPr>
          <w:spacing w:val="-15"/>
        </w:rPr>
        <w:t> </w:t>
      </w:r>
      <w:r>
        <w:rPr/>
        <w:t>of</w:t>
      </w:r>
      <w:r>
        <w:rPr>
          <w:spacing w:val="-15"/>
        </w:rPr>
        <w:t> </w:t>
      </w:r>
      <w:r>
        <w:rPr/>
        <w:t>gaining</w:t>
      </w:r>
      <w:r>
        <w:rPr>
          <w:spacing w:val="-15"/>
        </w:rPr>
        <w:t> </w:t>
      </w:r>
      <w:r>
        <w:rPr/>
        <w:t>an understanding of team strengths and weaknesses, in both attacking and defensive terms. The</w:t>
      </w:r>
      <w:r>
        <w:rPr>
          <w:spacing w:val="-15"/>
        </w:rPr>
        <w:t> </w:t>
      </w:r>
      <w:r>
        <w:rPr/>
        <w:t>insights</w:t>
      </w:r>
      <w:r>
        <w:rPr>
          <w:spacing w:val="-15"/>
        </w:rPr>
        <w:t> </w:t>
      </w:r>
      <w:r>
        <w:rPr/>
        <w:t>from</w:t>
      </w:r>
      <w:r>
        <w:rPr>
          <w:spacing w:val="-15"/>
        </w:rPr>
        <w:t> </w:t>
      </w:r>
      <w:r>
        <w:rPr/>
        <w:t>the</w:t>
      </w:r>
      <w:r>
        <w:rPr>
          <w:spacing w:val="-15"/>
        </w:rPr>
        <w:t> </w:t>
      </w:r>
      <w:r>
        <w:rPr/>
        <w:t>model</w:t>
      </w:r>
      <w:r>
        <w:rPr>
          <w:spacing w:val="-15"/>
        </w:rPr>
        <w:t> </w:t>
      </w:r>
      <w:r>
        <w:rPr/>
        <w:t>can</w:t>
      </w:r>
      <w:r>
        <w:rPr>
          <w:spacing w:val="-15"/>
        </w:rPr>
        <w:t> </w:t>
      </w:r>
      <w:r>
        <w:rPr/>
        <w:t>be</w:t>
      </w:r>
      <w:r>
        <w:rPr>
          <w:spacing w:val="-15"/>
        </w:rPr>
        <w:t> </w:t>
      </w:r>
      <w:r>
        <w:rPr/>
        <w:t>used</w:t>
      </w:r>
      <w:r>
        <w:rPr>
          <w:spacing w:val="-15"/>
        </w:rPr>
        <w:t> </w:t>
      </w:r>
      <w:r>
        <w:rPr/>
        <w:t>to</w:t>
      </w:r>
      <w:r>
        <w:rPr>
          <w:spacing w:val="-15"/>
        </w:rPr>
        <w:t> </w:t>
      </w:r>
      <w:r>
        <w:rPr/>
        <w:t>produce</w:t>
      </w:r>
      <w:r>
        <w:rPr>
          <w:spacing w:val="-15"/>
        </w:rPr>
        <w:t> </w:t>
      </w:r>
      <w:r>
        <w:rPr/>
        <w:t>tactical</w:t>
      </w:r>
      <w:r>
        <w:rPr>
          <w:spacing w:val="-15"/>
        </w:rPr>
        <w:t> </w:t>
      </w:r>
      <w:r>
        <w:rPr/>
        <w:t>strategies,</w:t>
      </w:r>
      <w:r>
        <w:rPr>
          <w:spacing w:val="-15"/>
        </w:rPr>
        <w:t> </w:t>
      </w:r>
      <w:r>
        <w:rPr/>
        <w:t>monitor</w:t>
      </w:r>
      <w:r>
        <w:rPr>
          <w:spacing w:val="-15"/>
        </w:rPr>
        <w:t> </w:t>
      </w:r>
      <w:r>
        <w:rPr/>
        <w:t>underlying team performances and enhance player recruitment.</w:t>
      </w:r>
    </w:p>
    <w:p>
      <w:pPr>
        <w:pStyle w:val="BodyText"/>
        <w:spacing w:line="312" w:lineRule="auto"/>
        <w:ind w:left="610" w:right="389" w:firstLine="351"/>
      </w:pPr>
      <w:r>
        <w:rPr/>
        <w:t>The work was presented to coaches at Leeds Rhinos, who provided an impact </w:t>
      </w:r>
      <w:r>
        <w:rPr/>
        <w:t>state- ment for the work (Appendix</w:t>
      </w:r>
      <w:r>
        <w:rPr>
          <w:color w:val="0000FF"/>
        </w:rPr>
        <w:t>D</w:t>
      </w:r>
      <w:r>
        <w:rPr/>
        <w:t>). The coaches were impressed and validated the work</w:t>
      </w:r>
      <w:r>
        <w:rPr>
          <w:spacing w:val="40"/>
        </w:rPr>
        <w:t> </w:t>
      </w:r>
      <w:r>
        <w:rPr/>
        <w:t>through their anecdotal understanding of the sport at both a team and player level.</w:t>
      </w:r>
      <w:r>
        <w:rPr>
          <w:spacing w:val="40"/>
        </w:rPr>
        <w:t> </w:t>
      </w:r>
      <w:r>
        <w:rPr/>
        <w:t>The usability</w:t>
      </w:r>
      <w:r>
        <w:rPr>
          <w:spacing w:val="-5"/>
        </w:rPr>
        <w:t> </w:t>
      </w:r>
      <w:r>
        <w:rPr/>
        <w:t>of</w:t>
      </w:r>
      <w:r>
        <w:rPr>
          <w:spacing w:val="-5"/>
        </w:rPr>
        <w:t> </w:t>
      </w:r>
      <w:r>
        <w:rPr/>
        <w:t>the</w:t>
      </w:r>
      <w:r>
        <w:rPr>
          <w:spacing w:val="-5"/>
        </w:rPr>
        <w:t> </w:t>
      </w:r>
      <w:r>
        <w:rPr/>
        <w:t>model</w:t>
      </w:r>
      <w:r>
        <w:rPr>
          <w:spacing w:val="-5"/>
        </w:rPr>
        <w:t> </w:t>
      </w:r>
      <w:r>
        <w:rPr/>
        <w:t>was</w:t>
      </w:r>
      <w:r>
        <w:rPr>
          <w:spacing w:val="-5"/>
        </w:rPr>
        <w:t> </w:t>
      </w:r>
      <w:r>
        <w:rPr/>
        <w:t>praised</w:t>
      </w:r>
      <w:r>
        <w:rPr>
          <w:spacing w:val="-5"/>
        </w:rPr>
        <w:t> </w:t>
      </w:r>
      <w:r>
        <w:rPr/>
        <w:t>(”the</w:t>
      </w:r>
      <w:r>
        <w:rPr>
          <w:spacing w:val="-5"/>
        </w:rPr>
        <w:t> </w:t>
      </w:r>
      <w:r>
        <w:rPr/>
        <w:t>ability</w:t>
      </w:r>
      <w:r>
        <w:rPr>
          <w:spacing w:val="-6"/>
        </w:rPr>
        <w:t> </w:t>
      </w:r>
      <w:r>
        <w:rPr/>
        <w:t>to</w:t>
      </w:r>
      <w:r>
        <w:rPr>
          <w:spacing w:val="-5"/>
        </w:rPr>
        <w:t> </w:t>
      </w:r>
      <w:r>
        <w:rPr/>
        <w:t>do</w:t>
      </w:r>
      <w:r>
        <w:rPr>
          <w:spacing w:val="-5"/>
        </w:rPr>
        <w:t> </w:t>
      </w:r>
      <w:r>
        <w:rPr/>
        <w:t>this</w:t>
      </w:r>
      <w:r>
        <w:rPr>
          <w:spacing w:val="-5"/>
        </w:rPr>
        <w:t> </w:t>
      </w:r>
      <w:r>
        <w:rPr/>
        <w:t>in</w:t>
      </w:r>
      <w:r>
        <w:rPr>
          <w:spacing w:val="-5"/>
        </w:rPr>
        <w:t> </w:t>
      </w:r>
      <w:r>
        <w:rPr/>
        <w:t>an</w:t>
      </w:r>
      <w:r>
        <w:rPr>
          <w:spacing w:val="-5"/>
        </w:rPr>
        <w:t> </w:t>
      </w:r>
      <w:r>
        <w:rPr/>
        <w:t>efficient</w:t>
      </w:r>
      <w:r>
        <w:rPr>
          <w:spacing w:val="-5"/>
        </w:rPr>
        <w:t> </w:t>
      </w:r>
      <w:r>
        <w:rPr/>
        <w:t>and</w:t>
      </w:r>
      <w:r>
        <w:rPr>
          <w:spacing w:val="-5"/>
        </w:rPr>
        <w:t> </w:t>
      </w:r>
      <w:r>
        <w:rPr/>
        <w:t>reliable</w:t>
      </w:r>
      <w:r>
        <w:rPr>
          <w:spacing w:val="-6"/>
        </w:rPr>
        <w:t> </w:t>
      </w:r>
      <w:r>
        <w:rPr/>
        <w:t>way, which</w:t>
      </w:r>
      <w:r>
        <w:rPr>
          <w:spacing w:val="-14"/>
        </w:rPr>
        <w:t> </w:t>
      </w:r>
      <w:r>
        <w:rPr/>
        <w:t>the</w:t>
      </w:r>
      <w:r>
        <w:rPr>
          <w:spacing w:val="-14"/>
        </w:rPr>
        <w:t> </w:t>
      </w:r>
      <w:r>
        <w:rPr/>
        <w:t>work</w:t>
      </w:r>
      <w:r>
        <w:rPr>
          <w:spacing w:val="-14"/>
        </w:rPr>
        <w:t> </w:t>
      </w:r>
      <w:r>
        <w:rPr/>
        <w:t>provides</w:t>
      </w:r>
      <w:r>
        <w:rPr>
          <w:spacing w:val="-14"/>
        </w:rPr>
        <w:t> </w:t>
      </w:r>
      <w:r>
        <w:rPr/>
        <w:t>is</w:t>
      </w:r>
      <w:r>
        <w:rPr>
          <w:spacing w:val="-14"/>
        </w:rPr>
        <w:t> </w:t>
      </w:r>
      <w:r>
        <w:rPr/>
        <w:t>invaluable”,</w:t>
      </w:r>
      <w:r>
        <w:rPr>
          <w:spacing w:val="-12"/>
        </w:rPr>
        <w:t> </w:t>
      </w:r>
      <w:r>
        <w:rPr/>
        <w:t>”this</w:t>
      </w:r>
      <w:r>
        <w:rPr>
          <w:spacing w:val="-14"/>
        </w:rPr>
        <w:t> </w:t>
      </w:r>
      <w:r>
        <w:rPr/>
        <w:t>is</w:t>
      </w:r>
      <w:r>
        <w:rPr>
          <w:spacing w:val="-14"/>
        </w:rPr>
        <w:t> </w:t>
      </w:r>
      <w:r>
        <w:rPr/>
        <w:t>something</w:t>
      </w:r>
      <w:r>
        <w:rPr>
          <w:spacing w:val="-14"/>
        </w:rPr>
        <w:t> </w:t>
      </w:r>
      <w:r>
        <w:rPr/>
        <w:t>I</w:t>
      </w:r>
      <w:r>
        <w:rPr>
          <w:spacing w:val="-14"/>
        </w:rPr>
        <w:t> </w:t>
      </w:r>
      <w:r>
        <w:rPr/>
        <w:t>would</w:t>
      </w:r>
      <w:r>
        <w:rPr>
          <w:spacing w:val="-14"/>
        </w:rPr>
        <w:t> </w:t>
      </w:r>
      <w:r>
        <w:rPr/>
        <w:t>look</w:t>
      </w:r>
      <w:r>
        <w:rPr>
          <w:spacing w:val="-14"/>
        </w:rPr>
        <w:t> </w:t>
      </w:r>
      <w:r>
        <w:rPr/>
        <w:t>to</w:t>
      </w:r>
      <w:r>
        <w:rPr>
          <w:spacing w:val="-14"/>
        </w:rPr>
        <w:t> </w:t>
      </w:r>
      <w:r>
        <w:rPr/>
        <w:t>embed</w:t>
      </w:r>
      <w:r>
        <w:rPr>
          <w:spacing w:val="-14"/>
        </w:rPr>
        <w:t> </w:t>
      </w:r>
      <w:r>
        <w:rPr/>
        <w:t>into</w:t>
      </w:r>
      <w:r>
        <w:rPr>
          <w:spacing w:val="-14"/>
        </w:rPr>
        <w:t> </w:t>
      </w:r>
      <w:r>
        <w:rPr/>
        <w:t>our daily</w:t>
      </w:r>
      <w:r>
        <w:rPr>
          <w:spacing w:val="-7"/>
        </w:rPr>
        <w:t> </w:t>
      </w:r>
      <w:r>
        <w:rPr/>
        <w:t>analysis</w:t>
      </w:r>
      <w:r>
        <w:rPr>
          <w:spacing w:val="-8"/>
        </w:rPr>
        <w:t> </w:t>
      </w:r>
      <w:r>
        <w:rPr/>
        <w:t>procedure”),</w:t>
      </w:r>
      <w:r>
        <w:rPr>
          <w:spacing w:val="-7"/>
        </w:rPr>
        <w:t> </w:t>
      </w:r>
      <w:r>
        <w:rPr/>
        <w:t>as</w:t>
      </w:r>
      <w:r>
        <w:rPr>
          <w:spacing w:val="-7"/>
        </w:rPr>
        <w:t> </w:t>
      </w:r>
      <w:r>
        <w:rPr/>
        <w:t>was</w:t>
      </w:r>
      <w:r>
        <w:rPr>
          <w:spacing w:val="-7"/>
        </w:rPr>
        <w:t> </w:t>
      </w:r>
      <w:r>
        <w:rPr/>
        <w:t>the</w:t>
      </w:r>
      <w:r>
        <w:rPr>
          <w:spacing w:val="-8"/>
        </w:rPr>
        <w:t> </w:t>
      </w:r>
      <w:r>
        <w:rPr/>
        <w:t>reliability</w:t>
      </w:r>
      <w:r>
        <w:rPr>
          <w:spacing w:val="-7"/>
        </w:rPr>
        <w:t> </w:t>
      </w:r>
      <w:r>
        <w:rPr/>
        <w:t>-</w:t>
      </w:r>
      <w:r>
        <w:rPr>
          <w:spacing w:val="-8"/>
        </w:rPr>
        <w:t> </w:t>
      </w:r>
      <w:r>
        <w:rPr/>
        <w:t>particularly</w:t>
      </w:r>
      <w:r>
        <w:rPr>
          <w:spacing w:val="-7"/>
        </w:rPr>
        <w:t> </w:t>
      </w:r>
      <w:r>
        <w:rPr/>
        <w:t>with</w:t>
      </w:r>
      <w:r>
        <w:rPr>
          <w:spacing w:val="-7"/>
        </w:rPr>
        <w:t> </w:t>
      </w:r>
      <w:r>
        <w:rPr/>
        <w:t>respect</w:t>
      </w:r>
      <w:r>
        <w:rPr>
          <w:spacing w:val="-8"/>
        </w:rPr>
        <w:t> </w:t>
      </w:r>
      <w:r>
        <w:rPr/>
        <w:t>to</w:t>
      </w:r>
      <w:r>
        <w:rPr>
          <w:spacing w:val="-7"/>
        </w:rPr>
        <w:t> </w:t>
      </w:r>
      <w:r>
        <w:rPr/>
        <w:t>unexpected findings (”there were some surprising and novel results presented,</w:t>
      </w:r>
      <w:r>
        <w:rPr>
          <w:spacing w:val="25"/>
        </w:rPr>
        <w:t> </w:t>
      </w:r>
      <w:r>
        <w:rPr/>
        <w:t>which add value to</w:t>
      </w:r>
      <w:r>
        <w:rPr>
          <w:spacing w:val="40"/>
        </w:rPr>
        <w:t> </w:t>
      </w:r>
      <w:r>
        <w:rPr/>
        <w:t>the current coach and analyst knowledge”).</w:t>
      </w:r>
      <w:r>
        <w:rPr>
          <w:spacing w:val="27"/>
        </w:rPr>
        <w:t> </w:t>
      </w:r>
      <w:r>
        <w:rPr/>
        <w:t>They suggested several future directions for the work, including valuing different actions similar to the work shown in Chapter</w:t>
      </w:r>
      <w:r>
        <w:rPr>
          <w:color w:val="0000FF"/>
        </w:rPr>
        <w:t>4</w:t>
      </w:r>
      <w:r>
        <w:rPr/>
        <w:t>and reparameterising the model for different elements of the game, for example evaluating the metres gained by the end of a play for playmakers or the metres gained before the</w:t>
      </w:r>
      <w:r>
        <w:rPr>
          <w:spacing w:val="80"/>
        </w:rPr>
        <w:t> </w:t>
      </w:r>
      <w:r>
        <w:rPr/>
        <w:t>opposition’s</w:t>
      </w:r>
      <w:r>
        <w:rPr>
          <w:spacing w:val="-9"/>
        </w:rPr>
        <w:t> </w:t>
      </w:r>
      <w:r>
        <w:rPr/>
        <w:t>first</w:t>
      </w:r>
      <w:r>
        <w:rPr>
          <w:spacing w:val="-9"/>
        </w:rPr>
        <w:t> </w:t>
      </w:r>
      <w:r>
        <w:rPr/>
        <w:t>tackle</w:t>
      </w:r>
      <w:r>
        <w:rPr>
          <w:spacing w:val="-9"/>
        </w:rPr>
        <w:t> </w:t>
      </w:r>
      <w:r>
        <w:rPr/>
        <w:t>for</w:t>
      </w:r>
      <w:r>
        <w:rPr>
          <w:spacing w:val="-9"/>
        </w:rPr>
        <w:t> </w:t>
      </w:r>
      <w:r>
        <w:rPr/>
        <w:t>kickers.</w:t>
      </w:r>
      <w:r>
        <w:rPr>
          <w:spacing w:val="4"/>
        </w:rPr>
        <w:t> </w:t>
      </w:r>
      <w:r>
        <w:rPr/>
        <w:t>It</w:t>
      </w:r>
      <w:r>
        <w:rPr>
          <w:spacing w:val="-9"/>
        </w:rPr>
        <w:t> </w:t>
      </w:r>
      <w:r>
        <w:rPr/>
        <w:t>would</w:t>
      </w:r>
      <w:r>
        <w:rPr>
          <w:spacing w:val="-9"/>
        </w:rPr>
        <w:t> </w:t>
      </w:r>
      <w:r>
        <w:rPr/>
        <w:t>not</w:t>
      </w:r>
      <w:r>
        <w:rPr>
          <w:spacing w:val="-9"/>
        </w:rPr>
        <w:t> </w:t>
      </w:r>
      <w:r>
        <w:rPr/>
        <w:t>have</w:t>
      </w:r>
      <w:r>
        <w:rPr>
          <w:spacing w:val="-9"/>
        </w:rPr>
        <w:t> </w:t>
      </w:r>
      <w:r>
        <w:rPr/>
        <w:t>been</w:t>
      </w:r>
      <w:r>
        <w:rPr>
          <w:spacing w:val="-8"/>
        </w:rPr>
        <w:t> </w:t>
      </w:r>
      <w:r>
        <w:rPr/>
        <w:t>possible</w:t>
      </w:r>
      <w:r>
        <w:rPr>
          <w:spacing w:val="-9"/>
        </w:rPr>
        <w:t> </w:t>
      </w:r>
      <w:r>
        <w:rPr/>
        <w:t>to</w:t>
      </w:r>
      <w:r>
        <w:rPr>
          <w:spacing w:val="-9"/>
        </w:rPr>
        <w:t> </w:t>
      </w:r>
      <w:r>
        <w:rPr/>
        <w:t>make</w:t>
      </w:r>
      <w:r>
        <w:rPr>
          <w:spacing w:val="-9"/>
        </w:rPr>
        <w:t> </w:t>
      </w:r>
      <w:r>
        <w:rPr/>
        <w:t>any</w:t>
      </w:r>
      <w:r>
        <w:rPr>
          <w:spacing w:val="-9"/>
        </w:rPr>
        <w:t> </w:t>
      </w:r>
      <w:r>
        <w:rPr/>
        <w:t>of</w:t>
      </w:r>
      <w:r>
        <w:rPr>
          <w:spacing w:val="-9"/>
        </w:rPr>
        <w:t> </w:t>
      </w:r>
      <w:r>
        <w:rPr>
          <w:spacing w:val="-2"/>
        </w:rPr>
        <w:t>these</w:t>
      </w:r>
    </w:p>
    <w:p>
      <w:pPr>
        <w:spacing w:after="0" w:line="312" w:lineRule="auto"/>
        <w:sectPr>
          <w:headerReference w:type="default" r:id="rId138"/>
          <w:footerReference w:type="default" r:id="rId139"/>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jc w:val="both"/>
      </w:pPr>
      <w:r>
        <w:rPr/>
        <w:t>changes in the timescale of this PhD due to the low data availability, but with a further season of data, it would be possible to adapt the framework in the future.</w:t>
      </w:r>
    </w:p>
    <w:p>
      <w:pPr>
        <w:pStyle w:val="BodyText"/>
        <w:spacing w:line="312" w:lineRule="auto"/>
        <w:ind w:left="610" w:right="389" w:firstLine="351"/>
        <w:jc w:val="both"/>
      </w:pPr>
      <w:r>
        <w:rPr/>
        <w:t>Future work may now wish to apply the model to other sports and extend it to </w:t>
      </w:r>
      <w:r>
        <w:rPr/>
        <w:t>value actions,</w:t>
      </w:r>
      <w:r>
        <w:rPr>
          <w:spacing w:val="-6"/>
        </w:rPr>
        <w:t> </w:t>
      </w:r>
      <w:r>
        <w:rPr/>
        <w:t>not</w:t>
      </w:r>
      <w:r>
        <w:rPr>
          <w:spacing w:val="-5"/>
        </w:rPr>
        <w:t> </w:t>
      </w:r>
      <w:r>
        <w:rPr/>
        <w:t>just</w:t>
      </w:r>
      <w:r>
        <w:rPr>
          <w:spacing w:val="-5"/>
        </w:rPr>
        <w:t> </w:t>
      </w:r>
      <w:r>
        <w:rPr/>
        <w:t>the</w:t>
      </w:r>
      <w:r>
        <w:rPr>
          <w:spacing w:val="-6"/>
        </w:rPr>
        <w:t> </w:t>
      </w:r>
      <w:r>
        <w:rPr/>
        <w:t>location</w:t>
      </w:r>
      <w:r>
        <w:rPr>
          <w:spacing w:val="-6"/>
        </w:rPr>
        <w:t> </w:t>
      </w:r>
      <w:r>
        <w:rPr/>
        <w:t>of</w:t>
      </w:r>
      <w:r>
        <w:rPr>
          <w:spacing w:val="-6"/>
        </w:rPr>
        <w:t> </w:t>
      </w:r>
      <w:r>
        <w:rPr/>
        <w:t>the</w:t>
      </w:r>
      <w:r>
        <w:rPr>
          <w:spacing w:val="-5"/>
        </w:rPr>
        <w:t> </w:t>
      </w:r>
      <w:r>
        <w:rPr/>
        <w:t>action</w:t>
      </w:r>
      <w:r>
        <w:rPr>
          <w:spacing w:val="-6"/>
        </w:rPr>
        <w:t> </w:t>
      </w:r>
      <w:r>
        <w:rPr/>
        <w:t>(akin</w:t>
      </w:r>
      <w:r>
        <w:rPr>
          <w:spacing w:val="-6"/>
        </w:rPr>
        <w:t> </w:t>
      </w:r>
      <w:r>
        <w:rPr/>
        <w:t>to</w:t>
      </w:r>
      <w:r>
        <w:rPr>
          <w:spacing w:val="-6"/>
        </w:rPr>
        <w:t> </w:t>
      </w:r>
      <w:r>
        <w:rPr/>
        <w:t>Q-values</w:t>
      </w:r>
      <w:r>
        <w:rPr>
          <w:spacing w:val="-5"/>
        </w:rPr>
        <w:t> </w:t>
      </w:r>
      <w:r>
        <w:rPr/>
        <w:t>within</w:t>
      </w:r>
      <w:r>
        <w:rPr>
          <w:spacing w:val="-6"/>
        </w:rPr>
        <w:t> </w:t>
      </w:r>
      <w:r>
        <w:rPr/>
        <w:t>Markov</w:t>
      </w:r>
      <w:r>
        <w:rPr>
          <w:spacing w:val="-6"/>
        </w:rPr>
        <w:t> </w:t>
      </w:r>
      <w:r>
        <w:rPr/>
        <w:t>Models). The flexibility</w:t>
      </w:r>
      <w:r>
        <w:rPr>
          <w:spacing w:val="-6"/>
        </w:rPr>
        <w:t> </w:t>
      </w:r>
      <w:r>
        <w:rPr/>
        <w:t>of</w:t>
      </w:r>
      <w:r>
        <w:rPr>
          <w:spacing w:val="-6"/>
        </w:rPr>
        <w:t> </w:t>
      </w:r>
      <w:r>
        <w:rPr/>
        <w:t>the</w:t>
      </w:r>
      <w:r>
        <w:rPr>
          <w:spacing w:val="-6"/>
        </w:rPr>
        <w:t> </w:t>
      </w:r>
      <w:r>
        <w:rPr/>
        <w:t>model</w:t>
      </w:r>
      <w:r>
        <w:rPr>
          <w:spacing w:val="-6"/>
        </w:rPr>
        <w:t> </w:t>
      </w:r>
      <w:r>
        <w:rPr/>
        <w:t>ensures</w:t>
      </w:r>
      <w:r>
        <w:rPr>
          <w:spacing w:val="-6"/>
        </w:rPr>
        <w:t> </w:t>
      </w:r>
      <w:r>
        <w:rPr/>
        <w:t>it</w:t>
      </w:r>
      <w:r>
        <w:rPr>
          <w:spacing w:val="-6"/>
        </w:rPr>
        <w:t> </w:t>
      </w:r>
      <w:r>
        <w:rPr/>
        <w:t>is</w:t>
      </w:r>
      <w:r>
        <w:rPr>
          <w:spacing w:val="-6"/>
        </w:rPr>
        <w:t> </w:t>
      </w:r>
      <w:r>
        <w:rPr/>
        <w:t>ideally</w:t>
      </w:r>
      <w:r>
        <w:rPr>
          <w:spacing w:val="-6"/>
        </w:rPr>
        <w:t> </w:t>
      </w:r>
      <w:r>
        <w:rPr/>
        <w:t>suited</w:t>
      </w:r>
      <w:r>
        <w:rPr>
          <w:spacing w:val="-6"/>
        </w:rPr>
        <w:t> </w:t>
      </w:r>
      <w:r>
        <w:rPr/>
        <w:t>to</w:t>
      </w:r>
      <w:r>
        <w:rPr>
          <w:spacing w:val="-6"/>
        </w:rPr>
        <w:t> </w:t>
      </w:r>
      <w:r>
        <w:rPr/>
        <w:t>invasion</w:t>
      </w:r>
      <w:r>
        <w:rPr>
          <w:spacing w:val="-6"/>
        </w:rPr>
        <w:t> </w:t>
      </w:r>
      <w:r>
        <w:rPr/>
        <w:t>sports</w:t>
      </w:r>
      <w:r>
        <w:rPr>
          <w:spacing w:val="-6"/>
        </w:rPr>
        <w:t> </w:t>
      </w:r>
      <w:r>
        <w:rPr/>
        <w:t>such</w:t>
      </w:r>
      <w:r>
        <w:rPr>
          <w:spacing w:val="-6"/>
        </w:rPr>
        <w:t> </w:t>
      </w:r>
      <w:r>
        <w:rPr/>
        <w:t>as</w:t>
      </w:r>
      <w:r>
        <w:rPr>
          <w:spacing w:val="-6"/>
        </w:rPr>
        <w:t> </w:t>
      </w:r>
      <w:r>
        <w:rPr/>
        <w:t>rugby</w:t>
      </w:r>
      <w:r>
        <w:rPr>
          <w:spacing w:val="-6"/>
        </w:rPr>
        <w:t> </w:t>
      </w:r>
      <w:r>
        <w:rPr/>
        <w:t>union, football or hockey.</w:t>
      </w:r>
      <w:r>
        <w:rPr>
          <w:spacing w:val="40"/>
        </w:rPr>
        <w:t> </w:t>
      </w:r>
      <w:r>
        <w:rPr/>
        <w:t>However, whether an individual would want to use this method in sports</w:t>
      </w:r>
      <w:r>
        <w:rPr>
          <w:spacing w:val="-13"/>
        </w:rPr>
        <w:t> </w:t>
      </w:r>
      <w:r>
        <w:rPr/>
        <w:t>with</w:t>
      </w:r>
      <w:r>
        <w:rPr>
          <w:spacing w:val="-13"/>
        </w:rPr>
        <w:t> </w:t>
      </w:r>
      <w:r>
        <w:rPr/>
        <w:t>a</w:t>
      </w:r>
      <w:r>
        <w:rPr>
          <w:spacing w:val="-13"/>
        </w:rPr>
        <w:t> </w:t>
      </w:r>
      <w:r>
        <w:rPr/>
        <w:t>single</w:t>
      </w:r>
      <w:r>
        <w:rPr>
          <w:spacing w:val="-13"/>
        </w:rPr>
        <w:t> </w:t>
      </w:r>
      <w:r>
        <w:rPr/>
        <w:t>scoring</w:t>
      </w:r>
      <w:r>
        <w:rPr>
          <w:spacing w:val="-13"/>
        </w:rPr>
        <w:t> </w:t>
      </w:r>
      <w:r>
        <w:rPr/>
        <w:t>possession</w:t>
      </w:r>
      <w:r>
        <w:rPr>
          <w:spacing w:val="-13"/>
        </w:rPr>
        <w:t> </w:t>
      </w:r>
      <w:r>
        <w:rPr/>
        <w:t>outcome</w:t>
      </w:r>
      <w:r>
        <w:rPr>
          <w:spacing w:val="-13"/>
        </w:rPr>
        <w:t> </w:t>
      </w:r>
      <w:r>
        <w:rPr/>
        <w:t>is</w:t>
      </w:r>
      <w:r>
        <w:rPr>
          <w:spacing w:val="-13"/>
        </w:rPr>
        <w:t> </w:t>
      </w:r>
      <w:r>
        <w:rPr/>
        <w:t>questionable</w:t>
      </w:r>
      <w:r>
        <w:rPr>
          <w:spacing w:val="-13"/>
        </w:rPr>
        <w:t> </w:t>
      </w:r>
      <w:r>
        <w:rPr/>
        <w:t>as</w:t>
      </w:r>
      <w:r>
        <w:rPr>
          <w:spacing w:val="-13"/>
        </w:rPr>
        <w:t> </w:t>
      </w:r>
      <w:r>
        <w:rPr/>
        <w:t>a</w:t>
      </w:r>
      <w:r>
        <w:rPr>
          <w:spacing w:val="-13"/>
        </w:rPr>
        <w:t> </w:t>
      </w:r>
      <w:r>
        <w:rPr/>
        <w:t>simpler</w:t>
      </w:r>
      <w:r>
        <w:rPr>
          <w:spacing w:val="-13"/>
        </w:rPr>
        <w:t> </w:t>
      </w:r>
      <w:r>
        <w:rPr/>
        <w:t>binary</w:t>
      </w:r>
      <w:r>
        <w:rPr>
          <w:spacing w:val="-13"/>
        </w:rPr>
        <w:t> </w:t>
      </w:r>
      <w:r>
        <w:rPr/>
        <w:t>model would</w:t>
      </w:r>
      <w:r>
        <w:rPr>
          <w:spacing w:val="-7"/>
        </w:rPr>
        <w:t> </w:t>
      </w:r>
      <w:r>
        <w:rPr/>
        <w:t>likely</w:t>
      </w:r>
      <w:r>
        <w:rPr>
          <w:spacing w:val="-7"/>
        </w:rPr>
        <w:t> </w:t>
      </w:r>
      <w:r>
        <w:rPr/>
        <w:t>perform</w:t>
      </w:r>
      <w:r>
        <w:rPr>
          <w:spacing w:val="-7"/>
        </w:rPr>
        <w:t> </w:t>
      </w:r>
      <w:r>
        <w:rPr/>
        <w:t>just</w:t>
      </w:r>
      <w:r>
        <w:rPr>
          <w:spacing w:val="-7"/>
        </w:rPr>
        <w:t> </w:t>
      </w:r>
      <w:r>
        <w:rPr/>
        <w:t>as</w:t>
      </w:r>
      <w:r>
        <w:rPr>
          <w:spacing w:val="-7"/>
        </w:rPr>
        <w:t> </w:t>
      </w:r>
      <w:r>
        <w:rPr/>
        <w:t>well. The</w:t>
      </w:r>
      <w:r>
        <w:rPr>
          <w:spacing w:val="-7"/>
        </w:rPr>
        <w:t> </w:t>
      </w:r>
      <w:r>
        <w:rPr/>
        <w:t>true</w:t>
      </w:r>
      <w:r>
        <w:rPr>
          <w:spacing w:val="-7"/>
        </w:rPr>
        <w:t> </w:t>
      </w:r>
      <w:r>
        <w:rPr/>
        <w:t>benefit</w:t>
      </w:r>
      <w:r>
        <w:rPr>
          <w:spacing w:val="-7"/>
        </w:rPr>
        <w:t> </w:t>
      </w:r>
      <w:r>
        <w:rPr/>
        <w:t>of</w:t>
      </w:r>
      <w:r>
        <w:rPr>
          <w:spacing w:val="-7"/>
        </w:rPr>
        <w:t> </w:t>
      </w:r>
      <w:r>
        <w:rPr/>
        <w:t>using</w:t>
      </w:r>
      <w:r>
        <w:rPr>
          <w:spacing w:val="-7"/>
        </w:rPr>
        <w:t> </w:t>
      </w:r>
      <w:r>
        <w:rPr/>
        <w:t>this</w:t>
      </w:r>
      <w:r>
        <w:rPr>
          <w:spacing w:val="-7"/>
        </w:rPr>
        <w:t> </w:t>
      </w:r>
      <w:r>
        <w:rPr/>
        <w:t>model</w:t>
      </w:r>
      <w:r>
        <w:rPr>
          <w:spacing w:val="-7"/>
        </w:rPr>
        <w:t> </w:t>
      </w:r>
      <w:r>
        <w:rPr/>
        <w:t>would</w:t>
      </w:r>
      <w:r>
        <w:rPr>
          <w:spacing w:val="-7"/>
        </w:rPr>
        <w:t> </w:t>
      </w:r>
      <w:r>
        <w:rPr/>
        <w:t>be</w:t>
      </w:r>
      <w:r>
        <w:rPr>
          <w:spacing w:val="-7"/>
        </w:rPr>
        <w:t> </w:t>
      </w:r>
      <w:r>
        <w:rPr/>
        <w:t>to</w:t>
      </w:r>
      <w:r>
        <w:rPr>
          <w:spacing w:val="-7"/>
        </w:rPr>
        <w:t> </w:t>
      </w:r>
      <w:r>
        <w:rPr/>
        <w:t>estab- lish three outcome measures for these sports - possession goal, no goal, opposition goal. This is similar to previous work in football (</w:t>
      </w:r>
      <w:hyperlink w:history="true" w:anchor="_bookmark239">
        <w:r>
          <w:rPr>
            <w:color w:val="FF0000"/>
          </w:rPr>
          <w:t>Decroos et al.</w:t>
        </w:r>
      </w:hyperlink>
      <w:r>
        <w:rPr/>
        <w:t>,</w:t>
      </w:r>
      <w:hyperlink w:history="true" w:anchor="_bookmark239">
        <w:r>
          <w:rPr>
            <w:color w:val="FF0000"/>
          </w:rPr>
          <w:t>2019</w:t>
        </w:r>
        <w:r>
          <w:rPr/>
          <w:t>)</w:t>
        </w:r>
      </w:hyperlink>
      <w:r>
        <w:rPr/>
        <w:t> but using the Bayesian Mixture Model approach described in this chapter, it would be possible to evaluate the probability</w:t>
      </w:r>
      <w:r>
        <w:rPr>
          <w:spacing w:val="-1"/>
        </w:rPr>
        <w:t> </w:t>
      </w:r>
      <w:r>
        <w:rPr/>
        <w:t>of</w:t>
      </w:r>
      <w:r>
        <w:rPr>
          <w:spacing w:val="-1"/>
        </w:rPr>
        <w:t> </w:t>
      </w:r>
      <w:r>
        <w:rPr/>
        <w:t>all</w:t>
      </w:r>
      <w:r>
        <w:rPr>
          <w:spacing w:val="-1"/>
        </w:rPr>
        <w:t> </w:t>
      </w:r>
      <w:r>
        <w:rPr/>
        <w:t>three</w:t>
      </w:r>
      <w:r>
        <w:rPr>
          <w:spacing w:val="-1"/>
        </w:rPr>
        <w:t> </w:t>
      </w:r>
      <w:r>
        <w:rPr/>
        <w:t>outcomes</w:t>
      </w:r>
      <w:r>
        <w:rPr>
          <w:spacing w:val="-1"/>
        </w:rPr>
        <w:t> </w:t>
      </w:r>
      <w:r>
        <w:rPr/>
        <w:t>in</w:t>
      </w:r>
      <w:r>
        <w:rPr>
          <w:spacing w:val="-1"/>
        </w:rPr>
        <w:t> </w:t>
      </w:r>
      <w:r>
        <w:rPr/>
        <w:t>a</w:t>
      </w:r>
      <w:r>
        <w:rPr>
          <w:spacing w:val="-1"/>
        </w:rPr>
        <w:t> </w:t>
      </w:r>
      <w:r>
        <w:rPr/>
        <w:t>single</w:t>
      </w:r>
      <w:r>
        <w:rPr>
          <w:spacing w:val="-1"/>
        </w:rPr>
        <w:t> </w:t>
      </w:r>
      <w:r>
        <w:rPr/>
        <w:t>model, rather</w:t>
      </w:r>
      <w:r>
        <w:rPr>
          <w:spacing w:val="-1"/>
        </w:rPr>
        <w:t> </w:t>
      </w:r>
      <w:r>
        <w:rPr/>
        <w:t>than</w:t>
      </w:r>
      <w:r>
        <w:rPr>
          <w:spacing w:val="-1"/>
        </w:rPr>
        <w:t> </w:t>
      </w:r>
      <w:r>
        <w:rPr/>
        <w:t>separate</w:t>
      </w:r>
      <w:r>
        <w:rPr>
          <w:spacing w:val="-1"/>
        </w:rPr>
        <w:t> </w:t>
      </w:r>
      <w:r>
        <w:rPr/>
        <w:t>models</w:t>
      </w:r>
      <w:r>
        <w:rPr>
          <w:spacing w:val="-1"/>
        </w:rPr>
        <w:t> </w:t>
      </w:r>
      <w:r>
        <w:rPr/>
        <w:t>for</w:t>
      </w:r>
      <w:r>
        <w:rPr>
          <w:spacing w:val="-1"/>
        </w:rPr>
        <w:t> </w:t>
      </w:r>
      <w:r>
        <w:rPr/>
        <w:t>scor- ing</w:t>
      </w:r>
      <w:r>
        <w:rPr>
          <w:spacing w:val="-15"/>
        </w:rPr>
        <w:t> </w:t>
      </w:r>
      <w:r>
        <w:rPr/>
        <w:t>or</w:t>
      </w:r>
      <w:r>
        <w:rPr>
          <w:spacing w:val="-15"/>
        </w:rPr>
        <w:t> </w:t>
      </w:r>
      <w:r>
        <w:rPr/>
        <w:t>conceding.</w:t>
      </w:r>
      <w:r>
        <w:rPr>
          <w:spacing w:val="-8"/>
        </w:rPr>
        <w:t> </w:t>
      </w:r>
      <w:r>
        <w:rPr/>
        <w:t>Similarly,</w:t>
      </w:r>
      <w:r>
        <w:rPr>
          <w:spacing w:val="-14"/>
        </w:rPr>
        <w:t> </w:t>
      </w:r>
      <w:r>
        <w:rPr/>
        <w:t>the</w:t>
      </w:r>
      <w:r>
        <w:rPr>
          <w:spacing w:val="-15"/>
        </w:rPr>
        <w:t> </w:t>
      </w:r>
      <w:r>
        <w:rPr/>
        <w:t>model</w:t>
      </w:r>
      <w:r>
        <w:rPr>
          <w:spacing w:val="-15"/>
        </w:rPr>
        <w:t> </w:t>
      </w:r>
      <w:r>
        <w:rPr/>
        <w:t>could</w:t>
      </w:r>
      <w:r>
        <w:rPr>
          <w:spacing w:val="-15"/>
        </w:rPr>
        <w:t> </w:t>
      </w:r>
      <w:r>
        <w:rPr/>
        <w:t>be</w:t>
      </w:r>
      <w:r>
        <w:rPr>
          <w:spacing w:val="-15"/>
        </w:rPr>
        <w:t> </w:t>
      </w:r>
      <w:r>
        <w:rPr/>
        <w:t>extended</w:t>
      </w:r>
      <w:r>
        <w:rPr>
          <w:spacing w:val="-15"/>
        </w:rPr>
        <w:t> </w:t>
      </w:r>
      <w:r>
        <w:rPr/>
        <w:t>to</w:t>
      </w:r>
      <w:r>
        <w:rPr>
          <w:spacing w:val="-15"/>
        </w:rPr>
        <w:t> </w:t>
      </w:r>
      <w:r>
        <w:rPr/>
        <w:t>consider</w:t>
      </w:r>
      <w:r>
        <w:rPr>
          <w:spacing w:val="-15"/>
        </w:rPr>
        <w:t> </w:t>
      </w:r>
      <w:r>
        <w:rPr/>
        <w:t>different</w:t>
      </w:r>
      <w:r>
        <w:rPr>
          <w:spacing w:val="-15"/>
        </w:rPr>
        <w:t> </w:t>
      </w:r>
      <w:r>
        <w:rPr/>
        <w:t>actions</w:t>
      </w:r>
      <w:r>
        <w:rPr>
          <w:spacing w:val="-15"/>
        </w:rPr>
        <w:t> </w:t>
      </w:r>
      <w:r>
        <w:rPr/>
        <w:t>and generate a form of Q-value for each action.</w:t>
      </w:r>
      <w:r>
        <w:rPr>
          <w:spacing w:val="40"/>
        </w:rPr>
        <w:t> </w:t>
      </w:r>
      <w:r>
        <w:rPr/>
        <w:t>The issue with adapting the method in this manner</w:t>
      </w:r>
      <w:r>
        <w:rPr>
          <w:spacing w:val="-8"/>
        </w:rPr>
        <w:t> </w:t>
      </w:r>
      <w:r>
        <w:rPr/>
        <w:t>is</w:t>
      </w:r>
      <w:r>
        <w:rPr>
          <w:spacing w:val="-7"/>
        </w:rPr>
        <w:t> </w:t>
      </w:r>
      <w:r>
        <w:rPr/>
        <w:t>the</w:t>
      </w:r>
      <w:r>
        <w:rPr>
          <w:spacing w:val="-8"/>
        </w:rPr>
        <w:t> </w:t>
      </w:r>
      <w:r>
        <w:rPr/>
        <w:t>evidence</w:t>
      </w:r>
      <w:r>
        <w:rPr>
          <w:spacing w:val="-7"/>
        </w:rPr>
        <w:t> </w:t>
      </w:r>
      <w:r>
        <w:rPr/>
        <w:t>based</w:t>
      </w:r>
      <w:r>
        <w:rPr>
          <w:spacing w:val="-8"/>
        </w:rPr>
        <w:t> </w:t>
      </w:r>
      <w:r>
        <w:rPr/>
        <w:t>approach</w:t>
      </w:r>
      <w:r>
        <w:rPr>
          <w:spacing w:val="-8"/>
        </w:rPr>
        <w:t> </w:t>
      </w:r>
      <w:r>
        <w:rPr/>
        <w:t>followed</w:t>
      </w:r>
      <w:r>
        <w:rPr>
          <w:spacing w:val="-7"/>
        </w:rPr>
        <w:t> </w:t>
      </w:r>
      <w:r>
        <w:rPr/>
        <w:t>by</w:t>
      </w:r>
      <w:r>
        <w:rPr>
          <w:spacing w:val="-8"/>
        </w:rPr>
        <w:t> </w:t>
      </w:r>
      <w:r>
        <w:rPr/>
        <w:t>Bayesian</w:t>
      </w:r>
      <w:r>
        <w:rPr>
          <w:spacing w:val="-7"/>
        </w:rPr>
        <w:t> </w:t>
      </w:r>
      <w:r>
        <w:rPr/>
        <w:t>analytics</w:t>
      </w:r>
      <w:r>
        <w:rPr>
          <w:spacing w:val="-8"/>
        </w:rPr>
        <w:t> </w:t>
      </w:r>
      <w:r>
        <w:rPr/>
        <w:t>which</w:t>
      </w:r>
      <w:r>
        <w:rPr>
          <w:spacing w:val="-8"/>
        </w:rPr>
        <w:t> </w:t>
      </w:r>
      <w:r>
        <w:rPr/>
        <w:t>means</w:t>
      </w:r>
      <w:r>
        <w:rPr>
          <w:spacing w:val="-7"/>
        </w:rPr>
        <w:t> </w:t>
      </w:r>
      <w:r>
        <w:rPr/>
        <w:t>that if</w:t>
      </w:r>
      <w:r>
        <w:rPr>
          <w:spacing w:val="-8"/>
        </w:rPr>
        <w:t> </w:t>
      </w:r>
      <w:r>
        <w:rPr/>
        <w:t>an</w:t>
      </w:r>
      <w:r>
        <w:rPr>
          <w:spacing w:val="-8"/>
        </w:rPr>
        <w:t> </w:t>
      </w:r>
      <w:r>
        <w:rPr/>
        <w:t>action</w:t>
      </w:r>
      <w:r>
        <w:rPr>
          <w:spacing w:val="-8"/>
        </w:rPr>
        <w:t> </w:t>
      </w:r>
      <w:r>
        <w:rPr/>
        <w:t>hasn’t</w:t>
      </w:r>
      <w:r>
        <w:rPr>
          <w:spacing w:val="-8"/>
        </w:rPr>
        <w:t> </w:t>
      </w:r>
      <w:r>
        <w:rPr/>
        <w:t>been</w:t>
      </w:r>
      <w:r>
        <w:rPr>
          <w:spacing w:val="-8"/>
        </w:rPr>
        <w:t> </w:t>
      </w:r>
      <w:r>
        <w:rPr/>
        <w:t>attempted</w:t>
      </w:r>
      <w:r>
        <w:rPr>
          <w:spacing w:val="-8"/>
        </w:rPr>
        <w:t> </w:t>
      </w:r>
      <w:r>
        <w:rPr/>
        <w:t>in</w:t>
      </w:r>
      <w:r>
        <w:rPr>
          <w:spacing w:val="-8"/>
        </w:rPr>
        <w:t> </w:t>
      </w:r>
      <w:r>
        <w:rPr/>
        <w:t>a</w:t>
      </w:r>
      <w:r>
        <w:rPr>
          <w:spacing w:val="-8"/>
        </w:rPr>
        <w:t> </w:t>
      </w:r>
      <w:r>
        <w:rPr/>
        <w:t>specific</w:t>
      </w:r>
      <w:r>
        <w:rPr>
          <w:spacing w:val="-8"/>
        </w:rPr>
        <w:t> </w:t>
      </w:r>
      <w:r>
        <w:rPr/>
        <w:t>location,</w:t>
      </w:r>
      <w:r>
        <w:rPr>
          <w:spacing w:val="-7"/>
        </w:rPr>
        <w:t> </w:t>
      </w:r>
      <w:r>
        <w:rPr/>
        <w:t>it</w:t>
      </w:r>
      <w:r>
        <w:rPr>
          <w:spacing w:val="-8"/>
        </w:rPr>
        <w:t> </w:t>
      </w:r>
      <w:r>
        <w:rPr/>
        <w:t>will</w:t>
      </w:r>
      <w:r>
        <w:rPr>
          <w:spacing w:val="-8"/>
        </w:rPr>
        <w:t> </w:t>
      </w:r>
      <w:r>
        <w:rPr/>
        <w:t>take</w:t>
      </w:r>
      <w:r>
        <w:rPr>
          <w:spacing w:val="-8"/>
        </w:rPr>
        <w:t> </w:t>
      </w:r>
      <w:r>
        <w:rPr/>
        <w:t>the</w:t>
      </w:r>
      <w:r>
        <w:rPr>
          <w:spacing w:val="-8"/>
        </w:rPr>
        <w:t> </w:t>
      </w:r>
      <w:r>
        <w:rPr/>
        <w:t>prior</w:t>
      </w:r>
      <w:r>
        <w:rPr>
          <w:spacing w:val="-8"/>
        </w:rPr>
        <w:t> </w:t>
      </w:r>
      <w:r>
        <w:rPr/>
        <w:t>value. In</w:t>
      </w:r>
      <w:r>
        <w:rPr>
          <w:spacing w:val="-8"/>
        </w:rPr>
        <w:t> </w:t>
      </w:r>
      <w:r>
        <w:rPr/>
        <w:t>the case of goal kicking, this could be problematic as a penalty goal wouldn’t be attempted from the possession team’s 20m line (i.e.</w:t>
      </w:r>
      <w:r>
        <w:rPr>
          <w:spacing w:val="40"/>
        </w:rPr>
        <w:t> </w:t>
      </w:r>
      <w:r>
        <w:rPr/>
        <w:t>80m away from the goal), but it could have a higher</w:t>
      </w:r>
      <w:r>
        <w:rPr>
          <w:spacing w:val="-1"/>
        </w:rPr>
        <w:t> </w:t>
      </w:r>
      <w:r>
        <w:rPr/>
        <w:t>value</w:t>
      </w:r>
      <w:r>
        <w:rPr>
          <w:spacing w:val="-1"/>
        </w:rPr>
        <w:t> </w:t>
      </w:r>
      <w:r>
        <w:rPr/>
        <w:t>than</w:t>
      </w:r>
      <w:r>
        <w:rPr>
          <w:spacing w:val="-1"/>
        </w:rPr>
        <w:t> </w:t>
      </w:r>
      <w:r>
        <w:rPr/>
        <w:t>a</w:t>
      </w:r>
      <w:r>
        <w:rPr>
          <w:spacing w:val="-1"/>
        </w:rPr>
        <w:t> </w:t>
      </w:r>
      <w:r>
        <w:rPr/>
        <w:t>penalty</w:t>
      </w:r>
      <w:r>
        <w:rPr>
          <w:spacing w:val="-1"/>
        </w:rPr>
        <w:t> </w:t>
      </w:r>
      <w:r>
        <w:rPr/>
        <w:t>goal</w:t>
      </w:r>
      <w:r>
        <w:rPr>
          <w:spacing w:val="-1"/>
        </w:rPr>
        <w:t> </w:t>
      </w:r>
      <w:r>
        <w:rPr/>
        <w:t>attempted</w:t>
      </w:r>
      <w:r>
        <w:rPr>
          <w:spacing w:val="-1"/>
        </w:rPr>
        <w:t> </w:t>
      </w:r>
      <w:r>
        <w:rPr/>
        <w:t>from</w:t>
      </w:r>
      <w:r>
        <w:rPr>
          <w:spacing w:val="-1"/>
        </w:rPr>
        <w:t> </w:t>
      </w:r>
      <w:r>
        <w:rPr/>
        <w:t>40m</w:t>
      </w:r>
      <w:r>
        <w:rPr>
          <w:spacing w:val="-1"/>
        </w:rPr>
        <w:t> </w:t>
      </w:r>
      <w:r>
        <w:rPr/>
        <w:t>out, wide</w:t>
      </w:r>
      <w:r>
        <w:rPr>
          <w:spacing w:val="-1"/>
        </w:rPr>
        <w:t> </w:t>
      </w:r>
      <w:r>
        <w:rPr/>
        <w:t>on</w:t>
      </w:r>
      <w:r>
        <w:rPr>
          <w:spacing w:val="-1"/>
        </w:rPr>
        <w:t> </w:t>
      </w:r>
      <w:r>
        <w:rPr/>
        <w:t>the</w:t>
      </w:r>
      <w:r>
        <w:rPr>
          <w:spacing w:val="-1"/>
        </w:rPr>
        <w:t> </w:t>
      </w:r>
      <w:r>
        <w:rPr/>
        <w:t>touchline, if</w:t>
      </w:r>
      <w:r>
        <w:rPr>
          <w:spacing w:val="-1"/>
        </w:rPr>
        <w:t> </w:t>
      </w:r>
      <w:r>
        <w:rPr/>
        <w:t>these penalties</w:t>
      </w:r>
      <w:r>
        <w:rPr>
          <w:spacing w:val="-2"/>
        </w:rPr>
        <w:t> </w:t>
      </w:r>
      <w:r>
        <w:rPr/>
        <w:t>are</w:t>
      </w:r>
      <w:r>
        <w:rPr>
          <w:spacing w:val="-2"/>
        </w:rPr>
        <w:t> </w:t>
      </w:r>
      <w:r>
        <w:rPr/>
        <w:t>missed</w:t>
      </w:r>
      <w:r>
        <w:rPr>
          <w:spacing w:val="-2"/>
        </w:rPr>
        <w:t> </w:t>
      </w:r>
      <w:r>
        <w:rPr/>
        <w:t>more</w:t>
      </w:r>
      <w:r>
        <w:rPr>
          <w:spacing w:val="-2"/>
        </w:rPr>
        <w:t> </w:t>
      </w:r>
      <w:r>
        <w:rPr/>
        <w:t>frequently</w:t>
      </w:r>
      <w:r>
        <w:rPr>
          <w:spacing w:val="-2"/>
        </w:rPr>
        <w:t> </w:t>
      </w:r>
      <w:r>
        <w:rPr/>
        <w:t>than</w:t>
      </w:r>
      <w:r>
        <w:rPr>
          <w:spacing w:val="-2"/>
        </w:rPr>
        <w:t> </w:t>
      </w:r>
      <w:r>
        <w:rPr/>
        <w:t>scored. Manipulating</w:t>
      </w:r>
      <w:r>
        <w:rPr>
          <w:spacing w:val="-2"/>
        </w:rPr>
        <w:t> </w:t>
      </w:r>
      <w:r>
        <w:rPr/>
        <w:t>the</w:t>
      </w:r>
      <w:r>
        <w:rPr>
          <w:spacing w:val="-2"/>
        </w:rPr>
        <w:t> </w:t>
      </w:r>
      <w:r>
        <w:rPr/>
        <w:t>priors</w:t>
      </w:r>
      <w:r>
        <w:rPr>
          <w:spacing w:val="-2"/>
        </w:rPr>
        <w:t> </w:t>
      </w:r>
      <w:r>
        <w:rPr/>
        <w:t>to</w:t>
      </w:r>
      <w:r>
        <w:rPr>
          <w:spacing w:val="-2"/>
        </w:rPr>
        <w:t> </w:t>
      </w:r>
      <w:r>
        <w:rPr/>
        <w:t>account</w:t>
      </w:r>
      <w:r>
        <w:rPr>
          <w:spacing w:val="-2"/>
        </w:rPr>
        <w:t> </w:t>
      </w:r>
      <w:r>
        <w:rPr/>
        <w:t>for this</w:t>
      </w:r>
      <w:r>
        <w:rPr>
          <w:spacing w:val="-13"/>
        </w:rPr>
        <w:t> </w:t>
      </w:r>
      <w:r>
        <w:rPr/>
        <w:t>is</w:t>
      </w:r>
      <w:r>
        <w:rPr>
          <w:spacing w:val="-13"/>
        </w:rPr>
        <w:t> </w:t>
      </w:r>
      <w:r>
        <w:rPr/>
        <w:t>possible</w:t>
      </w:r>
      <w:r>
        <w:rPr>
          <w:spacing w:val="-13"/>
        </w:rPr>
        <w:t> </w:t>
      </w:r>
      <w:r>
        <w:rPr/>
        <w:t>but</w:t>
      </w:r>
      <w:r>
        <w:rPr>
          <w:spacing w:val="-12"/>
        </w:rPr>
        <w:t> </w:t>
      </w:r>
      <w:r>
        <w:rPr/>
        <w:t>this</w:t>
      </w:r>
      <w:r>
        <w:rPr>
          <w:spacing w:val="-13"/>
        </w:rPr>
        <w:t> </w:t>
      </w:r>
      <w:r>
        <w:rPr/>
        <w:t>detracts</w:t>
      </w:r>
      <w:r>
        <w:rPr>
          <w:spacing w:val="-13"/>
        </w:rPr>
        <w:t> </w:t>
      </w:r>
      <w:r>
        <w:rPr/>
        <w:t>from</w:t>
      </w:r>
      <w:r>
        <w:rPr>
          <w:spacing w:val="-13"/>
        </w:rPr>
        <w:t> </w:t>
      </w:r>
      <w:r>
        <w:rPr/>
        <w:t>the</w:t>
      </w:r>
      <w:r>
        <w:rPr>
          <w:spacing w:val="-13"/>
        </w:rPr>
        <w:t> </w:t>
      </w:r>
      <w:r>
        <w:rPr/>
        <w:t>methods</w:t>
      </w:r>
      <w:r>
        <w:rPr>
          <w:spacing w:val="-13"/>
        </w:rPr>
        <w:t> </w:t>
      </w:r>
      <w:r>
        <w:rPr/>
        <w:t>here</w:t>
      </w:r>
      <w:r>
        <w:rPr>
          <w:spacing w:val="-12"/>
        </w:rPr>
        <w:t> </w:t>
      </w:r>
      <w:r>
        <w:rPr/>
        <w:t>which</w:t>
      </w:r>
      <w:r>
        <w:rPr>
          <w:spacing w:val="-12"/>
        </w:rPr>
        <w:t> </w:t>
      </w:r>
      <w:r>
        <w:rPr/>
        <w:t>have</w:t>
      </w:r>
      <w:r>
        <w:rPr>
          <w:spacing w:val="-13"/>
        </w:rPr>
        <w:t> </w:t>
      </w:r>
      <w:r>
        <w:rPr/>
        <w:t>systematically</w:t>
      </w:r>
      <w:r>
        <w:rPr>
          <w:spacing w:val="-13"/>
        </w:rPr>
        <w:t> </w:t>
      </w:r>
      <w:r>
        <w:rPr/>
        <w:t>allowed the models to estimate the results based on the data available.</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tabs>
          <w:tab w:pos="9388" w:val="left" w:leader="none"/>
        </w:tabs>
        <w:spacing w:before="240"/>
        <w:ind w:left="610" w:right="0" w:firstLine="0"/>
        <w:jc w:val="left"/>
        <w:rPr>
          <w:sz w:val="119"/>
        </w:rPr>
      </w:pPr>
      <w:r>
        <w:rPr/>
        <w:pict>
          <v:group style="position:absolute;margin-left:114.519997pt;margin-top:28.615854pt;width:55.5pt;height:27.7pt;mso-position-horizontal-relative:page;mso-position-vertical-relative:paragraph;z-index:-21714944" id="docshapegroup220" coordorigin="2290,572" coordsize="1110,554">
            <v:line style="position:absolute" from="2300,1125" to="2300,592" stroked="true" strokeweight=".996pt" strokecolor="#000000">
              <v:stroke dashstyle="solid"/>
            </v:line>
            <v:line style="position:absolute" from="2290,582" to="3400,582" stroked="true" strokeweight=".996pt" strokecolor="#000000">
              <v:stroke dashstyle="solid"/>
            </v:line>
            <w10:wrap type="none"/>
          </v:group>
        </w:pict>
      </w:r>
      <w:r>
        <w:rPr/>
        <w:pict>
          <v:group style="position:absolute;margin-left:202.770004pt;margin-top:28.615854pt;width:336.95pt;height:38.950pt;mso-position-horizontal-relative:page;mso-position-vertical-relative:paragraph;z-index:-21714432" id="docshapegroup221" coordorigin="4055,572" coordsize="6739,779">
            <v:line style="position:absolute" from="10784,1351" to="10784,592" stroked="true" strokeweight=".996pt" strokecolor="#000000">
              <v:stroke dashstyle="solid"/>
            </v:line>
            <v:line style="position:absolute" from="4055,582" to="10794,582" stroked="true" strokeweight=".996pt" strokecolor="#000000">
              <v:stroke dashstyle="solid"/>
            </v:line>
            <w10:wrap type="none"/>
          </v:group>
        </w:pict>
      </w:r>
      <w:bookmarkStart w:name="7 Conclusions" w:id="360"/>
      <w:bookmarkEnd w:id="360"/>
      <w:r>
        <w:rPr/>
      </w:r>
      <w:bookmarkStart w:name="_bookmark214" w:id="361"/>
      <w:bookmarkEnd w:id="361"/>
      <w:r>
        <w:rPr/>
      </w:r>
      <w:r>
        <w:rPr>
          <w:rFonts w:ascii="Arial"/>
          <w:sz w:val="28"/>
        </w:rPr>
        <w:t>Chapter</w:t>
      </w:r>
      <w:r>
        <w:rPr>
          <w:rFonts w:ascii="Arial"/>
          <w:spacing w:val="66"/>
          <w:sz w:val="28"/>
        </w:rPr>
        <w:t> </w:t>
      </w:r>
      <w:r>
        <w:rPr>
          <w:spacing w:val="9"/>
          <w:sz w:val="119"/>
        </w:rPr>
        <w:t>7</w:t>
      </w:r>
      <w:r>
        <w:rPr>
          <w:sz w:val="119"/>
          <w:u w:val="single"/>
        </w:rPr>
        <w:tab/>
      </w:r>
    </w:p>
    <w:p>
      <w:pPr>
        <w:pStyle w:val="Heading1"/>
        <w:spacing w:before="425"/>
      </w:pPr>
      <w:r>
        <w:rPr>
          <w:spacing w:val="-2"/>
        </w:rPr>
        <w:t>Conclusions</w:t>
      </w:r>
    </w:p>
    <w:p>
      <w:pPr>
        <w:pStyle w:val="BodyText"/>
        <w:spacing w:before="9"/>
        <w:rPr>
          <w:sz w:val="71"/>
        </w:rPr>
      </w:pPr>
    </w:p>
    <w:p>
      <w:pPr>
        <w:pStyle w:val="BodyText"/>
        <w:spacing w:line="312" w:lineRule="auto"/>
        <w:ind w:left="610" w:right="389"/>
        <w:jc w:val="both"/>
      </w:pPr>
      <w:r>
        <w:rPr/>
        <w:t>In</w:t>
      </w:r>
      <w:r>
        <w:rPr>
          <w:spacing w:val="-15"/>
        </w:rPr>
        <w:t> </w:t>
      </w:r>
      <w:r>
        <w:rPr/>
        <w:t>this</w:t>
      </w:r>
      <w:r>
        <w:rPr>
          <w:spacing w:val="-15"/>
        </w:rPr>
        <w:t> </w:t>
      </w:r>
      <w:r>
        <w:rPr/>
        <w:t>chapter,</w:t>
      </w:r>
      <w:r>
        <w:rPr>
          <w:spacing w:val="-15"/>
        </w:rPr>
        <w:t> </w:t>
      </w:r>
      <w:r>
        <w:rPr/>
        <w:t>the</w:t>
      </w:r>
      <w:r>
        <w:rPr>
          <w:spacing w:val="-15"/>
        </w:rPr>
        <w:t> </w:t>
      </w:r>
      <w:r>
        <w:rPr/>
        <w:t>contributions</w:t>
      </w:r>
      <w:r>
        <w:rPr>
          <w:spacing w:val="-15"/>
        </w:rPr>
        <w:t> </w:t>
      </w:r>
      <w:r>
        <w:rPr/>
        <w:t>of</w:t>
      </w:r>
      <w:r>
        <w:rPr>
          <w:spacing w:val="-15"/>
        </w:rPr>
        <w:t> </w:t>
      </w:r>
      <w:r>
        <w:rPr/>
        <w:t>the</w:t>
      </w:r>
      <w:r>
        <w:rPr>
          <w:spacing w:val="-15"/>
        </w:rPr>
        <w:t> </w:t>
      </w:r>
      <w:r>
        <w:rPr/>
        <w:t>four</w:t>
      </w:r>
      <w:r>
        <w:rPr>
          <w:spacing w:val="-15"/>
        </w:rPr>
        <w:t> </w:t>
      </w:r>
      <w:r>
        <w:rPr/>
        <w:t>studies</w:t>
      </w:r>
      <w:r>
        <w:rPr>
          <w:spacing w:val="-15"/>
        </w:rPr>
        <w:t> </w:t>
      </w:r>
      <w:r>
        <w:rPr/>
        <w:t>produced</w:t>
      </w:r>
      <w:r>
        <w:rPr>
          <w:spacing w:val="-15"/>
        </w:rPr>
        <w:t> </w:t>
      </w:r>
      <w:r>
        <w:rPr/>
        <w:t>in</w:t>
      </w:r>
      <w:r>
        <w:rPr>
          <w:spacing w:val="-15"/>
        </w:rPr>
        <w:t> </w:t>
      </w:r>
      <w:r>
        <w:rPr/>
        <w:t>this</w:t>
      </w:r>
      <w:r>
        <w:rPr>
          <w:spacing w:val="-15"/>
        </w:rPr>
        <w:t> </w:t>
      </w:r>
      <w:r>
        <w:rPr/>
        <w:t>thesis</w:t>
      </w:r>
      <w:r>
        <w:rPr>
          <w:spacing w:val="-15"/>
        </w:rPr>
        <w:t> </w:t>
      </w:r>
      <w:r>
        <w:rPr/>
        <w:t>are</w:t>
      </w:r>
      <w:r>
        <w:rPr>
          <w:spacing w:val="-15"/>
        </w:rPr>
        <w:t> </w:t>
      </w:r>
      <w:r>
        <w:rPr/>
        <w:t>highlighted. The</w:t>
      </w:r>
      <w:r>
        <w:rPr>
          <w:spacing w:val="24"/>
        </w:rPr>
        <w:t> </w:t>
      </w:r>
      <w:r>
        <w:rPr/>
        <w:t>limitations</w:t>
      </w:r>
      <w:r>
        <w:rPr>
          <w:spacing w:val="24"/>
        </w:rPr>
        <w:t> </w:t>
      </w:r>
      <w:r>
        <w:rPr/>
        <w:t>of</w:t>
      </w:r>
      <w:r>
        <w:rPr>
          <w:spacing w:val="24"/>
        </w:rPr>
        <w:t> </w:t>
      </w:r>
      <w:r>
        <w:rPr/>
        <w:t>the</w:t>
      </w:r>
      <w:r>
        <w:rPr>
          <w:spacing w:val="24"/>
        </w:rPr>
        <w:t> </w:t>
      </w:r>
      <w:r>
        <w:rPr/>
        <w:t>research</w:t>
      </w:r>
      <w:r>
        <w:rPr>
          <w:spacing w:val="24"/>
        </w:rPr>
        <w:t> </w:t>
      </w:r>
      <w:r>
        <w:rPr/>
        <w:t>and</w:t>
      </w:r>
      <w:r>
        <w:rPr>
          <w:spacing w:val="24"/>
        </w:rPr>
        <w:t> </w:t>
      </w:r>
      <w:r>
        <w:rPr/>
        <w:t>its</w:t>
      </w:r>
      <w:r>
        <w:rPr>
          <w:spacing w:val="24"/>
        </w:rPr>
        <w:t> </w:t>
      </w:r>
      <w:r>
        <w:rPr/>
        <w:t>future</w:t>
      </w:r>
      <w:r>
        <w:rPr>
          <w:spacing w:val="24"/>
        </w:rPr>
        <w:t> </w:t>
      </w:r>
      <w:r>
        <w:rPr/>
        <w:t>directions</w:t>
      </w:r>
      <w:r>
        <w:rPr>
          <w:spacing w:val="24"/>
        </w:rPr>
        <w:t> </w:t>
      </w:r>
      <w:r>
        <w:rPr/>
        <w:t>are</w:t>
      </w:r>
      <w:r>
        <w:rPr>
          <w:spacing w:val="24"/>
        </w:rPr>
        <w:t> </w:t>
      </w:r>
      <w:r>
        <w:rPr/>
        <w:t>also</w:t>
      </w:r>
      <w:r>
        <w:rPr>
          <w:spacing w:val="24"/>
        </w:rPr>
        <w:t> </w:t>
      </w:r>
      <w:r>
        <w:rPr/>
        <w:t>considered.</w:t>
      </w:r>
      <w:r>
        <w:rPr>
          <w:spacing w:val="80"/>
        </w:rPr>
        <w:t> </w:t>
      </w:r>
      <w:r>
        <w:rPr/>
        <w:t>The</w:t>
      </w:r>
      <w:r>
        <w:rPr>
          <w:spacing w:val="24"/>
        </w:rPr>
        <w:t> </w:t>
      </w:r>
      <w:r>
        <w:rPr/>
        <w:t>aim of this PhD project was to develop new methodologies to understand player and team performances in rugby league using match event level data.</w:t>
      </w:r>
      <w:r>
        <w:rPr>
          <w:spacing w:val="33"/>
        </w:rPr>
        <w:t> </w:t>
      </w:r>
      <w:r>
        <w:rPr/>
        <w:t>To meet this aim, five clear objectives were defined in Section</w:t>
      </w:r>
      <w:hyperlink w:history="true" w:anchor="_bookmark4">
        <w:r>
          <w:rPr>
            <w:color w:val="0000FF"/>
          </w:rPr>
          <w:t>1.3</w:t>
        </w:r>
        <w:r>
          <w:rPr/>
          <w:t>:</w:t>
        </w:r>
      </w:hyperlink>
    </w:p>
    <w:p>
      <w:pPr>
        <w:pStyle w:val="BodyText"/>
        <w:spacing w:line="312" w:lineRule="auto" w:before="198"/>
        <w:ind w:left="1195" w:right="496" w:hanging="410"/>
      </w:pPr>
      <w:r>
        <w:rPr/>
        <w:t>O1Investigate existing methodologies of evaluating player and team performance </w:t>
      </w:r>
      <w:r>
        <w:rPr/>
        <w:t>in team sports, focusing on their application to rugby league</w:t>
      </w:r>
    </w:p>
    <w:p>
      <w:pPr>
        <w:pStyle w:val="BodyText"/>
        <w:spacing w:line="312" w:lineRule="auto" w:before="199"/>
        <w:ind w:left="1195" w:hanging="410"/>
      </w:pPr>
      <w:r>
        <w:rPr/>
        <w:t>O2Apply and adapt existing methodologies and metrics evaluating player and </w:t>
      </w:r>
      <w:r>
        <w:rPr/>
        <w:t>team performances in team sports to rugby league</w:t>
      </w:r>
    </w:p>
    <w:p>
      <w:pPr>
        <w:pStyle w:val="BodyText"/>
        <w:spacing w:line="312" w:lineRule="auto" w:before="199"/>
        <w:ind w:left="1195" w:hanging="410"/>
      </w:pPr>
      <w:r>
        <w:rPr/>
        <w:t>O3Validate adapted versions of existing methodologies and metrics for usability </w:t>
      </w:r>
      <w:r>
        <w:rPr/>
        <w:t>and reliability in rugby league</w:t>
      </w:r>
    </w:p>
    <w:p>
      <w:pPr>
        <w:pStyle w:val="BodyText"/>
        <w:spacing w:line="312" w:lineRule="auto" w:before="199"/>
        <w:ind w:left="1195" w:right="496" w:hanging="410"/>
      </w:pPr>
      <w:r>
        <w:rPr>
          <w:spacing w:val="-2"/>
        </w:rPr>
        <w:t>O4Develop</w:t>
      </w:r>
      <w:r>
        <w:rPr>
          <w:spacing w:val="-9"/>
        </w:rPr>
        <w:t> </w:t>
      </w:r>
      <w:r>
        <w:rPr>
          <w:spacing w:val="-2"/>
        </w:rPr>
        <w:t>novel</w:t>
      </w:r>
      <w:r>
        <w:rPr>
          <w:spacing w:val="-9"/>
        </w:rPr>
        <w:t> </w:t>
      </w:r>
      <w:r>
        <w:rPr>
          <w:spacing w:val="-2"/>
        </w:rPr>
        <w:t>methodologies</w:t>
      </w:r>
      <w:r>
        <w:rPr>
          <w:spacing w:val="-9"/>
        </w:rPr>
        <w:t> </w:t>
      </w:r>
      <w:r>
        <w:rPr>
          <w:spacing w:val="-2"/>
        </w:rPr>
        <w:t>and</w:t>
      </w:r>
      <w:r>
        <w:rPr>
          <w:spacing w:val="-9"/>
        </w:rPr>
        <w:t> </w:t>
      </w:r>
      <w:r>
        <w:rPr>
          <w:spacing w:val="-2"/>
        </w:rPr>
        <w:t>metrics</w:t>
      </w:r>
      <w:r>
        <w:rPr>
          <w:spacing w:val="-9"/>
        </w:rPr>
        <w:t> </w:t>
      </w:r>
      <w:r>
        <w:rPr>
          <w:spacing w:val="-2"/>
        </w:rPr>
        <w:t>to</w:t>
      </w:r>
      <w:r>
        <w:rPr>
          <w:spacing w:val="-9"/>
        </w:rPr>
        <w:t> </w:t>
      </w:r>
      <w:r>
        <w:rPr>
          <w:spacing w:val="-2"/>
        </w:rPr>
        <w:t>evaluate</w:t>
      </w:r>
      <w:r>
        <w:rPr>
          <w:spacing w:val="-9"/>
        </w:rPr>
        <w:t> </w:t>
      </w:r>
      <w:r>
        <w:rPr>
          <w:spacing w:val="-2"/>
        </w:rPr>
        <w:t>player</w:t>
      </w:r>
      <w:r>
        <w:rPr>
          <w:spacing w:val="-9"/>
        </w:rPr>
        <w:t> </w:t>
      </w:r>
      <w:r>
        <w:rPr>
          <w:spacing w:val="-2"/>
        </w:rPr>
        <w:t>and</w:t>
      </w:r>
      <w:r>
        <w:rPr>
          <w:spacing w:val="-9"/>
        </w:rPr>
        <w:t> </w:t>
      </w:r>
      <w:r>
        <w:rPr>
          <w:spacing w:val="-2"/>
        </w:rPr>
        <w:t>team</w:t>
      </w:r>
      <w:r>
        <w:rPr>
          <w:spacing w:val="-9"/>
        </w:rPr>
        <w:t> </w:t>
      </w:r>
      <w:r>
        <w:rPr>
          <w:spacing w:val="-2"/>
        </w:rPr>
        <w:t>performances </w:t>
      </w:r>
      <w:r>
        <w:rPr/>
        <w:t>in rugby league</w:t>
      </w:r>
    </w:p>
    <w:p>
      <w:pPr>
        <w:pStyle w:val="BodyText"/>
        <w:spacing w:line="312" w:lineRule="auto" w:before="198"/>
        <w:ind w:left="1195" w:right="496" w:hanging="410"/>
      </w:pPr>
      <w:r>
        <w:rPr/>
        <w:t>O5Validate proposed methodologies and metrics for usability and reliability with </w:t>
      </w:r>
      <w:r>
        <w:rPr/>
        <w:t>re- spect to evaluating player and team performances in rugby league</w:t>
      </w:r>
    </w:p>
    <w:p>
      <w:pPr>
        <w:pStyle w:val="BodyText"/>
        <w:spacing w:line="312" w:lineRule="auto" w:before="199"/>
        <w:ind w:left="610" w:right="389" w:firstLine="351"/>
      </w:pPr>
      <w:r>
        <w:rPr/>
        <w:t>These</w:t>
      </w:r>
      <w:r>
        <w:rPr>
          <w:spacing w:val="-15"/>
        </w:rPr>
        <w:t> </w:t>
      </w:r>
      <w:r>
        <w:rPr/>
        <w:t>objectives</w:t>
      </w:r>
      <w:r>
        <w:rPr>
          <w:spacing w:val="-15"/>
        </w:rPr>
        <w:t> </w:t>
      </w:r>
      <w:r>
        <w:rPr/>
        <w:t>were</w:t>
      </w:r>
      <w:r>
        <w:rPr>
          <w:spacing w:val="-15"/>
        </w:rPr>
        <w:t> </w:t>
      </w:r>
      <w:r>
        <w:rPr/>
        <w:t>met</w:t>
      </w:r>
      <w:r>
        <w:rPr>
          <w:spacing w:val="-15"/>
        </w:rPr>
        <w:t> </w:t>
      </w:r>
      <w:r>
        <w:rPr/>
        <w:t>by</w:t>
      </w:r>
      <w:r>
        <w:rPr>
          <w:spacing w:val="-15"/>
        </w:rPr>
        <w:t> </w:t>
      </w:r>
      <w:r>
        <w:rPr/>
        <w:t>different</w:t>
      </w:r>
      <w:r>
        <w:rPr>
          <w:spacing w:val="-15"/>
        </w:rPr>
        <w:t> </w:t>
      </w:r>
      <w:r>
        <w:rPr/>
        <w:t>chapters</w:t>
      </w:r>
      <w:r>
        <w:rPr>
          <w:spacing w:val="-15"/>
        </w:rPr>
        <w:t> </w:t>
      </w:r>
      <w:r>
        <w:rPr/>
        <w:t>within</w:t>
      </w:r>
      <w:r>
        <w:rPr>
          <w:spacing w:val="-15"/>
        </w:rPr>
        <w:t> </w:t>
      </w:r>
      <w:r>
        <w:rPr/>
        <w:t>the</w:t>
      </w:r>
      <w:r>
        <w:rPr>
          <w:spacing w:val="-15"/>
        </w:rPr>
        <w:t> </w:t>
      </w:r>
      <w:r>
        <w:rPr/>
        <w:t>thesis:</w:t>
      </w:r>
      <w:r>
        <w:rPr>
          <w:spacing w:val="-6"/>
        </w:rPr>
        <w:t> </w:t>
      </w:r>
      <w:r>
        <w:rPr/>
        <w:t>the</w:t>
      </w:r>
      <w:r>
        <w:rPr>
          <w:spacing w:val="-15"/>
        </w:rPr>
        <w:t> </w:t>
      </w:r>
      <w:r>
        <w:rPr/>
        <w:t>literature</w:t>
      </w:r>
      <w:r>
        <w:rPr>
          <w:spacing w:val="-15"/>
        </w:rPr>
        <w:t> </w:t>
      </w:r>
      <w:r>
        <w:rPr/>
        <w:t>review in Chapter</w:t>
      </w:r>
      <w:r>
        <w:rPr>
          <w:color w:val="0000FF"/>
        </w:rPr>
        <w:t>2</w:t>
      </w:r>
      <w:r>
        <w:rPr/>
        <w:t>met objective 1; Chapters</w:t>
      </w:r>
      <w:r>
        <w:rPr>
          <w:color w:val="0000FF"/>
        </w:rPr>
        <w:t>3</w:t>
      </w:r>
      <w:hyperlink w:history="true" w:anchor="_bookmark48">
        <w:r>
          <w:rPr/>
          <w:t>and</w:t>
        </w:r>
      </w:hyperlink>
      <w:r>
        <w:rPr>
          <w:color w:val="0000FF"/>
        </w:rPr>
        <w:t>4</w:t>
      </w:r>
      <w:hyperlink w:history="true" w:anchor="_bookmark92">
        <w:r>
          <w:rPr/>
          <w:t>met</w:t>
        </w:r>
      </w:hyperlink>
      <w:r>
        <w:rPr/>
        <w:t> objective 2 and partially met objective</w:t>
      </w:r>
    </w:p>
    <w:p>
      <w:pPr>
        <w:pStyle w:val="BodyText"/>
        <w:spacing w:line="276" w:lineRule="exact"/>
        <w:ind w:left="610"/>
        <w:jc w:val="both"/>
      </w:pPr>
      <w:r>
        <w:rPr/>
        <w:t>3;</w:t>
      </w:r>
      <w:r>
        <w:rPr>
          <w:spacing w:val="-3"/>
        </w:rPr>
        <w:t> </w:t>
      </w:r>
      <w:r>
        <w:rPr/>
        <w:t>Chapter</w:t>
      </w:r>
      <w:r>
        <w:rPr>
          <w:color w:val="0000FF"/>
        </w:rPr>
        <w:t>5</w:t>
      </w:r>
      <w:r>
        <w:rPr/>
        <w:t>partially</w:t>
      </w:r>
      <w:r>
        <w:rPr>
          <w:spacing w:val="-5"/>
        </w:rPr>
        <w:t> </w:t>
      </w:r>
      <w:r>
        <w:rPr/>
        <w:t>met</w:t>
      </w:r>
      <w:r>
        <w:rPr>
          <w:spacing w:val="-4"/>
        </w:rPr>
        <w:t> </w:t>
      </w:r>
      <w:r>
        <w:rPr/>
        <w:t>objectives</w:t>
      </w:r>
      <w:r>
        <w:rPr>
          <w:spacing w:val="-5"/>
        </w:rPr>
        <w:t> </w:t>
      </w:r>
      <w:r>
        <w:rPr/>
        <w:t>2,</w:t>
      </w:r>
      <w:r>
        <w:rPr>
          <w:spacing w:val="-4"/>
        </w:rPr>
        <w:t> </w:t>
      </w:r>
      <w:r>
        <w:rPr/>
        <w:t>3,</w:t>
      </w:r>
      <w:r>
        <w:rPr>
          <w:spacing w:val="-3"/>
        </w:rPr>
        <w:t> </w:t>
      </w:r>
      <w:r>
        <w:rPr/>
        <w:t>4</w:t>
      </w:r>
      <w:r>
        <w:rPr>
          <w:spacing w:val="-5"/>
        </w:rPr>
        <w:t> </w:t>
      </w:r>
      <w:r>
        <w:rPr/>
        <w:t>and</w:t>
      </w:r>
      <w:r>
        <w:rPr>
          <w:spacing w:val="-4"/>
        </w:rPr>
        <w:t> </w:t>
      </w:r>
      <w:r>
        <w:rPr/>
        <w:t>5;</w:t>
      </w:r>
      <w:r>
        <w:rPr>
          <w:spacing w:val="-3"/>
        </w:rPr>
        <w:t> </w:t>
      </w:r>
      <w:r>
        <w:rPr/>
        <w:t>and</w:t>
      </w:r>
      <w:r>
        <w:rPr>
          <w:spacing w:val="-5"/>
        </w:rPr>
        <w:t> </w:t>
      </w:r>
      <w:r>
        <w:rPr/>
        <w:t>Chapter</w:t>
      </w:r>
      <w:r>
        <w:rPr>
          <w:color w:val="0000FF"/>
        </w:rPr>
        <w:t>6</w:t>
      </w:r>
      <w:hyperlink w:history="true" w:anchor="_bookmark170">
        <w:r>
          <w:rPr/>
          <w:t>met</w:t>
        </w:r>
      </w:hyperlink>
      <w:r>
        <w:rPr>
          <w:spacing w:val="-4"/>
        </w:rPr>
        <w:t> </w:t>
      </w:r>
      <w:r>
        <w:rPr/>
        <w:t>objectives</w:t>
      </w:r>
      <w:r>
        <w:rPr>
          <w:spacing w:val="-5"/>
        </w:rPr>
        <w:t> </w:t>
      </w:r>
      <w:r>
        <w:rPr/>
        <w:t>4</w:t>
      </w:r>
      <w:r>
        <w:rPr>
          <w:spacing w:val="-4"/>
        </w:rPr>
        <w:t> </w:t>
      </w:r>
      <w:r>
        <w:rPr/>
        <w:t>and</w:t>
      </w:r>
      <w:r>
        <w:rPr>
          <w:spacing w:val="-5"/>
        </w:rPr>
        <w:t> 5.</w:t>
      </w:r>
    </w:p>
    <w:p>
      <w:pPr>
        <w:spacing w:after="0" w:line="276" w:lineRule="exact"/>
        <w:jc w:val="both"/>
        <w:sectPr>
          <w:headerReference w:type="default" r:id="rId140"/>
          <w:footerReference w:type="default" r:id="rId141"/>
          <w:pgSz w:w="11910" w:h="16840"/>
          <w:pgMar w:header="0" w:footer="1428" w:top="1920" w:bottom="1620" w:left="1680" w:right="720"/>
        </w:sectPr>
      </w:pPr>
    </w:p>
    <w:p>
      <w:pPr>
        <w:pStyle w:val="BodyText"/>
        <w:spacing w:line="20" w:lineRule="exact"/>
        <w:ind w:left="610"/>
        <w:rPr>
          <w:sz w:val="2"/>
        </w:rPr>
      </w:pPr>
      <w:r>
        <w:rPr>
          <w:sz w:val="2"/>
        </w:rPr>
        <w:pict>
          <v:group style="width:425.2pt;height:.5pt;mso-position-horizontal-relative:char;mso-position-vertical-relative:line" id="docshapegroup224" coordorigin="0,0" coordsize="8504,10">
            <v:line style="position:absolute" from="0,5" to="8504,5" stroked="true" strokeweight=".498pt" strokecolor="#000000">
              <v:stroke dashstyle="solid"/>
            </v:line>
          </v:group>
        </w:pict>
      </w:r>
      <w:r>
        <w:rPr>
          <w:sz w:val="2"/>
        </w:rPr>
      </w:r>
    </w:p>
    <w:p>
      <w:pPr>
        <w:pStyle w:val="BodyText"/>
        <w:rPr>
          <w:sz w:val="20"/>
        </w:rPr>
      </w:pPr>
    </w:p>
    <w:p>
      <w:pPr>
        <w:pStyle w:val="BodyText"/>
        <w:spacing w:before="10"/>
        <w:rPr>
          <w:sz w:val="20"/>
        </w:rPr>
      </w:pPr>
    </w:p>
    <w:p>
      <w:pPr>
        <w:pStyle w:val="BodyText"/>
        <w:spacing w:line="312" w:lineRule="auto" w:before="97"/>
        <w:ind w:left="610" w:right="389"/>
        <w:jc w:val="both"/>
      </w:pPr>
      <w:r>
        <w:rPr/>
        <w:t>The</w:t>
      </w:r>
      <w:r>
        <w:rPr>
          <w:spacing w:val="-15"/>
        </w:rPr>
        <w:t> </w:t>
      </w:r>
      <w:r>
        <w:rPr/>
        <w:t>sections</w:t>
      </w:r>
      <w:r>
        <w:rPr>
          <w:spacing w:val="-15"/>
        </w:rPr>
        <w:t> </w:t>
      </w:r>
      <w:r>
        <w:rPr/>
        <w:t>below</w:t>
      </w:r>
      <w:r>
        <w:rPr>
          <w:spacing w:val="-15"/>
        </w:rPr>
        <w:t> </w:t>
      </w:r>
      <w:r>
        <w:rPr/>
        <w:t>outline</w:t>
      </w:r>
      <w:r>
        <w:rPr>
          <w:spacing w:val="-15"/>
        </w:rPr>
        <w:t> </w:t>
      </w:r>
      <w:r>
        <w:rPr/>
        <w:t>the</w:t>
      </w:r>
      <w:r>
        <w:rPr>
          <w:spacing w:val="-15"/>
        </w:rPr>
        <w:t> </w:t>
      </w:r>
      <w:r>
        <w:rPr/>
        <w:t>context</w:t>
      </w:r>
      <w:r>
        <w:rPr>
          <w:spacing w:val="-15"/>
        </w:rPr>
        <w:t> </w:t>
      </w:r>
      <w:r>
        <w:rPr/>
        <w:t>surrounding</w:t>
      </w:r>
      <w:r>
        <w:rPr>
          <w:spacing w:val="-15"/>
        </w:rPr>
        <w:t> </w:t>
      </w:r>
      <w:r>
        <w:rPr/>
        <w:t>the</w:t>
      </w:r>
      <w:r>
        <w:rPr>
          <w:spacing w:val="-15"/>
        </w:rPr>
        <w:t> </w:t>
      </w:r>
      <w:r>
        <w:rPr/>
        <w:t>research</w:t>
      </w:r>
      <w:r>
        <w:rPr>
          <w:spacing w:val="-15"/>
        </w:rPr>
        <w:t> </w:t>
      </w:r>
      <w:r>
        <w:rPr/>
        <w:t>in</w:t>
      </w:r>
      <w:r>
        <w:rPr>
          <w:spacing w:val="-15"/>
        </w:rPr>
        <w:t> </w:t>
      </w:r>
      <w:r>
        <w:rPr/>
        <w:t>this</w:t>
      </w:r>
      <w:r>
        <w:rPr>
          <w:spacing w:val="-15"/>
        </w:rPr>
        <w:t> </w:t>
      </w:r>
      <w:r>
        <w:rPr/>
        <w:t>thesis,</w:t>
      </w:r>
      <w:r>
        <w:rPr>
          <w:spacing w:val="-14"/>
        </w:rPr>
        <w:t> </w:t>
      </w:r>
      <w:r>
        <w:rPr/>
        <w:t>the</w:t>
      </w:r>
      <w:r>
        <w:rPr>
          <w:spacing w:val="-15"/>
        </w:rPr>
        <w:t> </w:t>
      </w:r>
      <w:r>
        <w:rPr/>
        <w:t>research </w:t>
      </w:r>
      <w:r>
        <w:rPr>
          <w:spacing w:val="-2"/>
        </w:rPr>
        <w:t>contributions</w:t>
      </w:r>
      <w:r>
        <w:rPr>
          <w:spacing w:val="-7"/>
        </w:rPr>
        <w:t> </w:t>
      </w:r>
      <w:r>
        <w:rPr>
          <w:spacing w:val="-2"/>
        </w:rPr>
        <w:t>for</w:t>
      </w:r>
      <w:r>
        <w:rPr>
          <w:spacing w:val="-7"/>
        </w:rPr>
        <w:t> </w:t>
      </w:r>
      <w:r>
        <w:rPr>
          <w:spacing w:val="-2"/>
        </w:rPr>
        <w:t>each</w:t>
      </w:r>
      <w:r>
        <w:rPr>
          <w:spacing w:val="-7"/>
        </w:rPr>
        <w:t> </w:t>
      </w:r>
      <w:r>
        <w:rPr>
          <w:spacing w:val="-2"/>
        </w:rPr>
        <w:t>study</w:t>
      </w:r>
      <w:r>
        <w:rPr>
          <w:spacing w:val="-7"/>
        </w:rPr>
        <w:t> </w:t>
      </w:r>
      <w:r>
        <w:rPr>
          <w:spacing w:val="-2"/>
        </w:rPr>
        <w:t>and</w:t>
      </w:r>
      <w:r>
        <w:rPr>
          <w:spacing w:val="-7"/>
        </w:rPr>
        <w:t> </w:t>
      </w:r>
      <w:r>
        <w:rPr>
          <w:spacing w:val="-2"/>
        </w:rPr>
        <w:t>how</w:t>
      </w:r>
      <w:r>
        <w:rPr>
          <w:spacing w:val="-7"/>
        </w:rPr>
        <w:t> </w:t>
      </w:r>
      <w:r>
        <w:rPr>
          <w:spacing w:val="-2"/>
        </w:rPr>
        <w:t>they</w:t>
      </w:r>
      <w:r>
        <w:rPr>
          <w:spacing w:val="-7"/>
        </w:rPr>
        <w:t> </w:t>
      </w:r>
      <w:r>
        <w:rPr>
          <w:spacing w:val="-2"/>
        </w:rPr>
        <w:t>met</w:t>
      </w:r>
      <w:r>
        <w:rPr>
          <w:spacing w:val="-7"/>
        </w:rPr>
        <w:t> </w:t>
      </w:r>
      <w:r>
        <w:rPr>
          <w:spacing w:val="-2"/>
        </w:rPr>
        <w:t>the</w:t>
      </w:r>
      <w:r>
        <w:rPr>
          <w:spacing w:val="-7"/>
        </w:rPr>
        <w:t> </w:t>
      </w:r>
      <w:r>
        <w:rPr>
          <w:spacing w:val="-2"/>
        </w:rPr>
        <w:t>objectives</w:t>
      </w:r>
      <w:r>
        <w:rPr>
          <w:spacing w:val="-7"/>
        </w:rPr>
        <w:t> </w:t>
      </w:r>
      <w:r>
        <w:rPr>
          <w:spacing w:val="-2"/>
        </w:rPr>
        <w:t>described</w:t>
      </w:r>
      <w:r>
        <w:rPr>
          <w:spacing w:val="-7"/>
        </w:rPr>
        <w:t> </w:t>
      </w:r>
      <w:r>
        <w:rPr>
          <w:spacing w:val="-2"/>
        </w:rPr>
        <w:t>above.</w:t>
      </w:r>
      <w:r>
        <w:rPr>
          <w:spacing w:val="17"/>
        </w:rPr>
        <w:t> </w:t>
      </w:r>
      <w:r>
        <w:rPr>
          <w:spacing w:val="-2"/>
        </w:rPr>
        <w:t>Limitations </w:t>
      </w:r>
      <w:r>
        <w:rPr/>
        <w:t>of the work and directions for future research are also discussed.</w:t>
      </w:r>
    </w:p>
    <w:p>
      <w:pPr>
        <w:pStyle w:val="BodyText"/>
        <w:spacing w:before="8"/>
        <w:rPr>
          <w:sz w:val="40"/>
        </w:rPr>
      </w:pPr>
    </w:p>
    <w:p>
      <w:pPr>
        <w:pStyle w:val="Heading2"/>
        <w:numPr>
          <w:ilvl w:val="1"/>
          <w:numId w:val="26"/>
        </w:numPr>
        <w:tabs>
          <w:tab w:pos="1385" w:val="left" w:leader="none"/>
          <w:tab w:pos="1386" w:val="left" w:leader="none"/>
        </w:tabs>
        <w:spacing w:line="240" w:lineRule="auto" w:before="0" w:after="0"/>
        <w:ind w:left="1385" w:right="0" w:hanging="776"/>
        <w:jc w:val="left"/>
      </w:pPr>
      <w:bookmarkStart w:name="_TOC_250006" w:id="362"/>
      <w:bookmarkStart w:name="7.1 Rugby League" w:id="363"/>
      <w:r>
        <w:rPr>
          <w:b w:val="0"/>
        </w:rPr>
      </w:r>
      <w:bookmarkStart w:name="_bookmark215" w:id="364"/>
      <w:bookmarkEnd w:id="364"/>
      <w:r>
        <w:rPr/>
        <w:t>Rugby</w:t>
      </w:r>
      <w:r>
        <w:rPr>
          <w:spacing w:val="10"/>
        </w:rPr>
        <w:t> </w:t>
      </w:r>
      <w:bookmarkEnd w:id="362"/>
      <w:r>
        <w:rPr>
          <w:spacing w:val="-2"/>
        </w:rPr>
        <w:t>League</w:t>
      </w:r>
    </w:p>
    <w:p>
      <w:pPr>
        <w:pStyle w:val="BodyText"/>
        <w:spacing w:line="312" w:lineRule="auto" w:before="308"/>
        <w:ind w:left="610" w:right="389"/>
      </w:pPr>
      <w:r>
        <w:rPr/>
        <w:t>The</w:t>
      </w:r>
      <w:r>
        <w:rPr>
          <w:spacing w:val="-10"/>
        </w:rPr>
        <w:t> </w:t>
      </w:r>
      <w:r>
        <w:rPr/>
        <w:t>literature</w:t>
      </w:r>
      <w:r>
        <w:rPr>
          <w:spacing w:val="-10"/>
        </w:rPr>
        <w:t> </w:t>
      </w:r>
      <w:r>
        <w:rPr/>
        <w:t>review</w:t>
      </w:r>
      <w:r>
        <w:rPr>
          <w:spacing w:val="-10"/>
        </w:rPr>
        <w:t> </w:t>
      </w:r>
      <w:r>
        <w:rPr/>
        <w:t>in</w:t>
      </w:r>
      <w:r>
        <w:rPr>
          <w:spacing w:val="-10"/>
        </w:rPr>
        <w:t> </w:t>
      </w:r>
      <w:r>
        <w:rPr/>
        <w:t>Chapter</w:t>
      </w:r>
      <w:hyperlink w:history="true" w:anchor="_bookmark8">
        <w:r>
          <w:rPr>
            <w:color w:val="0000FF"/>
          </w:rPr>
          <w:t>2</w:t>
        </w:r>
      </w:hyperlink>
      <w:r>
        <w:rPr/>
        <w:t>made</w:t>
      </w:r>
      <w:r>
        <w:rPr>
          <w:spacing w:val="-10"/>
        </w:rPr>
        <w:t> </w:t>
      </w:r>
      <w:r>
        <w:rPr/>
        <w:t>it</w:t>
      </w:r>
      <w:r>
        <w:rPr>
          <w:spacing w:val="-10"/>
        </w:rPr>
        <w:t> </w:t>
      </w:r>
      <w:r>
        <w:rPr/>
        <w:t>clear</w:t>
      </w:r>
      <w:r>
        <w:rPr>
          <w:spacing w:val="-10"/>
        </w:rPr>
        <w:t> </w:t>
      </w:r>
      <w:r>
        <w:rPr/>
        <w:t>that</w:t>
      </w:r>
      <w:r>
        <w:rPr>
          <w:spacing w:val="-10"/>
        </w:rPr>
        <w:t> </w:t>
      </w:r>
      <w:r>
        <w:rPr/>
        <w:t>rugby</w:t>
      </w:r>
      <w:r>
        <w:rPr>
          <w:spacing w:val="-10"/>
        </w:rPr>
        <w:t> </w:t>
      </w:r>
      <w:r>
        <w:rPr/>
        <w:t>league</w:t>
      </w:r>
      <w:r>
        <w:rPr>
          <w:spacing w:val="-10"/>
        </w:rPr>
        <w:t> </w:t>
      </w:r>
      <w:r>
        <w:rPr/>
        <w:t>is</w:t>
      </w:r>
      <w:r>
        <w:rPr>
          <w:spacing w:val="-10"/>
        </w:rPr>
        <w:t> </w:t>
      </w:r>
      <w:r>
        <w:rPr/>
        <w:t>a</w:t>
      </w:r>
      <w:r>
        <w:rPr>
          <w:spacing w:val="-10"/>
        </w:rPr>
        <w:t> </w:t>
      </w:r>
      <w:r>
        <w:rPr/>
        <w:t>unique</w:t>
      </w:r>
      <w:r>
        <w:rPr>
          <w:spacing w:val="-10"/>
        </w:rPr>
        <w:t> </w:t>
      </w:r>
      <w:r>
        <w:rPr/>
        <w:t>sport</w:t>
      </w:r>
      <w:r>
        <w:rPr>
          <w:spacing w:val="-10"/>
        </w:rPr>
        <w:t> </w:t>
      </w:r>
      <w:r>
        <w:rPr/>
        <w:t>with</w:t>
      </w:r>
      <w:r>
        <w:rPr>
          <w:spacing w:val="-10"/>
        </w:rPr>
        <w:t> </w:t>
      </w:r>
      <w:r>
        <w:rPr/>
        <w:t>re- </w:t>
      </w:r>
      <w:r>
        <w:rPr>
          <w:spacing w:val="-2"/>
        </w:rPr>
        <w:t>spect</w:t>
      </w:r>
      <w:r>
        <w:rPr>
          <w:spacing w:val="-7"/>
        </w:rPr>
        <w:t> </w:t>
      </w:r>
      <w:r>
        <w:rPr>
          <w:spacing w:val="-2"/>
        </w:rPr>
        <w:t>to</w:t>
      </w:r>
      <w:r>
        <w:rPr>
          <w:spacing w:val="-7"/>
        </w:rPr>
        <w:t> </w:t>
      </w:r>
      <w:r>
        <w:rPr>
          <w:spacing w:val="-2"/>
        </w:rPr>
        <w:t>the</w:t>
      </w:r>
      <w:r>
        <w:rPr>
          <w:spacing w:val="-7"/>
        </w:rPr>
        <w:t> </w:t>
      </w:r>
      <w:r>
        <w:rPr>
          <w:spacing w:val="-2"/>
        </w:rPr>
        <w:t>expected</w:t>
      </w:r>
      <w:r>
        <w:rPr>
          <w:spacing w:val="-7"/>
        </w:rPr>
        <w:t> </w:t>
      </w:r>
      <w:r>
        <w:rPr>
          <w:spacing w:val="-2"/>
        </w:rPr>
        <w:t>possession</w:t>
      </w:r>
      <w:r>
        <w:rPr>
          <w:spacing w:val="-7"/>
        </w:rPr>
        <w:t> </w:t>
      </w:r>
      <w:r>
        <w:rPr>
          <w:spacing w:val="-2"/>
        </w:rPr>
        <w:t>value</w:t>
      </w:r>
      <w:r>
        <w:rPr>
          <w:spacing w:val="-7"/>
        </w:rPr>
        <w:t> </w:t>
      </w:r>
      <w:r>
        <w:rPr>
          <w:spacing w:val="-2"/>
        </w:rPr>
        <w:t>(EPV)</w:t>
      </w:r>
      <w:r>
        <w:rPr>
          <w:spacing w:val="-7"/>
        </w:rPr>
        <w:t> </w:t>
      </w:r>
      <w:r>
        <w:rPr>
          <w:spacing w:val="-2"/>
        </w:rPr>
        <w:t>model</w:t>
      </w:r>
      <w:r>
        <w:rPr>
          <w:spacing w:val="-7"/>
        </w:rPr>
        <w:t> </w:t>
      </w:r>
      <w:r>
        <w:rPr>
          <w:spacing w:val="-2"/>
        </w:rPr>
        <w:t>literature</w:t>
      </w:r>
      <w:r>
        <w:rPr>
          <w:spacing w:val="-7"/>
        </w:rPr>
        <w:t> </w:t>
      </w:r>
      <w:r>
        <w:rPr>
          <w:spacing w:val="-2"/>
        </w:rPr>
        <w:t>due</w:t>
      </w:r>
      <w:r>
        <w:rPr>
          <w:spacing w:val="-7"/>
        </w:rPr>
        <w:t> </w:t>
      </w:r>
      <w:r>
        <w:rPr>
          <w:spacing w:val="-2"/>
        </w:rPr>
        <w:t>to</w:t>
      </w:r>
      <w:r>
        <w:rPr>
          <w:spacing w:val="-7"/>
        </w:rPr>
        <w:t> </w:t>
      </w:r>
      <w:r>
        <w:rPr>
          <w:spacing w:val="-2"/>
        </w:rPr>
        <w:t>its</w:t>
      </w:r>
      <w:r>
        <w:rPr>
          <w:spacing w:val="-7"/>
        </w:rPr>
        <w:t> </w:t>
      </w:r>
      <w:r>
        <w:rPr>
          <w:spacing w:val="-2"/>
        </w:rPr>
        <w:t>low</w:t>
      </w:r>
      <w:r>
        <w:rPr>
          <w:spacing w:val="-7"/>
        </w:rPr>
        <w:t> </w:t>
      </w:r>
      <w:r>
        <w:rPr>
          <w:spacing w:val="-2"/>
        </w:rPr>
        <w:t>data</w:t>
      </w:r>
      <w:r>
        <w:rPr>
          <w:spacing w:val="-7"/>
        </w:rPr>
        <w:t> </w:t>
      </w:r>
      <w:r>
        <w:rPr>
          <w:spacing w:val="-2"/>
        </w:rPr>
        <w:t>availabil- </w:t>
      </w:r>
      <w:r>
        <w:rPr/>
        <w:t>ity</w:t>
      </w:r>
      <w:r>
        <w:rPr>
          <w:spacing w:val="-1"/>
        </w:rPr>
        <w:t> </w:t>
      </w:r>
      <w:r>
        <w:rPr/>
        <w:t>(no</w:t>
      </w:r>
      <w:r>
        <w:rPr>
          <w:spacing w:val="-1"/>
        </w:rPr>
        <w:t> </w:t>
      </w:r>
      <w:r>
        <w:rPr/>
        <w:t>tracking</w:t>
      </w:r>
      <w:r>
        <w:rPr>
          <w:spacing w:val="-1"/>
        </w:rPr>
        <w:t> </w:t>
      </w:r>
      <w:r>
        <w:rPr/>
        <w:t>data</w:t>
      </w:r>
      <w:r>
        <w:rPr>
          <w:spacing w:val="-1"/>
        </w:rPr>
        <w:t> </w:t>
      </w:r>
      <w:r>
        <w:rPr/>
        <w:t>available, only</w:t>
      </w:r>
      <w:r>
        <w:rPr>
          <w:spacing w:val="-1"/>
        </w:rPr>
        <w:t> </w:t>
      </w:r>
      <w:r>
        <w:rPr/>
        <w:t>play</w:t>
      </w:r>
      <w:r>
        <w:rPr>
          <w:spacing w:val="-1"/>
        </w:rPr>
        <w:t> </w:t>
      </w:r>
      <w:r>
        <w:rPr/>
        <w:t>by</w:t>
      </w:r>
      <w:r>
        <w:rPr>
          <w:spacing w:val="-1"/>
        </w:rPr>
        <w:t> </w:t>
      </w:r>
      <w:r>
        <w:rPr/>
        <w:t>play</w:t>
      </w:r>
      <w:r>
        <w:rPr>
          <w:spacing w:val="-1"/>
        </w:rPr>
        <w:t> </w:t>
      </w:r>
      <w:r>
        <w:rPr/>
        <w:t>data</w:t>
      </w:r>
      <w:r>
        <w:rPr>
          <w:spacing w:val="-1"/>
        </w:rPr>
        <w:t> </w:t>
      </w:r>
      <w:r>
        <w:rPr/>
        <w:t>available</w:t>
      </w:r>
      <w:r>
        <w:rPr>
          <w:spacing w:val="-1"/>
        </w:rPr>
        <w:t> </w:t>
      </w:r>
      <w:r>
        <w:rPr/>
        <w:t>in</w:t>
      </w:r>
      <w:r>
        <w:rPr>
          <w:spacing w:val="-1"/>
        </w:rPr>
        <w:t> </w:t>
      </w:r>
      <w:r>
        <w:rPr/>
        <w:t>2019</w:t>
      </w:r>
      <w:r>
        <w:rPr>
          <w:spacing w:val="-1"/>
        </w:rPr>
        <w:t> </w:t>
      </w:r>
      <w:r>
        <w:rPr/>
        <w:t>season, different action by action datasets available in 2020 and 2021) and unique rules (six play </w:t>
      </w:r>
      <w:r>
        <w:rPr/>
        <w:t>attack- ing sets and multiple possession outcomes).</w:t>
      </w:r>
      <w:r>
        <w:rPr>
          <w:spacing w:val="40"/>
        </w:rPr>
        <w:t> </w:t>
      </w:r>
      <w:r>
        <w:rPr/>
        <w:t>These unique elements ensured it was not possible to adapt the most impressive EPV models currently available for use in rugby league.</w:t>
      </w:r>
      <w:r>
        <w:rPr>
          <w:spacing w:val="80"/>
        </w:rPr>
        <w:t> </w:t>
      </w:r>
      <w:r>
        <w:rPr/>
        <w:t>The</w:t>
      </w:r>
      <w:r>
        <w:rPr>
          <w:spacing w:val="31"/>
        </w:rPr>
        <w:t> </w:t>
      </w:r>
      <w:r>
        <w:rPr/>
        <w:t>methods</w:t>
      </w:r>
      <w:r>
        <w:rPr>
          <w:spacing w:val="31"/>
        </w:rPr>
        <w:t> </w:t>
      </w:r>
      <w:r>
        <w:rPr/>
        <w:t>which</w:t>
      </w:r>
      <w:r>
        <w:rPr>
          <w:spacing w:val="31"/>
        </w:rPr>
        <w:t> </w:t>
      </w:r>
      <w:r>
        <w:rPr/>
        <w:t>could</w:t>
      </w:r>
      <w:r>
        <w:rPr>
          <w:spacing w:val="31"/>
        </w:rPr>
        <w:t> </w:t>
      </w:r>
      <w:r>
        <w:rPr/>
        <w:t>not</w:t>
      </w:r>
      <w:r>
        <w:rPr>
          <w:spacing w:val="31"/>
        </w:rPr>
        <w:t> </w:t>
      </w:r>
      <w:r>
        <w:rPr/>
        <w:t>be</w:t>
      </w:r>
      <w:r>
        <w:rPr>
          <w:spacing w:val="31"/>
        </w:rPr>
        <w:t> </w:t>
      </w:r>
      <w:r>
        <w:rPr/>
        <w:t>used</w:t>
      </w:r>
      <w:r>
        <w:rPr>
          <w:spacing w:val="31"/>
        </w:rPr>
        <w:t> </w:t>
      </w:r>
      <w:r>
        <w:rPr/>
        <w:t>in</w:t>
      </w:r>
      <w:r>
        <w:rPr>
          <w:spacing w:val="31"/>
        </w:rPr>
        <w:t> </w:t>
      </w:r>
      <w:r>
        <w:rPr/>
        <w:t>this</w:t>
      </w:r>
      <w:r>
        <w:rPr>
          <w:spacing w:val="31"/>
        </w:rPr>
        <w:t> </w:t>
      </w:r>
      <w:r>
        <w:rPr/>
        <w:t>study</w:t>
      </w:r>
      <w:r>
        <w:rPr>
          <w:spacing w:val="31"/>
        </w:rPr>
        <w:t> </w:t>
      </w:r>
      <w:r>
        <w:rPr/>
        <w:t>included:</w:t>
      </w:r>
      <w:r>
        <w:rPr>
          <w:spacing w:val="79"/>
        </w:rPr>
        <w:t> </w:t>
      </w:r>
      <w:r>
        <w:rPr/>
        <w:t>deep</w:t>
      </w:r>
      <w:r>
        <w:rPr>
          <w:spacing w:val="31"/>
        </w:rPr>
        <w:t> </w:t>
      </w:r>
      <w:r>
        <w:rPr/>
        <w:t>learning </w:t>
      </w:r>
      <w:r>
        <w:rPr>
          <w:spacing w:val="7"/>
        </w:rPr>
        <w:t>(</w:t>
      </w:r>
      <w:hyperlink w:history="true" w:anchor="_bookmark243">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1"/>
          </w:rPr>
          <w:t> </w:t>
        </w:r>
        <w:r>
          <w:rPr>
            <w:color w:val="FF0000"/>
          </w:rPr>
          <w:t>et al.</w:t>
        </w:r>
      </w:hyperlink>
      <w:r>
        <w:rPr/>
        <w:t>,</w:t>
      </w:r>
      <w:hyperlink w:history="true" w:anchor="_bookmark243">
        <w:r>
          <w:rPr>
            <w:color w:val="FF0000"/>
          </w:rPr>
          <w:t>2021</w:t>
        </w:r>
        <w:r>
          <w:rPr/>
          <w:t>)</w:t>
        </w:r>
      </w:hyperlink>
      <w:r>
        <w:rPr/>
        <w:t> and deep reinforcement learning approaches (</w:t>
      </w:r>
      <w:hyperlink w:history="true" w:anchor="_bookmark269">
        <w:r>
          <w:rPr>
            <w:color w:val="FF0000"/>
          </w:rPr>
          <w:t>Liu et al.</w:t>
        </w:r>
        <w:r>
          <w:rPr/>
          <w:t>,</w:t>
        </w:r>
      </w:hyperlink>
      <w:r>
        <w:rPr>
          <w:color w:val="FF0000"/>
        </w:rPr>
        <w:t>2020</w:t>
      </w:r>
      <w:hyperlink w:history="true" w:anchor="_bookmark269">
        <w:r>
          <w:rPr/>
          <w:t>;</w:t>
        </w:r>
      </w:hyperlink>
      <w:r>
        <w:rPr/>
        <w:t> </w:t>
      </w:r>
      <w:hyperlink w:history="true" w:anchor="_bookmark270">
        <w:r>
          <w:rPr>
            <w:color w:val="FF0000"/>
          </w:rPr>
          <w:t>Liu</w:t>
        </w:r>
        <w:r>
          <w:rPr>
            <w:color w:val="FF0000"/>
            <w:spacing w:val="37"/>
          </w:rPr>
          <w:t> </w:t>
        </w:r>
        <w:r>
          <w:rPr>
            <w:color w:val="FF0000"/>
          </w:rPr>
          <w:t>and</w:t>
        </w:r>
        <w:r>
          <w:rPr>
            <w:color w:val="FF0000"/>
            <w:spacing w:val="38"/>
          </w:rPr>
          <w:t> </w:t>
        </w:r>
        <w:r>
          <w:rPr>
            <w:color w:val="FF0000"/>
          </w:rPr>
          <w:t>Schulte</w:t>
        </w:r>
      </w:hyperlink>
      <w:r>
        <w:rPr/>
        <w:t>,</w:t>
      </w:r>
      <w:hyperlink w:history="true" w:anchor="_bookmark270">
        <w:r>
          <w:rPr>
            <w:color w:val="FF0000"/>
          </w:rPr>
          <w:t>2018</w:t>
        </w:r>
        <w:r>
          <w:rPr/>
          <w:t>);</w:t>
        </w:r>
      </w:hyperlink>
      <w:r>
        <w:rPr>
          <w:spacing w:val="40"/>
        </w:rPr>
        <w:t> </w:t>
      </w:r>
      <w:r>
        <w:rPr/>
        <w:t>a</w:t>
      </w:r>
      <w:r>
        <w:rPr>
          <w:spacing w:val="38"/>
        </w:rPr>
        <w:t> </w:t>
      </w:r>
      <w:r>
        <w:rPr/>
        <w:t>Bayesian</w:t>
      </w:r>
      <w:r>
        <w:rPr>
          <w:spacing w:val="37"/>
        </w:rPr>
        <w:t> </w:t>
      </w:r>
      <w:r>
        <w:rPr/>
        <w:t>approach</w:t>
      </w:r>
      <w:r>
        <w:rPr>
          <w:spacing w:val="38"/>
        </w:rPr>
        <w:t> </w:t>
      </w:r>
      <w:r>
        <w:rPr/>
        <w:t>requiring</w:t>
      </w:r>
      <w:r>
        <w:rPr>
          <w:spacing w:val="37"/>
        </w:rPr>
        <w:t> </w:t>
      </w:r>
      <w:r>
        <w:rPr/>
        <w:t>tracking</w:t>
      </w:r>
      <w:r>
        <w:rPr>
          <w:spacing w:val="38"/>
        </w:rPr>
        <w:t> </w:t>
      </w:r>
      <w:r>
        <w:rPr/>
        <w:t>data</w:t>
      </w:r>
      <w:r>
        <w:rPr>
          <w:spacing w:val="37"/>
        </w:rPr>
        <w:t> </w:t>
      </w:r>
      <w:r>
        <w:rPr/>
        <w:t>(</w:t>
      </w:r>
      <w:hyperlink w:history="true" w:anchor="_bookmark231">
        <w:r>
          <w:rPr>
            <w:color w:val="FF0000"/>
          </w:rPr>
          <w:t>Cervone</w:t>
        </w:r>
        <w:r>
          <w:rPr>
            <w:color w:val="FF0000"/>
            <w:spacing w:val="37"/>
          </w:rPr>
          <w:t> </w:t>
        </w:r>
        <w:r>
          <w:rPr>
            <w:color w:val="FF0000"/>
          </w:rPr>
          <w:t>et</w:t>
        </w:r>
        <w:r>
          <w:rPr>
            <w:color w:val="FF0000"/>
            <w:spacing w:val="38"/>
          </w:rPr>
          <w:t> </w:t>
        </w:r>
        <w:r>
          <w:rPr>
            <w:color w:val="FF0000"/>
          </w:rPr>
          <w:t>al.</w:t>
        </w:r>
        <w:r>
          <w:rPr/>
          <w:t>,</w:t>
        </w:r>
      </w:hyperlink>
      <w:r>
        <w:rPr/>
        <w:t> </w:t>
      </w:r>
      <w:hyperlink w:history="true" w:anchor="_bookmark231">
        <w:r>
          <w:rPr>
            <w:color w:val="FF0000"/>
          </w:rPr>
          <w:t>2016</w:t>
        </w:r>
      </w:hyperlink>
      <w:r>
        <w:rPr/>
        <w:t>); and a CatBoost machine learning algorithm, which used 18 times more data than that available over the complete duration of this thesis (</w:t>
      </w:r>
      <w:hyperlink w:history="true" w:anchor="_bookmark239">
        <w:r>
          <w:rPr>
            <w:color w:val="FF0000"/>
          </w:rPr>
          <w:t>Decroos et al.</w:t>
        </w:r>
      </w:hyperlink>
      <w:r>
        <w:rPr/>
        <w:t>,</w:t>
      </w:r>
      <w:hyperlink w:history="true" w:anchor="_bookmark239">
        <w:r>
          <w:rPr>
            <w:color w:val="FF0000"/>
          </w:rPr>
          <w:t>2019</w:t>
        </w:r>
      </w:hyperlink>
      <w:r>
        <w:rPr/>
        <w:t>).</w:t>
      </w:r>
      <w:r>
        <w:rPr>
          <w:spacing w:val="40"/>
        </w:rPr>
        <w:t> </w:t>
      </w:r>
      <w:r>
        <w:rPr/>
        <w:t>However, there were some EPV models available which could be adapted and improved to evalu- ate player and team performances in the sport (</w:t>
      </w:r>
      <w:hyperlink w:history="true" w:anchor="_bookmark232">
        <w:r>
          <w:rPr>
            <w:color w:val="FF0000"/>
          </w:rPr>
          <w:t>Chan et al.</w:t>
        </w:r>
      </w:hyperlink>
      <w:r>
        <w:rPr/>
        <w:t>,</w:t>
      </w:r>
      <w:hyperlink w:history="true" w:anchor="_bookmark232">
        <w:r>
          <w:rPr>
            <w:color w:val="FF0000"/>
          </w:rPr>
          <w:t>2021</w:t>
        </w:r>
        <w:r>
          <w:rPr/>
          <w:t>;</w:t>
        </w:r>
      </w:hyperlink>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w:t>
      </w:r>
      <w:hyperlink w:history="true" w:anchor="_bookmark294">
        <w:r>
          <w:rPr>
            <w:color w:val="FF0000"/>
          </w:rPr>
          <w:t>Singh</w:t>
        </w:r>
      </w:hyperlink>
      <w:r>
        <w:rPr/>
        <w:t>,</w:t>
      </w:r>
      <w:hyperlink w:history="true" w:anchor="_bookmark294">
        <w:r>
          <w:rPr>
            <w:color w:val="FF0000"/>
          </w:rPr>
          <w:t>n.d.</w:t>
        </w:r>
      </w:hyperlink>
      <w:r>
        <w:rPr/>
        <w:t>).</w:t>
      </w:r>
      <w:r>
        <w:rPr>
          <w:spacing w:val="22"/>
        </w:rPr>
        <w:t> </w:t>
      </w:r>
      <w:r>
        <w:rPr/>
        <w:t>These approaches used Markov Reward and Decision Processes to evaluate player and team performances but arbitrarily selected their zone sizes, which may have influenced the results they obtained.</w:t>
      </w:r>
    </w:p>
    <w:p>
      <w:pPr>
        <w:pStyle w:val="BodyText"/>
        <w:spacing w:line="312" w:lineRule="auto"/>
        <w:ind w:left="610" w:right="389" w:firstLine="351"/>
      </w:pPr>
      <w:r>
        <w:rPr/>
        <w:t>At</w:t>
      </w:r>
      <w:r>
        <w:rPr>
          <w:spacing w:val="-15"/>
        </w:rPr>
        <w:t> </w:t>
      </w:r>
      <w:r>
        <w:rPr/>
        <w:t>the</w:t>
      </w:r>
      <w:r>
        <w:rPr>
          <w:spacing w:val="-15"/>
        </w:rPr>
        <w:t> </w:t>
      </w:r>
      <w:r>
        <w:rPr/>
        <w:t>onset</w:t>
      </w:r>
      <w:r>
        <w:rPr>
          <w:spacing w:val="-15"/>
        </w:rPr>
        <w:t> </w:t>
      </w:r>
      <w:r>
        <w:rPr/>
        <w:t>of</w:t>
      </w:r>
      <w:r>
        <w:rPr>
          <w:spacing w:val="-15"/>
        </w:rPr>
        <w:t> </w:t>
      </w:r>
      <w:r>
        <w:rPr/>
        <w:t>this</w:t>
      </w:r>
      <w:r>
        <w:rPr>
          <w:spacing w:val="-15"/>
        </w:rPr>
        <w:t> </w:t>
      </w:r>
      <w:r>
        <w:rPr/>
        <w:t>PhD,</w:t>
      </w:r>
      <w:r>
        <w:rPr>
          <w:spacing w:val="-15"/>
        </w:rPr>
        <w:t> </w:t>
      </w:r>
      <w:r>
        <w:rPr/>
        <w:t>no</w:t>
      </w:r>
      <w:r>
        <w:rPr>
          <w:spacing w:val="-15"/>
        </w:rPr>
        <w:t> </w:t>
      </w:r>
      <w:r>
        <w:rPr/>
        <w:t>previous</w:t>
      </w:r>
      <w:r>
        <w:rPr>
          <w:spacing w:val="-15"/>
        </w:rPr>
        <w:t> </w:t>
      </w:r>
      <w:r>
        <w:rPr/>
        <w:t>studies</w:t>
      </w:r>
      <w:r>
        <w:rPr>
          <w:spacing w:val="-15"/>
        </w:rPr>
        <w:t> </w:t>
      </w:r>
      <w:r>
        <w:rPr/>
        <w:t>had</w:t>
      </w:r>
      <w:r>
        <w:rPr>
          <w:spacing w:val="-15"/>
        </w:rPr>
        <w:t> </w:t>
      </w:r>
      <w:r>
        <w:rPr/>
        <w:t>used</w:t>
      </w:r>
      <w:r>
        <w:rPr>
          <w:spacing w:val="-15"/>
        </w:rPr>
        <w:t> </w:t>
      </w:r>
      <w:r>
        <w:rPr/>
        <w:t>action</w:t>
      </w:r>
      <w:r>
        <w:rPr>
          <w:spacing w:val="-15"/>
        </w:rPr>
        <w:t> </w:t>
      </w:r>
      <w:r>
        <w:rPr/>
        <w:t>by</w:t>
      </w:r>
      <w:r>
        <w:rPr>
          <w:spacing w:val="-15"/>
        </w:rPr>
        <w:t> </w:t>
      </w:r>
      <w:r>
        <w:rPr/>
        <w:t>action</w:t>
      </w:r>
      <w:r>
        <w:rPr>
          <w:spacing w:val="-15"/>
        </w:rPr>
        <w:t> </w:t>
      </w:r>
      <w:r>
        <w:rPr/>
        <w:t>data</w:t>
      </w:r>
      <w:r>
        <w:rPr>
          <w:spacing w:val="-15"/>
        </w:rPr>
        <w:t> </w:t>
      </w:r>
      <w:r>
        <w:rPr/>
        <w:t>to</w:t>
      </w:r>
      <w:r>
        <w:rPr>
          <w:spacing w:val="-15"/>
        </w:rPr>
        <w:t> </w:t>
      </w:r>
      <w:r>
        <w:rPr/>
        <w:t>evaluate player</w:t>
      </w:r>
      <w:r>
        <w:rPr>
          <w:spacing w:val="-3"/>
        </w:rPr>
        <w:t> </w:t>
      </w:r>
      <w:r>
        <w:rPr/>
        <w:t>and</w:t>
      </w:r>
      <w:r>
        <w:rPr>
          <w:spacing w:val="-3"/>
        </w:rPr>
        <w:t> </w:t>
      </w:r>
      <w:r>
        <w:rPr/>
        <w:t>team</w:t>
      </w:r>
      <w:r>
        <w:rPr>
          <w:spacing w:val="-3"/>
        </w:rPr>
        <w:t> </w:t>
      </w:r>
      <w:r>
        <w:rPr/>
        <w:t>performances</w:t>
      </w:r>
      <w:r>
        <w:rPr>
          <w:spacing w:val="-3"/>
        </w:rPr>
        <w:t> </w:t>
      </w:r>
      <w:r>
        <w:rPr/>
        <w:t>in</w:t>
      </w:r>
      <w:r>
        <w:rPr>
          <w:spacing w:val="-3"/>
        </w:rPr>
        <w:t> </w:t>
      </w:r>
      <w:r>
        <w:rPr/>
        <w:t>rugby</w:t>
      </w:r>
      <w:r>
        <w:rPr>
          <w:spacing w:val="-3"/>
        </w:rPr>
        <w:t> </w:t>
      </w:r>
      <w:r>
        <w:rPr/>
        <w:t>league. Two</w:t>
      </w:r>
      <w:r>
        <w:rPr>
          <w:spacing w:val="-3"/>
        </w:rPr>
        <w:t> </w:t>
      </w:r>
      <w:r>
        <w:rPr/>
        <w:t>studies</w:t>
      </w:r>
      <w:r>
        <w:rPr>
          <w:spacing w:val="-3"/>
        </w:rPr>
        <w:t> </w:t>
      </w:r>
      <w:r>
        <w:rPr/>
        <w:t>had</w:t>
      </w:r>
      <w:r>
        <w:rPr>
          <w:spacing w:val="-3"/>
        </w:rPr>
        <w:t> </w:t>
      </w:r>
      <w:r>
        <w:rPr/>
        <w:t>considered</w:t>
      </w:r>
      <w:r>
        <w:rPr>
          <w:spacing w:val="-3"/>
        </w:rPr>
        <w:t> </w:t>
      </w:r>
      <w:r>
        <w:rPr/>
        <w:t>play</w:t>
      </w:r>
      <w:r>
        <w:rPr>
          <w:spacing w:val="-3"/>
        </w:rPr>
        <w:t> </w:t>
      </w:r>
      <w:r>
        <w:rPr/>
        <w:t>by</w:t>
      </w:r>
      <w:r>
        <w:rPr>
          <w:spacing w:val="-3"/>
        </w:rPr>
        <w:t> </w:t>
      </w:r>
      <w:r>
        <w:rPr/>
        <w:t>play data</w:t>
      </w:r>
      <w:r>
        <w:rPr>
          <w:spacing w:val="-7"/>
        </w:rPr>
        <w:t> </w:t>
      </w:r>
      <w:r>
        <w:rPr/>
        <w:t>(</w:t>
      </w:r>
      <w:hyperlink w:history="true" w:anchor="_bookmark254">
        <w:r>
          <w:rPr>
            <w:color w:val="FF0000"/>
          </w:rPr>
          <w:t>Holbrook</w:t>
        </w:r>
        <w:r>
          <w:rPr>
            <w:color w:val="FF0000"/>
            <w:spacing w:val="-7"/>
          </w:rPr>
          <w:t> </w:t>
        </w:r>
        <w:r>
          <w:rPr>
            <w:color w:val="FF0000"/>
          </w:rPr>
          <w:t>et</w:t>
        </w:r>
        <w:r>
          <w:rPr>
            <w:color w:val="FF0000"/>
            <w:spacing w:val="-7"/>
          </w:rPr>
          <w:t> </w:t>
        </w:r>
        <w:r>
          <w:rPr>
            <w:color w:val="FF0000"/>
          </w:rPr>
          <w:t>al.</w:t>
        </w:r>
      </w:hyperlink>
      <w:r>
        <w:rPr/>
        <w:t>,</w:t>
      </w:r>
      <w:hyperlink w:history="true" w:anchor="_bookmark254">
        <w:r>
          <w:rPr>
            <w:color w:val="FF0000"/>
          </w:rPr>
          <w:t>2019</w:t>
        </w:r>
        <w:r>
          <w:rPr/>
          <w:t>;</w:t>
        </w:r>
      </w:hyperlink>
      <w:r>
        <w:rPr>
          <w:color w:val="FF0000"/>
        </w:rPr>
        <w:t>K</w:t>
      </w:r>
      <w:hyperlink w:history="true" w:anchor="_bookmark263">
        <w:r>
          <w:rPr>
            <w:color w:val="FF0000"/>
          </w:rPr>
          <w:t>empton</w:t>
        </w:r>
        <w:r>
          <w:rPr>
            <w:color w:val="FF0000"/>
            <w:spacing w:val="-7"/>
          </w:rPr>
          <w:t> </w:t>
        </w:r>
        <w:r>
          <w:rPr>
            <w:color w:val="FF0000"/>
          </w:rPr>
          <w:t>et</w:t>
        </w:r>
        <w:r>
          <w:rPr>
            <w:color w:val="FF0000"/>
            <w:spacing w:val="-7"/>
          </w:rPr>
          <w:t> </w:t>
        </w:r>
        <w:r>
          <w:rPr>
            <w:color w:val="FF0000"/>
          </w:rPr>
          <w:t>al.</w:t>
        </w:r>
        <w:r>
          <w:rPr/>
          <w:t>,</w:t>
        </w:r>
      </w:hyperlink>
      <w:r>
        <w:rPr>
          <w:color w:val="FF0000"/>
        </w:rPr>
        <w:t>2016</w:t>
      </w:r>
      <w:hyperlink w:history="true" w:anchor="_bookmark263">
        <w:r>
          <w:rPr/>
          <w:t>)</w:t>
        </w:r>
      </w:hyperlink>
      <w:r>
        <w:rPr>
          <w:spacing w:val="-7"/>
        </w:rPr>
        <w:t> </w:t>
      </w:r>
      <w:r>
        <w:rPr/>
        <w:t>but</w:t>
      </w:r>
      <w:r>
        <w:rPr>
          <w:spacing w:val="-7"/>
        </w:rPr>
        <w:t> </w:t>
      </w:r>
      <w:r>
        <w:rPr/>
        <w:t>neither</w:t>
      </w:r>
      <w:r>
        <w:rPr>
          <w:spacing w:val="-7"/>
        </w:rPr>
        <w:t> </w:t>
      </w:r>
      <w:r>
        <w:rPr/>
        <w:t>had</w:t>
      </w:r>
      <w:r>
        <w:rPr>
          <w:spacing w:val="-7"/>
        </w:rPr>
        <w:t> </w:t>
      </w:r>
      <w:r>
        <w:rPr/>
        <w:t>provided</w:t>
      </w:r>
      <w:r>
        <w:rPr>
          <w:spacing w:val="-7"/>
        </w:rPr>
        <w:t> </w:t>
      </w:r>
      <w:r>
        <w:rPr/>
        <w:t>a</w:t>
      </w:r>
      <w:r>
        <w:rPr>
          <w:spacing w:val="-7"/>
        </w:rPr>
        <w:t> </w:t>
      </w:r>
      <w:r>
        <w:rPr/>
        <w:t>methodology or metric through which player performances could be evaluated.</w:t>
      </w:r>
      <w:r>
        <w:rPr>
          <w:spacing w:val="80"/>
        </w:rPr>
        <w:t> </w:t>
      </w:r>
      <w:r>
        <w:rPr/>
        <w:t>As such,</w:t>
      </w:r>
      <w:r>
        <w:rPr>
          <w:spacing w:val="28"/>
        </w:rPr>
        <w:t> </w:t>
      </w:r>
      <w:r>
        <w:rPr/>
        <w:t>there was</w:t>
      </w:r>
      <w:r>
        <w:rPr>
          <w:spacing w:val="40"/>
        </w:rPr>
        <w:t> </w:t>
      </w:r>
      <w:r>
        <w:rPr/>
        <w:t>no</w:t>
      </w:r>
      <w:r>
        <w:rPr>
          <w:spacing w:val="22"/>
        </w:rPr>
        <w:t> </w:t>
      </w:r>
      <w:r>
        <w:rPr/>
        <w:t>framework</w:t>
      </w:r>
      <w:r>
        <w:rPr>
          <w:spacing w:val="22"/>
        </w:rPr>
        <w:t> </w:t>
      </w:r>
      <w:r>
        <w:rPr/>
        <w:t>through</w:t>
      </w:r>
      <w:r>
        <w:rPr>
          <w:spacing w:val="22"/>
        </w:rPr>
        <w:t> </w:t>
      </w:r>
      <w:r>
        <w:rPr/>
        <w:t>which</w:t>
      </w:r>
      <w:r>
        <w:rPr>
          <w:spacing w:val="22"/>
        </w:rPr>
        <w:t> </w:t>
      </w:r>
      <w:r>
        <w:rPr/>
        <w:t>the</w:t>
      </w:r>
      <w:r>
        <w:rPr>
          <w:spacing w:val="22"/>
        </w:rPr>
        <w:t> </w:t>
      </w:r>
      <w:r>
        <w:rPr/>
        <w:t>results</w:t>
      </w:r>
      <w:r>
        <w:rPr>
          <w:spacing w:val="22"/>
        </w:rPr>
        <w:t> </w:t>
      </w:r>
      <w:r>
        <w:rPr/>
        <w:t>of</w:t>
      </w:r>
      <w:r>
        <w:rPr>
          <w:spacing w:val="22"/>
        </w:rPr>
        <w:t> </w:t>
      </w:r>
      <w:r>
        <w:rPr/>
        <w:t>this</w:t>
      </w:r>
      <w:r>
        <w:rPr>
          <w:spacing w:val="22"/>
        </w:rPr>
        <w:t> </w:t>
      </w:r>
      <w:r>
        <w:rPr/>
        <w:t>thesis</w:t>
      </w:r>
      <w:r>
        <w:rPr>
          <w:spacing w:val="22"/>
        </w:rPr>
        <w:t> </w:t>
      </w:r>
      <w:r>
        <w:rPr/>
        <w:t>could</w:t>
      </w:r>
      <w:r>
        <w:rPr>
          <w:spacing w:val="22"/>
        </w:rPr>
        <w:t> </w:t>
      </w:r>
      <w:r>
        <w:rPr/>
        <w:t>be</w:t>
      </w:r>
      <w:r>
        <w:rPr>
          <w:spacing w:val="22"/>
        </w:rPr>
        <w:t> </w:t>
      </w:r>
      <w:r>
        <w:rPr/>
        <w:t>compared.</w:t>
      </w:r>
      <w:r>
        <w:rPr>
          <w:spacing w:val="80"/>
        </w:rPr>
        <w:t> </w:t>
      </w:r>
      <w:r>
        <w:rPr/>
        <w:t>Given</w:t>
      </w:r>
      <w:r>
        <w:rPr>
          <w:spacing w:val="22"/>
        </w:rPr>
        <w:t> </w:t>
      </w:r>
      <w:r>
        <w:rPr/>
        <w:t>this background,</w:t>
      </w:r>
      <w:r>
        <w:rPr>
          <w:spacing w:val="25"/>
        </w:rPr>
        <w:t> </w:t>
      </w:r>
      <w:r>
        <w:rPr/>
        <w:t>and the limited data available in the sport,</w:t>
      </w:r>
      <w:r>
        <w:rPr>
          <w:spacing w:val="25"/>
        </w:rPr>
        <w:t> </w:t>
      </w:r>
      <w:r>
        <w:rPr/>
        <w:t>the focus of this thesis was to</w:t>
      </w:r>
      <w:r>
        <w:rPr>
          <w:spacing w:val="80"/>
        </w:rPr>
        <w:t> </w:t>
      </w:r>
      <w:r>
        <w:rPr/>
        <w:t>continually improve the methodologies used rather than optimise earlier algorithms and models.</w:t>
      </w:r>
      <w:r>
        <w:rPr>
          <w:spacing w:val="-15"/>
        </w:rPr>
        <w:t> </w:t>
      </w:r>
      <w:r>
        <w:rPr/>
        <w:t>Theoretically,</w:t>
      </w:r>
      <w:r>
        <w:rPr>
          <w:spacing w:val="-15"/>
        </w:rPr>
        <w:t> </w:t>
      </w:r>
      <w:r>
        <w:rPr/>
        <w:t>it</w:t>
      </w:r>
      <w:r>
        <w:rPr>
          <w:spacing w:val="-15"/>
        </w:rPr>
        <w:t> </w:t>
      </w:r>
      <w:r>
        <w:rPr/>
        <w:t>would</w:t>
      </w:r>
      <w:r>
        <w:rPr>
          <w:spacing w:val="-15"/>
        </w:rPr>
        <w:t> </w:t>
      </w:r>
      <w:r>
        <w:rPr/>
        <w:t>have</w:t>
      </w:r>
      <w:r>
        <w:rPr>
          <w:spacing w:val="-15"/>
        </w:rPr>
        <w:t> </w:t>
      </w:r>
      <w:r>
        <w:rPr/>
        <w:t>been</w:t>
      </w:r>
      <w:r>
        <w:rPr>
          <w:spacing w:val="-15"/>
        </w:rPr>
        <w:t> </w:t>
      </w:r>
      <w:r>
        <w:rPr/>
        <w:t>possible</w:t>
      </w:r>
      <w:r>
        <w:rPr>
          <w:spacing w:val="-15"/>
        </w:rPr>
        <w:t> </w:t>
      </w:r>
      <w:r>
        <w:rPr/>
        <w:t>to</w:t>
      </w:r>
      <w:r>
        <w:rPr>
          <w:spacing w:val="-15"/>
        </w:rPr>
        <w:t> </w:t>
      </w:r>
      <w:r>
        <w:rPr/>
        <w:t>use</w:t>
      </w:r>
      <w:r>
        <w:rPr>
          <w:spacing w:val="-15"/>
        </w:rPr>
        <w:t> </w:t>
      </w:r>
      <w:r>
        <w:rPr/>
        <w:t>all</w:t>
      </w:r>
      <w:r>
        <w:rPr>
          <w:spacing w:val="-15"/>
        </w:rPr>
        <w:t> </w:t>
      </w:r>
      <w:r>
        <w:rPr/>
        <w:t>three</w:t>
      </w:r>
      <w:r>
        <w:rPr>
          <w:spacing w:val="-15"/>
        </w:rPr>
        <w:t> </w:t>
      </w:r>
      <w:r>
        <w:rPr/>
        <w:t>seasons</w:t>
      </w:r>
      <w:r>
        <w:rPr>
          <w:spacing w:val="-15"/>
        </w:rPr>
        <w:t> </w:t>
      </w:r>
      <w:r>
        <w:rPr/>
        <w:t>of</w:t>
      </w:r>
      <w:r>
        <w:rPr>
          <w:spacing w:val="-15"/>
        </w:rPr>
        <w:t> </w:t>
      </w:r>
      <w:r>
        <w:rPr/>
        <w:t>data</w:t>
      </w:r>
      <w:r>
        <w:rPr>
          <w:spacing w:val="-15"/>
        </w:rPr>
        <w:t> </w:t>
      </w:r>
      <w:r>
        <w:rPr/>
        <w:t>together to optimise the work from earlier chapters, but this would have been problematic from a preprocessing</w:t>
      </w:r>
      <w:r>
        <w:rPr>
          <w:spacing w:val="-4"/>
        </w:rPr>
        <w:t> </w:t>
      </w:r>
      <w:r>
        <w:rPr/>
        <w:t>perspective</w:t>
      </w:r>
      <w:r>
        <w:rPr>
          <w:spacing w:val="-5"/>
        </w:rPr>
        <w:t> </w:t>
      </w:r>
      <w:r>
        <w:rPr/>
        <w:t>due</w:t>
      </w:r>
      <w:r>
        <w:rPr>
          <w:spacing w:val="-4"/>
        </w:rPr>
        <w:t> </w:t>
      </w:r>
      <w:r>
        <w:rPr/>
        <w:t>to</w:t>
      </w:r>
      <w:r>
        <w:rPr>
          <w:spacing w:val="-4"/>
        </w:rPr>
        <w:t> </w:t>
      </w:r>
      <w:r>
        <w:rPr/>
        <w:t>the</w:t>
      </w:r>
      <w:r>
        <w:rPr>
          <w:spacing w:val="-4"/>
        </w:rPr>
        <w:t> </w:t>
      </w:r>
      <w:r>
        <w:rPr/>
        <w:t>different</w:t>
      </w:r>
      <w:r>
        <w:rPr>
          <w:spacing w:val="-4"/>
        </w:rPr>
        <w:t> </w:t>
      </w:r>
      <w:r>
        <w:rPr/>
        <w:t>action</w:t>
      </w:r>
      <w:r>
        <w:rPr>
          <w:spacing w:val="-5"/>
        </w:rPr>
        <w:t> </w:t>
      </w:r>
      <w:r>
        <w:rPr/>
        <w:t>definitions</w:t>
      </w:r>
      <w:r>
        <w:rPr>
          <w:spacing w:val="-4"/>
        </w:rPr>
        <w:t> </w:t>
      </w:r>
      <w:r>
        <w:rPr/>
        <w:t>across</w:t>
      </w:r>
      <w:r>
        <w:rPr>
          <w:spacing w:val="-4"/>
        </w:rPr>
        <w:t> </w:t>
      </w:r>
      <w:r>
        <w:rPr/>
        <w:t>the</w:t>
      </w:r>
      <w:r>
        <w:rPr>
          <w:spacing w:val="-5"/>
        </w:rPr>
        <w:t> </w:t>
      </w:r>
      <w:r>
        <w:rPr/>
        <w:t>three</w:t>
      </w:r>
      <w:r>
        <w:rPr>
          <w:spacing w:val="-4"/>
        </w:rPr>
        <w:t> </w:t>
      </w:r>
      <w:r>
        <w:rPr/>
        <w:t>seasons. Consequently,</w:t>
      </w:r>
      <w:r>
        <w:rPr>
          <w:spacing w:val="-4"/>
        </w:rPr>
        <w:t> </w:t>
      </w:r>
      <w:r>
        <w:rPr/>
        <w:t>each</w:t>
      </w:r>
      <w:r>
        <w:rPr>
          <w:spacing w:val="-4"/>
        </w:rPr>
        <w:t> </w:t>
      </w:r>
      <w:r>
        <w:rPr/>
        <w:t>model</w:t>
      </w:r>
      <w:r>
        <w:rPr>
          <w:spacing w:val="-4"/>
        </w:rPr>
        <w:t> </w:t>
      </w:r>
      <w:r>
        <w:rPr/>
        <w:t>was</w:t>
      </w:r>
      <w:r>
        <w:rPr>
          <w:spacing w:val="-4"/>
        </w:rPr>
        <w:t> </w:t>
      </w:r>
      <w:r>
        <w:rPr/>
        <w:t>developed</w:t>
      </w:r>
      <w:r>
        <w:rPr>
          <w:spacing w:val="-5"/>
        </w:rPr>
        <w:t> </w:t>
      </w:r>
      <w:r>
        <w:rPr/>
        <w:t>using</w:t>
      </w:r>
      <w:r>
        <w:rPr>
          <w:spacing w:val="-4"/>
        </w:rPr>
        <w:t> </w:t>
      </w:r>
      <w:r>
        <w:rPr/>
        <w:t>slightly</w:t>
      </w:r>
      <w:r>
        <w:rPr>
          <w:spacing w:val="-4"/>
        </w:rPr>
        <w:t> </w:t>
      </w:r>
      <w:r>
        <w:rPr/>
        <w:t>different</w:t>
      </w:r>
      <w:r>
        <w:rPr>
          <w:spacing w:val="-4"/>
        </w:rPr>
        <w:t> </w:t>
      </w:r>
      <w:r>
        <w:rPr/>
        <w:t>data</w:t>
      </w:r>
      <w:r>
        <w:rPr>
          <w:spacing w:val="-4"/>
        </w:rPr>
        <w:t> </w:t>
      </w:r>
      <w:r>
        <w:rPr/>
        <w:t>and</w:t>
      </w:r>
      <w:r>
        <w:rPr>
          <w:spacing w:val="-5"/>
        </w:rPr>
        <w:t> </w:t>
      </w:r>
      <w:r>
        <w:rPr/>
        <w:t>could</w:t>
      </w:r>
      <w:r>
        <w:rPr>
          <w:spacing w:val="-4"/>
        </w:rPr>
        <w:t> </w:t>
      </w:r>
      <w:r>
        <w:rPr/>
        <w:t>only</w:t>
      </w:r>
      <w:r>
        <w:rPr>
          <w:spacing w:val="-4"/>
        </w:rPr>
        <w:t> </w:t>
      </w:r>
      <w:r>
        <w:rPr>
          <w:spacing w:val="-5"/>
        </w:rPr>
        <w:t>be</w:t>
      </w:r>
    </w:p>
    <w:p>
      <w:pPr>
        <w:spacing w:after="0" w:line="312" w:lineRule="auto"/>
        <w:sectPr>
          <w:headerReference w:type="default" r:id="rId142"/>
          <w:footerReference w:type="default" r:id="rId143"/>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pPr>
      <w:r>
        <w:rPr/>
        <w:t>compared with real performances and coaches’ feedback for validation purposes.</w:t>
      </w:r>
      <w:r>
        <w:rPr>
          <w:spacing w:val="40"/>
        </w:rPr>
        <w:t> </w:t>
      </w:r>
      <w:r>
        <w:rPr/>
        <w:t>The</w:t>
      </w:r>
      <w:r>
        <w:rPr>
          <w:spacing w:val="40"/>
        </w:rPr>
        <w:t> </w:t>
      </w:r>
      <w:r>
        <w:rPr/>
        <w:t>decision to develop the methodologies in this way was vindicated by the final Bayesian EPV model, which could not have been developed if the 2021 data was used to further extend the Markovian models of Chapters</w:t>
      </w:r>
      <w:r>
        <w:rPr>
          <w:color w:val="0000FF"/>
        </w:rPr>
        <w:t>3</w:t>
      </w:r>
      <w:r>
        <w:rPr/>
        <w:t>and</w:t>
      </w:r>
      <w:r>
        <w:rPr>
          <w:color w:val="0000FF"/>
        </w:rPr>
        <w:t>4</w:t>
      </w:r>
      <w:r>
        <w:rPr/>
        <w:t>.</w:t>
      </w:r>
      <w:r>
        <w:rPr>
          <w:spacing w:val="40"/>
        </w:rPr>
        <w:t> </w:t>
      </w:r>
      <w:r>
        <w:rPr/>
        <w:t>The Markov models of Chapters</w:t>
      </w:r>
      <w:r>
        <w:rPr>
          <w:color w:val="0000FF"/>
        </w:rPr>
        <w:t>3 </w:t>
      </w:r>
      <w:r>
        <w:rPr/>
        <w:t>and</w:t>
      </w:r>
      <w:r>
        <w:rPr>
          <w:color w:val="0000FF"/>
        </w:rPr>
        <w:t>4</w:t>
      </w:r>
      <w:r>
        <w:rPr/>
        <w:t>only received partial validation by experts and there was no clear method through which</w:t>
      </w:r>
      <w:r>
        <w:rPr>
          <w:spacing w:val="-1"/>
        </w:rPr>
        <w:t> </w:t>
      </w:r>
      <w:r>
        <w:rPr/>
        <w:t>they</w:t>
      </w:r>
      <w:r>
        <w:rPr>
          <w:spacing w:val="-1"/>
        </w:rPr>
        <w:t> </w:t>
      </w:r>
      <w:r>
        <w:rPr/>
        <w:t>could</w:t>
      </w:r>
      <w:r>
        <w:rPr>
          <w:spacing w:val="-1"/>
        </w:rPr>
        <w:t> </w:t>
      </w:r>
      <w:r>
        <w:rPr/>
        <w:t>be</w:t>
      </w:r>
      <w:r>
        <w:rPr>
          <w:spacing w:val="-1"/>
        </w:rPr>
        <w:t> </w:t>
      </w:r>
      <w:r>
        <w:rPr/>
        <w:t>improved</w:t>
      </w:r>
      <w:r>
        <w:rPr>
          <w:spacing w:val="-1"/>
        </w:rPr>
        <w:t> </w:t>
      </w:r>
      <w:r>
        <w:rPr/>
        <w:t>within</w:t>
      </w:r>
      <w:r>
        <w:rPr>
          <w:spacing w:val="-1"/>
        </w:rPr>
        <w:t> </w:t>
      </w:r>
      <w:r>
        <w:rPr/>
        <w:t>the</w:t>
      </w:r>
      <w:r>
        <w:rPr>
          <w:spacing w:val="-1"/>
        </w:rPr>
        <w:t> </w:t>
      </w:r>
      <w:r>
        <w:rPr/>
        <w:t>constraints</w:t>
      </w:r>
      <w:r>
        <w:rPr>
          <w:spacing w:val="-1"/>
        </w:rPr>
        <w:t> </w:t>
      </w:r>
      <w:r>
        <w:rPr/>
        <w:t>of</w:t>
      </w:r>
      <w:r>
        <w:rPr>
          <w:spacing w:val="-1"/>
        </w:rPr>
        <w:t> </w:t>
      </w:r>
      <w:r>
        <w:rPr/>
        <w:t>this</w:t>
      </w:r>
      <w:r>
        <w:rPr>
          <w:spacing w:val="-1"/>
        </w:rPr>
        <w:t> </w:t>
      </w:r>
      <w:r>
        <w:rPr/>
        <w:t>thesis.</w:t>
      </w:r>
      <w:r>
        <w:rPr>
          <w:spacing w:val="26"/>
        </w:rPr>
        <w:t> </w:t>
      </w:r>
      <w:r>
        <w:rPr/>
        <w:t>Conversely, the</w:t>
      </w:r>
      <w:r>
        <w:rPr>
          <w:spacing w:val="-1"/>
        </w:rPr>
        <w:t> </w:t>
      </w:r>
      <w:r>
        <w:rPr/>
        <w:t>final Bayesian EPV model, proposed in Chapter</w:t>
      </w:r>
      <w:r>
        <w:rPr>
          <w:color w:val="0000FF"/>
        </w:rPr>
        <w:t>6</w:t>
      </w:r>
      <w:r>
        <w:rPr/>
        <w:t>represented a significant improvement on the Markovian approach and received complete validation from professional experts.</w:t>
      </w:r>
    </w:p>
    <w:p>
      <w:pPr>
        <w:pStyle w:val="BodyText"/>
        <w:spacing w:before="7"/>
        <w:rPr>
          <w:sz w:val="40"/>
        </w:rPr>
      </w:pPr>
    </w:p>
    <w:p>
      <w:pPr>
        <w:pStyle w:val="Heading2"/>
        <w:numPr>
          <w:ilvl w:val="1"/>
          <w:numId w:val="26"/>
        </w:numPr>
        <w:tabs>
          <w:tab w:pos="1385" w:val="left" w:leader="none"/>
          <w:tab w:pos="1386" w:val="left" w:leader="none"/>
        </w:tabs>
        <w:spacing w:line="240" w:lineRule="auto" w:before="0" w:after="0"/>
        <w:ind w:left="1385" w:right="0" w:hanging="776"/>
        <w:jc w:val="left"/>
      </w:pPr>
      <w:bookmarkStart w:name="_TOC_250005" w:id="365"/>
      <w:bookmarkStart w:name="7.2 Research Contributions" w:id="366"/>
      <w:r>
        <w:rPr>
          <w:b w:val="0"/>
        </w:rPr>
      </w:r>
      <w:bookmarkStart w:name="_bookmark216" w:id="367"/>
      <w:bookmarkEnd w:id="367"/>
      <w:r>
        <w:rPr/>
        <w:t>Resea</w:t>
      </w:r>
      <w:r>
        <w:rPr/>
        <w:t>rch</w:t>
      </w:r>
      <w:r>
        <w:rPr>
          <w:spacing w:val="7"/>
        </w:rPr>
        <w:t> </w:t>
      </w:r>
      <w:bookmarkEnd w:id="365"/>
      <w:r>
        <w:rPr>
          <w:spacing w:val="-2"/>
        </w:rPr>
        <w:t>Contributions</w:t>
      </w:r>
    </w:p>
    <w:p>
      <w:pPr>
        <w:pStyle w:val="BodyText"/>
        <w:spacing w:line="312" w:lineRule="auto" w:before="308"/>
        <w:ind w:left="610" w:right="389"/>
        <w:jc w:val="both"/>
      </w:pPr>
      <w:r>
        <w:rPr/>
        <w:t>This section outlines the four research studies completed within the thesis.</w:t>
      </w:r>
      <w:r>
        <w:rPr>
          <w:spacing w:val="24"/>
        </w:rPr>
        <w:t> </w:t>
      </w:r>
      <w:r>
        <w:rPr/>
        <w:t>An </w:t>
      </w:r>
      <w:r>
        <w:rPr/>
        <w:t>overview of each study is given and the key contributions are detailed.</w:t>
      </w:r>
      <w:r>
        <w:rPr>
          <w:spacing w:val="40"/>
        </w:rPr>
        <w:t> </w:t>
      </w:r>
      <w:r>
        <w:rPr/>
        <w:t>The extent to which the study meets the objectives defined in Section</w:t>
      </w:r>
      <w:hyperlink w:history="true" w:anchor="_bookmark4">
        <w:r>
          <w:rPr>
            <w:color w:val="0000FF"/>
          </w:rPr>
          <w:t>1.3</w:t>
        </w:r>
      </w:hyperlink>
      <w:r>
        <w:rPr/>
        <w:t>is also evaluated.</w:t>
      </w:r>
    </w:p>
    <w:p>
      <w:pPr>
        <w:pStyle w:val="BodyText"/>
        <w:spacing w:before="7"/>
        <w:rPr>
          <w:sz w:val="34"/>
        </w:rPr>
      </w:pPr>
    </w:p>
    <w:p>
      <w:pPr>
        <w:pStyle w:val="Heading3"/>
        <w:numPr>
          <w:ilvl w:val="2"/>
          <w:numId w:val="26"/>
        </w:numPr>
        <w:tabs>
          <w:tab w:pos="1471" w:val="left" w:leader="none"/>
          <w:tab w:pos="1472" w:val="left" w:leader="none"/>
        </w:tabs>
        <w:spacing w:line="331" w:lineRule="auto" w:before="0" w:after="0"/>
        <w:ind w:left="1471" w:right="389" w:hanging="861"/>
        <w:jc w:val="left"/>
      </w:pPr>
      <w:bookmarkStart w:name="7.2.1 Markov Reward Processes for the Qu" w:id="368"/>
      <w:bookmarkEnd w:id="368"/>
      <w:r>
        <w:rPr>
          <w:b w:val="0"/>
        </w:rPr>
      </w:r>
      <w:bookmarkStart w:name="_bookmark217" w:id="369"/>
      <w:bookmarkEnd w:id="369"/>
      <w:r>
        <w:rPr/>
        <w:t>Mar</w:t>
      </w:r>
      <w:r>
        <w:rPr/>
        <w:t>kov Reward Processes for the Quantification of Team </w:t>
      </w:r>
      <w:r>
        <w:rPr/>
        <w:t>At-</w:t>
      </w:r>
      <w:r>
        <w:rPr>
          <w:spacing w:val="40"/>
        </w:rPr>
        <w:t> </w:t>
      </w:r>
      <w:r>
        <w:rPr/>
        <w:t>tacking Performances</w:t>
      </w:r>
    </w:p>
    <w:p>
      <w:pPr>
        <w:pStyle w:val="BodyText"/>
        <w:spacing w:line="312" w:lineRule="auto" w:before="114"/>
        <w:ind w:left="610" w:right="389"/>
      </w:pPr>
      <w:r>
        <w:rPr/>
        <w:t>In Chapter</w:t>
      </w:r>
      <w:r>
        <w:rPr>
          <w:color w:val="0000FF"/>
        </w:rPr>
        <w:t>3</w:t>
      </w:r>
      <w:hyperlink w:history="true" w:anchor="_bookmark48">
        <w:r>
          <w:rPr/>
          <w:t>,</w:t>
        </w:r>
      </w:hyperlink>
      <w:r>
        <w:rPr/>
        <w:t> the works of</w:t>
      </w:r>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in rugby league and</w:t>
      </w:r>
      <w:r>
        <w:rPr>
          <w:color w:val="FF0000"/>
        </w:rPr>
        <w:t>Singh</w:t>
      </w:r>
      <w:hyperlink w:history="true" w:anchor="_bookmark294">
        <w:r>
          <w:rPr/>
          <w:t>(</w:t>
        </w:r>
        <w:r>
          <w:rPr>
            <w:color w:val="FF0000"/>
          </w:rPr>
          <w:t>n.d.</w:t>
        </w:r>
      </w:hyperlink>
      <w:r>
        <w:rPr/>
        <w:t>)</w:t>
      </w:r>
      <w:r>
        <w:rPr>
          <w:spacing w:val="40"/>
        </w:rPr>
        <w:t> </w:t>
      </w:r>
      <w:hyperlink w:history="true" w:anchor="_bookmark294">
        <w:r>
          <w:rPr/>
          <w:t>in</w:t>
        </w:r>
      </w:hyperlink>
      <w:r>
        <w:rPr>
          <w:spacing w:val="40"/>
        </w:rPr>
        <w:t> </w:t>
      </w:r>
      <w:r>
        <w:rPr/>
        <w:t>football were applied,</w:t>
      </w:r>
      <w:r>
        <w:rPr>
          <w:spacing w:val="29"/>
        </w:rPr>
        <w:t> </w:t>
      </w:r>
      <w:r>
        <w:rPr/>
        <w:t>adapted and extended.</w:t>
      </w:r>
      <w:r>
        <w:rPr>
          <w:spacing w:val="80"/>
        </w:rPr>
        <w:t> </w:t>
      </w:r>
      <w:r>
        <w:rPr/>
        <w:t>Markov Reward Processes (MRP) were used to estimate the value of different locations on the pitch with respect to the points</w:t>
      </w:r>
      <w:r>
        <w:rPr>
          <w:spacing w:val="80"/>
        </w:rPr>
        <w:t> </w:t>
      </w:r>
      <w:r>
        <w:rPr/>
        <w:t>outcome at the end of the possession using play by play data.</w:t>
      </w:r>
      <w:r>
        <w:rPr>
          <w:spacing w:val="40"/>
        </w:rPr>
        <w:t> </w:t>
      </w:r>
      <w:r>
        <w:rPr/>
        <w:t>Six different state spaces were considered within the MRP framework, two with fixed zone sizes (EPV-308 and</w:t>
      </w:r>
      <w:r>
        <w:rPr>
          <w:spacing w:val="40"/>
        </w:rPr>
        <w:t> </w:t>
      </w:r>
      <w:r>
        <w:rPr/>
        <w:t>EPV-77)</w:t>
      </w:r>
      <w:r>
        <w:rPr>
          <w:spacing w:val="-5"/>
        </w:rPr>
        <w:t> </w:t>
      </w:r>
      <w:r>
        <w:rPr/>
        <w:t>and</w:t>
      </w:r>
      <w:r>
        <w:rPr>
          <w:spacing w:val="-5"/>
        </w:rPr>
        <w:t> </w:t>
      </w:r>
      <w:r>
        <w:rPr/>
        <w:t>four</w:t>
      </w:r>
      <w:r>
        <w:rPr>
          <w:spacing w:val="-5"/>
        </w:rPr>
        <w:t> </w:t>
      </w:r>
      <w:r>
        <w:rPr/>
        <w:t>with</w:t>
      </w:r>
      <w:r>
        <w:rPr>
          <w:spacing w:val="-5"/>
        </w:rPr>
        <w:t> </w:t>
      </w:r>
      <w:r>
        <w:rPr/>
        <w:t>statistically</w:t>
      </w:r>
      <w:r>
        <w:rPr>
          <w:spacing w:val="-5"/>
        </w:rPr>
        <w:t> </w:t>
      </w:r>
      <w:r>
        <w:rPr/>
        <w:t>computed</w:t>
      </w:r>
      <w:r>
        <w:rPr>
          <w:spacing w:val="-5"/>
        </w:rPr>
        <w:t> </w:t>
      </w:r>
      <w:r>
        <w:rPr/>
        <w:t>zone</w:t>
      </w:r>
      <w:r>
        <w:rPr>
          <w:spacing w:val="-5"/>
        </w:rPr>
        <w:t> </w:t>
      </w:r>
      <w:r>
        <w:rPr/>
        <w:t>sizes</w:t>
      </w:r>
      <w:r>
        <w:rPr>
          <w:spacing w:val="-5"/>
        </w:rPr>
        <w:t> </w:t>
      </w:r>
      <w:r>
        <w:rPr/>
        <w:t>(EPV-37,</w:t>
      </w:r>
      <w:r>
        <w:rPr>
          <w:spacing w:val="-3"/>
        </w:rPr>
        <w:t> </w:t>
      </w:r>
      <w:r>
        <w:rPr/>
        <w:t>EPV-19,</w:t>
      </w:r>
      <w:r>
        <w:rPr>
          <w:spacing w:val="-3"/>
        </w:rPr>
        <w:t> </w:t>
      </w:r>
      <w:r>
        <w:rPr/>
        <w:t>EPV-13</w:t>
      </w:r>
      <w:r>
        <w:rPr>
          <w:spacing w:val="-5"/>
        </w:rPr>
        <w:t> </w:t>
      </w:r>
      <w:r>
        <w:rPr/>
        <w:t>and EPV-9).</w:t>
      </w:r>
      <w:r>
        <w:rPr>
          <w:spacing w:val="21"/>
        </w:rPr>
        <w:t> </w:t>
      </w:r>
      <w:r>
        <w:rPr/>
        <w:t>The</w:t>
      </w:r>
      <w:r>
        <w:rPr>
          <w:spacing w:val="-4"/>
        </w:rPr>
        <w:t> </w:t>
      </w:r>
      <w:r>
        <w:rPr/>
        <w:t>Kullback-Leibler</w:t>
      </w:r>
      <w:r>
        <w:rPr>
          <w:spacing w:val="-4"/>
        </w:rPr>
        <w:t> </w:t>
      </w:r>
      <w:r>
        <w:rPr/>
        <w:t>Divergence</w:t>
      </w:r>
      <w:r>
        <w:rPr>
          <w:spacing w:val="-4"/>
        </w:rPr>
        <w:t> </w:t>
      </w:r>
      <w:r>
        <w:rPr/>
        <w:t>was</w:t>
      </w:r>
      <w:r>
        <w:rPr>
          <w:spacing w:val="-4"/>
        </w:rPr>
        <w:t> </w:t>
      </w:r>
      <w:r>
        <w:rPr/>
        <w:t>used</w:t>
      </w:r>
      <w:r>
        <w:rPr>
          <w:spacing w:val="-4"/>
        </w:rPr>
        <w:t> </w:t>
      </w:r>
      <w:r>
        <w:rPr/>
        <w:t>to</w:t>
      </w:r>
      <w:r>
        <w:rPr>
          <w:spacing w:val="-4"/>
        </w:rPr>
        <w:t> </w:t>
      </w:r>
      <w:r>
        <w:rPr/>
        <w:t>empirically</w:t>
      </w:r>
      <w:r>
        <w:rPr>
          <w:spacing w:val="-4"/>
        </w:rPr>
        <w:t> </w:t>
      </w:r>
      <w:r>
        <w:rPr/>
        <w:t>evaluate</w:t>
      </w:r>
      <w:r>
        <w:rPr>
          <w:spacing w:val="-4"/>
        </w:rPr>
        <w:t> </w:t>
      </w:r>
      <w:r>
        <w:rPr/>
        <w:t>the</w:t>
      </w:r>
      <w:r>
        <w:rPr>
          <w:spacing w:val="-4"/>
        </w:rPr>
        <w:t> </w:t>
      </w:r>
      <w:r>
        <w:rPr/>
        <w:t>models’ ability to reproduce future team attacking performances, identifying the EPV-19 as the most</w:t>
      </w:r>
      <w:r>
        <w:rPr>
          <w:spacing w:val="22"/>
        </w:rPr>
        <w:t> </w:t>
      </w:r>
      <w:r>
        <w:rPr/>
        <w:t>suitable</w:t>
      </w:r>
      <w:r>
        <w:rPr>
          <w:spacing w:val="22"/>
        </w:rPr>
        <w:t> </w:t>
      </w:r>
      <w:r>
        <w:rPr/>
        <w:t>model</w:t>
      </w:r>
      <w:r>
        <w:rPr>
          <w:spacing w:val="22"/>
        </w:rPr>
        <w:t> </w:t>
      </w:r>
      <w:r>
        <w:rPr/>
        <w:t>for</w:t>
      </w:r>
      <w:r>
        <w:rPr>
          <w:spacing w:val="22"/>
        </w:rPr>
        <w:t> </w:t>
      </w:r>
      <w:r>
        <w:rPr/>
        <w:t>use</w:t>
      </w:r>
      <w:r>
        <w:rPr>
          <w:spacing w:val="22"/>
        </w:rPr>
        <w:t> </w:t>
      </w:r>
      <w:r>
        <w:rPr/>
        <w:t>within</w:t>
      </w:r>
      <w:r>
        <w:rPr>
          <w:spacing w:val="22"/>
        </w:rPr>
        <w:t> </w:t>
      </w:r>
      <w:r>
        <w:rPr/>
        <w:t>rugby</w:t>
      </w:r>
      <w:r>
        <w:rPr>
          <w:spacing w:val="22"/>
        </w:rPr>
        <w:t> </w:t>
      </w:r>
      <w:r>
        <w:rPr/>
        <w:t>league.</w:t>
      </w:r>
      <w:r>
        <w:rPr>
          <w:spacing w:val="80"/>
        </w:rPr>
        <w:t> </w:t>
      </w:r>
      <w:r>
        <w:rPr/>
        <w:t>Z-score</w:t>
      </w:r>
      <w:r>
        <w:rPr>
          <w:spacing w:val="22"/>
        </w:rPr>
        <w:t> </w:t>
      </w:r>
      <w:r>
        <w:rPr/>
        <w:t>analysis</w:t>
      </w:r>
      <w:r>
        <w:rPr>
          <w:spacing w:val="22"/>
        </w:rPr>
        <w:t> </w:t>
      </w:r>
      <w:r>
        <w:rPr/>
        <w:t>was</w:t>
      </w:r>
      <w:r>
        <w:rPr>
          <w:spacing w:val="22"/>
        </w:rPr>
        <w:t> </w:t>
      </w:r>
      <w:r>
        <w:rPr/>
        <w:t>proposed</w:t>
      </w:r>
      <w:r>
        <w:rPr>
          <w:spacing w:val="22"/>
        </w:rPr>
        <w:t> </w:t>
      </w:r>
      <w:r>
        <w:rPr/>
        <w:t>as</w:t>
      </w:r>
      <w:r>
        <w:rPr>
          <w:spacing w:val="22"/>
        </w:rPr>
        <w:t> </w:t>
      </w:r>
      <w:r>
        <w:rPr/>
        <w:t>a novel method of evaluating team attacking performances across the 2019 Super League season.</w:t>
      </w:r>
      <w:r>
        <w:rPr>
          <w:spacing w:val="80"/>
        </w:rPr>
        <w:t> </w:t>
      </w:r>
      <w:r>
        <w:rPr/>
        <w:t>The</w:t>
      </w:r>
      <w:r>
        <w:rPr>
          <w:spacing w:val="26"/>
        </w:rPr>
        <w:t> </w:t>
      </w:r>
      <w:r>
        <w:rPr/>
        <w:t>study</w:t>
      </w:r>
      <w:r>
        <w:rPr>
          <w:spacing w:val="27"/>
        </w:rPr>
        <w:t> </w:t>
      </w:r>
      <w:r>
        <w:rPr/>
        <w:t>was</w:t>
      </w:r>
      <w:r>
        <w:rPr>
          <w:spacing w:val="27"/>
        </w:rPr>
        <w:t> </w:t>
      </w:r>
      <w:r>
        <w:rPr/>
        <w:t>published</w:t>
      </w:r>
      <w:r>
        <w:rPr>
          <w:spacing w:val="26"/>
        </w:rPr>
        <w:t> </w:t>
      </w:r>
      <w:r>
        <w:rPr/>
        <w:t>in</w:t>
      </w:r>
      <w:r>
        <w:rPr>
          <w:spacing w:val="27"/>
        </w:rPr>
        <w:t> </w:t>
      </w:r>
      <w:r>
        <w:rPr/>
        <w:t>PLOS</w:t>
      </w:r>
      <w:r>
        <w:rPr>
          <w:spacing w:val="26"/>
        </w:rPr>
        <w:t> </w:t>
      </w:r>
      <w:r>
        <w:rPr/>
        <w:t>One</w:t>
      </w:r>
      <w:r>
        <w:rPr>
          <w:spacing w:val="27"/>
        </w:rPr>
        <w:t> </w:t>
      </w:r>
      <w:r>
        <w:rPr/>
        <w:t>and</w:t>
      </w:r>
      <w:r>
        <w:rPr>
          <w:spacing w:val="26"/>
        </w:rPr>
        <w:t> </w:t>
      </w:r>
      <w:r>
        <w:rPr/>
        <w:t>presented</w:t>
      </w:r>
      <w:r>
        <w:rPr>
          <w:spacing w:val="27"/>
        </w:rPr>
        <w:t> </w:t>
      </w:r>
      <w:r>
        <w:rPr/>
        <w:t>to</w:t>
      </w:r>
      <w:r>
        <w:rPr>
          <w:spacing w:val="27"/>
        </w:rPr>
        <w:t> </w:t>
      </w:r>
      <w:r>
        <w:rPr/>
        <w:t>the</w:t>
      </w:r>
      <w:r>
        <w:rPr>
          <w:spacing w:val="26"/>
        </w:rPr>
        <w:t> </w:t>
      </w:r>
      <w:r>
        <w:rPr/>
        <w:t>England</w:t>
      </w:r>
      <w:r>
        <w:rPr>
          <w:spacing w:val="27"/>
        </w:rPr>
        <w:t> </w:t>
      </w:r>
      <w:r>
        <w:rPr/>
        <w:t>Rugby League Performance Unit.</w:t>
      </w:r>
    </w:p>
    <w:p>
      <w:pPr>
        <w:pStyle w:val="BodyText"/>
        <w:spacing w:line="312" w:lineRule="auto"/>
        <w:ind w:left="610" w:right="389" w:firstLine="351"/>
      </w:pPr>
      <w:r>
        <w:rPr/>
        <w:t>The study made two key contributions to the literature.</w:t>
      </w:r>
      <w:r>
        <w:rPr>
          <w:spacing w:val="40"/>
        </w:rPr>
        <w:t> </w:t>
      </w:r>
      <w:r>
        <w:rPr/>
        <w:t>First, it applied and </w:t>
      </w:r>
      <w:r>
        <w:rPr/>
        <w:t>adapted the previous literature (</w:t>
      </w:r>
      <w:hyperlink w:history="true" w:anchor="_bookmark263">
        <w:r>
          <w:rPr>
            <w:color w:val="FF0000"/>
          </w:rPr>
          <w:t>Kempton et al.</w:t>
        </w:r>
      </w:hyperlink>
      <w:r>
        <w:rPr/>
        <w:t>,</w:t>
      </w:r>
      <w:hyperlink w:history="true" w:anchor="_bookmark263">
        <w:r>
          <w:rPr>
            <w:color w:val="FF0000"/>
          </w:rPr>
          <w:t>2016</w:t>
        </w:r>
        <w:r>
          <w:rPr/>
          <w:t>;</w:t>
        </w:r>
      </w:hyperlink>
      <w:hyperlink w:history="true" w:anchor="_bookmark294">
        <w:r>
          <w:rPr>
            <w:color w:val="FF0000"/>
          </w:rPr>
          <w:t>Singh</w:t>
        </w:r>
        <w:r>
          <w:rPr/>
          <w:t>,</w:t>
        </w:r>
      </w:hyperlink>
      <w:r>
        <w:rPr>
          <w:color w:val="FF0000"/>
        </w:rPr>
        <w:t>n.d.</w:t>
      </w:r>
      <w:hyperlink w:history="true" w:anchor="_bookmark294">
        <w:r>
          <w:rPr/>
          <w:t>)</w:t>
        </w:r>
      </w:hyperlink>
      <w:r>
        <w:rPr>
          <w:spacing w:val="40"/>
        </w:rPr>
        <w:t> </w:t>
      </w:r>
      <w:r>
        <w:rPr/>
        <w:t>to a new dataset within rugby league. The</w:t>
      </w:r>
      <w:r>
        <w:rPr>
          <w:spacing w:val="-11"/>
        </w:rPr>
        <w:t> </w:t>
      </w:r>
      <w:r>
        <w:rPr/>
        <w:t>work</w:t>
      </w:r>
      <w:r>
        <w:rPr>
          <w:spacing w:val="-11"/>
        </w:rPr>
        <w:t> </w:t>
      </w:r>
      <w:r>
        <w:rPr/>
        <w:t>was</w:t>
      </w:r>
      <w:r>
        <w:rPr>
          <w:spacing w:val="-11"/>
        </w:rPr>
        <w:t> </w:t>
      </w:r>
      <w:r>
        <w:rPr/>
        <w:t>adapted</w:t>
      </w:r>
      <w:r>
        <w:rPr>
          <w:spacing w:val="-11"/>
        </w:rPr>
        <w:t> </w:t>
      </w:r>
      <w:r>
        <w:rPr/>
        <w:t>by</w:t>
      </w:r>
      <w:r>
        <w:rPr>
          <w:spacing w:val="-11"/>
        </w:rPr>
        <w:t> </w:t>
      </w:r>
      <w:r>
        <w:rPr/>
        <w:t>empirically</w:t>
      </w:r>
      <w:r>
        <w:rPr>
          <w:spacing w:val="-11"/>
        </w:rPr>
        <w:t> </w:t>
      </w:r>
      <w:r>
        <w:rPr/>
        <w:t>evaluating</w:t>
      </w:r>
      <w:r>
        <w:rPr>
          <w:spacing w:val="-11"/>
        </w:rPr>
        <w:t> </w:t>
      </w:r>
      <w:r>
        <w:rPr/>
        <w:t>different</w:t>
      </w:r>
      <w:r>
        <w:rPr>
          <w:spacing w:val="-11"/>
        </w:rPr>
        <w:t> </w:t>
      </w:r>
      <w:r>
        <w:rPr/>
        <w:t>zone</w:t>
      </w:r>
      <w:r>
        <w:rPr>
          <w:spacing w:val="-11"/>
        </w:rPr>
        <w:t> </w:t>
      </w:r>
      <w:r>
        <w:rPr/>
        <w:t>sizes</w:t>
      </w:r>
      <w:r>
        <w:rPr>
          <w:spacing w:val="-11"/>
        </w:rPr>
        <w:t> </w:t>
      </w:r>
      <w:r>
        <w:rPr/>
        <w:t>with</w:t>
      </w:r>
      <w:r>
        <w:rPr>
          <w:spacing w:val="-11"/>
        </w:rPr>
        <w:t> </w:t>
      </w:r>
      <w:r>
        <w:rPr/>
        <w:t>respect</w:t>
      </w:r>
    </w:p>
    <w:p>
      <w:pPr>
        <w:spacing w:after="0" w:line="312" w:lineRule="auto"/>
        <w:sectPr>
          <w:headerReference w:type="default" r:id="rId144"/>
          <w:footerReference w:type="default" r:id="rId145"/>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jc w:val="both"/>
      </w:pPr>
      <w:r>
        <w:rPr/>
        <w:t>to their ability to reproduce future team attacking performances.</w:t>
      </w:r>
      <w:r>
        <w:rPr>
          <w:spacing w:val="40"/>
        </w:rPr>
        <w:t> </w:t>
      </w:r>
      <w:r>
        <w:rPr/>
        <w:t>This work had </w:t>
      </w:r>
      <w:r>
        <w:rPr/>
        <w:t>never previously</w:t>
      </w:r>
      <w:r>
        <w:rPr>
          <w:spacing w:val="-2"/>
        </w:rPr>
        <w:t> </w:t>
      </w:r>
      <w:r>
        <w:rPr/>
        <w:t>been</w:t>
      </w:r>
      <w:r>
        <w:rPr>
          <w:spacing w:val="-2"/>
        </w:rPr>
        <w:t> </w:t>
      </w:r>
      <w:r>
        <w:rPr/>
        <w:t>completed</w:t>
      </w:r>
      <w:r>
        <w:rPr>
          <w:spacing w:val="-2"/>
        </w:rPr>
        <w:t> </w:t>
      </w:r>
      <w:r>
        <w:rPr/>
        <w:t>and</w:t>
      </w:r>
      <w:r>
        <w:rPr>
          <w:spacing w:val="-2"/>
        </w:rPr>
        <w:t> </w:t>
      </w:r>
      <w:r>
        <w:rPr/>
        <w:t>identified</w:t>
      </w:r>
      <w:r>
        <w:rPr>
          <w:spacing w:val="-2"/>
        </w:rPr>
        <w:t> </w:t>
      </w:r>
      <w:r>
        <w:rPr/>
        <w:t>the</w:t>
      </w:r>
      <w:r>
        <w:rPr>
          <w:spacing w:val="-2"/>
        </w:rPr>
        <w:t> </w:t>
      </w:r>
      <w:r>
        <w:rPr/>
        <w:t>EPV-19</w:t>
      </w:r>
      <w:r>
        <w:rPr>
          <w:spacing w:val="-2"/>
        </w:rPr>
        <w:t> </w:t>
      </w:r>
      <w:r>
        <w:rPr/>
        <w:t>as</w:t>
      </w:r>
      <w:r>
        <w:rPr>
          <w:spacing w:val="-2"/>
        </w:rPr>
        <w:t> </w:t>
      </w:r>
      <w:r>
        <w:rPr/>
        <w:t>the</w:t>
      </w:r>
      <w:r>
        <w:rPr>
          <w:spacing w:val="-2"/>
        </w:rPr>
        <w:t> </w:t>
      </w:r>
      <w:r>
        <w:rPr/>
        <w:t>most</w:t>
      </w:r>
      <w:r>
        <w:rPr>
          <w:spacing w:val="-2"/>
        </w:rPr>
        <w:t> </w:t>
      </w:r>
      <w:r>
        <w:rPr/>
        <w:t>suitable</w:t>
      </w:r>
      <w:r>
        <w:rPr>
          <w:spacing w:val="-2"/>
        </w:rPr>
        <w:t> </w:t>
      </w:r>
      <w:r>
        <w:rPr/>
        <w:t>model</w:t>
      </w:r>
      <w:r>
        <w:rPr>
          <w:spacing w:val="-2"/>
        </w:rPr>
        <w:t> </w:t>
      </w:r>
      <w:r>
        <w:rPr/>
        <w:t>for</w:t>
      </w:r>
      <w:r>
        <w:rPr>
          <w:spacing w:val="-2"/>
        </w:rPr>
        <w:t> </w:t>
      </w:r>
      <w:r>
        <w:rPr/>
        <w:t>use in rugby league.</w:t>
      </w:r>
      <w:r>
        <w:rPr>
          <w:spacing w:val="40"/>
        </w:rPr>
        <w:t> </w:t>
      </w:r>
      <w:r>
        <w:rPr/>
        <w:t>This is because it provided the best tradeoff between representation of future</w:t>
      </w:r>
      <w:r>
        <w:rPr>
          <w:spacing w:val="-6"/>
        </w:rPr>
        <w:t> </w:t>
      </w:r>
      <w:r>
        <w:rPr/>
        <w:t>match</w:t>
      </w:r>
      <w:r>
        <w:rPr>
          <w:spacing w:val="-6"/>
        </w:rPr>
        <w:t> </w:t>
      </w:r>
      <w:r>
        <w:rPr/>
        <w:t>performances</w:t>
      </w:r>
      <w:r>
        <w:rPr>
          <w:spacing w:val="-6"/>
        </w:rPr>
        <w:t> </w:t>
      </w:r>
      <w:r>
        <w:rPr/>
        <w:t>and</w:t>
      </w:r>
      <w:r>
        <w:rPr>
          <w:spacing w:val="-6"/>
        </w:rPr>
        <w:t> </w:t>
      </w:r>
      <w:r>
        <w:rPr/>
        <w:t>granularity</w:t>
      </w:r>
      <w:r>
        <w:rPr>
          <w:spacing w:val="-6"/>
        </w:rPr>
        <w:t> </w:t>
      </w:r>
      <w:r>
        <w:rPr/>
        <w:t>of</w:t>
      </w:r>
      <w:r>
        <w:rPr>
          <w:spacing w:val="-6"/>
        </w:rPr>
        <w:t> </w:t>
      </w:r>
      <w:r>
        <w:rPr/>
        <w:t>results. Second,</w:t>
      </w:r>
      <w:r>
        <w:rPr>
          <w:spacing w:val="-5"/>
        </w:rPr>
        <w:t> </w:t>
      </w:r>
      <w:r>
        <w:rPr/>
        <w:t>the</w:t>
      </w:r>
      <w:r>
        <w:rPr>
          <w:spacing w:val="-6"/>
        </w:rPr>
        <w:t> </w:t>
      </w:r>
      <w:r>
        <w:rPr/>
        <w:t>work</w:t>
      </w:r>
      <w:r>
        <w:rPr>
          <w:spacing w:val="-6"/>
        </w:rPr>
        <w:t> </w:t>
      </w:r>
      <w:r>
        <w:rPr/>
        <w:t>of</w:t>
      </w:r>
      <w:hyperlink w:history="true" w:anchor="_bookmark263">
        <w:r>
          <w:rPr>
            <w:color w:val="FF0000"/>
          </w:rPr>
          <w:t>Kempton</w:t>
        </w:r>
        <w:r>
          <w:rPr>
            <w:color w:val="FF0000"/>
            <w:spacing w:val="-6"/>
          </w:rPr>
          <w:t> </w:t>
        </w:r>
        <w:r>
          <w:rPr>
            <w:color w:val="FF0000"/>
          </w:rPr>
          <w:t>et</w:t>
        </w:r>
        <w:r>
          <w:rPr>
            <w:color w:val="FF0000"/>
            <w:spacing w:val="-6"/>
          </w:rPr>
          <w:t> </w:t>
        </w:r>
        <w:r>
          <w:rPr>
            <w:color w:val="FF0000"/>
          </w:rPr>
          <w:t>al.</w:t>
        </w:r>
      </w:hyperlink>
      <w:r>
        <w:rPr>
          <w:color w:val="FF0000"/>
        </w:rPr>
        <w:t> </w:t>
      </w:r>
      <w:r>
        <w:rPr/>
        <w:t>(</w:t>
      </w:r>
      <w:hyperlink w:history="true" w:anchor="_bookmark263">
        <w:r>
          <w:rPr>
            <w:color w:val="FF0000"/>
          </w:rPr>
          <w:t>2016</w:t>
        </w:r>
      </w:hyperlink>
      <w:r>
        <w:rPr/>
        <w:t>)</w:t>
      </w:r>
      <w:r>
        <w:rPr>
          <w:spacing w:val="-3"/>
        </w:rPr>
        <w:t> </w:t>
      </w:r>
      <w:r>
        <w:rPr/>
        <w:t>was</w:t>
      </w:r>
      <w:r>
        <w:rPr>
          <w:spacing w:val="-3"/>
        </w:rPr>
        <w:t> </w:t>
      </w:r>
      <w:r>
        <w:rPr/>
        <w:t>extended</w:t>
      </w:r>
      <w:r>
        <w:rPr>
          <w:spacing w:val="-3"/>
        </w:rPr>
        <w:t> </w:t>
      </w:r>
      <w:r>
        <w:rPr/>
        <w:t>by</w:t>
      </w:r>
      <w:r>
        <w:rPr>
          <w:spacing w:val="-3"/>
        </w:rPr>
        <w:t> </w:t>
      </w:r>
      <w:r>
        <w:rPr/>
        <w:t>proposing</w:t>
      </w:r>
      <w:r>
        <w:rPr>
          <w:spacing w:val="-3"/>
        </w:rPr>
        <w:t> </w:t>
      </w:r>
      <w:r>
        <w:rPr/>
        <w:t>a</w:t>
      </w:r>
      <w:r>
        <w:rPr>
          <w:spacing w:val="-3"/>
        </w:rPr>
        <w:t> </w:t>
      </w:r>
      <w:r>
        <w:rPr/>
        <w:t>novel</w:t>
      </w:r>
      <w:r>
        <w:rPr>
          <w:spacing w:val="-3"/>
        </w:rPr>
        <w:t> </w:t>
      </w:r>
      <w:r>
        <w:rPr/>
        <w:t>method</w:t>
      </w:r>
      <w:r>
        <w:rPr>
          <w:spacing w:val="-3"/>
        </w:rPr>
        <w:t> </w:t>
      </w:r>
      <w:r>
        <w:rPr/>
        <w:t>through</w:t>
      </w:r>
      <w:r>
        <w:rPr>
          <w:spacing w:val="-3"/>
        </w:rPr>
        <w:t> </w:t>
      </w:r>
      <w:r>
        <w:rPr/>
        <w:t>which</w:t>
      </w:r>
      <w:r>
        <w:rPr>
          <w:spacing w:val="-3"/>
        </w:rPr>
        <w:t> </w:t>
      </w:r>
      <w:r>
        <w:rPr/>
        <w:t>team</w:t>
      </w:r>
      <w:r>
        <w:rPr>
          <w:spacing w:val="-3"/>
        </w:rPr>
        <w:t> </w:t>
      </w:r>
      <w:r>
        <w:rPr/>
        <w:t>attacking</w:t>
      </w:r>
      <w:r>
        <w:rPr>
          <w:spacing w:val="-3"/>
        </w:rPr>
        <w:t> </w:t>
      </w:r>
      <w:r>
        <w:rPr/>
        <w:t>perfor- mances could be evaluated using z-score analysis of the EPV-19 results.</w:t>
      </w:r>
      <w:r>
        <w:rPr>
          <w:spacing w:val="40"/>
        </w:rPr>
        <w:t> </w:t>
      </w:r>
      <w:r>
        <w:rPr/>
        <w:t>This analysis allowed a heat map to be produced, identifying areas on the pitch which were valuable to different teams.</w:t>
      </w:r>
      <w:r>
        <w:rPr>
          <w:spacing w:val="40"/>
        </w:rPr>
        <w:t> </w:t>
      </w:r>
      <w:r>
        <w:rPr/>
        <w:t>It could be used as a starting point for the development of tactical strategies against different oppositions.</w:t>
      </w:r>
    </w:p>
    <w:p>
      <w:pPr>
        <w:pStyle w:val="BodyText"/>
        <w:spacing w:line="312" w:lineRule="auto"/>
        <w:ind w:left="610" w:right="392" w:firstLine="351"/>
      </w:pPr>
      <w:r>
        <w:rPr/>
        <w:t>By</w:t>
      </w:r>
      <w:r>
        <w:rPr>
          <w:spacing w:val="-3"/>
        </w:rPr>
        <w:t> </w:t>
      </w:r>
      <w:r>
        <w:rPr/>
        <w:t>applying,</w:t>
      </w:r>
      <w:r>
        <w:rPr>
          <w:spacing w:val="-2"/>
        </w:rPr>
        <w:t> </w:t>
      </w:r>
      <w:r>
        <w:rPr/>
        <w:t>adapting</w:t>
      </w:r>
      <w:r>
        <w:rPr>
          <w:spacing w:val="-3"/>
        </w:rPr>
        <w:t> </w:t>
      </w:r>
      <w:r>
        <w:rPr/>
        <w:t>and</w:t>
      </w:r>
      <w:r>
        <w:rPr>
          <w:spacing w:val="-3"/>
        </w:rPr>
        <w:t> </w:t>
      </w:r>
      <w:r>
        <w:rPr/>
        <w:t>extending</w:t>
      </w:r>
      <w:r>
        <w:rPr>
          <w:spacing w:val="-3"/>
        </w:rPr>
        <w:t> </w:t>
      </w:r>
      <w:r>
        <w:rPr/>
        <w:t>previous</w:t>
      </w:r>
      <w:r>
        <w:rPr>
          <w:spacing w:val="-3"/>
        </w:rPr>
        <w:t> </w:t>
      </w:r>
      <w:r>
        <w:rPr/>
        <w:t>literature</w:t>
      </w:r>
      <w:r>
        <w:rPr>
          <w:spacing w:val="-3"/>
        </w:rPr>
        <w:t> </w:t>
      </w:r>
      <w:r>
        <w:rPr/>
        <w:t>(</w:t>
      </w:r>
      <w:hyperlink w:history="true" w:anchor="_bookmark263">
        <w:r>
          <w:rPr>
            <w:color w:val="FF0000"/>
          </w:rPr>
          <w:t>Kempton</w:t>
        </w:r>
        <w:r>
          <w:rPr>
            <w:color w:val="FF0000"/>
            <w:spacing w:val="-3"/>
          </w:rPr>
          <w:t> </w:t>
        </w:r>
        <w:r>
          <w:rPr>
            <w:color w:val="FF0000"/>
          </w:rPr>
          <w:t>et</w:t>
        </w:r>
        <w:r>
          <w:rPr>
            <w:color w:val="FF0000"/>
            <w:spacing w:val="-3"/>
          </w:rPr>
          <w:t> </w:t>
        </w:r>
        <w:r>
          <w:rPr>
            <w:color w:val="FF0000"/>
          </w:rPr>
          <w:t>al.</w:t>
        </w:r>
      </w:hyperlink>
      <w:r>
        <w:rPr/>
        <w:t>,</w:t>
      </w:r>
      <w:hyperlink w:history="true" w:anchor="_bookmark263">
        <w:r>
          <w:rPr>
            <w:color w:val="FF0000"/>
          </w:rPr>
          <w:t>2016</w:t>
        </w:r>
        <w:r>
          <w:rPr/>
          <w:t>;</w:t>
        </w:r>
      </w:hyperlink>
      <w:hyperlink w:history="true" w:anchor="_bookmark294">
        <w:r>
          <w:rPr>
            <w:color w:val="FF0000"/>
          </w:rPr>
          <w:t>Singh</w:t>
        </w:r>
        <w:r>
          <w:rPr/>
          <w:t>,</w:t>
        </w:r>
      </w:hyperlink>
      <w:r>
        <w:rPr/>
        <w:t> </w:t>
      </w:r>
      <w:hyperlink w:history="true" w:anchor="_bookmark294">
        <w:r>
          <w:rPr>
            <w:color w:val="FF0000"/>
          </w:rPr>
          <w:t>n.d.</w:t>
        </w:r>
      </w:hyperlink>
      <w:r>
        <w:rPr/>
        <w:t>), Chapter</w:t>
      </w:r>
      <w:r>
        <w:rPr>
          <w:color w:val="0000FF"/>
        </w:rPr>
        <w:t>3</w:t>
      </w:r>
      <w:r>
        <w:rPr/>
        <w:t>met objective 2 of the project.</w:t>
      </w:r>
      <w:r>
        <w:rPr>
          <w:spacing w:val="40"/>
        </w:rPr>
        <w:t> </w:t>
      </w:r>
      <w:r>
        <w:rPr/>
        <w:t>However, after presenting the results to the England Rugby League Performance Unit though, it was clear that the model </w:t>
      </w:r>
      <w:r>
        <w:rPr/>
        <w:t>only</w:t>
      </w:r>
      <w:r>
        <w:rPr>
          <w:spacing w:val="40"/>
        </w:rPr>
        <w:t> </w:t>
      </w:r>
      <w:r>
        <w:rPr/>
        <w:t>partially met objective 3.</w:t>
      </w:r>
      <w:r>
        <w:rPr>
          <w:spacing w:val="23"/>
        </w:rPr>
        <w:t> </w:t>
      </w:r>
      <w:r>
        <w:rPr/>
        <w:t>The unit thought the spatial insights produced by the heat map were</w:t>
      </w:r>
      <w:r>
        <w:rPr>
          <w:spacing w:val="-7"/>
        </w:rPr>
        <w:t> </w:t>
      </w:r>
      <w:r>
        <w:rPr/>
        <w:t>reliable</w:t>
      </w:r>
      <w:r>
        <w:rPr>
          <w:spacing w:val="-7"/>
        </w:rPr>
        <w:t> </w:t>
      </w:r>
      <w:r>
        <w:rPr/>
        <w:t>and</w:t>
      </w:r>
      <w:r>
        <w:rPr>
          <w:spacing w:val="-7"/>
        </w:rPr>
        <w:t> </w:t>
      </w:r>
      <w:r>
        <w:rPr/>
        <w:t>excellent,</w:t>
      </w:r>
      <w:r>
        <w:rPr>
          <w:spacing w:val="-7"/>
        </w:rPr>
        <w:t> </w:t>
      </w:r>
      <w:r>
        <w:rPr/>
        <w:t>but</w:t>
      </w:r>
      <w:r>
        <w:rPr>
          <w:spacing w:val="-7"/>
        </w:rPr>
        <w:t> </w:t>
      </w:r>
      <w:r>
        <w:rPr/>
        <w:t>questioned</w:t>
      </w:r>
      <w:r>
        <w:rPr>
          <w:spacing w:val="-7"/>
        </w:rPr>
        <w:t> </w:t>
      </w:r>
      <w:r>
        <w:rPr/>
        <w:t>the</w:t>
      </w:r>
      <w:r>
        <w:rPr>
          <w:spacing w:val="-7"/>
        </w:rPr>
        <w:t> </w:t>
      </w:r>
      <w:r>
        <w:rPr/>
        <w:t>long-term</w:t>
      </w:r>
      <w:r>
        <w:rPr>
          <w:spacing w:val="-7"/>
        </w:rPr>
        <w:t> </w:t>
      </w:r>
      <w:r>
        <w:rPr/>
        <w:t>usability</w:t>
      </w:r>
      <w:r>
        <w:rPr>
          <w:spacing w:val="-7"/>
        </w:rPr>
        <w:t> </w:t>
      </w:r>
      <w:r>
        <w:rPr/>
        <w:t>of</w:t>
      </w:r>
      <w:r>
        <w:rPr>
          <w:spacing w:val="-7"/>
        </w:rPr>
        <w:t> </w:t>
      </w:r>
      <w:r>
        <w:rPr/>
        <w:t>the</w:t>
      </w:r>
      <w:r>
        <w:rPr>
          <w:spacing w:val="-7"/>
        </w:rPr>
        <w:t> </w:t>
      </w:r>
      <w:r>
        <w:rPr/>
        <w:t>model</w:t>
      </w:r>
      <w:r>
        <w:rPr>
          <w:spacing w:val="-7"/>
        </w:rPr>
        <w:t> </w:t>
      </w:r>
      <w:r>
        <w:rPr/>
        <w:t>due</w:t>
      </w:r>
      <w:r>
        <w:rPr>
          <w:spacing w:val="-7"/>
        </w:rPr>
        <w:t> </w:t>
      </w:r>
      <w:r>
        <w:rPr/>
        <w:t>to</w:t>
      </w:r>
      <w:r>
        <w:rPr>
          <w:spacing w:val="-7"/>
        </w:rPr>
        <w:t> </w:t>
      </w:r>
      <w:r>
        <w:rPr/>
        <w:t>its use of play by play rather than action by action data.</w:t>
      </w:r>
    </w:p>
    <w:p>
      <w:pPr>
        <w:pStyle w:val="BodyText"/>
        <w:spacing w:before="4"/>
        <w:rPr>
          <w:sz w:val="34"/>
        </w:rPr>
      </w:pPr>
    </w:p>
    <w:p>
      <w:pPr>
        <w:pStyle w:val="Heading3"/>
        <w:numPr>
          <w:ilvl w:val="2"/>
          <w:numId w:val="26"/>
        </w:numPr>
        <w:tabs>
          <w:tab w:pos="1471" w:val="left" w:leader="none"/>
          <w:tab w:pos="1472" w:val="left" w:leader="none"/>
        </w:tabs>
        <w:spacing w:line="331" w:lineRule="auto" w:before="0" w:after="0"/>
        <w:ind w:left="1471" w:right="389" w:hanging="861"/>
        <w:jc w:val="left"/>
      </w:pPr>
      <w:bookmarkStart w:name="_TOC_250004" w:id="370"/>
      <w:bookmarkStart w:name="7.2.2 Markov Decision Processes for the " w:id="371"/>
      <w:r>
        <w:rPr>
          <w:b w:val="0"/>
        </w:rPr>
      </w:r>
      <w:bookmarkStart w:name="_bookmark218" w:id="372"/>
      <w:bookmarkEnd w:id="372"/>
      <w:r>
        <w:rPr/>
        <w:t>Mar</w:t>
      </w:r>
      <w:r>
        <w:rPr/>
        <w:t>kov</w:t>
      </w:r>
      <w:r>
        <w:rPr>
          <w:spacing w:val="40"/>
        </w:rPr>
        <w:t> </w:t>
      </w:r>
      <w:r>
        <w:rPr/>
        <w:t>Decision</w:t>
      </w:r>
      <w:r>
        <w:rPr>
          <w:spacing w:val="40"/>
        </w:rPr>
        <w:t> </w:t>
      </w:r>
      <w:r>
        <w:rPr/>
        <w:t>Processes</w:t>
      </w:r>
      <w:r>
        <w:rPr>
          <w:spacing w:val="40"/>
        </w:rPr>
        <w:t> </w:t>
      </w:r>
      <w:r>
        <w:rPr/>
        <w:t>for</w:t>
      </w:r>
      <w:r>
        <w:rPr>
          <w:spacing w:val="40"/>
        </w:rPr>
        <w:t> </w:t>
      </w:r>
      <w:r>
        <w:rPr/>
        <w:t>the</w:t>
      </w:r>
      <w:r>
        <w:rPr>
          <w:spacing w:val="40"/>
        </w:rPr>
        <w:t> </w:t>
      </w:r>
      <w:r>
        <w:rPr/>
        <w:t>Evaluation</w:t>
      </w:r>
      <w:r>
        <w:rPr>
          <w:spacing w:val="40"/>
        </w:rPr>
        <w:t> </w:t>
      </w:r>
      <w:r>
        <w:rPr/>
        <w:t>of</w:t>
      </w:r>
      <w:r>
        <w:rPr>
          <w:spacing w:val="40"/>
        </w:rPr>
        <w:t> </w:t>
      </w:r>
      <w:r>
        <w:rPr/>
        <w:t>Player</w:t>
      </w:r>
      <w:r>
        <w:rPr>
          <w:spacing w:val="40"/>
        </w:rPr>
        <w:t> </w:t>
      </w:r>
      <w:bookmarkEnd w:id="370"/>
      <w:r>
        <w:rPr/>
        <w:t>and Team Performances</w:t>
      </w:r>
    </w:p>
    <w:p>
      <w:pPr>
        <w:pStyle w:val="BodyText"/>
        <w:spacing w:line="312" w:lineRule="auto" w:before="114"/>
        <w:ind w:left="610" w:right="409"/>
      </w:pPr>
      <w:r>
        <w:rPr/>
        <w:t>In Chapter</w:t>
      </w:r>
      <w:r>
        <w:rPr>
          <w:color w:val="0000FF"/>
        </w:rPr>
        <w:t>3</w:t>
      </w:r>
      <w:hyperlink w:history="true" w:anchor="_bookmark48">
        <w:r>
          <w:rPr/>
          <w:t>,</w:t>
        </w:r>
      </w:hyperlink>
      <w:r>
        <w:rPr>
          <w:spacing w:val="30"/>
        </w:rPr>
        <w:t> </w:t>
      </w:r>
      <w:r>
        <w:rPr/>
        <w:t>spatial data were only available at a play by play level,</w:t>
      </w:r>
      <w:r>
        <w:rPr>
          <w:spacing w:val="30"/>
        </w:rPr>
        <w:t> </w:t>
      </w:r>
      <w:r>
        <w:rPr/>
        <w:t>which restricted</w:t>
      </w:r>
      <w:r>
        <w:rPr>
          <w:spacing w:val="40"/>
        </w:rPr>
        <w:t> </w:t>
      </w:r>
      <w:r>
        <w:rPr/>
        <w:t>the analyses that could be conducted; for Chapter</w:t>
      </w:r>
      <w:r>
        <w:rPr>
          <w:color w:val="0000FF"/>
        </w:rPr>
        <w:t>4</w:t>
      </w:r>
      <w:hyperlink w:history="true" w:anchor="_bookmark92">
        <w:r>
          <w:rPr/>
          <w:t>,</w:t>
        </w:r>
      </w:hyperlink>
      <w:r>
        <w:rPr/>
        <w:t> action by action spatial data became available.</w:t>
      </w:r>
      <w:r>
        <w:rPr>
          <w:spacing w:val="25"/>
        </w:rPr>
        <w:t> </w:t>
      </w:r>
      <w:r>
        <w:rPr/>
        <w:t>Therefore, Chapter</w:t>
      </w:r>
      <w:hyperlink w:history="true" w:anchor="_bookmark92">
        <w:r>
          <w:rPr>
            <w:color w:val="0000FF"/>
          </w:rPr>
          <w:t>4</w:t>
        </w:r>
      </w:hyperlink>
      <w:r>
        <w:rPr/>
        <w:t>extended</w:t>
      </w:r>
      <w:r>
        <w:rPr>
          <w:spacing w:val="-2"/>
        </w:rPr>
        <w:t> </w:t>
      </w:r>
      <w:r>
        <w:rPr/>
        <w:t>the</w:t>
      </w:r>
      <w:r>
        <w:rPr>
          <w:spacing w:val="-2"/>
        </w:rPr>
        <w:t> </w:t>
      </w:r>
      <w:r>
        <w:rPr/>
        <w:t>work</w:t>
      </w:r>
      <w:r>
        <w:rPr>
          <w:spacing w:val="-2"/>
        </w:rPr>
        <w:t> </w:t>
      </w:r>
      <w:r>
        <w:rPr/>
        <w:t>of</w:t>
      </w:r>
      <w:r>
        <w:rPr>
          <w:spacing w:val="-2"/>
        </w:rPr>
        <w:t> </w:t>
      </w:r>
      <w:r>
        <w:rPr/>
        <w:t>Chapter</w:t>
      </w:r>
      <w:r>
        <w:rPr>
          <w:color w:val="0000FF"/>
        </w:rPr>
        <w:t>3</w:t>
      </w:r>
      <w:hyperlink w:history="true" w:anchor="_bookmark48">
        <w:r>
          <w:rPr/>
          <w:t>by</w:t>
        </w:r>
      </w:hyperlink>
      <w:r>
        <w:rPr>
          <w:spacing w:val="-2"/>
        </w:rPr>
        <w:t> </w:t>
      </w:r>
      <w:r>
        <w:rPr/>
        <w:t>using</w:t>
      </w:r>
      <w:r>
        <w:rPr>
          <w:spacing w:val="-2"/>
        </w:rPr>
        <w:t> </w:t>
      </w:r>
      <w:r>
        <w:rPr/>
        <w:t>Markov</w:t>
      </w:r>
      <w:r>
        <w:rPr>
          <w:spacing w:val="-2"/>
        </w:rPr>
        <w:t> </w:t>
      </w:r>
      <w:r>
        <w:rPr/>
        <w:t>Decision Processes to estimate action values using the EPV-19 zones, applying a previous idea in football (</w:t>
      </w:r>
      <w:hyperlink w:history="true" w:anchor="_bookmark294">
        <w:r>
          <w:rPr>
            <w:color w:val="FF0000"/>
          </w:rPr>
          <w:t>Singh</w:t>
        </w:r>
      </w:hyperlink>
      <w:r>
        <w:rPr/>
        <w:t>,</w:t>
      </w:r>
      <w:hyperlink w:history="true" w:anchor="_bookmark294">
        <w:r>
          <w:rPr>
            <w:color w:val="FF0000"/>
          </w:rPr>
          <w:t>n.d.</w:t>
        </w:r>
      </w:hyperlink>
      <w:r>
        <w:rPr/>
        <w:t>).</w:t>
      </w:r>
      <w:r>
        <w:rPr>
          <w:spacing w:val="38"/>
        </w:rPr>
        <w:t> </w:t>
      </w:r>
      <w:r>
        <w:rPr/>
        <w:t>Action impact ratings were used to evaluate player performances, adapting previous research in ice hockey (</w:t>
      </w:r>
      <w:hyperlink w:history="true" w:anchor="_bookmark287">
        <w:r>
          <w:rPr>
            <w:color w:val="FF0000"/>
          </w:rPr>
          <w:t>Routley and Schulte</w:t>
        </w:r>
      </w:hyperlink>
      <w:r>
        <w:rPr/>
        <w:t>,</w:t>
      </w:r>
      <w:hyperlink w:history="true" w:anchor="_bookmark287">
        <w:r>
          <w:rPr>
            <w:color w:val="FF0000"/>
          </w:rPr>
          <w:t>2015</w:t>
        </w:r>
        <w:r>
          <w:rPr/>
          <w:t>).</w:t>
        </w:r>
      </w:hyperlink>
      <w:r>
        <w:rPr>
          <w:spacing w:val="80"/>
        </w:rPr>
        <w:t> </w:t>
      </w:r>
      <w:r>
        <w:rPr/>
        <w:t>Context nodes were</w:t>
      </w:r>
      <w:r>
        <w:rPr>
          <w:spacing w:val="24"/>
        </w:rPr>
        <w:t> </w:t>
      </w:r>
      <w:r>
        <w:rPr/>
        <w:t>also</w:t>
      </w:r>
      <w:r>
        <w:rPr>
          <w:spacing w:val="24"/>
        </w:rPr>
        <w:t> </w:t>
      </w:r>
      <w:r>
        <w:rPr/>
        <w:t>adapted</w:t>
      </w:r>
      <w:r>
        <w:rPr>
          <w:spacing w:val="24"/>
        </w:rPr>
        <w:t> </w:t>
      </w:r>
      <w:r>
        <w:rPr/>
        <w:t>from</w:t>
      </w:r>
      <w:r>
        <w:rPr>
          <w:spacing w:val="24"/>
        </w:rPr>
        <w:t> </w:t>
      </w:r>
      <w:r>
        <w:rPr/>
        <w:t>ice</w:t>
      </w:r>
      <w:r>
        <w:rPr>
          <w:spacing w:val="24"/>
        </w:rPr>
        <w:t> </w:t>
      </w:r>
      <w:r>
        <w:rPr/>
        <w:t>hockey</w:t>
      </w:r>
      <w:r>
        <w:rPr>
          <w:spacing w:val="24"/>
        </w:rPr>
        <w:t> </w:t>
      </w:r>
      <w:r>
        <w:rPr/>
        <w:t>(</w:t>
      </w:r>
      <w:hyperlink w:history="true" w:anchor="_bookmark287">
        <w:r>
          <w:rPr>
            <w:color w:val="FF0000"/>
          </w:rPr>
          <w:t>Routley</w:t>
        </w:r>
        <w:r>
          <w:rPr>
            <w:color w:val="FF0000"/>
            <w:spacing w:val="24"/>
          </w:rPr>
          <w:t> </w:t>
        </w:r>
        <w:r>
          <w:rPr>
            <w:color w:val="FF0000"/>
          </w:rPr>
          <w:t>and</w:t>
        </w:r>
        <w:r>
          <w:rPr>
            <w:color w:val="FF0000"/>
            <w:spacing w:val="24"/>
          </w:rPr>
          <w:t> </w:t>
        </w:r>
        <w:r>
          <w:rPr>
            <w:color w:val="FF0000"/>
          </w:rPr>
          <w:t>Schulte</w:t>
        </w:r>
      </w:hyperlink>
      <w:r>
        <w:rPr/>
        <w:t>,</w:t>
      </w:r>
      <w:hyperlink w:history="true" w:anchor="_bookmark287">
        <w:r>
          <w:rPr>
            <w:color w:val="FF0000"/>
          </w:rPr>
          <w:t>2015</w:t>
        </w:r>
        <w:r>
          <w:rPr/>
          <w:t>)</w:t>
        </w:r>
      </w:hyperlink>
      <w:r>
        <w:rPr>
          <w:spacing w:val="24"/>
        </w:rPr>
        <w:t> </w:t>
      </w:r>
      <w:r>
        <w:rPr/>
        <w:t>and</w:t>
      </w:r>
      <w:r>
        <w:rPr>
          <w:spacing w:val="24"/>
        </w:rPr>
        <w:t> </w:t>
      </w:r>
      <w:r>
        <w:rPr/>
        <w:t>football</w:t>
      </w:r>
      <w:r>
        <w:rPr>
          <w:spacing w:val="24"/>
        </w:rPr>
        <w:t> </w:t>
      </w:r>
      <w:r>
        <w:rPr/>
        <w:t>(</w:t>
      </w:r>
      <w:hyperlink w:history="true" w:anchor="_bookmark239">
        <w:r>
          <w:rPr>
            <w:color w:val="FF0000"/>
          </w:rPr>
          <w:t>Decroos</w:t>
        </w:r>
      </w:hyperlink>
      <w:r>
        <w:rPr>
          <w:color w:val="FF0000"/>
        </w:rPr>
        <w:t> </w:t>
      </w:r>
      <w:hyperlink w:history="true" w:anchor="_bookmark239">
        <w:r>
          <w:rPr>
            <w:color w:val="FF0000"/>
          </w:rPr>
          <w:t>et</w:t>
        </w:r>
        <w:r>
          <w:rPr>
            <w:color w:val="FF0000"/>
            <w:spacing w:val="-3"/>
          </w:rPr>
          <w:t> </w:t>
        </w:r>
        <w:r>
          <w:rPr>
            <w:color w:val="FF0000"/>
          </w:rPr>
          <w:t>al.</w:t>
        </w:r>
      </w:hyperlink>
      <w:r>
        <w:rPr/>
        <w:t>,</w:t>
      </w:r>
      <w:hyperlink w:history="true" w:anchor="_bookmark239">
        <w:r>
          <w:rPr>
            <w:color w:val="FF0000"/>
          </w:rPr>
          <w:t>2019</w:t>
        </w:r>
      </w:hyperlink>
      <w:r>
        <w:rPr/>
        <w:t>),</w:t>
      </w:r>
      <w:r>
        <w:rPr>
          <w:spacing w:val="-3"/>
        </w:rPr>
        <w:t> </w:t>
      </w:r>
      <w:r>
        <w:rPr/>
        <w:t>providing</w:t>
      </w:r>
      <w:r>
        <w:rPr>
          <w:spacing w:val="-3"/>
        </w:rPr>
        <w:t> </w:t>
      </w:r>
      <w:r>
        <w:rPr/>
        <w:t>further</w:t>
      </w:r>
      <w:r>
        <w:rPr>
          <w:spacing w:val="-3"/>
        </w:rPr>
        <w:t> </w:t>
      </w:r>
      <w:r>
        <w:rPr/>
        <w:t>detail</w:t>
      </w:r>
      <w:r>
        <w:rPr>
          <w:spacing w:val="-3"/>
        </w:rPr>
        <w:t> </w:t>
      </w:r>
      <w:r>
        <w:rPr/>
        <w:t>surrounding</w:t>
      </w:r>
      <w:r>
        <w:rPr>
          <w:spacing w:val="-3"/>
        </w:rPr>
        <w:t> </w:t>
      </w:r>
      <w:r>
        <w:rPr/>
        <w:t>player</w:t>
      </w:r>
      <w:r>
        <w:rPr>
          <w:spacing w:val="-3"/>
        </w:rPr>
        <w:t> </w:t>
      </w:r>
      <w:r>
        <w:rPr/>
        <w:t>performances</w:t>
      </w:r>
      <w:r>
        <w:rPr>
          <w:spacing w:val="-3"/>
        </w:rPr>
        <w:t> </w:t>
      </w:r>
      <w:r>
        <w:rPr/>
        <w:t>and</w:t>
      </w:r>
      <w:r>
        <w:rPr>
          <w:spacing w:val="-4"/>
        </w:rPr>
        <w:t> </w:t>
      </w:r>
      <w:r>
        <w:rPr/>
        <w:t>enabling</w:t>
      </w:r>
      <w:r>
        <w:rPr>
          <w:spacing w:val="-3"/>
        </w:rPr>
        <w:t> </w:t>
      </w:r>
      <w:r>
        <w:rPr/>
        <w:t>indi- vidual team MDPs to be produced.</w:t>
      </w:r>
      <w:r>
        <w:rPr>
          <w:spacing w:val="40"/>
        </w:rPr>
        <w:t> </w:t>
      </w:r>
      <w:r>
        <w:rPr/>
        <w:t>The work was presented at UKCI and subsequently published</w:t>
      </w:r>
      <w:r>
        <w:rPr>
          <w:spacing w:val="-12"/>
        </w:rPr>
        <w:t> </w:t>
      </w:r>
      <w:r>
        <w:rPr/>
        <w:t>in</w:t>
      </w:r>
      <w:r>
        <w:rPr>
          <w:spacing w:val="-12"/>
        </w:rPr>
        <w:t> </w:t>
      </w:r>
      <w:r>
        <w:rPr/>
        <w:t>Advances</w:t>
      </w:r>
      <w:r>
        <w:rPr>
          <w:spacing w:val="-12"/>
        </w:rPr>
        <w:t> </w:t>
      </w:r>
      <w:r>
        <w:rPr/>
        <w:t>in</w:t>
      </w:r>
      <w:r>
        <w:rPr>
          <w:spacing w:val="-12"/>
        </w:rPr>
        <w:t> </w:t>
      </w:r>
      <w:r>
        <w:rPr/>
        <w:t>Intelligent</w:t>
      </w:r>
      <w:r>
        <w:rPr>
          <w:spacing w:val="-12"/>
        </w:rPr>
        <w:t> </w:t>
      </w:r>
      <w:r>
        <w:rPr/>
        <w:t>Systems</w:t>
      </w:r>
      <w:r>
        <w:rPr>
          <w:spacing w:val="-12"/>
        </w:rPr>
        <w:t> </w:t>
      </w:r>
      <w:r>
        <w:rPr/>
        <w:t>and</w:t>
      </w:r>
      <w:r>
        <w:rPr>
          <w:spacing w:val="-12"/>
        </w:rPr>
        <w:t> </w:t>
      </w:r>
      <w:r>
        <w:rPr/>
        <w:t>Computing. It</w:t>
      </w:r>
      <w:r>
        <w:rPr>
          <w:spacing w:val="-12"/>
        </w:rPr>
        <w:t> </w:t>
      </w:r>
      <w:r>
        <w:rPr/>
        <w:t>was</w:t>
      </w:r>
      <w:r>
        <w:rPr>
          <w:spacing w:val="-12"/>
        </w:rPr>
        <w:t> </w:t>
      </w:r>
      <w:r>
        <w:rPr/>
        <w:t>also</w:t>
      </w:r>
      <w:r>
        <w:rPr>
          <w:spacing w:val="-12"/>
        </w:rPr>
        <w:t> </w:t>
      </w:r>
      <w:r>
        <w:rPr/>
        <w:t>presented</w:t>
      </w:r>
      <w:r>
        <w:rPr>
          <w:spacing w:val="-12"/>
        </w:rPr>
        <w:t> </w:t>
      </w:r>
      <w:r>
        <w:rPr/>
        <w:t>inter- nally to the Sports Science Department at Leeds Beckett University.</w:t>
      </w:r>
    </w:p>
    <w:p>
      <w:pPr>
        <w:pStyle w:val="BodyText"/>
        <w:spacing w:line="312" w:lineRule="auto"/>
        <w:ind w:left="610" w:right="389" w:firstLine="351"/>
      </w:pPr>
      <w:r>
        <w:rPr/>
        <w:t>The</w:t>
      </w:r>
      <w:r>
        <w:rPr>
          <w:spacing w:val="-8"/>
        </w:rPr>
        <w:t> </w:t>
      </w:r>
      <w:r>
        <w:rPr/>
        <w:t>key</w:t>
      </w:r>
      <w:r>
        <w:rPr>
          <w:spacing w:val="-8"/>
        </w:rPr>
        <w:t> </w:t>
      </w:r>
      <w:r>
        <w:rPr/>
        <w:t>contribution</w:t>
      </w:r>
      <w:r>
        <w:rPr>
          <w:spacing w:val="-8"/>
        </w:rPr>
        <w:t> </w:t>
      </w:r>
      <w:r>
        <w:rPr/>
        <w:t>of</w:t>
      </w:r>
      <w:r>
        <w:rPr>
          <w:spacing w:val="-8"/>
        </w:rPr>
        <w:t> </w:t>
      </w:r>
      <w:r>
        <w:rPr/>
        <w:t>this</w:t>
      </w:r>
      <w:r>
        <w:rPr>
          <w:spacing w:val="-8"/>
        </w:rPr>
        <w:t> </w:t>
      </w:r>
      <w:r>
        <w:rPr/>
        <w:t>study</w:t>
      </w:r>
      <w:r>
        <w:rPr>
          <w:spacing w:val="-8"/>
        </w:rPr>
        <w:t> </w:t>
      </w:r>
      <w:r>
        <w:rPr/>
        <w:t>was</w:t>
      </w:r>
      <w:r>
        <w:rPr>
          <w:spacing w:val="-8"/>
        </w:rPr>
        <w:t> </w:t>
      </w:r>
      <w:r>
        <w:rPr/>
        <w:t>that</w:t>
      </w:r>
      <w:r>
        <w:rPr>
          <w:spacing w:val="-8"/>
        </w:rPr>
        <w:t> </w:t>
      </w:r>
      <w:r>
        <w:rPr/>
        <w:t>it</w:t>
      </w:r>
      <w:r>
        <w:rPr>
          <w:spacing w:val="-8"/>
        </w:rPr>
        <w:t> </w:t>
      </w:r>
      <w:r>
        <w:rPr/>
        <w:t>extended</w:t>
      </w:r>
      <w:r>
        <w:rPr>
          <w:spacing w:val="-8"/>
        </w:rPr>
        <w:t> </w:t>
      </w:r>
      <w:r>
        <w:rPr/>
        <w:t>previous</w:t>
      </w:r>
      <w:r>
        <w:rPr>
          <w:spacing w:val="-8"/>
        </w:rPr>
        <w:t> </w:t>
      </w:r>
      <w:r>
        <w:rPr/>
        <w:t>work</w:t>
      </w:r>
      <w:r>
        <w:rPr>
          <w:spacing w:val="-8"/>
        </w:rPr>
        <w:t> </w:t>
      </w:r>
      <w:r>
        <w:rPr/>
        <w:t>in</w:t>
      </w:r>
      <w:r>
        <w:rPr>
          <w:spacing w:val="-8"/>
        </w:rPr>
        <w:t> </w:t>
      </w:r>
      <w:r>
        <w:rPr/>
        <w:t>rugby</w:t>
      </w:r>
      <w:r>
        <w:rPr>
          <w:spacing w:val="-8"/>
        </w:rPr>
        <w:t> </w:t>
      </w:r>
      <w:r>
        <w:rPr/>
        <w:t>league (Chapter</w:t>
      </w:r>
      <w:r>
        <w:rPr>
          <w:color w:val="0000FF"/>
        </w:rPr>
        <w:t>3</w:t>
      </w:r>
      <w:hyperlink w:history="true" w:anchor="_bookmark48">
        <w:r>
          <w:rPr/>
          <w:t>;</w:t>
        </w:r>
      </w:hyperlink>
      <w:r>
        <w:rPr>
          <w:color w:val="FF0000"/>
        </w:rPr>
        <w:t>K</w:t>
      </w:r>
      <w:hyperlink w:history="true" w:anchor="_bookmark263">
        <w:r>
          <w:rPr>
            <w:color w:val="FF0000"/>
          </w:rPr>
          <w:t>empton et al.</w:t>
        </w:r>
        <w:r>
          <w:rPr/>
          <w:t>(</w:t>
        </w:r>
      </w:hyperlink>
      <w:r>
        <w:rPr>
          <w:color w:val="FF0000"/>
        </w:rPr>
        <w:t>2016</w:t>
      </w:r>
      <w:hyperlink w:history="true" w:anchor="_bookmark263">
        <w:r>
          <w:rPr/>
          <w:t>))</w:t>
        </w:r>
      </w:hyperlink>
      <w:r>
        <w:rPr/>
        <w:t> by providing the first action by action analysis of</w:t>
      </w:r>
      <w:r>
        <w:rPr>
          <w:spacing w:val="80"/>
        </w:rPr>
        <w:t> </w:t>
      </w:r>
      <w:r>
        <w:rPr/>
        <w:t>player and team performances in rugby league.</w:t>
      </w:r>
      <w:r>
        <w:rPr>
          <w:spacing w:val="40"/>
        </w:rPr>
        <w:t> </w:t>
      </w:r>
      <w:r>
        <w:rPr/>
        <w:t>This allowed much greater detail to </w:t>
      </w:r>
      <w:r>
        <w:rPr/>
        <w:t>be</w:t>
      </w:r>
    </w:p>
    <w:p>
      <w:pPr>
        <w:spacing w:after="0" w:line="312" w:lineRule="auto"/>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410"/>
      </w:pPr>
      <w:r>
        <w:rPr/>
        <w:t>provided</w:t>
      </w:r>
      <w:r>
        <w:rPr>
          <w:spacing w:val="-4"/>
        </w:rPr>
        <w:t> </w:t>
      </w:r>
      <w:r>
        <w:rPr/>
        <w:t>within</w:t>
      </w:r>
      <w:r>
        <w:rPr>
          <w:spacing w:val="-3"/>
        </w:rPr>
        <w:t> </w:t>
      </w:r>
      <w:r>
        <w:rPr/>
        <w:t>the</w:t>
      </w:r>
      <w:r>
        <w:rPr>
          <w:spacing w:val="-4"/>
        </w:rPr>
        <w:t> </w:t>
      </w:r>
      <w:r>
        <w:rPr/>
        <w:t>evaluation</w:t>
      </w:r>
      <w:r>
        <w:rPr>
          <w:spacing w:val="-3"/>
        </w:rPr>
        <w:t> </w:t>
      </w:r>
      <w:r>
        <w:rPr/>
        <w:t>of</w:t>
      </w:r>
      <w:r>
        <w:rPr>
          <w:spacing w:val="-4"/>
        </w:rPr>
        <w:t> </w:t>
      </w:r>
      <w:r>
        <w:rPr/>
        <w:t>player</w:t>
      </w:r>
      <w:r>
        <w:rPr>
          <w:spacing w:val="-3"/>
        </w:rPr>
        <w:t> </w:t>
      </w:r>
      <w:r>
        <w:rPr/>
        <w:t>and</w:t>
      </w:r>
      <w:r>
        <w:rPr>
          <w:spacing w:val="-4"/>
        </w:rPr>
        <w:t> </w:t>
      </w:r>
      <w:r>
        <w:rPr/>
        <w:t>team</w:t>
      </w:r>
      <w:r>
        <w:rPr>
          <w:spacing w:val="-3"/>
        </w:rPr>
        <w:t> </w:t>
      </w:r>
      <w:r>
        <w:rPr/>
        <w:t>performances,</w:t>
      </w:r>
      <w:r>
        <w:rPr>
          <w:spacing w:val="-3"/>
        </w:rPr>
        <w:t> </w:t>
      </w:r>
      <w:r>
        <w:rPr/>
        <w:t>resulting</w:t>
      </w:r>
      <w:r>
        <w:rPr>
          <w:spacing w:val="-3"/>
        </w:rPr>
        <w:t> </w:t>
      </w:r>
      <w:r>
        <w:rPr/>
        <w:t>in</w:t>
      </w:r>
      <w:r>
        <w:rPr>
          <w:spacing w:val="-4"/>
        </w:rPr>
        <w:t> </w:t>
      </w:r>
      <w:r>
        <w:rPr/>
        <w:t>much</w:t>
      </w:r>
      <w:r>
        <w:rPr>
          <w:spacing w:val="-3"/>
        </w:rPr>
        <w:t> </w:t>
      </w:r>
      <w:r>
        <w:rPr/>
        <w:t>more usable results.</w:t>
      </w:r>
      <w:r>
        <w:rPr>
          <w:spacing w:val="30"/>
        </w:rPr>
        <w:t> </w:t>
      </w:r>
      <w:r>
        <w:rPr/>
        <w:t>Using the EPV-19 model identified in Chapter</w:t>
      </w:r>
      <w:r>
        <w:rPr>
          <w:color w:val="0000FF"/>
        </w:rPr>
        <w:t>3</w:t>
      </w:r>
      <w:hyperlink w:history="true" w:anchor="_bookmark48">
        <w:r>
          <w:rPr/>
          <w:t>,</w:t>
        </w:r>
      </w:hyperlink>
      <w:r>
        <w:rPr/>
        <w:t> action values were gen- erated for every zone on the pitch, allowing their value to incorporate spatial context for the</w:t>
      </w:r>
      <w:r>
        <w:rPr>
          <w:spacing w:val="-8"/>
        </w:rPr>
        <w:t> </w:t>
      </w:r>
      <w:r>
        <w:rPr/>
        <w:t>first</w:t>
      </w:r>
      <w:r>
        <w:rPr>
          <w:spacing w:val="-8"/>
        </w:rPr>
        <w:t> </w:t>
      </w:r>
      <w:r>
        <w:rPr/>
        <w:t>time</w:t>
      </w:r>
      <w:r>
        <w:rPr>
          <w:spacing w:val="-8"/>
        </w:rPr>
        <w:t> </w:t>
      </w:r>
      <w:r>
        <w:rPr/>
        <w:t>in</w:t>
      </w:r>
      <w:r>
        <w:rPr>
          <w:spacing w:val="-8"/>
        </w:rPr>
        <w:t> </w:t>
      </w:r>
      <w:r>
        <w:rPr/>
        <w:t>rugby</w:t>
      </w:r>
      <w:r>
        <w:rPr>
          <w:spacing w:val="-8"/>
        </w:rPr>
        <w:t> </w:t>
      </w:r>
      <w:r>
        <w:rPr/>
        <w:t>league. In</w:t>
      </w:r>
      <w:r>
        <w:rPr>
          <w:spacing w:val="-8"/>
        </w:rPr>
        <w:t> </w:t>
      </w:r>
      <w:r>
        <w:rPr/>
        <w:t>addition</w:t>
      </w:r>
      <w:r>
        <w:rPr>
          <w:spacing w:val="-8"/>
        </w:rPr>
        <w:t> </w:t>
      </w:r>
      <w:r>
        <w:rPr/>
        <w:t>to</w:t>
      </w:r>
      <w:r>
        <w:rPr>
          <w:spacing w:val="-8"/>
        </w:rPr>
        <w:t> </w:t>
      </w:r>
      <w:r>
        <w:rPr/>
        <w:t>this,</w:t>
      </w:r>
      <w:r>
        <w:rPr>
          <w:spacing w:val="-7"/>
        </w:rPr>
        <w:t> </w:t>
      </w:r>
      <w:r>
        <w:rPr/>
        <w:t>the</w:t>
      </w:r>
      <w:r>
        <w:rPr>
          <w:spacing w:val="-8"/>
        </w:rPr>
        <w:t> </w:t>
      </w:r>
      <w:r>
        <w:rPr/>
        <w:t>study</w:t>
      </w:r>
      <w:r>
        <w:rPr>
          <w:spacing w:val="-8"/>
        </w:rPr>
        <w:t> </w:t>
      </w:r>
      <w:r>
        <w:rPr/>
        <w:t>adapted</w:t>
      </w:r>
      <w:r>
        <w:rPr>
          <w:spacing w:val="-8"/>
        </w:rPr>
        <w:t> </w:t>
      </w:r>
      <w:r>
        <w:rPr/>
        <w:t>ideas</w:t>
      </w:r>
      <w:r>
        <w:rPr>
          <w:spacing w:val="-8"/>
        </w:rPr>
        <w:t> </w:t>
      </w:r>
      <w:r>
        <w:rPr/>
        <w:t>from</w:t>
      </w:r>
      <w:r>
        <w:rPr>
          <w:spacing w:val="-8"/>
        </w:rPr>
        <w:t> </w:t>
      </w:r>
      <w:r>
        <w:rPr/>
        <w:t>ice</w:t>
      </w:r>
      <w:r>
        <w:rPr>
          <w:spacing w:val="-8"/>
        </w:rPr>
        <w:t> </w:t>
      </w:r>
      <w:r>
        <w:rPr/>
        <w:t>hockey (</w:t>
      </w:r>
      <w:hyperlink w:history="true" w:anchor="_bookmark287">
        <w:r>
          <w:rPr>
            <w:color w:val="FF0000"/>
          </w:rPr>
          <w:t>Routley and Schulte</w:t>
        </w:r>
      </w:hyperlink>
      <w:r>
        <w:rPr/>
        <w:t>,</w:t>
      </w:r>
      <w:hyperlink w:history="true" w:anchor="_bookmark287">
        <w:r>
          <w:rPr>
            <w:color w:val="FF0000"/>
          </w:rPr>
          <w:t>2015</w:t>
        </w:r>
        <w:r>
          <w:rPr/>
          <w:t>)</w:t>
        </w:r>
      </w:hyperlink>
      <w:r>
        <w:rPr/>
        <w:t> and football (</w:t>
      </w:r>
      <w:hyperlink w:history="true" w:anchor="_bookmark239">
        <w:r>
          <w:rPr>
            <w:color w:val="FF0000"/>
          </w:rPr>
          <w:t>Decroos et al.</w:t>
        </w:r>
        <w:r>
          <w:rPr/>
          <w:t>,</w:t>
        </w:r>
      </w:hyperlink>
      <w:r>
        <w:rPr>
          <w:color w:val="FF0000"/>
        </w:rPr>
        <w:t>2019</w:t>
      </w:r>
      <w:hyperlink w:history="true" w:anchor="_bookmark239">
        <w:r>
          <w:rPr/>
          <w:t>;</w:t>
        </w:r>
      </w:hyperlink>
      <w:r>
        <w:rPr>
          <w:color w:val="FF0000"/>
        </w:rPr>
        <w:t>Singh</w:t>
      </w:r>
      <w:hyperlink w:history="true" w:anchor="_bookmark294">
        <w:r>
          <w:rPr/>
          <w:t>,</w:t>
        </w:r>
      </w:hyperlink>
      <w:r>
        <w:rPr>
          <w:color w:val="FF0000"/>
        </w:rPr>
        <w:t>n.d.</w:t>
      </w:r>
      <w:hyperlink w:history="true" w:anchor="_bookmark294">
        <w:r>
          <w:rPr/>
          <w:t>)</w:t>
        </w:r>
      </w:hyperlink>
      <w:r>
        <w:rPr>
          <w:spacing w:val="40"/>
        </w:rPr>
        <w:t> </w:t>
      </w:r>
      <w:r>
        <w:rPr/>
        <w:t>and vali-</w:t>
      </w:r>
      <w:r>
        <w:rPr>
          <w:spacing w:val="40"/>
        </w:rPr>
        <w:t> </w:t>
      </w:r>
      <w:r>
        <w:rPr/>
        <w:t>dated their use within rugby league.</w:t>
      </w:r>
      <w:r>
        <w:rPr>
          <w:spacing w:val="40"/>
        </w:rPr>
        <w:t> </w:t>
      </w:r>
      <w:r>
        <w:rPr/>
        <w:t>The adaptation of action impact ratings (</w:t>
      </w:r>
      <w:hyperlink w:history="true" w:anchor="_bookmark287">
        <w:r>
          <w:rPr>
            <w:color w:val="FF0000"/>
          </w:rPr>
          <w:t>Routley</w:t>
        </w:r>
      </w:hyperlink>
      <w:r>
        <w:rPr>
          <w:color w:val="FF0000"/>
          <w:spacing w:val="80"/>
        </w:rPr>
        <w:t> </w:t>
      </w:r>
      <w:hyperlink w:history="true" w:anchor="_bookmark287">
        <w:r>
          <w:rPr>
            <w:color w:val="FF0000"/>
          </w:rPr>
          <w:t>and Schulte</w:t>
        </w:r>
      </w:hyperlink>
      <w:r>
        <w:rPr/>
        <w:t>,</w:t>
      </w:r>
      <w:hyperlink w:history="true" w:anchor="_bookmark287">
        <w:r>
          <w:rPr>
            <w:color w:val="FF0000"/>
          </w:rPr>
          <w:t>2015</w:t>
        </w:r>
        <w:r>
          <w:rPr/>
          <w:t>)</w:t>
        </w:r>
      </w:hyperlink>
      <w:r>
        <w:rPr/>
        <w:t> to produce player ratings was evaluated.</w:t>
      </w:r>
      <w:r>
        <w:rPr>
          <w:spacing w:val="34"/>
        </w:rPr>
        <w:t> </w:t>
      </w:r>
      <w:r>
        <w:rPr/>
        <w:t>Furthermore, context nodes were adapted from ice hockey</w:t>
      </w:r>
      <w:hyperlink w:history="true" w:anchor="_bookmark287">
        <w:r>
          <w:rPr>
            <w:color w:val="FF0000"/>
          </w:rPr>
          <w:t>Routley and Schulte</w:t>
        </w:r>
        <w:r>
          <w:rPr/>
          <w:t>(</w:t>
        </w:r>
      </w:hyperlink>
      <w:r>
        <w:rPr>
          <w:color w:val="FF0000"/>
        </w:rPr>
        <w:t>2015</w:t>
      </w:r>
      <w:hyperlink w:history="true" w:anchor="_bookmark287">
        <w:r>
          <w:rPr/>
          <w:t>)</w:t>
        </w:r>
      </w:hyperlink>
      <w:r>
        <w:rPr/>
        <w:t> and football (</w:t>
      </w:r>
      <w:hyperlink w:history="true" w:anchor="_bookmark239">
        <w:r>
          <w:rPr>
            <w:color w:val="FF0000"/>
          </w:rPr>
          <w:t>Decroos et al.</w:t>
        </w:r>
        <w:r>
          <w:rPr/>
          <w:t>,</w:t>
        </w:r>
      </w:hyperlink>
      <w:r>
        <w:rPr/>
        <w:t> </w:t>
      </w:r>
      <w:hyperlink w:history="true" w:anchor="_bookmark239">
        <w:r>
          <w:rPr>
            <w:color w:val="FF0000"/>
          </w:rPr>
          <w:t>2019</w:t>
        </w:r>
      </w:hyperlink>
      <w:r>
        <w:rPr/>
        <w:t>), allowing further insights to be produced with respect to these player ratings (e.g. understanding</w:t>
      </w:r>
      <w:r>
        <w:rPr>
          <w:spacing w:val="-5"/>
        </w:rPr>
        <w:t> </w:t>
      </w:r>
      <w:r>
        <w:rPr/>
        <w:t>if</w:t>
      </w:r>
      <w:r>
        <w:rPr>
          <w:spacing w:val="-4"/>
        </w:rPr>
        <w:t> </w:t>
      </w:r>
      <w:r>
        <w:rPr/>
        <w:t>a</w:t>
      </w:r>
      <w:r>
        <w:rPr>
          <w:spacing w:val="-4"/>
        </w:rPr>
        <w:t> </w:t>
      </w:r>
      <w:r>
        <w:rPr/>
        <w:t>player</w:t>
      </w:r>
      <w:r>
        <w:rPr>
          <w:spacing w:val="-5"/>
        </w:rPr>
        <w:t> </w:t>
      </w:r>
      <w:r>
        <w:rPr/>
        <w:t>performs</w:t>
      </w:r>
      <w:r>
        <w:rPr>
          <w:spacing w:val="-4"/>
        </w:rPr>
        <w:t> </w:t>
      </w:r>
      <w:r>
        <w:rPr/>
        <w:t>better</w:t>
      </w:r>
      <w:r>
        <w:rPr>
          <w:spacing w:val="-5"/>
        </w:rPr>
        <w:t> </w:t>
      </w:r>
      <w:r>
        <w:rPr/>
        <w:t>when</w:t>
      </w:r>
      <w:r>
        <w:rPr>
          <w:spacing w:val="-4"/>
        </w:rPr>
        <w:t> </w:t>
      </w:r>
      <w:r>
        <w:rPr/>
        <w:t>their</w:t>
      </w:r>
      <w:r>
        <w:rPr>
          <w:spacing w:val="-5"/>
        </w:rPr>
        <w:t> </w:t>
      </w:r>
      <w:r>
        <w:rPr/>
        <w:t>team</w:t>
      </w:r>
      <w:r>
        <w:rPr>
          <w:spacing w:val="-4"/>
        </w:rPr>
        <w:t> </w:t>
      </w:r>
      <w:r>
        <w:rPr/>
        <w:t>is</w:t>
      </w:r>
      <w:r>
        <w:rPr>
          <w:spacing w:val="-5"/>
        </w:rPr>
        <w:t> </w:t>
      </w:r>
      <w:r>
        <w:rPr/>
        <w:t>losing). Context</w:t>
      </w:r>
      <w:r>
        <w:rPr>
          <w:spacing w:val="-5"/>
        </w:rPr>
        <w:t> </w:t>
      </w:r>
      <w:r>
        <w:rPr/>
        <w:t>nodes</w:t>
      </w:r>
      <w:r>
        <w:rPr>
          <w:spacing w:val="-4"/>
        </w:rPr>
        <w:t> </w:t>
      </w:r>
      <w:r>
        <w:rPr/>
        <w:t>were also used to produce individualised team state, action values.</w:t>
      </w:r>
      <w:r>
        <w:rPr>
          <w:spacing w:val="34"/>
        </w:rPr>
        <w:t> </w:t>
      </w:r>
      <w:r>
        <w:rPr/>
        <w:t>These values provided in- sight</w:t>
      </w:r>
      <w:r>
        <w:rPr>
          <w:spacing w:val="-8"/>
        </w:rPr>
        <w:t> </w:t>
      </w:r>
      <w:r>
        <w:rPr/>
        <w:t>into</w:t>
      </w:r>
      <w:r>
        <w:rPr>
          <w:spacing w:val="-8"/>
        </w:rPr>
        <w:t> </w:t>
      </w:r>
      <w:r>
        <w:rPr/>
        <w:t>different</w:t>
      </w:r>
      <w:r>
        <w:rPr>
          <w:spacing w:val="-8"/>
        </w:rPr>
        <w:t> </w:t>
      </w:r>
      <w:r>
        <w:rPr/>
        <w:t>playing</w:t>
      </w:r>
      <w:r>
        <w:rPr>
          <w:spacing w:val="-8"/>
        </w:rPr>
        <w:t> </w:t>
      </w:r>
      <w:r>
        <w:rPr/>
        <w:t>styles</w:t>
      </w:r>
      <w:r>
        <w:rPr>
          <w:spacing w:val="-8"/>
        </w:rPr>
        <w:t> </w:t>
      </w:r>
      <w:r>
        <w:rPr/>
        <w:t>between</w:t>
      </w:r>
      <w:r>
        <w:rPr>
          <w:spacing w:val="-8"/>
        </w:rPr>
        <w:t> </w:t>
      </w:r>
      <w:r>
        <w:rPr/>
        <w:t>teams,</w:t>
      </w:r>
      <w:r>
        <w:rPr>
          <w:spacing w:val="-8"/>
        </w:rPr>
        <w:t> </w:t>
      </w:r>
      <w:r>
        <w:rPr/>
        <w:t>which</w:t>
      </w:r>
      <w:r>
        <w:rPr>
          <w:spacing w:val="-8"/>
        </w:rPr>
        <w:t> </w:t>
      </w:r>
      <w:r>
        <w:rPr/>
        <w:t>could</w:t>
      </w:r>
      <w:r>
        <w:rPr>
          <w:spacing w:val="-8"/>
        </w:rPr>
        <w:t> </w:t>
      </w:r>
      <w:r>
        <w:rPr/>
        <w:t>be</w:t>
      </w:r>
      <w:r>
        <w:rPr>
          <w:spacing w:val="-8"/>
        </w:rPr>
        <w:t> </w:t>
      </w:r>
      <w:r>
        <w:rPr/>
        <w:t>used</w:t>
      </w:r>
      <w:r>
        <w:rPr>
          <w:spacing w:val="-8"/>
        </w:rPr>
        <w:t> </w:t>
      </w:r>
      <w:r>
        <w:rPr/>
        <w:t>to</w:t>
      </w:r>
      <w:r>
        <w:rPr>
          <w:spacing w:val="-8"/>
        </w:rPr>
        <w:t> </w:t>
      </w:r>
      <w:r>
        <w:rPr/>
        <w:t>produce</w:t>
      </w:r>
      <w:r>
        <w:rPr>
          <w:spacing w:val="-8"/>
        </w:rPr>
        <w:t> </w:t>
      </w:r>
      <w:r>
        <w:rPr/>
        <w:t>tactical strategies against future opponents.</w:t>
      </w:r>
    </w:p>
    <w:p>
      <w:pPr>
        <w:pStyle w:val="BodyText"/>
        <w:spacing w:line="312" w:lineRule="auto"/>
        <w:ind w:left="610" w:right="389" w:firstLine="351"/>
      </w:pPr>
      <w:r>
        <w:rPr/>
        <w:t>Although producing more advanced results than Chapter</w:t>
      </w:r>
      <w:r>
        <w:rPr>
          <w:color w:val="0000FF"/>
        </w:rPr>
        <w:t>3</w:t>
      </w:r>
      <w:hyperlink w:history="true" w:anchor="_bookmark48">
        <w:r>
          <w:rPr/>
          <w:t>,</w:t>
        </w:r>
      </w:hyperlink>
      <w:r>
        <w:rPr>
          <w:spacing w:val="36"/>
        </w:rPr>
        <w:t> </w:t>
      </w:r>
      <w:r>
        <w:rPr/>
        <w:t>the work conducted in this</w:t>
      </w:r>
      <w:r>
        <w:rPr>
          <w:spacing w:val="-14"/>
        </w:rPr>
        <w:t> </w:t>
      </w:r>
      <w:r>
        <w:rPr/>
        <w:t>chapter</w:t>
      </w:r>
      <w:r>
        <w:rPr>
          <w:spacing w:val="-14"/>
        </w:rPr>
        <w:t> </w:t>
      </w:r>
      <w:r>
        <w:rPr/>
        <w:t>still</w:t>
      </w:r>
      <w:r>
        <w:rPr>
          <w:spacing w:val="-14"/>
        </w:rPr>
        <w:t> </w:t>
      </w:r>
      <w:r>
        <w:rPr/>
        <w:t>constituted</w:t>
      </w:r>
      <w:r>
        <w:rPr>
          <w:spacing w:val="-14"/>
        </w:rPr>
        <w:t> </w:t>
      </w:r>
      <w:r>
        <w:rPr/>
        <w:t>the</w:t>
      </w:r>
      <w:r>
        <w:rPr>
          <w:spacing w:val="-14"/>
        </w:rPr>
        <w:t> </w:t>
      </w:r>
      <w:r>
        <w:rPr/>
        <w:t>application</w:t>
      </w:r>
      <w:r>
        <w:rPr>
          <w:spacing w:val="-14"/>
        </w:rPr>
        <w:t> </w:t>
      </w:r>
      <w:r>
        <w:rPr/>
        <w:t>and</w:t>
      </w:r>
      <w:r>
        <w:rPr>
          <w:spacing w:val="-14"/>
        </w:rPr>
        <w:t> </w:t>
      </w:r>
      <w:r>
        <w:rPr/>
        <w:t>adaptation</w:t>
      </w:r>
      <w:r>
        <w:rPr>
          <w:spacing w:val="-14"/>
        </w:rPr>
        <w:t> </w:t>
      </w:r>
      <w:r>
        <w:rPr/>
        <w:t>of</w:t>
      </w:r>
      <w:r>
        <w:rPr>
          <w:spacing w:val="-14"/>
        </w:rPr>
        <w:t> </w:t>
      </w:r>
      <w:r>
        <w:rPr/>
        <w:t>previous</w:t>
      </w:r>
      <w:r>
        <w:rPr>
          <w:spacing w:val="-14"/>
        </w:rPr>
        <w:t> </w:t>
      </w:r>
      <w:r>
        <w:rPr/>
        <w:t>methodologies</w:t>
      </w:r>
      <w:r>
        <w:rPr>
          <w:spacing w:val="-14"/>
        </w:rPr>
        <w:t> </w:t>
      </w:r>
      <w:r>
        <w:rPr/>
        <w:t>and metrics,</w:t>
      </w:r>
      <w:r>
        <w:rPr>
          <w:spacing w:val="-1"/>
        </w:rPr>
        <w:t> </w:t>
      </w:r>
      <w:r>
        <w:rPr/>
        <w:t>so</w:t>
      </w:r>
      <w:r>
        <w:rPr>
          <w:spacing w:val="-1"/>
        </w:rPr>
        <w:t> </w:t>
      </w:r>
      <w:r>
        <w:rPr/>
        <w:t>like</w:t>
      </w:r>
      <w:r>
        <w:rPr>
          <w:spacing w:val="-1"/>
        </w:rPr>
        <w:t> </w:t>
      </w:r>
      <w:r>
        <w:rPr/>
        <w:t>Chapter</w:t>
      </w:r>
      <w:r>
        <w:rPr>
          <w:color w:val="0000FF"/>
        </w:rPr>
        <w:t>3</w:t>
      </w:r>
      <w:hyperlink w:history="true" w:anchor="_bookmark48">
        <w:r>
          <w:rPr/>
          <w:t>,</w:t>
        </w:r>
      </w:hyperlink>
      <w:r>
        <w:rPr>
          <w:spacing w:val="-1"/>
        </w:rPr>
        <w:t> </w:t>
      </w:r>
      <w:r>
        <w:rPr/>
        <w:t>it</w:t>
      </w:r>
      <w:r>
        <w:rPr>
          <w:spacing w:val="-1"/>
        </w:rPr>
        <w:t> </w:t>
      </w:r>
      <w:r>
        <w:rPr/>
        <w:t>met</w:t>
      </w:r>
      <w:r>
        <w:rPr>
          <w:spacing w:val="-1"/>
        </w:rPr>
        <w:t> </w:t>
      </w:r>
      <w:r>
        <w:rPr/>
        <w:t>the</w:t>
      </w:r>
      <w:r>
        <w:rPr>
          <w:spacing w:val="-1"/>
        </w:rPr>
        <w:t> </w:t>
      </w:r>
      <w:r>
        <w:rPr/>
        <w:t>requirements</w:t>
      </w:r>
      <w:r>
        <w:rPr>
          <w:spacing w:val="-1"/>
        </w:rPr>
        <w:t> </w:t>
      </w:r>
      <w:r>
        <w:rPr/>
        <w:t>of</w:t>
      </w:r>
      <w:r>
        <w:rPr>
          <w:spacing w:val="-1"/>
        </w:rPr>
        <w:t> </w:t>
      </w:r>
      <w:r>
        <w:rPr/>
        <w:t>objective</w:t>
      </w:r>
      <w:r>
        <w:rPr>
          <w:spacing w:val="-1"/>
        </w:rPr>
        <w:t> </w:t>
      </w:r>
      <w:r>
        <w:rPr/>
        <w:t>2. After</w:t>
      </w:r>
      <w:r>
        <w:rPr>
          <w:spacing w:val="-1"/>
        </w:rPr>
        <w:t> </w:t>
      </w:r>
      <w:r>
        <w:rPr/>
        <w:t>consultation</w:t>
      </w:r>
      <w:r>
        <w:rPr>
          <w:spacing w:val="-1"/>
        </w:rPr>
        <w:t> </w:t>
      </w:r>
      <w:r>
        <w:rPr/>
        <w:t>with the</w:t>
      </w:r>
      <w:r>
        <w:rPr>
          <w:spacing w:val="-6"/>
        </w:rPr>
        <w:t> </w:t>
      </w:r>
      <w:r>
        <w:rPr/>
        <w:t>Sports</w:t>
      </w:r>
      <w:r>
        <w:rPr>
          <w:spacing w:val="-6"/>
        </w:rPr>
        <w:t> </w:t>
      </w:r>
      <w:r>
        <w:rPr/>
        <w:t>Science</w:t>
      </w:r>
      <w:r>
        <w:rPr>
          <w:spacing w:val="-6"/>
        </w:rPr>
        <w:t> </w:t>
      </w:r>
      <w:r>
        <w:rPr/>
        <w:t>Department</w:t>
      </w:r>
      <w:r>
        <w:rPr>
          <w:spacing w:val="-6"/>
        </w:rPr>
        <w:t> </w:t>
      </w:r>
      <w:r>
        <w:rPr/>
        <w:t>at</w:t>
      </w:r>
      <w:r>
        <w:rPr>
          <w:spacing w:val="-6"/>
        </w:rPr>
        <w:t> </w:t>
      </w:r>
      <w:r>
        <w:rPr/>
        <w:t>Leeds</w:t>
      </w:r>
      <w:r>
        <w:rPr>
          <w:spacing w:val="-6"/>
        </w:rPr>
        <w:t> </w:t>
      </w:r>
      <w:r>
        <w:rPr/>
        <w:t>Beckett</w:t>
      </w:r>
      <w:r>
        <w:rPr>
          <w:spacing w:val="-6"/>
        </w:rPr>
        <w:t> </w:t>
      </w:r>
      <w:r>
        <w:rPr/>
        <w:t>University,</w:t>
      </w:r>
      <w:r>
        <w:rPr>
          <w:spacing w:val="-6"/>
        </w:rPr>
        <w:t> </w:t>
      </w:r>
      <w:r>
        <w:rPr/>
        <w:t>it</w:t>
      </w:r>
      <w:r>
        <w:rPr>
          <w:spacing w:val="-6"/>
        </w:rPr>
        <w:t> </w:t>
      </w:r>
      <w:r>
        <w:rPr/>
        <w:t>was</w:t>
      </w:r>
      <w:r>
        <w:rPr>
          <w:spacing w:val="-6"/>
        </w:rPr>
        <w:t> </w:t>
      </w:r>
      <w:r>
        <w:rPr/>
        <w:t>agreed</w:t>
      </w:r>
      <w:r>
        <w:rPr>
          <w:spacing w:val="-6"/>
        </w:rPr>
        <w:t> </w:t>
      </w:r>
      <w:r>
        <w:rPr/>
        <w:t>that</w:t>
      </w:r>
      <w:r>
        <w:rPr>
          <w:spacing w:val="-6"/>
        </w:rPr>
        <w:t> </w:t>
      </w:r>
      <w:r>
        <w:rPr/>
        <w:t>the</w:t>
      </w:r>
      <w:r>
        <w:rPr>
          <w:spacing w:val="-6"/>
        </w:rPr>
        <w:t> </w:t>
      </w:r>
      <w:r>
        <w:rPr/>
        <w:t>results of</w:t>
      </w:r>
      <w:r>
        <w:rPr>
          <w:spacing w:val="-2"/>
        </w:rPr>
        <w:t> </w:t>
      </w:r>
      <w:r>
        <w:rPr/>
        <w:t>this</w:t>
      </w:r>
      <w:r>
        <w:rPr>
          <w:spacing w:val="-2"/>
        </w:rPr>
        <w:t> </w:t>
      </w:r>
      <w:r>
        <w:rPr/>
        <w:t>study</w:t>
      </w:r>
      <w:r>
        <w:rPr>
          <w:spacing w:val="-2"/>
        </w:rPr>
        <w:t> </w:t>
      </w:r>
      <w:r>
        <w:rPr/>
        <w:t>improved</w:t>
      </w:r>
      <w:r>
        <w:rPr>
          <w:spacing w:val="-2"/>
        </w:rPr>
        <w:t> </w:t>
      </w:r>
      <w:r>
        <w:rPr/>
        <w:t>upon</w:t>
      </w:r>
      <w:r>
        <w:rPr>
          <w:spacing w:val="-3"/>
        </w:rPr>
        <w:t> </w:t>
      </w:r>
      <w:r>
        <w:rPr/>
        <w:t>those</w:t>
      </w:r>
      <w:r>
        <w:rPr>
          <w:spacing w:val="-2"/>
        </w:rPr>
        <w:t> </w:t>
      </w:r>
      <w:r>
        <w:rPr/>
        <w:t>of</w:t>
      </w:r>
      <w:r>
        <w:rPr>
          <w:spacing w:val="-2"/>
        </w:rPr>
        <w:t> </w:t>
      </w:r>
      <w:r>
        <w:rPr/>
        <w:t>Chapter</w:t>
      </w:r>
      <w:r>
        <w:rPr>
          <w:color w:val="0000FF"/>
        </w:rPr>
        <w:t>3</w:t>
      </w:r>
      <w:hyperlink w:history="true" w:anchor="_bookmark48">
        <w:r>
          <w:rPr/>
          <w:t>,</w:t>
        </w:r>
      </w:hyperlink>
      <w:r>
        <w:rPr>
          <w:spacing w:val="-2"/>
        </w:rPr>
        <w:t> </w:t>
      </w:r>
      <w:r>
        <w:rPr/>
        <w:t>particularly</w:t>
      </w:r>
      <w:r>
        <w:rPr>
          <w:spacing w:val="-3"/>
        </w:rPr>
        <w:t> </w:t>
      </w:r>
      <w:r>
        <w:rPr/>
        <w:t>with</w:t>
      </w:r>
      <w:r>
        <w:rPr>
          <w:spacing w:val="-2"/>
        </w:rPr>
        <w:t> </w:t>
      </w:r>
      <w:r>
        <w:rPr/>
        <w:t>respect</w:t>
      </w:r>
      <w:r>
        <w:rPr>
          <w:spacing w:val="-2"/>
        </w:rPr>
        <w:t> </w:t>
      </w:r>
      <w:r>
        <w:rPr/>
        <w:t>to</w:t>
      </w:r>
      <w:r>
        <w:rPr>
          <w:spacing w:val="-2"/>
        </w:rPr>
        <w:t> </w:t>
      </w:r>
      <w:r>
        <w:rPr/>
        <w:t>the</w:t>
      </w:r>
      <w:r>
        <w:rPr>
          <w:spacing w:val="-2"/>
        </w:rPr>
        <w:t> </w:t>
      </w:r>
      <w:r>
        <w:rPr/>
        <w:t>team</w:t>
      </w:r>
      <w:r>
        <w:rPr>
          <w:spacing w:val="-2"/>
        </w:rPr>
        <w:t> </w:t>
      </w:r>
      <w:r>
        <w:rPr/>
        <w:t>per- formance</w:t>
      </w:r>
      <w:r>
        <w:rPr>
          <w:spacing w:val="-3"/>
        </w:rPr>
        <w:t> </w:t>
      </w:r>
      <w:r>
        <w:rPr/>
        <w:t>insights,</w:t>
      </w:r>
      <w:r>
        <w:rPr>
          <w:spacing w:val="-1"/>
        </w:rPr>
        <w:t> </w:t>
      </w:r>
      <w:r>
        <w:rPr/>
        <w:t>which</w:t>
      </w:r>
      <w:r>
        <w:rPr>
          <w:spacing w:val="-3"/>
        </w:rPr>
        <w:t> </w:t>
      </w:r>
      <w:r>
        <w:rPr/>
        <w:t>were</w:t>
      </w:r>
      <w:r>
        <w:rPr>
          <w:spacing w:val="-2"/>
        </w:rPr>
        <w:t> </w:t>
      </w:r>
      <w:r>
        <w:rPr/>
        <w:t>considered</w:t>
      </w:r>
      <w:r>
        <w:rPr>
          <w:spacing w:val="-3"/>
        </w:rPr>
        <w:t> </w:t>
      </w:r>
      <w:r>
        <w:rPr/>
        <w:t>both</w:t>
      </w:r>
      <w:r>
        <w:rPr>
          <w:spacing w:val="-3"/>
        </w:rPr>
        <w:t> </w:t>
      </w:r>
      <w:r>
        <w:rPr/>
        <w:t>usable</w:t>
      </w:r>
      <w:r>
        <w:rPr>
          <w:spacing w:val="-2"/>
        </w:rPr>
        <w:t> </w:t>
      </w:r>
      <w:r>
        <w:rPr/>
        <w:t>and</w:t>
      </w:r>
      <w:r>
        <w:rPr>
          <w:spacing w:val="-3"/>
        </w:rPr>
        <w:t> </w:t>
      </w:r>
      <w:r>
        <w:rPr/>
        <w:t>reliable.</w:t>
      </w:r>
      <w:r>
        <w:rPr>
          <w:spacing w:val="22"/>
        </w:rPr>
        <w:t> </w:t>
      </w:r>
      <w:r>
        <w:rPr/>
        <w:t>However,</w:t>
      </w:r>
      <w:r>
        <w:rPr>
          <w:spacing w:val="-1"/>
        </w:rPr>
        <w:t> </w:t>
      </w:r>
      <w:r>
        <w:rPr/>
        <w:t>the</w:t>
      </w:r>
      <w:r>
        <w:rPr>
          <w:spacing w:val="-3"/>
        </w:rPr>
        <w:t> </w:t>
      </w:r>
      <w:r>
        <w:rPr/>
        <w:t>player ratings’ reliability was questioned.</w:t>
      </w:r>
      <w:r>
        <w:rPr>
          <w:spacing w:val="40"/>
        </w:rPr>
        <w:t> </w:t>
      </w:r>
      <w:r>
        <w:rPr/>
        <w:t>Together, the results of Chapters</w:t>
      </w:r>
      <w:r>
        <w:rPr>
          <w:color w:val="0000FF"/>
        </w:rPr>
        <w:t>3</w:t>
      </w:r>
      <w:r>
        <w:rPr/>
        <w:t>and</w:t>
      </w:r>
      <w:r>
        <w:rPr>
          <w:color w:val="0000FF"/>
        </w:rPr>
        <w:t>4</w:t>
      </w:r>
      <w:hyperlink w:history="true" w:anchor="_bookmark92">
        <w:r>
          <w:rPr/>
          <w:t>completely</w:t>
        </w:r>
      </w:hyperlink>
      <w:r>
        <w:rPr/>
        <w:t> fulfil</w:t>
      </w:r>
      <w:r>
        <w:rPr>
          <w:spacing w:val="-4"/>
        </w:rPr>
        <w:t> </w:t>
      </w:r>
      <w:r>
        <w:rPr/>
        <w:t>objectives</w:t>
      </w:r>
      <w:r>
        <w:rPr>
          <w:spacing w:val="-5"/>
        </w:rPr>
        <w:t> </w:t>
      </w:r>
      <w:r>
        <w:rPr/>
        <w:t>2</w:t>
      </w:r>
      <w:r>
        <w:rPr>
          <w:spacing w:val="-4"/>
        </w:rPr>
        <w:t> </w:t>
      </w:r>
      <w:r>
        <w:rPr/>
        <w:t>and</w:t>
      </w:r>
      <w:r>
        <w:rPr>
          <w:spacing w:val="-4"/>
        </w:rPr>
        <w:t> </w:t>
      </w:r>
      <w:r>
        <w:rPr/>
        <w:t>3</w:t>
      </w:r>
      <w:r>
        <w:rPr>
          <w:spacing w:val="-4"/>
        </w:rPr>
        <w:t> </w:t>
      </w:r>
      <w:r>
        <w:rPr/>
        <w:t>of</w:t>
      </w:r>
      <w:r>
        <w:rPr>
          <w:spacing w:val="-4"/>
        </w:rPr>
        <w:t> </w:t>
      </w:r>
      <w:r>
        <w:rPr/>
        <w:t>this</w:t>
      </w:r>
      <w:r>
        <w:rPr>
          <w:spacing w:val="-4"/>
        </w:rPr>
        <w:t> </w:t>
      </w:r>
      <w:r>
        <w:rPr/>
        <w:t>thesis</w:t>
      </w:r>
      <w:r>
        <w:rPr>
          <w:spacing w:val="-4"/>
        </w:rPr>
        <w:t> </w:t>
      </w:r>
      <w:r>
        <w:rPr/>
        <w:t>by</w:t>
      </w:r>
      <w:r>
        <w:rPr>
          <w:spacing w:val="-4"/>
        </w:rPr>
        <w:t> </w:t>
      </w:r>
      <w:r>
        <w:rPr/>
        <w:t>applying,</w:t>
      </w:r>
      <w:r>
        <w:rPr>
          <w:spacing w:val="-4"/>
        </w:rPr>
        <w:t> </w:t>
      </w:r>
      <w:r>
        <w:rPr/>
        <w:t>adapting</w:t>
      </w:r>
      <w:r>
        <w:rPr>
          <w:spacing w:val="-4"/>
        </w:rPr>
        <w:t> </w:t>
      </w:r>
      <w:r>
        <w:rPr/>
        <w:t>and</w:t>
      </w:r>
      <w:r>
        <w:rPr>
          <w:spacing w:val="-5"/>
        </w:rPr>
        <w:t> </w:t>
      </w:r>
      <w:r>
        <w:rPr/>
        <w:t>extending</w:t>
      </w:r>
      <w:r>
        <w:rPr>
          <w:spacing w:val="-4"/>
        </w:rPr>
        <w:t> </w:t>
      </w:r>
      <w:r>
        <w:rPr/>
        <w:t>previous</w:t>
      </w:r>
      <w:r>
        <w:rPr>
          <w:spacing w:val="-4"/>
        </w:rPr>
        <w:t> </w:t>
      </w:r>
      <w:r>
        <w:rPr/>
        <w:t>liter- ature.</w:t>
      </w:r>
      <w:r>
        <w:rPr>
          <w:spacing w:val="40"/>
        </w:rPr>
        <w:t> </w:t>
      </w:r>
      <w:r>
        <w:rPr/>
        <w:t>However, both studies were limited by their zone-based analyses, which reduced their reliability and usability in practice.</w:t>
      </w:r>
      <w:r>
        <w:rPr>
          <w:spacing w:val="32"/>
        </w:rPr>
        <w:t> </w:t>
      </w:r>
      <w:r>
        <w:rPr/>
        <w:t>It was therefore clear that adopting approaches which</w:t>
      </w:r>
      <w:r>
        <w:rPr>
          <w:spacing w:val="-15"/>
        </w:rPr>
        <w:t> </w:t>
      </w:r>
      <w:r>
        <w:rPr/>
        <w:t>provided</w:t>
      </w:r>
      <w:r>
        <w:rPr>
          <w:spacing w:val="-15"/>
        </w:rPr>
        <w:t> </w:t>
      </w:r>
      <w:r>
        <w:rPr/>
        <w:t>smooth</w:t>
      </w:r>
      <w:r>
        <w:rPr>
          <w:spacing w:val="-15"/>
        </w:rPr>
        <w:t> </w:t>
      </w:r>
      <w:r>
        <w:rPr/>
        <w:t>pitch</w:t>
      </w:r>
      <w:r>
        <w:rPr>
          <w:spacing w:val="-15"/>
        </w:rPr>
        <w:t> </w:t>
      </w:r>
      <w:r>
        <w:rPr/>
        <w:t>surfaces</w:t>
      </w:r>
      <w:r>
        <w:rPr>
          <w:spacing w:val="-15"/>
        </w:rPr>
        <w:t> </w:t>
      </w:r>
      <w:r>
        <w:rPr/>
        <w:t>was</w:t>
      </w:r>
      <w:r>
        <w:rPr>
          <w:spacing w:val="-15"/>
        </w:rPr>
        <w:t> </w:t>
      </w:r>
      <w:r>
        <w:rPr/>
        <w:t>necessary</w:t>
      </w:r>
      <w:r>
        <w:rPr>
          <w:spacing w:val="-15"/>
        </w:rPr>
        <w:t> </w:t>
      </w:r>
      <w:r>
        <w:rPr/>
        <w:t>when</w:t>
      </w:r>
      <w:r>
        <w:rPr>
          <w:spacing w:val="-15"/>
        </w:rPr>
        <w:t> </w:t>
      </w:r>
      <w:r>
        <w:rPr/>
        <w:t>novel</w:t>
      </w:r>
      <w:r>
        <w:rPr>
          <w:spacing w:val="-15"/>
        </w:rPr>
        <w:t> </w:t>
      </w:r>
      <w:r>
        <w:rPr/>
        <w:t>methodologies</w:t>
      </w:r>
      <w:r>
        <w:rPr>
          <w:spacing w:val="-15"/>
        </w:rPr>
        <w:t> </w:t>
      </w:r>
      <w:r>
        <w:rPr/>
        <w:t>and</w:t>
      </w:r>
      <w:r>
        <w:rPr>
          <w:spacing w:val="-15"/>
        </w:rPr>
        <w:t> </w:t>
      </w:r>
      <w:r>
        <w:rPr/>
        <w:t>met- rics were developed, to maximise their reliability and usability in practice.</w:t>
      </w:r>
    </w:p>
    <w:p>
      <w:pPr>
        <w:pStyle w:val="BodyText"/>
        <w:spacing w:before="2"/>
        <w:rPr>
          <w:sz w:val="34"/>
        </w:rPr>
      </w:pPr>
    </w:p>
    <w:p>
      <w:pPr>
        <w:pStyle w:val="Heading3"/>
        <w:numPr>
          <w:ilvl w:val="2"/>
          <w:numId w:val="26"/>
        </w:numPr>
        <w:tabs>
          <w:tab w:pos="1471" w:val="left" w:leader="none"/>
          <w:tab w:pos="1472" w:val="left" w:leader="none"/>
        </w:tabs>
        <w:spacing w:line="331" w:lineRule="auto" w:before="0" w:after="0"/>
        <w:ind w:left="1471" w:right="389" w:hanging="861"/>
        <w:jc w:val="left"/>
      </w:pPr>
      <w:bookmarkStart w:name="7.2.3 Kernel Density Estimation and Wass" w:id="373"/>
      <w:bookmarkEnd w:id="373"/>
      <w:r>
        <w:rPr>
          <w:b w:val="0"/>
        </w:rPr>
      </w:r>
      <w:bookmarkStart w:name="_bookmark219" w:id="374"/>
      <w:bookmarkEnd w:id="374"/>
      <w:r>
        <w:rPr/>
        <w:t>K</w:t>
      </w:r>
      <w:r>
        <w:rPr/>
        <w:t>ernel Density Estimation and Wasserstein Distance </w:t>
      </w:r>
      <w:r>
        <w:rPr/>
        <w:t>Evalua-</w:t>
      </w:r>
      <w:r>
        <w:rPr>
          <w:spacing w:val="80"/>
          <w:w w:val="150"/>
        </w:rPr>
        <w:t> </w:t>
      </w:r>
      <w:r>
        <w:rPr/>
        <w:t>tion of the Spatial Trends of Team Attacking Performances</w:t>
      </w:r>
    </w:p>
    <w:p>
      <w:pPr>
        <w:pStyle w:val="BodyText"/>
        <w:spacing w:line="312" w:lineRule="auto" w:before="114"/>
        <w:ind w:left="610" w:right="389"/>
      </w:pPr>
      <w:r>
        <w:rPr/>
        <w:t>The key issue with the zone-based analyses conducted in Chapters</w:t>
      </w:r>
      <w:r>
        <w:rPr>
          <w:color w:val="0000FF"/>
        </w:rPr>
        <w:t>3</w:t>
      </w:r>
      <w:r>
        <w:rPr/>
        <w:t>and</w:t>
      </w:r>
      <w:r>
        <w:rPr>
          <w:color w:val="0000FF"/>
        </w:rPr>
        <w:t>4</w:t>
      </w:r>
      <w:hyperlink w:history="true" w:anchor="_bookmark92">
        <w:r>
          <w:rPr/>
          <w:t>w</w:t>
        </w:r>
      </w:hyperlink>
      <w:r>
        <w:rPr/>
        <w:t>as the size of the zones.</w:t>
      </w:r>
      <w:r>
        <w:rPr>
          <w:spacing w:val="29"/>
        </w:rPr>
        <w:t> </w:t>
      </w:r>
      <w:r>
        <w:rPr/>
        <w:t>This was shown by the player ratings systems, where a player could run 59m towards the opposition try line and receive the same action value as a player who was</w:t>
      </w:r>
      <w:r>
        <w:rPr>
          <w:spacing w:val="80"/>
        </w:rPr>
        <w:t> </w:t>
      </w:r>
      <w:r>
        <w:rPr/>
        <w:t>forced</w:t>
      </w:r>
      <w:r>
        <w:rPr>
          <w:spacing w:val="12"/>
        </w:rPr>
        <w:t> </w:t>
      </w:r>
      <w:r>
        <w:rPr/>
        <w:t>10m</w:t>
      </w:r>
      <w:r>
        <w:rPr>
          <w:spacing w:val="12"/>
        </w:rPr>
        <w:t> </w:t>
      </w:r>
      <w:r>
        <w:rPr/>
        <w:t>backwards</w:t>
      </w:r>
      <w:r>
        <w:rPr>
          <w:spacing w:val="12"/>
        </w:rPr>
        <w:t> </w:t>
      </w:r>
      <w:r>
        <w:rPr/>
        <w:t>if</w:t>
      </w:r>
      <w:r>
        <w:rPr>
          <w:spacing w:val="12"/>
        </w:rPr>
        <w:t> </w:t>
      </w:r>
      <w:r>
        <w:rPr/>
        <w:t>both</w:t>
      </w:r>
      <w:r>
        <w:rPr>
          <w:spacing w:val="12"/>
        </w:rPr>
        <w:t> </w:t>
      </w:r>
      <w:r>
        <w:rPr/>
        <w:t>players</w:t>
      </w:r>
      <w:r>
        <w:rPr>
          <w:spacing w:val="13"/>
        </w:rPr>
        <w:t> </w:t>
      </w:r>
      <w:r>
        <w:rPr/>
        <w:t>started</w:t>
      </w:r>
      <w:r>
        <w:rPr>
          <w:spacing w:val="12"/>
        </w:rPr>
        <w:t> </w:t>
      </w:r>
      <w:r>
        <w:rPr/>
        <w:t>and</w:t>
      </w:r>
      <w:r>
        <w:rPr>
          <w:spacing w:val="12"/>
        </w:rPr>
        <w:t> </w:t>
      </w:r>
      <w:r>
        <w:rPr/>
        <w:t>ended</w:t>
      </w:r>
      <w:r>
        <w:rPr>
          <w:spacing w:val="12"/>
        </w:rPr>
        <w:t> </w:t>
      </w:r>
      <w:r>
        <w:rPr/>
        <w:t>in</w:t>
      </w:r>
      <w:r>
        <w:rPr>
          <w:spacing w:val="12"/>
        </w:rPr>
        <w:t> </w:t>
      </w:r>
      <w:r>
        <w:rPr/>
        <w:t>the</w:t>
      </w:r>
      <w:r>
        <w:rPr>
          <w:spacing w:val="13"/>
        </w:rPr>
        <w:t> </w:t>
      </w:r>
      <w:r>
        <w:rPr/>
        <w:t>same</w:t>
      </w:r>
      <w:r>
        <w:rPr>
          <w:spacing w:val="12"/>
        </w:rPr>
        <w:t> </w:t>
      </w:r>
      <w:r>
        <w:rPr/>
        <w:t>zone.</w:t>
      </w:r>
      <w:r>
        <w:rPr>
          <w:spacing w:val="58"/>
        </w:rPr>
        <w:t> </w:t>
      </w:r>
      <w:r>
        <w:rPr/>
        <w:t>The</w:t>
      </w:r>
      <w:r>
        <w:rPr>
          <w:spacing w:val="12"/>
        </w:rPr>
        <w:t> </w:t>
      </w:r>
      <w:r>
        <w:rPr>
          <w:spacing w:val="-2"/>
        </w:rPr>
        <w:t>logical</w:t>
      </w:r>
    </w:p>
    <w:p>
      <w:pPr>
        <w:spacing w:after="0" w:line="312" w:lineRule="auto"/>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pPr>
      <w:r>
        <w:rPr/>
        <w:t>solution to this valuation problem was to provide a smooth pitch surface, which valued every location on the pitch differently.</w:t>
      </w:r>
      <w:r>
        <w:rPr>
          <w:spacing w:val="40"/>
        </w:rPr>
        <w:t> </w:t>
      </w:r>
      <w:r>
        <w:rPr/>
        <w:t>Chapter</w:t>
      </w:r>
      <w:r>
        <w:rPr>
          <w:color w:val="0000FF"/>
        </w:rPr>
        <w:t>5</w:t>
      </w:r>
      <w:r>
        <w:rPr/>
        <w:t>began this process by simplifying the research</w:t>
      </w:r>
      <w:r>
        <w:rPr>
          <w:spacing w:val="-3"/>
        </w:rPr>
        <w:t> </w:t>
      </w:r>
      <w:r>
        <w:rPr/>
        <w:t>question</w:t>
      </w:r>
      <w:r>
        <w:rPr>
          <w:spacing w:val="-3"/>
        </w:rPr>
        <w:t> </w:t>
      </w:r>
      <w:r>
        <w:rPr/>
        <w:t>to</w:t>
      </w:r>
      <w:r>
        <w:rPr>
          <w:spacing w:val="-3"/>
        </w:rPr>
        <w:t> </w:t>
      </w:r>
      <w:r>
        <w:rPr/>
        <w:t>consider</w:t>
      </w:r>
      <w:r>
        <w:rPr>
          <w:spacing w:val="-3"/>
        </w:rPr>
        <w:t> </w:t>
      </w:r>
      <w:r>
        <w:rPr/>
        <w:t>only</w:t>
      </w:r>
      <w:r>
        <w:rPr>
          <w:spacing w:val="-3"/>
        </w:rPr>
        <w:t> </w:t>
      </w:r>
      <w:r>
        <w:rPr/>
        <w:t>the</w:t>
      </w:r>
      <w:r>
        <w:rPr>
          <w:spacing w:val="-3"/>
        </w:rPr>
        <w:t> </w:t>
      </w:r>
      <w:r>
        <w:rPr/>
        <w:t>location</w:t>
      </w:r>
      <w:r>
        <w:rPr>
          <w:spacing w:val="-3"/>
        </w:rPr>
        <w:t> </w:t>
      </w:r>
      <w:r>
        <w:rPr/>
        <w:t>of</w:t>
      </w:r>
      <w:r>
        <w:rPr>
          <w:spacing w:val="-3"/>
        </w:rPr>
        <w:t> </w:t>
      </w:r>
      <w:r>
        <w:rPr/>
        <w:t>actions</w:t>
      </w:r>
      <w:r>
        <w:rPr>
          <w:spacing w:val="-3"/>
        </w:rPr>
        <w:t> </w:t>
      </w:r>
      <w:r>
        <w:rPr/>
        <w:t>on</w:t>
      </w:r>
      <w:r>
        <w:rPr>
          <w:spacing w:val="-3"/>
        </w:rPr>
        <w:t> </w:t>
      </w:r>
      <w:r>
        <w:rPr/>
        <w:t>the</w:t>
      </w:r>
      <w:r>
        <w:rPr>
          <w:spacing w:val="-3"/>
        </w:rPr>
        <w:t> </w:t>
      </w:r>
      <w:r>
        <w:rPr/>
        <w:t>pitch,</w:t>
      </w:r>
      <w:r>
        <w:rPr>
          <w:spacing w:val="-3"/>
        </w:rPr>
        <w:t> </w:t>
      </w:r>
      <w:r>
        <w:rPr/>
        <w:t>not</w:t>
      </w:r>
      <w:r>
        <w:rPr>
          <w:spacing w:val="-3"/>
        </w:rPr>
        <w:t> </w:t>
      </w:r>
      <w:r>
        <w:rPr/>
        <w:t>the</w:t>
      </w:r>
      <w:r>
        <w:rPr>
          <w:spacing w:val="-3"/>
        </w:rPr>
        <w:t> </w:t>
      </w:r>
      <w:r>
        <w:rPr/>
        <w:t>value</w:t>
      </w:r>
      <w:r>
        <w:rPr>
          <w:spacing w:val="-3"/>
        </w:rPr>
        <w:t> </w:t>
      </w:r>
      <w:r>
        <w:rPr/>
        <w:t>gen- erated</w:t>
      </w:r>
      <w:r>
        <w:rPr>
          <w:spacing w:val="-7"/>
        </w:rPr>
        <w:t> </w:t>
      </w:r>
      <w:r>
        <w:rPr/>
        <w:t>by</w:t>
      </w:r>
      <w:r>
        <w:rPr>
          <w:spacing w:val="-7"/>
        </w:rPr>
        <w:t> </w:t>
      </w:r>
      <w:r>
        <w:rPr/>
        <w:t>the</w:t>
      </w:r>
      <w:r>
        <w:rPr>
          <w:spacing w:val="-7"/>
        </w:rPr>
        <w:t> </w:t>
      </w:r>
      <w:r>
        <w:rPr/>
        <w:t>action</w:t>
      </w:r>
      <w:r>
        <w:rPr>
          <w:spacing w:val="-7"/>
        </w:rPr>
        <w:t> </w:t>
      </w:r>
      <w:r>
        <w:rPr/>
        <w:t>or</w:t>
      </w:r>
      <w:r>
        <w:rPr>
          <w:spacing w:val="-7"/>
        </w:rPr>
        <w:t> </w:t>
      </w:r>
      <w:r>
        <w:rPr/>
        <w:t>location. Adapting</w:t>
      </w:r>
      <w:r>
        <w:rPr>
          <w:spacing w:val="-7"/>
        </w:rPr>
        <w:t> </w:t>
      </w:r>
      <w:r>
        <w:rPr/>
        <w:t>ideas</w:t>
      </w:r>
      <w:r>
        <w:rPr>
          <w:spacing w:val="-7"/>
        </w:rPr>
        <w:t> </w:t>
      </w:r>
      <w:r>
        <w:rPr/>
        <w:t>previously</w:t>
      </w:r>
      <w:r>
        <w:rPr>
          <w:spacing w:val="-7"/>
        </w:rPr>
        <w:t> </w:t>
      </w:r>
      <w:r>
        <w:rPr/>
        <w:t>considered</w:t>
      </w:r>
      <w:r>
        <w:rPr>
          <w:spacing w:val="-7"/>
        </w:rPr>
        <w:t> </w:t>
      </w:r>
      <w:r>
        <w:rPr/>
        <w:t>at</w:t>
      </w:r>
      <w:r>
        <w:rPr>
          <w:spacing w:val="-7"/>
        </w:rPr>
        <w:t> </w:t>
      </w:r>
      <w:r>
        <w:rPr/>
        <w:t>a</w:t>
      </w:r>
      <w:r>
        <w:rPr>
          <w:spacing w:val="-7"/>
        </w:rPr>
        <w:t> </w:t>
      </w:r>
      <w:r>
        <w:rPr/>
        <w:t>player</w:t>
      </w:r>
      <w:r>
        <w:rPr>
          <w:spacing w:val="-7"/>
        </w:rPr>
        <w:t> </w:t>
      </w:r>
      <w:r>
        <w:rPr/>
        <w:t>level</w:t>
      </w:r>
      <w:r>
        <w:rPr>
          <w:spacing w:val="-7"/>
        </w:rPr>
        <w:t> </w:t>
      </w:r>
      <w:r>
        <w:rPr/>
        <w:t>in American football (</w:t>
      </w:r>
      <w:hyperlink w:history="true" w:anchor="_bookmark271">
        <w:r>
          <w:rPr>
            <w:color w:val="FF0000"/>
          </w:rPr>
          <w:t>Mallepalle et al.</w:t>
        </w:r>
      </w:hyperlink>
      <w:r>
        <w:rPr/>
        <w:t>,</w:t>
      </w:r>
      <w:hyperlink w:history="true" w:anchor="_bookmark271">
        <w:r>
          <w:rPr>
            <w:color w:val="FF0000"/>
          </w:rPr>
          <w:t>2020</w:t>
        </w:r>
      </w:hyperlink>
      <w:r>
        <w:rPr/>
        <w:t>), Kernel Density Estimation was used to pro- vide</w:t>
      </w:r>
      <w:r>
        <w:rPr>
          <w:spacing w:val="-13"/>
        </w:rPr>
        <w:t> </w:t>
      </w:r>
      <w:r>
        <w:rPr/>
        <w:t>a</w:t>
      </w:r>
      <w:r>
        <w:rPr>
          <w:spacing w:val="-12"/>
        </w:rPr>
        <w:t> </w:t>
      </w:r>
      <w:r>
        <w:rPr/>
        <w:t>smooth</w:t>
      </w:r>
      <w:r>
        <w:rPr>
          <w:spacing w:val="-13"/>
        </w:rPr>
        <w:t> </w:t>
      </w:r>
      <w:r>
        <w:rPr/>
        <w:t>pitch</w:t>
      </w:r>
      <w:r>
        <w:rPr>
          <w:spacing w:val="-12"/>
        </w:rPr>
        <w:t> </w:t>
      </w:r>
      <w:r>
        <w:rPr/>
        <w:t>surface</w:t>
      </w:r>
      <w:r>
        <w:rPr>
          <w:spacing w:val="-13"/>
        </w:rPr>
        <w:t> </w:t>
      </w:r>
      <w:r>
        <w:rPr/>
        <w:t>describing</w:t>
      </w:r>
      <w:r>
        <w:rPr>
          <w:spacing w:val="-12"/>
        </w:rPr>
        <w:t> </w:t>
      </w:r>
      <w:r>
        <w:rPr/>
        <w:t>the</w:t>
      </w:r>
      <w:r>
        <w:rPr>
          <w:spacing w:val="-13"/>
        </w:rPr>
        <w:t> </w:t>
      </w:r>
      <w:r>
        <w:rPr/>
        <w:t>probability</w:t>
      </w:r>
      <w:r>
        <w:rPr>
          <w:spacing w:val="-12"/>
        </w:rPr>
        <w:t> </w:t>
      </w:r>
      <w:r>
        <w:rPr/>
        <w:t>of</w:t>
      </w:r>
      <w:r>
        <w:rPr>
          <w:spacing w:val="-13"/>
        </w:rPr>
        <w:t> </w:t>
      </w:r>
      <w:r>
        <w:rPr/>
        <w:t>a</w:t>
      </w:r>
      <w:r>
        <w:rPr>
          <w:spacing w:val="-12"/>
        </w:rPr>
        <w:t> </w:t>
      </w:r>
      <w:r>
        <w:rPr/>
        <w:t>team</w:t>
      </w:r>
      <w:r>
        <w:rPr>
          <w:spacing w:val="-13"/>
        </w:rPr>
        <w:t> </w:t>
      </w:r>
      <w:r>
        <w:rPr/>
        <w:t>controlling</w:t>
      </w:r>
      <w:r>
        <w:rPr>
          <w:spacing w:val="-13"/>
        </w:rPr>
        <w:t> </w:t>
      </w:r>
      <w:r>
        <w:rPr/>
        <w:t>the</w:t>
      </w:r>
      <w:r>
        <w:rPr>
          <w:spacing w:val="-12"/>
        </w:rPr>
        <w:t> </w:t>
      </w:r>
      <w:r>
        <w:rPr/>
        <w:t>ball</w:t>
      </w:r>
      <w:r>
        <w:rPr>
          <w:spacing w:val="-13"/>
        </w:rPr>
        <w:t> </w:t>
      </w:r>
      <w:r>
        <w:rPr/>
        <w:t>in</w:t>
      </w:r>
      <w:r>
        <w:rPr>
          <w:spacing w:val="-12"/>
        </w:rPr>
        <w:t> </w:t>
      </w:r>
      <w:r>
        <w:rPr/>
        <w:t>any given location.</w:t>
      </w:r>
      <w:r>
        <w:rPr>
          <w:spacing w:val="27"/>
        </w:rPr>
        <w:t> </w:t>
      </w:r>
      <w:r>
        <w:rPr/>
        <w:t>By using a standardised bandwidth at three levels of data (whole league, team overall and team-opponent subsets), it was possible to provide direct comparisons regarding</w:t>
      </w:r>
      <w:r>
        <w:rPr>
          <w:spacing w:val="-11"/>
        </w:rPr>
        <w:t> </w:t>
      </w:r>
      <w:r>
        <w:rPr/>
        <w:t>the</w:t>
      </w:r>
      <w:r>
        <w:rPr>
          <w:spacing w:val="-11"/>
        </w:rPr>
        <w:t> </w:t>
      </w:r>
      <w:r>
        <w:rPr/>
        <w:t>spatial</w:t>
      </w:r>
      <w:r>
        <w:rPr>
          <w:spacing w:val="-11"/>
        </w:rPr>
        <w:t> </w:t>
      </w:r>
      <w:r>
        <w:rPr/>
        <w:t>trends</w:t>
      </w:r>
      <w:r>
        <w:rPr>
          <w:spacing w:val="-11"/>
        </w:rPr>
        <w:t> </w:t>
      </w:r>
      <w:r>
        <w:rPr/>
        <w:t>of</w:t>
      </w:r>
      <w:r>
        <w:rPr>
          <w:spacing w:val="-11"/>
        </w:rPr>
        <w:t> </w:t>
      </w:r>
      <w:r>
        <w:rPr/>
        <w:t>team</w:t>
      </w:r>
      <w:r>
        <w:rPr>
          <w:spacing w:val="-11"/>
        </w:rPr>
        <w:t> </w:t>
      </w:r>
      <w:r>
        <w:rPr/>
        <w:t>attacking</w:t>
      </w:r>
      <w:r>
        <w:rPr>
          <w:spacing w:val="-11"/>
        </w:rPr>
        <w:t> </w:t>
      </w:r>
      <w:r>
        <w:rPr/>
        <w:t>performances</w:t>
      </w:r>
      <w:r>
        <w:rPr>
          <w:spacing w:val="-11"/>
        </w:rPr>
        <w:t> </w:t>
      </w:r>
      <w:r>
        <w:rPr/>
        <w:t>between</w:t>
      </w:r>
      <w:r>
        <w:rPr>
          <w:spacing w:val="-11"/>
        </w:rPr>
        <w:t> </w:t>
      </w:r>
      <w:r>
        <w:rPr/>
        <w:t>and</w:t>
      </w:r>
      <w:r>
        <w:rPr>
          <w:spacing w:val="-11"/>
        </w:rPr>
        <w:t> </w:t>
      </w:r>
      <w:r>
        <w:rPr/>
        <w:t>within</w:t>
      </w:r>
      <w:r>
        <w:rPr>
          <w:spacing w:val="-11"/>
        </w:rPr>
        <w:t> </w:t>
      </w:r>
      <w:r>
        <w:rPr/>
        <w:t>teams</w:t>
      </w:r>
      <w:r>
        <w:rPr>
          <w:spacing w:val="-11"/>
        </w:rPr>
        <w:t> </w:t>
      </w:r>
      <w:r>
        <w:rPr/>
        <w:t>for the</w:t>
      </w:r>
      <w:r>
        <w:rPr>
          <w:spacing w:val="-6"/>
        </w:rPr>
        <w:t> </w:t>
      </w:r>
      <w:r>
        <w:rPr/>
        <w:t>first</w:t>
      </w:r>
      <w:r>
        <w:rPr>
          <w:spacing w:val="-6"/>
        </w:rPr>
        <w:t> </w:t>
      </w:r>
      <w:r>
        <w:rPr/>
        <w:t>time. The</w:t>
      </w:r>
      <w:r>
        <w:rPr>
          <w:spacing w:val="-7"/>
        </w:rPr>
        <w:t> </w:t>
      </w:r>
      <w:r>
        <w:rPr/>
        <w:t>work</w:t>
      </w:r>
      <w:r>
        <w:rPr>
          <w:spacing w:val="-6"/>
        </w:rPr>
        <w:t> </w:t>
      </w:r>
      <w:r>
        <w:rPr/>
        <w:t>of</w:t>
      </w:r>
      <w:hyperlink w:history="true" w:anchor="_bookmark271">
        <w:r>
          <w:rPr>
            <w:color w:val="FF0000"/>
          </w:rPr>
          <w:t>Mallepalle</w:t>
        </w:r>
        <w:r>
          <w:rPr>
            <w:color w:val="FF0000"/>
            <w:spacing w:val="-6"/>
          </w:rPr>
          <w:t> </w:t>
        </w:r>
        <w:r>
          <w:rPr>
            <w:color w:val="FF0000"/>
          </w:rPr>
          <w:t>et</w:t>
        </w:r>
        <w:r>
          <w:rPr>
            <w:color w:val="FF0000"/>
            <w:spacing w:val="-6"/>
          </w:rPr>
          <w:t> </w:t>
        </w:r>
        <w:r>
          <w:rPr>
            <w:color w:val="FF0000"/>
          </w:rPr>
          <w:t>al.</w:t>
        </w:r>
        <w:r>
          <w:rPr/>
          <w:t>(</w:t>
        </w:r>
      </w:hyperlink>
      <w:hyperlink w:history="true" w:anchor="_bookmark271">
        <w:r>
          <w:rPr>
            <w:color w:val="FF0000"/>
          </w:rPr>
          <w:t>2020</w:t>
        </w:r>
        <w:r>
          <w:rPr/>
          <w:t>)</w:t>
        </w:r>
      </w:hyperlink>
      <w:r>
        <w:rPr>
          <w:spacing w:val="-6"/>
        </w:rPr>
        <w:t> </w:t>
      </w:r>
      <w:r>
        <w:rPr/>
        <w:t>was</w:t>
      </w:r>
      <w:r>
        <w:rPr>
          <w:spacing w:val="-7"/>
        </w:rPr>
        <w:t> </w:t>
      </w:r>
      <w:r>
        <w:rPr/>
        <w:t>extended</w:t>
      </w:r>
      <w:r>
        <w:rPr>
          <w:spacing w:val="-6"/>
        </w:rPr>
        <w:t> </w:t>
      </w:r>
      <w:r>
        <w:rPr/>
        <w:t>by</w:t>
      </w:r>
      <w:r>
        <w:rPr>
          <w:spacing w:val="-6"/>
        </w:rPr>
        <w:t> </w:t>
      </w:r>
      <w:r>
        <w:rPr/>
        <w:t>developing</w:t>
      </w:r>
      <w:r>
        <w:rPr>
          <w:spacing w:val="-6"/>
        </w:rPr>
        <w:t> </w:t>
      </w:r>
      <w:r>
        <w:rPr/>
        <w:t>two</w:t>
      </w:r>
      <w:r>
        <w:rPr>
          <w:spacing w:val="-6"/>
        </w:rPr>
        <w:t> </w:t>
      </w:r>
      <w:r>
        <w:rPr/>
        <w:t>novel metrics</w:t>
      </w:r>
      <w:r>
        <w:rPr>
          <w:spacing w:val="-6"/>
        </w:rPr>
        <w:t> </w:t>
      </w:r>
      <w:r>
        <w:rPr/>
        <w:t>from</w:t>
      </w:r>
      <w:r>
        <w:rPr>
          <w:spacing w:val="-6"/>
        </w:rPr>
        <w:t> </w:t>
      </w:r>
      <w:r>
        <w:rPr/>
        <w:t>the</w:t>
      </w:r>
      <w:r>
        <w:rPr>
          <w:spacing w:val="-6"/>
        </w:rPr>
        <w:t> </w:t>
      </w:r>
      <w:r>
        <w:rPr/>
        <w:t>Wasserstein</w:t>
      </w:r>
      <w:r>
        <w:rPr>
          <w:spacing w:val="-6"/>
        </w:rPr>
        <w:t> </w:t>
      </w:r>
      <w:r>
        <w:rPr/>
        <w:t>distance</w:t>
      </w:r>
      <w:r>
        <w:rPr>
          <w:spacing w:val="-6"/>
        </w:rPr>
        <w:t> </w:t>
      </w:r>
      <w:r>
        <w:rPr/>
        <w:t>to</w:t>
      </w:r>
      <w:r>
        <w:rPr>
          <w:spacing w:val="-6"/>
        </w:rPr>
        <w:t> </w:t>
      </w:r>
      <w:r>
        <w:rPr/>
        <w:t>provide</w:t>
      </w:r>
      <w:r>
        <w:rPr>
          <w:spacing w:val="-6"/>
        </w:rPr>
        <w:t> </w:t>
      </w:r>
      <w:r>
        <w:rPr/>
        <w:t>these</w:t>
      </w:r>
      <w:r>
        <w:rPr>
          <w:spacing w:val="-6"/>
        </w:rPr>
        <w:t> </w:t>
      </w:r>
      <w:r>
        <w:rPr/>
        <w:t>comparisons: the</w:t>
      </w:r>
      <w:r>
        <w:rPr>
          <w:spacing w:val="-6"/>
        </w:rPr>
        <w:t> </w:t>
      </w:r>
      <w:r>
        <w:rPr/>
        <w:t>normalised</w:t>
      </w:r>
      <w:r>
        <w:rPr>
          <w:spacing w:val="-6"/>
        </w:rPr>
        <w:t> </w:t>
      </w:r>
      <w:r>
        <w:rPr/>
        <w:t>axis Wasserstein distance and the directional Wasserstein distance.</w:t>
      </w:r>
      <w:r>
        <w:rPr>
          <w:spacing w:val="71"/>
        </w:rPr>
        <w:t> </w:t>
      </w:r>
      <w:r>
        <w:rPr/>
        <w:t>Together,</w:t>
      </w:r>
      <w:r>
        <w:rPr>
          <w:spacing w:val="19"/>
        </w:rPr>
        <w:t> </w:t>
      </w:r>
      <w:r>
        <w:rPr/>
        <w:t>these metrics were</w:t>
      </w:r>
      <w:r>
        <w:rPr>
          <w:spacing w:val="-6"/>
        </w:rPr>
        <w:t> </w:t>
      </w:r>
      <w:r>
        <w:rPr/>
        <w:t>able</w:t>
      </w:r>
      <w:r>
        <w:rPr>
          <w:spacing w:val="-6"/>
        </w:rPr>
        <w:t> </w:t>
      </w:r>
      <w:r>
        <w:rPr/>
        <w:t>to</w:t>
      </w:r>
      <w:r>
        <w:rPr>
          <w:spacing w:val="-6"/>
        </w:rPr>
        <w:t> </w:t>
      </w:r>
      <w:r>
        <w:rPr/>
        <w:t>visualise</w:t>
      </w:r>
      <w:r>
        <w:rPr>
          <w:spacing w:val="-6"/>
        </w:rPr>
        <w:t> </w:t>
      </w:r>
      <w:r>
        <w:rPr/>
        <w:t>the</w:t>
      </w:r>
      <w:r>
        <w:rPr>
          <w:spacing w:val="-6"/>
        </w:rPr>
        <w:t> </w:t>
      </w:r>
      <w:r>
        <w:rPr/>
        <w:t>direction</w:t>
      </w:r>
      <w:r>
        <w:rPr>
          <w:spacing w:val="-6"/>
        </w:rPr>
        <w:t> </w:t>
      </w:r>
      <w:r>
        <w:rPr/>
        <w:t>or</w:t>
      </w:r>
      <w:r>
        <w:rPr>
          <w:spacing w:val="-6"/>
        </w:rPr>
        <w:t> </w:t>
      </w:r>
      <w:r>
        <w:rPr/>
        <w:t>axis</w:t>
      </w:r>
      <w:r>
        <w:rPr>
          <w:spacing w:val="-6"/>
        </w:rPr>
        <w:t> </w:t>
      </w:r>
      <w:r>
        <w:rPr/>
        <w:t>along</w:t>
      </w:r>
      <w:r>
        <w:rPr>
          <w:spacing w:val="-6"/>
        </w:rPr>
        <w:t> </w:t>
      </w:r>
      <w:r>
        <w:rPr/>
        <w:t>which</w:t>
      </w:r>
      <w:r>
        <w:rPr>
          <w:spacing w:val="-6"/>
        </w:rPr>
        <w:t> </w:t>
      </w:r>
      <w:r>
        <w:rPr/>
        <w:t>teams</w:t>
      </w:r>
      <w:r>
        <w:rPr>
          <w:spacing w:val="-6"/>
        </w:rPr>
        <w:t> </w:t>
      </w:r>
      <w:r>
        <w:rPr/>
        <w:t>differed</w:t>
      </w:r>
      <w:r>
        <w:rPr>
          <w:spacing w:val="-6"/>
        </w:rPr>
        <w:t> </w:t>
      </w:r>
      <w:r>
        <w:rPr/>
        <w:t>from</w:t>
      </w:r>
      <w:r>
        <w:rPr>
          <w:spacing w:val="-6"/>
        </w:rPr>
        <w:t> </w:t>
      </w:r>
      <w:r>
        <w:rPr/>
        <w:t>each</w:t>
      </w:r>
      <w:r>
        <w:rPr>
          <w:spacing w:val="-6"/>
        </w:rPr>
        <w:t> </w:t>
      </w:r>
      <w:r>
        <w:rPr/>
        <w:t>other</w:t>
      </w:r>
      <w:r>
        <w:rPr>
          <w:spacing w:val="-6"/>
        </w:rPr>
        <w:t> </w:t>
      </w:r>
      <w:r>
        <w:rPr/>
        <w:t>in simple quadrant plots, which could be used for benchmarking purposes.</w:t>
      </w:r>
      <w:r>
        <w:rPr>
          <w:spacing w:val="40"/>
        </w:rPr>
        <w:t> </w:t>
      </w:r>
      <w:r>
        <w:rPr/>
        <w:t>The work was presented at UKCI and to coaches at Leeds Rhinos Rugby League club who were ex-</w:t>
      </w:r>
      <w:r>
        <w:rPr>
          <w:spacing w:val="80"/>
          <w:w w:val="150"/>
        </w:rPr>
        <w:t> </w:t>
      </w:r>
      <w:r>
        <w:rPr/>
        <w:t>tremely</w:t>
      </w:r>
      <w:r>
        <w:rPr>
          <w:spacing w:val="-3"/>
        </w:rPr>
        <w:t> </w:t>
      </w:r>
      <w:r>
        <w:rPr/>
        <w:t>complimentary</w:t>
      </w:r>
      <w:r>
        <w:rPr>
          <w:spacing w:val="-3"/>
        </w:rPr>
        <w:t> </w:t>
      </w:r>
      <w:r>
        <w:rPr/>
        <w:t>and</w:t>
      </w:r>
      <w:r>
        <w:rPr>
          <w:spacing w:val="-3"/>
        </w:rPr>
        <w:t> </w:t>
      </w:r>
      <w:r>
        <w:rPr/>
        <w:t>provided</w:t>
      </w:r>
      <w:r>
        <w:rPr>
          <w:spacing w:val="-3"/>
        </w:rPr>
        <w:t> </w:t>
      </w:r>
      <w:r>
        <w:rPr/>
        <w:t>an</w:t>
      </w:r>
      <w:r>
        <w:rPr>
          <w:spacing w:val="-3"/>
        </w:rPr>
        <w:t> </w:t>
      </w:r>
      <w:r>
        <w:rPr/>
        <w:t>impact</w:t>
      </w:r>
      <w:r>
        <w:rPr>
          <w:spacing w:val="-3"/>
        </w:rPr>
        <w:t> </w:t>
      </w:r>
      <w:r>
        <w:rPr/>
        <w:t>statement</w:t>
      </w:r>
      <w:r>
        <w:rPr>
          <w:spacing w:val="-3"/>
        </w:rPr>
        <w:t> </w:t>
      </w:r>
      <w:r>
        <w:rPr/>
        <w:t>surrounding</w:t>
      </w:r>
      <w:r>
        <w:rPr>
          <w:spacing w:val="-3"/>
        </w:rPr>
        <w:t> </w:t>
      </w:r>
      <w:r>
        <w:rPr/>
        <w:t>its</w:t>
      </w:r>
      <w:r>
        <w:rPr>
          <w:spacing w:val="-3"/>
        </w:rPr>
        <w:t> </w:t>
      </w:r>
      <w:r>
        <w:rPr/>
        <w:t>use</w:t>
      </w:r>
      <w:r>
        <w:rPr>
          <w:spacing w:val="-3"/>
        </w:rPr>
        <w:t> </w:t>
      </w:r>
      <w:r>
        <w:rPr/>
        <w:t>in</w:t>
      </w:r>
      <w:r>
        <w:rPr>
          <w:spacing w:val="-3"/>
        </w:rPr>
        <w:t> </w:t>
      </w:r>
      <w:r>
        <w:rPr/>
        <w:t>practice </w:t>
      </w:r>
      <w:r>
        <w:rPr>
          <w:spacing w:val="-2"/>
        </w:rPr>
        <w:t>(Appendix</w:t>
      </w:r>
      <w:r>
        <w:rPr>
          <w:color w:val="0000FF"/>
          <w:spacing w:val="-2"/>
        </w:rPr>
        <w:t>D</w:t>
      </w:r>
      <w:r>
        <w:rPr>
          <w:spacing w:val="-2"/>
        </w:rPr>
        <w:t>).</w:t>
      </w:r>
    </w:p>
    <w:p>
      <w:pPr>
        <w:pStyle w:val="BodyText"/>
        <w:spacing w:line="312" w:lineRule="auto"/>
        <w:ind w:left="610" w:right="389" w:firstLine="351"/>
      </w:pPr>
      <w:r>
        <w:rPr/>
        <w:t>The</w:t>
      </w:r>
      <w:r>
        <w:rPr>
          <w:spacing w:val="-11"/>
        </w:rPr>
        <w:t> </w:t>
      </w:r>
      <w:r>
        <w:rPr/>
        <w:t>results</w:t>
      </w:r>
      <w:r>
        <w:rPr>
          <w:spacing w:val="-11"/>
        </w:rPr>
        <w:t> </w:t>
      </w:r>
      <w:r>
        <w:rPr/>
        <w:t>of</w:t>
      </w:r>
      <w:r>
        <w:rPr>
          <w:spacing w:val="-11"/>
        </w:rPr>
        <w:t> </w:t>
      </w:r>
      <w:r>
        <w:rPr/>
        <w:t>the</w:t>
      </w:r>
      <w:r>
        <w:rPr>
          <w:spacing w:val="-12"/>
        </w:rPr>
        <w:t> </w:t>
      </w:r>
      <w:r>
        <w:rPr/>
        <w:t>study</w:t>
      </w:r>
      <w:r>
        <w:rPr>
          <w:spacing w:val="-11"/>
        </w:rPr>
        <w:t> </w:t>
      </w:r>
      <w:r>
        <w:rPr/>
        <w:t>provide</w:t>
      </w:r>
      <w:r>
        <w:rPr>
          <w:spacing w:val="-12"/>
        </w:rPr>
        <w:t> </w:t>
      </w:r>
      <w:r>
        <w:rPr/>
        <w:t>two</w:t>
      </w:r>
      <w:r>
        <w:rPr>
          <w:spacing w:val="-11"/>
        </w:rPr>
        <w:t> </w:t>
      </w:r>
      <w:r>
        <w:rPr/>
        <w:t>key</w:t>
      </w:r>
      <w:r>
        <w:rPr>
          <w:spacing w:val="-12"/>
        </w:rPr>
        <w:t> </w:t>
      </w:r>
      <w:r>
        <w:rPr/>
        <w:t>contributions</w:t>
      </w:r>
      <w:r>
        <w:rPr>
          <w:spacing w:val="-11"/>
        </w:rPr>
        <w:t> </w:t>
      </w:r>
      <w:r>
        <w:rPr/>
        <w:t>to</w:t>
      </w:r>
      <w:r>
        <w:rPr>
          <w:spacing w:val="-12"/>
        </w:rPr>
        <w:t> </w:t>
      </w:r>
      <w:r>
        <w:rPr/>
        <w:t>the</w:t>
      </w:r>
      <w:r>
        <w:rPr>
          <w:spacing w:val="-11"/>
        </w:rPr>
        <w:t> </w:t>
      </w:r>
      <w:r>
        <w:rPr/>
        <w:t>literature. First,</w:t>
      </w:r>
      <w:r>
        <w:rPr>
          <w:spacing w:val="-11"/>
        </w:rPr>
        <w:t> </w:t>
      </w:r>
      <w:r>
        <w:rPr/>
        <w:t>the</w:t>
      </w:r>
      <w:r>
        <w:rPr>
          <w:spacing w:val="-12"/>
        </w:rPr>
        <w:t> </w:t>
      </w:r>
      <w:r>
        <w:rPr/>
        <w:t>work of</w:t>
      </w:r>
      <w:hyperlink w:history="true" w:anchor="_bookmark271">
        <w:r>
          <w:rPr>
            <w:color w:val="FF0000"/>
          </w:rPr>
          <w:t>Mallepalle et al.</w:t>
        </w:r>
        <w:r>
          <w:rPr/>
          <w:t>(</w:t>
        </w:r>
      </w:hyperlink>
      <w:hyperlink w:history="true" w:anchor="_bookmark271">
        <w:r>
          <w:rPr>
            <w:color w:val="FF0000"/>
          </w:rPr>
          <w:t>2020</w:t>
        </w:r>
        <w:r>
          <w:rPr/>
          <w:t>)</w:t>
        </w:r>
      </w:hyperlink>
      <w:r>
        <w:rPr/>
        <w:t> was applied and adapted to provide the first implementation of KDEs to quantify the spatial trends of team attacking performances with a smooth pitch surface in any sport.</w:t>
      </w:r>
      <w:r>
        <w:rPr>
          <w:spacing w:val="40"/>
        </w:rPr>
        <w:t> </w:t>
      </w:r>
      <w:r>
        <w:rPr/>
        <w:t>Second, the work was extended to provide novel metrics through which differences</w:t>
      </w:r>
      <w:r>
        <w:rPr>
          <w:spacing w:val="-1"/>
        </w:rPr>
        <w:t> </w:t>
      </w:r>
      <w:r>
        <w:rPr/>
        <w:t>in the spatial trends could be evaluated and visualised.</w:t>
      </w:r>
      <w:r>
        <w:rPr>
          <w:spacing w:val="26"/>
        </w:rPr>
        <w:t> </w:t>
      </w:r>
      <w:r>
        <w:rPr/>
        <w:t>To do</w:t>
      </w:r>
      <w:r>
        <w:rPr>
          <w:spacing w:val="-1"/>
        </w:rPr>
        <w:t> </w:t>
      </w:r>
      <w:r>
        <w:rPr/>
        <w:t>this, </w:t>
      </w:r>
      <w:r>
        <w:rPr/>
        <w:t>the Wasserstein</w:t>
      </w:r>
      <w:r>
        <w:rPr>
          <w:spacing w:val="-7"/>
        </w:rPr>
        <w:t> </w:t>
      </w:r>
      <w:r>
        <w:rPr/>
        <w:t>distance</w:t>
      </w:r>
      <w:r>
        <w:rPr>
          <w:spacing w:val="-7"/>
        </w:rPr>
        <w:t> </w:t>
      </w:r>
      <w:r>
        <w:rPr/>
        <w:t>was</w:t>
      </w:r>
      <w:r>
        <w:rPr>
          <w:spacing w:val="-7"/>
        </w:rPr>
        <w:t> </w:t>
      </w:r>
      <w:r>
        <w:rPr/>
        <w:t>used</w:t>
      </w:r>
      <w:r>
        <w:rPr>
          <w:spacing w:val="-7"/>
        </w:rPr>
        <w:t> </w:t>
      </w:r>
      <w:r>
        <w:rPr/>
        <w:t>to</w:t>
      </w:r>
      <w:r>
        <w:rPr>
          <w:spacing w:val="-7"/>
        </w:rPr>
        <w:t> </w:t>
      </w:r>
      <w:r>
        <w:rPr/>
        <w:t>compare</w:t>
      </w:r>
      <w:r>
        <w:rPr>
          <w:spacing w:val="-7"/>
        </w:rPr>
        <w:t> </w:t>
      </w:r>
      <w:r>
        <w:rPr/>
        <w:t>KDEs</w:t>
      </w:r>
      <w:r>
        <w:rPr>
          <w:spacing w:val="-7"/>
        </w:rPr>
        <w:t> </w:t>
      </w:r>
      <w:r>
        <w:rPr/>
        <w:t>for</w:t>
      </w:r>
      <w:r>
        <w:rPr>
          <w:spacing w:val="-7"/>
        </w:rPr>
        <w:t> </w:t>
      </w:r>
      <w:r>
        <w:rPr/>
        <w:t>the</w:t>
      </w:r>
      <w:r>
        <w:rPr>
          <w:spacing w:val="-7"/>
        </w:rPr>
        <w:t> </w:t>
      </w:r>
      <w:r>
        <w:rPr/>
        <w:t>first</w:t>
      </w:r>
      <w:r>
        <w:rPr>
          <w:spacing w:val="-7"/>
        </w:rPr>
        <w:t> </w:t>
      </w:r>
      <w:r>
        <w:rPr/>
        <w:t>time</w:t>
      </w:r>
      <w:r>
        <w:rPr>
          <w:spacing w:val="-7"/>
        </w:rPr>
        <w:t> </w:t>
      </w:r>
      <w:r>
        <w:rPr/>
        <w:t>in</w:t>
      </w:r>
      <w:r>
        <w:rPr>
          <w:spacing w:val="-7"/>
        </w:rPr>
        <w:t> </w:t>
      </w:r>
      <w:r>
        <w:rPr/>
        <w:t>sport. Manipulating the</w:t>
      </w:r>
      <w:r>
        <w:rPr>
          <w:spacing w:val="-8"/>
        </w:rPr>
        <w:t> </w:t>
      </w:r>
      <w:r>
        <w:rPr/>
        <w:t>Wasserstein</w:t>
      </w:r>
      <w:r>
        <w:rPr>
          <w:spacing w:val="-8"/>
        </w:rPr>
        <w:t> </w:t>
      </w:r>
      <w:r>
        <w:rPr/>
        <w:t>distance</w:t>
      </w:r>
      <w:r>
        <w:rPr>
          <w:spacing w:val="-8"/>
        </w:rPr>
        <w:t> </w:t>
      </w:r>
      <w:r>
        <w:rPr/>
        <w:t>provided</w:t>
      </w:r>
      <w:r>
        <w:rPr>
          <w:spacing w:val="-8"/>
        </w:rPr>
        <w:t> </w:t>
      </w:r>
      <w:r>
        <w:rPr/>
        <w:t>novel</w:t>
      </w:r>
      <w:r>
        <w:rPr>
          <w:spacing w:val="-8"/>
        </w:rPr>
        <w:t> </w:t>
      </w:r>
      <w:r>
        <w:rPr/>
        <w:t>insights</w:t>
      </w:r>
      <w:r>
        <w:rPr>
          <w:spacing w:val="-8"/>
        </w:rPr>
        <w:t> </w:t>
      </w:r>
      <w:r>
        <w:rPr/>
        <w:t>into</w:t>
      </w:r>
      <w:r>
        <w:rPr>
          <w:spacing w:val="-8"/>
        </w:rPr>
        <w:t> </w:t>
      </w:r>
      <w:r>
        <w:rPr/>
        <w:t>the</w:t>
      </w:r>
      <w:r>
        <w:rPr>
          <w:spacing w:val="-8"/>
        </w:rPr>
        <w:t> </w:t>
      </w:r>
      <w:r>
        <w:rPr/>
        <w:t>differences</w:t>
      </w:r>
      <w:r>
        <w:rPr>
          <w:spacing w:val="-8"/>
        </w:rPr>
        <w:t> </w:t>
      </w:r>
      <w:r>
        <w:rPr/>
        <w:t>along</w:t>
      </w:r>
      <w:r>
        <w:rPr>
          <w:spacing w:val="-8"/>
        </w:rPr>
        <w:t> </w:t>
      </w:r>
      <w:r>
        <w:rPr/>
        <w:t>each</w:t>
      </w:r>
      <w:r>
        <w:rPr>
          <w:spacing w:val="-8"/>
        </w:rPr>
        <w:t> </w:t>
      </w:r>
      <w:r>
        <w:rPr/>
        <w:t>axis</w:t>
      </w:r>
      <w:r>
        <w:rPr>
          <w:spacing w:val="-8"/>
        </w:rPr>
        <w:t> </w:t>
      </w:r>
      <w:r>
        <w:rPr/>
        <w:t>(i.e. does</w:t>
      </w:r>
      <w:r>
        <w:rPr>
          <w:spacing w:val="-10"/>
        </w:rPr>
        <w:t> </w:t>
      </w:r>
      <w:r>
        <w:rPr/>
        <w:t>a</w:t>
      </w:r>
      <w:r>
        <w:rPr>
          <w:spacing w:val="-10"/>
        </w:rPr>
        <w:t> </w:t>
      </w:r>
      <w:r>
        <w:rPr/>
        <w:t>team</w:t>
      </w:r>
      <w:r>
        <w:rPr>
          <w:spacing w:val="-10"/>
        </w:rPr>
        <w:t> </w:t>
      </w:r>
      <w:r>
        <w:rPr/>
        <w:t>differ</w:t>
      </w:r>
      <w:r>
        <w:rPr>
          <w:spacing w:val="-10"/>
        </w:rPr>
        <w:t> </w:t>
      </w:r>
      <w:r>
        <w:rPr/>
        <w:t>from</w:t>
      </w:r>
      <w:r>
        <w:rPr>
          <w:spacing w:val="-10"/>
        </w:rPr>
        <w:t> </w:t>
      </w:r>
      <w:r>
        <w:rPr/>
        <w:t>the</w:t>
      </w:r>
      <w:r>
        <w:rPr>
          <w:spacing w:val="-10"/>
        </w:rPr>
        <w:t> </w:t>
      </w:r>
      <w:r>
        <w:rPr/>
        <w:t>league</w:t>
      </w:r>
      <w:r>
        <w:rPr>
          <w:spacing w:val="-10"/>
        </w:rPr>
        <w:t> </w:t>
      </w:r>
      <w:r>
        <w:rPr/>
        <w:t>average</w:t>
      </w:r>
      <w:r>
        <w:rPr>
          <w:spacing w:val="-10"/>
        </w:rPr>
        <w:t> </w:t>
      </w:r>
      <w:r>
        <w:rPr/>
        <w:t>in</w:t>
      </w:r>
      <w:r>
        <w:rPr>
          <w:spacing w:val="-10"/>
        </w:rPr>
        <w:t> </w:t>
      </w:r>
      <w:r>
        <w:rPr/>
        <w:t>terms</w:t>
      </w:r>
      <w:r>
        <w:rPr>
          <w:spacing w:val="-10"/>
        </w:rPr>
        <w:t> </w:t>
      </w:r>
      <w:r>
        <w:rPr/>
        <w:t>of</w:t>
      </w:r>
      <w:r>
        <w:rPr>
          <w:spacing w:val="-10"/>
        </w:rPr>
        <w:t> </w:t>
      </w:r>
      <w:r>
        <w:rPr/>
        <w:t>pitch</w:t>
      </w:r>
      <w:r>
        <w:rPr>
          <w:spacing w:val="-10"/>
        </w:rPr>
        <w:t> </w:t>
      </w:r>
      <w:r>
        <w:rPr/>
        <w:t>width</w:t>
      </w:r>
      <w:r>
        <w:rPr>
          <w:spacing w:val="-10"/>
        </w:rPr>
        <w:t> </w:t>
      </w:r>
      <w:r>
        <w:rPr/>
        <w:t>or</w:t>
      </w:r>
      <w:r>
        <w:rPr>
          <w:spacing w:val="-10"/>
        </w:rPr>
        <w:t> </w:t>
      </w:r>
      <w:r>
        <w:rPr/>
        <w:t>height?) via</w:t>
      </w:r>
      <w:r>
        <w:rPr>
          <w:spacing w:val="-10"/>
        </w:rPr>
        <w:t> </w:t>
      </w:r>
      <w:r>
        <w:rPr/>
        <w:t>the</w:t>
      </w:r>
      <w:r>
        <w:rPr>
          <w:spacing w:val="-10"/>
        </w:rPr>
        <w:t> </w:t>
      </w:r>
      <w:r>
        <w:rPr/>
        <w:t>nor- malised axis Wasserstein distance, and directional differences (i.e.</w:t>
      </w:r>
      <w:r>
        <w:rPr>
          <w:spacing w:val="36"/>
        </w:rPr>
        <w:t> </w:t>
      </w:r>
      <w:r>
        <w:rPr/>
        <w:t>does a team perform more actions on the left side of the pitch or near their own try line?)</w:t>
      </w:r>
      <w:r>
        <w:rPr>
          <w:spacing w:val="40"/>
        </w:rPr>
        <w:t> </w:t>
      </w:r>
      <w:r>
        <w:rPr/>
        <w:t>via the directional Wasserstein</w:t>
      </w:r>
      <w:r>
        <w:rPr>
          <w:spacing w:val="-5"/>
        </w:rPr>
        <w:t> </w:t>
      </w:r>
      <w:r>
        <w:rPr/>
        <w:t>distance. These</w:t>
      </w:r>
      <w:r>
        <w:rPr>
          <w:spacing w:val="-5"/>
        </w:rPr>
        <w:t> </w:t>
      </w:r>
      <w:r>
        <w:rPr/>
        <w:t>insights</w:t>
      </w:r>
      <w:r>
        <w:rPr>
          <w:spacing w:val="-5"/>
        </w:rPr>
        <w:t> </w:t>
      </w:r>
      <w:r>
        <w:rPr/>
        <w:t>provide</w:t>
      </w:r>
      <w:r>
        <w:rPr>
          <w:spacing w:val="-5"/>
        </w:rPr>
        <w:t> </w:t>
      </w:r>
      <w:r>
        <w:rPr/>
        <w:t>valuable</w:t>
      </w:r>
      <w:r>
        <w:rPr>
          <w:spacing w:val="-5"/>
        </w:rPr>
        <w:t> </w:t>
      </w:r>
      <w:r>
        <w:rPr/>
        <w:t>bench</w:t>
      </w:r>
      <w:r>
        <w:rPr>
          <w:spacing w:val="-5"/>
        </w:rPr>
        <w:t> </w:t>
      </w:r>
      <w:r>
        <w:rPr/>
        <w:t>marking</w:t>
      </w:r>
      <w:r>
        <w:rPr>
          <w:spacing w:val="-5"/>
        </w:rPr>
        <w:t> </w:t>
      </w:r>
      <w:r>
        <w:rPr/>
        <w:t>tools</w:t>
      </w:r>
      <w:r>
        <w:rPr>
          <w:spacing w:val="-5"/>
        </w:rPr>
        <w:t> </w:t>
      </w:r>
      <w:r>
        <w:rPr/>
        <w:t>for</w:t>
      </w:r>
      <w:r>
        <w:rPr>
          <w:spacing w:val="-5"/>
        </w:rPr>
        <w:t> </w:t>
      </w:r>
      <w:r>
        <w:rPr/>
        <w:t>clubs</w:t>
      </w:r>
      <w:r>
        <w:rPr>
          <w:spacing w:val="-5"/>
        </w:rPr>
        <w:t> </w:t>
      </w:r>
      <w:r>
        <w:rPr/>
        <w:t>and have significant potential to improve tactical strategy preparations, thus providing assis- tance to coaches in both long and short-term decision making.</w:t>
      </w:r>
    </w:p>
    <w:p>
      <w:pPr>
        <w:pStyle w:val="BodyText"/>
        <w:spacing w:line="312" w:lineRule="auto"/>
        <w:ind w:left="610" w:right="389" w:firstLine="351"/>
      </w:pPr>
      <w:r>
        <w:rPr/>
        <w:t>By adapting and extending the work of</w:t>
      </w:r>
      <w:hyperlink w:history="true" w:anchor="_bookmark271">
        <w:r>
          <w:rPr>
            <w:color w:val="FF0000"/>
          </w:rPr>
          <w:t>Mallepalle et al.</w:t>
        </w:r>
        <w:r>
          <w:rPr/>
          <w:t>(</w:t>
        </w:r>
      </w:hyperlink>
      <w:hyperlink w:history="true" w:anchor="_bookmark271">
        <w:r>
          <w:rPr>
            <w:color w:val="FF0000"/>
          </w:rPr>
          <w:t>2020</w:t>
        </w:r>
        <w:r>
          <w:rPr/>
          <w:t>)</w:t>
        </w:r>
      </w:hyperlink>
      <w:r>
        <w:rPr/>
        <w:t> to quantify the spatial trends of team attacking performances, this chapter met objective 2 of the thesis; by </w:t>
      </w:r>
      <w:r>
        <w:rPr/>
        <w:t>de- veloping</w:t>
      </w:r>
      <w:r>
        <w:rPr>
          <w:spacing w:val="-7"/>
        </w:rPr>
        <w:t> </w:t>
      </w:r>
      <w:r>
        <w:rPr/>
        <w:t>novel</w:t>
      </w:r>
      <w:r>
        <w:rPr>
          <w:spacing w:val="-7"/>
        </w:rPr>
        <w:t> </w:t>
      </w:r>
      <w:r>
        <w:rPr/>
        <w:t>metrics</w:t>
      </w:r>
      <w:r>
        <w:rPr>
          <w:spacing w:val="-6"/>
        </w:rPr>
        <w:t> </w:t>
      </w:r>
      <w:r>
        <w:rPr/>
        <w:t>from</w:t>
      </w:r>
      <w:r>
        <w:rPr>
          <w:spacing w:val="-6"/>
        </w:rPr>
        <w:t> </w:t>
      </w:r>
      <w:r>
        <w:rPr/>
        <w:t>the</w:t>
      </w:r>
      <w:r>
        <w:rPr>
          <w:spacing w:val="-6"/>
        </w:rPr>
        <w:t> </w:t>
      </w:r>
      <w:r>
        <w:rPr/>
        <w:t>Wasserstein</w:t>
      </w:r>
      <w:r>
        <w:rPr>
          <w:spacing w:val="-7"/>
        </w:rPr>
        <w:t> </w:t>
      </w:r>
      <w:r>
        <w:rPr/>
        <w:t>distance</w:t>
      </w:r>
      <w:r>
        <w:rPr>
          <w:spacing w:val="-7"/>
        </w:rPr>
        <w:t> </w:t>
      </w:r>
      <w:r>
        <w:rPr/>
        <w:t>through</w:t>
      </w:r>
      <w:r>
        <w:rPr>
          <w:spacing w:val="-6"/>
        </w:rPr>
        <w:t> </w:t>
      </w:r>
      <w:r>
        <w:rPr/>
        <w:t>which</w:t>
      </w:r>
      <w:r>
        <w:rPr>
          <w:spacing w:val="-7"/>
        </w:rPr>
        <w:t> </w:t>
      </w:r>
      <w:r>
        <w:rPr/>
        <w:t>differences</w:t>
      </w:r>
      <w:r>
        <w:rPr>
          <w:spacing w:val="-6"/>
        </w:rPr>
        <w:t> </w:t>
      </w:r>
      <w:r>
        <w:rPr/>
        <w:t>in</w:t>
      </w:r>
      <w:r>
        <w:rPr>
          <w:spacing w:val="-6"/>
        </w:rPr>
        <w:t> </w:t>
      </w:r>
      <w:r>
        <w:rPr>
          <w:spacing w:val="-2"/>
        </w:rPr>
        <w:t>these</w:t>
      </w:r>
    </w:p>
    <w:p>
      <w:pPr>
        <w:spacing w:after="0" w:line="312" w:lineRule="auto"/>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jc w:val="both"/>
      </w:pPr>
      <w:r>
        <w:rPr/>
        <w:t>spatial</w:t>
      </w:r>
      <w:r>
        <w:rPr>
          <w:spacing w:val="-13"/>
        </w:rPr>
        <w:t> </w:t>
      </w:r>
      <w:r>
        <w:rPr/>
        <w:t>trends</w:t>
      </w:r>
      <w:r>
        <w:rPr>
          <w:spacing w:val="-13"/>
        </w:rPr>
        <w:t> </w:t>
      </w:r>
      <w:r>
        <w:rPr/>
        <w:t>of</w:t>
      </w:r>
      <w:r>
        <w:rPr>
          <w:spacing w:val="-13"/>
        </w:rPr>
        <w:t> </w:t>
      </w:r>
      <w:r>
        <w:rPr/>
        <w:t>attacking</w:t>
      </w:r>
      <w:r>
        <w:rPr>
          <w:spacing w:val="-13"/>
        </w:rPr>
        <w:t> </w:t>
      </w:r>
      <w:r>
        <w:rPr/>
        <w:t>performances</w:t>
      </w:r>
      <w:r>
        <w:rPr>
          <w:spacing w:val="-13"/>
        </w:rPr>
        <w:t> </w:t>
      </w:r>
      <w:r>
        <w:rPr/>
        <w:t>could</w:t>
      </w:r>
      <w:r>
        <w:rPr>
          <w:spacing w:val="-13"/>
        </w:rPr>
        <w:t> </w:t>
      </w:r>
      <w:r>
        <w:rPr/>
        <w:t>be</w:t>
      </w:r>
      <w:r>
        <w:rPr>
          <w:spacing w:val="-13"/>
        </w:rPr>
        <w:t> </w:t>
      </w:r>
      <w:r>
        <w:rPr/>
        <w:t>quantified</w:t>
      </w:r>
      <w:r>
        <w:rPr>
          <w:spacing w:val="-13"/>
        </w:rPr>
        <w:t> </w:t>
      </w:r>
      <w:r>
        <w:rPr/>
        <w:t>and</w:t>
      </w:r>
      <w:r>
        <w:rPr>
          <w:spacing w:val="-13"/>
        </w:rPr>
        <w:t> </w:t>
      </w:r>
      <w:r>
        <w:rPr/>
        <w:t>visualised,</w:t>
      </w:r>
      <w:r>
        <w:rPr>
          <w:spacing w:val="-12"/>
        </w:rPr>
        <w:t> </w:t>
      </w:r>
      <w:r>
        <w:rPr/>
        <w:t>objective</w:t>
      </w:r>
      <w:r>
        <w:rPr>
          <w:spacing w:val="-13"/>
        </w:rPr>
        <w:t> </w:t>
      </w:r>
      <w:r>
        <w:rPr/>
        <w:t>4</w:t>
      </w:r>
      <w:r>
        <w:rPr>
          <w:spacing w:val="-13"/>
        </w:rPr>
        <w:t> </w:t>
      </w:r>
      <w:r>
        <w:rPr/>
        <w:t>of the</w:t>
      </w:r>
      <w:r>
        <w:rPr>
          <w:spacing w:val="-10"/>
        </w:rPr>
        <w:t> </w:t>
      </w:r>
      <w:r>
        <w:rPr/>
        <w:t>thesis</w:t>
      </w:r>
      <w:r>
        <w:rPr>
          <w:spacing w:val="-10"/>
        </w:rPr>
        <w:t> </w:t>
      </w:r>
      <w:r>
        <w:rPr/>
        <w:t>was</w:t>
      </w:r>
      <w:r>
        <w:rPr>
          <w:spacing w:val="-10"/>
        </w:rPr>
        <w:t> </w:t>
      </w:r>
      <w:r>
        <w:rPr/>
        <w:t>partially</w:t>
      </w:r>
      <w:r>
        <w:rPr>
          <w:spacing w:val="-10"/>
        </w:rPr>
        <w:t> </w:t>
      </w:r>
      <w:r>
        <w:rPr/>
        <w:t>met. Objectives</w:t>
      </w:r>
      <w:r>
        <w:rPr>
          <w:spacing w:val="-10"/>
        </w:rPr>
        <w:t> </w:t>
      </w:r>
      <w:r>
        <w:rPr/>
        <w:t>3</w:t>
      </w:r>
      <w:r>
        <w:rPr>
          <w:spacing w:val="-10"/>
        </w:rPr>
        <w:t> </w:t>
      </w:r>
      <w:r>
        <w:rPr/>
        <w:t>and</w:t>
      </w:r>
      <w:r>
        <w:rPr>
          <w:spacing w:val="-10"/>
        </w:rPr>
        <w:t> </w:t>
      </w:r>
      <w:r>
        <w:rPr/>
        <w:t>5</w:t>
      </w:r>
      <w:r>
        <w:rPr>
          <w:spacing w:val="-10"/>
        </w:rPr>
        <w:t> </w:t>
      </w:r>
      <w:r>
        <w:rPr/>
        <w:t>were</w:t>
      </w:r>
      <w:r>
        <w:rPr>
          <w:spacing w:val="-10"/>
        </w:rPr>
        <w:t> </w:t>
      </w:r>
      <w:r>
        <w:rPr/>
        <w:t>partially</w:t>
      </w:r>
      <w:r>
        <w:rPr>
          <w:spacing w:val="-10"/>
        </w:rPr>
        <w:t> </w:t>
      </w:r>
      <w:r>
        <w:rPr/>
        <w:t>met</w:t>
      </w:r>
      <w:r>
        <w:rPr>
          <w:spacing w:val="-10"/>
        </w:rPr>
        <w:t> </w:t>
      </w:r>
      <w:r>
        <w:rPr/>
        <w:t>when</w:t>
      </w:r>
      <w:r>
        <w:rPr>
          <w:spacing w:val="-10"/>
        </w:rPr>
        <w:t> </w:t>
      </w:r>
      <w:r>
        <w:rPr/>
        <w:t>coaches</w:t>
      </w:r>
      <w:r>
        <w:rPr>
          <w:spacing w:val="-10"/>
        </w:rPr>
        <w:t> </w:t>
      </w:r>
      <w:r>
        <w:rPr/>
        <w:t>at</w:t>
      </w:r>
      <w:r>
        <w:rPr>
          <w:spacing w:val="-10"/>
        </w:rPr>
        <w:t> </w:t>
      </w:r>
      <w:r>
        <w:rPr/>
        <w:t>Leeds Rhinos provided validation of both the usability and reliability of the results (Appendix </w:t>
      </w:r>
      <w:r>
        <w:rPr>
          <w:color w:val="0000FF"/>
        </w:rPr>
        <w:t>D</w:t>
      </w:r>
      <w:r>
        <w:rPr/>
        <w:t>).</w:t>
      </w:r>
      <w:r>
        <w:rPr>
          <w:spacing w:val="-13"/>
        </w:rPr>
        <w:t> </w:t>
      </w:r>
      <w:r>
        <w:rPr/>
        <w:t>In</w:t>
      </w:r>
      <w:r>
        <w:rPr>
          <w:spacing w:val="-13"/>
        </w:rPr>
        <w:t> </w:t>
      </w:r>
      <w:r>
        <w:rPr/>
        <w:t>all</w:t>
      </w:r>
      <w:r>
        <w:rPr>
          <w:spacing w:val="-13"/>
        </w:rPr>
        <w:t> </w:t>
      </w:r>
      <w:r>
        <w:rPr/>
        <w:t>cases,</w:t>
      </w:r>
      <w:r>
        <w:rPr>
          <w:spacing w:val="-11"/>
        </w:rPr>
        <w:t> </w:t>
      </w:r>
      <w:r>
        <w:rPr/>
        <w:t>the</w:t>
      </w:r>
      <w:r>
        <w:rPr>
          <w:spacing w:val="-13"/>
        </w:rPr>
        <w:t> </w:t>
      </w:r>
      <w:r>
        <w:rPr/>
        <w:t>objectives</w:t>
      </w:r>
      <w:r>
        <w:rPr>
          <w:spacing w:val="-13"/>
        </w:rPr>
        <w:t> </w:t>
      </w:r>
      <w:r>
        <w:rPr/>
        <w:t>were</w:t>
      </w:r>
      <w:r>
        <w:rPr>
          <w:spacing w:val="-13"/>
        </w:rPr>
        <w:t> </w:t>
      </w:r>
      <w:r>
        <w:rPr/>
        <w:t>partially</w:t>
      </w:r>
      <w:r>
        <w:rPr>
          <w:spacing w:val="-12"/>
        </w:rPr>
        <w:t> </w:t>
      </w:r>
      <w:r>
        <w:rPr/>
        <w:t>met</w:t>
      </w:r>
      <w:r>
        <w:rPr>
          <w:spacing w:val="-13"/>
        </w:rPr>
        <w:t> </w:t>
      </w:r>
      <w:r>
        <w:rPr/>
        <w:t>because,</w:t>
      </w:r>
      <w:r>
        <w:rPr>
          <w:spacing w:val="-11"/>
        </w:rPr>
        <w:t> </w:t>
      </w:r>
      <w:r>
        <w:rPr/>
        <w:t>in</w:t>
      </w:r>
      <w:r>
        <w:rPr>
          <w:spacing w:val="-13"/>
        </w:rPr>
        <w:t> </w:t>
      </w:r>
      <w:r>
        <w:rPr/>
        <w:t>this</w:t>
      </w:r>
      <w:r>
        <w:rPr>
          <w:spacing w:val="-13"/>
        </w:rPr>
        <w:t> </w:t>
      </w:r>
      <w:r>
        <w:rPr/>
        <w:t>simplified</w:t>
      </w:r>
      <w:r>
        <w:rPr>
          <w:spacing w:val="-13"/>
        </w:rPr>
        <w:t> </w:t>
      </w:r>
      <w:r>
        <w:rPr/>
        <w:t>analysis,</w:t>
      </w:r>
      <w:r>
        <w:rPr>
          <w:spacing w:val="-11"/>
        </w:rPr>
        <w:t> </w:t>
      </w:r>
      <w:r>
        <w:rPr/>
        <w:t>only team performances were considered.</w:t>
      </w:r>
    </w:p>
    <w:p>
      <w:pPr>
        <w:pStyle w:val="BodyText"/>
        <w:spacing w:before="6"/>
        <w:rPr>
          <w:sz w:val="34"/>
        </w:rPr>
      </w:pPr>
    </w:p>
    <w:p>
      <w:pPr>
        <w:pStyle w:val="Heading3"/>
        <w:numPr>
          <w:ilvl w:val="2"/>
          <w:numId w:val="26"/>
        </w:numPr>
        <w:tabs>
          <w:tab w:pos="1471" w:val="left" w:leader="none"/>
          <w:tab w:pos="1472" w:val="left" w:leader="none"/>
        </w:tabs>
        <w:spacing w:line="331" w:lineRule="auto" w:before="1" w:after="0"/>
        <w:ind w:left="1471" w:right="389" w:hanging="861"/>
        <w:jc w:val="left"/>
      </w:pPr>
      <w:bookmarkStart w:name="_TOC_250003" w:id="375"/>
      <w:bookmarkStart w:name="7.2.4 A Bayesian Approach to the Evaluat" w:id="376"/>
      <w:r>
        <w:rPr>
          <w:b w:val="0"/>
        </w:rPr>
      </w:r>
      <w:bookmarkStart w:name="_bookmark220" w:id="377"/>
      <w:bookmarkEnd w:id="377"/>
      <w:r>
        <w:rPr/>
        <w:t>A</w:t>
      </w:r>
      <w:r>
        <w:rPr>
          <w:spacing w:val="40"/>
        </w:rPr>
        <w:t> </w:t>
      </w:r>
      <w:r>
        <w:rPr/>
        <w:t>Bayesian</w:t>
      </w:r>
      <w:r>
        <w:rPr>
          <w:spacing w:val="40"/>
        </w:rPr>
        <w:t> </w:t>
      </w:r>
      <w:r>
        <w:rPr/>
        <w:t>Approach</w:t>
      </w:r>
      <w:r>
        <w:rPr>
          <w:spacing w:val="40"/>
        </w:rPr>
        <w:t> </w:t>
      </w:r>
      <w:r>
        <w:rPr/>
        <w:t>to</w:t>
      </w:r>
      <w:r>
        <w:rPr>
          <w:spacing w:val="40"/>
        </w:rPr>
        <w:t> </w:t>
      </w:r>
      <w:r>
        <w:rPr/>
        <w:t>the</w:t>
      </w:r>
      <w:r>
        <w:rPr>
          <w:spacing w:val="40"/>
        </w:rPr>
        <w:t> </w:t>
      </w:r>
      <w:r>
        <w:rPr/>
        <w:t>Evaluation</w:t>
      </w:r>
      <w:r>
        <w:rPr>
          <w:spacing w:val="40"/>
        </w:rPr>
        <w:t> </w:t>
      </w:r>
      <w:r>
        <w:rPr/>
        <w:t>of</w:t>
      </w:r>
      <w:r>
        <w:rPr>
          <w:spacing w:val="40"/>
        </w:rPr>
        <w:t> </w:t>
      </w:r>
      <w:r>
        <w:rPr/>
        <w:t>Team</w:t>
      </w:r>
      <w:r>
        <w:rPr>
          <w:spacing w:val="40"/>
        </w:rPr>
        <w:t> </w:t>
      </w:r>
      <w:r>
        <w:rPr/>
        <w:t>and</w:t>
      </w:r>
      <w:r>
        <w:rPr>
          <w:spacing w:val="40"/>
        </w:rPr>
        <w:t> </w:t>
      </w:r>
      <w:r>
        <w:rPr/>
        <w:t>Player </w:t>
      </w:r>
      <w:bookmarkEnd w:id="375"/>
      <w:r>
        <w:rPr>
          <w:spacing w:val="-2"/>
        </w:rPr>
        <w:t>Performances</w:t>
      </w:r>
    </w:p>
    <w:p>
      <w:pPr>
        <w:pStyle w:val="BodyText"/>
        <w:spacing w:line="312" w:lineRule="auto" w:before="113"/>
        <w:ind w:left="610" w:right="390"/>
      </w:pPr>
      <w:r>
        <w:rPr/>
        <w:t>Building upon the success of Chapter</w:t>
      </w:r>
      <w:r>
        <w:rPr>
          <w:color w:val="0000FF"/>
        </w:rPr>
        <w:t>5</w:t>
      </w:r>
      <w:hyperlink w:history="true" w:anchor="_bookmark122">
        <w:r>
          <w:rPr/>
          <w:t>,</w:t>
        </w:r>
      </w:hyperlink>
      <w:r>
        <w:rPr/>
        <w:t> Chapter</w:t>
      </w:r>
      <w:r>
        <w:rPr>
          <w:color w:val="0000FF"/>
        </w:rPr>
        <w:t>6</w:t>
      </w:r>
      <w:hyperlink w:history="true" w:anchor="_bookmark170">
        <w:r>
          <w:rPr/>
          <w:t>produced</w:t>
        </w:r>
      </w:hyperlink>
      <w:r>
        <w:rPr/>
        <w:t> a novel EPV model with a smooth pitch surface in rugby league.</w:t>
      </w:r>
      <w:r>
        <w:rPr>
          <w:spacing w:val="40"/>
        </w:rPr>
        <w:t> </w:t>
      </w:r>
      <w:r>
        <w:rPr/>
        <w:t>Previous approaches providing smooth surfaces </w:t>
      </w:r>
      <w:r>
        <w:rPr>
          <w:spacing w:val="7"/>
        </w:rPr>
        <w:t>(</w:t>
      </w:r>
      <w:hyperlink w:history="true" w:anchor="_bookmark243">
        <w:r>
          <w:rPr>
            <w:color w:val="FF0000"/>
            <w:spacing w:val="7"/>
          </w:rPr>
          <w:t>Fer</w:t>
        </w:r>
        <w:r>
          <w:rPr>
            <w:color w:val="FF0000"/>
            <w:spacing w:val="6"/>
          </w:rPr>
          <w:t>n</w:t>
        </w:r>
        <w:r>
          <w:rPr>
            <w:color w:val="FF0000"/>
            <w:spacing w:val="-86"/>
          </w:rPr>
          <w:t>a</w:t>
        </w:r>
        <w:r>
          <w:rPr>
            <w:color w:val="FF0000"/>
            <w:spacing w:val="20"/>
          </w:rPr>
          <w:t>´</w:t>
        </w:r>
        <w:r>
          <w:rPr>
            <w:color w:val="FF0000"/>
            <w:spacing w:val="7"/>
          </w:rPr>
          <w:t>ndez</w:t>
        </w:r>
        <w:r>
          <w:rPr>
            <w:color w:val="FF0000"/>
            <w:spacing w:val="-2"/>
          </w:rPr>
          <w:t> </w:t>
        </w:r>
        <w:r>
          <w:rPr>
            <w:color w:val="FF0000"/>
          </w:rPr>
          <w:t>et</w:t>
        </w:r>
        <w:r>
          <w:rPr>
            <w:color w:val="FF0000"/>
            <w:spacing w:val="-3"/>
          </w:rPr>
          <w:t> </w:t>
        </w:r>
        <w:r>
          <w:rPr>
            <w:color w:val="FF0000"/>
          </w:rPr>
          <w:t>al.</w:t>
        </w:r>
      </w:hyperlink>
      <w:r>
        <w:rPr/>
        <w:t>,</w:t>
      </w:r>
      <w:hyperlink w:history="true" w:anchor="_bookmark243">
        <w:r>
          <w:rPr>
            <w:color w:val="FF0000"/>
          </w:rPr>
          <w:t>2021</w:t>
        </w:r>
        <w:r>
          <w:rPr/>
          <w:t>;</w:t>
        </w:r>
      </w:hyperlink>
      <w:r>
        <w:rPr>
          <w:color w:val="FF0000"/>
        </w:rPr>
        <w:t>Liu</w:t>
      </w:r>
      <w:r>
        <w:rPr>
          <w:color w:val="FF0000"/>
          <w:spacing w:val="-3"/>
        </w:rPr>
        <w:t> </w:t>
      </w:r>
      <w:hyperlink w:history="true" w:anchor="_bookmark269">
        <w:r>
          <w:rPr>
            <w:color w:val="FF0000"/>
          </w:rPr>
          <w:t>et</w:t>
        </w:r>
        <w:r>
          <w:rPr>
            <w:color w:val="FF0000"/>
            <w:spacing w:val="-3"/>
          </w:rPr>
          <w:t> </w:t>
        </w:r>
        <w:r>
          <w:rPr>
            <w:color w:val="FF0000"/>
          </w:rPr>
          <w:t>al.</w:t>
        </w:r>
        <w:r>
          <w:rPr/>
          <w:t>,</w:t>
        </w:r>
      </w:hyperlink>
      <w:r>
        <w:rPr>
          <w:color w:val="FF0000"/>
        </w:rPr>
        <w:t>2020</w:t>
      </w:r>
      <w:hyperlink w:history="true" w:anchor="_bookmark269">
        <w:r>
          <w:rPr/>
          <w:t>)</w:t>
        </w:r>
      </w:hyperlink>
      <w:r>
        <w:rPr>
          <w:spacing w:val="-3"/>
        </w:rPr>
        <w:t> </w:t>
      </w:r>
      <w:r>
        <w:rPr/>
        <w:t>could</w:t>
      </w:r>
      <w:r>
        <w:rPr>
          <w:spacing w:val="-3"/>
        </w:rPr>
        <w:t> </w:t>
      </w:r>
      <w:r>
        <w:rPr/>
        <w:t>not</w:t>
      </w:r>
      <w:r>
        <w:rPr>
          <w:spacing w:val="-3"/>
        </w:rPr>
        <w:t> </w:t>
      </w:r>
      <w:r>
        <w:rPr/>
        <w:t>be</w:t>
      </w:r>
      <w:r>
        <w:rPr>
          <w:spacing w:val="-3"/>
        </w:rPr>
        <w:t> </w:t>
      </w:r>
      <w:r>
        <w:rPr/>
        <w:t>adapted</w:t>
      </w:r>
      <w:r>
        <w:rPr>
          <w:spacing w:val="-3"/>
        </w:rPr>
        <w:t> </w:t>
      </w:r>
      <w:r>
        <w:rPr/>
        <w:t>for</w:t>
      </w:r>
      <w:r>
        <w:rPr>
          <w:spacing w:val="-3"/>
        </w:rPr>
        <w:t> </w:t>
      </w:r>
      <w:r>
        <w:rPr/>
        <w:t>use</w:t>
      </w:r>
      <w:r>
        <w:rPr>
          <w:spacing w:val="-3"/>
        </w:rPr>
        <w:t> </w:t>
      </w:r>
      <w:r>
        <w:rPr/>
        <w:t>in</w:t>
      </w:r>
      <w:r>
        <w:rPr>
          <w:spacing w:val="-3"/>
        </w:rPr>
        <w:t> </w:t>
      </w:r>
      <w:r>
        <w:rPr/>
        <w:t>rugby</w:t>
      </w:r>
      <w:r>
        <w:rPr>
          <w:spacing w:val="-3"/>
        </w:rPr>
        <w:t> </w:t>
      </w:r>
      <w:r>
        <w:rPr/>
        <w:t>league</w:t>
      </w:r>
      <w:r>
        <w:rPr>
          <w:spacing w:val="-3"/>
        </w:rPr>
        <w:t> </w:t>
      </w:r>
      <w:r>
        <w:rPr/>
        <w:t>due to data availability issues.</w:t>
      </w:r>
      <w:r>
        <w:rPr>
          <w:spacing w:val="40"/>
        </w:rPr>
        <w:t> </w:t>
      </w:r>
      <w:r>
        <w:rPr/>
        <w:t>To overcome these issues, a novel Bayesian Mixture Model approach was proposed, whereby the weights for each centre were devised using </w:t>
      </w:r>
      <w:r>
        <w:rPr/>
        <w:t>linear and bilinear interpolation techniques.</w:t>
      </w:r>
      <w:r>
        <w:rPr>
          <w:spacing w:val="80"/>
        </w:rPr>
        <w:t> </w:t>
      </w:r>
      <w:r>
        <w:rPr/>
        <w:t>The model estimated individual possession out- come probabilities and used them to derive an EPV measure.</w:t>
      </w:r>
      <w:r>
        <w:rPr>
          <w:spacing w:val="40"/>
        </w:rPr>
        <w:t> </w:t>
      </w:r>
      <w:r>
        <w:rPr/>
        <w:t>Models were produced at the whole league, team attacking and team defending levels allowing visual inspection of</w:t>
      </w:r>
      <w:r>
        <w:rPr>
          <w:spacing w:val="-1"/>
        </w:rPr>
        <w:t> </w:t>
      </w:r>
      <w:r>
        <w:rPr/>
        <w:t>team</w:t>
      </w:r>
      <w:r>
        <w:rPr>
          <w:spacing w:val="-1"/>
        </w:rPr>
        <w:t> </w:t>
      </w:r>
      <w:r>
        <w:rPr/>
        <w:t>strengths</w:t>
      </w:r>
      <w:r>
        <w:rPr>
          <w:spacing w:val="-1"/>
        </w:rPr>
        <w:t> </w:t>
      </w:r>
      <w:r>
        <w:rPr/>
        <w:t>and</w:t>
      </w:r>
      <w:r>
        <w:rPr>
          <w:spacing w:val="-1"/>
        </w:rPr>
        <w:t> </w:t>
      </w:r>
      <w:r>
        <w:rPr/>
        <w:t>weaknesses</w:t>
      </w:r>
      <w:r>
        <w:rPr>
          <w:spacing w:val="-1"/>
        </w:rPr>
        <w:t> </w:t>
      </w:r>
      <w:r>
        <w:rPr/>
        <w:t>with</w:t>
      </w:r>
      <w:r>
        <w:rPr>
          <w:spacing w:val="-1"/>
        </w:rPr>
        <w:t> </w:t>
      </w:r>
      <w:r>
        <w:rPr/>
        <w:t>respect</w:t>
      </w:r>
      <w:r>
        <w:rPr>
          <w:spacing w:val="-1"/>
        </w:rPr>
        <w:t> </w:t>
      </w:r>
      <w:r>
        <w:rPr/>
        <w:t>to</w:t>
      </w:r>
      <w:r>
        <w:rPr>
          <w:spacing w:val="-1"/>
        </w:rPr>
        <w:t> </w:t>
      </w:r>
      <w:r>
        <w:rPr/>
        <w:t>different</w:t>
      </w:r>
      <w:r>
        <w:rPr>
          <w:spacing w:val="-1"/>
        </w:rPr>
        <w:t> </w:t>
      </w:r>
      <w:r>
        <w:rPr/>
        <w:t>point</w:t>
      </w:r>
      <w:r>
        <w:rPr>
          <w:spacing w:val="-1"/>
        </w:rPr>
        <w:t> </w:t>
      </w:r>
      <w:r>
        <w:rPr/>
        <w:t>scoring</w:t>
      </w:r>
      <w:r>
        <w:rPr>
          <w:spacing w:val="-1"/>
        </w:rPr>
        <w:t> </w:t>
      </w:r>
      <w:r>
        <w:rPr/>
        <w:t>outcomes.</w:t>
      </w:r>
      <w:r>
        <w:rPr>
          <w:spacing w:val="23"/>
        </w:rPr>
        <w:t> </w:t>
      </w:r>
      <w:r>
        <w:rPr/>
        <w:t>Two novel metrics were produced from the model:</w:t>
      </w:r>
      <w:r>
        <w:rPr>
          <w:spacing w:val="35"/>
        </w:rPr>
        <w:t> </w:t>
      </w:r>
      <w:r>
        <w:rPr/>
        <w:t>expected points scored, which combined the results of this study with the results of Chapter</w:t>
      </w:r>
      <w:r>
        <w:rPr>
          <w:color w:val="0000FF"/>
        </w:rPr>
        <w:t>5</w:t>
      </w:r>
      <w:r>
        <w:rPr/>
        <w:t>to evaluate team performances, and actual versus expected player ratings, which were used to evaluate player performances. The work was presented to coaches at Leeds Rhinos Rugby League club who were im- pressed and provided an impact statement surrounding its use in practice (Appendix</w:t>
      </w:r>
      <w:r>
        <w:rPr>
          <w:color w:val="0000FF"/>
        </w:rPr>
        <w:t>D</w:t>
      </w:r>
      <w:r>
        <w:rPr/>
        <w:t>).</w:t>
      </w:r>
    </w:p>
    <w:p>
      <w:pPr>
        <w:pStyle w:val="BodyText"/>
        <w:spacing w:line="309" w:lineRule="auto"/>
        <w:ind w:left="610" w:right="389" w:firstLine="351"/>
        <w:jc w:val="both"/>
      </w:pPr>
      <w:r>
        <w:rPr>
          <w:spacing w:val="-2"/>
        </w:rPr>
        <w:t>The</w:t>
      </w:r>
      <w:r>
        <w:rPr>
          <w:spacing w:val="-11"/>
        </w:rPr>
        <w:t> </w:t>
      </w:r>
      <w:r>
        <w:rPr>
          <w:spacing w:val="-2"/>
        </w:rPr>
        <w:t>key</w:t>
      </w:r>
      <w:r>
        <w:rPr>
          <w:spacing w:val="-10"/>
        </w:rPr>
        <w:t> </w:t>
      </w:r>
      <w:r>
        <w:rPr>
          <w:spacing w:val="-2"/>
        </w:rPr>
        <w:t>contribution</w:t>
      </w:r>
      <w:r>
        <w:rPr>
          <w:spacing w:val="-11"/>
        </w:rPr>
        <w:t> </w:t>
      </w:r>
      <w:r>
        <w:rPr>
          <w:spacing w:val="-2"/>
        </w:rPr>
        <w:t>of</w:t>
      </w:r>
      <w:r>
        <w:rPr>
          <w:spacing w:val="-10"/>
        </w:rPr>
        <w:t> </w:t>
      </w:r>
      <w:r>
        <w:rPr>
          <w:spacing w:val="-2"/>
        </w:rPr>
        <w:t>this</w:t>
      </w:r>
      <w:r>
        <w:rPr>
          <w:spacing w:val="-11"/>
        </w:rPr>
        <w:t> </w:t>
      </w:r>
      <w:r>
        <w:rPr>
          <w:spacing w:val="-2"/>
        </w:rPr>
        <w:t>study</w:t>
      </w:r>
      <w:r>
        <w:rPr>
          <w:spacing w:val="-10"/>
        </w:rPr>
        <w:t> </w:t>
      </w:r>
      <w:r>
        <w:rPr>
          <w:spacing w:val="-2"/>
        </w:rPr>
        <w:t>was</w:t>
      </w:r>
      <w:r>
        <w:rPr>
          <w:spacing w:val="-11"/>
        </w:rPr>
        <w:t> </w:t>
      </w:r>
      <w:r>
        <w:rPr>
          <w:spacing w:val="-2"/>
        </w:rPr>
        <w:t>the</w:t>
      </w:r>
      <w:r>
        <w:rPr>
          <w:spacing w:val="-10"/>
        </w:rPr>
        <w:t> </w:t>
      </w:r>
      <w:r>
        <w:rPr>
          <w:spacing w:val="-2"/>
        </w:rPr>
        <w:t>development</w:t>
      </w:r>
      <w:r>
        <w:rPr>
          <w:spacing w:val="-11"/>
        </w:rPr>
        <w:t> </w:t>
      </w:r>
      <w:r>
        <w:rPr>
          <w:spacing w:val="-2"/>
        </w:rPr>
        <w:t>of</w:t>
      </w:r>
      <w:r>
        <w:rPr>
          <w:spacing w:val="-10"/>
        </w:rPr>
        <w:t> </w:t>
      </w:r>
      <w:r>
        <w:rPr>
          <w:spacing w:val="-2"/>
        </w:rPr>
        <w:t>a</w:t>
      </w:r>
      <w:r>
        <w:rPr>
          <w:spacing w:val="-11"/>
        </w:rPr>
        <w:t> </w:t>
      </w:r>
      <w:r>
        <w:rPr>
          <w:spacing w:val="-2"/>
        </w:rPr>
        <w:t>novel</w:t>
      </w:r>
      <w:r>
        <w:rPr>
          <w:spacing w:val="-10"/>
        </w:rPr>
        <w:t> </w:t>
      </w:r>
      <w:r>
        <w:rPr>
          <w:spacing w:val="-2"/>
        </w:rPr>
        <w:t>EPV</w:t>
      </w:r>
      <w:r>
        <w:rPr>
          <w:spacing w:val="-11"/>
        </w:rPr>
        <w:t> </w:t>
      </w:r>
      <w:r>
        <w:rPr>
          <w:spacing w:val="-2"/>
        </w:rPr>
        <w:t>model</w:t>
      </w:r>
      <w:r>
        <w:rPr>
          <w:spacing w:val="-10"/>
        </w:rPr>
        <w:t> </w:t>
      </w:r>
      <w:r>
        <w:rPr>
          <w:spacing w:val="-2"/>
        </w:rPr>
        <w:t>using</w:t>
      </w:r>
      <w:r>
        <w:rPr>
          <w:spacing w:val="-11"/>
        </w:rPr>
        <w:t> </w:t>
      </w:r>
      <w:r>
        <w:rPr>
          <w:spacing w:val="-2"/>
        </w:rPr>
        <w:t>an </w:t>
      </w:r>
      <w:r>
        <w:rPr/>
        <w:t>approach</w:t>
      </w:r>
      <w:r>
        <w:rPr>
          <w:spacing w:val="-5"/>
        </w:rPr>
        <w:t> </w:t>
      </w:r>
      <w:r>
        <w:rPr/>
        <w:t>not</w:t>
      </w:r>
      <w:r>
        <w:rPr>
          <w:spacing w:val="-5"/>
        </w:rPr>
        <w:t> </w:t>
      </w:r>
      <w:r>
        <w:rPr/>
        <w:t>previously</w:t>
      </w:r>
      <w:r>
        <w:rPr>
          <w:spacing w:val="-5"/>
        </w:rPr>
        <w:t> </w:t>
      </w:r>
      <w:r>
        <w:rPr/>
        <w:t>considered</w:t>
      </w:r>
      <w:r>
        <w:rPr>
          <w:spacing w:val="-5"/>
        </w:rPr>
        <w:t> </w:t>
      </w:r>
      <w:r>
        <w:rPr/>
        <w:t>in</w:t>
      </w:r>
      <w:r>
        <w:rPr>
          <w:spacing w:val="-5"/>
        </w:rPr>
        <w:t> </w:t>
      </w:r>
      <w:r>
        <w:rPr/>
        <w:t>any</w:t>
      </w:r>
      <w:r>
        <w:rPr>
          <w:spacing w:val="-5"/>
        </w:rPr>
        <w:t> </w:t>
      </w:r>
      <w:r>
        <w:rPr/>
        <w:t>sport. The</w:t>
      </w:r>
      <w:r>
        <w:rPr>
          <w:spacing w:val="-5"/>
        </w:rPr>
        <w:t> </w:t>
      </w:r>
      <w:r>
        <w:rPr/>
        <w:t>Bayesian</w:t>
      </w:r>
      <w:r>
        <w:rPr>
          <w:spacing w:val="-5"/>
        </w:rPr>
        <w:t> </w:t>
      </w:r>
      <w:r>
        <w:rPr/>
        <w:t>Mixture</w:t>
      </w:r>
      <w:r>
        <w:rPr>
          <w:spacing w:val="-5"/>
        </w:rPr>
        <w:t> </w:t>
      </w:r>
      <w:r>
        <w:rPr/>
        <w:t>Model</w:t>
      </w:r>
      <w:r>
        <w:rPr>
          <w:spacing w:val="-5"/>
        </w:rPr>
        <w:t> </w:t>
      </w:r>
      <w:r>
        <w:rPr/>
        <w:t>approach used linear and bilinear interpolation techniques to produce a unique set of weights </w:t>
      </w:r>
      <w:r>
        <w:rPr/>
        <w:t>for 33 centres around the pitch based on their proximity to each </w:t>
      </w:r>
      <w:r>
        <w:rPr>
          <w:rFonts w:ascii="Cambria"/>
        </w:rPr>
        <w:t>x,</w:t>
      </w:r>
      <w:r>
        <w:rPr>
          <w:rFonts w:ascii="Cambria"/>
          <w:spacing w:val="-14"/>
        </w:rPr>
        <w:t> </w:t>
      </w:r>
      <w:r>
        <w:rPr>
          <w:rFonts w:ascii="Cambria"/>
        </w:rPr>
        <w:t>y </w:t>
      </w:r>
      <w:r>
        <w:rPr/>
        <w:t>location on the pitch. These weights were used to estimate the probability of individual possession outcomes for every </w:t>
      </w:r>
      <w:r>
        <w:rPr>
          <w:rFonts w:ascii="Cambria"/>
        </w:rPr>
        <w:t>x,</w:t>
      </w:r>
      <w:r>
        <w:rPr>
          <w:rFonts w:ascii="Cambria"/>
          <w:spacing w:val="-14"/>
        </w:rPr>
        <w:t> </w:t>
      </w:r>
      <w:r>
        <w:rPr>
          <w:rFonts w:ascii="Cambria"/>
        </w:rPr>
        <w:t>y </w:t>
      </w:r>
      <w:r>
        <w:rPr/>
        <w:t>location on the pitch producing a smooth pitch surface.</w:t>
      </w:r>
      <w:r>
        <w:rPr>
          <w:spacing w:val="40"/>
        </w:rPr>
        <w:t> </w:t>
      </w:r>
      <w:r>
        <w:rPr/>
        <w:t>The ability to estimate individual possession outcomes in the same model for the first time is also an extremely</w:t>
      </w:r>
      <w:r>
        <w:rPr>
          <w:spacing w:val="-5"/>
        </w:rPr>
        <w:t> </w:t>
      </w:r>
      <w:r>
        <w:rPr/>
        <w:t>important</w:t>
      </w:r>
      <w:r>
        <w:rPr>
          <w:spacing w:val="-5"/>
        </w:rPr>
        <w:t> </w:t>
      </w:r>
      <w:r>
        <w:rPr/>
        <w:t>addition</w:t>
      </w:r>
      <w:r>
        <w:rPr>
          <w:spacing w:val="-5"/>
        </w:rPr>
        <w:t> </w:t>
      </w:r>
      <w:r>
        <w:rPr/>
        <w:t>to</w:t>
      </w:r>
      <w:r>
        <w:rPr>
          <w:spacing w:val="-5"/>
        </w:rPr>
        <w:t> </w:t>
      </w:r>
      <w:r>
        <w:rPr/>
        <w:t>the</w:t>
      </w:r>
      <w:r>
        <w:rPr>
          <w:spacing w:val="-5"/>
        </w:rPr>
        <w:t> </w:t>
      </w:r>
      <w:r>
        <w:rPr/>
        <w:t>literature. A</w:t>
      </w:r>
      <w:r>
        <w:rPr>
          <w:spacing w:val="-5"/>
        </w:rPr>
        <w:t> </w:t>
      </w:r>
      <w:r>
        <w:rPr/>
        <w:t>secondary</w:t>
      </w:r>
      <w:r>
        <w:rPr>
          <w:spacing w:val="-5"/>
        </w:rPr>
        <w:t> </w:t>
      </w:r>
      <w:r>
        <w:rPr/>
        <w:t>contribution</w:t>
      </w:r>
      <w:r>
        <w:rPr>
          <w:spacing w:val="-5"/>
        </w:rPr>
        <w:t> </w:t>
      </w:r>
      <w:r>
        <w:rPr/>
        <w:t>of</w:t>
      </w:r>
      <w:r>
        <w:rPr>
          <w:spacing w:val="-5"/>
        </w:rPr>
        <w:t> </w:t>
      </w:r>
      <w:r>
        <w:rPr/>
        <w:t>the</w:t>
      </w:r>
      <w:r>
        <w:rPr>
          <w:spacing w:val="-5"/>
        </w:rPr>
        <w:t> </w:t>
      </w:r>
      <w:r>
        <w:rPr/>
        <w:t>study</w:t>
      </w:r>
      <w:r>
        <w:rPr>
          <w:spacing w:val="-5"/>
        </w:rPr>
        <w:t> </w:t>
      </w:r>
      <w:r>
        <w:rPr/>
        <w:t>was the development of two novel performance metrics.</w:t>
      </w:r>
      <w:r>
        <w:rPr>
          <w:spacing w:val="40"/>
        </w:rPr>
        <w:t> </w:t>
      </w:r>
      <w:r>
        <w:rPr/>
        <w:t>Expected points scored combined the results of this study with the results of Chapter</w:t>
      </w:r>
      <w:r>
        <w:rPr>
          <w:color w:val="0000FF"/>
        </w:rPr>
        <w:t>5</w:t>
      </w:r>
      <w:r>
        <w:rPr/>
        <w:t>to evaluate the underlying attacking</w:t>
      </w:r>
    </w:p>
    <w:p>
      <w:pPr>
        <w:spacing w:after="0" w:line="309" w:lineRule="auto"/>
        <w:jc w:val="both"/>
        <w:sectPr>
          <w:pgSz w:w="11910" w:h="16840"/>
          <w:pgMar w:header="1961" w:footer="1428" w:top="2260" w:bottom="1620" w:left="1680" w:right="720"/>
        </w:sectPr>
      </w:pPr>
    </w:p>
    <w:p>
      <w:pPr>
        <w:pStyle w:val="BodyText"/>
        <w:rPr>
          <w:sz w:val="20"/>
        </w:rPr>
      </w:pPr>
    </w:p>
    <w:p>
      <w:pPr>
        <w:pStyle w:val="BodyText"/>
        <w:spacing w:before="7"/>
        <w:rPr>
          <w:sz w:val="22"/>
        </w:rPr>
      </w:pPr>
    </w:p>
    <w:p>
      <w:pPr>
        <w:pStyle w:val="BodyText"/>
        <w:spacing w:line="312" w:lineRule="auto" w:before="97"/>
        <w:ind w:left="610" w:right="389"/>
        <w:jc w:val="both"/>
      </w:pPr>
      <w:r>
        <w:rPr/>
        <w:t>performances of teams.</w:t>
      </w:r>
      <w:r>
        <w:rPr>
          <w:spacing w:val="25"/>
        </w:rPr>
        <w:t> </w:t>
      </w:r>
      <w:r>
        <w:rPr/>
        <w:t>Actual vs expected player ratings highlighted the players </w:t>
      </w:r>
      <w:r>
        <w:rPr/>
        <w:t>whose actions contributed to their team scoring points in matches.</w:t>
      </w:r>
      <w:r>
        <w:rPr>
          <w:spacing w:val="40"/>
        </w:rPr>
        <w:t> </w:t>
      </w:r>
      <w:r>
        <w:rPr/>
        <w:t>Both the model and the re- sults</w:t>
      </w:r>
      <w:r>
        <w:rPr>
          <w:spacing w:val="-1"/>
        </w:rPr>
        <w:t> </w:t>
      </w:r>
      <w:r>
        <w:rPr/>
        <w:t>have</w:t>
      </w:r>
      <w:r>
        <w:rPr>
          <w:spacing w:val="-1"/>
        </w:rPr>
        <w:t> </w:t>
      </w:r>
      <w:r>
        <w:rPr/>
        <w:t>significant</w:t>
      </w:r>
      <w:r>
        <w:rPr>
          <w:spacing w:val="-1"/>
        </w:rPr>
        <w:t> </w:t>
      </w:r>
      <w:r>
        <w:rPr/>
        <w:t>ability</w:t>
      </w:r>
      <w:r>
        <w:rPr>
          <w:spacing w:val="-1"/>
        </w:rPr>
        <w:t> </w:t>
      </w:r>
      <w:r>
        <w:rPr/>
        <w:t>to</w:t>
      </w:r>
      <w:r>
        <w:rPr>
          <w:spacing w:val="-1"/>
        </w:rPr>
        <w:t> </w:t>
      </w:r>
      <w:r>
        <w:rPr/>
        <w:t>influence</w:t>
      </w:r>
      <w:r>
        <w:rPr>
          <w:spacing w:val="-1"/>
        </w:rPr>
        <w:t> </w:t>
      </w:r>
      <w:r>
        <w:rPr/>
        <w:t>the</w:t>
      </w:r>
      <w:r>
        <w:rPr>
          <w:spacing w:val="-1"/>
        </w:rPr>
        <w:t> </w:t>
      </w:r>
      <w:r>
        <w:rPr/>
        <w:t>decisions</w:t>
      </w:r>
      <w:r>
        <w:rPr>
          <w:spacing w:val="-1"/>
        </w:rPr>
        <w:t> </w:t>
      </w:r>
      <w:r>
        <w:rPr/>
        <w:t>made</w:t>
      </w:r>
      <w:r>
        <w:rPr>
          <w:spacing w:val="-1"/>
        </w:rPr>
        <w:t> </w:t>
      </w:r>
      <w:r>
        <w:rPr/>
        <w:t>by</w:t>
      </w:r>
      <w:r>
        <w:rPr>
          <w:spacing w:val="-1"/>
        </w:rPr>
        <w:t> </w:t>
      </w:r>
      <w:r>
        <w:rPr/>
        <w:t>coaching</w:t>
      </w:r>
      <w:r>
        <w:rPr>
          <w:spacing w:val="-1"/>
        </w:rPr>
        <w:t> </w:t>
      </w:r>
      <w:r>
        <w:rPr/>
        <w:t>staff</w:t>
      </w:r>
      <w:r>
        <w:rPr>
          <w:spacing w:val="-1"/>
        </w:rPr>
        <w:t> </w:t>
      </w:r>
      <w:r>
        <w:rPr/>
        <w:t>regarding performance evaluation, tactical strategy development and player recruitment.</w:t>
      </w:r>
    </w:p>
    <w:p>
      <w:pPr>
        <w:pStyle w:val="BodyText"/>
        <w:spacing w:line="312" w:lineRule="auto"/>
        <w:ind w:left="610" w:right="389" w:firstLine="351"/>
        <w:jc w:val="both"/>
      </w:pPr>
      <w:r>
        <w:rPr>
          <w:spacing w:val="-2"/>
        </w:rPr>
        <w:t>The</w:t>
      </w:r>
      <w:r>
        <w:rPr>
          <w:spacing w:val="-6"/>
        </w:rPr>
        <w:t> </w:t>
      </w:r>
      <w:r>
        <w:rPr>
          <w:spacing w:val="-2"/>
        </w:rPr>
        <w:t>completely</w:t>
      </w:r>
      <w:r>
        <w:rPr>
          <w:spacing w:val="-6"/>
        </w:rPr>
        <w:t> </w:t>
      </w:r>
      <w:r>
        <w:rPr>
          <w:spacing w:val="-2"/>
        </w:rPr>
        <w:t>novel</w:t>
      </w:r>
      <w:r>
        <w:rPr>
          <w:spacing w:val="-6"/>
        </w:rPr>
        <w:t> </w:t>
      </w:r>
      <w:r>
        <w:rPr>
          <w:spacing w:val="-2"/>
        </w:rPr>
        <w:t>Bayesian</w:t>
      </w:r>
      <w:r>
        <w:rPr>
          <w:spacing w:val="-6"/>
        </w:rPr>
        <w:t> </w:t>
      </w:r>
      <w:r>
        <w:rPr>
          <w:spacing w:val="-2"/>
        </w:rPr>
        <w:t>Mixture</w:t>
      </w:r>
      <w:r>
        <w:rPr>
          <w:spacing w:val="-6"/>
        </w:rPr>
        <w:t> </w:t>
      </w:r>
      <w:r>
        <w:rPr>
          <w:spacing w:val="-2"/>
        </w:rPr>
        <w:t>Model</w:t>
      </w:r>
      <w:r>
        <w:rPr>
          <w:spacing w:val="-6"/>
        </w:rPr>
        <w:t> </w:t>
      </w:r>
      <w:r>
        <w:rPr>
          <w:spacing w:val="-2"/>
        </w:rPr>
        <w:t>described</w:t>
      </w:r>
      <w:r>
        <w:rPr>
          <w:spacing w:val="-6"/>
        </w:rPr>
        <w:t> </w:t>
      </w:r>
      <w:r>
        <w:rPr>
          <w:spacing w:val="-2"/>
        </w:rPr>
        <w:t>by</w:t>
      </w:r>
      <w:r>
        <w:rPr>
          <w:spacing w:val="-6"/>
        </w:rPr>
        <w:t> </w:t>
      </w:r>
      <w:r>
        <w:rPr>
          <w:spacing w:val="-2"/>
        </w:rPr>
        <w:t>this</w:t>
      </w:r>
      <w:r>
        <w:rPr>
          <w:spacing w:val="-6"/>
        </w:rPr>
        <w:t> </w:t>
      </w:r>
      <w:r>
        <w:rPr>
          <w:spacing w:val="-2"/>
        </w:rPr>
        <w:t>study</w:t>
      </w:r>
      <w:r>
        <w:rPr>
          <w:spacing w:val="-6"/>
        </w:rPr>
        <w:t> </w:t>
      </w:r>
      <w:r>
        <w:rPr>
          <w:spacing w:val="-2"/>
        </w:rPr>
        <w:t>allowed</w:t>
      </w:r>
      <w:r>
        <w:rPr>
          <w:spacing w:val="-6"/>
        </w:rPr>
        <w:t> </w:t>
      </w:r>
      <w:r>
        <w:rPr>
          <w:spacing w:val="-2"/>
        </w:rPr>
        <w:t>for</w:t>
      </w:r>
      <w:r>
        <w:rPr>
          <w:spacing w:val="-6"/>
        </w:rPr>
        <w:t> </w:t>
      </w:r>
      <w:r>
        <w:rPr>
          <w:spacing w:val="-2"/>
        </w:rPr>
        <w:t>the </w:t>
      </w:r>
      <w:r>
        <w:rPr/>
        <w:t>estimation</w:t>
      </w:r>
      <w:r>
        <w:rPr>
          <w:spacing w:val="-5"/>
        </w:rPr>
        <w:t> </w:t>
      </w:r>
      <w:r>
        <w:rPr/>
        <w:t>of</w:t>
      </w:r>
      <w:r>
        <w:rPr>
          <w:spacing w:val="-5"/>
        </w:rPr>
        <w:t> </w:t>
      </w:r>
      <w:r>
        <w:rPr/>
        <w:t>individual</w:t>
      </w:r>
      <w:r>
        <w:rPr>
          <w:spacing w:val="-4"/>
        </w:rPr>
        <w:t> </w:t>
      </w:r>
      <w:r>
        <w:rPr/>
        <w:t>possession</w:t>
      </w:r>
      <w:r>
        <w:rPr>
          <w:spacing w:val="-5"/>
        </w:rPr>
        <w:t> </w:t>
      </w:r>
      <w:r>
        <w:rPr/>
        <w:t>outcomes</w:t>
      </w:r>
      <w:r>
        <w:rPr>
          <w:spacing w:val="-5"/>
        </w:rPr>
        <w:t> </w:t>
      </w:r>
      <w:r>
        <w:rPr/>
        <w:t>in</w:t>
      </w:r>
      <w:r>
        <w:rPr>
          <w:spacing w:val="-5"/>
        </w:rPr>
        <w:t> </w:t>
      </w:r>
      <w:r>
        <w:rPr/>
        <w:t>the</w:t>
      </w:r>
      <w:r>
        <w:rPr>
          <w:spacing w:val="-5"/>
        </w:rPr>
        <w:t> </w:t>
      </w:r>
      <w:r>
        <w:rPr/>
        <w:t>same</w:t>
      </w:r>
      <w:r>
        <w:rPr>
          <w:spacing w:val="-4"/>
        </w:rPr>
        <w:t> </w:t>
      </w:r>
      <w:r>
        <w:rPr/>
        <w:t>model,</w:t>
      </w:r>
      <w:r>
        <w:rPr>
          <w:spacing w:val="-4"/>
        </w:rPr>
        <w:t> </w:t>
      </w:r>
      <w:r>
        <w:rPr/>
        <w:t>whilst</w:t>
      </w:r>
      <w:r>
        <w:rPr>
          <w:spacing w:val="-5"/>
        </w:rPr>
        <w:t> </w:t>
      </w:r>
      <w:r>
        <w:rPr/>
        <w:t>also</w:t>
      </w:r>
      <w:r>
        <w:rPr>
          <w:spacing w:val="-4"/>
        </w:rPr>
        <w:t> </w:t>
      </w:r>
      <w:r>
        <w:rPr/>
        <w:t>producing</w:t>
      </w:r>
      <w:r>
        <w:rPr>
          <w:spacing w:val="-5"/>
        </w:rPr>
        <w:t> </w:t>
      </w:r>
      <w:r>
        <w:rPr/>
        <w:t>a smooth</w:t>
      </w:r>
      <w:r>
        <w:rPr>
          <w:spacing w:val="-8"/>
        </w:rPr>
        <w:t> </w:t>
      </w:r>
      <w:r>
        <w:rPr/>
        <w:t>pitch</w:t>
      </w:r>
      <w:r>
        <w:rPr>
          <w:spacing w:val="-8"/>
        </w:rPr>
        <w:t> </w:t>
      </w:r>
      <w:r>
        <w:rPr/>
        <w:t>surface. This</w:t>
      </w:r>
      <w:r>
        <w:rPr>
          <w:spacing w:val="-8"/>
        </w:rPr>
        <w:t> </w:t>
      </w:r>
      <w:r>
        <w:rPr/>
        <w:t>novel</w:t>
      </w:r>
      <w:r>
        <w:rPr>
          <w:spacing w:val="-8"/>
        </w:rPr>
        <w:t> </w:t>
      </w:r>
      <w:r>
        <w:rPr/>
        <w:t>methodology,</w:t>
      </w:r>
      <w:r>
        <w:rPr>
          <w:spacing w:val="-8"/>
        </w:rPr>
        <w:t> </w:t>
      </w:r>
      <w:r>
        <w:rPr/>
        <w:t>alongside</w:t>
      </w:r>
      <w:r>
        <w:rPr>
          <w:spacing w:val="-8"/>
        </w:rPr>
        <w:t> </w:t>
      </w:r>
      <w:r>
        <w:rPr/>
        <w:t>the</w:t>
      </w:r>
      <w:r>
        <w:rPr>
          <w:spacing w:val="-8"/>
        </w:rPr>
        <w:t> </w:t>
      </w:r>
      <w:r>
        <w:rPr/>
        <w:t>novel</w:t>
      </w:r>
      <w:r>
        <w:rPr>
          <w:spacing w:val="-8"/>
        </w:rPr>
        <w:t> </w:t>
      </w:r>
      <w:r>
        <w:rPr/>
        <w:t>metrics</w:t>
      </w:r>
      <w:r>
        <w:rPr>
          <w:spacing w:val="-8"/>
        </w:rPr>
        <w:t> </w:t>
      </w:r>
      <w:r>
        <w:rPr/>
        <w:t>devised</w:t>
      </w:r>
      <w:r>
        <w:rPr>
          <w:spacing w:val="-8"/>
        </w:rPr>
        <w:t> </w:t>
      </w:r>
      <w:r>
        <w:rPr/>
        <w:t>from its</w:t>
      </w:r>
      <w:r>
        <w:rPr>
          <w:spacing w:val="-9"/>
        </w:rPr>
        <w:t> </w:t>
      </w:r>
      <w:r>
        <w:rPr/>
        <w:t>results</w:t>
      </w:r>
      <w:r>
        <w:rPr>
          <w:spacing w:val="-9"/>
        </w:rPr>
        <w:t> </w:t>
      </w:r>
      <w:r>
        <w:rPr/>
        <w:t>ensure</w:t>
      </w:r>
      <w:r>
        <w:rPr>
          <w:spacing w:val="-9"/>
        </w:rPr>
        <w:t> </w:t>
      </w:r>
      <w:r>
        <w:rPr/>
        <w:t>this</w:t>
      </w:r>
      <w:r>
        <w:rPr>
          <w:spacing w:val="-9"/>
        </w:rPr>
        <w:t> </w:t>
      </w:r>
      <w:r>
        <w:rPr/>
        <w:t>chapter</w:t>
      </w:r>
      <w:r>
        <w:rPr>
          <w:spacing w:val="-8"/>
        </w:rPr>
        <w:t> </w:t>
      </w:r>
      <w:r>
        <w:rPr/>
        <w:t>completely</w:t>
      </w:r>
      <w:r>
        <w:rPr>
          <w:spacing w:val="-9"/>
        </w:rPr>
        <w:t> </w:t>
      </w:r>
      <w:r>
        <w:rPr/>
        <w:t>met</w:t>
      </w:r>
      <w:r>
        <w:rPr>
          <w:spacing w:val="-9"/>
        </w:rPr>
        <w:t> </w:t>
      </w:r>
      <w:r>
        <w:rPr/>
        <w:t>objective</w:t>
      </w:r>
      <w:r>
        <w:rPr>
          <w:spacing w:val="-9"/>
        </w:rPr>
        <w:t> </w:t>
      </w:r>
      <w:r>
        <w:rPr/>
        <w:t>4</w:t>
      </w:r>
      <w:r>
        <w:rPr>
          <w:spacing w:val="-9"/>
        </w:rPr>
        <w:t> </w:t>
      </w:r>
      <w:r>
        <w:rPr/>
        <w:t>of</w:t>
      </w:r>
      <w:r>
        <w:rPr>
          <w:spacing w:val="-9"/>
        </w:rPr>
        <w:t> </w:t>
      </w:r>
      <w:r>
        <w:rPr/>
        <w:t>this</w:t>
      </w:r>
      <w:r>
        <w:rPr>
          <w:spacing w:val="-9"/>
        </w:rPr>
        <w:t> </w:t>
      </w:r>
      <w:r>
        <w:rPr/>
        <w:t>project. Furthermore,</w:t>
      </w:r>
      <w:r>
        <w:rPr>
          <w:spacing w:val="-8"/>
        </w:rPr>
        <w:t> </w:t>
      </w:r>
      <w:r>
        <w:rPr/>
        <w:t>the </w:t>
      </w:r>
      <w:r>
        <w:rPr>
          <w:spacing w:val="-2"/>
        </w:rPr>
        <w:t>positive</w:t>
      </w:r>
      <w:r>
        <w:rPr>
          <w:spacing w:val="-7"/>
        </w:rPr>
        <w:t> </w:t>
      </w:r>
      <w:r>
        <w:rPr>
          <w:spacing w:val="-2"/>
        </w:rPr>
        <w:t>feedback</w:t>
      </w:r>
      <w:r>
        <w:rPr>
          <w:spacing w:val="-7"/>
        </w:rPr>
        <w:t> </w:t>
      </w:r>
      <w:r>
        <w:rPr>
          <w:spacing w:val="-2"/>
        </w:rPr>
        <w:t>from</w:t>
      </w:r>
      <w:r>
        <w:rPr>
          <w:spacing w:val="-7"/>
        </w:rPr>
        <w:t> </w:t>
      </w:r>
      <w:r>
        <w:rPr>
          <w:spacing w:val="-2"/>
        </w:rPr>
        <w:t>coaches</w:t>
      </w:r>
      <w:r>
        <w:rPr>
          <w:spacing w:val="-7"/>
        </w:rPr>
        <w:t> </w:t>
      </w:r>
      <w:r>
        <w:rPr>
          <w:spacing w:val="-2"/>
        </w:rPr>
        <w:t>after</w:t>
      </w:r>
      <w:r>
        <w:rPr>
          <w:spacing w:val="-7"/>
        </w:rPr>
        <w:t> </w:t>
      </w:r>
      <w:r>
        <w:rPr>
          <w:spacing w:val="-2"/>
        </w:rPr>
        <w:t>the</w:t>
      </w:r>
      <w:r>
        <w:rPr>
          <w:spacing w:val="-7"/>
        </w:rPr>
        <w:t> </w:t>
      </w:r>
      <w:r>
        <w:rPr>
          <w:spacing w:val="-2"/>
        </w:rPr>
        <w:t>work</w:t>
      </w:r>
      <w:r>
        <w:rPr>
          <w:spacing w:val="-7"/>
        </w:rPr>
        <w:t> </w:t>
      </w:r>
      <w:r>
        <w:rPr>
          <w:spacing w:val="-2"/>
        </w:rPr>
        <w:t>had</w:t>
      </w:r>
      <w:r>
        <w:rPr>
          <w:spacing w:val="-7"/>
        </w:rPr>
        <w:t> </w:t>
      </w:r>
      <w:r>
        <w:rPr>
          <w:spacing w:val="-2"/>
        </w:rPr>
        <w:t>been</w:t>
      </w:r>
      <w:r>
        <w:rPr>
          <w:spacing w:val="-7"/>
        </w:rPr>
        <w:t> </w:t>
      </w:r>
      <w:r>
        <w:rPr>
          <w:spacing w:val="-2"/>
        </w:rPr>
        <w:t>presented</w:t>
      </w:r>
      <w:r>
        <w:rPr>
          <w:spacing w:val="-7"/>
        </w:rPr>
        <w:t> </w:t>
      </w:r>
      <w:r>
        <w:rPr>
          <w:spacing w:val="-2"/>
        </w:rPr>
        <w:t>ensured</w:t>
      </w:r>
      <w:r>
        <w:rPr>
          <w:spacing w:val="-7"/>
        </w:rPr>
        <w:t> </w:t>
      </w:r>
      <w:r>
        <w:rPr>
          <w:spacing w:val="-2"/>
        </w:rPr>
        <w:t>that</w:t>
      </w:r>
      <w:r>
        <w:rPr>
          <w:spacing w:val="-7"/>
        </w:rPr>
        <w:t> </w:t>
      </w:r>
      <w:r>
        <w:rPr>
          <w:spacing w:val="-2"/>
        </w:rPr>
        <w:t>it</w:t>
      </w:r>
      <w:r>
        <w:rPr>
          <w:spacing w:val="-7"/>
        </w:rPr>
        <w:t> </w:t>
      </w:r>
      <w:r>
        <w:rPr>
          <w:spacing w:val="-2"/>
        </w:rPr>
        <w:t>also</w:t>
      </w:r>
      <w:r>
        <w:rPr>
          <w:spacing w:val="-7"/>
        </w:rPr>
        <w:t> </w:t>
      </w:r>
      <w:r>
        <w:rPr>
          <w:spacing w:val="-2"/>
        </w:rPr>
        <w:t>fully </w:t>
      </w:r>
      <w:r>
        <w:rPr/>
        <w:t>met objective 5 of this PhD project, providing usable and reliable results for both </w:t>
      </w:r>
      <w:r>
        <w:rPr/>
        <w:t>team and player performances, which could significantly impact long and short-term decision making at rugby league clubs.</w:t>
      </w:r>
    </w:p>
    <w:p>
      <w:pPr>
        <w:pStyle w:val="BodyText"/>
        <w:spacing w:before="5"/>
        <w:rPr>
          <w:sz w:val="34"/>
        </w:rPr>
      </w:pPr>
    </w:p>
    <w:p>
      <w:pPr>
        <w:pStyle w:val="Heading3"/>
        <w:numPr>
          <w:ilvl w:val="2"/>
          <w:numId w:val="26"/>
        </w:numPr>
        <w:tabs>
          <w:tab w:pos="1471" w:val="left" w:leader="none"/>
          <w:tab w:pos="1472" w:val="left" w:leader="none"/>
        </w:tabs>
        <w:spacing w:line="240" w:lineRule="auto" w:before="0" w:after="0"/>
        <w:ind w:left="1471" w:right="0" w:hanging="862"/>
        <w:jc w:val="left"/>
      </w:pPr>
      <w:bookmarkStart w:name="_TOC_250002" w:id="378"/>
      <w:bookmarkStart w:name="7.2.5 Summary of contributions" w:id="379"/>
      <w:r>
        <w:rPr>
          <w:b w:val="0"/>
        </w:rPr>
      </w:r>
      <w:bookmarkStart w:name="_bookmark221" w:id="380"/>
      <w:bookmarkEnd w:id="380"/>
      <w:r>
        <w:rPr/>
        <w:t>Summary</w:t>
      </w:r>
      <w:r>
        <w:rPr>
          <w:spacing w:val="15"/>
        </w:rPr>
        <w:t> </w:t>
      </w:r>
      <w:r>
        <w:rPr/>
        <w:t>of</w:t>
      </w:r>
      <w:r>
        <w:rPr>
          <w:spacing w:val="15"/>
        </w:rPr>
        <w:t> </w:t>
      </w:r>
      <w:bookmarkEnd w:id="378"/>
      <w:r>
        <w:rPr>
          <w:spacing w:val="-2"/>
        </w:rPr>
        <w:t>contributions</w:t>
      </w:r>
    </w:p>
    <w:p>
      <w:pPr>
        <w:pStyle w:val="BodyText"/>
        <w:spacing w:before="235"/>
        <w:ind w:left="610"/>
      </w:pPr>
      <w:r>
        <w:rPr/>
        <w:t>Chapters</w:t>
      </w:r>
      <w:r>
        <w:rPr>
          <w:color w:val="0000FF"/>
        </w:rPr>
        <w:t>2</w:t>
      </w:r>
      <w:r>
        <w:rPr/>
        <w:t>to</w:t>
      </w:r>
      <w:r>
        <w:rPr>
          <w:color w:val="0000FF"/>
        </w:rPr>
        <w:t>6</w:t>
      </w:r>
      <w:hyperlink w:history="true" w:anchor="_bookmark170">
        <w:r>
          <w:rPr/>
          <w:t>met</w:t>
        </w:r>
      </w:hyperlink>
      <w:r>
        <w:rPr>
          <w:spacing w:val="13"/>
        </w:rPr>
        <w:t> </w:t>
      </w:r>
      <w:r>
        <w:rPr/>
        <w:t>all</w:t>
      </w:r>
      <w:r>
        <w:rPr>
          <w:spacing w:val="13"/>
        </w:rPr>
        <w:t> </w:t>
      </w:r>
      <w:r>
        <w:rPr/>
        <w:t>objectives</w:t>
      </w:r>
      <w:r>
        <w:rPr>
          <w:spacing w:val="14"/>
        </w:rPr>
        <w:t> </w:t>
      </w:r>
      <w:r>
        <w:rPr/>
        <w:t>of</w:t>
      </w:r>
      <w:r>
        <w:rPr>
          <w:spacing w:val="13"/>
        </w:rPr>
        <w:t> </w:t>
      </w:r>
      <w:r>
        <w:rPr/>
        <w:t>this</w:t>
      </w:r>
      <w:r>
        <w:rPr>
          <w:spacing w:val="13"/>
        </w:rPr>
        <w:t> </w:t>
      </w:r>
      <w:r>
        <w:rPr/>
        <w:t>thesis.</w:t>
      </w:r>
      <w:r>
        <w:rPr>
          <w:spacing w:val="70"/>
        </w:rPr>
        <w:t> </w:t>
      </w:r>
      <w:r>
        <w:rPr/>
        <w:t>However,</w:t>
      </w:r>
      <w:r>
        <w:rPr>
          <w:spacing w:val="18"/>
        </w:rPr>
        <w:t> </w:t>
      </w:r>
      <w:r>
        <w:rPr/>
        <w:t>although</w:t>
      </w:r>
      <w:r>
        <w:rPr>
          <w:spacing w:val="14"/>
        </w:rPr>
        <w:t> </w:t>
      </w:r>
      <w:r>
        <w:rPr>
          <w:spacing w:val="-2"/>
        </w:rPr>
        <w:t>Chapters</w:t>
      </w:r>
      <w:r>
        <w:rPr>
          <w:color w:val="0000FF"/>
          <w:spacing w:val="-2"/>
        </w:rPr>
        <w:t>3</w:t>
      </w:r>
      <w:r>
        <w:rPr>
          <w:spacing w:val="-2"/>
        </w:rPr>
        <w:t>and</w:t>
      </w:r>
      <w:hyperlink w:history="true" w:anchor="_bookmark48">
        <w:r>
          <w:rPr>
            <w:color w:val="0000FF"/>
            <w:spacing w:val="-2"/>
          </w:rPr>
          <w:t>4</w:t>
        </w:r>
      </w:hyperlink>
    </w:p>
    <w:p>
      <w:pPr>
        <w:pStyle w:val="BodyText"/>
        <w:spacing w:line="312" w:lineRule="auto" w:before="83"/>
        <w:ind w:left="610" w:right="389"/>
      </w:pPr>
      <w:r>
        <w:rPr/>
        <w:t>were shown to meet objective 3 (validation of existing methods and methodologies), </w:t>
      </w:r>
      <w:r>
        <w:rPr/>
        <w:t>it was</w:t>
      </w:r>
      <w:r>
        <w:rPr>
          <w:spacing w:val="-7"/>
        </w:rPr>
        <w:t> </w:t>
      </w:r>
      <w:r>
        <w:rPr/>
        <w:t>clear</w:t>
      </w:r>
      <w:r>
        <w:rPr>
          <w:spacing w:val="-7"/>
        </w:rPr>
        <w:t> </w:t>
      </w:r>
      <w:r>
        <w:rPr/>
        <w:t>that</w:t>
      </w:r>
      <w:r>
        <w:rPr>
          <w:spacing w:val="-7"/>
        </w:rPr>
        <w:t> </w:t>
      </w:r>
      <w:r>
        <w:rPr/>
        <w:t>limitations</w:t>
      </w:r>
      <w:r>
        <w:rPr>
          <w:spacing w:val="-7"/>
        </w:rPr>
        <w:t> </w:t>
      </w:r>
      <w:r>
        <w:rPr/>
        <w:t>within</w:t>
      </w:r>
      <w:r>
        <w:rPr>
          <w:spacing w:val="-7"/>
        </w:rPr>
        <w:t> </w:t>
      </w:r>
      <w:r>
        <w:rPr/>
        <w:t>the</w:t>
      </w:r>
      <w:r>
        <w:rPr>
          <w:spacing w:val="-7"/>
        </w:rPr>
        <w:t> </w:t>
      </w:r>
      <w:r>
        <w:rPr/>
        <w:t>existing</w:t>
      </w:r>
      <w:r>
        <w:rPr>
          <w:spacing w:val="-7"/>
        </w:rPr>
        <w:t> </w:t>
      </w:r>
      <w:r>
        <w:rPr/>
        <w:t>methodologies</w:t>
      </w:r>
      <w:r>
        <w:rPr>
          <w:spacing w:val="-7"/>
        </w:rPr>
        <w:t> </w:t>
      </w:r>
      <w:r>
        <w:rPr/>
        <w:t>and</w:t>
      </w:r>
      <w:r>
        <w:rPr>
          <w:spacing w:val="-7"/>
        </w:rPr>
        <w:t> </w:t>
      </w:r>
      <w:r>
        <w:rPr/>
        <w:t>the</w:t>
      </w:r>
      <w:r>
        <w:rPr>
          <w:spacing w:val="-7"/>
        </w:rPr>
        <w:t> </w:t>
      </w:r>
      <w:r>
        <w:rPr/>
        <w:t>data</w:t>
      </w:r>
      <w:r>
        <w:rPr>
          <w:spacing w:val="-7"/>
        </w:rPr>
        <w:t> </w:t>
      </w:r>
      <w:r>
        <w:rPr/>
        <w:t>available</w:t>
      </w:r>
      <w:r>
        <w:rPr>
          <w:spacing w:val="-7"/>
        </w:rPr>
        <w:t> </w:t>
      </w:r>
      <w:r>
        <w:rPr/>
        <w:t>within the</w:t>
      </w:r>
      <w:r>
        <w:rPr>
          <w:spacing w:val="-13"/>
        </w:rPr>
        <w:t> </w:t>
      </w:r>
      <w:r>
        <w:rPr/>
        <w:t>sport</w:t>
      </w:r>
      <w:r>
        <w:rPr>
          <w:spacing w:val="-13"/>
        </w:rPr>
        <w:t> </w:t>
      </w:r>
      <w:r>
        <w:rPr/>
        <w:t>limited</w:t>
      </w:r>
      <w:r>
        <w:rPr>
          <w:spacing w:val="-13"/>
        </w:rPr>
        <w:t> </w:t>
      </w:r>
      <w:r>
        <w:rPr/>
        <w:t>their</w:t>
      </w:r>
      <w:r>
        <w:rPr>
          <w:spacing w:val="-13"/>
        </w:rPr>
        <w:t> </w:t>
      </w:r>
      <w:r>
        <w:rPr/>
        <w:t>reliability</w:t>
      </w:r>
      <w:r>
        <w:rPr>
          <w:spacing w:val="-13"/>
        </w:rPr>
        <w:t> </w:t>
      </w:r>
      <w:r>
        <w:rPr/>
        <w:t>and</w:t>
      </w:r>
      <w:r>
        <w:rPr>
          <w:spacing w:val="-13"/>
        </w:rPr>
        <w:t> </w:t>
      </w:r>
      <w:r>
        <w:rPr/>
        <w:t>usability</w:t>
      </w:r>
      <w:r>
        <w:rPr>
          <w:spacing w:val="-13"/>
        </w:rPr>
        <w:t> </w:t>
      </w:r>
      <w:r>
        <w:rPr/>
        <w:t>in</w:t>
      </w:r>
      <w:r>
        <w:rPr>
          <w:spacing w:val="-12"/>
        </w:rPr>
        <w:t> </w:t>
      </w:r>
      <w:r>
        <w:rPr/>
        <w:t>practice.</w:t>
      </w:r>
      <w:r>
        <w:rPr>
          <w:spacing w:val="5"/>
        </w:rPr>
        <w:t> </w:t>
      </w:r>
      <w:r>
        <w:rPr/>
        <w:t>The</w:t>
      </w:r>
      <w:r>
        <w:rPr>
          <w:spacing w:val="-12"/>
        </w:rPr>
        <w:t> </w:t>
      </w:r>
      <w:r>
        <w:rPr/>
        <w:t>key</w:t>
      </w:r>
      <w:r>
        <w:rPr>
          <w:spacing w:val="-13"/>
        </w:rPr>
        <w:t> </w:t>
      </w:r>
      <w:r>
        <w:rPr/>
        <w:t>issue</w:t>
      </w:r>
      <w:r>
        <w:rPr>
          <w:spacing w:val="-13"/>
        </w:rPr>
        <w:t> </w:t>
      </w:r>
      <w:r>
        <w:rPr/>
        <w:t>with</w:t>
      </w:r>
      <w:r>
        <w:rPr>
          <w:spacing w:val="-13"/>
        </w:rPr>
        <w:t> </w:t>
      </w:r>
      <w:r>
        <w:rPr/>
        <w:t>these</w:t>
      </w:r>
      <w:r>
        <w:rPr>
          <w:spacing w:val="-13"/>
        </w:rPr>
        <w:t> </w:t>
      </w:r>
      <w:r>
        <w:rPr/>
        <w:t>studies was</w:t>
      </w:r>
      <w:r>
        <w:rPr>
          <w:spacing w:val="-8"/>
        </w:rPr>
        <w:t> </w:t>
      </w:r>
      <w:r>
        <w:rPr/>
        <w:t>their</w:t>
      </w:r>
      <w:r>
        <w:rPr>
          <w:spacing w:val="-8"/>
        </w:rPr>
        <w:t> </w:t>
      </w:r>
      <w:r>
        <w:rPr/>
        <w:t>zonal</w:t>
      </w:r>
      <w:r>
        <w:rPr>
          <w:spacing w:val="-8"/>
        </w:rPr>
        <w:t> </w:t>
      </w:r>
      <w:r>
        <w:rPr/>
        <w:t>approach</w:t>
      </w:r>
      <w:r>
        <w:rPr>
          <w:spacing w:val="-8"/>
        </w:rPr>
        <w:t> </w:t>
      </w:r>
      <w:r>
        <w:rPr/>
        <w:t>to</w:t>
      </w:r>
      <w:r>
        <w:rPr>
          <w:spacing w:val="-8"/>
        </w:rPr>
        <w:t> </w:t>
      </w:r>
      <w:r>
        <w:rPr/>
        <w:t>analysis</w:t>
      </w:r>
      <w:r>
        <w:rPr>
          <w:spacing w:val="-8"/>
        </w:rPr>
        <w:t> </w:t>
      </w:r>
      <w:r>
        <w:rPr/>
        <w:t>so</w:t>
      </w:r>
      <w:r>
        <w:rPr>
          <w:spacing w:val="-8"/>
        </w:rPr>
        <w:t> </w:t>
      </w:r>
      <w:r>
        <w:rPr/>
        <w:t>novel</w:t>
      </w:r>
      <w:r>
        <w:rPr>
          <w:spacing w:val="-8"/>
        </w:rPr>
        <w:t> </w:t>
      </w:r>
      <w:r>
        <w:rPr/>
        <w:t>methodologies</w:t>
      </w:r>
      <w:r>
        <w:rPr>
          <w:spacing w:val="-8"/>
        </w:rPr>
        <w:t> </w:t>
      </w:r>
      <w:r>
        <w:rPr/>
        <w:t>and</w:t>
      </w:r>
      <w:r>
        <w:rPr>
          <w:spacing w:val="-8"/>
        </w:rPr>
        <w:t> </w:t>
      </w:r>
      <w:r>
        <w:rPr/>
        <w:t>metrics</w:t>
      </w:r>
      <w:r>
        <w:rPr>
          <w:spacing w:val="-8"/>
        </w:rPr>
        <w:t> </w:t>
      </w:r>
      <w:r>
        <w:rPr/>
        <w:t>were</w:t>
      </w:r>
      <w:r>
        <w:rPr>
          <w:spacing w:val="-8"/>
        </w:rPr>
        <w:t> </w:t>
      </w:r>
      <w:r>
        <w:rPr/>
        <w:t>developed in Chapters</w:t>
      </w:r>
      <w:r>
        <w:rPr>
          <w:color w:val="0000FF"/>
        </w:rPr>
        <w:t>5</w:t>
      </w:r>
      <w:r>
        <w:rPr/>
        <w:t>and</w:t>
      </w:r>
      <w:r>
        <w:rPr>
          <w:color w:val="0000FF"/>
        </w:rPr>
        <w:t>6</w:t>
      </w:r>
      <w:r>
        <w:rPr/>
        <w:t>. These methodologies used a smooth pitch surface to evaluate player and team performances, providing significantly more usable and reliable results.</w:t>
      </w:r>
    </w:p>
    <w:p>
      <w:pPr>
        <w:pStyle w:val="BodyText"/>
        <w:spacing w:line="312" w:lineRule="auto"/>
        <w:ind w:left="610" w:right="385" w:firstLine="351"/>
      </w:pPr>
      <w:r>
        <w:rPr/>
        <w:t>Of the four models produced in this thesis, the EPV model described in Chapter</w:t>
      </w:r>
      <w:r>
        <w:rPr>
          <w:color w:val="0000FF"/>
        </w:rPr>
        <w:t>6</w:t>
      </w:r>
      <w:r>
        <w:rPr/>
        <w:t>is </w:t>
      </w:r>
      <w:r>
        <w:rPr>
          <w:spacing w:val="-2"/>
        </w:rPr>
        <w:t>the</w:t>
      </w:r>
      <w:r>
        <w:rPr>
          <w:spacing w:val="-9"/>
        </w:rPr>
        <w:t> </w:t>
      </w:r>
      <w:r>
        <w:rPr>
          <w:spacing w:val="-2"/>
        </w:rPr>
        <w:t>most</w:t>
      </w:r>
      <w:r>
        <w:rPr>
          <w:spacing w:val="-9"/>
        </w:rPr>
        <w:t> </w:t>
      </w:r>
      <w:r>
        <w:rPr>
          <w:spacing w:val="-2"/>
        </w:rPr>
        <w:t>comprehensive.</w:t>
      </w:r>
      <w:r>
        <w:rPr>
          <w:spacing w:val="17"/>
        </w:rPr>
        <w:t> </w:t>
      </w:r>
      <w:r>
        <w:rPr>
          <w:spacing w:val="-2"/>
        </w:rPr>
        <w:t>The</w:t>
      </w:r>
      <w:r>
        <w:rPr>
          <w:spacing w:val="-9"/>
        </w:rPr>
        <w:t> </w:t>
      </w:r>
      <w:r>
        <w:rPr>
          <w:spacing w:val="-2"/>
        </w:rPr>
        <w:t>Bayesian</w:t>
      </w:r>
      <w:r>
        <w:rPr>
          <w:spacing w:val="-9"/>
        </w:rPr>
        <w:t> </w:t>
      </w:r>
      <w:r>
        <w:rPr>
          <w:spacing w:val="-2"/>
        </w:rPr>
        <w:t>Mixture</w:t>
      </w:r>
      <w:r>
        <w:rPr>
          <w:spacing w:val="-9"/>
        </w:rPr>
        <w:t> </w:t>
      </w:r>
      <w:r>
        <w:rPr>
          <w:spacing w:val="-2"/>
        </w:rPr>
        <w:t>Model</w:t>
      </w:r>
      <w:r>
        <w:rPr>
          <w:spacing w:val="-9"/>
        </w:rPr>
        <w:t> </w:t>
      </w:r>
      <w:r>
        <w:rPr>
          <w:spacing w:val="-2"/>
        </w:rPr>
        <w:t>approach</w:t>
      </w:r>
      <w:r>
        <w:rPr>
          <w:spacing w:val="-9"/>
        </w:rPr>
        <w:t> </w:t>
      </w:r>
      <w:r>
        <w:rPr>
          <w:spacing w:val="-2"/>
        </w:rPr>
        <w:t>improved</w:t>
      </w:r>
      <w:r>
        <w:rPr>
          <w:spacing w:val="-9"/>
        </w:rPr>
        <w:t> </w:t>
      </w:r>
      <w:r>
        <w:rPr>
          <w:spacing w:val="-2"/>
        </w:rPr>
        <w:t>upon</w:t>
      </w:r>
      <w:r>
        <w:rPr>
          <w:spacing w:val="-9"/>
        </w:rPr>
        <w:t> </w:t>
      </w:r>
      <w:r>
        <w:rPr>
          <w:spacing w:val="-2"/>
        </w:rPr>
        <w:t>the</w:t>
      </w:r>
      <w:r>
        <w:rPr>
          <w:spacing w:val="-9"/>
        </w:rPr>
        <w:t> </w:t>
      </w:r>
      <w:r>
        <w:rPr>
          <w:spacing w:val="-2"/>
        </w:rPr>
        <w:t>zonal </w:t>
      </w:r>
      <w:r>
        <w:rPr/>
        <w:t>approaches previously adopted in the literature (Chapters</w:t>
      </w:r>
      <w:r>
        <w:rPr>
          <w:color w:val="0000FF"/>
        </w:rPr>
        <w:t>3</w:t>
      </w:r>
      <w:r>
        <w:rPr/>
        <w:t>and</w:t>
      </w:r>
      <w:r>
        <w:rPr>
          <w:color w:val="0000FF"/>
        </w:rPr>
        <w:t>4</w:t>
      </w:r>
      <w:r>
        <w:rPr/>
        <w:t>;</w:t>
      </w:r>
      <w:hyperlink w:history="true" w:anchor="_bookmark92">
        <w:r>
          <w:rPr>
            <w:color w:val="FF0000"/>
          </w:rPr>
          <w:t>Cerv</w:t>
        </w:r>
      </w:hyperlink>
      <w:hyperlink w:history="true" w:anchor="_bookmark231">
        <w:r>
          <w:rPr>
            <w:color w:val="FF0000"/>
          </w:rPr>
          <w:t>one et al.</w:t>
        </w:r>
        <w:r>
          <w:rPr/>
          <w:t>(</w:t>
        </w:r>
      </w:hyperlink>
      <w:r>
        <w:rPr>
          <w:color w:val="FF0000"/>
        </w:rPr>
        <w:t>2016</w:t>
      </w:r>
      <w:hyperlink w:history="true" w:anchor="_bookmark231">
        <w:r>
          <w:rPr/>
          <w:t>);</w:t>
        </w:r>
      </w:hyperlink>
      <w:r>
        <w:rPr/>
        <w:t> </w:t>
      </w:r>
      <w:hyperlink w:history="true" w:anchor="_bookmark263">
        <w:r>
          <w:rPr>
            <w:color w:val="FF0000"/>
          </w:rPr>
          <w:t>Kempton et al.</w:t>
        </w:r>
      </w:hyperlink>
      <w:r>
        <w:rPr/>
        <w:t>(</w:t>
      </w:r>
      <w:hyperlink w:history="true" w:anchor="_bookmark263">
        <w:r>
          <w:rPr>
            <w:color w:val="FF0000"/>
          </w:rPr>
          <w:t>2016</w:t>
        </w:r>
      </w:hyperlink>
      <w:r>
        <w:rPr/>
        <w:t>);</w:t>
      </w:r>
      <w:hyperlink w:history="true" w:anchor="_bookmark294">
        <w:r>
          <w:rPr>
            <w:color w:val="FF0000"/>
          </w:rPr>
          <w:t>Singh</w:t>
        </w:r>
        <w:r>
          <w:rPr/>
          <w:t>(</w:t>
        </w:r>
      </w:hyperlink>
      <w:r>
        <w:rPr>
          <w:color w:val="FF0000"/>
        </w:rPr>
        <w:t>n.d.</w:t>
      </w:r>
      <w:hyperlink w:history="true" w:anchor="_bookmark294">
        <w:r>
          <w:rPr/>
          <w:t>))</w:t>
        </w:r>
      </w:hyperlink>
      <w:r>
        <w:rPr/>
        <w:t> to provide a smooth pitch surface. The smooth pitch surface enables team and player performances to be evaluated in much finer detail than ever</w:t>
      </w:r>
      <w:r>
        <w:rPr>
          <w:spacing w:val="-12"/>
        </w:rPr>
        <w:t> </w:t>
      </w:r>
      <w:r>
        <w:rPr/>
        <w:t>before</w:t>
      </w:r>
      <w:r>
        <w:rPr>
          <w:spacing w:val="-12"/>
        </w:rPr>
        <w:t> </w:t>
      </w:r>
      <w:r>
        <w:rPr/>
        <w:t>in</w:t>
      </w:r>
      <w:r>
        <w:rPr>
          <w:spacing w:val="-12"/>
        </w:rPr>
        <w:t> </w:t>
      </w:r>
      <w:r>
        <w:rPr/>
        <w:t>rugby</w:t>
      </w:r>
      <w:r>
        <w:rPr>
          <w:spacing w:val="-12"/>
        </w:rPr>
        <w:t> </w:t>
      </w:r>
      <w:r>
        <w:rPr/>
        <w:t>league. Furthermore,</w:t>
      </w:r>
      <w:r>
        <w:rPr>
          <w:spacing w:val="-11"/>
        </w:rPr>
        <w:t> </w:t>
      </w:r>
      <w:r>
        <w:rPr/>
        <w:t>the</w:t>
      </w:r>
      <w:r>
        <w:rPr>
          <w:spacing w:val="-12"/>
        </w:rPr>
        <w:t> </w:t>
      </w:r>
      <w:r>
        <w:rPr/>
        <w:t>model</w:t>
      </w:r>
      <w:r>
        <w:rPr>
          <w:spacing w:val="-12"/>
        </w:rPr>
        <w:t> </w:t>
      </w:r>
      <w:r>
        <w:rPr/>
        <w:t>estimated</w:t>
      </w:r>
      <w:r>
        <w:rPr>
          <w:spacing w:val="-12"/>
        </w:rPr>
        <w:t> </w:t>
      </w:r>
      <w:r>
        <w:rPr/>
        <w:t>individual</w:t>
      </w:r>
      <w:r>
        <w:rPr>
          <w:spacing w:val="-12"/>
        </w:rPr>
        <w:t> </w:t>
      </w:r>
      <w:r>
        <w:rPr/>
        <w:t>possession</w:t>
      </w:r>
      <w:r>
        <w:rPr>
          <w:spacing w:val="-12"/>
        </w:rPr>
        <w:t> </w:t>
      </w:r>
      <w:r>
        <w:rPr/>
        <w:t>out- come</w:t>
      </w:r>
      <w:r>
        <w:rPr>
          <w:spacing w:val="-15"/>
        </w:rPr>
        <w:t> </w:t>
      </w:r>
      <w:r>
        <w:rPr/>
        <w:t>probabilities</w:t>
      </w:r>
      <w:r>
        <w:rPr>
          <w:spacing w:val="-15"/>
        </w:rPr>
        <w:t> </w:t>
      </w:r>
      <w:r>
        <w:rPr/>
        <w:t>in</w:t>
      </w:r>
      <w:r>
        <w:rPr>
          <w:spacing w:val="-15"/>
        </w:rPr>
        <w:t> </w:t>
      </w:r>
      <w:r>
        <w:rPr/>
        <w:t>a</w:t>
      </w:r>
      <w:r>
        <w:rPr>
          <w:spacing w:val="-15"/>
        </w:rPr>
        <w:t> </w:t>
      </w:r>
      <w:r>
        <w:rPr/>
        <w:t>single</w:t>
      </w:r>
      <w:r>
        <w:rPr>
          <w:spacing w:val="-15"/>
        </w:rPr>
        <w:t> </w:t>
      </w:r>
      <w:r>
        <w:rPr/>
        <w:t>model</w:t>
      </w:r>
      <w:r>
        <w:rPr>
          <w:spacing w:val="-15"/>
        </w:rPr>
        <w:t> </w:t>
      </w:r>
      <w:r>
        <w:rPr/>
        <w:t>for</w:t>
      </w:r>
      <w:r>
        <w:rPr>
          <w:spacing w:val="-15"/>
        </w:rPr>
        <w:t> </w:t>
      </w:r>
      <w:r>
        <w:rPr/>
        <w:t>the</w:t>
      </w:r>
      <w:r>
        <w:rPr>
          <w:spacing w:val="-15"/>
        </w:rPr>
        <w:t> </w:t>
      </w:r>
      <w:r>
        <w:rPr/>
        <w:t>first</w:t>
      </w:r>
      <w:r>
        <w:rPr>
          <w:spacing w:val="-15"/>
        </w:rPr>
        <w:t> </w:t>
      </w:r>
      <w:r>
        <w:rPr/>
        <w:t>time</w:t>
      </w:r>
      <w:r>
        <w:rPr>
          <w:spacing w:val="-15"/>
        </w:rPr>
        <w:t> </w:t>
      </w:r>
      <w:r>
        <w:rPr/>
        <w:t>in</w:t>
      </w:r>
      <w:r>
        <w:rPr>
          <w:spacing w:val="-15"/>
        </w:rPr>
        <w:t> </w:t>
      </w:r>
      <w:r>
        <w:rPr/>
        <w:t>the</w:t>
      </w:r>
      <w:r>
        <w:rPr>
          <w:spacing w:val="-15"/>
        </w:rPr>
        <w:t> </w:t>
      </w:r>
      <w:r>
        <w:rPr/>
        <w:t>literature</w:t>
      </w:r>
      <w:r>
        <w:rPr>
          <w:spacing w:val="-15"/>
        </w:rPr>
        <w:t> </w:t>
      </w:r>
      <w:r>
        <w:rPr/>
        <w:t>providing</w:t>
      </w:r>
      <w:r>
        <w:rPr>
          <w:spacing w:val="-15"/>
        </w:rPr>
        <w:t> </w:t>
      </w:r>
      <w:r>
        <w:rPr/>
        <w:t>significant tactical insight into locations where teams may be more likely to score different points. Previous</w:t>
      </w:r>
      <w:r>
        <w:rPr>
          <w:spacing w:val="-15"/>
        </w:rPr>
        <w:t> </w:t>
      </w:r>
      <w:r>
        <w:rPr/>
        <w:t>approaches</w:t>
      </w:r>
      <w:r>
        <w:rPr>
          <w:spacing w:val="-15"/>
        </w:rPr>
        <w:t> </w:t>
      </w:r>
      <w:r>
        <w:rPr/>
        <w:t>have</w:t>
      </w:r>
      <w:r>
        <w:rPr>
          <w:spacing w:val="-15"/>
        </w:rPr>
        <w:t> </w:t>
      </w:r>
      <w:r>
        <w:rPr/>
        <w:t>either</w:t>
      </w:r>
      <w:r>
        <w:rPr>
          <w:spacing w:val="-15"/>
        </w:rPr>
        <w:t> </w:t>
      </w:r>
      <w:r>
        <w:rPr/>
        <w:t>aggregated</w:t>
      </w:r>
      <w:r>
        <w:rPr>
          <w:spacing w:val="-15"/>
        </w:rPr>
        <w:t> </w:t>
      </w:r>
      <w:r>
        <w:rPr/>
        <w:t>possession</w:t>
      </w:r>
      <w:r>
        <w:rPr>
          <w:spacing w:val="-15"/>
        </w:rPr>
        <w:t> </w:t>
      </w:r>
      <w:r>
        <w:rPr/>
        <w:t>outcomes</w:t>
      </w:r>
      <w:r>
        <w:rPr>
          <w:spacing w:val="-15"/>
        </w:rPr>
        <w:t> </w:t>
      </w:r>
      <w:r>
        <w:rPr/>
        <w:t>numerically,</w:t>
      </w:r>
      <w:r>
        <w:rPr>
          <w:spacing w:val="-14"/>
        </w:rPr>
        <w:t> </w:t>
      </w:r>
      <w:r>
        <w:rPr/>
        <w:t>losing</w:t>
      </w:r>
      <w:r>
        <w:rPr>
          <w:spacing w:val="-15"/>
        </w:rPr>
        <w:t> </w:t>
      </w:r>
      <w:r>
        <w:rPr/>
        <w:t>this information (Chapters</w:t>
      </w:r>
      <w:r>
        <w:rPr>
          <w:color w:val="0000FF"/>
        </w:rPr>
        <w:t>3</w:t>
      </w:r>
      <w:r>
        <w:rPr/>
        <w:t>and</w:t>
      </w:r>
      <w:r>
        <w:rPr>
          <w:color w:val="0000FF"/>
        </w:rPr>
        <w:t>4</w:t>
      </w:r>
      <w:r>
        <w:rPr/>
        <w:t>;</w:t>
      </w:r>
      <w:hyperlink w:history="true" w:anchor="_bookmark92">
        <w:r>
          <w:rPr>
            <w:color w:val="FF0000"/>
          </w:rPr>
          <w:t>Cerv</w:t>
        </w:r>
      </w:hyperlink>
      <w:hyperlink w:history="true" w:anchor="_bookmark231">
        <w:r>
          <w:rPr>
            <w:color w:val="FF0000"/>
          </w:rPr>
          <w:t>one et al.</w:t>
        </w:r>
        <w:r>
          <w:rPr/>
          <w:t>(</w:t>
        </w:r>
      </w:hyperlink>
      <w:r>
        <w:rPr>
          <w:color w:val="FF0000"/>
        </w:rPr>
        <w:t>2016</w:t>
      </w:r>
      <w:hyperlink w:history="true" w:anchor="_bookmark231">
        <w:r>
          <w:rPr/>
          <w:t>);</w:t>
        </w:r>
      </w:hyperlink>
      <w:r>
        <w:rPr>
          <w:color w:val="FF0000"/>
        </w:rPr>
        <w:t>Chan </w:t>
      </w:r>
      <w:hyperlink w:history="true" w:anchor="_bookmark232">
        <w:r>
          <w:rPr>
            <w:color w:val="FF0000"/>
          </w:rPr>
          <w:t>et al.</w:t>
        </w:r>
        <w:r>
          <w:rPr/>
          <w:t>(</w:t>
        </w:r>
      </w:hyperlink>
      <w:r>
        <w:rPr>
          <w:color w:val="FF0000"/>
        </w:rPr>
        <w:t>2021</w:t>
      </w:r>
      <w:hyperlink w:history="true" w:anchor="_bookmark232">
        <w:r>
          <w:rPr/>
          <w:t>);</w:t>
        </w:r>
        <w:r>
          <w:rPr>
            <w:color w:val="FF0000"/>
          </w:rPr>
          <w:t>K</w:t>
        </w:r>
      </w:hyperlink>
      <w:r>
        <w:rPr>
          <w:color w:val="FF0000"/>
        </w:rPr>
        <w:t>empton </w:t>
      </w:r>
      <w:hyperlink w:history="true" w:anchor="_bookmark263">
        <w:r>
          <w:rPr>
            <w:color w:val="FF0000"/>
          </w:rPr>
          <w:t>et al.</w:t>
        </w:r>
      </w:hyperlink>
      <w:r>
        <w:rPr>
          <w:color w:val="FF0000"/>
        </w:rPr>
        <w:t> </w:t>
      </w:r>
      <w:r>
        <w:rPr/>
        <w:t>(</w:t>
      </w:r>
      <w:hyperlink w:history="true" w:anchor="_bookmark263">
        <w:r>
          <w:rPr>
            <w:color w:val="FF0000"/>
          </w:rPr>
          <w:t>2016</w:t>
        </w:r>
      </w:hyperlink>
      <w:r>
        <w:rPr/>
        <w:t>)) or estimated them in separate models (</w:t>
      </w:r>
      <w:hyperlink w:history="true" w:anchor="_bookmark239">
        <w:r>
          <w:rPr>
            <w:color w:val="FF0000"/>
          </w:rPr>
          <w:t>Decroos et al.</w:t>
        </w:r>
      </w:hyperlink>
      <w:r>
        <w:rPr/>
        <w:t>,</w:t>
      </w:r>
      <w:hyperlink w:history="true" w:anchor="_bookmark239">
        <w:r>
          <w:rPr>
            <w:color w:val="FF0000"/>
          </w:rPr>
          <w:t>2019</w:t>
        </w:r>
      </w:hyperlink>
      <w:r>
        <w:rPr/>
        <w:t>), which is an unsuit-</w:t>
      </w:r>
    </w:p>
    <w:p>
      <w:pPr>
        <w:spacing w:after="0" w:line="312" w:lineRule="auto"/>
        <w:sectPr>
          <w:pgSz w:w="11910" w:h="16840"/>
          <w:pgMar w:header="1961" w:footer="1428" w:top="226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able approach within rugby league given the five possible possession outcomes for </w:t>
      </w:r>
      <w:r>
        <w:rPr/>
        <w:t>each team. Finally,</w:t>
      </w:r>
      <w:r>
        <w:rPr>
          <w:spacing w:val="-6"/>
        </w:rPr>
        <w:t> </w:t>
      </w:r>
      <w:r>
        <w:rPr/>
        <w:t>the</w:t>
      </w:r>
      <w:r>
        <w:rPr>
          <w:spacing w:val="-7"/>
        </w:rPr>
        <w:t> </w:t>
      </w:r>
      <w:r>
        <w:rPr/>
        <w:t>novel</w:t>
      </w:r>
      <w:r>
        <w:rPr>
          <w:spacing w:val="-7"/>
        </w:rPr>
        <w:t> </w:t>
      </w:r>
      <w:r>
        <w:rPr/>
        <w:t>metrics</w:t>
      </w:r>
      <w:r>
        <w:rPr>
          <w:spacing w:val="-7"/>
        </w:rPr>
        <w:t> </w:t>
      </w:r>
      <w:r>
        <w:rPr/>
        <w:t>produced</w:t>
      </w:r>
      <w:r>
        <w:rPr>
          <w:spacing w:val="-7"/>
        </w:rPr>
        <w:t> </w:t>
      </w:r>
      <w:r>
        <w:rPr/>
        <w:t>from</w:t>
      </w:r>
      <w:r>
        <w:rPr>
          <w:spacing w:val="-7"/>
        </w:rPr>
        <w:t> </w:t>
      </w:r>
      <w:r>
        <w:rPr/>
        <w:t>the</w:t>
      </w:r>
      <w:r>
        <w:rPr>
          <w:spacing w:val="-7"/>
        </w:rPr>
        <w:t> </w:t>
      </w:r>
      <w:r>
        <w:rPr/>
        <w:t>Bayesian</w:t>
      </w:r>
      <w:r>
        <w:rPr>
          <w:spacing w:val="-7"/>
        </w:rPr>
        <w:t> </w:t>
      </w:r>
      <w:r>
        <w:rPr/>
        <w:t>EPV</w:t>
      </w:r>
      <w:r>
        <w:rPr>
          <w:spacing w:val="-7"/>
        </w:rPr>
        <w:t> </w:t>
      </w:r>
      <w:r>
        <w:rPr/>
        <w:t>model</w:t>
      </w:r>
      <w:r>
        <w:rPr>
          <w:spacing w:val="-7"/>
        </w:rPr>
        <w:t> </w:t>
      </w:r>
      <w:r>
        <w:rPr/>
        <w:t>provide</w:t>
      </w:r>
      <w:r>
        <w:rPr>
          <w:spacing w:val="-7"/>
        </w:rPr>
        <w:t> </w:t>
      </w:r>
      <w:r>
        <w:rPr/>
        <w:t>signifi- cantly</w:t>
      </w:r>
      <w:r>
        <w:rPr>
          <w:spacing w:val="-7"/>
        </w:rPr>
        <w:t> </w:t>
      </w:r>
      <w:r>
        <w:rPr/>
        <w:t>greater</w:t>
      </w:r>
      <w:r>
        <w:rPr>
          <w:spacing w:val="-7"/>
        </w:rPr>
        <w:t> </w:t>
      </w:r>
      <w:r>
        <w:rPr/>
        <w:t>insights</w:t>
      </w:r>
      <w:r>
        <w:rPr>
          <w:spacing w:val="-7"/>
        </w:rPr>
        <w:t> </w:t>
      </w:r>
      <w:r>
        <w:rPr/>
        <w:t>than</w:t>
      </w:r>
      <w:r>
        <w:rPr>
          <w:spacing w:val="-7"/>
        </w:rPr>
        <w:t> </w:t>
      </w:r>
      <w:r>
        <w:rPr/>
        <w:t>the</w:t>
      </w:r>
      <w:r>
        <w:rPr>
          <w:spacing w:val="-7"/>
        </w:rPr>
        <w:t> </w:t>
      </w:r>
      <w:r>
        <w:rPr/>
        <w:t>first</w:t>
      </w:r>
      <w:r>
        <w:rPr>
          <w:spacing w:val="-7"/>
        </w:rPr>
        <w:t> </w:t>
      </w:r>
      <w:r>
        <w:rPr/>
        <w:t>two</w:t>
      </w:r>
      <w:r>
        <w:rPr>
          <w:spacing w:val="-7"/>
        </w:rPr>
        <w:t> </w:t>
      </w:r>
      <w:r>
        <w:rPr/>
        <w:t>studies</w:t>
      </w:r>
      <w:r>
        <w:rPr>
          <w:spacing w:val="-7"/>
        </w:rPr>
        <w:t> </w:t>
      </w:r>
      <w:r>
        <w:rPr/>
        <w:t>of</w:t>
      </w:r>
      <w:r>
        <w:rPr>
          <w:spacing w:val="-7"/>
        </w:rPr>
        <w:t> </w:t>
      </w:r>
      <w:r>
        <w:rPr/>
        <w:t>this</w:t>
      </w:r>
      <w:r>
        <w:rPr>
          <w:spacing w:val="-7"/>
        </w:rPr>
        <w:t> </w:t>
      </w:r>
      <w:r>
        <w:rPr/>
        <w:t>thesis. The</w:t>
      </w:r>
      <w:r>
        <w:rPr>
          <w:spacing w:val="-7"/>
        </w:rPr>
        <w:t> </w:t>
      </w:r>
      <w:r>
        <w:rPr/>
        <w:t>expected</w:t>
      </w:r>
      <w:r>
        <w:rPr>
          <w:spacing w:val="-7"/>
        </w:rPr>
        <w:t> </w:t>
      </w:r>
      <w:r>
        <w:rPr/>
        <w:t>points</w:t>
      </w:r>
      <w:r>
        <w:rPr>
          <w:spacing w:val="-7"/>
        </w:rPr>
        <w:t> </w:t>
      </w:r>
      <w:r>
        <w:rPr/>
        <w:t>scored metric, which utilises the KDE results from Chapter</w:t>
      </w:r>
      <w:r>
        <w:rPr>
          <w:color w:val="0000FF"/>
        </w:rPr>
        <w:t>5</w:t>
      </w:r>
      <w:hyperlink w:history="true" w:anchor="_bookmark122">
        <w:r>
          <w:rPr/>
          <w:t>,</w:t>
        </w:r>
      </w:hyperlink>
      <w:r>
        <w:rPr/>
        <w:t> measures underlying team per- formances, incorporating the spatial context of the match and the attacking or defending team’s</w:t>
      </w:r>
      <w:r>
        <w:rPr>
          <w:spacing w:val="-2"/>
        </w:rPr>
        <w:t> </w:t>
      </w:r>
      <w:r>
        <w:rPr/>
        <w:t>abilities</w:t>
      </w:r>
      <w:r>
        <w:rPr>
          <w:spacing w:val="-2"/>
        </w:rPr>
        <w:t> </w:t>
      </w:r>
      <w:r>
        <w:rPr/>
        <w:t>into</w:t>
      </w:r>
      <w:r>
        <w:rPr>
          <w:spacing w:val="-2"/>
        </w:rPr>
        <w:t> </w:t>
      </w:r>
      <w:r>
        <w:rPr/>
        <w:t>a</w:t>
      </w:r>
      <w:r>
        <w:rPr>
          <w:spacing w:val="-2"/>
        </w:rPr>
        <w:t> </w:t>
      </w:r>
      <w:r>
        <w:rPr/>
        <w:t>single</w:t>
      </w:r>
      <w:r>
        <w:rPr>
          <w:spacing w:val="-2"/>
        </w:rPr>
        <w:t> </w:t>
      </w:r>
      <w:r>
        <w:rPr/>
        <w:t>value.</w:t>
      </w:r>
      <w:r>
        <w:rPr>
          <w:spacing w:val="25"/>
        </w:rPr>
        <w:t> </w:t>
      </w:r>
      <w:r>
        <w:rPr/>
        <w:t>Utilising</w:t>
      </w:r>
      <w:r>
        <w:rPr>
          <w:spacing w:val="-2"/>
        </w:rPr>
        <w:t> </w:t>
      </w:r>
      <w:r>
        <w:rPr/>
        <w:t>this</w:t>
      </w:r>
      <w:r>
        <w:rPr>
          <w:spacing w:val="-2"/>
        </w:rPr>
        <w:t> </w:t>
      </w:r>
      <w:r>
        <w:rPr/>
        <w:t>metric</w:t>
      </w:r>
      <w:r>
        <w:rPr>
          <w:spacing w:val="-2"/>
        </w:rPr>
        <w:t> </w:t>
      </w:r>
      <w:r>
        <w:rPr/>
        <w:t>alongside</w:t>
      </w:r>
      <w:r>
        <w:rPr>
          <w:spacing w:val="-2"/>
        </w:rPr>
        <w:t> </w:t>
      </w:r>
      <w:r>
        <w:rPr/>
        <w:t>the</w:t>
      </w:r>
      <w:r>
        <w:rPr>
          <w:spacing w:val="-2"/>
        </w:rPr>
        <w:t> </w:t>
      </w:r>
      <w:r>
        <w:rPr/>
        <w:t>novel</w:t>
      </w:r>
      <w:r>
        <w:rPr>
          <w:spacing w:val="-2"/>
        </w:rPr>
        <w:t> </w:t>
      </w:r>
      <w:r>
        <w:rPr/>
        <w:t>Wasserstein distance</w:t>
      </w:r>
      <w:r>
        <w:rPr>
          <w:spacing w:val="-11"/>
        </w:rPr>
        <w:t> </w:t>
      </w:r>
      <w:r>
        <w:rPr/>
        <w:t>metrics</w:t>
      </w:r>
      <w:r>
        <w:rPr>
          <w:spacing w:val="-11"/>
        </w:rPr>
        <w:t> </w:t>
      </w:r>
      <w:r>
        <w:rPr/>
        <w:t>from</w:t>
      </w:r>
      <w:r>
        <w:rPr>
          <w:spacing w:val="-11"/>
        </w:rPr>
        <w:t> </w:t>
      </w:r>
      <w:r>
        <w:rPr/>
        <w:t>Chapter</w:t>
      </w:r>
      <w:hyperlink w:history="true" w:anchor="_bookmark122">
        <w:r>
          <w:rPr>
            <w:color w:val="0000FF"/>
          </w:rPr>
          <w:t>5</w:t>
        </w:r>
      </w:hyperlink>
      <w:r>
        <w:rPr/>
        <w:t>provides</w:t>
      </w:r>
      <w:r>
        <w:rPr>
          <w:spacing w:val="-11"/>
        </w:rPr>
        <w:t> </w:t>
      </w:r>
      <w:r>
        <w:rPr/>
        <w:t>significant</w:t>
      </w:r>
      <w:r>
        <w:rPr>
          <w:spacing w:val="-11"/>
        </w:rPr>
        <w:t> </w:t>
      </w:r>
      <w:r>
        <w:rPr/>
        <w:t>insight</w:t>
      </w:r>
      <w:r>
        <w:rPr>
          <w:spacing w:val="-11"/>
        </w:rPr>
        <w:t> </w:t>
      </w:r>
      <w:r>
        <w:rPr/>
        <w:t>into</w:t>
      </w:r>
      <w:r>
        <w:rPr>
          <w:spacing w:val="-11"/>
        </w:rPr>
        <w:t> </w:t>
      </w:r>
      <w:r>
        <w:rPr/>
        <w:t>team</w:t>
      </w:r>
      <w:r>
        <w:rPr>
          <w:spacing w:val="-11"/>
        </w:rPr>
        <w:t> </w:t>
      </w:r>
      <w:r>
        <w:rPr/>
        <w:t>performances.</w:t>
      </w:r>
      <w:r>
        <w:rPr>
          <w:spacing w:val="13"/>
        </w:rPr>
        <w:t> </w:t>
      </w:r>
      <w:r>
        <w:rPr/>
        <w:t>Sim- ilarly,</w:t>
      </w:r>
      <w:r>
        <w:rPr>
          <w:spacing w:val="-9"/>
        </w:rPr>
        <w:t> </w:t>
      </w:r>
      <w:r>
        <w:rPr/>
        <w:t>the</w:t>
      </w:r>
      <w:r>
        <w:rPr>
          <w:spacing w:val="-9"/>
        </w:rPr>
        <w:t> </w:t>
      </w:r>
      <w:r>
        <w:rPr/>
        <w:t>actual</w:t>
      </w:r>
      <w:r>
        <w:rPr>
          <w:spacing w:val="-9"/>
        </w:rPr>
        <w:t> </w:t>
      </w:r>
      <w:r>
        <w:rPr/>
        <w:t>vs</w:t>
      </w:r>
      <w:r>
        <w:rPr>
          <w:spacing w:val="-9"/>
        </w:rPr>
        <w:t> </w:t>
      </w:r>
      <w:r>
        <w:rPr/>
        <w:t>expected</w:t>
      </w:r>
      <w:r>
        <w:rPr>
          <w:spacing w:val="-9"/>
        </w:rPr>
        <w:t> </w:t>
      </w:r>
      <w:r>
        <w:rPr/>
        <w:t>player</w:t>
      </w:r>
      <w:r>
        <w:rPr>
          <w:spacing w:val="-9"/>
        </w:rPr>
        <w:t> </w:t>
      </w:r>
      <w:r>
        <w:rPr/>
        <w:t>ratings</w:t>
      </w:r>
      <w:r>
        <w:rPr>
          <w:spacing w:val="-9"/>
        </w:rPr>
        <w:t> </w:t>
      </w:r>
      <w:r>
        <w:rPr/>
        <w:t>produced</w:t>
      </w:r>
      <w:r>
        <w:rPr>
          <w:spacing w:val="-9"/>
        </w:rPr>
        <w:t> </w:t>
      </w:r>
      <w:r>
        <w:rPr/>
        <w:t>from</w:t>
      </w:r>
      <w:r>
        <w:rPr>
          <w:spacing w:val="-9"/>
        </w:rPr>
        <w:t> </w:t>
      </w:r>
      <w:r>
        <w:rPr/>
        <w:t>the</w:t>
      </w:r>
      <w:r>
        <w:rPr>
          <w:spacing w:val="-9"/>
        </w:rPr>
        <w:t> </w:t>
      </w:r>
      <w:r>
        <w:rPr/>
        <w:t>Bayesian</w:t>
      </w:r>
      <w:r>
        <w:rPr>
          <w:spacing w:val="-9"/>
        </w:rPr>
        <w:t> </w:t>
      </w:r>
      <w:r>
        <w:rPr/>
        <w:t>EPV</w:t>
      </w:r>
      <w:r>
        <w:rPr>
          <w:spacing w:val="-9"/>
        </w:rPr>
        <w:t> </w:t>
      </w:r>
      <w:r>
        <w:rPr/>
        <w:t>model</w:t>
      </w:r>
      <w:r>
        <w:rPr>
          <w:spacing w:val="-9"/>
        </w:rPr>
        <w:t> </w:t>
      </w:r>
      <w:r>
        <w:rPr/>
        <w:t>were shown</w:t>
      </w:r>
      <w:r>
        <w:rPr>
          <w:spacing w:val="-7"/>
        </w:rPr>
        <w:t> </w:t>
      </w:r>
      <w:r>
        <w:rPr/>
        <w:t>to</w:t>
      </w:r>
      <w:r>
        <w:rPr>
          <w:spacing w:val="-7"/>
        </w:rPr>
        <w:t> </w:t>
      </w:r>
      <w:r>
        <w:rPr/>
        <w:t>be</w:t>
      </w:r>
      <w:r>
        <w:rPr>
          <w:spacing w:val="-7"/>
        </w:rPr>
        <w:t> </w:t>
      </w:r>
      <w:r>
        <w:rPr/>
        <w:t>much</w:t>
      </w:r>
      <w:r>
        <w:rPr>
          <w:spacing w:val="-7"/>
        </w:rPr>
        <w:t> </w:t>
      </w:r>
      <w:r>
        <w:rPr/>
        <w:t>better</w:t>
      </w:r>
      <w:r>
        <w:rPr>
          <w:spacing w:val="-7"/>
        </w:rPr>
        <w:t> </w:t>
      </w:r>
      <w:r>
        <w:rPr/>
        <w:t>than</w:t>
      </w:r>
      <w:r>
        <w:rPr>
          <w:spacing w:val="-7"/>
        </w:rPr>
        <w:t> </w:t>
      </w:r>
      <w:r>
        <w:rPr/>
        <w:t>those</w:t>
      </w:r>
      <w:r>
        <w:rPr>
          <w:spacing w:val="-7"/>
        </w:rPr>
        <w:t> </w:t>
      </w:r>
      <w:r>
        <w:rPr/>
        <w:t>produced</w:t>
      </w:r>
      <w:r>
        <w:rPr>
          <w:spacing w:val="-7"/>
        </w:rPr>
        <w:t> </w:t>
      </w:r>
      <w:r>
        <w:rPr/>
        <w:t>in</w:t>
      </w:r>
      <w:r>
        <w:rPr>
          <w:spacing w:val="-7"/>
        </w:rPr>
        <w:t> </w:t>
      </w:r>
      <w:r>
        <w:rPr/>
        <w:t>Chapter</w:t>
      </w:r>
      <w:r>
        <w:rPr>
          <w:color w:val="0000FF"/>
        </w:rPr>
        <w:t>4</w:t>
      </w:r>
      <w:r>
        <w:rPr/>
        <w:t>as</w:t>
      </w:r>
      <w:r>
        <w:rPr>
          <w:spacing w:val="-7"/>
        </w:rPr>
        <w:t> </w:t>
      </w:r>
      <w:r>
        <w:rPr/>
        <w:t>they</w:t>
      </w:r>
      <w:r>
        <w:rPr>
          <w:spacing w:val="-7"/>
        </w:rPr>
        <w:t> </w:t>
      </w:r>
      <w:r>
        <w:rPr/>
        <w:t>considered</w:t>
      </w:r>
      <w:r>
        <w:rPr>
          <w:spacing w:val="-7"/>
        </w:rPr>
        <w:t> </w:t>
      </w:r>
      <w:r>
        <w:rPr/>
        <w:t>the</w:t>
      </w:r>
      <w:r>
        <w:rPr>
          <w:spacing w:val="-7"/>
        </w:rPr>
        <w:t> </w:t>
      </w:r>
      <w:r>
        <w:rPr/>
        <w:t>outcome of the possession, rather than singling out those players who frequently attempted high value actions, regardless of how successful they were.</w:t>
      </w:r>
    </w:p>
    <w:p>
      <w:pPr>
        <w:pStyle w:val="BodyText"/>
        <w:spacing w:before="6"/>
        <w:rPr>
          <w:sz w:val="40"/>
        </w:rPr>
      </w:pPr>
    </w:p>
    <w:p>
      <w:pPr>
        <w:pStyle w:val="Heading2"/>
        <w:numPr>
          <w:ilvl w:val="1"/>
          <w:numId w:val="26"/>
        </w:numPr>
        <w:tabs>
          <w:tab w:pos="1385" w:val="left" w:leader="none"/>
          <w:tab w:pos="1386" w:val="left" w:leader="none"/>
        </w:tabs>
        <w:spacing w:line="240" w:lineRule="auto" w:before="0" w:after="0"/>
        <w:ind w:left="1385" w:right="0" w:hanging="776"/>
        <w:jc w:val="left"/>
      </w:pPr>
      <w:bookmarkStart w:name="_TOC_250001" w:id="381"/>
      <w:bookmarkStart w:name="7.3 Limitations" w:id="382"/>
      <w:r>
        <w:rPr>
          <w:b w:val="0"/>
        </w:rPr>
      </w:r>
      <w:bookmarkStart w:name="_bookmark222" w:id="383"/>
      <w:bookmarkEnd w:id="381"/>
      <w:r>
        <w:rPr>
          <w:spacing w:val="-2"/>
        </w:rPr>
        <w:t>Limitations</w:t>
      </w:r>
    </w:p>
    <w:p>
      <w:pPr>
        <w:pStyle w:val="BodyText"/>
        <w:spacing w:line="312" w:lineRule="auto" w:before="309"/>
        <w:ind w:left="610" w:right="389"/>
        <w:jc w:val="both"/>
      </w:pPr>
      <w:r>
        <w:rPr/>
        <w:t>Throughout</w:t>
      </w:r>
      <w:r>
        <w:rPr>
          <w:spacing w:val="-8"/>
        </w:rPr>
        <w:t> </w:t>
      </w:r>
      <w:r>
        <w:rPr/>
        <w:t>the</w:t>
      </w:r>
      <w:r>
        <w:rPr>
          <w:spacing w:val="-7"/>
        </w:rPr>
        <w:t> </w:t>
      </w:r>
      <w:r>
        <w:rPr/>
        <w:t>duration</w:t>
      </w:r>
      <w:r>
        <w:rPr>
          <w:spacing w:val="-8"/>
        </w:rPr>
        <w:t> </w:t>
      </w:r>
      <w:r>
        <w:rPr/>
        <w:t>of</w:t>
      </w:r>
      <w:r>
        <w:rPr>
          <w:spacing w:val="-7"/>
        </w:rPr>
        <w:t> </w:t>
      </w:r>
      <w:r>
        <w:rPr/>
        <w:t>this</w:t>
      </w:r>
      <w:r>
        <w:rPr>
          <w:spacing w:val="-8"/>
        </w:rPr>
        <w:t> </w:t>
      </w:r>
      <w:r>
        <w:rPr/>
        <w:t>process,</w:t>
      </w:r>
      <w:r>
        <w:rPr>
          <w:spacing w:val="-7"/>
        </w:rPr>
        <w:t> </w:t>
      </w:r>
      <w:r>
        <w:rPr/>
        <w:t>the</w:t>
      </w:r>
      <w:r>
        <w:rPr>
          <w:spacing w:val="-8"/>
        </w:rPr>
        <w:t> </w:t>
      </w:r>
      <w:r>
        <w:rPr/>
        <w:t>limitations</w:t>
      </w:r>
      <w:r>
        <w:rPr>
          <w:spacing w:val="-7"/>
        </w:rPr>
        <w:t> </w:t>
      </w:r>
      <w:r>
        <w:rPr/>
        <w:t>of</w:t>
      </w:r>
      <w:r>
        <w:rPr>
          <w:spacing w:val="-8"/>
        </w:rPr>
        <w:t> </w:t>
      </w:r>
      <w:r>
        <w:rPr/>
        <w:t>the</w:t>
      </w:r>
      <w:r>
        <w:rPr>
          <w:spacing w:val="-7"/>
        </w:rPr>
        <w:t> </w:t>
      </w:r>
      <w:r>
        <w:rPr/>
        <w:t>models</w:t>
      </w:r>
      <w:r>
        <w:rPr>
          <w:spacing w:val="-8"/>
        </w:rPr>
        <w:t> </w:t>
      </w:r>
      <w:r>
        <w:rPr/>
        <w:t>produced</w:t>
      </w:r>
      <w:r>
        <w:rPr>
          <w:spacing w:val="-8"/>
        </w:rPr>
        <w:t> </w:t>
      </w:r>
      <w:r>
        <w:rPr/>
        <w:t>were</w:t>
      </w:r>
      <w:r>
        <w:rPr>
          <w:spacing w:val="-7"/>
        </w:rPr>
        <w:t> </w:t>
      </w:r>
      <w:r>
        <w:rPr/>
        <w:t>dis- cussed</w:t>
      </w:r>
      <w:r>
        <w:rPr>
          <w:spacing w:val="-13"/>
        </w:rPr>
        <w:t> </w:t>
      </w:r>
      <w:r>
        <w:rPr/>
        <w:t>and</w:t>
      </w:r>
      <w:r>
        <w:rPr>
          <w:spacing w:val="-13"/>
        </w:rPr>
        <w:t> </w:t>
      </w:r>
      <w:r>
        <w:rPr/>
        <w:t>used</w:t>
      </w:r>
      <w:r>
        <w:rPr>
          <w:spacing w:val="-13"/>
        </w:rPr>
        <w:t> </w:t>
      </w:r>
      <w:r>
        <w:rPr/>
        <w:t>to</w:t>
      </w:r>
      <w:r>
        <w:rPr>
          <w:spacing w:val="-13"/>
        </w:rPr>
        <w:t> </w:t>
      </w:r>
      <w:r>
        <w:rPr/>
        <w:t>help</w:t>
      </w:r>
      <w:r>
        <w:rPr>
          <w:spacing w:val="-13"/>
        </w:rPr>
        <w:t> </w:t>
      </w:r>
      <w:r>
        <w:rPr/>
        <w:t>determine</w:t>
      </w:r>
      <w:r>
        <w:rPr>
          <w:spacing w:val="-13"/>
        </w:rPr>
        <w:t> </w:t>
      </w:r>
      <w:r>
        <w:rPr/>
        <w:t>the</w:t>
      </w:r>
      <w:r>
        <w:rPr>
          <w:spacing w:val="-13"/>
        </w:rPr>
        <w:t> </w:t>
      </w:r>
      <w:r>
        <w:rPr/>
        <w:t>direction</w:t>
      </w:r>
      <w:r>
        <w:rPr>
          <w:spacing w:val="-13"/>
        </w:rPr>
        <w:t> </w:t>
      </w:r>
      <w:r>
        <w:rPr/>
        <w:t>of</w:t>
      </w:r>
      <w:r>
        <w:rPr>
          <w:spacing w:val="-13"/>
        </w:rPr>
        <w:t> </w:t>
      </w:r>
      <w:r>
        <w:rPr/>
        <w:t>future</w:t>
      </w:r>
      <w:r>
        <w:rPr>
          <w:spacing w:val="-13"/>
        </w:rPr>
        <w:t> </w:t>
      </w:r>
      <w:r>
        <w:rPr/>
        <w:t>studies.</w:t>
      </w:r>
      <w:r>
        <w:rPr>
          <w:spacing w:val="5"/>
        </w:rPr>
        <w:t> </w:t>
      </w:r>
      <w:r>
        <w:rPr/>
        <w:t>This</w:t>
      </w:r>
      <w:r>
        <w:rPr>
          <w:spacing w:val="-13"/>
        </w:rPr>
        <w:t> </w:t>
      </w:r>
      <w:r>
        <w:rPr/>
        <w:t>section</w:t>
      </w:r>
      <w:r>
        <w:rPr>
          <w:spacing w:val="-13"/>
        </w:rPr>
        <w:t> </w:t>
      </w:r>
      <w:r>
        <w:rPr/>
        <w:t>outlines</w:t>
      </w:r>
      <w:r>
        <w:rPr>
          <w:spacing w:val="-13"/>
        </w:rPr>
        <w:t> </w:t>
      </w:r>
      <w:r>
        <w:rPr/>
        <w:t>the key limitations of each model and discusses the issues researchers may wish to consider if applying, adapting or extending these models in the future.</w:t>
      </w:r>
    </w:p>
    <w:p>
      <w:pPr>
        <w:pStyle w:val="BodyText"/>
        <w:spacing w:line="312" w:lineRule="auto"/>
        <w:ind w:left="610" w:right="389" w:firstLine="351"/>
      </w:pPr>
      <w:r>
        <w:rPr/>
        <w:t>The</w:t>
      </w:r>
      <w:r>
        <w:rPr>
          <w:spacing w:val="-15"/>
        </w:rPr>
        <w:t> </w:t>
      </w:r>
      <w:r>
        <w:rPr/>
        <w:t>overarching</w:t>
      </w:r>
      <w:r>
        <w:rPr>
          <w:spacing w:val="-15"/>
        </w:rPr>
        <w:t> </w:t>
      </w:r>
      <w:r>
        <w:rPr/>
        <w:t>limitation</w:t>
      </w:r>
      <w:r>
        <w:rPr>
          <w:spacing w:val="-15"/>
        </w:rPr>
        <w:t> </w:t>
      </w:r>
      <w:r>
        <w:rPr/>
        <w:t>of</w:t>
      </w:r>
      <w:r>
        <w:rPr>
          <w:spacing w:val="-15"/>
        </w:rPr>
        <w:t> </w:t>
      </w:r>
      <w:r>
        <w:rPr/>
        <w:t>the</w:t>
      </w:r>
      <w:r>
        <w:rPr>
          <w:spacing w:val="-15"/>
        </w:rPr>
        <w:t> </w:t>
      </w:r>
      <w:r>
        <w:rPr/>
        <w:t>thesis</w:t>
      </w:r>
      <w:r>
        <w:rPr>
          <w:spacing w:val="-15"/>
        </w:rPr>
        <w:t> </w:t>
      </w:r>
      <w:r>
        <w:rPr/>
        <w:t>was</w:t>
      </w:r>
      <w:r>
        <w:rPr>
          <w:spacing w:val="-15"/>
        </w:rPr>
        <w:t> </w:t>
      </w:r>
      <w:r>
        <w:rPr/>
        <w:t>data</w:t>
      </w:r>
      <w:r>
        <w:rPr>
          <w:spacing w:val="-15"/>
        </w:rPr>
        <w:t> </w:t>
      </w:r>
      <w:r>
        <w:rPr/>
        <w:t>availability,</w:t>
      </w:r>
      <w:r>
        <w:rPr>
          <w:spacing w:val="-15"/>
        </w:rPr>
        <w:t> </w:t>
      </w:r>
      <w:r>
        <w:rPr/>
        <w:t>which</w:t>
      </w:r>
      <w:r>
        <w:rPr>
          <w:spacing w:val="-15"/>
        </w:rPr>
        <w:t> </w:t>
      </w:r>
      <w:r>
        <w:rPr/>
        <w:t>dictated</w:t>
      </w:r>
      <w:r>
        <w:rPr>
          <w:spacing w:val="-15"/>
        </w:rPr>
        <w:t> </w:t>
      </w:r>
      <w:r>
        <w:rPr/>
        <w:t>the</w:t>
      </w:r>
      <w:r>
        <w:rPr>
          <w:spacing w:val="-15"/>
        </w:rPr>
        <w:t> </w:t>
      </w:r>
      <w:r>
        <w:rPr/>
        <w:t>scope of</w:t>
      </w:r>
      <w:r>
        <w:rPr>
          <w:spacing w:val="-9"/>
        </w:rPr>
        <w:t> </w:t>
      </w:r>
      <w:r>
        <w:rPr/>
        <w:t>the</w:t>
      </w:r>
      <w:r>
        <w:rPr>
          <w:spacing w:val="-9"/>
        </w:rPr>
        <w:t> </w:t>
      </w:r>
      <w:r>
        <w:rPr/>
        <w:t>models</w:t>
      </w:r>
      <w:r>
        <w:rPr>
          <w:spacing w:val="-9"/>
        </w:rPr>
        <w:t> </w:t>
      </w:r>
      <w:r>
        <w:rPr/>
        <w:t>proposed</w:t>
      </w:r>
      <w:r>
        <w:rPr>
          <w:spacing w:val="-9"/>
        </w:rPr>
        <w:t> </w:t>
      </w:r>
      <w:r>
        <w:rPr/>
        <w:t>and</w:t>
      </w:r>
      <w:r>
        <w:rPr>
          <w:spacing w:val="-9"/>
        </w:rPr>
        <w:t> </w:t>
      </w:r>
      <w:r>
        <w:rPr/>
        <w:t>their</w:t>
      </w:r>
      <w:r>
        <w:rPr>
          <w:spacing w:val="-9"/>
        </w:rPr>
        <w:t> </w:t>
      </w:r>
      <w:r>
        <w:rPr/>
        <w:t>usefulness. Although</w:t>
      </w:r>
      <w:r>
        <w:rPr>
          <w:spacing w:val="-9"/>
        </w:rPr>
        <w:t> </w:t>
      </w:r>
      <w:r>
        <w:rPr/>
        <w:t>other</w:t>
      </w:r>
      <w:r>
        <w:rPr>
          <w:spacing w:val="-9"/>
        </w:rPr>
        <w:t> </w:t>
      </w:r>
      <w:r>
        <w:rPr/>
        <w:t>studies</w:t>
      </w:r>
      <w:r>
        <w:rPr>
          <w:spacing w:val="-9"/>
        </w:rPr>
        <w:t> </w:t>
      </w:r>
      <w:r>
        <w:rPr/>
        <w:t>in</w:t>
      </w:r>
      <w:r>
        <w:rPr>
          <w:spacing w:val="-9"/>
        </w:rPr>
        <w:t> </w:t>
      </w:r>
      <w:r>
        <w:rPr/>
        <w:t>the</w:t>
      </w:r>
      <w:r>
        <w:rPr>
          <w:spacing w:val="-9"/>
        </w:rPr>
        <w:t> </w:t>
      </w:r>
      <w:r>
        <w:rPr/>
        <w:t>literature</w:t>
      </w:r>
      <w:r>
        <w:rPr>
          <w:spacing w:val="-9"/>
        </w:rPr>
        <w:t> </w:t>
      </w:r>
      <w:r>
        <w:rPr/>
        <w:t>were able to access multiple millions of data points (</w:t>
      </w:r>
      <w:hyperlink w:history="true" w:anchor="_bookmark231">
        <w:r>
          <w:rPr>
            <w:color w:val="FF0000"/>
          </w:rPr>
          <w:t>Cervone et al.</w:t>
        </w:r>
      </w:hyperlink>
      <w:r>
        <w:rPr/>
        <w:t>,</w:t>
      </w:r>
      <w:hyperlink w:history="true" w:anchor="_bookmark231">
        <w:r>
          <w:rPr>
            <w:color w:val="FF0000"/>
          </w:rPr>
          <w:t>2016</w:t>
        </w:r>
        <w:r>
          <w:rPr/>
          <w:t>;</w:t>
        </w:r>
      </w:hyperlink>
      <w:hyperlink w:history="true" w:anchor="_bookmark239">
        <w:r>
          <w:rPr>
            <w:color w:val="FF0000"/>
          </w:rPr>
          <w:t>Decroos et al.</w:t>
        </w:r>
        <w:r>
          <w:rPr/>
          <w:t>,</w:t>
        </w:r>
      </w:hyperlink>
      <w:r>
        <w:rPr>
          <w:color w:val="FF0000"/>
        </w:rPr>
        <w:t>2019</w:t>
      </w:r>
      <w:hyperlink w:history="true" w:anchor="_bookmark239">
        <w:r>
          <w:rPr/>
          <w:t>;</w:t>
        </w:r>
      </w:hyperlink>
      <w:r>
        <w:rPr/>
        <w:t> </w:t>
      </w:r>
      <w:hyperlink w:history="true" w:anchor="_bookmark243">
        <w:r>
          <w:rPr>
            <w:color w:val="FF0000"/>
            <w:spacing w:val="8"/>
          </w:rPr>
          <w:t>Fer</w:t>
        </w:r>
        <w:r>
          <w:rPr>
            <w:color w:val="FF0000"/>
            <w:spacing w:val="7"/>
          </w:rPr>
          <w:t>n</w:t>
        </w:r>
        <w:r>
          <w:rPr>
            <w:color w:val="FF0000"/>
            <w:spacing w:val="-85"/>
          </w:rPr>
          <w:t>a</w:t>
        </w:r>
        <w:r>
          <w:rPr>
            <w:color w:val="FF0000"/>
            <w:spacing w:val="21"/>
          </w:rPr>
          <w:t>´</w:t>
        </w:r>
        <w:r>
          <w:rPr>
            <w:color w:val="FF0000"/>
            <w:spacing w:val="8"/>
          </w:rPr>
          <w:t>ndez</w:t>
        </w:r>
        <w:r>
          <w:rPr>
            <w:color w:val="FF0000"/>
            <w:spacing w:val="-1"/>
          </w:rPr>
          <w:t> </w:t>
        </w:r>
        <w:r>
          <w:rPr>
            <w:color w:val="FF0000"/>
          </w:rPr>
          <w:t>et al.</w:t>
        </w:r>
      </w:hyperlink>
      <w:r>
        <w:rPr/>
        <w:t>,</w:t>
      </w:r>
      <w:hyperlink w:history="true" w:anchor="_bookmark243">
        <w:r>
          <w:rPr>
            <w:color w:val="FF0000"/>
          </w:rPr>
          <w:t>2021</w:t>
        </w:r>
        <w:r>
          <w:rPr/>
          <w:t>;</w:t>
        </w:r>
      </w:hyperlink>
      <w:r>
        <w:rPr>
          <w:color w:val="FF0000"/>
        </w:rPr>
        <w:t>Liu </w:t>
      </w:r>
      <w:hyperlink w:history="true" w:anchor="_bookmark269">
        <w:r>
          <w:rPr>
            <w:color w:val="FF0000"/>
          </w:rPr>
          <w:t>et al.</w:t>
        </w:r>
        <w:r>
          <w:rPr/>
          <w:t>,</w:t>
        </w:r>
      </w:hyperlink>
      <w:r>
        <w:rPr>
          <w:color w:val="FF0000"/>
        </w:rPr>
        <w:t>2020</w:t>
      </w:r>
      <w:hyperlink w:history="true" w:anchor="_bookmark269">
        <w:r>
          <w:rPr/>
          <w:t>),</w:t>
        </w:r>
      </w:hyperlink>
      <w:r>
        <w:rPr/>
        <w:t> rugby league only has small data sets (approxi- mately</w:t>
      </w:r>
      <w:r>
        <w:rPr>
          <w:spacing w:val="-10"/>
        </w:rPr>
        <w:t> </w:t>
      </w:r>
      <w:r>
        <w:rPr/>
        <w:t>100,000</w:t>
      </w:r>
      <w:r>
        <w:rPr>
          <w:spacing w:val="-10"/>
        </w:rPr>
        <w:t> </w:t>
      </w:r>
      <w:r>
        <w:rPr/>
        <w:t>data</w:t>
      </w:r>
      <w:r>
        <w:rPr>
          <w:spacing w:val="-10"/>
        </w:rPr>
        <w:t> </w:t>
      </w:r>
      <w:r>
        <w:rPr/>
        <w:t>points</w:t>
      </w:r>
      <w:r>
        <w:rPr>
          <w:spacing w:val="-10"/>
        </w:rPr>
        <w:t> </w:t>
      </w:r>
      <w:r>
        <w:rPr/>
        <w:t>per</w:t>
      </w:r>
      <w:r>
        <w:rPr>
          <w:spacing w:val="-10"/>
        </w:rPr>
        <w:t> </w:t>
      </w:r>
      <w:r>
        <w:rPr/>
        <w:t>season).</w:t>
      </w:r>
      <w:r>
        <w:rPr>
          <w:spacing w:val="9"/>
        </w:rPr>
        <w:t> </w:t>
      </w:r>
      <w:r>
        <w:rPr/>
        <w:t>Indeed,</w:t>
      </w:r>
      <w:r>
        <w:rPr>
          <w:spacing w:val="-8"/>
        </w:rPr>
        <w:t> </w:t>
      </w:r>
      <w:r>
        <w:rPr/>
        <w:t>in</w:t>
      </w:r>
      <w:r>
        <w:rPr>
          <w:spacing w:val="-10"/>
        </w:rPr>
        <w:t> </w:t>
      </w:r>
      <w:r>
        <w:rPr/>
        <w:t>Chapter</w:t>
      </w:r>
      <w:r>
        <w:rPr>
          <w:color w:val="0000FF"/>
        </w:rPr>
        <w:t>3</w:t>
      </w:r>
      <w:hyperlink w:history="true" w:anchor="_bookmark48">
        <w:r>
          <w:rPr/>
          <w:t>,</w:t>
        </w:r>
      </w:hyperlink>
      <w:r>
        <w:rPr>
          <w:spacing w:val="-9"/>
        </w:rPr>
        <w:t> </w:t>
      </w:r>
      <w:r>
        <w:rPr/>
        <w:t>action</w:t>
      </w:r>
      <w:r>
        <w:rPr>
          <w:spacing w:val="-10"/>
        </w:rPr>
        <w:t> </w:t>
      </w:r>
      <w:r>
        <w:rPr/>
        <w:t>by</w:t>
      </w:r>
      <w:r>
        <w:rPr>
          <w:spacing w:val="-10"/>
        </w:rPr>
        <w:t> </w:t>
      </w:r>
      <w:r>
        <w:rPr/>
        <w:t>action</w:t>
      </w:r>
      <w:r>
        <w:rPr>
          <w:spacing w:val="-10"/>
        </w:rPr>
        <w:t> </w:t>
      </w:r>
      <w:r>
        <w:rPr/>
        <w:t>data</w:t>
      </w:r>
      <w:r>
        <w:rPr>
          <w:spacing w:val="-10"/>
        </w:rPr>
        <w:t> </w:t>
      </w:r>
      <w:r>
        <w:rPr/>
        <w:t>wasn’t currently</w:t>
      </w:r>
      <w:r>
        <w:rPr>
          <w:spacing w:val="-15"/>
        </w:rPr>
        <w:t> </w:t>
      </w:r>
      <w:r>
        <w:rPr/>
        <w:t>available.</w:t>
      </w:r>
      <w:r>
        <w:rPr>
          <w:spacing w:val="1"/>
        </w:rPr>
        <w:t> </w:t>
      </w:r>
      <w:r>
        <w:rPr/>
        <w:t>The</w:t>
      </w:r>
      <w:r>
        <w:rPr>
          <w:spacing w:val="-15"/>
        </w:rPr>
        <w:t> </w:t>
      </w:r>
      <w:r>
        <w:rPr/>
        <w:t>gold</w:t>
      </w:r>
      <w:r>
        <w:rPr>
          <w:spacing w:val="-15"/>
        </w:rPr>
        <w:t> </w:t>
      </w:r>
      <w:r>
        <w:rPr/>
        <w:t>standard</w:t>
      </w:r>
      <w:r>
        <w:rPr>
          <w:spacing w:val="-15"/>
        </w:rPr>
        <w:t> </w:t>
      </w:r>
      <w:r>
        <w:rPr/>
        <w:t>for</w:t>
      </w:r>
      <w:r>
        <w:rPr>
          <w:spacing w:val="-15"/>
        </w:rPr>
        <w:t> </w:t>
      </w:r>
      <w:r>
        <w:rPr/>
        <w:t>EPV</w:t>
      </w:r>
      <w:r>
        <w:rPr>
          <w:spacing w:val="-15"/>
        </w:rPr>
        <w:t> </w:t>
      </w:r>
      <w:r>
        <w:rPr/>
        <w:t>is</w:t>
      </w:r>
      <w:r>
        <w:rPr>
          <w:spacing w:val="-15"/>
        </w:rPr>
        <w:t> </w:t>
      </w:r>
      <w:r>
        <w:rPr/>
        <w:t>a</w:t>
      </w:r>
      <w:r>
        <w:rPr>
          <w:spacing w:val="-15"/>
        </w:rPr>
        <w:t> </w:t>
      </w:r>
      <w:r>
        <w:rPr/>
        <w:t>model</w:t>
      </w:r>
      <w:r>
        <w:rPr>
          <w:spacing w:val="-15"/>
        </w:rPr>
        <w:t> </w:t>
      </w:r>
      <w:r>
        <w:rPr/>
        <w:t>which</w:t>
      </w:r>
      <w:r>
        <w:rPr>
          <w:spacing w:val="-15"/>
        </w:rPr>
        <w:t> </w:t>
      </w:r>
      <w:r>
        <w:rPr/>
        <w:t>can</w:t>
      </w:r>
      <w:r>
        <w:rPr>
          <w:spacing w:val="-15"/>
        </w:rPr>
        <w:t> </w:t>
      </w:r>
      <w:r>
        <w:rPr/>
        <w:t>employ</w:t>
      </w:r>
      <w:r>
        <w:rPr>
          <w:spacing w:val="-15"/>
        </w:rPr>
        <w:t> </w:t>
      </w:r>
      <w:r>
        <w:rPr/>
        <w:t>player</w:t>
      </w:r>
      <w:r>
        <w:rPr>
          <w:spacing w:val="-15"/>
        </w:rPr>
        <w:t> </w:t>
      </w:r>
      <w:r>
        <w:rPr>
          <w:spacing w:val="-2"/>
        </w:rPr>
        <w:t>track-</w:t>
      </w:r>
    </w:p>
    <w:p>
      <w:pPr>
        <w:pStyle w:val="BodyText"/>
        <w:spacing w:line="274" w:lineRule="exact"/>
        <w:ind w:left="610"/>
      </w:pPr>
      <w:r>
        <w:rPr/>
        <w:t>ing</w:t>
      </w:r>
      <w:r>
        <w:rPr>
          <w:spacing w:val="4"/>
        </w:rPr>
        <w:t> </w:t>
      </w:r>
      <w:r>
        <w:rPr/>
        <w:t>and</w:t>
      </w:r>
      <w:r>
        <w:rPr>
          <w:spacing w:val="4"/>
        </w:rPr>
        <w:t> </w:t>
      </w:r>
      <w:r>
        <w:rPr/>
        <w:t>action</w:t>
      </w:r>
      <w:r>
        <w:rPr>
          <w:spacing w:val="5"/>
        </w:rPr>
        <w:t> </w:t>
      </w:r>
      <w:r>
        <w:rPr/>
        <w:t>by</w:t>
      </w:r>
      <w:r>
        <w:rPr>
          <w:spacing w:val="4"/>
        </w:rPr>
        <w:t> </w:t>
      </w:r>
      <w:r>
        <w:rPr/>
        <w:t>action</w:t>
      </w:r>
      <w:r>
        <w:rPr>
          <w:spacing w:val="4"/>
        </w:rPr>
        <w:t> </w:t>
      </w:r>
      <w:r>
        <w:rPr/>
        <w:t>match</w:t>
      </w:r>
      <w:r>
        <w:rPr>
          <w:spacing w:val="5"/>
        </w:rPr>
        <w:t> </w:t>
      </w:r>
      <w:r>
        <w:rPr/>
        <w:t>event</w:t>
      </w:r>
      <w:r>
        <w:rPr>
          <w:spacing w:val="4"/>
        </w:rPr>
        <w:t> </w:t>
      </w:r>
      <w:r>
        <w:rPr/>
        <w:t>level</w:t>
      </w:r>
      <w:r>
        <w:rPr>
          <w:spacing w:val="4"/>
        </w:rPr>
        <w:t> </w:t>
      </w:r>
      <w:r>
        <w:rPr/>
        <w:t>data</w:t>
      </w:r>
      <w:r>
        <w:rPr>
          <w:spacing w:val="5"/>
        </w:rPr>
        <w:t> </w:t>
      </w:r>
      <w:r>
        <w:rPr/>
        <w:t>(</w:t>
      </w:r>
      <w:hyperlink w:history="true" w:anchor="_bookmark231">
        <w:r>
          <w:rPr>
            <w:color w:val="FF0000"/>
          </w:rPr>
          <w:t>Cervone</w:t>
        </w:r>
        <w:r>
          <w:rPr>
            <w:color w:val="FF0000"/>
            <w:spacing w:val="4"/>
          </w:rPr>
          <w:t> </w:t>
        </w:r>
        <w:r>
          <w:rPr>
            <w:color w:val="FF0000"/>
          </w:rPr>
          <w:t>et</w:t>
        </w:r>
        <w:r>
          <w:rPr>
            <w:color w:val="FF0000"/>
            <w:spacing w:val="4"/>
          </w:rPr>
          <w:t> </w:t>
        </w:r>
        <w:r>
          <w:rPr>
            <w:color w:val="FF0000"/>
          </w:rPr>
          <w:t>al.</w:t>
        </w:r>
      </w:hyperlink>
      <w:r>
        <w:rPr/>
        <w:t>,</w:t>
      </w:r>
      <w:hyperlink w:history="true" w:anchor="_bookmark231">
        <w:r>
          <w:rPr>
            <w:color w:val="FF0000"/>
          </w:rPr>
          <w:t>2016</w:t>
        </w:r>
        <w:r>
          <w:rPr/>
          <w:t>;</w:t>
        </w:r>
      </w:hyperlink>
      <w:r>
        <w:rPr>
          <w:color w:val="FF0000"/>
        </w:rPr>
        <w:t>Fern</w:t>
      </w:r>
      <w:r>
        <w:rPr>
          <w:color w:val="FF0000"/>
          <w:spacing w:val="69"/>
        </w:rPr>
        <w:t> </w:t>
      </w:r>
      <w:hyperlink w:history="true" w:anchor="_bookmark243">
        <w:r>
          <w:rPr>
            <w:color w:val="FF0000"/>
            <w:spacing w:val="-80"/>
          </w:rPr>
          <w:t>a</w:t>
        </w:r>
        <w:r>
          <w:rPr>
            <w:color w:val="FF0000"/>
            <w:spacing w:val="26"/>
          </w:rPr>
          <w:t>´</w:t>
        </w:r>
        <w:r>
          <w:rPr>
            <w:color w:val="FF0000"/>
            <w:spacing w:val="13"/>
          </w:rPr>
          <w:t>ndez</w:t>
        </w:r>
        <w:r>
          <w:rPr>
            <w:color w:val="FF0000"/>
            <w:spacing w:val="4"/>
          </w:rPr>
          <w:t> </w:t>
        </w:r>
        <w:r>
          <w:rPr>
            <w:color w:val="FF0000"/>
          </w:rPr>
          <w:t>et</w:t>
        </w:r>
        <w:r>
          <w:rPr>
            <w:color w:val="FF0000"/>
            <w:spacing w:val="5"/>
          </w:rPr>
          <w:t> </w:t>
        </w:r>
        <w:r>
          <w:rPr>
            <w:color w:val="FF0000"/>
            <w:spacing w:val="-4"/>
          </w:rPr>
          <w:t>al.</w:t>
        </w:r>
      </w:hyperlink>
      <w:r>
        <w:rPr>
          <w:spacing w:val="-4"/>
        </w:rPr>
        <w:t>,</w:t>
      </w:r>
    </w:p>
    <w:p>
      <w:pPr>
        <w:pStyle w:val="BodyText"/>
        <w:spacing w:line="312" w:lineRule="auto" w:before="82"/>
        <w:ind w:left="610" w:right="389"/>
      </w:pPr>
      <w:hyperlink w:history="true" w:anchor="_bookmark243">
        <w:r>
          <w:rPr>
            <w:color w:val="FF0000"/>
          </w:rPr>
          <w:t>2021</w:t>
        </w:r>
      </w:hyperlink>
      <w:r>
        <w:rPr/>
        <w:t>),</w:t>
      </w:r>
      <w:r>
        <w:rPr>
          <w:spacing w:val="-8"/>
        </w:rPr>
        <w:t> </w:t>
      </w:r>
      <w:r>
        <w:rPr/>
        <w:t>but</w:t>
      </w:r>
      <w:r>
        <w:rPr>
          <w:spacing w:val="-8"/>
        </w:rPr>
        <w:t> </w:t>
      </w:r>
      <w:r>
        <w:rPr/>
        <w:t>if</w:t>
      </w:r>
      <w:r>
        <w:rPr>
          <w:spacing w:val="-8"/>
        </w:rPr>
        <w:t> </w:t>
      </w:r>
      <w:r>
        <w:rPr/>
        <w:t>that</w:t>
      </w:r>
      <w:r>
        <w:rPr>
          <w:spacing w:val="-8"/>
        </w:rPr>
        <w:t> </w:t>
      </w:r>
      <w:r>
        <w:rPr/>
        <w:t>is</w:t>
      </w:r>
      <w:r>
        <w:rPr>
          <w:spacing w:val="-8"/>
        </w:rPr>
        <w:t> </w:t>
      </w:r>
      <w:r>
        <w:rPr/>
        <w:t>not</w:t>
      </w:r>
      <w:r>
        <w:rPr>
          <w:spacing w:val="-8"/>
        </w:rPr>
        <w:t> </w:t>
      </w:r>
      <w:r>
        <w:rPr/>
        <w:t>available</w:t>
      </w:r>
      <w:r>
        <w:rPr>
          <w:spacing w:val="-8"/>
        </w:rPr>
        <w:t> </w:t>
      </w:r>
      <w:r>
        <w:rPr/>
        <w:t>a</w:t>
      </w:r>
      <w:r>
        <w:rPr>
          <w:spacing w:val="-8"/>
        </w:rPr>
        <w:t> </w:t>
      </w:r>
      <w:r>
        <w:rPr/>
        <w:t>more</w:t>
      </w:r>
      <w:r>
        <w:rPr>
          <w:spacing w:val="-8"/>
        </w:rPr>
        <w:t> </w:t>
      </w:r>
      <w:r>
        <w:rPr/>
        <w:t>suitable</w:t>
      </w:r>
      <w:r>
        <w:rPr>
          <w:spacing w:val="-8"/>
        </w:rPr>
        <w:t> </w:t>
      </w:r>
      <w:r>
        <w:rPr/>
        <w:t>modelling</w:t>
      </w:r>
      <w:r>
        <w:rPr>
          <w:spacing w:val="-8"/>
        </w:rPr>
        <w:t> </w:t>
      </w:r>
      <w:r>
        <w:rPr/>
        <w:t>method</w:t>
      </w:r>
      <w:r>
        <w:rPr>
          <w:spacing w:val="-8"/>
        </w:rPr>
        <w:t> </w:t>
      </w:r>
      <w:r>
        <w:rPr/>
        <w:t>should</w:t>
      </w:r>
      <w:r>
        <w:rPr>
          <w:spacing w:val="-8"/>
        </w:rPr>
        <w:t> </w:t>
      </w:r>
      <w:r>
        <w:rPr/>
        <w:t>be</w:t>
      </w:r>
      <w:r>
        <w:rPr>
          <w:spacing w:val="-8"/>
        </w:rPr>
        <w:t> </w:t>
      </w:r>
      <w:r>
        <w:rPr/>
        <w:t>chosen</w:t>
      </w:r>
      <w:r>
        <w:rPr>
          <w:spacing w:val="-8"/>
        </w:rPr>
        <w:t> </w:t>
      </w:r>
      <w:r>
        <w:rPr/>
        <w:t>and the limitations of the method should be understood.</w:t>
      </w:r>
      <w:r>
        <w:rPr>
          <w:spacing w:val="40"/>
        </w:rPr>
        <w:t> </w:t>
      </w:r>
      <w:r>
        <w:rPr/>
        <w:t>For example, in Chapter</w:t>
      </w:r>
      <w:r>
        <w:rPr>
          <w:color w:val="0000FF"/>
        </w:rPr>
        <w:t>3</w:t>
      </w:r>
      <w:hyperlink w:history="true" w:anchor="_bookmark48">
        <w:r>
          <w:rPr/>
          <w:t>,</w:t>
        </w:r>
      </w:hyperlink>
      <w:r>
        <w:rPr/>
        <w:t> it was</w:t>
      </w:r>
      <w:r>
        <w:rPr>
          <w:spacing w:val="40"/>
        </w:rPr>
        <w:t> </w:t>
      </w:r>
      <w:r>
        <w:rPr/>
        <w:t>possible</w:t>
      </w:r>
      <w:r>
        <w:rPr>
          <w:spacing w:val="-10"/>
        </w:rPr>
        <w:t> </w:t>
      </w:r>
      <w:r>
        <w:rPr/>
        <w:t>to</w:t>
      </w:r>
      <w:r>
        <w:rPr>
          <w:spacing w:val="-10"/>
        </w:rPr>
        <w:t> </w:t>
      </w:r>
      <w:r>
        <w:rPr/>
        <w:t>evaluate</w:t>
      </w:r>
      <w:r>
        <w:rPr>
          <w:spacing w:val="-10"/>
        </w:rPr>
        <w:t> </w:t>
      </w:r>
      <w:r>
        <w:rPr/>
        <w:t>team</w:t>
      </w:r>
      <w:r>
        <w:rPr>
          <w:spacing w:val="-10"/>
        </w:rPr>
        <w:t> </w:t>
      </w:r>
      <w:r>
        <w:rPr/>
        <w:t>performances</w:t>
      </w:r>
      <w:r>
        <w:rPr>
          <w:spacing w:val="-10"/>
        </w:rPr>
        <w:t> </w:t>
      </w:r>
      <w:r>
        <w:rPr/>
        <w:t>based</w:t>
      </w:r>
      <w:r>
        <w:rPr>
          <w:spacing w:val="-10"/>
        </w:rPr>
        <w:t> </w:t>
      </w:r>
      <w:r>
        <w:rPr/>
        <w:t>on</w:t>
      </w:r>
      <w:r>
        <w:rPr>
          <w:spacing w:val="-10"/>
        </w:rPr>
        <w:t> </w:t>
      </w:r>
      <w:r>
        <w:rPr/>
        <w:t>the</w:t>
      </w:r>
      <w:r>
        <w:rPr>
          <w:spacing w:val="-10"/>
        </w:rPr>
        <w:t> </w:t>
      </w:r>
      <w:r>
        <w:rPr/>
        <w:t>sequence</w:t>
      </w:r>
      <w:r>
        <w:rPr>
          <w:spacing w:val="-10"/>
        </w:rPr>
        <w:t> </w:t>
      </w:r>
      <w:r>
        <w:rPr/>
        <w:t>of</w:t>
      </w:r>
      <w:r>
        <w:rPr>
          <w:spacing w:val="-10"/>
        </w:rPr>
        <w:t> </w:t>
      </w:r>
      <w:r>
        <w:rPr/>
        <w:t>location</w:t>
      </w:r>
      <w:r>
        <w:rPr>
          <w:spacing w:val="-10"/>
        </w:rPr>
        <w:t> </w:t>
      </w:r>
      <w:r>
        <w:rPr/>
        <w:t>movements</w:t>
      </w:r>
      <w:r>
        <w:rPr>
          <w:spacing w:val="-10"/>
        </w:rPr>
        <w:t> </w:t>
      </w:r>
      <w:r>
        <w:rPr/>
        <w:t>for each play-the-ball,</w:t>
      </w:r>
      <w:r>
        <w:rPr>
          <w:spacing w:val="25"/>
        </w:rPr>
        <w:t> </w:t>
      </w:r>
      <w:r>
        <w:rPr/>
        <w:t>but the</w:t>
      </w:r>
      <w:r>
        <w:rPr>
          <w:spacing w:val="20"/>
        </w:rPr>
        <w:t> </w:t>
      </w:r>
      <w:r>
        <w:rPr/>
        <w:t>lack of</w:t>
      </w:r>
      <w:r>
        <w:rPr>
          <w:spacing w:val="20"/>
        </w:rPr>
        <w:t> </w:t>
      </w:r>
      <w:r>
        <w:rPr/>
        <w:t>action by action</w:t>
      </w:r>
      <w:r>
        <w:rPr>
          <w:spacing w:val="20"/>
        </w:rPr>
        <w:t> </w:t>
      </w:r>
      <w:r>
        <w:rPr/>
        <w:t>data ensured it</w:t>
      </w:r>
      <w:r>
        <w:rPr>
          <w:spacing w:val="20"/>
        </w:rPr>
        <w:t> </w:t>
      </w:r>
      <w:r>
        <w:rPr/>
        <w:t>was not</w:t>
      </w:r>
      <w:r>
        <w:rPr>
          <w:spacing w:val="20"/>
        </w:rPr>
        <w:t> </w:t>
      </w:r>
      <w:r>
        <w:rPr/>
        <w:t>possible</w:t>
      </w:r>
      <w:r>
        <w:rPr>
          <w:spacing w:val="20"/>
        </w:rPr>
        <w:t> </w:t>
      </w:r>
      <w:r>
        <w:rPr/>
        <w:t>to evaluate</w:t>
      </w:r>
      <w:r>
        <w:rPr>
          <w:spacing w:val="-7"/>
        </w:rPr>
        <w:t> </w:t>
      </w:r>
      <w:r>
        <w:rPr/>
        <w:t>player</w:t>
      </w:r>
      <w:r>
        <w:rPr>
          <w:spacing w:val="-7"/>
        </w:rPr>
        <w:t> </w:t>
      </w:r>
      <w:r>
        <w:rPr/>
        <w:t>performance</w:t>
      </w:r>
      <w:r>
        <w:rPr>
          <w:spacing w:val="-7"/>
        </w:rPr>
        <w:t> </w:t>
      </w:r>
      <w:r>
        <w:rPr/>
        <w:t>on</w:t>
      </w:r>
      <w:r>
        <w:rPr>
          <w:spacing w:val="-7"/>
        </w:rPr>
        <w:t> </w:t>
      </w:r>
      <w:r>
        <w:rPr/>
        <w:t>an</w:t>
      </w:r>
      <w:r>
        <w:rPr>
          <w:spacing w:val="-7"/>
        </w:rPr>
        <w:t> </w:t>
      </w:r>
      <w:r>
        <w:rPr/>
        <w:t>action</w:t>
      </w:r>
      <w:r>
        <w:rPr>
          <w:spacing w:val="-7"/>
        </w:rPr>
        <w:t> </w:t>
      </w:r>
      <w:r>
        <w:rPr/>
        <w:t>by</w:t>
      </w:r>
      <w:r>
        <w:rPr>
          <w:spacing w:val="-7"/>
        </w:rPr>
        <w:t> </w:t>
      </w:r>
      <w:r>
        <w:rPr/>
        <w:t>action</w:t>
      </w:r>
      <w:r>
        <w:rPr>
          <w:spacing w:val="-7"/>
        </w:rPr>
        <w:t> </w:t>
      </w:r>
      <w:r>
        <w:rPr/>
        <w:t>basis</w:t>
      </w:r>
      <w:r>
        <w:rPr>
          <w:spacing w:val="-7"/>
        </w:rPr>
        <w:t> </w:t>
      </w:r>
      <w:r>
        <w:rPr/>
        <w:t>like</w:t>
      </w:r>
      <w:r>
        <w:rPr>
          <w:spacing w:val="-7"/>
        </w:rPr>
        <w:t> </w:t>
      </w:r>
      <w:r>
        <w:rPr/>
        <w:t>in</w:t>
      </w:r>
      <w:r>
        <w:rPr>
          <w:spacing w:val="-7"/>
        </w:rPr>
        <w:t> </w:t>
      </w:r>
      <w:r>
        <w:rPr/>
        <w:t>other</w:t>
      </w:r>
      <w:r>
        <w:rPr>
          <w:spacing w:val="-7"/>
        </w:rPr>
        <w:t> </w:t>
      </w:r>
      <w:r>
        <w:rPr/>
        <w:t>chapters</w:t>
      </w:r>
      <w:r>
        <w:rPr>
          <w:spacing w:val="-7"/>
        </w:rPr>
        <w:t> </w:t>
      </w:r>
      <w:r>
        <w:rPr/>
        <w:t>within</w:t>
      </w:r>
      <w:r>
        <w:rPr>
          <w:spacing w:val="-7"/>
        </w:rPr>
        <w:t> </w:t>
      </w:r>
      <w:r>
        <w:rPr/>
        <w:t>the thesis.</w:t>
      </w:r>
      <w:r>
        <w:rPr>
          <w:spacing w:val="40"/>
        </w:rPr>
        <w:t> </w:t>
      </w:r>
      <w:r>
        <w:rPr/>
        <w:t>Researchers and practitioners should be aware of this limitation when deciding which model to use within their context.</w:t>
      </w:r>
    </w:p>
    <w:p>
      <w:pPr>
        <w:pStyle w:val="BodyText"/>
        <w:spacing w:line="274" w:lineRule="exact"/>
        <w:ind w:left="961"/>
      </w:pPr>
      <w:r>
        <w:rPr/>
        <w:t>The</w:t>
      </w:r>
      <w:r>
        <w:rPr>
          <w:spacing w:val="-15"/>
        </w:rPr>
        <w:t> </w:t>
      </w:r>
      <w:r>
        <w:rPr/>
        <w:t>key</w:t>
      </w:r>
      <w:r>
        <w:rPr>
          <w:spacing w:val="-14"/>
        </w:rPr>
        <w:t> </w:t>
      </w:r>
      <w:r>
        <w:rPr/>
        <w:t>limitation</w:t>
      </w:r>
      <w:r>
        <w:rPr>
          <w:spacing w:val="-14"/>
        </w:rPr>
        <w:t> </w:t>
      </w:r>
      <w:r>
        <w:rPr/>
        <w:t>of</w:t>
      </w:r>
      <w:r>
        <w:rPr>
          <w:spacing w:val="-14"/>
        </w:rPr>
        <w:t> </w:t>
      </w:r>
      <w:r>
        <w:rPr/>
        <w:t>the</w:t>
      </w:r>
      <w:r>
        <w:rPr>
          <w:spacing w:val="-14"/>
        </w:rPr>
        <w:t> </w:t>
      </w:r>
      <w:r>
        <w:rPr/>
        <w:t>Markov</w:t>
      </w:r>
      <w:r>
        <w:rPr>
          <w:spacing w:val="-14"/>
        </w:rPr>
        <w:t> </w:t>
      </w:r>
      <w:r>
        <w:rPr/>
        <w:t>models</w:t>
      </w:r>
      <w:r>
        <w:rPr>
          <w:spacing w:val="-14"/>
        </w:rPr>
        <w:t> </w:t>
      </w:r>
      <w:r>
        <w:rPr/>
        <w:t>employed</w:t>
      </w:r>
      <w:r>
        <w:rPr>
          <w:spacing w:val="-14"/>
        </w:rPr>
        <w:t> </w:t>
      </w:r>
      <w:r>
        <w:rPr/>
        <w:t>in</w:t>
      </w:r>
      <w:r>
        <w:rPr>
          <w:spacing w:val="-14"/>
        </w:rPr>
        <w:t> </w:t>
      </w:r>
      <w:r>
        <w:rPr/>
        <w:t>Chapters</w:t>
      </w:r>
      <w:r>
        <w:rPr>
          <w:color w:val="0000FF"/>
        </w:rPr>
        <w:t>3</w:t>
      </w:r>
      <w:r>
        <w:rPr/>
        <w:t>and</w:t>
      </w:r>
      <w:r>
        <w:rPr>
          <w:color w:val="0000FF"/>
        </w:rPr>
        <w:t>4</w:t>
      </w:r>
      <w:hyperlink w:history="true" w:anchor="_bookmark92">
        <w:r>
          <w:rPr/>
          <w:t>w</w:t>
        </w:r>
      </w:hyperlink>
      <w:r>
        <w:rPr/>
        <w:t>as</w:t>
      </w:r>
      <w:r>
        <w:rPr>
          <w:spacing w:val="-14"/>
        </w:rPr>
        <w:t> </w:t>
      </w:r>
      <w:r>
        <w:rPr/>
        <w:t>the</w:t>
      </w:r>
      <w:r>
        <w:rPr>
          <w:spacing w:val="-14"/>
        </w:rPr>
        <w:t> </w:t>
      </w:r>
      <w:r>
        <w:rPr>
          <w:spacing w:val="-2"/>
        </w:rPr>
        <w:t>zones</w:t>
      </w:r>
    </w:p>
    <w:p>
      <w:pPr>
        <w:spacing w:after="0" w:line="274" w:lineRule="exact"/>
        <w:sectPr>
          <w:headerReference w:type="default" r:id="rId146"/>
          <w:footerReference w:type="default" r:id="rId147"/>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used to establish state values.</w:t>
      </w:r>
      <w:r>
        <w:rPr>
          <w:spacing w:val="40"/>
        </w:rPr>
        <w:t> </w:t>
      </w:r>
      <w:r>
        <w:rPr/>
        <w:t>Adopting a zonal system has multiple benefits, </w:t>
      </w:r>
      <w:r>
        <w:rPr/>
        <w:t>including ease</w:t>
      </w:r>
      <w:r>
        <w:rPr>
          <w:spacing w:val="-15"/>
        </w:rPr>
        <w:t> </w:t>
      </w:r>
      <w:r>
        <w:rPr/>
        <w:t>of</w:t>
      </w:r>
      <w:r>
        <w:rPr>
          <w:spacing w:val="-15"/>
        </w:rPr>
        <w:t> </w:t>
      </w:r>
      <w:r>
        <w:rPr/>
        <w:t>computation</w:t>
      </w:r>
      <w:r>
        <w:rPr>
          <w:spacing w:val="-15"/>
        </w:rPr>
        <w:t> </w:t>
      </w:r>
      <w:r>
        <w:rPr/>
        <w:t>and</w:t>
      </w:r>
      <w:r>
        <w:rPr>
          <w:spacing w:val="-15"/>
        </w:rPr>
        <w:t> </w:t>
      </w:r>
      <w:r>
        <w:rPr/>
        <w:t>aggregation</w:t>
      </w:r>
      <w:r>
        <w:rPr>
          <w:spacing w:val="-15"/>
        </w:rPr>
        <w:t> </w:t>
      </w:r>
      <w:r>
        <w:rPr/>
        <w:t>of</w:t>
      </w:r>
      <w:r>
        <w:rPr>
          <w:spacing w:val="-15"/>
        </w:rPr>
        <w:t> </w:t>
      </w:r>
      <w:r>
        <w:rPr/>
        <w:t>data,</w:t>
      </w:r>
      <w:r>
        <w:rPr>
          <w:spacing w:val="-13"/>
        </w:rPr>
        <w:t> </w:t>
      </w:r>
      <w:r>
        <w:rPr/>
        <w:t>which</w:t>
      </w:r>
      <w:r>
        <w:rPr>
          <w:spacing w:val="-15"/>
        </w:rPr>
        <w:t> </w:t>
      </w:r>
      <w:r>
        <w:rPr/>
        <w:t>can</w:t>
      </w:r>
      <w:r>
        <w:rPr>
          <w:spacing w:val="-15"/>
        </w:rPr>
        <w:t> </w:t>
      </w:r>
      <w:r>
        <w:rPr/>
        <w:t>increase</w:t>
      </w:r>
      <w:r>
        <w:rPr>
          <w:spacing w:val="-15"/>
        </w:rPr>
        <w:t> </w:t>
      </w:r>
      <w:r>
        <w:rPr/>
        <w:t>confidence</w:t>
      </w:r>
      <w:r>
        <w:rPr>
          <w:spacing w:val="-15"/>
        </w:rPr>
        <w:t> </w:t>
      </w:r>
      <w:r>
        <w:rPr/>
        <w:t>in</w:t>
      </w:r>
      <w:r>
        <w:rPr>
          <w:spacing w:val="-15"/>
        </w:rPr>
        <w:t> </w:t>
      </w:r>
      <w:r>
        <w:rPr/>
        <w:t>the</w:t>
      </w:r>
      <w:r>
        <w:rPr>
          <w:spacing w:val="-15"/>
        </w:rPr>
        <w:t> </w:t>
      </w:r>
      <w:r>
        <w:rPr/>
        <w:t>results. However, the</w:t>
      </w:r>
      <w:r>
        <w:rPr>
          <w:spacing w:val="-2"/>
        </w:rPr>
        <w:t> </w:t>
      </w:r>
      <w:r>
        <w:rPr/>
        <w:t>size</w:t>
      </w:r>
      <w:r>
        <w:rPr>
          <w:spacing w:val="-2"/>
        </w:rPr>
        <w:t> </w:t>
      </w:r>
      <w:r>
        <w:rPr/>
        <w:t>of</w:t>
      </w:r>
      <w:r>
        <w:rPr>
          <w:spacing w:val="-2"/>
        </w:rPr>
        <w:t> </w:t>
      </w:r>
      <w:r>
        <w:rPr/>
        <w:t>the</w:t>
      </w:r>
      <w:r>
        <w:rPr>
          <w:spacing w:val="-2"/>
        </w:rPr>
        <w:t> </w:t>
      </w:r>
      <w:r>
        <w:rPr/>
        <w:t>zones</w:t>
      </w:r>
      <w:r>
        <w:rPr>
          <w:spacing w:val="-2"/>
        </w:rPr>
        <w:t> </w:t>
      </w:r>
      <w:r>
        <w:rPr/>
        <w:t>is</w:t>
      </w:r>
      <w:r>
        <w:rPr>
          <w:spacing w:val="-2"/>
        </w:rPr>
        <w:t> </w:t>
      </w:r>
      <w:r>
        <w:rPr/>
        <w:t>important.</w:t>
      </w:r>
      <w:r>
        <w:rPr>
          <w:spacing w:val="24"/>
        </w:rPr>
        <w:t> </w:t>
      </w:r>
      <w:r>
        <w:rPr/>
        <w:t>Although</w:t>
      </w:r>
      <w:r>
        <w:rPr>
          <w:spacing w:val="-2"/>
        </w:rPr>
        <w:t> </w:t>
      </w:r>
      <w:r>
        <w:rPr/>
        <w:t>the</w:t>
      </w:r>
      <w:r>
        <w:rPr>
          <w:spacing w:val="-2"/>
        </w:rPr>
        <w:t> </w:t>
      </w:r>
      <w:r>
        <w:rPr/>
        <w:t>EPV-19</w:t>
      </w:r>
      <w:r>
        <w:rPr>
          <w:spacing w:val="-2"/>
        </w:rPr>
        <w:t> </w:t>
      </w:r>
      <w:r>
        <w:rPr/>
        <w:t>model</w:t>
      </w:r>
      <w:r>
        <w:rPr>
          <w:spacing w:val="-2"/>
        </w:rPr>
        <w:t> </w:t>
      </w:r>
      <w:r>
        <w:rPr/>
        <w:t>provided</w:t>
      </w:r>
      <w:r>
        <w:rPr>
          <w:spacing w:val="-2"/>
        </w:rPr>
        <w:t> </w:t>
      </w:r>
      <w:r>
        <w:rPr/>
        <w:t>zone sizes,</w:t>
      </w:r>
      <w:r>
        <w:rPr>
          <w:spacing w:val="24"/>
        </w:rPr>
        <w:t> </w:t>
      </w:r>
      <w:r>
        <w:rPr/>
        <w:t>which were best able to replicate future team attacking performances,</w:t>
      </w:r>
      <w:r>
        <w:rPr>
          <w:spacing w:val="24"/>
        </w:rPr>
        <w:t> </w:t>
      </w:r>
      <w:r>
        <w:rPr/>
        <w:t>this came</w:t>
      </w:r>
      <w:r>
        <w:rPr>
          <w:spacing w:val="40"/>
        </w:rPr>
        <w:t> </w:t>
      </w:r>
      <w:r>
        <w:rPr/>
        <w:t>at a cost of extremely large zone sizes.</w:t>
      </w:r>
      <w:r>
        <w:rPr>
          <w:spacing w:val="40"/>
        </w:rPr>
        <w:t> </w:t>
      </w:r>
      <w:r>
        <w:rPr/>
        <w:t>Extremely large zone sizes may be useful when trying to understand the spatial element of a team’s attacking performances, but when</w:t>
      </w:r>
      <w:r>
        <w:rPr>
          <w:spacing w:val="40"/>
        </w:rPr>
        <w:t> </w:t>
      </w:r>
      <w:r>
        <w:rPr/>
        <w:t>attempting to evaluate individual player performances based on the actions taken, they did prove problematic.</w:t>
      </w:r>
      <w:r>
        <w:rPr>
          <w:spacing w:val="27"/>
        </w:rPr>
        <w:t> </w:t>
      </w:r>
      <w:r>
        <w:rPr/>
        <w:t>This is because a player needing to move 60m forwards to move to a different zone is an unrealistic expectation to obtain a small performance gain.</w:t>
      </w:r>
      <w:r>
        <w:rPr>
          <w:spacing w:val="36"/>
        </w:rPr>
        <w:t> </w:t>
      </w:r>
      <w:r>
        <w:rPr/>
        <w:t>The zone sizes used in basketball (</w:t>
      </w:r>
      <w:hyperlink w:history="true" w:anchor="_bookmark231">
        <w:r>
          <w:rPr>
            <w:color w:val="FF0000"/>
          </w:rPr>
          <w:t>Cervone et al.</w:t>
        </w:r>
      </w:hyperlink>
      <w:r>
        <w:rPr/>
        <w:t>,</w:t>
      </w:r>
      <w:hyperlink w:history="true" w:anchor="_bookmark231">
        <w:r>
          <w:rPr>
            <w:color w:val="FF0000"/>
          </w:rPr>
          <w:t>2016</w:t>
        </w:r>
        <w:r>
          <w:rPr/>
          <w:t>)</w:t>
        </w:r>
      </w:hyperlink>
      <w:r>
        <w:rPr/>
        <w:t> were much smaller because the court is</w:t>
      </w:r>
      <w:r>
        <w:rPr>
          <w:spacing w:val="26"/>
        </w:rPr>
        <w:t> </w:t>
      </w:r>
      <w:r>
        <w:rPr/>
        <w:t>much</w:t>
      </w:r>
      <w:r>
        <w:rPr>
          <w:spacing w:val="26"/>
        </w:rPr>
        <w:t> </w:t>
      </w:r>
      <w:r>
        <w:rPr/>
        <w:t>smaller</w:t>
      </w:r>
      <w:r>
        <w:rPr>
          <w:spacing w:val="26"/>
        </w:rPr>
        <w:t> </w:t>
      </w:r>
      <w:r>
        <w:rPr/>
        <w:t>and</w:t>
      </w:r>
      <w:r>
        <w:rPr>
          <w:spacing w:val="27"/>
        </w:rPr>
        <w:t> </w:t>
      </w:r>
      <w:r>
        <w:rPr/>
        <w:t>therefore</w:t>
      </w:r>
      <w:r>
        <w:rPr>
          <w:spacing w:val="26"/>
        </w:rPr>
        <w:t> </w:t>
      </w:r>
      <w:r>
        <w:rPr/>
        <w:t>were</w:t>
      </w:r>
      <w:r>
        <w:rPr>
          <w:spacing w:val="26"/>
        </w:rPr>
        <w:t> </w:t>
      </w:r>
      <w:r>
        <w:rPr/>
        <w:t>able</w:t>
      </w:r>
      <w:r>
        <w:rPr>
          <w:spacing w:val="26"/>
        </w:rPr>
        <w:t> </w:t>
      </w:r>
      <w:r>
        <w:rPr/>
        <w:t>to</w:t>
      </w:r>
      <w:r>
        <w:rPr>
          <w:spacing w:val="26"/>
        </w:rPr>
        <w:t> </w:t>
      </w:r>
      <w:r>
        <w:rPr/>
        <w:t>represent</w:t>
      </w:r>
      <w:r>
        <w:rPr>
          <w:spacing w:val="26"/>
        </w:rPr>
        <w:t> </w:t>
      </w:r>
      <w:r>
        <w:rPr/>
        <w:t>the</w:t>
      </w:r>
      <w:r>
        <w:rPr>
          <w:spacing w:val="26"/>
        </w:rPr>
        <w:t> </w:t>
      </w:r>
      <w:r>
        <w:rPr/>
        <w:t>value</w:t>
      </w:r>
      <w:r>
        <w:rPr>
          <w:spacing w:val="26"/>
        </w:rPr>
        <w:t> </w:t>
      </w:r>
      <w:r>
        <w:rPr/>
        <w:t>of</w:t>
      </w:r>
      <w:r>
        <w:rPr>
          <w:spacing w:val="27"/>
        </w:rPr>
        <w:t> </w:t>
      </w:r>
      <w:r>
        <w:rPr/>
        <w:t>actions</w:t>
      </w:r>
      <w:r>
        <w:rPr>
          <w:spacing w:val="26"/>
        </w:rPr>
        <w:t> </w:t>
      </w:r>
      <w:r>
        <w:rPr/>
        <w:t>much</w:t>
      </w:r>
      <w:r>
        <w:rPr>
          <w:spacing w:val="26"/>
        </w:rPr>
        <w:t> </w:t>
      </w:r>
      <w:r>
        <w:rPr/>
        <w:t>more accurately than those utilised in Chapters</w:t>
      </w:r>
      <w:r>
        <w:rPr>
          <w:color w:val="0000FF"/>
        </w:rPr>
        <w:t>3</w:t>
      </w:r>
      <w:r>
        <w:rPr/>
        <w:t>and</w:t>
      </w:r>
      <w:r>
        <w:rPr>
          <w:color w:val="0000FF"/>
        </w:rPr>
        <w:t>4</w:t>
      </w:r>
      <w:r>
        <w:rPr/>
        <w:t>of this thesis.</w:t>
      </w:r>
      <w:r>
        <w:rPr>
          <w:spacing w:val="40"/>
        </w:rPr>
        <w:t> </w:t>
      </w:r>
      <w:r>
        <w:rPr/>
        <w:t>Researchers should be cautious</w:t>
      </w:r>
      <w:r>
        <w:rPr>
          <w:spacing w:val="-8"/>
        </w:rPr>
        <w:t> </w:t>
      </w:r>
      <w:r>
        <w:rPr/>
        <w:t>about</w:t>
      </w:r>
      <w:r>
        <w:rPr>
          <w:spacing w:val="-8"/>
        </w:rPr>
        <w:t> </w:t>
      </w:r>
      <w:r>
        <w:rPr/>
        <w:t>the</w:t>
      </w:r>
      <w:r>
        <w:rPr>
          <w:spacing w:val="-8"/>
        </w:rPr>
        <w:t> </w:t>
      </w:r>
      <w:r>
        <w:rPr/>
        <w:t>zone</w:t>
      </w:r>
      <w:r>
        <w:rPr>
          <w:spacing w:val="-8"/>
        </w:rPr>
        <w:t> </w:t>
      </w:r>
      <w:r>
        <w:rPr/>
        <w:t>sizes</w:t>
      </w:r>
      <w:r>
        <w:rPr>
          <w:spacing w:val="-8"/>
        </w:rPr>
        <w:t> </w:t>
      </w:r>
      <w:r>
        <w:rPr/>
        <w:t>they</w:t>
      </w:r>
      <w:r>
        <w:rPr>
          <w:spacing w:val="-8"/>
        </w:rPr>
        <w:t> </w:t>
      </w:r>
      <w:r>
        <w:rPr/>
        <w:t>use</w:t>
      </w:r>
      <w:r>
        <w:rPr>
          <w:spacing w:val="-8"/>
        </w:rPr>
        <w:t> </w:t>
      </w:r>
      <w:r>
        <w:rPr/>
        <w:t>and</w:t>
      </w:r>
      <w:r>
        <w:rPr>
          <w:spacing w:val="-8"/>
        </w:rPr>
        <w:t> </w:t>
      </w:r>
      <w:r>
        <w:rPr/>
        <w:t>understand</w:t>
      </w:r>
      <w:r>
        <w:rPr>
          <w:spacing w:val="-8"/>
        </w:rPr>
        <w:t> </w:t>
      </w:r>
      <w:r>
        <w:rPr/>
        <w:t>the</w:t>
      </w:r>
      <w:r>
        <w:rPr>
          <w:spacing w:val="-8"/>
        </w:rPr>
        <w:t> </w:t>
      </w:r>
      <w:r>
        <w:rPr/>
        <w:t>influence</w:t>
      </w:r>
      <w:r>
        <w:rPr>
          <w:spacing w:val="-8"/>
        </w:rPr>
        <w:t> </w:t>
      </w:r>
      <w:r>
        <w:rPr/>
        <w:t>this</w:t>
      </w:r>
      <w:r>
        <w:rPr>
          <w:spacing w:val="-8"/>
        </w:rPr>
        <w:t> </w:t>
      </w:r>
      <w:r>
        <w:rPr/>
        <w:t>can</w:t>
      </w:r>
      <w:r>
        <w:rPr>
          <w:spacing w:val="-8"/>
        </w:rPr>
        <w:t> </w:t>
      </w:r>
      <w:r>
        <w:rPr/>
        <w:t>have</w:t>
      </w:r>
      <w:r>
        <w:rPr>
          <w:spacing w:val="-8"/>
        </w:rPr>
        <w:t> </w:t>
      </w:r>
      <w:r>
        <w:rPr/>
        <w:t>on</w:t>
      </w:r>
      <w:r>
        <w:rPr>
          <w:spacing w:val="-8"/>
        </w:rPr>
        <w:t> </w:t>
      </w:r>
      <w:r>
        <w:rPr/>
        <w:t>their </w:t>
      </w:r>
      <w:r>
        <w:rPr>
          <w:spacing w:val="-2"/>
        </w:rPr>
        <w:t>results.</w:t>
      </w:r>
    </w:p>
    <w:p>
      <w:pPr>
        <w:pStyle w:val="BodyText"/>
        <w:spacing w:line="312" w:lineRule="auto"/>
        <w:ind w:left="610" w:right="389" w:firstLine="351"/>
      </w:pPr>
      <w:r>
        <w:rPr/>
        <w:t>In Chapter</w:t>
      </w:r>
      <w:r>
        <w:rPr>
          <w:color w:val="0000FF"/>
        </w:rPr>
        <w:t>5</w:t>
      </w:r>
      <w:hyperlink w:history="true" w:anchor="_bookmark122">
        <w:r>
          <w:rPr/>
          <w:t>,</w:t>
        </w:r>
      </w:hyperlink>
      <w:r>
        <w:rPr/>
        <w:t> the key limitation of using KDE and Wasserstein distance analysis was the</w:t>
      </w:r>
      <w:r>
        <w:rPr>
          <w:spacing w:val="-8"/>
        </w:rPr>
        <w:t> </w:t>
      </w:r>
      <w:r>
        <w:rPr/>
        <w:t>lack</w:t>
      </w:r>
      <w:r>
        <w:rPr>
          <w:spacing w:val="-8"/>
        </w:rPr>
        <w:t> </w:t>
      </w:r>
      <w:r>
        <w:rPr/>
        <w:t>of</w:t>
      </w:r>
      <w:r>
        <w:rPr>
          <w:spacing w:val="-8"/>
        </w:rPr>
        <w:t> </w:t>
      </w:r>
      <w:r>
        <w:rPr/>
        <w:t>consideration</w:t>
      </w:r>
      <w:r>
        <w:rPr>
          <w:spacing w:val="-8"/>
        </w:rPr>
        <w:t> </w:t>
      </w:r>
      <w:r>
        <w:rPr/>
        <w:t>given</w:t>
      </w:r>
      <w:r>
        <w:rPr>
          <w:spacing w:val="-8"/>
        </w:rPr>
        <w:t> </w:t>
      </w:r>
      <w:r>
        <w:rPr/>
        <w:t>to</w:t>
      </w:r>
      <w:r>
        <w:rPr>
          <w:spacing w:val="-8"/>
        </w:rPr>
        <w:t> </w:t>
      </w:r>
      <w:r>
        <w:rPr/>
        <w:t>the</w:t>
      </w:r>
      <w:r>
        <w:rPr>
          <w:spacing w:val="-8"/>
        </w:rPr>
        <w:t> </w:t>
      </w:r>
      <w:r>
        <w:rPr/>
        <w:t>value</w:t>
      </w:r>
      <w:r>
        <w:rPr>
          <w:spacing w:val="-8"/>
        </w:rPr>
        <w:t> </w:t>
      </w:r>
      <w:r>
        <w:rPr/>
        <w:t>of</w:t>
      </w:r>
      <w:r>
        <w:rPr>
          <w:spacing w:val="-8"/>
        </w:rPr>
        <w:t> </w:t>
      </w:r>
      <w:r>
        <w:rPr/>
        <w:t>performing</w:t>
      </w:r>
      <w:r>
        <w:rPr>
          <w:spacing w:val="-8"/>
        </w:rPr>
        <w:t> </w:t>
      </w:r>
      <w:r>
        <w:rPr/>
        <w:t>an</w:t>
      </w:r>
      <w:r>
        <w:rPr>
          <w:spacing w:val="-8"/>
        </w:rPr>
        <w:t> </w:t>
      </w:r>
      <w:r>
        <w:rPr/>
        <w:t>action</w:t>
      </w:r>
      <w:r>
        <w:rPr>
          <w:spacing w:val="-8"/>
        </w:rPr>
        <w:t> </w:t>
      </w:r>
      <w:r>
        <w:rPr/>
        <w:t>in</w:t>
      </w:r>
      <w:r>
        <w:rPr>
          <w:spacing w:val="-8"/>
        </w:rPr>
        <w:t> </w:t>
      </w:r>
      <w:r>
        <w:rPr/>
        <w:t>a</w:t>
      </w:r>
      <w:r>
        <w:rPr>
          <w:spacing w:val="-8"/>
        </w:rPr>
        <w:t> </w:t>
      </w:r>
      <w:r>
        <w:rPr/>
        <w:t>specific</w:t>
      </w:r>
      <w:r>
        <w:rPr>
          <w:spacing w:val="-8"/>
        </w:rPr>
        <w:t> </w:t>
      </w:r>
      <w:r>
        <w:rPr/>
        <w:t>location. As an initial movement towards adopting a smooth pitch surface, this was an accepted limitation from the outset of the study but the method developed provided results which could be used alongside those of Chapter</w:t>
      </w:r>
      <w:r>
        <w:rPr>
          <w:color w:val="0000FF"/>
        </w:rPr>
        <w:t>6</w:t>
      </w:r>
      <w:hyperlink w:history="true" w:anchor="_bookmark170">
        <w:r>
          <w:rPr/>
          <w:t>t</w:t>
        </w:r>
      </w:hyperlink>
      <w:r>
        <w:rPr/>
        <w:t>o provide an expected points scored team</w:t>
      </w:r>
      <w:r>
        <w:rPr>
          <w:spacing w:val="40"/>
        </w:rPr>
        <w:t> </w:t>
      </w:r>
      <w:r>
        <w:rPr/>
        <w:t>performance</w:t>
      </w:r>
      <w:r>
        <w:rPr>
          <w:spacing w:val="-14"/>
        </w:rPr>
        <w:t> </w:t>
      </w:r>
      <w:r>
        <w:rPr/>
        <w:t>metric. There</w:t>
      </w:r>
      <w:r>
        <w:rPr>
          <w:spacing w:val="-14"/>
        </w:rPr>
        <w:t> </w:t>
      </w:r>
      <w:r>
        <w:rPr/>
        <w:t>is</w:t>
      </w:r>
      <w:r>
        <w:rPr>
          <w:spacing w:val="-14"/>
        </w:rPr>
        <w:t> </w:t>
      </w:r>
      <w:r>
        <w:rPr/>
        <w:t>also</w:t>
      </w:r>
      <w:r>
        <w:rPr>
          <w:spacing w:val="-14"/>
        </w:rPr>
        <w:t> </w:t>
      </w:r>
      <w:r>
        <w:rPr/>
        <w:t>significant</w:t>
      </w:r>
      <w:r>
        <w:rPr>
          <w:spacing w:val="-14"/>
        </w:rPr>
        <w:t> </w:t>
      </w:r>
      <w:r>
        <w:rPr/>
        <w:t>scope</w:t>
      </w:r>
      <w:r>
        <w:rPr>
          <w:spacing w:val="-14"/>
        </w:rPr>
        <w:t> </w:t>
      </w:r>
      <w:r>
        <w:rPr/>
        <w:t>to</w:t>
      </w:r>
      <w:r>
        <w:rPr>
          <w:spacing w:val="-14"/>
        </w:rPr>
        <w:t> </w:t>
      </w:r>
      <w:r>
        <w:rPr/>
        <w:t>consider</w:t>
      </w:r>
      <w:r>
        <w:rPr>
          <w:spacing w:val="-14"/>
        </w:rPr>
        <w:t> </w:t>
      </w:r>
      <w:r>
        <w:rPr/>
        <w:t>these</w:t>
      </w:r>
      <w:r>
        <w:rPr>
          <w:spacing w:val="-14"/>
        </w:rPr>
        <w:t> </w:t>
      </w:r>
      <w:r>
        <w:rPr/>
        <w:t>probabilistic</w:t>
      </w:r>
      <w:r>
        <w:rPr>
          <w:spacing w:val="-14"/>
        </w:rPr>
        <w:t> </w:t>
      </w:r>
      <w:r>
        <w:rPr/>
        <w:t>models to understand player or team tendencies where value gained is not the most important</w:t>
      </w:r>
      <w:r>
        <w:rPr>
          <w:spacing w:val="80"/>
        </w:rPr>
        <w:t> </w:t>
      </w:r>
      <w:r>
        <w:rPr/>
        <w:t>element.</w:t>
      </w:r>
      <w:r>
        <w:rPr>
          <w:spacing w:val="77"/>
        </w:rPr>
        <w:t> </w:t>
      </w:r>
      <w:r>
        <w:rPr/>
        <w:t>For example,</w:t>
      </w:r>
      <w:r>
        <w:rPr>
          <w:spacing w:val="24"/>
        </w:rPr>
        <w:t> </w:t>
      </w:r>
      <w:r>
        <w:rPr/>
        <w:t>understanding the tendency of a tennis player to hit the ball to</w:t>
      </w:r>
      <w:r>
        <w:rPr>
          <w:spacing w:val="40"/>
        </w:rPr>
        <w:t> </w:t>
      </w:r>
      <w:r>
        <w:rPr/>
        <w:t>different</w:t>
      </w:r>
      <w:r>
        <w:rPr>
          <w:spacing w:val="-15"/>
        </w:rPr>
        <w:t> </w:t>
      </w:r>
      <w:r>
        <w:rPr/>
        <w:t>locations</w:t>
      </w:r>
      <w:r>
        <w:rPr>
          <w:spacing w:val="-15"/>
        </w:rPr>
        <w:t> </w:t>
      </w:r>
      <w:r>
        <w:rPr/>
        <w:t>with</w:t>
      </w:r>
      <w:r>
        <w:rPr>
          <w:spacing w:val="-15"/>
        </w:rPr>
        <w:t> </w:t>
      </w:r>
      <w:r>
        <w:rPr/>
        <w:t>his/her</w:t>
      </w:r>
      <w:r>
        <w:rPr>
          <w:spacing w:val="-15"/>
        </w:rPr>
        <w:t> </w:t>
      </w:r>
      <w:r>
        <w:rPr/>
        <w:t>serve</w:t>
      </w:r>
      <w:r>
        <w:rPr>
          <w:spacing w:val="-15"/>
        </w:rPr>
        <w:t> </w:t>
      </w:r>
      <w:r>
        <w:rPr/>
        <w:t>could</w:t>
      </w:r>
      <w:r>
        <w:rPr>
          <w:spacing w:val="-15"/>
        </w:rPr>
        <w:t> </w:t>
      </w:r>
      <w:r>
        <w:rPr/>
        <w:t>also</w:t>
      </w:r>
      <w:r>
        <w:rPr>
          <w:spacing w:val="-15"/>
        </w:rPr>
        <w:t> </w:t>
      </w:r>
      <w:r>
        <w:rPr/>
        <w:t>be</w:t>
      </w:r>
      <w:r>
        <w:rPr>
          <w:spacing w:val="-15"/>
        </w:rPr>
        <w:t> </w:t>
      </w:r>
      <w:r>
        <w:rPr/>
        <w:t>considered</w:t>
      </w:r>
      <w:r>
        <w:rPr>
          <w:spacing w:val="-15"/>
        </w:rPr>
        <w:t> </w:t>
      </w:r>
      <w:r>
        <w:rPr/>
        <w:t>with</w:t>
      </w:r>
      <w:r>
        <w:rPr>
          <w:spacing w:val="-15"/>
        </w:rPr>
        <w:t> </w:t>
      </w:r>
      <w:r>
        <w:rPr/>
        <w:t>this</w:t>
      </w:r>
      <w:r>
        <w:rPr>
          <w:spacing w:val="-15"/>
        </w:rPr>
        <w:t> </w:t>
      </w:r>
      <w:r>
        <w:rPr/>
        <w:t>method</w:t>
      </w:r>
      <w:r>
        <w:rPr>
          <w:spacing w:val="-15"/>
        </w:rPr>
        <w:t> </w:t>
      </w:r>
      <w:r>
        <w:rPr/>
        <w:t>and</w:t>
      </w:r>
      <w:r>
        <w:rPr>
          <w:spacing w:val="-15"/>
        </w:rPr>
        <w:t> </w:t>
      </w:r>
      <w:r>
        <w:rPr/>
        <w:t>would be</w:t>
      </w:r>
      <w:r>
        <w:rPr>
          <w:spacing w:val="-13"/>
        </w:rPr>
        <w:t> </w:t>
      </w:r>
      <w:r>
        <w:rPr/>
        <w:t>extremely</w:t>
      </w:r>
      <w:r>
        <w:rPr>
          <w:spacing w:val="-13"/>
        </w:rPr>
        <w:t> </w:t>
      </w:r>
      <w:r>
        <w:rPr/>
        <w:t>valuable</w:t>
      </w:r>
      <w:r>
        <w:rPr>
          <w:spacing w:val="-13"/>
        </w:rPr>
        <w:t> </w:t>
      </w:r>
      <w:r>
        <w:rPr/>
        <w:t>for</w:t>
      </w:r>
      <w:r>
        <w:rPr>
          <w:spacing w:val="-13"/>
        </w:rPr>
        <w:t> </w:t>
      </w:r>
      <w:r>
        <w:rPr/>
        <w:t>the</w:t>
      </w:r>
      <w:r>
        <w:rPr>
          <w:spacing w:val="-13"/>
        </w:rPr>
        <w:t> </w:t>
      </w:r>
      <w:r>
        <w:rPr/>
        <w:t>tactical</w:t>
      </w:r>
      <w:r>
        <w:rPr>
          <w:spacing w:val="-13"/>
        </w:rPr>
        <w:t> </w:t>
      </w:r>
      <w:r>
        <w:rPr/>
        <w:t>considerations</w:t>
      </w:r>
      <w:r>
        <w:rPr>
          <w:spacing w:val="-13"/>
        </w:rPr>
        <w:t> </w:t>
      </w:r>
      <w:r>
        <w:rPr/>
        <w:t>of</w:t>
      </w:r>
      <w:r>
        <w:rPr>
          <w:spacing w:val="-13"/>
        </w:rPr>
        <w:t> </w:t>
      </w:r>
      <w:r>
        <w:rPr/>
        <w:t>a</w:t>
      </w:r>
      <w:r>
        <w:rPr>
          <w:spacing w:val="-13"/>
        </w:rPr>
        <w:t> </w:t>
      </w:r>
      <w:r>
        <w:rPr/>
        <w:t>tennis</w:t>
      </w:r>
      <w:r>
        <w:rPr>
          <w:spacing w:val="-13"/>
        </w:rPr>
        <w:t> </w:t>
      </w:r>
      <w:r>
        <w:rPr/>
        <w:t>player</w:t>
      </w:r>
      <w:r>
        <w:rPr>
          <w:spacing w:val="-13"/>
        </w:rPr>
        <w:t> </w:t>
      </w:r>
      <w:r>
        <w:rPr/>
        <w:t>when</w:t>
      </w:r>
      <w:r>
        <w:rPr>
          <w:spacing w:val="-13"/>
        </w:rPr>
        <w:t> </w:t>
      </w:r>
      <w:r>
        <w:rPr/>
        <w:t>preparing</w:t>
      </w:r>
      <w:r>
        <w:rPr>
          <w:spacing w:val="-13"/>
        </w:rPr>
        <w:t> </w:t>
      </w:r>
      <w:r>
        <w:rPr/>
        <w:t>for upcoming matches.</w:t>
      </w:r>
      <w:r>
        <w:rPr>
          <w:spacing w:val="40"/>
        </w:rPr>
        <w:t> </w:t>
      </w:r>
      <w:r>
        <w:rPr/>
        <w:t>Although this thesis is predominantly based around valuing player and team performances through the use of EPV models, the work presented in Chapter</w:t>
      </w:r>
      <w:r>
        <w:rPr>
          <w:color w:val="0000FF"/>
        </w:rPr>
        <w:t>5 </w:t>
      </w:r>
      <w:r>
        <w:rPr/>
        <w:t>is extremely valuable in practical terms.</w:t>
      </w:r>
      <w:r>
        <w:rPr>
          <w:spacing w:val="40"/>
        </w:rPr>
        <w:t> </w:t>
      </w:r>
      <w:r>
        <w:rPr/>
        <w:t>Researchers and practitioners should be aware that methods that understand the tendencies of teams or players can also provide useful, actionable insights.</w:t>
      </w:r>
    </w:p>
    <w:p>
      <w:pPr>
        <w:pStyle w:val="BodyText"/>
        <w:spacing w:line="312" w:lineRule="auto"/>
        <w:ind w:left="610" w:right="389" w:firstLine="351"/>
      </w:pPr>
      <w:r>
        <w:rPr/>
        <w:t>The</w:t>
      </w:r>
      <w:r>
        <w:rPr>
          <w:spacing w:val="40"/>
        </w:rPr>
        <w:t> </w:t>
      </w:r>
      <w:r>
        <w:rPr/>
        <w:t>Bayesian</w:t>
      </w:r>
      <w:r>
        <w:rPr>
          <w:spacing w:val="40"/>
        </w:rPr>
        <w:t> </w:t>
      </w:r>
      <w:r>
        <w:rPr/>
        <w:t>Mixture</w:t>
      </w:r>
      <w:r>
        <w:rPr>
          <w:spacing w:val="40"/>
        </w:rPr>
        <w:t> </w:t>
      </w:r>
      <w:r>
        <w:rPr/>
        <w:t>Model</w:t>
      </w:r>
      <w:r>
        <w:rPr>
          <w:spacing w:val="40"/>
        </w:rPr>
        <w:t> </w:t>
      </w:r>
      <w:r>
        <w:rPr/>
        <w:t>considered</w:t>
      </w:r>
      <w:r>
        <w:rPr>
          <w:spacing w:val="40"/>
        </w:rPr>
        <w:t> </w:t>
      </w:r>
      <w:r>
        <w:rPr/>
        <w:t>in</w:t>
      </w:r>
      <w:r>
        <w:rPr>
          <w:spacing w:val="40"/>
        </w:rPr>
        <w:t> </w:t>
      </w:r>
      <w:r>
        <w:rPr/>
        <w:t>Chapter</w:t>
      </w:r>
      <w:r>
        <w:rPr>
          <w:color w:val="0000FF"/>
        </w:rPr>
        <w:t>6</w:t>
      </w:r>
      <w:hyperlink w:history="true" w:anchor="_bookmark170">
        <w:r>
          <w:rPr/>
          <w:t>pro</w:t>
        </w:r>
      </w:hyperlink>
      <w:r>
        <w:rPr/>
        <w:t>vides</w:t>
      </w:r>
      <w:r>
        <w:rPr>
          <w:spacing w:val="40"/>
        </w:rPr>
        <w:t> </w:t>
      </w:r>
      <w:r>
        <w:rPr/>
        <w:t>a</w:t>
      </w:r>
      <w:r>
        <w:rPr>
          <w:spacing w:val="40"/>
        </w:rPr>
        <w:t> </w:t>
      </w:r>
      <w:r>
        <w:rPr/>
        <w:t>comprehensive model within the constraints of the data available, which was able to improve upon the limitations</w:t>
      </w:r>
      <w:r>
        <w:rPr>
          <w:spacing w:val="-8"/>
        </w:rPr>
        <w:t> </w:t>
      </w:r>
      <w:r>
        <w:rPr/>
        <w:t>of</w:t>
      </w:r>
      <w:r>
        <w:rPr>
          <w:spacing w:val="-8"/>
        </w:rPr>
        <w:t> </w:t>
      </w:r>
      <w:r>
        <w:rPr/>
        <w:t>previous</w:t>
      </w:r>
      <w:r>
        <w:rPr>
          <w:spacing w:val="-8"/>
        </w:rPr>
        <w:t> </w:t>
      </w:r>
      <w:r>
        <w:rPr/>
        <w:t>models. However,</w:t>
      </w:r>
      <w:r>
        <w:rPr>
          <w:spacing w:val="-8"/>
        </w:rPr>
        <w:t> </w:t>
      </w:r>
      <w:r>
        <w:rPr/>
        <w:t>by</w:t>
      </w:r>
      <w:r>
        <w:rPr>
          <w:spacing w:val="-8"/>
        </w:rPr>
        <w:t> </w:t>
      </w:r>
      <w:r>
        <w:rPr/>
        <w:t>adopting</w:t>
      </w:r>
      <w:r>
        <w:rPr>
          <w:spacing w:val="-8"/>
        </w:rPr>
        <w:t> </w:t>
      </w:r>
      <w:r>
        <w:rPr/>
        <w:t>an</w:t>
      </w:r>
      <w:r>
        <w:rPr>
          <w:spacing w:val="-8"/>
        </w:rPr>
        <w:t> </w:t>
      </w:r>
      <w:r>
        <w:rPr/>
        <w:t>evidence</w:t>
      </w:r>
      <w:r>
        <w:rPr>
          <w:spacing w:val="-8"/>
        </w:rPr>
        <w:t> </w:t>
      </w:r>
      <w:r>
        <w:rPr/>
        <w:t>based</w:t>
      </w:r>
      <w:r>
        <w:rPr>
          <w:spacing w:val="-8"/>
        </w:rPr>
        <w:t> </w:t>
      </w:r>
      <w:r>
        <w:rPr/>
        <w:t>approach</w:t>
      </w:r>
      <w:r>
        <w:rPr>
          <w:spacing w:val="-8"/>
        </w:rPr>
        <w:t> </w:t>
      </w:r>
      <w:r>
        <w:rPr/>
        <w:t>to</w:t>
      </w:r>
      <w:r>
        <w:rPr>
          <w:spacing w:val="-8"/>
        </w:rPr>
        <w:t> </w:t>
      </w:r>
      <w:r>
        <w:rPr/>
        <w:t>pa- rameter</w:t>
      </w:r>
      <w:r>
        <w:rPr>
          <w:spacing w:val="9"/>
        </w:rPr>
        <w:t> </w:t>
      </w:r>
      <w:r>
        <w:rPr/>
        <w:t>estimation,</w:t>
      </w:r>
      <w:r>
        <w:rPr>
          <w:spacing w:val="14"/>
        </w:rPr>
        <w:t> </w:t>
      </w:r>
      <w:r>
        <w:rPr/>
        <w:t>it</w:t>
      </w:r>
      <w:r>
        <w:rPr>
          <w:spacing w:val="9"/>
        </w:rPr>
        <w:t> </w:t>
      </w:r>
      <w:r>
        <w:rPr/>
        <w:t>could</w:t>
      </w:r>
      <w:r>
        <w:rPr>
          <w:spacing w:val="10"/>
        </w:rPr>
        <w:t> </w:t>
      </w:r>
      <w:r>
        <w:rPr/>
        <w:t>be</w:t>
      </w:r>
      <w:r>
        <w:rPr>
          <w:spacing w:val="10"/>
        </w:rPr>
        <w:t> </w:t>
      </w:r>
      <w:r>
        <w:rPr/>
        <w:t>limited</w:t>
      </w:r>
      <w:r>
        <w:rPr>
          <w:spacing w:val="9"/>
        </w:rPr>
        <w:t> </w:t>
      </w:r>
      <w:r>
        <w:rPr/>
        <w:t>by</w:t>
      </w:r>
      <w:r>
        <w:rPr>
          <w:spacing w:val="10"/>
        </w:rPr>
        <w:t> </w:t>
      </w:r>
      <w:r>
        <w:rPr/>
        <w:t>the</w:t>
      </w:r>
      <w:r>
        <w:rPr>
          <w:spacing w:val="9"/>
        </w:rPr>
        <w:t> </w:t>
      </w:r>
      <w:r>
        <w:rPr/>
        <w:t>prior</w:t>
      </w:r>
      <w:r>
        <w:rPr>
          <w:spacing w:val="10"/>
        </w:rPr>
        <w:t> </w:t>
      </w:r>
      <w:r>
        <w:rPr/>
        <w:t>distributions</w:t>
      </w:r>
      <w:r>
        <w:rPr>
          <w:spacing w:val="10"/>
        </w:rPr>
        <w:t> </w:t>
      </w:r>
      <w:r>
        <w:rPr/>
        <w:t>set.</w:t>
      </w:r>
      <w:r>
        <w:rPr>
          <w:spacing w:val="52"/>
        </w:rPr>
        <w:t> </w:t>
      </w:r>
      <w:r>
        <w:rPr/>
        <w:t>This</w:t>
      </w:r>
      <w:r>
        <w:rPr>
          <w:spacing w:val="10"/>
        </w:rPr>
        <w:t> </w:t>
      </w:r>
      <w:r>
        <w:rPr/>
        <w:t>is</w:t>
      </w:r>
      <w:r>
        <w:rPr>
          <w:spacing w:val="9"/>
        </w:rPr>
        <w:t> </w:t>
      </w:r>
      <w:r>
        <w:rPr/>
        <w:t>because</w:t>
      </w:r>
      <w:r>
        <w:rPr>
          <w:spacing w:val="10"/>
        </w:rPr>
        <w:t> </w:t>
      </w:r>
      <w:r>
        <w:rPr>
          <w:spacing w:val="-5"/>
        </w:rPr>
        <w:t>in</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610" w:right="389"/>
      </w:pPr>
      <w:r>
        <w:rPr/>
        <w:t>a different analysis, if no evidence is provided, the estimate will not shift from the </w:t>
      </w:r>
      <w:r>
        <w:rPr/>
        <w:t>prior distribution, which could result in an unrealistically high or low parameter value.</w:t>
      </w:r>
      <w:r>
        <w:rPr>
          <w:spacing w:val="40"/>
        </w:rPr>
        <w:t> </w:t>
      </w:r>
      <w:r>
        <w:rPr/>
        <w:t>This wasn’t an issue within the location based model proposed in Chapter</w:t>
      </w:r>
      <w:r>
        <w:rPr>
          <w:color w:val="0000FF"/>
        </w:rPr>
        <w:t>6</w:t>
      </w:r>
      <w:hyperlink w:history="true" w:anchor="_bookmark170">
        <w:r>
          <w:rPr/>
          <w:t>,</w:t>
        </w:r>
      </w:hyperlink>
      <w:r>
        <w:rPr/>
        <w:t> but if extending the model to include actions in the same hierarchical manner it could be.</w:t>
      </w:r>
      <w:r>
        <w:rPr>
          <w:spacing w:val="26"/>
        </w:rPr>
        <w:t> </w:t>
      </w:r>
      <w:r>
        <w:rPr/>
        <w:t>Using a global prior</w:t>
      </w:r>
      <w:r>
        <w:rPr>
          <w:spacing w:val="-7"/>
        </w:rPr>
        <w:t> </w:t>
      </w:r>
      <w:r>
        <w:rPr/>
        <w:t>of</w:t>
      </w:r>
      <w:r>
        <w:rPr>
          <w:spacing w:val="-8"/>
        </w:rPr>
        <w:t> </w:t>
      </w:r>
      <w:r>
        <w:rPr/>
        <w:t>this</w:t>
      </w:r>
      <w:r>
        <w:rPr>
          <w:spacing w:val="-7"/>
        </w:rPr>
        <w:t> </w:t>
      </w:r>
      <w:r>
        <w:rPr/>
        <w:t>type</w:t>
      </w:r>
      <w:r>
        <w:rPr>
          <w:spacing w:val="-7"/>
        </w:rPr>
        <w:t> </w:t>
      </w:r>
      <w:r>
        <w:rPr/>
        <w:t>for</w:t>
      </w:r>
      <w:r>
        <w:rPr>
          <w:spacing w:val="-8"/>
        </w:rPr>
        <w:t> </w:t>
      </w:r>
      <w:r>
        <w:rPr/>
        <w:t>goal</w:t>
      </w:r>
      <w:r>
        <w:rPr>
          <w:spacing w:val="-7"/>
        </w:rPr>
        <w:t> </w:t>
      </w:r>
      <w:r>
        <w:rPr/>
        <w:t>kicks</w:t>
      </w:r>
      <w:r>
        <w:rPr>
          <w:spacing w:val="-7"/>
        </w:rPr>
        <w:t> </w:t>
      </w:r>
      <w:r>
        <w:rPr/>
        <w:t>for</w:t>
      </w:r>
      <w:r>
        <w:rPr>
          <w:spacing w:val="-8"/>
        </w:rPr>
        <w:t> </w:t>
      </w:r>
      <w:r>
        <w:rPr/>
        <w:t>example</w:t>
      </w:r>
      <w:r>
        <w:rPr>
          <w:spacing w:val="-7"/>
        </w:rPr>
        <w:t> </w:t>
      </w:r>
      <w:r>
        <w:rPr/>
        <w:t>could</w:t>
      </w:r>
      <w:r>
        <w:rPr>
          <w:spacing w:val="-7"/>
        </w:rPr>
        <w:t> </w:t>
      </w:r>
      <w:r>
        <w:rPr/>
        <w:t>result</w:t>
      </w:r>
      <w:r>
        <w:rPr>
          <w:spacing w:val="-8"/>
        </w:rPr>
        <w:t> </w:t>
      </w:r>
      <w:r>
        <w:rPr/>
        <w:t>in</w:t>
      </w:r>
      <w:r>
        <w:rPr>
          <w:spacing w:val="-7"/>
        </w:rPr>
        <w:t> </w:t>
      </w:r>
      <w:r>
        <w:rPr/>
        <w:t>kicks</w:t>
      </w:r>
      <w:r>
        <w:rPr>
          <w:spacing w:val="-7"/>
        </w:rPr>
        <w:t> </w:t>
      </w:r>
      <w:r>
        <w:rPr/>
        <w:t>which</w:t>
      </w:r>
      <w:r>
        <w:rPr>
          <w:spacing w:val="-7"/>
        </w:rPr>
        <w:t> </w:t>
      </w:r>
      <w:r>
        <w:rPr/>
        <w:t>take</w:t>
      </w:r>
      <w:r>
        <w:rPr>
          <w:spacing w:val="-8"/>
        </w:rPr>
        <w:t> </w:t>
      </w:r>
      <w:r>
        <w:rPr/>
        <w:t>place</w:t>
      </w:r>
      <w:r>
        <w:rPr>
          <w:spacing w:val="-7"/>
        </w:rPr>
        <w:t> </w:t>
      </w:r>
      <w:r>
        <w:rPr/>
        <w:t>behind the half way line being valued higher than those in front of the half way line.</w:t>
      </w:r>
      <w:r>
        <w:rPr>
          <w:spacing w:val="37"/>
        </w:rPr>
        <w:t> </w:t>
      </w:r>
      <w:r>
        <w:rPr/>
        <w:t>This situ- ation could occur if there is evidence that those in front of the half way line are missed with</w:t>
      </w:r>
      <w:r>
        <w:rPr>
          <w:spacing w:val="-2"/>
        </w:rPr>
        <w:t> </w:t>
      </w:r>
      <w:r>
        <w:rPr/>
        <w:t>a</w:t>
      </w:r>
      <w:r>
        <w:rPr>
          <w:spacing w:val="-2"/>
        </w:rPr>
        <w:t> </w:t>
      </w:r>
      <w:r>
        <w:rPr/>
        <w:t>greater</w:t>
      </w:r>
      <w:r>
        <w:rPr>
          <w:spacing w:val="-2"/>
        </w:rPr>
        <w:t> </w:t>
      </w:r>
      <w:r>
        <w:rPr/>
        <w:t>probability</w:t>
      </w:r>
      <w:r>
        <w:rPr>
          <w:spacing w:val="-2"/>
        </w:rPr>
        <w:t> </w:t>
      </w:r>
      <w:r>
        <w:rPr/>
        <w:t>than</w:t>
      </w:r>
      <w:r>
        <w:rPr>
          <w:spacing w:val="-2"/>
        </w:rPr>
        <w:t> </w:t>
      </w:r>
      <w:r>
        <w:rPr/>
        <w:t>the</w:t>
      </w:r>
      <w:r>
        <w:rPr>
          <w:spacing w:val="-2"/>
        </w:rPr>
        <w:t> </w:t>
      </w:r>
      <w:r>
        <w:rPr/>
        <w:t>prior</w:t>
      </w:r>
      <w:r>
        <w:rPr>
          <w:spacing w:val="-2"/>
        </w:rPr>
        <w:t> </w:t>
      </w:r>
      <w:r>
        <w:rPr/>
        <w:t>distribution</w:t>
      </w:r>
      <w:r>
        <w:rPr>
          <w:spacing w:val="-2"/>
        </w:rPr>
        <w:t> </w:t>
      </w:r>
      <w:r>
        <w:rPr/>
        <w:t>suggests,</w:t>
      </w:r>
      <w:r>
        <w:rPr>
          <w:spacing w:val="-1"/>
        </w:rPr>
        <w:t> </w:t>
      </w:r>
      <w:r>
        <w:rPr/>
        <w:t>but</w:t>
      </w:r>
      <w:r>
        <w:rPr>
          <w:spacing w:val="-2"/>
        </w:rPr>
        <w:t> </w:t>
      </w:r>
      <w:r>
        <w:rPr/>
        <w:t>there</w:t>
      </w:r>
      <w:r>
        <w:rPr>
          <w:spacing w:val="-2"/>
        </w:rPr>
        <w:t> </w:t>
      </w:r>
      <w:r>
        <w:rPr/>
        <w:t>is</w:t>
      </w:r>
      <w:r>
        <w:rPr>
          <w:spacing w:val="-2"/>
        </w:rPr>
        <w:t> </w:t>
      </w:r>
      <w:r>
        <w:rPr/>
        <w:t>no</w:t>
      </w:r>
      <w:r>
        <w:rPr>
          <w:spacing w:val="-2"/>
        </w:rPr>
        <w:t> </w:t>
      </w:r>
      <w:r>
        <w:rPr/>
        <w:t>evidence</w:t>
      </w:r>
      <w:r>
        <w:rPr>
          <w:spacing w:val="-2"/>
        </w:rPr>
        <w:t> </w:t>
      </w:r>
      <w:r>
        <w:rPr/>
        <w:t>of that for those behind the halfway line because they are not attempted.</w:t>
      </w:r>
      <w:r>
        <w:rPr>
          <w:spacing w:val="40"/>
        </w:rPr>
        <w:t> </w:t>
      </w:r>
      <w:r>
        <w:rPr/>
        <w:t>Researchers and practitioners should be aware of the important contextual factors that can influence the prior distribution in these situations.</w:t>
      </w:r>
    </w:p>
    <w:p>
      <w:pPr>
        <w:pStyle w:val="BodyText"/>
        <w:spacing w:before="6"/>
        <w:rPr>
          <w:sz w:val="40"/>
        </w:rPr>
      </w:pPr>
    </w:p>
    <w:p>
      <w:pPr>
        <w:pStyle w:val="Heading2"/>
        <w:numPr>
          <w:ilvl w:val="1"/>
          <w:numId w:val="26"/>
        </w:numPr>
        <w:tabs>
          <w:tab w:pos="1385" w:val="left" w:leader="none"/>
          <w:tab w:pos="1386" w:val="left" w:leader="none"/>
        </w:tabs>
        <w:spacing w:line="240" w:lineRule="auto" w:before="0" w:after="0"/>
        <w:ind w:left="1385" w:right="0" w:hanging="776"/>
        <w:jc w:val="left"/>
      </w:pPr>
      <w:bookmarkStart w:name="_TOC_250000" w:id="384"/>
      <w:bookmarkStart w:name="7.4 Future Work" w:id="385"/>
      <w:r>
        <w:rPr>
          <w:b w:val="0"/>
        </w:rPr>
      </w:r>
      <w:bookmarkStart w:name="References" w:id="386"/>
      <w:bookmarkEnd w:id="386"/>
      <w:r>
        <w:rPr>
          <w:b w:val="0"/>
        </w:rPr>
      </w:r>
      <w:bookmarkStart w:name="_bookmark223" w:id="387"/>
      <w:bookmarkEnd w:id="387"/>
      <w:r>
        <w:rPr/>
        <w:t>Futu</w:t>
      </w:r>
      <w:r>
        <w:rPr/>
        <w:t>re</w:t>
      </w:r>
      <w:r>
        <w:rPr>
          <w:spacing w:val="4"/>
        </w:rPr>
        <w:t> </w:t>
      </w:r>
      <w:bookmarkEnd w:id="384"/>
      <w:r>
        <w:rPr>
          <w:spacing w:val="-4"/>
        </w:rPr>
        <w:t>Work</w:t>
      </w:r>
    </w:p>
    <w:p>
      <w:pPr>
        <w:pStyle w:val="BodyText"/>
        <w:spacing w:line="312" w:lineRule="auto" w:before="309"/>
        <w:ind w:left="610" w:right="389"/>
        <w:jc w:val="both"/>
      </w:pPr>
      <w:r>
        <w:rPr/>
        <w:t>The</w:t>
      </w:r>
      <w:r>
        <w:rPr>
          <w:spacing w:val="-15"/>
        </w:rPr>
        <w:t> </w:t>
      </w:r>
      <w:r>
        <w:rPr/>
        <w:t>work</w:t>
      </w:r>
      <w:r>
        <w:rPr>
          <w:spacing w:val="-15"/>
        </w:rPr>
        <w:t> </w:t>
      </w:r>
      <w:r>
        <w:rPr/>
        <w:t>presented</w:t>
      </w:r>
      <w:r>
        <w:rPr>
          <w:spacing w:val="-15"/>
        </w:rPr>
        <w:t> </w:t>
      </w:r>
      <w:r>
        <w:rPr/>
        <w:t>in</w:t>
      </w:r>
      <w:r>
        <w:rPr>
          <w:spacing w:val="-15"/>
        </w:rPr>
        <w:t> </w:t>
      </w:r>
      <w:r>
        <w:rPr/>
        <w:t>this</w:t>
      </w:r>
      <w:r>
        <w:rPr>
          <w:spacing w:val="-15"/>
        </w:rPr>
        <w:t> </w:t>
      </w:r>
      <w:r>
        <w:rPr/>
        <w:t>thesis</w:t>
      </w:r>
      <w:r>
        <w:rPr>
          <w:spacing w:val="-15"/>
        </w:rPr>
        <w:t> </w:t>
      </w:r>
      <w:r>
        <w:rPr/>
        <w:t>provides</w:t>
      </w:r>
      <w:r>
        <w:rPr>
          <w:spacing w:val="-15"/>
        </w:rPr>
        <w:t> </w:t>
      </w:r>
      <w:r>
        <w:rPr/>
        <w:t>a</w:t>
      </w:r>
      <w:r>
        <w:rPr>
          <w:spacing w:val="-15"/>
        </w:rPr>
        <w:t> </w:t>
      </w:r>
      <w:r>
        <w:rPr/>
        <w:t>valuable</w:t>
      </w:r>
      <w:r>
        <w:rPr>
          <w:spacing w:val="-15"/>
        </w:rPr>
        <w:t> </w:t>
      </w:r>
      <w:r>
        <w:rPr/>
        <w:t>enhancement</w:t>
      </w:r>
      <w:r>
        <w:rPr>
          <w:spacing w:val="-15"/>
        </w:rPr>
        <w:t> </w:t>
      </w:r>
      <w:r>
        <w:rPr/>
        <w:t>to</w:t>
      </w:r>
      <w:r>
        <w:rPr>
          <w:spacing w:val="-15"/>
        </w:rPr>
        <w:t> </w:t>
      </w:r>
      <w:r>
        <w:rPr/>
        <w:t>the</w:t>
      </w:r>
      <w:r>
        <w:rPr>
          <w:spacing w:val="-15"/>
        </w:rPr>
        <w:t> </w:t>
      </w:r>
      <w:r>
        <w:rPr/>
        <w:t>current</w:t>
      </w:r>
      <w:r>
        <w:rPr>
          <w:spacing w:val="-15"/>
        </w:rPr>
        <w:t> </w:t>
      </w:r>
      <w:r>
        <w:rPr/>
        <w:t>literature considering</w:t>
      </w:r>
      <w:r>
        <w:rPr>
          <w:spacing w:val="-15"/>
        </w:rPr>
        <w:t> </w:t>
      </w:r>
      <w:r>
        <w:rPr/>
        <w:t>EPV</w:t>
      </w:r>
      <w:r>
        <w:rPr>
          <w:spacing w:val="-15"/>
        </w:rPr>
        <w:t> </w:t>
      </w:r>
      <w:r>
        <w:rPr/>
        <w:t>models</w:t>
      </w:r>
      <w:r>
        <w:rPr>
          <w:spacing w:val="-15"/>
        </w:rPr>
        <w:t> </w:t>
      </w:r>
      <w:r>
        <w:rPr/>
        <w:t>in</w:t>
      </w:r>
      <w:r>
        <w:rPr>
          <w:spacing w:val="-15"/>
        </w:rPr>
        <w:t> </w:t>
      </w:r>
      <w:r>
        <w:rPr/>
        <w:t>sports,</w:t>
      </w:r>
      <w:r>
        <w:rPr>
          <w:spacing w:val="-15"/>
        </w:rPr>
        <w:t> </w:t>
      </w:r>
      <w:r>
        <w:rPr/>
        <w:t>as</w:t>
      </w:r>
      <w:r>
        <w:rPr>
          <w:spacing w:val="-15"/>
        </w:rPr>
        <w:t> </w:t>
      </w:r>
      <w:r>
        <w:rPr/>
        <w:t>well</w:t>
      </w:r>
      <w:r>
        <w:rPr>
          <w:spacing w:val="-15"/>
        </w:rPr>
        <w:t> </w:t>
      </w:r>
      <w:r>
        <w:rPr/>
        <w:t>as</w:t>
      </w:r>
      <w:r>
        <w:rPr>
          <w:spacing w:val="-15"/>
        </w:rPr>
        <w:t> </w:t>
      </w:r>
      <w:r>
        <w:rPr/>
        <w:t>being</w:t>
      </w:r>
      <w:r>
        <w:rPr>
          <w:spacing w:val="-15"/>
        </w:rPr>
        <w:t> </w:t>
      </w:r>
      <w:r>
        <w:rPr/>
        <w:t>completely</w:t>
      </w:r>
      <w:r>
        <w:rPr>
          <w:spacing w:val="-15"/>
        </w:rPr>
        <w:t> </w:t>
      </w:r>
      <w:r>
        <w:rPr/>
        <w:t>novel</w:t>
      </w:r>
      <w:r>
        <w:rPr>
          <w:spacing w:val="-15"/>
        </w:rPr>
        <w:t> </w:t>
      </w:r>
      <w:r>
        <w:rPr/>
        <w:t>within</w:t>
      </w:r>
      <w:r>
        <w:rPr>
          <w:spacing w:val="-15"/>
        </w:rPr>
        <w:t> </w:t>
      </w:r>
      <w:r>
        <w:rPr/>
        <w:t>rugby</w:t>
      </w:r>
      <w:r>
        <w:rPr>
          <w:spacing w:val="-15"/>
        </w:rPr>
        <w:t> </w:t>
      </w:r>
      <w:r>
        <w:rPr/>
        <w:t>league. It has been well received by sports practitioners and within the research community (as evidenced by the publication and presentation record).</w:t>
      </w:r>
      <w:r>
        <w:rPr>
          <w:spacing w:val="32"/>
        </w:rPr>
        <w:t> </w:t>
      </w:r>
      <w:r>
        <w:rPr/>
        <w:t>However, there are still opportu- nities</w:t>
      </w:r>
      <w:r>
        <w:rPr>
          <w:spacing w:val="-4"/>
        </w:rPr>
        <w:t> </w:t>
      </w:r>
      <w:r>
        <w:rPr/>
        <w:t>to</w:t>
      </w:r>
      <w:r>
        <w:rPr>
          <w:spacing w:val="-5"/>
        </w:rPr>
        <w:t> </w:t>
      </w:r>
      <w:r>
        <w:rPr/>
        <w:t>improve</w:t>
      </w:r>
      <w:r>
        <w:rPr>
          <w:spacing w:val="-4"/>
        </w:rPr>
        <w:t> </w:t>
      </w:r>
      <w:r>
        <w:rPr/>
        <w:t>it. Two</w:t>
      </w:r>
      <w:r>
        <w:rPr>
          <w:spacing w:val="-5"/>
        </w:rPr>
        <w:t> </w:t>
      </w:r>
      <w:r>
        <w:rPr/>
        <w:t>key</w:t>
      </w:r>
      <w:r>
        <w:rPr>
          <w:spacing w:val="-4"/>
        </w:rPr>
        <w:t> </w:t>
      </w:r>
      <w:r>
        <w:rPr/>
        <w:t>areas</w:t>
      </w:r>
      <w:r>
        <w:rPr>
          <w:spacing w:val="-5"/>
        </w:rPr>
        <w:t> </w:t>
      </w:r>
      <w:r>
        <w:rPr/>
        <w:t>where</w:t>
      </w:r>
      <w:r>
        <w:rPr>
          <w:spacing w:val="-4"/>
        </w:rPr>
        <w:t> </w:t>
      </w:r>
      <w:r>
        <w:rPr/>
        <w:t>future</w:t>
      </w:r>
      <w:r>
        <w:rPr>
          <w:spacing w:val="-4"/>
        </w:rPr>
        <w:t> </w:t>
      </w:r>
      <w:r>
        <w:rPr/>
        <w:t>work</w:t>
      </w:r>
      <w:r>
        <w:rPr>
          <w:spacing w:val="-5"/>
        </w:rPr>
        <w:t> </w:t>
      </w:r>
      <w:r>
        <w:rPr/>
        <w:t>could</w:t>
      </w:r>
      <w:r>
        <w:rPr>
          <w:spacing w:val="-4"/>
        </w:rPr>
        <w:t> </w:t>
      </w:r>
      <w:r>
        <w:rPr/>
        <w:t>be</w:t>
      </w:r>
      <w:r>
        <w:rPr>
          <w:spacing w:val="-5"/>
        </w:rPr>
        <w:t> </w:t>
      </w:r>
      <w:r>
        <w:rPr/>
        <w:t>focused</w:t>
      </w:r>
      <w:r>
        <w:rPr>
          <w:spacing w:val="-4"/>
        </w:rPr>
        <w:t> </w:t>
      </w:r>
      <w:r>
        <w:rPr/>
        <w:t>are: valuation</w:t>
      </w:r>
      <w:r>
        <w:rPr>
          <w:spacing w:val="-4"/>
        </w:rPr>
        <w:t> </w:t>
      </w:r>
      <w:r>
        <w:rPr/>
        <w:t>of actions and adaptation to other outcomes or sports.</w:t>
      </w:r>
    </w:p>
    <w:p>
      <w:pPr>
        <w:pStyle w:val="BodyText"/>
        <w:spacing w:before="4"/>
        <w:rPr>
          <w:sz w:val="22"/>
        </w:rPr>
      </w:pPr>
    </w:p>
    <w:p>
      <w:pPr>
        <w:pStyle w:val="BodyText"/>
        <w:spacing w:line="312" w:lineRule="auto" w:before="1"/>
        <w:ind w:left="1195" w:right="389" w:hanging="596"/>
      </w:pPr>
      <w:r>
        <w:rPr/>
        <w:t>FW1Valuation of actions refers to evaluating the definition of a successful or useful ac- tion.</w:t>
      </w:r>
      <w:r>
        <w:rPr>
          <w:spacing w:val="80"/>
        </w:rPr>
        <w:t> </w:t>
      </w:r>
      <w:r>
        <w:rPr/>
        <w:t>This</w:t>
      </w:r>
      <w:r>
        <w:rPr>
          <w:spacing w:val="25"/>
        </w:rPr>
        <w:t> </w:t>
      </w:r>
      <w:r>
        <w:rPr/>
        <w:t>thesis</w:t>
      </w:r>
      <w:r>
        <w:rPr>
          <w:spacing w:val="25"/>
        </w:rPr>
        <w:t> </w:t>
      </w:r>
      <w:r>
        <w:rPr/>
        <w:t>has</w:t>
      </w:r>
      <w:r>
        <w:rPr>
          <w:spacing w:val="25"/>
        </w:rPr>
        <w:t> </w:t>
      </w:r>
      <w:r>
        <w:rPr/>
        <w:t>focused</w:t>
      </w:r>
      <w:r>
        <w:rPr>
          <w:spacing w:val="25"/>
        </w:rPr>
        <w:t> </w:t>
      </w:r>
      <w:r>
        <w:rPr/>
        <w:t>on</w:t>
      </w:r>
      <w:r>
        <w:rPr>
          <w:spacing w:val="25"/>
        </w:rPr>
        <w:t> </w:t>
      </w:r>
      <w:r>
        <w:rPr/>
        <w:t>the</w:t>
      </w:r>
      <w:r>
        <w:rPr>
          <w:spacing w:val="25"/>
        </w:rPr>
        <w:t> </w:t>
      </w:r>
      <w:r>
        <w:rPr/>
        <w:t>points</w:t>
      </w:r>
      <w:r>
        <w:rPr>
          <w:spacing w:val="25"/>
        </w:rPr>
        <w:t> </w:t>
      </w:r>
      <w:r>
        <w:rPr/>
        <w:t>scored</w:t>
      </w:r>
      <w:r>
        <w:rPr>
          <w:spacing w:val="25"/>
        </w:rPr>
        <w:t> </w:t>
      </w:r>
      <w:r>
        <w:rPr/>
        <w:t>by</w:t>
      </w:r>
      <w:r>
        <w:rPr>
          <w:spacing w:val="25"/>
        </w:rPr>
        <w:t> </w:t>
      </w:r>
      <w:r>
        <w:rPr/>
        <w:t>the</w:t>
      </w:r>
      <w:r>
        <w:rPr>
          <w:spacing w:val="25"/>
        </w:rPr>
        <w:t> </w:t>
      </w:r>
      <w:r>
        <w:rPr/>
        <w:t>end</w:t>
      </w:r>
      <w:r>
        <w:rPr>
          <w:spacing w:val="25"/>
        </w:rPr>
        <w:t> </w:t>
      </w:r>
      <w:r>
        <w:rPr/>
        <w:t>of</w:t>
      </w:r>
      <w:r>
        <w:rPr>
          <w:spacing w:val="25"/>
        </w:rPr>
        <w:t> </w:t>
      </w:r>
      <w:r>
        <w:rPr/>
        <w:t>the</w:t>
      </w:r>
      <w:r>
        <w:rPr>
          <w:spacing w:val="25"/>
        </w:rPr>
        <w:t> </w:t>
      </w:r>
      <w:r>
        <w:rPr/>
        <w:t>possession (whether aggregating in the Markovian approaches or estimating probabilities in- dividually in the Bayesian approach) as the definition of successful actions.</w:t>
      </w:r>
      <w:r>
        <w:rPr>
          <w:spacing w:val="40"/>
        </w:rPr>
        <w:t> </w:t>
      </w:r>
      <w:r>
        <w:rPr/>
        <w:t>This decision</w:t>
      </w:r>
      <w:r>
        <w:rPr>
          <w:spacing w:val="-5"/>
        </w:rPr>
        <w:t> </w:t>
      </w:r>
      <w:r>
        <w:rPr/>
        <w:t>was</w:t>
      </w:r>
      <w:r>
        <w:rPr>
          <w:spacing w:val="-5"/>
        </w:rPr>
        <w:t> </w:t>
      </w:r>
      <w:r>
        <w:rPr/>
        <w:t>taken</w:t>
      </w:r>
      <w:r>
        <w:rPr>
          <w:spacing w:val="-5"/>
        </w:rPr>
        <w:t> </w:t>
      </w:r>
      <w:r>
        <w:rPr/>
        <w:t>as</w:t>
      </w:r>
      <w:r>
        <w:rPr>
          <w:spacing w:val="-5"/>
        </w:rPr>
        <w:t> </w:t>
      </w:r>
      <w:r>
        <w:rPr/>
        <w:t>points</w:t>
      </w:r>
      <w:r>
        <w:rPr>
          <w:spacing w:val="-5"/>
        </w:rPr>
        <w:t> </w:t>
      </w:r>
      <w:r>
        <w:rPr/>
        <w:t>are</w:t>
      </w:r>
      <w:r>
        <w:rPr>
          <w:spacing w:val="-5"/>
        </w:rPr>
        <w:t> </w:t>
      </w:r>
      <w:r>
        <w:rPr/>
        <w:t>the</w:t>
      </w:r>
      <w:r>
        <w:rPr>
          <w:spacing w:val="-5"/>
        </w:rPr>
        <w:t> </w:t>
      </w:r>
      <w:r>
        <w:rPr/>
        <w:t>most</w:t>
      </w:r>
      <w:r>
        <w:rPr>
          <w:spacing w:val="-5"/>
        </w:rPr>
        <w:t> </w:t>
      </w:r>
      <w:r>
        <w:rPr/>
        <w:t>important</w:t>
      </w:r>
      <w:r>
        <w:rPr>
          <w:spacing w:val="-5"/>
        </w:rPr>
        <w:t> </w:t>
      </w:r>
      <w:r>
        <w:rPr/>
        <w:t>outcome</w:t>
      </w:r>
      <w:r>
        <w:rPr>
          <w:spacing w:val="-5"/>
        </w:rPr>
        <w:t> </w:t>
      </w:r>
      <w:r>
        <w:rPr/>
        <w:t>of</w:t>
      </w:r>
      <w:r>
        <w:rPr>
          <w:spacing w:val="-5"/>
        </w:rPr>
        <w:t> </w:t>
      </w:r>
      <w:r>
        <w:rPr/>
        <w:t>possessions</w:t>
      </w:r>
      <w:r>
        <w:rPr>
          <w:spacing w:val="-5"/>
        </w:rPr>
        <w:t> </w:t>
      </w:r>
      <w:r>
        <w:rPr/>
        <w:t>within rugby league - the more points a team scores or a player contributes to, the more likely</w:t>
      </w:r>
      <w:r>
        <w:rPr>
          <w:spacing w:val="-1"/>
        </w:rPr>
        <w:t> </w:t>
      </w:r>
      <w:r>
        <w:rPr/>
        <w:t>the</w:t>
      </w:r>
      <w:r>
        <w:rPr>
          <w:spacing w:val="-1"/>
        </w:rPr>
        <w:t> </w:t>
      </w:r>
      <w:r>
        <w:rPr/>
        <w:t>team</w:t>
      </w:r>
      <w:r>
        <w:rPr>
          <w:spacing w:val="-1"/>
        </w:rPr>
        <w:t> </w:t>
      </w:r>
      <w:r>
        <w:rPr/>
        <w:t>is</w:t>
      </w:r>
      <w:r>
        <w:rPr>
          <w:spacing w:val="-1"/>
        </w:rPr>
        <w:t> </w:t>
      </w:r>
      <w:r>
        <w:rPr/>
        <w:t>to</w:t>
      </w:r>
      <w:r>
        <w:rPr>
          <w:spacing w:val="-1"/>
        </w:rPr>
        <w:t> </w:t>
      </w:r>
      <w:r>
        <w:rPr/>
        <w:t>win</w:t>
      </w:r>
      <w:r>
        <w:rPr>
          <w:spacing w:val="-1"/>
        </w:rPr>
        <w:t> </w:t>
      </w:r>
      <w:r>
        <w:rPr/>
        <w:t>matches</w:t>
      </w:r>
      <w:r>
        <w:rPr>
          <w:spacing w:val="-1"/>
        </w:rPr>
        <w:t> </w:t>
      </w:r>
      <w:r>
        <w:rPr/>
        <w:t>and</w:t>
      </w:r>
      <w:r>
        <w:rPr>
          <w:spacing w:val="-1"/>
        </w:rPr>
        <w:t> </w:t>
      </w:r>
      <w:r>
        <w:rPr/>
        <w:t>be</w:t>
      </w:r>
      <w:r>
        <w:rPr>
          <w:spacing w:val="-1"/>
        </w:rPr>
        <w:t> </w:t>
      </w:r>
      <w:r>
        <w:rPr/>
        <w:t>successful.</w:t>
      </w:r>
      <w:r>
        <w:rPr>
          <w:spacing w:val="24"/>
        </w:rPr>
        <w:t> </w:t>
      </w:r>
      <w:r>
        <w:rPr/>
        <w:t>However, not</w:t>
      </w:r>
      <w:r>
        <w:rPr>
          <w:spacing w:val="-1"/>
        </w:rPr>
        <w:t> </w:t>
      </w:r>
      <w:r>
        <w:rPr/>
        <w:t>all</w:t>
      </w:r>
      <w:r>
        <w:rPr>
          <w:spacing w:val="-1"/>
        </w:rPr>
        <w:t> </w:t>
      </w:r>
      <w:r>
        <w:rPr/>
        <w:t>players’</w:t>
      </w:r>
      <w:r>
        <w:rPr>
          <w:spacing w:val="-1"/>
        </w:rPr>
        <w:t> </w:t>
      </w:r>
      <w:r>
        <w:rPr/>
        <w:t>key role</w:t>
      </w:r>
      <w:r>
        <w:rPr>
          <w:spacing w:val="-13"/>
        </w:rPr>
        <w:t> </w:t>
      </w:r>
      <w:r>
        <w:rPr/>
        <w:t>is</w:t>
      </w:r>
      <w:r>
        <w:rPr>
          <w:spacing w:val="-13"/>
        </w:rPr>
        <w:t> </w:t>
      </w:r>
      <w:r>
        <w:rPr/>
        <w:t>to</w:t>
      </w:r>
      <w:r>
        <w:rPr>
          <w:spacing w:val="-13"/>
        </w:rPr>
        <w:t> </w:t>
      </w:r>
      <w:r>
        <w:rPr/>
        <w:t>score</w:t>
      </w:r>
      <w:r>
        <w:rPr>
          <w:spacing w:val="-13"/>
        </w:rPr>
        <w:t> </w:t>
      </w:r>
      <w:r>
        <w:rPr/>
        <w:t>points.</w:t>
      </w:r>
      <w:r>
        <w:rPr>
          <w:spacing w:val="5"/>
        </w:rPr>
        <w:t> </w:t>
      </w:r>
      <w:r>
        <w:rPr/>
        <w:t>For</w:t>
      </w:r>
      <w:r>
        <w:rPr>
          <w:spacing w:val="-13"/>
        </w:rPr>
        <w:t> </w:t>
      </w:r>
      <w:r>
        <w:rPr/>
        <w:t>example,</w:t>
      </w:r>
      <w:r>
        <w:rPr>
          <w:spacing w:val="-12"/>
        </w:rPr>
        <w:t> </w:t>
      </w:r>
      <w:r>
        <w:rPr/>
        <w:t>the</w:t>
      </w:r>
      <w:r>
        <w:rPr>
          <w:spacing w:val="-13"/>
        </w:rPr>
        <w:t> </w:t>
      </w:r>
      <w:r>
        <w:rPr/>
        <w:t>key</w:t>
      </w:r>
      <w:r>
        <w:rPr>
          <w:spacing w:val="-13"/>
        </w:rPr>
        <w:t> </w:t>
      </w:r>
      <w:r>
        <w:rPr/>
        <w:t>role</w:t>
      </w:r>
      <w:r>
        <w:rPr>
          <w:spacing w:val="-13"/>
        </w:rPr>
        <w:t> </w:t>
      </w:r>
      <w:r>
        <w:rPr/>
        <w:t>of</w:t>
      </w:r>
      <w:r>
        <w:rPr>
          <w:spacing w:val="-13"/>
        </w:rPr>
        <w:t> </w:t>
      </w:r>
      <w:r>
        <w:rPr/>
        <w:t>props</w:t>
      </w:r>
      <w:r>
        <w:rPr>
          <w:spacing w:val="-13"/>
        </w:rPr>
        <w:t> </w:t>
      </w:r>
      <w:r>
        <w:rPr/>
        <w:t>and</w:t>
      </w:r>
      <w:r>
        <w:rPr>
          <w:spacing w:val="-13"/>
        </w:rPr>
        <w:t> </w:t>
      </w:r>
      <w:r>
        <w:rPr/>
        <w:t>second</w:t>
      </w:r>
      <w:r>
        <w:rPr>
          <w:spacing w:val="-13"/>
        </w:rPr>
        <w:t> </w:t>
      </w:r>
      <w:r>
        <w:rPr/>
        <w:t>rows</w:t>
      </w:r>
      <w:r>
        <w:rPr>
          <w:spacing w:val="-13"/>
        </w:rPr>
        <w:t> </w:t>
      </w:r>
      <w:r>
        <w:rPr/>
        <w:t>is</w:t>
      </w:r>
      <w:r>
        <w:rPr>
          <w:spacing w:val="-13"/>
        </w:rPr>
        <w:t> </w:t>
      </w:r>
      <w:r>
        <w:rPr/>
        <w:t>to</w:t>
      </w:r>
      <w:r>
        <w:rPr>
          <w:spacing w:val="-13"/>
        </w:rPr>
        <w:t> </w:t>
      </w:r>
      <w:r>
        <w:rPr/>
        <w:t>gain metres</w:t>
      </w:r>
      <w:r>
        <w:rPr>
          <w:spacing w:val="-5"/>
        </w:rPr>
        <w:t> </w:t>
      </w:r>
      <w:r>
        <w:rPr/>
        <w:t>early</w:t>
      </w:r>
      <w:r>
        <w:rPr>
          <w:spacing w:val="-5"/>
        </w:rPr>
        <w:t> </w:t>
      </w:r>
      <w:r>
        <w:rPr/>
        <w:t>in</w:t>
      </w:r>
      <w:r>
        <w:rPr>
          <w:spacing w:val="-5"/>
        </w:rPr>
        <w:t> </w:t>
      </w:r>
      <w:r>
        <w:rPr/>
        <w:t>the</w:t>
      </w:r>
      <w:r>
        <w:rPr>
          <w:spacing w:val="-5"/>
        </w:rPr>
        <w:t> </w:t>
      </w:r>
      <w:r>
        <w:rPr/>
        <w:t>attacks</w:t>
      </w:r>
      <w:r>
        <w:rPr>
          <w:spacing w:val="-5"/>
        </w:rPr>
        <w:t> </w:t>
      </w:r>
      <w:r>
        <w:rPr/>
        <w:t>to</w:t>
      </w:r>
      <w:r>
        <w:rPr>
          <w:spacing w:val="-5"/>
        </w:rPr>
        <w:t> </w:t>
      </w:r>
      <w:r>
        <w:rPr/>
        <w:t>progress</w:t>
      </w:r>
      <w:r>
        <w:rPr>
          <w:spacing w:val="-5"/>
        </w:rPr>
        <w:t> </w:t>
      </w:r>
      <w:r>
        <w:rPr/>
        <w:t>the</w:t>
      </w:r>
      <w:r>
        <w:rPr>
          <w:spacing w:val="-5"/>
        </w:rPr>
        <w:t> </w:t>
      </w:r>
      <w:r>
        <w:rPr/>
        <w:t>team</w:t>
      </w:r>
      <w:r>
        <w:rPr>
          <w:spacing w:val="-5"/>
        </w:rPr>
        <w:t> </w:t>
      </w:r>
      <w:r>
        <w:rPr/>
        <w:t>into</w:t>
      </w:r>
      <w:r>
        <w:rPr>
          <w:spacing w:val="-5"/>
        </w:rPr>
        <w:t> </w:t>
      </w:r>
      <w:r>
        <w:rPr/>
        <w:t>positions</w:t>
      </w:r>
      <w:r>
        <w:rPr>
          <w:spacing w:val="-5"/>
        </w:rPr>
        <w:t> </w:t>
      </w:r>
      <w:r>
        <w:rPr/>
        <w:t>where</w:t>
      </w:r>
      <w:r>
        <w:rPr>
          <w:spacing w:val="-5"/>
        </w:rPr>
        <w:t> </w:t>
      </w:r>
      <w:r>
        <w:rPr/>
        <w:t>they</w:t>
      </w:r>
      <w:r>
        <w:rPr>
          <w:spacing w:val="-5"/>
        </w:rPr>
        <w:t> </w:t>
      </w:r>
      <w:r>
        <w:rPr/>
        <w:t>can</w:t>
      </w:r>
      <w:r>
        <w:rPr>
          <w:spacing w:val="-5"/>
        </w:rPr>
        <w:t> </w:t>
      </w:r>
      <w:r>
        <w:rPr/>
        <w:t>score tries</w:t>
      </w:r>
      <w:r>
        <w:rPr>
          <w:spacing w:val="-10"/>
        </w:rPr>
        <w:t> </w:t>
      </w:r>
      <w:r>
        <w:rPr/>
        <w:t>(Table</w:t>
      </w:r>
      <w:hyperlink w:history="true" w:anchor="_bookmark38">
        <w:r>
          <w:rPr>
            <w:color w:val="0000FF"/>
          </w:rPr>
          <w:t>2.3</w:t>
        </w:r>
      </w:hyperlink>
      <w:r>
        <w:rPr/>
        <w:t>). The</w:t>
      </w:r>
      <w:r>
        <w:rPr>
          <w:spacing w:val="-10"/>
        </w:rPr>
        <w:t> </w:t>
      </w:r>
      <w:r>
        <w:rPr/>
        <w:t>majority</w:t>
      </w:r>
      <w:r>
        <w:rPr>
          <w:spacing w:val="-10"/>
        </w:rPr>
        <w:t> </w:t>
      </w:r>
      <w:r>
        <w:rPr/>
        <w:t>of</w:t>
      </w:r>
      <w:r>
        <w:rPr>
          <w:spacing w:val="-10"/>
        </w:rPr>
        <w:t> </w:t>
      </w:r>
      <w:r>
        <w:rPr/>
        <w:t>actions</w:t>
      </w:r>
      <w:r>
        <w:rPr>
          <w:spacing w:val="-10"/>
        </w:rPr>
        <w:t> </w:t>
      </w:r>
      <w:r>
        <w:rPr/>
        <w:t>taken</w:t>
      </w:r>
      <w:r>
        <w:rPr>
          <w:spacing w:val="-10"/>
        </w:rPr>
        <w:t> </w:t>
      </w:r>
      <w:r>
        <w:rPr/>
        <w:t>by</w:t>
      </w:r>
      <w:r>
        <w:rPr>
          <w:spacing w:val="-10"/>
        </w:rPr>
        <w:t> </w:t>
      </w:r>
      <w:r>
        <w:rPr/>
        <w:t>these</w:t>
      </w:r>
      <w:r>
        <w:rPr>
          <w:spacing w:val="-10"/>
        </w:rPr>
        <w:t> </w:t>
      </w:r>
      <w:r>
        <w:rPr/>
        <w:t>players</w:t>
      </w:r>
      <w:r>
        <w:rPr>
          <w:spacing w:val="-10"/>
        </w:rPr>
        <w:t> </w:t>
      </w:r>
      <w:r>
        <w:rPr/>
        <w:t>occur</w:t>
      </w:r>
      <w:r>
        <w:rPr>
          <w:spacing w:val="-10"/>
        </w:rPr>
        <w:t> </w:t>
      </w:r>
      <w:r>
        <w:rPr/>
        <w:t>in</w:t>
      </w:r>
      <w:r>
        <w:rPr>
          <w:spacing w:val="-10"/>
        </w:rPr>
        <w:t> </w:t>
      </w:r>
      <w:r>
        <w:rPr/>
        <w:t>the</w:t>
      </w:r>
      <w:r>
        <w:rPr>
          <w:spacing w:val="-10"/>
        </w:rPr>
        <w:t> </w:t>
      </w:r>
      <w:r>
        <w:rPr/>
        <w:t>posses- sion</w:t>
      </w:r>
      <w:r>
        <w:rPr>
          <w:spacing w:val="-15"/>
        </w:rPr>
        <w:t> </w:t>
      </w:r>
      <w:r>
        <w:rPr/>
        <w:t>team’s</w:t>
      </w:r>
      <w:r>
        <w:rPr>
          <w:spacing w:val="-15"/>
        </w:rPr>
        <w:t> </w:t>
      </w:r>
      <w:r>
        <w:rPr/>
        <w:t>half</w:t>
      </w:r>
      <w:r>
        <w:rPr>
          <w:spacing w:val="-15"/>
        </w:rPr>
        <w:t> </w:t>
      </w:r>
      <w:r>
        <w:rPr/>
        <w:t>meaning</w:t>
      </w:r>
      <w:r>
        <w:rPr>
          <w:spacing w:val="-15"/>
        </w:rPr>
        <w:t> </w:t>
      </w:r>
      <w:r>
        <w:rPr/>
        <w:t>it</w:t>
      </w:r>
      <w:r>
        <w:rPr>
          <w:spacing w:val="-15"/>
        </w:rPr>
        <w:t> </w:t>
      </w:r>
      <w:r>
        <w:rPr/>
        <w:t>is</w:t>
      </w:r>
      <w:r>
        <w:rPr>
          <w:spacing w:val="-15"/>
        </w:rPr>
        <w:t> </w:t>
      </w:r>
      <w:r>
        <w:rPr/>
        <w:t>unlikely</w:t>
      </w:r>
      <w:r>
        <w:rPr>
          <w:spacing w:val="-15"/>
        </w:rPr>
        <w:t> </w:t>
      </w:r>
      <w:r>
        <w:rPr/>
        <w:t>that</w:t>
      </w:r>
      <w:r>
        <w:rPr>
          <w:spacing w:val="-15"/>
        </w:rPr>
        <w:t> </w:t>
      </w:r>
      <w:r>
        <w:rPr/>
        <w:t>they</w:t>
      </w:r>
      <w:r>
        <w:rPr>
          <w:spacing w:val="-15"/>
        </w:rPr>
        <w:t> </w:t>
      </w:r>
      <w:r>
        <w:rPr/>
        <w:t>will</w:t>
      </w:r>
      <w:r>
        <w:rPr>
          <w:spacing w:val="-15"/>
        </w:rPr>
        <w:t> </w:t>
      </w:r>
      <w:r>
        <w:rPr/>
        <w:t>produce</w:t>
      </w:r>
      <w:r>
        <w:rPr>
          <w:spacing w:val="-15"/>
        </w:rPr>
        <w:t> </w:t>
      </w:r>
      <w:r>
        <w:rPr/>
        <w:t>many</w:t>
      </w:r>
      <w:r>
        <w:rPr>
          <w:spacing w:val="-15"/>
        </w:rPr>
        <w:t> </w:t>
      </w:r>
      <w:r>
        <w:rPr/>
        <w:t>tries</w:t>
      </w:r>
      <w:r>
        <w:rPr>
          <w:spacing w:val="-15"/>
        </w:rPr>
        <w:t> </w:t>
      </w:r>
      <w:r>
        <w:rPr/>
        <w:t>so</w:t>
      </w:r>
      <w:r>
        <w:rPr>
          <w:spacing w:val="-15"/>
        </w:rPr>
        <w:t> </w:t>
      </w:r>
      <w:r>
        <w:rPr/>
        <w:t>using</w:t>
      </w:r>
      <w:r>
        <w:rPr>
          <w:spacing w:val="-15"/>
        </w:rPr>
        <w:t> </w:t>
      </w:r>
      <w:r>
        <w:rPr/>
        <w:t>the actual vs expected performance ratings identified in Chapter</w:t>
      </w:r>
      <w:r>
        <w:rPr>
          <w:color w:val="0000FF"/>
        </w:rPr>
        <w:t>6</w:t>
      </w:r>
      <w:r>
        <w:rPr/>
        <w:t>for these players is</w:t>
      </w:r>
    </w:p>
    <w:p>
      <w:pPr>
        <w:spacing w:after="0" w:line="312" w:lineRule="auto"/>
        <w:sectPr>
          <w:headerReference w:type="default" r:id="rId148"/>
          <w:footerReference w:type="default" r:id="rId149"/>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1195" w:right="389"/>
      </w:pPr>
      <w:r>
        <w:rPr/>
        <w:t>an</w:t>
      </w:r>
      <w:r>
        <w:rPr>
          <w:spacing w:val="-8"/>
        </w:rPr>
        <w:t> </w:t>
      </w:r>
      <w:r>
        <w:rPr/>
        <w:t>unfair</w:t>
      </w:r>
      <w:r>
        <w:rPr>
          <w:spacing w:val="-8"/>
        </w:rPr>
        <w:t> </w:t>
      </w:r>
      <w:r>
        <w:rPr/>
        <w:t>point</w:t>
      </w:r>
      <w:r>
        <w:rPr>
          <w:spacing w:val="-8"/>
        </w:rPr>
        <w:t> </w:t>
      </w:r>
      <w:r>
        <w:rPr/>
        <w:t>scoring</w:t>
      </w:r>
      <w:r>
        <w:rPr>
          <w:spacing w:val="-8"/>
        </w:rPr>
        <w:t> </w:t>
      </w:r>
      <w:r>
        <w:rPr/>
        <w:t>system. A</w:t>
      </w:r>
      <w:r>
        <w:rPr>
          <w:spacing w:val="-8"/>
        </w:rPr>
        <w:t> </w:t>
      </w:r>
      <w:r>
        <w:rPr/>
        <w:t>better</w:t>
      </w:r>
      <w:r>
        <w:rPr>
          <w:spacing w:val="-8"/>
        </w:rPr>
        <w:t> </w:t>
      </w:r>
      <w:r>
        <w:rPr/>
        <w:t>method</w:t>
      </w:r>
      <w:r>
        <w:rPr>
          <w:spacing w:val="-8"/>
        </w:rPr>
        <w:t> </w:t>
      </w:r>
      <w:r>
        <w:rPr/>
        <w:t>of</w:t>
      </w:r>
      <w:r>
        <w:rPr>
          <w:spacing w:val="-8"/>
        </w:rPr>
        <w:t> </w:t>
      </w:r>
      <w:r>
        <w:rPr/>
        <w:t>evaluating</w:t>
      </w:r>
      <w:r>
        <w:rPr>
          <w:spacing w:val="-8"/>
        </w:rPr>
        <w:t> </w:t>
      </w:r>
      <w:r>
        <w:rPr/>
        <w:t>these</w:t>
      </w:r>
      <w:r>
        <w:rPr>
          <w:spacing w:val="-8"/>
        </w:rPr>
        <w:t> </w:t>
      </w:r>
      <w:r>
        <w:rPr/>
        <w:t>players</w:t>
      </w:r>
      <w:r>
        <w:rPr>
          <w:spacing w:val="-8"/>
        </w:rPr>
        <w:t> </w:t>
      </w:r>
      <w:r>
        <w:rPr/>
        <w:t>may</w:t>
      </w:r>
      <w:r>
        <w:rPr>
          <w:spacing w:val="-8"/>
        </w:rPr>
        <w:t> </w:t>
      </w:r>
      <w:r>
        <w:rPr/>
        <w:t>be to change the possession outcome probabilities to an estimation of metres </w:t>
      </w:r>
      <w:r>
        <w:rPr/>
        <w:t>gained. Similar comments could apply to the half pair and hooker, who act as playmakers and so perform an action in virtually every play of their team’s possession (Table </w:t>
      </w:r>
      <w:hyperlink w:history="true" w:anchor="_bookmark38">
        <w:r>
          <w:rPr>
            <w:color w:val="0000FF"/>
          </w:rPr>
          <w:t>2.3</w:t>
        </w:r>
      </w:hyperlink>
      <w:r>
        <w:rPr/>
        <w:t>). A</w:t>
      </w:r>
      <w:r>
        <w:rPr>
          <w:spacing w:val="-3"/>
        </w:rPr>
        <w:t> </w:t>
      </w:r>
      <w:r>
        <w:rPr/>
        <w:t>more</w:t>
      </w:r>
      <w:r>
        <w:rPr>
          <w:spacing w:val="-3"/>
        </w:rPr>
        <w:t> </w:t>
      </w:r>
      <w:r>
        <w:rPr/>
        <w:t>appropriate</w:t>
      </w:r>
      <w:r>
        <w:rPr>
          <w:spacing w:val="-3"/>
        </w:rPr>
        <w:t> </w:t>
      </w:r>
      <w:r>
        <w:rPr/>
        <w:t>action</w:t>
      </w:r>
      <w:r>
        <w:rPr>
          <w:spacing w:val="-3"/>
        </w:rPr>
        <w:t> </w:t>
      </w:r>
      <w:r>
        <w:rPr/>
        <w:t>valuation</w:t>
      </w:r>
      <w:r>
        <w:rPr>
          <w:spacing w:val="-3"/>
        </w:rPr>
        <w:t> </w:t>
      </w:r>
      <w:r>
        <w:rPr/>
        <w:t>for</w:t>
      </w:r>
      <w:r>
        <w:rPr>
          <w:spacing w:val="-3"/>
        </w:rPr>
        <w:t> </w:t>
      </w:r>
      <w:r>
        <w:rPr/>
        <w:t>these</w:t>
      </w:r>
      <w:r>
        <w:rPr>
          <w:spacing w:val="-3"/>
        </w:rPr>
        <w:t> </w:t>
      </w:r>
      <w:r>
        <w:rPr/>
        <w:t>players</w:t>
      </w:r>
      <w:r>
        <w:rPr>
          <w:spacing w:val="-3"/>
        </w:rPr>
        <w:t> </w:t>
      </w:r>
      <w:r>
        <w:rPr/>
        <w:t>could</w:t>
      </w:r>
      <w:r>
        <w:rPr>
          <w:spacing w:val="-3"/>
        </w:rPr>
        <w:t> </w:t>
      </w:r>
      <w:r>
        <w:rPr/>
        <w:t>be</w:t>
      </w:r>
      <w:r>
        <w:rPr>
          <w:spacing w:val="-3"/>
        </w:rPr>
        <w:t> </w:t>
      </w:r>
      <w:r>
        <w:rPr/>
        <w:t>speed</w:t>
      </w:r>
      <w:r>
        <w:rPr>
          <w:spacing w:val="-3"/>
        </w:rPr>
        <w:t> </w:t>
      </w:r>
      <w:r>
        <w:rPr/>
        <w:t>of</w:t>
      </w:r>
      <w:r>
        <w:rPr>
          <w:spacing w:val="-3"/>
        </w:rPr>
        <w:t> </w:t>
      </w:r>
      <w:r>
        <w:rPr/>
        <w:t>play, or</w:t>
      </w:r>
      <w:r>
        <w:rPr>
          <w:spacing w:val="-8"/>
        </w:rPr>
        <w:t> </w:t>
      </w:r>
      <w:r>
        <w:rPr/>
        <w:t>a</w:t>
      </w:r>
      <w:r>
        <w:rPr>
          <w:spacing w:val="-8"/>
        </w:rPr>
        <w:t> </w:t>
      </w:r>
      <w:r>
        <w:rPr/>
        <w:t>combination</w:t>
      </w:r>
      <w:r>
        <w:rPr>
          <w:spacing w:val="-8"/>
        </w:rPr>
        <w:t> </w:t>
      </w:r>
      <w:r>
        <w:rPr/>
        <w:t>of</w:t>
      </w:r>
      <w:r>
        <w:rPr>
          <w:spacing w:val="-8"/>
        </w:rPr>
        <w:t> </w:t>
      </w:r>
      <w:r>
        <w:rPr/>
        <w:t>metres</w:t>
      </w:r>
      <w:r>
        <w:rPr>
          <w:spacing w:val="-8"/>
        </w:rPr>
        <w:t> </w:t>
      </w:r>
      <w:r>
        <w:rPr/>
        <w:t>gained</w:t>
      </w:r>
      <w:r>
        <w:rPr>
          <w:spacing w:val="-8"/>
        </w:rPr>
        <w:t> </w:t>
      </w:r>
      <w:r>
        <w:rPr/>
        <w:t>and</w:t>
      </w:r>
      <w:r>
        <w:rPr>
          <w:spacing w:val="-8"/>
        </w:rPr>
        <w:t> </w:t>
      </w:r>
      <w:r>
        <w:rPr/>
        <w:t>EPV</w:t>
      </w:r>
      <w:r>
        <w:rPr>
          <w:spacing w:val="-8"/>
        </w:rPr>
        <w:t> </w:t>
      </w:r>
      <w:r>
        <w:rPr/>
        <w:t>dependent</w:t>
      </w:r>
      <w:r>
        <w:rPr>
          <w:spacing w:val="-8"/>
        </w:rPr>
        <w:t> </w:t>
      </w:r>
      <w:r>
        <w:rPr/>
        <w:t>on</w:t>
      </w:r>
      <w:r>
        <w:rPr>
          <w:spacing w:val="-8"/>
        </w:rPr>
        <w:t> </w:t>
      </w:r>
      <w:r>
        <w:rPr/>
        <w:t>the</w:t>
      </w:r>
      <w:r>
        <w:rPr>
          <w:spacing w:val="-8"/>
        </w:rPr>
        <w:t> </w:t>
      </w:r>
      <w:r>
        <w:rPr/>
        <w:t>location</w:t>
      </w:r>
      <w:r>
        <w:rPr>
          <w:spacing w:val="-8"/>
        </w:rPr>
        <w:t> </w:t>
      </w:r>
      <w:r>
        <w:rPr/>
        <w:t>on</w:t>
      </w:r>
      <w:r>
        <w:rPr>
          <w:spacing w:val="-8"/>
        </w:rPr>
        <w:t> </w:t>
      </w:r>
      <w:r>
        <w:rPr/>
        <w:t>the</w:t>
      </w:r>
      <w:r>
        <w:rPr>
          <w:spacing w:val="-8"/>
        </w:rPr>
        <w:t> </w:t>
      </w:r>
      <w:r>
        <w:rPr/>
        <w:t>pitch. The flexibility of the Bayesian methodology employed in Chapter</w:t>
      </w:r>
      <w:r>
        <w:rPr>
          <w:color w:val="0000FF"/>
        </w:rPr>
        <w:t>6</w:t>
      </w:r>
      <w:r>
        <w:rPr/>
        <w:t>would allow any of these changes to be made as desired by coaches.</w:t>
      </w:r>
    </w:p>
    <w:p>
      <w:pPr>
        <w:pStyle w:val="BodyText"/>
        <w:spacing w:line="312" w:lineRule="auto" w:before="198"/>
        <w:ind w:left="1195" w:right="389" w:hanging="596"/>
      </w:pPr>
      <w:r>
        <w:rPr/>
        <w:t>FW2Adaptation to other outcomes or sports refers to whether the model can consider other</w:t>
      </w:r>
      <w:r>
        <w:rPr>
          <w:spacing w:val="27"/>
        </w:rPr>
        <w:t> </w:t>
      </w:r>
      <w:r>
        <w:rPr/>
        <w:t>tactical</w:t>
      </w:r>
      <w:r>
        <w:rPr>
          <w:spacing w:val="27"/>
        </w:rPr>
        <w:t> </w:t>
      </w:r>
      <w:r>
        <w:rPr/>
        <w:t>elements</w:t>
      </w:r>
      <w:r>
        <w:rPr>
          <w:spacing w:val="27"/>
        </w:rPr>
        <w:t> </w:t>
      </w:r>
      <w:r>
        <w:rPr/>
        <w:t>or</w:t>
      </w:r>
      <w:r>
        <w:rPr>
          <w:spacing w:val="27"/>
        </w:rPr>
        <w:t> </w:t>
      </w:r>
      <w:r>
        <w:rPr/>
        <w:t>be</w:t>
      </w:r>
      <w:r>
        <w:rPr>
          <w:spacing w:val="27"/>
        </w:rPr>
        <w:t> </w:t>
      </w:r>
      <w:r>
        <w:rPr/>
        <w:t>adapted</w:t>
      </w:r>
      <w:r>
        <w:rPr>
          <w:spacing w:val="27"/>
        </w:rPr>
        <w:t> </w:t>
      </w:r>
      <w:r>
        <w:rPr/>
        <w:t>to</w:t>
      </w:r>
      <w:r>
        <w:rPr>
          <w:spacing w:val="27"/>
        </w:rPr>
        <w:t> </w:t>
      </w:r>
      <w:r>
        <w:rPr/>
        <w:t>other</w:t>
      </w:r>
      <w:r>
        <w:rPr>
          <w:spacing w:val="27"/>
        </w:rPr>
        <w:t> </w:t>
      </w:r>
      <w:r>
        <w:rPr/>
        <w:t>sports.</w:t>
      </w:r>
      <w:r>
        <w:rPr>
          <w:spacing w:val="80"/>
        </w:rPr>
        <w:t> </w:t>
      </w:r>
      <w:r>
        <w:rPr/>
        <w:t>The</w:t>
      </w:r>
      <w:r>
        <w:rPr>
          <w:spacing w:val="27"/>
        </w:rPr>
        <w:t> </w:t>
      </w:r>
      <w:r>
        <w:rPr/>
        <w:t>former</w:t>
      </w:r>
      <w:r>
        <w:rPr>
          <w:spacing w:val="27"/>
        </w:rPr>
        <w:t> </w:t>
      </w:r>
      <w:r>
        <w:rPr/>
        <w:t>of</w:t>
      </w:r>
      <w:r>
        <w:rPr>
          <w:spacing w:val="27"/>
        </w:rPr>
        <w:t> </w:t>
      </w:r>
      <w:r>
        <w:rPr/>
        <w:t>these</w:t>
      </w:r>
      <w:r>
        <w:rPr>
          <w:spacing w:val="27"/>
        </w:rPr>
        <w:t> </w:t>
      </w:r>
      <w:r>
        <w:rPr/>
        <w:t>con- siderations could be extremely interesting - for example, can the probabilities </w:t>
      </w:r>
      <w:r>
        <w:rPr/>
        <w:t>of different actions be considered based on the location of the ball and the previous action?</w:t>
      </w:r>
      <w:r>
        <w:rPr>
          <w:spacing w:val="35"/>
        </w:rPr>
        <w:t> </w:t>
      </w:r>
      <w:r>
        <w:rPr/>
        <w:t>This information would be extremely valuable to coaches and is provided in</w:t>
      </w:r>
      <w:r>
        <w:rPr>
          <w:spacing w:val="-15"/>
        </w:rPr>
        <w:t> </w:t>
      </w:r>
      <w:r>
        <w:rPr/>
        <w:t>sports</w:t>
      </w:r>
      <w:r>
        <w:rPr>
          <w:spacing w:val="-15"/>
        </w:rPr>
        <w:t> </w:t>
      </w:r>
      <w:r>
        <w:rPr/>
        <w:t>with</w:t>
      </w:r>
      <w:r>
        <w:rPr>
          <w:spacing w:val="-15"/>
        </w:rPr>
        <w:t> </w:t>
      </w:r>
      <w:r>
        <w:rPr/>
        <w:t>much</w:t>
      </w:r>
      <w:r>
        <w:rPr>
          <w:spacing w:val="-15"/>
        </w:rPr>
        <w:t> </w:t>
      </w:r>
      <w:r>
        <w:rPr/>
        <w:t>higher</w:t>
      </w:r>
      <w:r>
        <w:rPr>
          <w:spacing w:val="-15"/>
        </w:rPr>
        <w:t> </w:t>
      </w:r>
      <w:r>
        <w:rPr/>
        <w:t>data</w:t>
      </w:r>
      <w:r>
        <w:rPr>
          <w:spacing w:val="-15"/>
        </w:rPr>
        <w:t> </w:t>
      </w:r>
      <w:r>
        <w:rPr/>
        <w:t>availability</w:t>
      </w:r>
      <w:r>
        <w:rPr>
          <w:spacing w:val="-15"/>
        </w:rPr>
        <w:t> </w:t>
      </w:r>
      <w:r>
        <w:rPr>
          <w:spacing w:val="7"/>
        </w:rPr>
        <w:t>(</w:t>
      </w:r>
      <w:hyperlink w:history="true" w:anchor="_bookmark243">
        <w:r>
          <w:rPr>
            <w:color w:val="FF0000"/>
            <w:spacing w:val="7"/>
          </w:rPr>
          <w:t>Fern</w:t>
        </w:r>
        <w:r>
          <w:rPr>
            <w:color w:val="FF0000"/>
            <w:spacing w:val="-86"/>
          </w:rPr>
          <w:t>a</w:t>
        </w:r>
        <w:r>
          <w:rPr>
            <w:color w:val="FF0000"/>
            <w:spacing w:val="20"/>
          </w:rPr>
          <w:t>´</w:t>
        </w:r>
        <w:r>
          <w:rPr>
            <w:color w:val="FF0000"/>
            <w:spacing w:val="7"/>
          </w:rPr>
          <w:t>ndez</w:t>
        </w:r>
        <w:r>
          <w:rPr>
            <w:color w:val="FF0000"/>
            <w:spacing w:val="-14"/>
          </w:rPr>
          <w:t> </w:t>
        </w:r>
        <w:r>
          <w:rPr>
            <w:color w:val="FF0000"/>
          </w:rPr>
          <w:t>et</w:t>
        </w:r>
        <w:r>
          <w:rPr>
            <w:color w:val="FF0000"/>
            <w:spacing w:val="-16"/>
          </w:rPr>
          <w:t> </w:t>
        </w:r>
        <w:r>
          <w:rPr>
            <w:color w:val="FF0000"/>
          </w:rPr>
          <w:t>al.</w:t>
        </w:r>
      </w:hyperlink>
      <w:r>
        <w:rPr/>
        <w:t>,</w:t>
      </w:r>
      <w:hyperlink w:history="true" w:anchor="_bookmark243">
        <w:r>
          <w:rPr>
            <w:color w:val="FF0000"/>
          </w:rPr>
          <w:t>2021</w:t>
        </w:r>
        <w:r>
          <w:rPr/>
          <w:t>)</w:t>
        </w:r>
      </w:hyperlink>
      <w:r>
        <w:rPr/>
        <w:t>,</w:t>
      </w:r>
      <w:r>
        <w:rPr>
          <w:spacing w:val="-15"/>
        </w:rPr>
        <w:t> </w:t>
      </w:r>
      <w:r>
        <w:rPr/>
        <w:t>but</w:t>
      </w:r>
      <w:r>
        <w:rPr>
          <w:spacing w:val="-15"/>
        </w:rPr>
        <w:t> </w:t>
      </w:r>
      <w:r>
        <w:rPr/>
        <w:t>it’s</w:t>
      </w:r>
      <w:r>
        <w:rPr>
          <w:spacing w:val="-15"/>
        </w:rPr>
        <w:t> </w:t>
      </w:r>
      <w:r>
        <w:rPr/>
        <w:t>not</w:t>
      </w:r>
      <w:r>
        <w:rPr>
          <w:spacing w:val="-15"/>
        </w:rPr>
        <w:t> </w:t>
      </w:r>
      <w:r>
        <w:rPr/>
        <w:t>im- mediately clear how the EPV model in Chapter</w:t>
      </w:r>
      <w:r>
        <w:rPr>
          <w:color w:val="0000FF"/>
        </w:rPr>
        <w:t>6</w:t>
      </w:r>
      <w:r>
        <w:rPr/>
        <w:t>could be adapted to provide this information. The</w:t>
      </w:r>
      <w:r>
        <w:rPr>
          <w:spacing w:val="-7"/>
        </w:rPr>
        <w:t> </w:t>
      </w:r>
      <w:r>
        <w:rPr/>
        <w:t>second</w:t>
      </w:r>
      <w:r>
        <w:rPr>
          <w:spacing w:val="-7"/>
        </w:rPr>
        <w:t> </w:t>
      </w:r>
      <w:r>
        <w:rPr/>
        <w:t>consideration</w:t>
      </w:r>
      <w:r>
        <w:rPr>
          <w:spacing w:val="-7"/>
        </w:rPr>
        <w:t> </w:t>
      </w:r>
      <w:r>
        <w:rPr/>
        <w:t>refers</w:t>
      </w:r>
      <w:r>
        <w:rPr>
          <w:spacing w:val="-7"/>
        </w:rPr>
        <w:t> </w:t>
      </w:r>
      <w:r>
        <w:rPr/>
        <w:t>to</w:t>
      </w:r>
      <w:r>
        <w:rPr>
          <w:spacing w:val="-7"/>
        </w:rPr>
        <w:t> </w:t>
      </w:r>
      <w:r>
        <w:rPr/>
        <w:t>whether</w:t>
      </w:r>
      <w:r>
        <w:rPr>
          <w:spacing w:val="-7"/>
        </w:rPr>
        <w:t> </w:t>
      </w:r>
      <w:r>
        <w:rPr/>
        <w:t>the</w:t>
      </w:r>
      <w:r>
        <w:rPr>
          <w:spacing w:val="-7"/>
        </w:rPr>
        <w:t> </w:t>
      </w:r>
      <w:r>
        <w:rPr/>
        <w:t>Bayesian</w:t>
      </w:r>
      <w:r>
        <w:rPr>
          <w:spacing w:val="-7"/>
        </w:rPr>
        <w:t> </w:t>
      </w:r>
      <w:r>
        <w:rPr/>
        <w:t>model</w:t>
      </w:r>
      <w:r>
        <w:rPr>
          <w:spacing w:val="-7"/>
        </w:rPr>
        <w:t> </w:t>
      </w:r>
      <w:r>
        <w:rPr/>
        <w:t>could be</w:t>
      </w:r>
      <w:r>
        <w:rPr>
          <w:spacing w:val="-9"/>
        </w:rPr>
        <w:t> </w:t>
      </w:r>
      <w:r>
        <w:rPr/>
        <w:t>adapted</w:t>
      </w:r>
      <w:r>
        <w:rPr>
          <w:spacing w:val="-9"/>
        </w:rPr>
        <w:t> </w:t>
      </w:r>
      <w:r>
        <w:rPr/>
        <w:t>to</w:t>
      </w:r>
      <w:r>
        <w:rPr>
          <w:spacing w:val="-9"/>
        </w:rPr>
        <w:t> </w:t>
      </w:r>
      <w:r>
        <w:rPr/>
        <w:t>other</w:t>
      </w:r>
      <w:r>
        <w:rPr>
          <w:spacing w:val="-9"/>
        </w:rPr>
        <w:t> </w:t>
      </w:r>
      <w:r>
        <w:rPr/>
        <w:t>sports. The</w:t>
      </w:r>
      <w:r>
        <w:rPr>
          <w:spacing w:val="-9"/>
        </w:rPr>
        <w:t> </w:t>
      </w:r>
      <w:r>
        <w:rPr/>
        <w:t>flexibility</w:t>
      </w:r>
      <w:r>
        <w:rPr>
          <w:spacing w:val="-9"/>
        </w:rPr>
        <w:t> </w:t>
      </w:r>
      <w:r>
        <w:rPr/>
        <w:t>of</w:t>
      </w:r>
      <w:r>
        <w:rPr>
          <w:spacing w:val="-10"/>
        </w:rPr>
        <w:t> </w:t>
      </w:r>
      <w:r>
        <w:rPr/>
        <w:t>the</w:t>
      </w:r>
      <w:r>
        <w:rPr>
          <w:spacing w:val="-9"/>
        </w:rPr>
        <w:t> </w:t>
      </w:r>
      <w:r>
        <w:rPr/>
        <w:t>framework</w:t>
      </w:r>
      <w:r>
        <w:rPr>
          <w:spacing w:val="-9"/>
        </w:rPr>
        <w:t> </w:t>
      </w:r>
      <w:r>
        <w:rPr/>
        <w:t>means</w:t>
      </w:r>
      <w:r>
        <w:rPr>
          <w:spacing w:val="-9"/>
        </w:rPr>
        <w:t> </w:t>
      </w:r>
      <w:r>
        <w:rPr/>
        <w:t>that</w:t>
      </w:r>
      <w:r>
        <w:rPr>
          <w:spacing w:val="-9"/>
        </w:rPr>
        <w:t> </w:t>
      </w:r>
      <w:r>
        <w:rPr/>
        <w:t>it</w:t>
      </w:r>
      <w:r>
        <w:rPr>
          <w:spacing w:val="-9"/>
        </w:rPr>
        <w:t> </w:t>
      </w:r>
      <w:r>
        <w:rPr/>
        <w:t>could,</w:t>
      </w:r>
      <w:r>
        <w:rPr>
          <w:spacing w:val="-9"/>
        </w:rPr>
        <w:t> </w:t>
      </w:r>
      <w:r>
        <w:rPr/>
        <w:t>but it</w:t>
      </w:r>
      <w:r>
        <w:rPr>
          <w:spacing w:val="-4"/>
        </w:rPr>
        <w:t> </w:t>
      </w:r>
      <w:r>
        <w:rPr/>
        <w:t>wouldn’t</w:t>
      </w:r>
      <w:r>
        <w:rPr>
          <w:spacing w:val="-4"/>
        </w:rPr>
        <w:t> </w:t>
      </w:r>
      <w:r>
        <w:rPr/>
        <w:t>always</w:t>
      </w:r>
      <w:r>
        <w:rPr>
          <w:spacing w:val="-4"/>
        </w:rPr>
        <w:t> </w:t>
      </w:r>
      <w:r>
        <w:rPr/>
        <w:t>be</w:t>
      </w:r>
      <w:r>
        <w:rPr>
          <w:spacing w:val="-4"/>
        </w:rPr>
        <w:t> </w:t>
      </w:r>
      <w:r>
        <w:rPr/>
        <w:t>appropriate. For</w:t>
      </w:r>
      <w:r>
        <w:rPr>
          <w:spacing w:val="-4"/>
        </w:rPr>
        <w:t> </w:t>
      </w:r>
      <w:r>
        <w:rPr/>
        <w:t>example,</w:t>
      </w:r>
      <w:r>
        <w:rPr>
          <w:spacing w:val="-3"/>
        </w:rPr>
        <w:t> </w:t>
      </w:r>
      <w:r>
        <w:rPr/>
        <w:t>the</w:t>
      </w:r>
      <w:r>
        <w:rPr>
          <w:spacing w:val="-4"/>
        </w:rPr>
        <w:t> </w:t>
      </w:r>
      <w:r>
        <w:rPr/>
        <w:t>approach</w:t>
      </w:r>
      <w:r>
        <w:rPr>
          <w:spacing w:val="-4"/>
        </w:rPr>
        <w:t> </w:t>
      </w:r>
      <w:r>
        <w:rPr/>
        <w:t>could</w:t>
      </w:r>
      <w:r>
        <w:rPr>
          <w:spacing w:val="-4"/>
        </w:rPr>
        <w:t> </w:t>
      </w:r>
      <w:r>
        <w:rPr/>
        <w:t>easily</w:t>
      </w:r>
      <w:r>
        <w:rPr>
          <w:spacing w:val="-4"/>
        </w:rPr>
        <w:t> </w:t>
      </w:r>
      <w:r>
        <w:rPr/>
        <w:t>be</w:t>
      </w:r>
      <w:r>
        <w:rPr>
          <w:spacing w:val="-4"/>
        </w:rPr>
        <w:t> </w:t>
      </w:r>
      <w:r>
        <w:rPr/>
        <w:t>used in rugby union or American football, which follow similar episodic approaches to rugby</w:t>
      </w:r>
      <w:r>
        <w:rPr>
          <w:spacing w:val="-13"/>
        </w:rPr>
        <w:t> </w:t>
      </w:r>
      <w:r>
        <w:rPr/>
        <w:t>league</w:t>
      </w:r>
      <w:r>
        <w:rPr>
          <w:spacing w:val="-13"/>
        </w:rPr>
        <w:t> </w:t>
      </w:r>
      <w:r>
        <w:rPr/>
        <w:t>and</w:t>
      </w:r>
      <w:r>
        <w:rPr>
          <w:spacing w:val="-13"/>
        </w:rPr>
        <w:t> </w:t>
      </w:r>
      <w:r>
        <w:rPr/>
        <w:t>have</w:t>
      </w:r>
      <w:r>
        <w:rPr>
          <w:spacing w:val="-13"/>
        </w:rPr>
        <w:t> </w:t>
      </w:r>
      <w:r>
        <w:rPr/>
        <w:t>multiple</w:t>
      </w:r>
      <w:r>
        <w:rPr>
          <w:spacing w:val="-13"/>
        </w:rPr>
        <w:t> </w:t>
      </w:r>
      <w:r>
        <w:rPr/>
        <w:t>point</w:t>
      </w:r>
      <w:r>
        <w:rPr>
          <w:spacing w:val="-13"/>
        </w:rPr>
        <w:t> </w:t>
      </w:r>
      <w:r>
        <w:rPr/>
        <w:t>scoring</w:t>
      </w:r>
      <w:r>
        <w:rPr>
          <w:spacing w:val="-13"/>
        </w:rPr>
        <w:t> </w:t>
      </w:r>
      <w:r>
        <w:rPr/>
        <w:t>outcomes. However,</w:t>
      </w:r>
      <w:r>
        <w:rPr>
          <w:spacing w:val="-13"/>
        </w:rPr>
        <w:t> </w:t>
      </w:r>
      <w:r>
        <w:rPr/>
        <w:t>in</w:t>
      </w:r>
      <w:r>
        <w:rPr>
          <w:spacing w:val="-13"/>
        </w:rPr>
        <w:t> </w:t>
      </w:r>
      <w:r>
        <w:rPr/>
        <w:t>sports</w:t>
      </w:r>
      <w:r>
        <w:rPr>
          <w:spacing w:val="-13"/>
        </w:rPr>
        <w:t> </w:t>
      </w:r>
      <w:r>
        <w:rPr/>
        <w:t>such</w:t>
      </w:r>
      <w:r>
        <w:rPr>
          <w:spacing w:val="-13"/>
        </w:rPr>
        <w:t> </w:t>
      </w:r>
      <w:r>
        <w:rPr/>
        <w:t>as football</w:t>
      </w:r>
      <w:r>
        <w:rPr>
          <w:spacing w:val="-1"/>
        </w:rPr>
        <w:t> </w:t>
      </w:r>
      <w:r>
        <w:rPr/>
        <w:t>or</w:t>
      </w:r>
      <w:r>
        <w:rPr>
          <w:spacing w:val="-1"/>
        </w:rPr>
        <w:t> </w:t>
      </w:r>
      <w:r>
        <w:rPr/>
        <w:t>netball, where</w:t>
      </w:r>
      <w:r>
        <w:rPr>
          <w:spacing w:val="-1"/>
        </w:rPr>
        <w:t> </w:t>
      </w:r>
      <w:r>
        <w:rPr/>
        <w:t>only</w:t>
      </w:r>
      <w:r>
        <w:rPr>
          <w:spacing w:val="-1"/>
        </w:rPr>
        <w:t> </w:t>
      </w:r>
      <w:r>
        <w:rPr/>
        <w:t>a</w:t>
      </w:r>
      <w:r>
        <w:rPr>
          <w:spacing w:val="-1"/>
        </w:rPr>
        <w:t> </w:t>
      </w:r>
      <w:r>
        <w:rPr/>
        <w:t>binary</w:t>
      </w:r>
      <w:r>
        <w:rPr>
          <w:spacing w:val="-1"/>
        </w:rPr>
        <w:t> </w:t>
      </w:r>
      <w:r>
        <w:rPr/>
        <w:t>possession</w:t>
      </w:r>
      <w:r>
        <w:rPr>
          <w:spacing w:val="-1"/>
        </w:rPr>
        <w:t> </w:t>
      </w:r>
      <w:r>
        <w:rPr/>
        <w:t>outcome</w:t>
      </w:r>
      <w:r>
        <w:rPr>
          <w:spacing w:val="-1"/>
        </w:rPr>
        <w:t> </w:t>
      </w:r>
      <w:r>
        <w:rPr/>
        <w:t>is</w:t>
      </w:r>
      <w:r>
        <w:rPr>
          <w:spacing w:val="-1"/>
        </w:rPr>
        <w:t> </w:t>
      </w:r>
      <w:r>
        <w:rPr/>
        <w:t>present</w:t>
      </w:r>
      <w:r>
        <w:rPr>
          <w:spacing w:val="-1"/>
        </w:rPr>
        <w:t> </w:t>
      </w:r>
      <w:r>
        <w:rPr/>
        <w:t>(i.e.</w:t>
      </w:r>
      <w:r>
        <w:rPr>
          <w:spacing w:val="21"/>
        </w:rPr>
        <w:t> </w:t>
      </w:r>
      <w:r>
        <w:rPr/>
        <w:t>goal</w:t>
      </w:r>
      <w:r>
        <w:rPr>
          <w:spacing w:val="-1"/>
        </w:rPr>
        <w:t> </w:t>
      </w:r>
      <w:r>
        <w:rPr/>
        <w:t>or no</w:t>
      </w:r>
      <w:r>
        <w:rPr>
          <w:spacing w:val="-7"/>
        </w:rPr>
        <w:t> </w:t>
      </w:r>
      <w:r>
        <w:rPr/>
        <w:t>goal),</w:t>
      </w:r>
      <w:r>
        <w:rPr>
          <w:spacing w:val="-5"/>
        </w:rPr>
        <w:t> </w:t>
      </w:r>
      <w:r>
        <w:rPr/>
        <w:t>it</w:t>
      </w:r>
      <w:r>
        <w:rPr>
          <w:spacing w:val="-7"/>
        </w:rPr>
        <w:t> </w:t>
      </w:r>
      <w:r>
        <w:rPr/>
        <w:t>may</w:t>
      </w:r>
      <w:r>
        <w:rPr>
          <w:spacing w:val="-7"/>
        </w:rPr>
        <w:t> </w:t>
      </w:r>
      <w:r>
        <w:rPr/>
        <w:t>not</w:t>
      </w:r>
      <w:r>
        <w:rPr>
          <w:spacing w:val="-7"/>
        </w:rPr>
        <w:t> </w:t>
      </w:r>
      <w:r>
        <w:rPr/>
        <w:t>be</w:t>
      </w:r>
      <w:r>
        <w:rPr>
          <w:spacing w:val="-7"/>
        </w:rPr>
        <w:t> </w:t>
      </w:r>
      <w:r>
        <w:rPr/>
        <w:t>necessary</w:t>
      </w:r>
      <w:r>
        <w:rPr>
          <w:spacing w:val="-7"/>
        </w:rPr>
        <w:t> </w:t>
      </w:r>
      <w:r>
        <w:rPr/>
        <w:t>to</w:t>
      </w:r>
      <w:r>
        <w:rPr>
          <w:spacing w:val="-7"/>
        </w:rPr>
        <w:t> </w:t>
      </w:r>
      <w:r>
        <w:rPr/>
        <w:t>adopt</w:t>
      </w:r>
      <w:r>
        <w:rPr>
          <w:spacing w:val="-7"/>
        </w:rPr>
        <w:t> </w:t>
      </w:r>
      <w:r>
        <w:rPr/>
        <w:t>the</w:t>
      </w:r>
      <w:r>
        <w:rPr>
          <w:spacing w:val="-7"/>
        </w:rPr>
        <w:t> </w:t>
      </w:r>
      <w:r>
        <w:rPr/>
        <w:t>EPV</w:t>
      </w:r>
      <w:r>
        <w:rPr>
          <w:spacing w:val="-7"/>
        </w:rPr>
        <w:t> </w:t>
      </w:r>
      <w:r>
        <w:rPr/>
        <w:t>model</w:t>
      </w:r>
      <w:r>
        <w:rPr>
          <w:spacing w:val="-7"/>
        </w:rPr>
        <w:t> </w:t>
      </w:r>
      <w:r>
        <w:rPr/>
        <w:t>proposed</w:t>
      </w:r>
      <w:r>
        <w:rPr>
          <w:spacing w:val="-7"/>
        </w:rPr>
        <w:t> </w:t>
      </w:r>
      <w:r>
        <w:rPr/>
        <w:t>in</w:t>
      </w:r>
      <w:r>
        <w:rPr>
          <w:spacing w:val="-7"/>
        </w:rPr>
        <w:t> </w:t>
      </w:r>
      <w:r>
        <w:rPr/>
        <w:t>Chapter</w:t>
      </w:r>
      <w:r>
        <w:rPr>
          <w:color w:val="0000FF"/>
        </w:rPr>
        <w:t>6</w:t>
      </w:r>
      <w:r>
        <w:rPr/>
        <w:t>un- less</w:t>
      </w:r>
      <w:r>
        <w:rPr>
          <w:spacing w:val="-3"/>
        </w:rPr>
        <w:t> </w:t>
      </w:r>
      <w:r>
        <w:rPr/>
        <w:t>the</w:t>
      </w:r>
      <w:r>
        <w:rPr>
          <w:spacing w:val="-4"/>
        </w:rPr>
        <w:t> </w:t>
      </w:r>
      <w:r>
        <w:rPr/>
        <w:t>definition</w:t>
      </w:r>
      <w:r>
        <w:rPr>
          <w:spacing w:val="-3"/>
        </w:rPr>
        <w:t> </w:t>
      </w:r>
      <w:r>
        <w:rPr/>
        <w:t>of</w:t>
      </w:r>
      <w:r>
        <w:rPr>
          <w:spacing w:val="-3"/>
        </w:rPr>
        <w:t> </w:t>
      </w:r>
      <w:r>
        <w:rPr/>
        <w:t>possessions</w:t>
      </w:r>
      <w:r>
        <w:rPr>
          <w:spacing w:val="-4"/>
        </w:rPr>
        <w:t> </w:t>
      </w:r>
      <w:r>
        <w:rPr/>
        <w:t>is</w:t>
      </w:r>
      <w:r>
        <w:rPr>
          <w:spacing w:val="-3"/>
        </w:rPr>
        <w:t> </w:t>
      </w:r>
      <w:r>
        <w:rPr/>
        <w:t>changed</w:t>
      </w:r>
      <w:r>
        <w:rPr>
          <w:spacing w:val="-3"/>
        </w:rPr>
        <w:t> </w:t>
      </w:r>
      <w:r>
        <w:rPr/>
        <w:t>to</w:t>
      </w:r>
      <w:r>
        <w:rPr>
          <w:spacing w:val="-4"/>
        </w:rPr>
        <w:t> </w:t>
      </w:r>
      <w:r>
        <w:rPr/>
        <w:t>incorporate</w:t>
      </w:r>
      <w:r>
        <w:rPr>
          <w:spacing w:val="-3"/>
        </w:rPr>
        <w:t> </w:t>
      </w:r>
      <w:r>
        <w:rPr/>
        <w:t>the</w:t>
      </w:r>
      <w:r>
        <w:rPr>
          <w:spacing w:val="-3"/>
        </w:rPr>
        <w:t> </w:t>
      </w:r>
      <w:r>
        <w:rPr/>
        <w:t>next</w:t>
      </w:r>
      <w:r>
        <w:rPr>
          <w:spacing w:val="-4"/>
        </w:rPr>
        <w:t> </w:t>
      </w:r>
      <w:r>
        <w:rPr/>
        <w:t>scoring</w:t>
      </w:r>
      <w:r>
        <w:rPr>
          <w:spacing w:val="-3"/>
        </w:rPr>
        <w:t> </w:t>
      </w:r>
      <w:r>
        <w:rPr/>
        <w:t>action, rather than the end of the current attacking possession.</w:t>
      </w:r>
      <w:r>
        <w:rPr>
          <w:spacing w:val="22"/>
        </w:rPr>
        <w:t> </w:t>
      </w:r>
      <w:r>
        <w:rPr/>
        <w:t>In this situation, the model could estimate the probabilities of no score (i.e.</w:t>
      </w:r>
      <w:r>
        <w:rPr>
          <w:spacing w:val="40"/>
        </w:rPr>
        <w:t> </w:t>
      </w:r>
      <w:r>
        <w:rPr/>
        <w:t>half/full time), possession team</w:t>
      </w:r>
      <w:r>
        <w:rPr>
          <w:spacing w:val="40"/>
        </w:rPr>
        <w:t> </w:t>
      </w:r>
      <w:r>
        <w:rPr/>
        <w:t>score or opponent score in a single model.</w:t>
      </w:r>
      <w:r>
        <w:rPr>
          <w:spacing w:val="40"/>
        </w:rPr>
        <w:t> </w:t>
      </w:r>
      <w:r>
        <w:rPr/>
        <w:t>Adapting this model to football may</w:t>
      </w:r>
      <w:r>
        <w:rPr>
          <w:spacing w:val="80"/>
        </w:rPr>
        <w:t> </w:t>
      </w:r>
      <w:r>
        <w:rPr/>
        <w:t>provide a better solution to the current method of estimating probabilities for both teams, which uses individual models for scoring/conceding goals (</w:t>
      </w:r>
      <w:hyperlink w:history="true" w:anchor="_bookmark239">
        <w:r>
          <w:rPr>
            <w:color w:val="FF0000"/>
          </w:rPr>
          <w:t>Decroos et al.</w:t>
        </w:r>
      </w:hyperlink>
      <w:r>
        <w:rPr/>
        <w:t>, </w:t>
      </w:r>
      <w:hyperlink w:history="true" w:anchor="_bookmark239">
        <w:r>
          <w:rPr>
            <w:color w:val="FF0000"/>
          </w:rPr>
          <w:t>2019</w:t>
        </w:r>
      </w:hyperlink>
      <w:r>
        <w:rPr/>
        <w:t>).</w:t>
      </w:r>
      <w:r>
        <w:rPr>
          <w:spacing w:val="40"/>
        </w:rPr>
        <w:t> </w:t>
      </w:r>
      <w:r>
        <w:rPr/>
        <w:t>An alternative method through which the model could be applied to other sports</w:t>
      </w:r>
      <w:r>
        <w:rPr>
          <w:spacing w:val="-4"/>
        </w:rPr>
        <w:t> </w:t>
      </w:r>
      <w:r>
        <w:rPr/>
        <w:t>is</w:t>
      </w:r>
      <w:r>
        <w:rPr>
          <w:spacing w:val="-4"/>
        </w:rPr>
        <w:t> </w:t>
      </w:r>
      <w:r>
        <w:rPr/>
        <w:t>to</w:t>
      </w:r>
      <w:r>
        <w:rPr>
          <w:spacing w:val="-4"/>
        </w:rPr>
        <w:t> </w:t>
      </w:r>
      <w:r>
        <w:rPr/>
        <w:t>gain</w:t>
      </w:r>
      <w:r>
        <w:rPr>
          <w:spacing w:val="-4"/>
        </w:rPr>
        <w:t> </w:t>
      </w:r>
      <w:r>
        <w:rPr/>
        <w:t>tactical</w:t>
      </w:r>
      <w:r>
        <w:rPr>
          <w:spacing w:val="-4"/>
        </w:rPr>
        <w:t> </w:t>
      </w:r>
      <w:r>
        <w:rPr/>
        <w:t>insights</w:t>
      </w:r>
      <w:r>
        <w:rPr>
          <w:spacing w:val="-4"/>
        </w:rPr>
        <w:t> </w:t>
      </w:r>
      <w:r>
        <w:rPr/>
        <w:t>regarding</w:t>
      </w:r>
      <w:r>
        <w:rPr>
          <w:spacing w:val="-4"/>
        </w:rPr>
        <w:t> </w:t>
      </w:r>
      <w:r>
        <w:rPr/>
        <w:t>specific</w:t>
      </w:r>
      <w:r>
        <w:rPr>
          <w:spacing w:val="-4"/>
        </w:rPr>
        <w:t> </w:t>
      </w:r>
      <w:r>
        <w:rPr/>
        <w:t>possession</w:t>
      </w:r>
      <w:r>
        <w:rPr>
          <w:spacing w:val="-4"/>
        </w:rPr>
        <w:t> </w:t>
      </w:r>
      <w:r>
        <w:rPr/>
        <w:t>ending</w:t>
      </w:r>
      <w:r>
        <w:rPr>
          <w:spacing w:val="-4"/>
        </w:rPr>
        <w:t> </w:t>
      </w:r>
      <w:r>
        <w:rPr/>
        <w:t>actions</w:t>
      </w:r>
      <w:r>
        <w:rPr>
          <w:spacing w:val="-4"/>
        </w:rPr>
        <w:t> </w:t>
      </w:r>
      <w:r>
        <w:rPr/>
        <w:t>from any</w:t>
      </w:r>
      <w:r>
        <w:rPr>
          <w:spacing w:val="-3"/>
        </w:rPr>
        <w:t> </w:t>
      </w:r>
      <w:r>
        <w:rPr/>
        <w:t>given</w:t>
      </w:r>
      <w:r>
        <w:rPr>
          <w:spacing w:val="-2"/>
        </w:rPr>
        <w:t> </w:t>
      </w:r>
      <w:r>
        <w:rPr/>
        <w:t>location</w:t>
      </w:r>
      <w:r>
        <w:rPr>
          <w:spacing w:val="-3"/>
        </w:rPr>
        <w:t> </w:t>
      </w:r>
      <w:r>
        <w:rPr/>
        <w:t>on</w:t>
      </w:r>
      <w:r>
        <w:rPr>
          <w:spacing w:val="-3"/>
        </w:rPr>
        <w:t> </w:t>
      </w:r>
      <w:r>
        <w:rPr/>
        <w:t>the</w:t>
      </w:r>
      <w:r>
        <w:rPr>
          <w:spacing w:val="-2"/>
        </w:rPr>
        <w:t> </w:t>
      </w:r>
      <w:r>
        <w:rPr/>
        <w:t>pitch. For</w:t>
      </w:r>
      <w:r>
        <w:rPr>
          <w:spacing w:val="-3"/>
        </w:rPr>
        <w:t> </w:t>
      </w:r>
      <w:r>
        <w:rPr/>
        <w:t>example,</w:t>
      </w:r>
      <w:r>
        <w:rPr>
          <w:spacing w:val="-2"/>
        </w:rPr>
        <w:t> </w:t>
      </w:r>
      <w:r>
        <w:rPr/>
        <w:t>in</w:t>
      </w:r>
      <w:r>
        <w:rPr>
          <w:spacing w:val="-3"/>
        </w:rPr>
        <w:t> </w:t>
      </w:r>
      <w:r>
        <w:rPr/>
        <w:t>its</w:t>
      </w:r>
      <w:r>
        <w:rPr>
          <w:spacing w:val="-3"/>
        </w:rPr>
        <w:t> </w:t>
      </w:r>
      <w:r>
        <w:rPr/>
        <w:t>current</w:t>
      </w:r>
      <w:r>
        <w:rPr>
          <w:spacing w:val="-2"/>
        </w:rPr>
        <w:t> </w:t>
      </w:r>
      <w:r>
        <w:rPr/>
        <w:t>format</w:t>
      </w:r>
      <w:r>
        <w:rPr>
          <w:spacing w:val="-3"/>
        </w:rPr>
        <w:t> </w:t>
      </w:r>
      <w:r>
        <w:rPr/>
        <w:t>it</w:t>
      </w:r>
      <w:r>
        <w:rPr>
          <w:spacing w:val="-3"/>
        </w:rPr>
        <w:t> </w:t>
      </w:r>
      <w:r>
        <w:rPr/>
        <w:t>could</w:t>
      </w:r>
      <w:r>
        <w:rPr>
          <w:spacing w:val="-2"/>
        </w:rPr>
        <w:t> </w:t>
      </w:r>
      <w:r>
        <w:rPr/>
        <w:t>be</w:t>
      </w:r>
      <w:r>
        <w:rPr>
          <w:spacing w:val="-3"/>
        </w:rPr>
        <w:t> </w:t>
      </w:r>
      <w:r>
        <w:rPr/>
        <w:t>used to evaluate</w:t>
      </w:r>
      <w:r>
        <w:rPr>
          <w:spacing w:val="-1"/>
        </w:rPr>
        <w:t> </w:t>
      </w:r>
      <w:r>
        <w:rPr/>
        <w:t>the probability</w:t>
      </w:r>
      <w:r>
        <w:rPr>
          <w:spacing w:val="1"/>
        </w:rPr>
        <w:t> </w:t>
      </w:r>
      <w:r>
        <w:rPr/>
        <w:t>of a team</w:t>
      </w:r>
      <w:r>
        <w:rPr>
          <w:spacing w:val="1"/>
        </w:rPr>
        <w:t> </w:t>
      </w:r>
      <w:r>
        <w:rPr/>
        <w:t>shooting,</w:t>
      </w:r>
      <w:r>
        <w:rPr>
          <w:spacing w:val="1"/>
        </w:rPr>
        <w:t> </w:t>
      </w:r>
      <w:r>
        <w:rPr/>
        <w:t>crossing or being</w:t>
      </w:r>
      <w:r>
        <w:rPr>
          <w:spacing w:val="1"/>
        </w:rPr>
        <w:t> </w:t>
      </w:r>
      <w:r>
        <w:rPr/>
        <w:t>tackled</w:t>
      </w:r>
      <w:r>
        <w:rPr>
          <w:spacing w:val="-1"/>
        </w:rPr>
        <w:t> </w:t>
      </w:r>
      <w:r>
        <w:rPr/>
        <w:t>at the</w:t>
      </w:r>
      <w:r>
        <w:rPr>
          <w:spacing w:val="1"/>
        </w:rPr>
        <w:t> </w:t>
      </w:r>
      <w:r>
        <w:rPr>
          <w:spacing w:val="-5"/>
        </w:rPr>
        <w:t>end</w:t>
      </w:r>
    </w:p>
    <w:p>
      <w:pPr>
        <w:spacing w:after="0" w:line="312" w:lineRule="auto"/>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1195" w:right="389"/>
        <w:jc w:val="both"/>
      </w:pPr>
      <w:r>
        <w:rPr/>
        <w:t>of</w:t>
      </w:r>
      <w:r>
        <w:rPr>
          <w:spacing w:val="-15"/>
        </w:rPr>
        <w:t> </w:t>
      </w:r>
      <w:r>
        <w:rPr/>
        <w:t>its</w:t>
      </w:r>
      <w:r>
        <w:rPr>
          <w:spacing w:val="-15"/>
        </w:rPr>
        <w:t> </w:t>
      </w:r>
      <w:r>
        <w:rPr/>
        <w:t>possession</w:t>
      </w:r>
      <w:r>
        <w:rPr>
          <w:spacing w:val="-15"/>
        </w:rPr>
        <w:t> </w:t>
      </w:r>
      <w:r>
        <w:rPr/>
        <w:t>conditional</w:t>
      </w:r>
      <w:r>
        <w:rPr>
          <w:spacing w:val="-15"/>
        </w:rPr>
        <w:t> </w:t>
      </w:r>
      <w:r>
        <w:rPr/>
        <w:t>on</w:t>
      </w:r>
      <w:r>
        <w:rPr>
          <w:spacing w:val="-15"/>
        </w:rPr>
        <w:t> </w:t>
      </w:r>
      <w:r>
        <w:rPr/>
        <w:t>its</w:t>
      </w:r>
      <w:r>
        <w:rPr>
          <w:spacing w:val="-15"/>
        </w:rPr>
        <w:t> </w:t>
      </w:r>
      <w:r>
        <w:rPr/>
        <w:t>location</w:t>
      </w:r>
      <w:r>
        <w:rPr>
          <w:spacing w:val="-15"/>
        </w:rPr>
        <w:t> </w:t>
      </w:r>
      <w:r>
        <w:rPr/>
        <w:t>on</w:t>
      </w:r>
      <w:r>
        <w:rPr>
          <w:spacing w:val="-15"/>
        </w:rPr>
        <w:t> </w:t>
      </w:r>
      <w:r>
        <w:rPr/>
        <w:t>the</w:t>
      </w:r>
      <w:r>
        <w:rPr>
          <w:spacing w:val="-15"/>
        </w:rPr>
        <w:t> </w:t>
      </w:r>
      <w:r>
        <w:rPr/>
        <w:t>pitch.</w:t>
      </w:r>
      <w:r>
        <w:rPr>
          <w:spacing w:val="4"/>
        </w:rPr>
        <w:t> </w:t>
      </w:r>
      <w:r>
        <w:rPr/>
        <w:t>Similarly,</w:t>
      </w:r>
      <w:r>
        <w:rPr>
          <w:spacing w:val="-13"/>
        </w:rPr>
        <w:t> </w:t>
      </w:r>
      <w:r>
        <w:rPr/>
        <w:t>in</w:t>
      </w:r>
      <w:r>
        <w:rPr>
          <w:spacing w:val="-15"/>
        </w:rPr>
        <w:t> </w:t>
      </w:r>
      <w:r>
        <w:rPr/>
        <w:t>tennis</w:t>
      </w:r>
      <w:r>
        <w:rPr>
          <w:spacing w:val="-15"/>
        </w:rPr>
        <w:t> </w:t>
      </w:r>
      <w:r>
        <w:rPr/>
        <w:t>it</w:t>
      </w:r>
      <w:r>
        <w:rPr>
          <w:spacing w:val="-15"/>
        </w:rPr>
        <w:t> </w:t>
      </w:r>
      <w:r>
        <w:rPr/>
        <w:t>could be used to evaluate the probability of players selecting a specific type of shot (e.g. top</w:t>
      </w:r>
      <w:r>
        <w:rPr>
          <w:spacing w:val="-10"/>
        </w:rPr>
        <w:t> </w:t>
      </w:r>
      <w:r>
        <w:rPr/>
        <w:t>spin</w:t>
      </w:r>
      <w:r>
        <w:rPr>
          <w:spacing w:val="-10"/>
        </w:rPr>
        <w:t> </w:t>
      </w:r>
      <w:r>
        <w:rPr/>
        <w:t>forehand,</w:t>
      </w:r>
      <w:r>
        <w:rPr>
          <w:spacing w:val="-9"/>
        </w:rPr>
        <w:t> </w:t>
      </w:r>
      <w:r>
        <w:rPr/>
        <w:t>top</w:t>
      </w:r>
      <w:r>
        <w:rPr>
          <w:spacing w:val="-10"/>
        </w:rPr>
        <w:t> </w:t>
      </w:r>
      <w:r>
        <w:rPr/>
        <w:t>spin</w:t>
      </w:r>
      <w:r>
        <w:rPr>
          <w:spacing w:val="-10"/>
        </w:rPr>
        <w:t> </w:t>
      </w:r>
      <w:r>
        <w:rPr/>
        <w:t>backhand,</w:t>
      </w:r>
      <w:r>
        <w:rPr>
          <w:spacing w:val="-9"/>
        </w:rPr>
        <w:t> </w:t>
      </w:r>
      <w:r>
        <w:rPr/>
        <w:t>forehand</w:t>
      </w:r>
      <w:r>
        <w:rPr>
          <w:spacing w:val="-10"/>
        </w:rPr>
        <w:t> </w:t>
      </w:r>
      <w:r>
        <w:rPr/>
        <w:t>drop</w:t>
      </w:r>
      <w:r>
        <w:rPr>
          <w:spacing w:val="-10"/>
        </w:rPr>
        <w:t> </w:t>
      </w:r>
      <w:r>
        <w:rPr/>
        <w:t>shot,</w:t>
      </w:r>
      <w:r>
        <w:rPr>
          <w:spacing w:val="-9"/>
        </w:rPr>
        <w:t> </w:t>
      </w:r>
      <w:r>
        <w:rPr/>
        <w:t>forehand</w:t>
      </w:r>
      <w:r>
        <w:rPr>
          <w:spacing w:val="-10"/>
        </w:rPr>
        <w:t> </w:t>
      </w:r>
      <w:r>
        <w:rPr/>
        <w:t>slice,</w:t>
      </w:r>
      <w:r>
        <w:rPr>
          <w:spacing w:val="-9"/>
        </w:rPr>
        <w:t> </w:t>
      </w:r>
      <w:r>
        <w:rPr/>
        <w:t>backhand drop shot, backhand slice etc.) conditional on their position on the court.</w:t>
      </w:r>
    </w:p>
    <w:p>
      <w:pPr>
        <w:spacing w:after="0" w:line="312" w:lineRule="auto"/>
        <w:jc w:val="both"/>
        <w:sectPr>
          <w:pgSz w:w="11910" w:h="16840"/>
          <w:pgMar w:header="1961" w:footer="1428" w:top="2280" w:bottom="1620" w:left="1680" w:right="7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2"/>
        </w:rPr>
      </w:pPr>
    </w:p>
    <w:p>
      <w:pPr>
        <w:pStyle w:val="Heading1"/>
        <w:spacing w:before="100"/>
      </w:pPr>
      <w:r>
        <w:rPr>
          <w:spacing w:val="-2"/>
        </w:rPr>
        <w:t>References</w:t>
      </w:r>
    </w:p>
    <w:p>
      <w:pPr>
        <w:pStyle w:val="BodyText"/>
        <w:rPr>
          <w:sz w:val="60"/>
        </w:rPr>
      </w:pPr>
    </w:p>
    <w:p>
      <w:pPr>
        <w:pStyle w:val="BodyText"/>
        <w:spacing w:before="1"/>
        <w:rPr>
          <w:sz w:val="81"/>
        </w:rPr>
      </w:pPr>
    </w:p>
    <w:p>
      <w:pPr>
        <w:pStyle w:val="BodyText"/>
        <w:spacing w:line="312" w:lineRule="auto" w:before="1"/>
        <w:ind w:left="844" w:right="389" w:hanging="235"/>
        <w:jc w:val="both"/>
      </w:pPr>
      <w:bookmarkStart w:name="_bookmark224" w:id="388"/>
      <w:bookmarkEnd w:id="388"/>
      <w:r>
        <w:rPr/>
      </w:r>
      <w:r>
        <w:rPr/>
        <w:t>Barker, M. (2016).</w:t>
      </w:r>
      <w:r>
        <w:rPr>
          <w:spacing w:val="37"/>
        </w:rPr>
        <w:t> </w:t>
      </w:r>
      <w:r>
        <w:rPr/>
        <w:t>The nba is wisely opening up its sportvu data to fans and media out- </w:t>
      </w:r>
      <w:r>
        <w:rPr>
          <w:spacing w:val="-2"/>
        </w:rPr>
        <w:t>lets.</w:t>
      </w:r>
    </w:p>
    <w:p>
      <w:pPr>
        <w:spacing w:line="312" w:lineRule="auto" w:before="0"/>
        <w:ind w:left="844" w:right="389" w:firstLine="0"/>
        <w:jc w:val="left"/>
        <w:rPr>
          <w:i/>
          <w:sz w:val="24"/>
        </w:rPr>
      </w:pPr>
      <w:r>
        <w:rPr>
          <w:b/>
          <w:spacing w:val="-2"/>
          <w:sz w:val="24"/>
        </w:rPr>
        <w:t>URL:</w:t>
      </w:r>
      <w:r>
        <w:rPr>
          <w:b/>
          <w:spacing w:val="40"/>
          <w:sz w:val="24"/>
        </w:rPr>
        <w:t> </w:t>
      </w:r>
      <w:hyperlink r:id="rId152">
        <w:r>
          <w:rPr>
            <w:i/>
            <w:spacing w:val="-2"/>
            <w:sz w:val="24"/>
          </w:rPr>
          <w:t>https://www.sporttec</w:t>
        </w:r>
      </w:hyperlink>
      <w:r>
        <w:rPr>
          <w:i/>
          <w:spacing w:val="-2"/>
          <w:sz w:val="24"/>
        </w:rPr>
        <w:t>hie</w:t>
      </w:r>
      <w:hyperlink r:id="rId152">
        <w:r>
          <w:rPr>
            <w:i/>
            <w:spacing w:val="-2"/>
            <w:sz w:val="24"/>
          </w:rPr>
          <w:t>.com/the-nba-is-wisely-opening-up-its-sportvu-data-to-</w:t>
        </w:r>
      </w:hyperlink>
      <w:r>
        <w:rPr>
          <w:i/>
          <w:spacing w:val="-2"/>
          <w:sz w:val="24"/>
        </w:rPr>
        <w:t> fans-and-media-outlets/</w:t>
      </w:r>
    </w:p>
    <w:p>
      <w:pPr>
        <w:spacing w:line="312" w:lineRule="auto" w:before="198"/>
        <w:ind w:left="844" w:right="389" w:hanging="235"/>
        <w:jc w:val="both"/>
        <w:rPr>
          <w:sz w:val="24"/>
        </w:rPr>
      </w:pPr>
      <w:bookmarkStart w:name="_bookmark225" w:id="389"/>
      <w:bookmarkEnd w:id="389"/>
      <w:r>
        <w:rPr/>
      </w:r>
      <w:r>
        <w:rPr>
          <w:sz w:val="24"/>
        </w:rPr>
        <w:t>Bellman,</w:t>
      </w:r>
      <w:r>
        <w:rPr>
          <w:spacing w:val="-15"/>
          <w:sz w:val="24"/>
        </w:rPr>
        <w:t> </w:t>
      </w:r>
      <w:r>
        <w:rPr>
          <w:sz w:val="24"/>
        </w:rPr>
        <w:t>R.</w:t>
      </w:r>
      <w:r>
        <w:rPr>
          <w:spacing w:val="-15"/>
          <w:sz w:val="24"/>
        </w:rPr>
        <w:t> </w:t>
      </w:r>
      <w:r>
        <w:rPr>
          <w:sz w:val="24"/>
        </w:rPr>
        <w:t>(1954).</w:t>
      </w:r>
      <w:r>
        <w:rPr>
          <w:spacing w:val="-15"/>
          <w:sz w:val="24"/>
        </w:rPr>
        <w:t> </w:t>
      </w:r>
      <w:r>
        <w:rPr>
          <w:sz w:val="24"/>
        </w:rPr>
        <w:t>The</w:t>
      </w:r>
      <w:r>
        <w:rPr>
          <w:spacing w:val="-15"/>
          <w:sz w:val="24"/>
        </w:rPr>
        <w:t> </w:t>
      </w:r>
      <w:r>
        <w:rPr>
          <w:sz w:val="24"/>
        </w:rPr>
        <w:t>theory</w:t>
      </w:r>
      <w:r>
        <w:rPr>
          <w:spacing w:val="-15"/>
          <w:sz w:val="24"/>
        </w:rPr>
        <w:t> </w:t>
      </w:r>
      <w:r>
        <w:rPr>
          <w:sz w:val="24"/>
        </w:rPr>
        <w:t>of</w:t>
      </w:r>
      <w:r>
        <w:rPr>
          <w:spacing w:val="-15"/>
          <w:sz w:val="24"/>
        </w:rPr>
        <w:t> </w:t>
      </w:r>
      <w:r>
        <w:rPr>
          <w:sz w:val="24"/>
        </w:rPr>
        <w:t>dynamic</w:t>
      </w:r>
      <w:r>
        <w:rPr>
          <w:spacing w:val="-15"/>
          <w:sz w:val="24"/>
        </w:rPr>
        <w:t> </w:t>
      </w:r>
      <w:r>
        <w:rPr>
          <w:sz w:val="24"/>
        </w:rPr>
        <w:t>programming,</w:t>
      </w:r>
      <w:r>
        <w:rPr>
          <w:spacing w:val="-15"/>
          <w:sz w:val="24"/>
        </w:rPr>
        <w:t> </w:t>
      </w:r>
      <w:r>
        <w:rPr>
          <w:i/>
          <w:sz w:val="24"/>
        </w:rPr>
        <w:t>Bulletin</w:t>
      </w:r>
      <w:r>
        <w:rPr>
          <w:i/>
          <w:spacing w:val="-15"/>
          <w:sz w:val="24"/>
        </w:rPr>
        <w:t> </w:t>
      </w:r>
      <w:r>
        <w:rPr>
          <w:i/>
          <w:sz w:val="24"/>
        </w:rPr>
        <w:t>of</w:t>
      </w:r>
      <w:r>
        <w:rPr>
          <w:i/>
          <w:spacing w:val="-15"/>
          <w:sz w:val="24"/>
        </w:rPr>
        <w:t> </w:t>
      </w:r>
      <w:r>
        <w:rPr>
          <w:i/>
          <w:sz w:val="24"/>
        </w:rPr>
        <w:t>the</w:t>
      </w:r>
      <w:r>
        <w:rPr>
          <w:i/>
          <w:spacing w:val="-15"/>
          <w:sz w:val="24"/>
        </w:rPr>
        <w:t> </w:t>
      </w:r>
      <w:r>
        <w:rPr>
          <w:i/>
          <w:sz w:val="24"/>
        </w:rPr>
        <w:t>American</w:t>
      </w:r>
      <w:r>
        <w:rPr>
          <w:i/>
          <w:spacing w:val="-15"/>
          <w:sz w:val="24"/>
        </w:rPr>
        <w:t> </w:t>
      </w:r>
      <w:r>
        <w:rPr>
          <w:i/>
          <w:sz w:val="24"/>
        </w:rPr>
        <w:t>Math-</w:t>
      </w:r>
      <w:r>
        <w:rPr>
          <w:i/>
          <w:sz w:val="24"/>
        </w:rPr>
        <w:t> ematical Society </w:t>
      </w:r>
      <w:r>
        <w:rPr>
          <w:b/>
          <w:sz w:val="24"/>
        </w:rPr>
        <w:t>60</w:t>
      </w:r>
      <w:r>
        <w:rPr>
          <w:sz w:val="24"/>
        </w:rPr>
        <w:t>(6): 503–516.</w:t>
      </w:r>
    </w:p>
    <w:p>
      <w:pPr>
        <w:pStyle w:val="BodyText"/>
        <w:spacing w:before="199"/>
        <w:ind w:left="610"/>
      </w:pPr>
      <w:bookmarkStart w:name="_bookmark226" w:id="390"/>
      <w:bookmarkEnd w:id="390"/>
      <w:r>
        <w:rPr/>
      </w:r>
      <w:r>
        <w:rPr/>
        <w:t>Bishop,</w:t>
      </w:r>
      <w:r>
        <w:rPr>
          <w:spacing w:val="-7"/>
        </w:rPr>
        <w:t> </w:t>
      </w:r>
      <w:r>
        <w:rPr/>
        <w:t>C.</w:t>
      </w:r>
      <w:r>
        <w:rPr>
          <w:spacing w:val="-6"/>
        </w:rPr>
        <w:t> </w:t>
      </w:r>
      <w:r>
        <w:rPr/>
        <w:t>M.</w:t>
      </w:r>
      <w:r>
        <w:rPr>
          <w:spacing w:val="-6"/>
        </w:rPr>
        <w:t> </w:t>
      </w:r>
      <w:r>
        <w:rPr/>
        <w:t>(1994).</w:t>
      </w:r>
      <w:r>
        <w:rPr>
          <w:spacing w:val="18"/>
        </w:rPr>
        <w:t> </w:t>
      </w:r>
      <w:r>
        <w:rPr/>
        <w:t>Mixture</w:t>
      </w:r>
      <w:r>
        <w:rPr>
          <w:spacing w:val="-6"/>
        </w:rPr>
        <w:t> </w:t>
      </w:r>
      <w:r>
        <w:rPr/>
        <w:t>density</w:t>
      </w:r>
      <w:r>
        <w:rPr>
          <w:spacing w:val="-6"/>
        </w:rPr>
        <w:t> </w:t>
      </w:r>
      <w:r>
        <w:rPr>
          <w:spacing w:val="-2"/>
        </w:rPr>
        <w:t>networks.</w:t>
      </w:r>
    </w:p>
    <w:p>
      <w:pPr>
        <w:pStyle w:val="BodyText"/>
        <w:spacing w:before="5"/>
      </w:pPr>
    </w:p>
    <w:p>
      <w:pPr>
        <w:pStyle w:val="BodyText"/>
        <w:spacing w:line="312" w:lineRule="auto" w:before="1"/>
        <w:ind w:left="844" w:right="389" w:hanging="235"/>
        <w:jc w:val="both"/>
      </w:pPr>
      <w:bookmarkStart w:name="_bookmark227" w:id="391"/>
      <w:bookmarkEnd w:id="391"/>
      <w:r>
        <w:rPr/>
      </w:r>
      <w:r>
        <w:rPr/>
        <w:t>Bowman, A. W. (1984).</w:t>
      </w:r>
      <w:r>
        <w:rPr>
          <w:spacing w:val="40"/>
        </w:rPr>
        <w:t> </w:t>
      </w:r>
      <w:r>
        <w:rPr/>
        <w:t>An alternative method of cross-validation for the smoothing of density estimates, </w:t>
      </w:r>
      <w:r>
        <w:rPr>
          <w:i/>
        </w:rPr>
        <w:t>Biometrika </w:t>
      </w:r>
      <w:r>
        <w:rPr>
          <w:b/>
        </w:rPr>
        <w:t>71</w:t>
      </w:r>
      <w:r>
        <w:rPr/>
        <w:t>(2): 353–360.</w:t>
      </w:r>
    </w:p>
    <w:p>
      <w:pPr>
        <w:spacing w:line="312" w:lineRule="auto" w:before="198"/>
        <w:ind w:left="844" w:right="389" w:hanging="235"/>
        <w:jc w:val="both"/>
        <w:rPr>
          <w:sz w:val="24"/>
        </w:rPr>
      </w:pPr>
      <w:bookmarkStart w:name="_bookmark228" w:id="392"/>
      <w:bookmarkEnd w:id="392"/>
      <w:r>
        <w:rPr/>
      </w:r>
      <w:r>
        <w:rPr>
          <w:sz w:val="24"/>
        </w:rPr>
        <w:t>Bransen,</w:t>
      </w:r>
      <w:r>
        <w:rPr>
          <w:spacing w:val="-6"/>
          <w:sz w:val="24"/>
        </w:rPr>
        <w:t> </w:t>
      </w:r>
      <w:r>
        <w:rPr>
          <w:sz w:val="24"/>
        </w:rPr>
        <w:t>L.</w:t>
      </w:r>
      <w:r>
        <w:rPr>
          <w:spacing w:val="-6"/>
          <w:sz w:val="24"/>
        </w:rPr>
        <w:t> </w:t>
      </w:r>
      <w:r>
        <w:rPr>
          <w:sz w:val="24"/>
        </w:rPr>
        <w:t>and</w:t>
      </w:r>
      <w:r>
        <w:rPr>
          <w:spacing w:val="-7"/>
          <w:sz w:val="24"/>
        </w:rPr>
        <w:t> </w:t>
      </w:r>
      <w:r>
        <w:rPr>
          <w:sz w:val="24"/>
        </w:rPr>
        <w:t>Haaren,</w:t>
      </w:r>
      <w:r>
        <w:rPr>
          <w:spacing w:val="-6"/>
          <w:sz w:val="24"/>
        </w:rPr>
        <w:t> </w:t>
      </w:r>
      <w:r>
        <w:rPr>
          <w:sz w:val="24"/>
        </w:rPr>
        <w:t>J.</w:t>
      </w:r>
      <w:r>
        <w:rPr>
          <w:spacing w:val="-7"/>
          <w:sz w:val="24"/>
        </w:rPr>
        <w:t> </w:t>
      </w:r>
      <w:r>
        <w:rPr>
          <w:sz w:val="24"/>
        </w:rPr>
        <w:t>V.</w:t>
      </w:r>
      <w:r>
        <w:rPr>
          <w:spacing w:val="-7"/>
          <w:sz w:val="24"/>
        </w:rPr>
        <w:t> </w:t>
      </w:r>
      <w:r>
        <w:rPr>
          <w:sz w:val="24"/>
        </w:rPr>
        <w:t>(2020).</w:t>
      </w:r>
      <w:r>
        <w:rPr>
          <w:spacing w:val="20"/>
          <w:sz w:val="24"/>
        </w:rPr>
        <w:t> </w:t>
      </w:r>
      <w:r>
        <w:rPr>
          <w:sz w:val="24"/>
        </w:rPr>
        <w:t>Player</w:t>
      </w:r>
      <w:r>
        <w:rPr>
          <w:spacing w:val="-7"/>
          <w:sz w:val="24"/>
        </w:rPr>
        <w:t> </w:t>
      </w:r>
      <w:r>
        <w:rPr>
          <w:sz w:val="24"/>
        </w:rPr>
        <w:t>chemistry: Striving</w:t>
      </w:r>
      <w:r>
        <w:rPr>
          <w:spacing w:val="-7"/>
          <w:sz w:val="24"/>
        </w:rPr>
        <w:t> </w:t>
      </w:r>
      <w:r>
        <w:rPr>
          <w:sz w:val="24"/>
        </w:rPr>
        <w:t>for</w:t>
      </w:r>
      <w:r>
        <w:rPr>
          <w:spacing w:val="-6"/>
          <w:sz w:val="24"/>
        </w:rPr>
        <w:t> </w:t>
      </w:r>
      <w:r>
        <w:rPr>
          <w:sz w:val="24"/>
        </w:rPr>
        <w:t>a</w:t>
      </w:r>
      <w:r>
        <w:rPr>
          <w:spacing w:val="-7"/>
          <w:sz w:val="24"/>
        </w:rPr>
        <w:t> </w:t>
      </w:r>
      <w:r>
        <w:rPr>
          <w:sz w:val="24"/>
        </w:rPr>
        <w:t>perfectly</w:t>
      </w:r>
      <w:r>
        <w:rPr>
          <w:spacing w:val="-7"/>
          <w:sz w:val="24"/>
        </w:rPr>
        <w:t> </w:t>
      </w:r>
      <w:r>
        <w:rPr>
          <w:sz w:val="24"/>
        </w:rPr>
        <w:t>balanced soccer team, </w:t>
      </w:r>
      <w:r>
        <w:rPr>
          <w:i/>
          <w:sz w:val="24"/>
        </w:rPr>
        <w:t>Proceedings of the MIT Sloan Sports Analytics Conference 2020</w:t>
      </w:r>
      <w:r>
        <w:rPr>
          <w:sz w:val="24"/>
        </w:rPr>
        <w:t>.</w:t>
      </w:r>
    </w:p>
    <w:p>
      <w:pPr>
        <w:spacing w:line="312" w:lineRule="auto" w:before="199"/>
        <w:ind w:left="844" w:right="389" w:hanging="235"/>
        <w:jc w:val="both"/>
        <w:rPr>
          <w:sz w:val="24"/>
        </w:rPr>
      </w:pPr>
      <w:bookmarkStart w:name="_bookmark229" w:id="393"/>
      <w:bookmarkEnd w:id="393"/>
      <w:r>
        <w:rPr/>
      </w:r>
      <w:r>
        <w:rPr>
          <w:sz w:val="24"/>
        </w:rPr>
        <w:t>Bransen, L., Robberechts, P., Haaren, J.</w:t>
      </w:r>
      <w:r>
        <w:rPr>
          <w:spacing w:val="-1"/>
          <w:sz w:val="24"/>
        </w:rPr>
        <w:t> </w:t>
      </w:r>
      <w:r>
        <w:rPr>
          <w:sz w:val="24"/>
        </w:rPr>
        <w:t>V.</w:t>
      </w:r>
      <w:r>
        <w:rPr>
          <w:spacing w:val="-1"/>
          <w:sz w:val="24"/>
        </w:rPr>
        <w:t> </w:t>
      </w:r>
      <w:r>
        <w:rPr>
          <w:sz w:val="24"/>
        </w:rPr>
        <w:t>and</w:t>
      </w:r>
      <w:r>
        <w:rPr>
          <w:spacing w:val="-1"/>
          <w:sz w:val="24"/>
        </w:rPr>
        <w:t> </w:t>
      </w:r>
      <w:r>
        <w:rPr>
          <w:sz w:val="24"/>
        </w:rPr>
        <w:t>Davis, J.</w:t>
      </w:r>
      <w:r>
        <w:rPr>
          <w:spacing w:val="-1"/>
          <w:sz w:val="24"/>
        </w:rPr>
        <w:t> </w:t>
      </w:r>
      <w:r>
        <w:rPr>
          <w:sz w:val="24"/>
        </w:rPr>
        <w:t>(2019).</w:t>
      </w:r>
      <w:r>
        <w:rPr>
          <w:spacing w:val="36"/>
          <w:sz w:val="24"/>
        </w:rPr>
        <w:t> </w:t>
      </w:r>
      <w:r>
        <w:rPr>
          <w:sz w:val="24"/>
        </w:rPr>
        <w:t>Choke</w:t>
      </w:r>
      <w:r>
        <w:rPr>
          <w:spacing w:val="-1"/>
          <w:sz w:val="24"/>
        </w:rPr>
        <w:t> </w:t>
      </w:r>
      <w:r>
        <w:rPr>
          <w:sz w:val="24"/>
        </w:rPr>
        <w:t>or</w:t>
      </w:r>
      <w:r>
        <w:rPr>
          <w:spacing w:val="-1"/>
          <w:sz w:val="24"/>
        </w:rPr>
        <w:t> </w:t>
      </w:r>
      <w:r>
        <w:rPr>
          <w:sz w:val="24"/>
        </w:rPr>
        <w:t>shine? quan- tifying soccer players’ abilities to perform under mental pressure, </w:t>
      </w:r>
      <w:r>
        <w:rPr>
          <w:i/>
          <w:sz w:val="24"/>
        </w:rPr>
        <w:t>Proceedings of </w:t>
      </w:r>
      <w:r>
        <w:rPr>
          <w:i/>
          <w:sz w:val="24"/>
        </w:rPr>
        <w:t>the</w:t>
      </w:r>
      <w:r>
        <w:rPr>
          <w:i/>
          <w:sz w:val="24"/>
        </w:rPr>
        <w:t> MIT Sloan Sports Analytics Conference 2019</w:t>
      </w:r>
      <w:r>
        <w:rPr>
          <w:sz w:val="24"/>
        </w:rPr>
        <w:t>.</w:t>
      </w:r>
    </w:p>
    <w:p>
      <w:pPr>
        <w:pStyle w:val="BodyText"/>
        <w:spacing w:before="199"/>
        <w:ind w:left="610"/>
      </w:pPr>
      <w:bookmarkStart w:name="_bookmark230" w:id="394"/>
      <w:bookmarkEnd w:id="394"/>
      <w:r>
        <w:rPr/>
      </w:r>
      <w:r>
        <w:rPr/>
        <w:t>Bukiet,</w:t>
      </w:r>
      <w:r>
        <w:rPr>
          <w:spacing w:val="5"/>
        </w:rPr>
        <w:t> </w:t>
      </w:r>
      <w:r>
        <w:rPr/>
        <w:t>B.,</w:t>
      </w:r>
      <w:r>
        <w:rPr>
          <w:spacing w:val="6"/>
        </w:rPr>
        <w:t> </w:t>
      </w:r>
      <w:r>
        <w:rPr/>
        <w:t>Harold,</w:t>
      </w:r>
      <w:r>
        <w:rPr>
          <w:spacing w:val="5"/>
        </w:rPr>
        <w:t> </w:t>
      </w:r>
      <w:r>
        <w:rPr/>
        <w:t>E.</w:t>
      </w:r>
      <w:r>
        <w:rPr>
          <w:spacing w:val="3"/>
        </w:rPr>
        <w:t> </w:t>
      </w:r>
      <w:r>
        <w:rPr/>
        <w:t>and</w:t>
      </w:r>
      <w:r>
        <w:rPr>
          <w:spacing w:val="3"/>
        </w:rPr>
        <w:t> </w:t>
      </w:r>
      <w:r>
        <w:rPr/>
        <w:t>Palacios,</w:t>
      </w:r>
      <w:r>
        <w:rPr>
          <w:spacing w:val="6"/>
        </w:rPr>
        <w:t> </w:t>
      </w:r>
      <w:r>
        <w:rPr/>
        <w:t>J.</w:t>
      </w:r>
      <w:r>
        <w:rPr>
          <w:spacing w:val="4"/>
        </w:rPr>
        <w:t> </w:t>
      </w:r>
      <w:r>
        <w:rPr/>
        <w:t>L.</w:t>
      </w:r>
      <w:r>
        <w:rPr>
          <w:spacing w:val="2"/>
        </w:rPr>
        <w:t> </w:t>
      </w:r>
      <w:r>
        <w:rPr/>
        <w:t>(1997).</w:t>
      </w:r>
      <w:r>
        <w:rPr>
          <w:spacing w:val="46"/>
        </w:rPr>
        <w:t> </w:t>
      </w:r>
      <w:r>
        <w:rPr/>
        <w:t>A</w:t>
      </w:r>
      <w:r>
        <w:rPr>
          <w:spacing w:val="4"/>
        </w:rPr>
        <w:t> </w:t>
      </w:r>
      <w:r>
        <w:rPr/>
        <w:t>markov</w:t>
      </w:r>
      <w:r>
        <w:rPr>
          <w:spacing w:val="3"/>
        </w:rPr>
        <w:t> </w:t>
      </w:r>
      <w:r>
        <w:rPr/>
        <w:t>chain</w:t>
      </w:r>
      <w:r>
        <w:rPr>
          <w:spacing w:val="3"/>
        </w:rPr>
        <w:t> </w:t>
      </w:r>
      <w:r>
        <w:rPr/>
        <w:t>approach</w:t>
      </w:r>
      <w:r>
        <w:rPr>
          <w:spacing w:val="4"/>
        </w:rPr>
        <w:t> </w:t>
      </w:r>
      <w:r>
        <w:rPr/>
        <w:t>to</w:t>
      </w:r>
      <w:r>
        <w:rPr>
          <w:spacing w:val="4"/>
        </w:rPr>
        <w:t> </w:t>
      </w:r>
      <w:r>
        <w:rPr>
          <w:spacing w:val="-2"/>
        </w:rPr>
        <w:t>baseball,</w:t>
      </w:r>
    </w:p>
    <w:p>
      <w:pPr>
        <w:spacing w:before="82"/>
        <w:ind w:left="844" w:right="0" w:firstLine="0"/>
        <w:jc w:val="left"/>
        <w:rPr>
          <w:sz w:val="24"/>
        </w:rPr>
      </w:pPr>
      <w:r>
        <w:rPr>
          <w:i/>
          <w:spacing w:val="-2"/>
          <w:sz w:val="24"/>
        </w:rPr>
        <w:t>Operations Research</w:t>
      </w:r>
      <w:r>
        <w:rPr>
          <w:i/>
          <w:spacing w:val="-1"/>
          <w:sz w:val="24"/>
        </w:rPr>
        <w:t> </w:t>
      </w:r>
      <w:r>
        <w:rPr>
          <w:b/>
          <w:spacing w:val="-2"/>
          <w:sz w:val="24"/>
        </w:rPr>
        <w:t>45</w:t>
      </w:r>
      <w:r>
        <w:rPr>
          <w:spacing w:val="-2"/>
          <w:sz w:val="24"/>
        </w:rPr>
        <w:t>(1).</w:t>
      </w:r>
    </w:p>
    <w:p>
      <w:pPr>
        <w:pStyle w:val="BodyText"/>
        <w:spacing w:before="6"/>
      </w:pPr>
    </w:p>
    <w:p>
      <w:pPr>
        <w:pStyle w:val="BodyText"/>
        <w:spacing w:line="312" w:lineRule="auto"/>
        <w:ind w:left="844" w:right="389" w:hanging="235"/>
        <w:jc w:val="both"/>
        <w:rPr>
          <w:i/>
        </w:rPr>
      </w:pPr>
      <w:bookmarkStart w:name="_bookmark231" w:id="395"/>
      <w:bookmarkEnd w:id="395"/>
      <w:r>
        <w:rPr/>
      </w:r>
      <w:r>
        <w:rPr/>
        <w:t>Cervone, D., D’Amour, A., Bornn, L. and Goldsberry, K. (2016).</w:t>
      </w:r>
      <w:r>
        <w:rPr>
          <w:spacing w:val="40"/>
        </w:rPr>
        <w:t> </w:t>
      </w:r>
      <w:r>
        <w:rPr/>
        <w:t>A multiresolution stochastic</w:t>
      </w:r>
      <w:r>
        <w:rPr>
          <w:spacing w:val="-11"/>
        </w:rPr>
        <w:t> </w:t>
      </w:r>
      <w:r>
        <w:rPr/>
        <w:t>process</w:t>
      </w:r>
      <w:r>
        <w:rPr>
          <w:spacing w:val="-10"/>
        </w:rPr>
        <w:t> </w:t>
      </w:r>
      <w:r>
        <w:rPr/>
        <w:t>model</w:t>
      </w:r>
      <w:r>
        <w:rPr>
          <w:spacing w:val="-11"/>
        </w:rPr>
        <w:t> </w:t>
      </w:r>
      <w:r>
        <w:rPr/>
        <w:t>for</w:t>
      </w:r>
      <w:r>
        <w:rPr>
          <w:spacing w:val="-10"/>
        </w:rPr>
        <w:t> </w:t>
      </w:r>
      <w:r>
        <w:rPr/>
        <w:t>predicting</w:t>
      </w:r>
      <w:r>
        <w:rPr>
          <w:spacing w:val="-10"/>
        </w:rPr>
        <w:t> </w:t>
      </w:r>
      <w:r>
        <w:rPr/>
        <w:t>basketball</w:t>
      </w:r>
      <w:r>
        <w:rPr>
          <w:spacing w:val="-11"/>
        </w:rPr>
        <w:t> </w:t>
      </w:r>
      <w:r>
        <w:rPr/>
        <w:t>possession</w:t>
      </w:r>
      <w:r>
        <w:rPr>
          <w:spacing w:val="-11"/>
        </w:rPr>
        <w:t> </w:t>
      </w:r>
      <w:r>
        <w:rPr/>
        <w:t>outcomes,</w:t>
      </w:r>
      <w:r>
        <w:rPr>
          <w:spacing w:val="-10"/>
        </w:rPr>
        <w:t> </w:t>
      </w:r>
      <w:r>
        <w:rPr>
          <w:i/>
        </w:rPr>
        <w:t>Journal</w:t>
      </w:r>
      <w:r>
        <w:rPr>
          <w:i/>
          <w:spacing w:val="-10"/>
        </w:rPr>
        <w:t> </w:t>
      </w:r>
      <w:r>
        <w:rPr>
          <w:i/>
        </w:rPr>
        <w:t>of</w:t>
      </w:r>
      <w:r>
        <w:rPr>
          <w:i/>
          <w:spacing w:val="-11"/>
        </w:rPr>
        <w:t> </w:t>
      </w:r>
      <w:r>
        <w:rPr>
          <w:i/>
          <w:spacing w:val="-5"/>
        </w:rPr>
        <w:t>the</w:t>
      </w:r>
    </w:p>
    <w:p>
      <w:pPr>
        <w:spacing w:after="0" w:line="312" w:lineRule="auto"/>
        <w:jc w:val="both"/>
        <w:sectPr>
          <w:headerReference w:type="default" r:id="rId150"/>
          <w:footerReference w:type="default" r:id="rId151"/>
          <w:pgSz w:w="11910" w:h="16840"/>
          <w:pgMar w:header="0" w:footer="1428" w:top="1920" w:bottom="1620" w:left="1680" w:right="720"/>
        </w:sectPr>
      </w:pPr>
    </w:p>
    <w:p>
      <w:pPr>
        <w:pStyle w:val="BodyText"/>
        <w:rPr>
          <w:i/>
          <w:sz w:val="20"/>
        </w:rPr>
      </w:pPr>
    </w:p>
    <w:p>
      <w:pPr>
        <w:pStyle w:val="BodyText"/>
        <w:spacing w:before="6"/>
        <w:rPr>
          <w:i/>
          <w:sz w:val="20"/>
        </w:rPr>
      </w:pPr>
    </w:p>
    <w:p>
      <w:pPr>
        <w:spacing w:before="106"/>
        <w:ind w:left="844" w:right="0" w:firstLine="0"/>
        <w:jc w:val="left"/>
        <w:rPr>
          <w:sz w:val="24"/>
        </w:rPr>
      </w:pPr>
      <w:r>
        <w:rPr>
          <w:i/>
          <w:sz w:val="24"/>
        </w:rPr>
        <w:t>American</w:t>
      </w:r>
      <w:r>
        <w:rPr>
          <w:i/>
          <w:spacing w:val="-11"/>
          <w:sz w:val="24"/>
        </w:rPr>
        <w:t> </w:t>
      </w:r>
      <w:r>
        <w:rPr>
          <w:i/>
          <w:sz w:val="24"/>
        </w:rPr>
        <w:t>Statistical</w:t>
      </w:r>
      <w:r>
        <w:rPr>
          <w:i/>
          <w:spacing w:val="-11"/>
          <w:sz w:val="24"/>
        </w:rPr>
        <w:t> </w:t>
      </w:r>
      <w:r>
        <w:rPr>
          <w:i/>
          <w:sz w:val="24"/>
        </w:rPr>
        <w:t>Association</w:t>
      </w:r>
      <w:r>
        <w:rPr>
          <w:i/>
          <w:spacing w:val="-11"/>
          <w:sz w:val="24"/>
        </w:rPr>
        <w:t> </w:t>
      </w:r>
      <w:r>
        <w:rPr>
          <w:b/>
          <w:sz w:val="24"/>
        </w:rPr>
        <w:t>111</w:t>
      </w:r>
      <w:r>
        <w:rPr>
          <w:sz w:val="24"/>
        </w:rPr>
        <w:t>(514):</w:t>
      </w:r>
      <w:r>
        <w:rPr>
          <w:spacing w:val="-11"/>
          <w:sz w:val="24"/>
        </w:rPr>
        <w:t> </w:t>
      </w:r>
      <w:r>
        <w:rPr>
          <w:spacing w:val="-2"/>
          <w:sz w:val="24"/>
        </w:rPr>
        <w:t>585–599.</w:t>
      </w:r>
    </w:p>
    <w:p>
      <w:pPr>
        <w:spacing w:before="82"/>
        <w:ind w:left="844" w:right="0" w:firstLine="0"/>
        <w:jc w:val="left"/>
        <w:rPr>
          <w:i/>
          <w:sz w:val="24"/>
        </w:rPr>
      </w:pPr>
      <w:r>
        <w:rPr>
          <w:b/>
          <w:sz w:val="24"/>
        </w:rPr>
        <w:t>URL:</w:t>
      </w:r>
      <w:r>
        <w:rPr>
          <w:b/>
          <w:spacing w:val="-7"/>
          <w:sz w:val="24"/>
        </w:rPr>
        <w:t> </w:t>
      </w:r>
      <w:hyperlink r:id="rId155">
        <w:r>
          <w:rPr>
            <w:i/>
            <w:spacing w:val="-2"/>
            <w:sz w:val="24"/>
          </w:rPr>
          <w:t>http://dx.doi.org/10.1080/01621459.2016.1141685</w:t>
        </w:r>
      </w:hyperlink>
    </w:p>
    <w:p>
      <w:pPr>
        <w:pStyle w:val="BodyText"/>
        <w:spacing w:before="6"/>
        <w:rPr>
          <w:i/>
        </w:rPr>
      </w:pPr>
    </w:p>
    <w:p>
      <w:pPr>
        <w:pStyle w:val="BodyText"/>
        <w:spacing w:line="312" w:lineRule="auto"/>
        <w:ind w:left="844" w:right="389" w:hanging="235"/>
        <w:jc w:val="both"/>
      </w:pPr>
      <w:bookmarkStart w:name="_bookmark232" w:id="396"/>
      <w:bookmarkEnd w:id="396"/>
      <w:r>
        <w:rPr/>
      </w:r>
      <w:r>
        <w:rPr/>
        <w:t>Chan, T. C. Y., Fernandes, C. and Puterman, M. L. (2021).</w:t>
      </w:r>
      <w:r>
        <w:rPr>
          <w:spacing w:val="40"/>
        </w:rPr>
        <w:t> </w:t>
      </w:r>
      <w:r>
        <w:rPr/>
        <w:t>Points gained in football: Using markov process-based value functions to assess team performance, </w:t>
      </w:r>
      <w:r>
        <w:rPr>
          <w:i/>
        </w:rPr>
        <w:t>Operations</w:t>
      </w:r>
      <w:r>
        <w:rPr>
          <w:i/>
        </w:rPr>
        <w:t> Research </w:t>
      </w:r>
      <w:r>
        <w:rPr>
          <w:b/>
        </w:rPr>
        <w:t>69</w:t>
      </w:r>
      <w:r>
        <w:rPr/>
        <w:t>(3): 877–894.</w:t>
      </w:r>
    </w:p>
    <w:p>
      <w:pPr>
        <w:pStyle w:val="BodyText"/>
        <w:spacing w:before="199"/>
        <w:ind w:left="610"/>
      </w:pPr>
      <w:bookmarkStart w:name="_bookmark233" w:id="397"/>
      <w:bookmarkEnd w:id="397"/>
      <w:r>
        <w:rPr/>
      </w:r>
      <w:r>
        <w:rPr/>
        <w:t>Chen,</w:t>
      </w:r>
      <w:r>
        <w:rPr>
          <w:spacing w:val="2"/>
        </w:rPr>
        <w:t> </w:t>
      </w:r>
      <w:r>
        <w:rPr/>
        <w:t>S. (2015).</w:t>
      </w:r>
      <w:r>
        <w:rPr>
          <w:spacing w:val="40"/>
        </w:rPr>
        <w:t> </w:t>
      </w:r>
      <w:r>
        <w:rPr/>
        <w:t>Optimal</w:t>
      </w:r>
      <w:r>
        <w:rPr>
          <w:spacing w:val="1"/>
        </w:rPr>
        <w:t> </w:t>
      </w:r>
      <w:r>
        <w:rPr/>
        <w:t>bandwidth selection for</w:t>
      </w:r>
      <w:r>
        <w:rPr>
          <w:spacing w:val="1"/>
        </w:rPr>
        <w:t> </w:t>
      </w:r>
      <w:r>
        <w:rPr/>
        <w:t>kernel density</w:t>
      </w:r>
      <w:r>
        <w:rPr>
          <w:spacing w:val="1"/>
        </w:rPr>
        <w:t> </w:t>
      </w:r>
      <w:r>
        <w:rPr/>
        <w:t>functionals </w:t>
      </w:r>
      <w:r>
        <w:rPr>
          <w:spacing w:val="-2"/>
        </w:rPr>
        <w:t>estimation,</w:t>
      </w:r>
    </w:p>
    <w:p>
      <w:pPr>
        <w:spacing w:before="82"/>
        <w:ind w:left="844" w:right="0" w:firstLine="0"/>
        <w:jc w:val="left"/>
        <w:rPr>
          <w:sz w:val="24"/>
        </w:rPr>
      </w:pPr>
      <w:r>
        <w:rPr>
          <w:i/>
          <w:sz w:val="24"/>
        </w:rPr>
        <w:t>Journal</w:t>
      </w:r>
      <w:r>
        <w:rPr>
          <w:i/>
          <w:spacing w:val="-11"/>
          <w:sz w:val="24"/>
        </w:rPr>
        <w:t> </w:t>
      </w:r>
      <w:r>
        <w:rPr>
          <w:i/>
          <w:sz w:val="24"/>
        </w:rPr>
        <w:t>of</w:t>
      </w:r>
      <w:r>
        <w:rPr>
          <w:i/>
          <w:spacing w:val="-11"/>
          <w:sz w:val="24"/>
        </w:rPr>
        <w:t> </w:t>
      </w:r>
      <w:r>
        <w:rPr>
          <w:i/>
          <w:sz w:val="24"/>
        </w:rPr>
        <w:t>Probability</w:t>
      </w:r>
      <w:r>
        <w:rPr>
          <w:i/>
          <w:spacing w:val="-11"/>
          <w:sz w:val="24"/>
        </w:rPr>
        <w:t> </w:t>
      </w:r>
      <w:r>
        <w:rPr>
          <w:i/>
          <w:sz w:val="24"/>
        </w:rPr>
        <w:t>and</w:t>
      </w:r>
      <w:r>
        <w:rPr>
          <w:i/>
          <w:spacing w:val="-11"/>
          <w:sz w:val="24"/>
        </w:rPr>
        <w:t> </w:t>
      </w:r>
      <w:r>
        <w:rPr>
          <w:i/>
          <w:sz w:val="24"/>
        </w:rPr>
        <w:t>Statistics</w:t>
      </w:r>
      <w:r>
        <w:rPr>
          <w:i/>
          <w:spacing w:val="-11"/>
          <w:sz w:val="24"/>
        </w:rPr>
        <w:t> </w:t>
      </w:r>
      <w:r>
        <w:rPr>
          <w:spacing w:val="-10"/>
          <w:sz w:val="24"/>
        </w:rPr>
        <w:t>.</w:t>
      </w:r>
    </w:p>
    <w:p>
      <w:pPr>
        <w:pStyle w:val="BodyText"/>
        <w:spacing w:before="6"/>
      </w:pPr>
    </w:p>
    <w:p>
      <w:pPr>
        <w:spacing w:line="312" w:lineRule="auto" w:before="0"/>
        <w:ind w:left="844" w:right="389" w:hanging="235"/>
        <w:jc w:val="both"/>
        <w:rPr>
          <w:sz w:val="24"/>
        </w:rPr>
      </w:pPr>
      <w:bookmarkStart w:name="_bookmark234" w:id="398"/>
      <w:bookmarkEnd w:id="398"/>
      <w:r>
        <w:rPr/>
      </w:r>
      <w:r>
        <w:rPr>
          <w:sz w:val="24"/>
        </w:rPr>
        <w:t>Chiu, T., Fang, D., Chen, J., Wang, Y. and Jeris, C. (2001).</w:t>
      </w:r>
      <w:r>
        <w:rPr>
          <w:spacing w:val="40"/>
          <w:sz w:val="24"/>
        </w:rPr>
        <w:t> </w:t>
      </w:r>
      <w:r>
        <w:rPr>
          <w:sz w:val="24"/>
        </w:rPr>
        <w:t>A robust and scalable clus- tering</w:t>
      </w:r>
      <w:r>
        <w:rPr>
          <w:spacing w:val="-11"/>
          <w:sz w:val="24"/>
        </w:rPr>
        <w:t> </w:t>
      </w:r>
      <w:r>
        <w:rPr>
          <w:sz w:val="24"/>
        </w:rPr>
        <w:t>algorithm</w:t>
      </w:r>
      <w:r>
        <w:rPr>
          <w:spacing w:val="-11"/>
          <w:sz w:val="24"/>
        </w:rPr>
        <w:t> </w:t>
      </w:r>
      <w:r>
        <w:rPr>
          <w:sz w:val="24"/>
        </w:rPr>
        <w:t>for</w:t>
      </w:r>
      <w:r>
        <w:rPr>
          <w:spacing w:val="-11"/>
          <w:sz w:val="24"/>
        </w:rPr>
        <w:t> </w:t>
      </w:r>
      <w:r>
        <w:rPr>
          <w:sz w:val="24"/>
        </w:rPr>
        <w:t>mixed</w:t>
      </w:r>
      <w:r>
        <w:rPr>
          <w:spacing w:val="-11"/>
          <w:sz w:val="24"/>
        </w:rPr>
        <w:t> </w:t>
      </w:r>
      <w:r>
        <w:rPr>
          <w:sz w:val="24"/>
        </w:rPr>
        <w:t>type</w:t>
      </w:r>
      <w:r>
        <w:rPr>
          <w:spacing w:val="-11"/>
          <w:sz w:val="24"/>
        </w:rPr>
        <w:t> </w:t>
      </w:r>
      <w:r>
        <w:rPr>
          <w:sz w:val="24"/>
        </w:rPr>
        <w:t>attributes</w:t>
      </w:r>
      <w:r>
        <w:rPr>
          <w:spacing w:val="-11"/>
          <w:sz w:val="24"/>
        </w:rPr>
        <w:t> </w:t>
      </w:r>
      <w:r>
        <w:rPr>
          <w:sz w:val="24"/>
        </w:rPr>
        <w:t>in</w:t>
      </w:r>
      <w:r>
        <w:rPr>
          <w:spacing w:val="-11"/>
          <w:sz w:val="24"/>
        </w:rPr>
        <w:t> </w:t>
      </w:r>
      <w:r>
        <w:rPr>
          <w:sz w:val="24"/>
        </w:rPr>
        <w:t>large</w:t>
      </w:r>
      <w:r>
        <w:rPr>
          <w:spacing w:val="-11"/>
          <w:sz w:val="24"/>
        </w:rPr>
        <w:t> </w:t>
      </w:r>
      <w:r>
        <w:rPr>
          <w:sz w:val="24"/>
        </w:rPr>
        <w:t>database</w:t>
      </w:r>
      <w:r>
        <w:rPr>
          <w:spacing w:val="-11"/>
          <w:sz w:val="24"/>
        </w:rPr>
        <w:t> </w:t>
      </w:r>
      <w:r>
        <w:rPr>
          <w:sz w:val="24"/>
        </w:rPr>
        <w:t>environments,</w:t>
      </w:r>
      <w:r>
        <w:rPr>
          <w:spacing w:val="-11"/>
          <w:sz w:val="24"/>
        </w:rPr>
        <w:t> </w:t>
      </w:r>
      <w:r>
        <w:rPr>
          <w:i/>
          <w:sz w:val="24"/>
        </w:rPr>
        <w:t>Proceedings</w:t>
      </w:r>
      <w:r>
        <w:rPr>
          <w:i/>
          <w:sz w:val="24"/>
        </w:rPr>
        <w:t> of</w:t>
      </w:r>
      <w:r>
        <w:rPr>
          <w:i/>
          <w:spacing w:val="-1"/>
          <w:sz w:val="24"/>
        </w:rPr>
        <w:t> </w:t>
      </w:r>
      <w:r>
        <w:rPr>
          <w:i/>
          <w:sz w:val="24"/>
        </w:rPr>
        <w:t>the</w:t>
      </w:r>
      <w:r>
        <w:rPr>
          <w:i/>
          <w:spacing w:val="-1"/>
          <w:sz w:val="24"/>
        </w:rPr>
        <w:t> </w:t>
      </w:r>
      <w:r>
        <w:rPr>
          <w:i/>
          <w:sz w:val="24"/>
        </w:rPr>
        <w:t>Seventh</w:t>
      </w:r>
      <w:r>
        <w:rPr>
          <w:i/>
          <w:spacing w:val="-1"/>
          <w:sz w:val="24"/>
        </w:rPr>
        <w:t> </w:t>
      </w:r>
      <w:r>
        <w:rPr>
          <w:i/>
          <w:sz w:val="24"/>
        </w:rPr>
        <w:t>ACM</w:t>
      </w:r>
      <w:r>
        <w:rPr>
          <w:i/>
          <w:spacing w:val="-1"/>
          <w:sz w:val="24"/>
        </w:rPr>
        <w:t> </w:t>
      </w:r>
      <w:r>
        <w:rPr>
          <w:i/>
          <w:sz w:val="24"/>
        </w:rPr>
        <w:t>SIGKDD</w:t>
      </w:r>
      <w:r>
        <w:rPr>
          <w:i/>
          <w:spacing w:val="-1"/>
          <w:sz w:val="24"/>
        </w:rPr>
        <w:t> </w:t>
      </w:r>
      <w:r>
        <w:rPr>
          <w:i/>
          <w:sz w:val="24"/>
        </w:rPr>
        <w:t>International</w:t>
      </w:r>
      <w:r>
        <w:rPr>
          <w:i/>
          <w:spacing w:val="-1"/>
          <w:sz w:val="24"/>
        </w:rPr>
        <w:t> </w:t>
      </w:r>
      <w:r>
        <w:rPr>
          <w:i/>
          <w:sz w:val="24"/>
        </w:rPr>
        <w:t>Conference</w:t>
      </w:r>
      <w:r>
        <w:rPr>
          <w:i/>
          <w:spacing w:val="-1"/>
          <w:sz w:val="24"/>
        </w:rPr>
        <w:t> </w:t>
      </w:r>
      <w:r>
        <w:rPr>
          <w:i/>
          <w:sz w:val="24"/>
        </w:rPr>
        <w:t>on</w:t>
      </w:r>
      <w:r>
        <w:rPr>
          <w:i/>
          <w:spacing w:val="-1"/>
          <w:sz w:val="24"/>
        </w:rPr>
        <w:t> </w:t>
      </w:r>
      <w:r>
        <w:rPr>
          <w:i/>
          <w:sz w:val="24"/>
        </w:rPr>
        <w:t>Knowledge</w:t>
      </w:r>
      <w:r>
        <w:rPr>
          <w:i/>
          <w:spacing w:val="-1"/>
          <w:sz w:val="24"/>
        </w:rPr>
        <w:t> </w:t>
      </w:r>
      <w:r>
        <w:rPr>
          <w:i/>
          <w:sz w:val="24"/>
        </w:rPr>
        <w:t>Discovery</w:t>
      </w:r>
      <w:r>
        <w:rPr>
          <w:i/>
          <w:spacing w:val="-1"/>
          <w:sz w:val="24"/>
        </w:rPr>
        <w:t> </w:t>
      </w:r>
      <w:r>
        <w:rPr>
          <w:i/>
          <w:sz w:val="24"/>
        </w:rPr>
        <w:t>and Data Mining - KDD ’01</w:t>
      </w:r>
      <w:r>
        <w:rPr>
          <w:sz w:val="24"/>
        </w:rPr>
        <w:t>, ACM Press, New York, NY, pp. 263–268.</w:t>
      </w:r>
    </w:p>
    <w:p>
      <w:pPr>
        <w:pStyle w:val="BodyText"/>
        <w:spacing w:before="199"/>
        <w:ind w:left="610"/>
      </w:pPr>
      <w:bookmarkStart w:name="_bookmark235" w:id="399"/>
      <w:bookmarkEnd w:id="399"/>
      <w:r>
        <w:rPr/>
      </w:r>
      <w:r>
        <w:rPr/>
        <w:t>Cohen,</w:t>
      </w:r>
      <w:r>
        <w:rPr>
          <w:spacing w:val="-10"/>
        </w:rPr>
        <w:t> </w:t>
      </w:r>
      <w:r>
        <w:rPr/>
        <w:t>B.</w:t>
      </w:r>
      <w:r>
        <w:rPr>
          <w:spacing w:val="-9"/>
        </w:rPr>
        <w:t> </w:t>
      </w:r>
      <w:r>
        <w:rPr/>
        <w:t>(2016).</w:t>
      </w:r>
      <w:r>
        <w:rPr>
          <w:spacing w:val="13"/>
        </w:rPr>
        <w:t> </w:t>
      </w:r>
      <w:r>
        <w:rPr/>
        <w:t>The</w:t>
      </w:r>
      <w:r>
        <w:rPr>
          <w:spacing w:val="-9"/>
        </w:rPr>
        <w:t> </w:t>
      </w:r>
      <w:r>
        <w:rPr/>
        <w:t>golden</w:t>
      </w:r>
      <w:r>
        <w:rPr>
          <w:spacing w:val="-10"/>
        </w:rPr>
        <w:t> </w:t>
      </w:r>
      <w:r>
        <w:rPr/>
        <w:t>state</w:t>
      </w:r>
      <w:r>
        <w:rPr>
          <w:spacing w:val="-9"/>
        </w:rPr>
        <w:t> </w:t>
      </w:r>
      <w:r>
        <w:rPr/>
        <w:t>warriors</w:t>
      </w:r>
      <w:r>
        <w:rPr>
          <w:spacing w:val="-10"/>
        </w:rPr>
        <w:t> </w:t>
      </w:r>
      <w:r>
        <w:rPr/>
        <w:t>have</w:t>
      </w:r>
      <w:r>
        <w:rPr>
          <w:spacing w:val="-9"/>
        </w:rPr>
        <w:t> </w:t>
      </w:r>
      <w:r>
        <w:rPr/>
        <w:t>revolutionized</w:t>
      </w:r>
      <w:r>
        <w:rPr>
          <w:spacing w:val="-10"/>
        </w:rPr>
        <w:t> </w:t>
      </w:r>
      <w:r>
        <w:rPr>
          <w:spacing w:val="-2"/>
        </w:rPr>
        <w:t>basketball.</w:t>
      </w:r>
    </w:p>
    <w:p>
      <w:pPr>
        <w:tabs>
          <w:tab w:pos="1774" w:val="left" w:leader="none"/>
        </w:tabs>
        <w:spacing w:line="312" w:lineRule="auto" w:before="82"/>
        <w:ind w:left="844" w:right="389" w:firstLine="0"/>
        <w:jc w:val="left"/>
        <w:rPr>
          <w:i/>
          <w:sz w:val="24"/>
        </w:rPr>
      </w:pPr>
      <w:r>
        <w:rPr>
          <w:b/>
          <w:spacing w:val="-4"/>
          <w:sz w:val="24"/>
        </w:rPr>
        <w:t>URL:</w:t>
      </w:r>
      <w:r>
        <w:rPr>
          <w:b/>
          <w:sz w:val="24"/>
        </w:rPr>
        <w:tab/>
      </w:r>
      <w:hyperlink r:id="rId156">
        <w:r>
          <w:rPr>
            <w:i/>
            <w:spacing w:val="-2"/>
            <w:sz w:val="24"/>
          </w:rPr>
          <w:t>https://www.wsj.com/articles/the-golden-state-warrior</w:t>
        </w:r>
      </w:hyperlink>
      <w:r>
        <w:rPr>
          <w:i/>
          <w:spacing w:val="-2"/>
          <w:sz w:val="24"/>
        </w:rPr>
        <w:t>s-have-r</w:t>
      </w:r>
      <w:hyperlink r:id="rId156">
        <w:r>
          <w:rPr>
            <w:i/>
            <w:spacing w:val="-2"/>
            <w:sz w:val="24"/>
          </w:rPr>
          <w:t>evolutionized-</w:t>
        </w:r>
      </w:hyperlink>
      <w:r>
        <w:rPr>
          <w:i/>
          <w:spacing w:val="-2"/>
          <w:sz w:val="24"/>
        </w:rPr>
        <w:t> basketball-1459956975</w:t>
      </w:r>
    </w:p>
    <w:p>
      <w:pPr>
        <w:spacing w:line="312" w:lineRule="auto" w:before="199"/>
        <w:ind w:left="844" w:right="389" w:hanging="235"/>
        <w:jc w:val="both"/>
        <w:rPr>
          <w:sz w:val="24"/>
        </w:rPr>
      </w:pPr>
      <w:bookmarkStart w:name="_bookmark236" w:id="400"/>
      <w:bookmarkEnd w:id="400"/>
      <w:r>
        <w:rPr/>
      </w:r>
      <w:r>
        <w:rPr>
          <w:sz w:val="24"/>
        </w:rPr>
        <w:t>Croft,</w:t>
      </w:r>
      <w:r>
        <w:rPr>
          <w:spacing w:val="22"/>
          <w:sz w:val="24"/>
        </w:rPr>
        <w:t> </w:t>
      </w:r>
      <w:r>
        <w:rPr>
          <w:sz w:val="24"/>
        </w:rPr>
        <w:t>H.,</w:t>
      </w:r>
      <w:r>
        <w:rPr>
          <w:spacing w:val="23"/>
          <w:sz w:val="24"/>
        </w:rPr>
        <w:t> </w:t>
      </w:r>
      <w:r>
        <w:rPr>
          <w:sz w:val="24"/>
        </w:rPr>
        <w:t>Wilcox,</w:t>
      </w:r>
      <w:r>
        <w:rPr>
          <w:spacing w:val="22"/>
          <w:sz w:val="24"/>
        </w:rPr>
        <w:t> </w:t>
      </w:r>
      <w:r>
        <w:rPr>
          <w:sz w:val="24"/>
        </w:rPr>
        <w:t>B. and Lamb,</w:t>
      </w:r>
      <w:r>
        <w:rPr>
          <w:spacing w:val="22"/>
          <w:sz w:val="24"/>
        </w:rPr>
        <w:t> </w:t>
      </w:r>
      <w:r>
        <w:rPr>
          <w:sz w:val="24"/>
        </w:rPr>
        <w:t>P. (2017).</w:t>
      </w:r>
      <w:r>
        <w:rPr>
          <w:spacing w:val="80"/>
          <w:sz w:val="24"/>
        </w:rPr>
        <w:t> </w:t>
      </w:r>
      <w:r>
        <w:rPr>
          <w:sz w:val="24"/>
        </w:rPr>
        <w:t>Using performance data to identify styles of play in netball:</w:t>
      </w:r>
      <w:r>
        <w:rPr>
          <w:spacing w:val="39"/>
          <w:sz w:val="24"/>
        </w:rPr>
        <w:t> </w:t>
      </w:r>
      <w:r>
        <w:rPr>
          <w:sz w:val="24"/>
        </w:rPr>
        <w:t>An alternative to performance indicators, </w:t>
      </w:r>
      <w:r>
        <w:rPr>
          <w:i/>
          <w:sz w:val="24"/>
        </w:rPr>
        <w:t>International Journal </w:t>
      </w:r>
      <w:r>
        <w:rPr>
          <w:i/>
          <w:sz w:val="24"/>
        </w:rPr>
        <w:t>of</w:t>
      </w:r>
      <w:r>
        <w:rPr>
          <w:i/>
          <w:sz w:val="24"/>
        </w:rPr>
        <w:t> Performance Analysis in Sport </w:t>
      </w:r>
      <w:r>
        <w:rPr>
          <w:b/>
          <w:sz w:val="24"/>
        </w:rPr>
        <w:t>17</w:t>
      </w:r>
      <w:r>
        <w:rPr>
          <w:sz w:val="24"/>
        </w:rPr>
        <w:t>(6): 1034–1043.</w:t>
      </w:r>
    </w:p>
    <w:p>
      <w:pPr>
        <w:pStyle w:val="BodyText"/>
        <w:spacing w:line="312" w:lineRule="auto" w:before="198"/>
        <w:ind w:left="844" w:right="389" w:hanging="235"/>
        <w:jc w:val="both"/>
      </w:pPr>
      <w:bookmarkStart w:name="_bookmark237" w:id="401"/>
      <w:bookmarkEnd w:id="401"/>
      <w:r>
        <w:rPr/>
      </w:r>
      <w:r>
        <w:rPr/>
        <w:t>Dalton-Barron, N., Palczewska, A., Weaving, D., Rennie, G., Beggs, C., Roe, G. </w:t>
      </w:r>
      <w:r>
        <w:rPr/>
        <w:t>and Jones, B. (2022).</w:t>
      </w:r>
      <w:r>
        <w:rPr>
          <w:spacing w:val="40"/>
        </w:rPr>
        <w:t> </w:t>
      </w:r>
      <w:r>
        <w:rPr/>
        <w:t>Clustering of match running and performance indicators to assess between- and within-playing position similarity in professional rugby league, </w:t>
      </w:r>
      <w:r>
        <w:rPr>
          <w:i/>
        </w:rPr>
        <w:t>Journal</w:t>
      </w:r>
      <w:r>
        <w:rPr>
          <w:i/>
        </w:rPr>
        <w:t> of Sports Sciences </w:t>
      </w:r>
      <w:r>
        <w:rPr>
          <w:b/>
        </w:rPr>
        <w:t>40</w:t>
      </w:r>
      <w:r>
        <w:rPr/>
        <w:t>(15): 1712–1721.</w:t>
      </w:r>
    </w:p>
    <w:p>
      <w:pPr>
        <w:pStyle w:val="BodyText"/>
        <w:spacing w:line="312" w:lineRule="auto" w:before="199"/>
        <w:ind w:left="844" w:right="389" w:hanging="235"/>
        <w:jc w:val="both"/>
      </w:pPr>
      <w:bookmarkStart w:name="_bookmark238" w:id="402"/>
      <w:bookmarkEnd w:id="402"/>
      <w:r>
        <w:rPr/>
      </w:r>
      <w:r>
        <w:rPr/>
        <w:t>Dalton-Barron, N., Whitehead, S., Roe, G., Cummins, C., Beggs, C. and Jones, </w:t>
      </w:r>
      <w:r>
        <w:rPr/>
        <w:t>B. (2020). Time</w:t>
      </w:r>
      <w:r>
        <w:rPr>
          <w:spacing w:val="-13"/>
        </w:rPr>
        <w:t> </w:t>
      </w:r>
      <w:r>
        <w:rPr/>
        <w:t>to</w:t>
      </w:r>
      <w:r>
        <w:rPr>
          <w:spacing w:val="-13"/>
        </w:rPr>
        <w:t> </w:t>
      </w:r>
      <w:r>
        <w:rPr/>
        <w:t>embrace</w:t>
      </w:r>
      <w:r>
        <w:rPr>
          <w:spacing w:val="-13"/>
        </w:rPr>
        <w:t> </w:t>
      </w:r>
      <w:r>
        <w:rPr/>
        <w:t>the</w:t>
      </w:r>
      <w:r>
        <w:rPr>
          <w:spacing w:val="-13"/>
        </w:rPr>
        <w:t> </w:t>
      </w:r>
      <w:r>
        <w:rPr/>
        <w:t>complexity</w:t>
      </w:r>
      <w:r>
        <w:rPr>
          <w:spacing w:val="-13"/>
        </w:rPr>
        <w:t> </w:t>
      </w:r>
      <w:r>
        <w:rPr/>
        <w:t>when</w:t>
      </w:r>
      <w:r>
        <w:rPr>
          <w:spacing w:val="-13"/>
        </w:rPr>
        <w:t> </w:t>
      </w:r>
      <w:r>
        <w:rPr/>
        <w:t>analysing</w:t>
      </w:r>
      <w:r>
        <w:rPr>
          <w:spacing w:val="-13"/>
        </w:rPr>
        <w:t> </w:t>
      </w:r>
      <w:r>
        <w:rPr/>
        <w:t>gps</w:t>
      </w:r>
      <w:r>
        <w:rPr>
          <w:spacing w:val="-13"/>
        </w:rPr>
        <w:t> </w:t>
      </w:r>
      <w:r>
        <w:rPr/>
        <w:t>data? a</w:t>
      </w:r>
      <w:r>
        <w:rPr>
          <w:spacing w:val="-13"/>
        </w:rPr>
        <w:t> </w:t>
      </w:r>
      <w:r>
        <w:rPr/>
        <w:t>systematic</w:t>
      </w:r>
      <w:r>
        <w:rPr>
          <w:spacing w:val="-13"/>
        </w:rPr>
        <w:t> </w:t>
      </w:r>
      <w:r>
        <w:rPr/>
        <w:t>review of contextual factors on match running in rugby league, </w:t>
      </w:r>
      <w:r>
        <w:rPr>
          <w:i/>
        </w:rPr>
        <w:t>Journal of Sports Sciences</w:t>
      </w:r>
      <w:r>
        <w:rPr>
          <w:i/>
        </w:rPr>
        <w:t> </w:t>
      </w:r>
      <w:r>
        <w:rPr>
          <w:b/>
        </w:rPr>
        <w:t>38</w:t>
      </w:r>
      <w:r>
        <w:rPr/>
        <w:t>(10): 1161–1180.</w:t>
      </w:r>
    </w:p>
    <w:p>
      <w:pPr>
        <w:spacing w:line="312" w:lineRule="auto" w:before="198"/>
        <w:ind w:left="844" w:right="389" w:hanging="235"/>
        <w:jc w:val="both"/>
        <w:rPr>
          <w:sz w:val="24"/>
        </w:rPr>
      </w:pPr>
      <w:bookmarkStart w:name="_bookmark239" w:id="403"/>
      <w:bookmarkEnd w:id="403"/>
      <w:r>
        <w:rPr/>
      </w:r>
      <w:r>
        <w:rPr>
          <w:sz w:val="24"/>
        </w:rPr>
        <w:t>Decroos, T., Bransen, L., Haaren, J. V. and Davis, J. (2019).</w:t>
      </w:r>
      <w:r>
        <w:rPr>
          <w:spacing w:val="40"/>
          <w:sz w:val="24"/>
        </w:rPr>
        <w:t> </w:t>
      </w:r>
      <w:r>
        <w:rPr>
          <w:sz w:val="24"/>
        </w:rPr>
        <w:t>Actions speak louder </w:t>
      </w:r>
      <w:r>
        <w:rPr>
          <w:sz w:val="24"/>
        </w:rPr>
        <w:t>than goals:</w:t>
      </w:r>
      <w:r>
        <w:rPr>
          <w:spacing w:val="-2"/>
          <w:sz w:val="24"/>
        </w:rPr>
        <w:t> </w:t>
      </w:r>
      <w:r>
        <w:rPr>
          <w:sz w:val="24"/>
        </w:rPr>
        <w:t>Valuing</w:t>
      </w:r>
      <w:r>
        <w:rPr>
          <w:spacing w:val="-15"/>
          <w:sz w:val="24"/>
        </w:rPr>
        <w:t> </w:t>
      </w:r>
      <w:r>
        <w:rPr>
          <w:sz w:val="24"/>
        </w:rPr>
        <w:t>player</w:t>
      </w:r>
      <w:r>
        <w:rPr>
          <w:spacing w:val="-15"/>
          <w:sz w:val="24"/>
        </w:rPr>
        <w:t> </w:t>
      </w:r>
      <w:r>
        <w:rPr>
          <w:sz w:val="24"/>
        </w:rPr>
        <w:t>actions</w:t>
      </w:r>
      <w:r>
        <w:rPr>
          <w:spacing w:val="-15"/>
          <w:sz w:val="24"/>
        </w:rPr>
        <w:t> </w:t>
      </w:r>
      <w:r>
        <w:rPr>
          <w:sz w:val="24"/>
        </w:rPr>
        <w:t>in</w:t>
      </w:r>
      <w:r>
        <w:rPr>
          <w:spacing w:val="-15"/>
          <w:sz w:val="24"/>
        </w:rPr>
        <w:t> </w:t>
      </w:r>
      <w:r>
        <w:rPr>
          <w:sz w:val="24"/>
        </w:rPr>
        <w:t>soccer,</w:t>
      </w:r>
      <w:r>
        <w:rPr>
          <w:spacing w:val="-14"/>
          <w:sz w:val="24"/>
        </w:rPr>
        <w:t> </w:t>
      </w:r>
      <w:r>
        <w:rPr>
          <w:i/>
          <w:sz w:val="24"/>
        </w:rPr>
        <w:t>25th</w:t>
      </w:r>
      <w:r>
        <w:rPr>
          <w:i/>
          <w:spacing w:val="-15"/>
          <w:sz w:val="24"/>
        </w:rPr>
        <w:t> </w:t>
      </w:r>
      <w:r>
        <w:rPr>
          <w:i/>
          <w:sz w:val="24"/>
        </w:rPr>
        <w:t>ACM</w:t>
      </w:r>
      <w:r>
        <w:rPr>
          <w:i/>
          <w:spacing w:val="-15"/>
          <w:sz w:val="24"/>
        </w:rPr>
        <w:t> </w:t>
      </w:r>
      <w:r>
        <w:rPr>
          <w:i/>
          <w:sz w:val="24"/>
        </w:rPr>
        <w:t>SIGKDD</w:t>
      </w:r>
      <w:r>
        <w:rPr>
          <w:i/>
          <w:spacing w:val="-15"/>
          <w:sz w:val="24"/>
        </w:rPr>
        <w:t> </w:t>
      </w:r>
      <w:r>
        <w:rPr>
          <w:i/>
          <w:sz w:val="24"/>
        </w:rPr>
        <w:t>Conference</w:t>
      </w:r>
      <w:r>
        <w:rPr>
          <w:i/>
          <w:spacing w:val="-15"/>
          <w:sz w:val="24"/>
        </w:rPr>
        <w:t> </w:t>
      </w:r>
      <w:r>
        <w:rPr>
          <w:i/>
          <w:sz w:val="24"/>
        </w:rPr>
        <w:t>on</w:t>
      </w:r>
      <w:r>
        <w:rPr>
          <w:i/>
          <w:spacing w:val="-15"/>
          <w:sz w:val="24"/>
        </w:rPr>
        <w:t> </w:t>
      </w:r>
      <w:r>
        <w:rPr>
          <w:i/>
          <w:sz w:val="24"/>
        </w:rPr>
        <w:t>Knowledge</w:t>
      </w:r>
      <w:r>
        <w:rPr>
          <w:i/>
          <w:sz w:val="24"/>
        </w:rPr>
        <w:t> Discovery and Data Mining (KDD ’19)</w:t>
      </w:r>
      <w:r>
        <w:rPr>
          <w:sz w:val="24"/>
        </w:rPr>
        <w:t>.</w:t>
      </w:r>
    </w:p>
    <w:p>
      <w:pPr>
        <w:spacing w:after="0" w:line="312" w:lineRule="auto"/>
        <w:jc w:val="both"/>
        <w:rPr>
          <w:sz w:val="24"/>
        </w:rPr>
        <w:sectPr>
          <w:headerReference w:type="default" r:id="rId153"/>
          <w:footerReference w:type="default" r:id="rId154"/>
          <w:pgSz w:w="11910" w:h="16840"/>
          <w:pgMar w:header="1961" w:footer="1428" w:top="2280" w:bottom="1620" w:left="1680" w:right="720"/>
        </w:sectPr>
      </w:pPr>
    </w:p>
    <w:p>
      <w:pPr>
        <w:pStyle w:val="BodyText"/>
        <w:rPr>
          <w:sz w:val="20"/>
        </w:rPr>
      </w:pPr>
    </w:p>
    <w:p>
      <w:pPr>
        <w:pStyle w:val="BodyText"/>
        <w:spacing w:before="3"/>
        <w:rPr>
          <w:sz w:val="21"/>
        </w:rPr>
      </w:pPr>
    </w:p>
    <w:p>
      <w:pPr>
        <w:spacing w:line="312" w:lineRule="auto" w:before="97"/>
        <w:ind w:left="844" w:right="389" w:hanging="235"/>
        <w:jc w:val="both"/>
        <w:rPr>
          <w:sz w:val="24"/>
        </w:rPr>
      </w:pPr>
      <w:bookmarkStart w:name="_bookmark240" w:id="404"/>
      <w:bookmarkEnd w:id="404"/>
      <w:r>
        <w:rPr/>
      </w:r>
      <w:r>
        <w:rPr>
          <w:sz w:val="24"/>
        </w:rPr>
        <w:t>Dobrushin,</w:t>
      </w:r>
      <w:r>
        <w:rPr>
          <w:spacing w:val="-3"/>
          <w:sz w:val="24"/>
        </w:rPr>
        <w:t> </w:t>
      </w:r>
      <w:r>
        <w:rPr>
          <w:sz w:val="24"/>
        </w:rPr>
        <w:t>R.</w:t>
      </w:r>
      <w:r>
        <w:rPr>
          <w:spacing w:val="-3"/>
          <w:sz w:val="24"/>
        </w:rPr>
        <w:t> </w:t>
      </w:r>
      <w:r>
        <w:rPr>
          <w:sz w:val="24"/>
        </w:rPr>
        <w:t>L.</w:t>
      </w:r>
      <w:r>
        <w:rPr>
          <w:spacing w:val="-3"/>
          <w:sz w:val="24"/>
        </w:rPr>
        <w:t> </w:t>
      </w:r>
      <w:r>
        <w:rPr>
          <w:sz w:val="24"/>
        </w:rPr>
        <w:t>(1970).</w:t>
      </w:r>
      <w:r>
        <w:rPr>
          <w:spacing w:val="25"/>
          <w:sz w:val="24"/>
        </w:rPr>
        <w:t> </w:t>
      </w:r>
      <w:r>
        <w:rPr>
          <w:sz w:val="24"/>
        </w:rPr>
        <w:t>Prescribing</w:t>
      </w:r>
      <w:r>
        <w:rPr>
          <w:spacing w:val="-3"/>
          <w:sz w:val="24"/>
        </w:rPr>
        <w:t> </w:t>
      </w:r>
      <w:r>
        <w:rPr>
          <w:sz w:val="24"/>
        </w:rPr>
        <w:t>a</w:t>
      </w:r>
      <w:r>
        <w:rPr>
          <w:spacing w:val="-3"/>
          <w:sz w:val="24"/>
        </w:rPr>
        <w:t> </w:t>
      </w:r>
      <w:r>
        <w:rPr>
          <w:sz w:val="24"/>
        </w:rPr>
        <w:t>system</w:t>
      </w:r>
      <w:r>
        <w:rPr>
          <w:spacing w:val="-3"/>
          <w:sz w:val="24"/>
        </w:rPr>
        <w:t> </w:t>
      </w:r>
      <w:r>
        <w:rPr>
          <w:sz w:val="24"/>
        </w:rPr>
        <w:t>of</w:t>
      </w:r>
      <w:r>
        <w:rPr>
          <w:spacing w:val="-3"/>
          <w:sz w:val="24"/>
        </w:rPr>
        <w:t> </w:t>
      </w:r>
      <w:r>
        <w:rPr>
          <w:sz w:val="24"/>
        </w:rPr>
        <w:t>random</w:t>
      </w:r>
      <w:r>
        <w:rPr>
          <w:spacing w:val="-3"/>
          <w:sz w:val="24"/>
        </w:rPr>
        <w:t> </w:t>
      </w:r>
      <w:r>
        <w:rPr>
          <w:sz w:val="24"/>
        </w:rPr>
        <w:t>variables</w:t>
      </w:r>
      <w:r>
        <w:rPr>
          <w:spacing w:val="-3"/>
          <w:sz w:val="24"/>
        </w:rPr>
        <w:t> </w:t>
      </w:r>
      <w:r>
        <w:rPr>
          <w:sz w:val="24"/>
        </w:rPr>
        <w:t>by</w:t>
      </w:r>
      <w:r>
        <w:rPr>
          <w:spacing w:val="-3"/>
          <w:sz w:val="24"/>
        </w:rPr>
        <w:t> </w:t>
      </w:r>
      <w:r>
        <w:rPr>
          <w:sz w:val="24"/>
        </w:rPr>
        <w:t>conditional</w:t>
      </w:r>
      <w:r>
        <w:rPr>
          <w:spacing w:val="-3"/>
          <w:sz w:val="24"/>
        </w:rPr>
        <w:t> </w:t>
      </w:r>
      <w:r>
        <w:rPr>
          <w:sz w:val="24"/>
        </w:rPr>
        <w:t>distri- butions, </w:t>
      </w:r>
      <w:r>
        <w:rPr>
          <w:i/>
          <w:sz w:val="24"/>
        </w:rPr>
        <w:t>Theory of Probability &amp; Its Applications </w:t>
      </w:r>
      <w:r>
        <w:rPr>
          <w:b/>
          <w:sz w:val="24"/>
        </w:rPr>
        <w:t>15</w:t>
      </w:r>
      <w:r>
        <w:rPr>
          <w:sz w:val="24"/>
        </w:rPr>
        <w:t>(3): 458–486.</w:t>
      </w:r>
    </w:p>
    <w:p>
      <w:pPr>
        <w:spacing w:line="312" w:lineRule="auto" w:before="199"/>
        <w:ind w:left="844" w:right="389" w:hanging="235"/>
        <w:jc w:val="both"/>
        <w:rPr>
          <w:sz w:val="24"/>
        </w:rPr>
      </w:pPr>
      <w:bookmarkStart w:name="_bookmark241" w:id="405"/>
      <w:bookmarkEnd w:id="405"/>
      <w:r>
        <w:rPr/>
      </w:r>
      <w:r>
        <w:rPr>
          <w:spacing w:val="5"/>
          <w:sz w:val="24"/>
        </w:rPr>
        <w:t>Fer</w:t>
      </w:r>
      <w:r>
        <w:rPr>
          <w:spacing w:val="4"/>
          <w:sz w:val="24"/>
        </w:rPr>
        <w:t>n</w:t>
      </w:r>
      <w:r>
        <w:rPr>
          <w:spacing w:val="-88"/>
          <w:sz w:val="24"/>
        </w:rPr>
        <w:t>a</w:t>
      </w:r>
      <w:r>
        <w:rPr>
          <w:spacing w:val="18"/>
          <w:sz w:val="24"/>
        </w:rPr>
        <w:t>´</w:t>
      </w:r>
      <w:r>
        <w:rPr>
          <w:spacing w:val="5"/>
          <w:sz w:val="24"/>
        </w:rPr>
        <w:t>ndez,</w:t>
      </w:r>
      <w:r>
        <w:rPr>
          <w:spacing w:val="-8"/>
          <w:sz w:val="24"/>
        </w:rPr>
        <w:t> </w:t>
      </w:r>
      <w:r>
        <w:rPr>
          <w:spacing w:val="-2"/>
          <w:sz w:val="24"/>
        </w:rPr>
        <w:t>J.</w:t>
      </w:r>
      <w:r>
        <w:rPr>
          <w:spacing w:val="-12"/>
          <w:sz w:val="24"/>
        </w:rPr>
        <w:t> </w:t>
      </w:r>
      <w:r>
        <w:rPr>
          <w:spacing w:val="-2"/>
          <w:sz w:val="24"/>
        </w:rPr>
        <w:t>and</w:t>
      </w:r>
      <w:r>
        <w:rPr>
          <w:spacing w:val="-11"/>
          <w:sz w:val="24"/>
        </w:rPr>
        <w:t> </w:t>
      </w:r>
      <w:r>
        <w:rPr>
          <w:spacing w:val="-2"/>
          <w:sz w:val="24"/>
        </w:rPr>
        <w:t>Bornn,</w:t>
      </w:r>
      <w:r>
        <w:rPr>
          <w:spacing w:val="-9"/>
          <w:sz w:val="24"/>
        </w:rPr>
        <w:t> </w:t>
      </w:r>
      <w:r>
        <w:rPr>
          <w:spacing w:val="-2"/>
          <w:sz w:val="24"/>
        </w:rPr>
        <w:t>L.</w:t>
      </w:r>
      <w:r>
        <w:rPr>
          <w:spacing w:val="-11"/>
          <w:sz w:val="24"/>
        </w:rPr>
        <w:t> </w:t>
      </w:r>
      <w:r>
        <w:rPr>
          <w:spacing w:val="-2"/>
          <w:sz w:val="24"/>
        </w:rPr>
        <w:t>(2018). Wide</w:t>
      </w:r>
      <w:r>
        <w:rPr>
          <w:spacing w:val="-11"/>
          <w:sz w:val="24"/>
        </w:rPr>
        <w:t> </w:t>
      </w:r>
      <w:r>
        <w:rPr>
          <w:spacing w:val="-2"/>
          <w:sz w:val="24"/>
        </w:rPr>
        <w:t>open</w:t>
      </w:r>
      <w:r>
        <w:rPr>
          <w:spacing w:val="-11"/>
          <w:sz w:val="24"/>
        </w:rPr>
        <w:t> </w:t>
      </w:r>
      <w:r>
        <w:rPr>
          <w:spacing w:val="-2"/>
          <w:sz w:val="24"/>
        </w:rPr>
        <w:t>spaces:</w:t>
      </w:r>
      <w:r>
        <w:rPr>
          <w:spacing w:val="8"/>
          <w:sz w:val="24"/>
        </w:rPr>
        <w:t> </w:t>
      </w:r>
      <w:r>
        <w:rPr>
          <w:spacing w:val="-2"/>
          <w:sz w:val="24"/>
        </w:rPr>
        <w:t>A</w:t>
      </w:r>
      <w:r>
        <w:rPr>
          <w:spacing w:val="-11"/>
          <w:sz w:val="24"/>
        </w:rPr>
        <w:t> </w:t>
      </w:r>
      <w:r>
        <w:rPr>
          <w:spacing w:val="-2"/>
          <w:sz w:val="24"/>
        </w:rPr>
        <w:t>statistical</w:t>
      </w:r>
      <w:r>
        <w:rPr>
          <w:spacing w:val="-11"/>
          <w:sz w:val="24"/>
        </w:rPr>
        <w:t> </w:t>
      </w:r>
      <w:r>
        <w:rPr>
          <w:spacing w:val="-2"/>
          <w:sz w:val="24"/>
        </w:rPr>
        <w:t>technique</w:t>
      </w:r>
      <w:r>
        <w:rPr>
          <w:spacing w:val="-11"/>
          <w:sz w:val="24"/>
        </w:rPr>
        <w:t> </w:t>
      </w:r>
      <w:r>
        <w:rPr>
          <w:spacing w:val="-2"/>
          <w:sz w:val="24"/>
        </w:rPr>
        <w:t>for</w:t>
      </w:r>
      <w:r>
        <w:rPr>
          <w:spacing w:val="-11"/>
          <w:sz w:val="24"/>
        </w:rPr>
        <w:t> </w:t>
      </w:r>
      <w:r>
        <w:rPr>
          <w:spacing w:val="-2"/>
          <w:sz w:val="24"/>
        </w:rPr>
        <w:t>measur- </w:t>
      </w:r>
      <w:r>
        <w:rPr>
          <w:sz w:val="24"/>
        </w:rPr>
        <w:t>ing</w:t>
      </w:r>
      <w:r>
        <w:rPr>
          <w:spacing w:val="-12"/>
          <w:sz w:val="24"/>
        </w:rPr>
        <w:t> </w:t>
      </w:r>
      <w:r>
        <w:rPr>
          <w:sz w:val="24"/>
        </w:rPr>
        <w:t>space</w:t>
      </w:r>
      <w:r>
        <w:rPr>
          <w:spacing w:val="-12"/>
          <w:sz w:val="24"/>
        </w:rPr>
        <w:t> </w:t>
      </w:r>
      <w:r>
        <w:rPr>
          <w:sz w:val="24"/>
        </w:rPr>
        <w:t>creation</w:t>
      </w:r>
      <w:r>
        <w:rPr>
          <w:spacing w:val="-12"/>
          <w:sz w:val="24"/>
        </w:rPr>
        <w:t> </w:t>
      </w:r>
      <w:r>
        <w:rPr>
          <w:sz w:val="24"/>
        </w:rPr>
        <w:t>in</w:t>
      </w:r>
      <w:r>
        <w:rPr>
          <w:spacing w:val="-12"/>
          <w:sz w:val="24"/>
        </w:rPr>
        <w:t> </w:t>
      </w:r>
      <w:r>
        <w:rPr>
          <w:sz w:val="24"/>
        </w:rPr>
        <w:t>professional</w:t>
      </w:r>
      <w:r>
        <w:rPr>
          <w:spacing w:val="-12"/>
          <w:sz w:val="24"/>
        </w:rPr>
        <w:t> </w:t>
      </w:r>
      <w:r>
        <w:rPr>
          <w:sz w:val="24"/>
        </w:rPr>
        <w:t>soccer,</w:t>
      </w:r>
      <w:r>
        <w:rPr>
          <w:spacing w:val="-11"/>
          <w:sz w:val="24"/>
        </w:rPr>
        <w:t> </w:t>
      </w:r>
      <w:r>
        <w:rPr>
          <w:i/>
          <w:sz w:val="24"/>
        </w:rPr>
        <w:t>12th</w:t>
      </w:r>
      <w:r>
        <w:rPr>
          <w:i/>
          <w:spacing w:val="-12"/>
          <w:sz w:val="24"/>
        </w:rPr>
        <w:t> </w:t>
      </w:r>
      <w:r>
        <w:rPr>
          <w:i/>
          <w:sz w:val="24"/>
        </w:rPr>
        <w:t>MIT</w:t>
      </w:r>
      <w:r>
        <w:rPr>
          <w:i/>
          <w:spacing w:val="-11"/>
          <w:sz w:val="24"/>
        </w:rPr>
        <w:t> </w:t>
      </w:r>
      <w:r>
        <w:rPr>
          <w:i/>
          <w:sz w:val="24"/>
        </w:rPr>
        <w:t>Sloan</w:t>
      </w:r>
      <w:r>
        <w:rPr>
          <w:i/>
          <w:spacing w:val="-12"/>
          <w:sz w:val="24"/>
        </w:rPr>
        <w:t> </w:t>
      </w:r>
      <w:r>
        <w:rPr>
          <w:i/>
          <w:sz w:val="24"/>
        </w:rPr>
        <w:t>Sports</w:t>
      </w:r>
      <w:r>
        <w:rPr>
          <w:i/>
          <w:spacing w:val="-12"/>
          <w:sz w:val="24"/>
        </w:rPr>
        <w:t> </w:t>
      </w:r>
      <w:r>
        <w:rPr>
          <w:i/>
          <w:sz w:val="24"/>
        </w:rPr>
        <w:t>Analytics</w:t>
      </w:r>
      <w:r>
        <w:rPr>
          <w:i/>
          <w:spacing w:val="-12"/>
          <w:sz w:val="24"/>
        </w:rPr>
        <w:t> </w:t>
      </w:r>
      <w:r>
        <w:rPr>
          <w:i/>
          <w:spacing w:val="-2"/>
          <w:sz w:val="24"/>
        </w:rPr>
        <w:t>Conference</w:t>
      </w:r>
      <w:r>
        <w:rPr>
          <w:spacing w:val="-2"/>
          <w:sz w:val="24"/>
        </w:rPr>
        <w:t>.</w:t>
      </w:r>
    </w:p>
    <w:p>
      <w:pPr>
        <w:spacing w:line="312" w:lineRule="auto" w:before="199"/>
        <w:ind w:left="844" w:right="389" w:hanging="235"/>
        <w:jc w:val="both"/>
        <w:rPr>
          <w:sz w:val="24"/>
        </w:rPr>
      </w:pPr>
      <w:bookmarkStart w:name="_bookmark242" w:id="406"/>
      <w:bookmarkEnd w:id="406"/>
      <w:r>
        <w:rPr/>
      </w:r>
      <w:r>
        <w:rPr>
          <w:spacing w:val="7"/>
          <w:sz w:val="24"/>
        </w:rPr>
        <w:t>Fer</w:t>
      </w:r>
      <w:r>
        <w:rPr>
          <w:spacing w:val="6"/>
          <w:sz w:val="24"/>
        </w:rPr>
        <w:t>n</w:t>
      </w:r>
      <w:r>
        <w:rPr>
          <w:spacing w:val="-86"/>
          <w:sz w:val="24"/>
        </w:rPr>
        <w:t>a</w:t>
      </w:r>
      <w:r>
        <w:rPr>
          <w:spacing w:val="20"/>
          <w:sz w:val="24"/>
        </w:rPr>
        <w:t>´</w:t>
      </w:r>
      <w:r>
        <w:rPr>
          <w:spacing w:val="7"/>
          <w:sz w:val="24"/>
        </w:rPr>
        <w:t>ndez,</w:t>
      </w:r>
      <w:r>
        <w:rPr>
          <w:spacing w:val="-9"/>
          <w:sz w:val="24"/>
        </w:rPr>
        <w:t> </w:t>
      </w:r>
      <w:r>
        <w:rPr>
          <w:sz w:val="24"/>
        </w:rPr>
        <w:t>J.,</w:t>
      </w:r>
      <w:r>
        <w:rPr>
          <w:spacing w:val="-9"/>
          <w:sz w:val="24"/>
        </w:rPr>
        <w:t> </w:t>
      </w:r>
      <w:r>
        <w:rPr>
          <w:sz w:val="24"/>
        </w:rPr>
        <w:t>Bornn,</w:t>
      </w:r>
      <w:r>
        <w:rPr>
          <w:spacing w:val="-9"/>
          <w:sz w:val="24"/>
        </w:rPr>
        <w:t> </w:t>
      </w:r>
      <w:r>
        <w:rPr>
          <w:sz w:val="24"/>
        </w:rPr>
        <w:t>L.</w:t>
      </w:r>
      <w:r>
        <w:rPr>
          <w:spacing w:val="-10"/>
          <w:sz w:val="24"/>
        </w:rPr>
        <w:t> </w:t>
      </w:r>
      <w:r>
        <w:rPr>
          <w:sz w:val="24"/>
        </w:rPr>
        <w:t>and</w:t>
      </w:r>
      <w:r>
        <w:rPr>
          <w:spacing w:val="-10"/>
          <w:sz w:val="24"/>
        </w:rPr>
        <w:t> </w:t>
      </w:r>
      <w:r>
        <w:rPr>
          <w:sz w:val="24"/>
        </w:rPr>
        <w:t>Cervone,</w:t>
      </w:r>
      <w:r>
        <w:rPr>
          <w:spacing w:val="-9"/>
          <w:sz w:val="24"/>
        </w:rPr>
        <w:t> </w:t>
      </w:r>
      <w:r>
        <w:rPr>
          <w:sz w:val="24"/>
        </w:rPr>
        <w:t>D.</w:t>
      </w:r>
      <w:r>
        <w:rPr>
          <w:spacing w:val="-10"/>
          <w:sz w:val="24"/>
        </w:rPr>
        <w:t> </w:t>
      </w:r>
      <w:r>
        <w:rPr>
          <w:sz w:val="24"/>
        </w:rPr>
        <w:t>(2019).</w:t>
      </w:r>
      <w:r>
        <w:rPr>
          <w:spacing w:val="17"/>
          <w:sz w:val="24"/>
        </w:rPr>
        <w:t> </w:t>
      </w:r>
      <w:r>
        <w:rPr>
          <w:sz w:val="24"/>
        </w:rPr>
        <w:t>Decomposing</w:t>
      </w:r>
      <w:r>
        <w:rPr>
          <w:spacing w:val="-10"/>
          <w:sz w:val="24"/>
        </w:rPr>
        <w:t> </w:t>
      </w:r>
      <w:r>
        <w:rPr>
          <w:sz w:val="24"/>
        </w:rPr>
        <w:t>the</w:t>
      </w:r>
      <w:r>
        <w:rPr>
          <w:spacing w:val="-10"/>
          <w:sz w:val="24"/>
        </w:rPr>
        <w:t> </w:t>
      </w:r>
      <w:r>
        <w:rPr>
          <w:sz w:val="24"/>
        </w:rPr>
        <w:t>immeasurable</w:t>
      </w:r>
      <w:r>
        <w:rPr>
          <w:spacing w:val="-10"/>
          <w:sz w:val="24"/>
        </w:rPr>
        <w:t> </w:t>
      </w:r>
      <w:r>
        <w:rPr>
          <w:sz w:val="24"/>
        </w:rPr>
        <w:t>sport: A deep learning expected possession value framework for soccer, </w:t>
      </w:r>
      <w:r>
        <w:rPr>
          <w:i/>
          <w:sz w:val="24"/>
        </w:rPr>
        <w:t>13th MIT Sloan</w:t>
      </w:r>
      <w:r>
        <w:rPr>
          <w:i/>
          <w:sz w:val="24"/>
        </w:rPr>
        <w:t> Sports Analytics Conference</w:t>
      </w:r>
      <w:r>
        <w:rPr>
          <w:sz w:val="24"/>
        </w:rPr>
        <w:t>.</w:t>
      </w:r>
    </w:p>
    <w:p>
      <w:pPr>
        <w:pStyle w:val="BodyText"/>
        <w:spacing w:line="312" w:lineRule="auto" w:before="198"/>
        <w:ind w:left="844" w:right="389" w:hanging="235"/>
        <w:jc w:val="both"/>
      </w:pPr>
      <w:bookmarkStart w:name="_bookmark243" w:id="407"/>
      <w:bookmarkEnd w:id="407"/>
      <w:r>
        <w:rPr/>
      </w:r>
      <w:r>
        <w:rPr>
          <w:spacing w:val="7"/>
        </w:rPr>
        <w:t>Fer</w:t>
      </w:r>
      <w:r>
        <w:rPr>
          <w:spacing w:val="6"/>
        </w:rPr>
        <w:t>n</w:t>
      </w:r>
      <w:r>
        <w:rPr>
          <w:spacing w:val="-86"/>
        </w:rPr>
        <w:t>a</w:t>
      </w:r>
      <w:r>
        <w:rPr>
          <w:spacing w:val="20"/>
        </w:rPr>
        <w:t>´</w:t>
      </w:r>
      <w:r>
        <w:rPr>
          <w:spacing w:val="7"/>
        </w:rPr>
        <w:t>ndez,</w:t>
      </w:r>
      <w:r>
        <w:rPr>
          <w:spacing w:val="-11"/>
        </w:rPr>
        <w:t> </w:t>
      </w:r>
      <w:r>
        <w:rPr/>
        <w:t>J.,</w:t>
      </w:r>
      <w:r>
        <w:rPr>
          <w:spacing w:val="-13"/>
        </w:rPr>
        <w:t> </w:t>
      </w:r>
      <w:r>
        <w:rPr/>
        <w:t>Bornn,</w:t>
      </w:r>
      <w:r>
        <w:rPr>
          <w:spacing w:val="-12"/>
        </w:rPr>
        <w:t> </w:t>
      </w:r>
      <w:r>
        <w:rPr/>
        <w:t>L.</w:t>
      </w:r>
      <w:r>
        <w:rPr>
          <w:spacing w:val="-12"/>
        </w:rPr>
        <w:t> </w:t>
      </w:r>
      <w:r>
        <w:rPr/>
        <w:t>and</w:t>
      </w:r>
      <w:r>
        <w:rPr>
          <w:spacing w:val="-12"/>
        </w:rPr>
        <w:t> </w:t>
      </w:r>
      <w:r>
        <w:rPr/>
        <w:t>Cervone,</w:t>
      </w:r>
      <w:r>
        <w:rPr>
          <w:spacing w:val="-12"/>
        </w:rPr>
        <w:t> </w:t>
      </w:r>
      <w:r>
        <w:rPr/>
        <w:t>D.</w:t>
      </w:r>
      <w:r>
        <w:rPr>
          <w:spacing w:val="-12"/>
        </w:rPr>
        <w:t> </w:t>
      </w:r>
      <w:r>
        <w:rPr/>
        <w:t>(2021).</w:t>
      </w:r>
      <w:r>
        <w:rPr>
          <w:spacing w:val="11"/>
        </w:rPr>
        <w:t> </w:t>
      </w:r>
      <w:r>
        <w:rPr/>
        <w:t>A</w:t>
      </w:r>
      <w:r>
        <w:rPr>
          <w:spacing w:val="-12"/>
        </w:rPr>
        <w:t> </w:t>
      </w:r>
      <w:r>
        <w:rPr/>
        <w:t>framework</w:t>
      </w:r>
      <w:r>
        <w:rPr>
          <w:spacing w:val="-12"/>
        </w:rPr>
        <w:t> </w:t>
      </w:r>
      <w:r>
        <w:rPr/>
        <w:t>for</w:t>
      </w:r>
      <w:r>
        <w:rPr>
          <w:spacing w:val="-12"/>
        </w:rPr>
        <w:t> </w:t>
      </w:r>
      <w:r>
        <w:rPr/>
        <w:t>the</w:t>
      </w:r>
      <w:r>
        <w:rPr>
          <w:spacing w:val="-12"/>
        </w:rPr>
        <w:t> </w:t>
      </w:r>
      <w:r>
        <w:rPr/>
        <w:t>fine-grained</w:t>
      </w:r>
      <w:r>
        <w:rPr>
          <w:spacing w:val="-12"/>
        </w:rPr>
        <w:t> </w:t>
      </w:r>
      <w:r>
        <w:rPr/>
        <w:t>eval- uation of the instantaneous expected value of soccer possessions, </w:t>
      </w:r>
      <w:r>
        <w:rPr>
          <w:i/>
        </w:rPr>
        <w:t>Machine </w:t>
      </w:r>
      <w:r>
        <w:rPr>
          <w:i/>
        </w:rPr>
        <w:t>Learning</w:t>
      </w:r>
      <w:r>
        <w:rPr>
          <w:i/>
        </w:rPr>
        <w:t> </w:t>
      </w:r>
      <w:r>
        <w:rPr>
          <w:b/>
        </w:rPr>
        <w:t>110</w:t>
      </w:r>
      <w:r>
        <w:rPr/>
        <w:t>: 1389–1427.</w:t>
      </w:r>
    </w:p>
    <w:p>
      <w:pPr>
        <w:spacing w:line="312" w:lineRule="auto" w:before="199"/>
        <w:ind w:left="844" w:right="389" w:hanging="235"/>
        <w:jc w:val="both"/>
        <w:rPr>
          <w:sz w:val="24"/>
        </w:rPr>
      </w:pPr>
      <w:bookmarkStart w:name="_bookmark244" w:id="408"/>
      <w:bookmarkEnd w:id="408"/>
      <w:r>
        <w:rPr/>
      </w:r>
      <w:r>
        <w:rPr>
          <w:sz w:val="24"/>
        </w:rPr>
        <w:t>Fisher, R.</w:t>
      </w:r>
      <w:r>
        <w:rPr>
          <w:spacing w:val="-1"/>
          <w:sz w:val="24"/>
        </w:rPr>
        <w:t> </w:t>
      </w:r>
      <w:r>
        <w:rPr>
          <w:sz w:val="24"/>
        </w:rPr>
        <w:t>A.</w:t>
      </w:r>
      <w:r>
        <w:rPr>
          <w:spacing w:val="-1"/>
          <w:sz w:val="24"/>
        </w:rPr>
        <w:t> </w:t>
      </w:r>
      <w:r>
        <w:rPr>
          <w:sz w:val="24"/>
        </w:rPr>
        <w:t>(1925).</w:t>
      </w:r>
      <w:r>
        <w:rPr>
          <w:spacing w:val="38"/>
          <w:sz w:val="24"/>
        </w:rPr>
        <w:t> </w:t>
      </w:r>
      <w:r>
        <w:rPr>
          <w:i/>
          <w:sz w:val="24"/>
        </w:rPr>
        <w:t>Statistical</w:t>
      </w:r>
      <w:r>
        <w:rPr>
          <w:i/>
          <w:spacing w:val="-1"/>
          <w:sz w:val="24"/>
        </w:rPr>
        <w:t> </w:t>
      </w:r>
      <w:r>
        <w:rPr>
          <w:i/>
          <w:sz w:val="24"/>
        </w:rPr>
        <w:t>Methods</w:t>
      </w:r>
      <w:r>
        <w:rPr>
          <w:i/>
          <w:spacing w:val="-1"/>
          <w:sz w:val="24"/>
        </w:rPr>
        <w:t> </w:t>
      </w:r>
      <w:r>
        <w:rPr>
          <w:i/>
          <w:sz w:val="24"/>
        </w:rPr>
        <w:t>for</w:t>
      </w:r>
      <w:r>
        <w:rPr>
          <w:i/>
          <w:spacing w:val="-1"/>
          <w:sz w:val="24"/>
        </w:rPr>
        <w:t> </w:t>
      </w:r>
      <w:r>
        <w:rPr>
          <w:i/>
          <w:sz w:val="24"/>
        </w:rPr>
        <w:t>Research</w:t>
      </w:r>
      <w:r>
        <w:rPr>
          <w:i/>
          <w:spacing w:val="-1"/>
          <w:sz w:val="24"/>
        </w:rPr>
        <w:t> </w:t>
      </w:r>
      <w:r>
        <w:rPr>
          <w:i/>
          <w:sz w:val="24"/>
        </w:rPr>
        <w:t>Workers</w:t>
      </w:r>
      <w:r>
        <w:rPr>
          <w:sz w:val="24"/>
        </w:rPr>
        <w:t>, Oliver</w:t>
      </w:r>
      <w:r>
        <w:rPr>
          <w:spacing w:val="-1"/>
          <w:sz w:val="24"/>
        </w:rPr>
        <w:t> </w:t>
      </w:r>
      <w:r>
        <w:rPr>
          <w:sz w:val="24"/>
        </w:rPr>
        <w:t>and</w:t>
      </w:r>
      <w:r>
        <w:rPr>
          <w:spacing w:val="-1"/>
          <w:sz w:val="24"/>
        </w:rPr>
        <w:t> </w:t>
      </w:r>
      <w:r>
        <w:rPr>
          <w:sz w:val="24"/>
        </w:rPr>
        <w:t>Boyd, Edin- burgh, UK.</w:t>
      </w:r>
    </w:p>
    <w:p>
      <w:pPr>
        <w:pStyle w:val="BodyText"/>
        <w:spacing w:line="312" w:lineRule="auto" w:before="199"/>
        <w:ind w:left="844" w:right="389" w:hanging="235"/>
        <w:jc w:val="both"/>
      </w:pPr>
      <w:bookmarkStart w:name="_bookmark245" w:id="409"/>
      <w:bookmarkEnd w:id="409"/>
      <w:r>
        <w:rPr/>
      </w:r>
      <w:r>
        <w:rPr/>
        <w:t>Flamary, R., Courty, N., Gramfort, A., Alaya, M. Z., Boisbunon, A., Chambon, </w:t>
      </w:r>
      <w:r>
        <w:rPr/>
        <w:t>S., Chapel, L., Corenflos, A., Fatras, K., Fournier, N., Gautheron, L., Gayraud, N. T., </w:t>
      </w:r>
      <w:r>
        <w:rPr>
          <w:spacing w:val="-2"/>
        </w:rPr>
        <w:t>Janati,</w:t>
      </w:r>
      <w:r>
        <w:rPr>
          <w:spacing w:val="-5"/>
        </w:rPr>
        <w:t> </w:t>
      </w:r>
      <w:r>
        <w:rPr>
          <w:spacing w:val="-2"/>
        </w:rPr>
        <w:t>H.,</w:t>
      </w:r>
      <w:r>
        <w:rPr>
          <w:spacing w:val="-5"/>
        </w:rPr>
        <w:t> </w:t>
      </w:r>
      <w:r>
        <w:rPr>
          <w:spacing w:val="-2"/>
        </w:rPr>
        <w:t>Rakotomamonjy,</w:t>
      </w:r>
      <w:r>
        <w:rPr>
          <w:spacing w:val="-5"/>
        </w:rPr>
        <w:t> </w:t>
      </w:r>
      <w:r>
        <w:rPr>
          <w:spacing w:val="-2"/>
        </w:rPr>
        <w:t>A.,</w:t>
      </w:r>
      <w:r>
        <w:rPr>
          <w:spacing w:val="-5"/>
        </w:rPr>
        <w:t> </w:t>
      </w:r>
      <w:r>
        <w:rPr>
          <w:spacing w:val="-2"/>
        </w:rPr>
        <w:t>Redko,</w:t>
      </w:r>
      <w:r>
        <w:rPr>
          <w:spacing w:val="-5"/>
        </w:rPr>
        <w:t> </w:t>
      </w:r>
      <w:r>
        <w:rPr>
          <w:spacing w:val="-2"/>
        </w:rPr>
        <w:t>I.,</w:t>
      </w:r>
      <w:r>
        <w:rPr>
          <w:spacing w:val="-5"/>
        </w:rPr>
        <w:t> </w:t>
      </w:r>
      <w:r>
        <w:rPr>
          <w:spacing w:val="-2"/>
        </w:rPr>
        <w:t>Rolet,</w:t>
      </w:r>
      <w:r>
        <w:rPr>
          <w:spacing w:val="-5"/>
        </w:rPr>
        <w:t> </w:t>
      </w:r>
      <w:r>
        <w:rPr>
          <w:spacing w:val="-2"/>
        </w:rPr>
        <w:t>A.,</w:t>
      </w:r>
      <w:r>
        <w:rPr>
          <w:spacing w:val="-5"/>
        </w:rPr>
        <w:t> </w:t>
      </w:r>
      <w:r>
        <w:rPr>
          <w:spacing w:val="-2"/>
        </w:rPr>
        <w:t>Schutz,</w:t>
      </w:r>
      <w:r>
        <w:rPr>
          <w:spacing w:val="-5"/>
        </w:rPr>
        <w:t> </w:t>
      </w:r>
      <w:r>
        <w:rPr>
          <w:spacing w:val="-2"/>
        </w:rPr>
        <w:t>A.,</w:t>
      </w:r>
      <w:r>
        <w:rPr>
          <w:spacing w:val="-5"/>
        </w:rPr>
        <w:t> </w:t>
      </w:r>
      <w:r>
        <w:rPr>
          <w:spacing w:val="-2"/>
        </w:rPr>
        <w:t>Seguy,</w:t>
      </w:r>
      <w:r>
        <w:rPr>
          <w:spacing w:val="-4"/>
        </w:rPr>
        <w:t> </w:t>
      </w:r>
      <w:r>
        <w:rPr>
          <w:spacing w:val="-2"/>
        </w:rPr>
        <w:t>V.,</w:t>
      </w:r>
      <w:r>
        <w:rPr>
          <w:spacing w:val="-5"/>
        </w:rPr>
        <w:t> </w:t>
      </w:r>
      <w:r>
        <w:rPr>
          <w:spacing w:val="-2"/>
        </w:rPr>
        <w:t>Sutherland,</w:t>
      </w:r>
    </w:p>
    <w:p>
      <w:pPr>
        <w:pStyle w:val="BodyText"/>
        <w:spacing w:line="275" w:lineRule="exact"/>
        <w:ind w:left="844"/>
        <w:jc w:val="both"/>
      </w:pPr>
      <w:r>
        <w:rPr/>
        <w:t>D.</w:t>
      </w:r>
      <w:r>
        <w:rPr>
          <w:spacing w:val="14"/>
        </w:rPr>
        <w:t> </w:t>
      </w:r>
      <w:r>
        <w:rPr/>
        <w:t>J.,</w:t>
      </w:r>
      <w:r>
        <w:rPr>
          <w:spacing w:val="21"/>
        </w:rPr>
        <w:t> </w:t>
      </w:r>
      <w:r>
        <w:rPr/>
        <w:t>Tavenard,</w:t>
      </w:r>
      <w:r>
        <w:rPr>
          <w:spacing w:val="21"/>
        </w:rPr>
        <w:t> </w:t>
      </w:r>
      <w:r>
        <w:rPr/>
        <w:t>R.,</w:t>
      </w:r>
      <w:r>
        <w:rPr>
          <w:spacing w:val="21"/>
        </w:rPr>
        <w:t> </w:t>
      </w:r>
      <w:r>
        <w:rPr/>
        <w:t>Tong,</w:t>
      </w:r>
      <w:r>
        <w:rPr>
          <w:spacing w:val="21"/>
        </w:rPr>
        <w:t> </w:t>
      </w:r>
      <w:r>
        <w:rPr/>
        <w:t>A.</w:t>
      </w:r>
      <w:r>
        <w:rPr>
          <w:spacing w:val="16"/>
        </w:rPr>
        <w:t> </w:t>
      </w:r>
      <w:r>
        <w:rPr/>
        <w:t>and</w:t>
      </w:r>
      <w:r>
        <w:rPr>
          <w:spacing w:val="15"/>
        </w:rPr>
        <w:t> </w:t>
      </w:r>
      <w:r>
        <w:rPr/>
        <w:t>Vayer,</w:t>
      </w:r>
      <w:r>
        <w:rPr>
          <w:spacing w:val="21"/>
        </w:rPr>
        <w:t> </w:t>
      </w:r>
      <w:r>
        <w:rPr/>
        <w:t>T.</w:t>
      </w:r>
      <w:r>
        <w:rPr>
          <w:spacing w:val="15"/>
        </w:rPr>
        <w:t> </w:t>
      </w:r>
      <w:r>
        <w:rPr/>
        <w:t>(2021).</w:t>
      </w:r>
      <w:r>
        <w:rPr>
          <w:spacing w:val="60"/>
          <w:w w:val="150"/>
        </w:rPr>
        <w:t> </w:t>
      </w:r>
      <w:r>
        <w:rPr/>
        <w:t>Pot:</w:t>
      </w:r>
      <w:r>
        <w:rPr>
          <w:spacing w:val="51"/>
        </w:rPr>
        <w:t> </w:t>
      </w:r>
      <w:r>
        <w:rPr/>
        <w:t>Python</w:t>
      </w:r>
      <w:r>
        <w:rPr>
          <w:spacing w:val="15"/>
        </w:rPr>
        <w:t> </w:t>
      </w:r>
      <w:r>
        <w:rPr/>
        <w:t>optimal</w:t>
      </w:r>
      <w:r>
        <w:rPr>
          <w:spacing w:val="16"/>
        </w:rPr>
        <w:t> </w:t>
      </w:r>
      <w:r>
        <w:rPr>
          <w:spacing w:val="-2"/>
        </w:rPr>
        <w:t>transport,</w:t>
      </w:r>
    </w:p>
    <w:p>
      <w:pPr>
        <w:spacing w:before="82"/>
        <w:ind w:left="844" w:right="0" w:firstLine="0"/>
        <w:jc w:val="both"/>
        <w:rPr>
          <w:sz w:val="24"/>
        </w:rPr>
      </w:pPr>
      <w:r>
        <w:rPr>
          <w:i/>
          <w:sz w:val="24"/>
        </w:rPr>
        <w:t>Journal</w:t>
      </w:r>
      <w:r>
        <w:rPr>
          <w:i/>
          <w:spacing w:val="-12"/>
          <w:sz w:val="24"/>
        </w:rPr>
        <w:t> </w:t>
      </w:r>
      <w:r>
        <w:rPr>
          <w:i/>
          <w:sz w:val="24"/>
        </w:rPr>
        <w:t>of</w:t>
      </w:r>
      <w:r>
        <w:rPr>
          <w:i/>
          <w:spacing w:val="-12"/>
          <w:sz w:val="24"/>
        </w:rPr>
        <w:t> </w:t>
      </w:r>
      <w:r>
        <w:rPr>
          <w:i/>
          <w:sz w:val="24"/>
        </w:rPr>
        <w:t>Machine</w:t>
      </w:r>
      <w:r>
        <w:rPr>
          <w:i/>
          <w:spacing w:val="-12"/>
          <w:sz w:val="24"/>
        </w:rPr>
        <w:t> </w:t>
      </w:r>
      <w:r>
        <w:rPr>
          <w:i/>
          <w:sz w:val="24"/>
        </w:rPr>
        <w:t>Learning</w:t>
      </w:r>
      <w:r>
        <w:rPr>
          <w:i/>
          <w:spacing w:val="-12"/>
          <w:sz w:val="24"/>
        </w:rPr>
        <w:t> </w:t>
      </w:r>
      <w:r>
        <w:rPr>
          <w:i/>
          <w:sz w:val="24"/>
        </w:rPr>
        <w:t>Research</w:t>
      </w:r>
      <w:r>
        <w:rPr>
          <w:i/>
          <w:spacing w:val="-12"/>
          <w:sz w:val="24"/>
        </w:rPr>
        <w:t> </w:t>
      </w:r>
      <w:r>
        <w:rPr>
          <w:b/>
          <w:sz w:val="24"/>
        </w:rPr>
        <w:t>22</w:t>
      </w:r>
      <w:r>
        <w:rPr>
          <w:sz w:val="24"/>
        </w:rPr>
        <w:t>(78):</w:t>
      </w:r>
      <w:r>
        <w:rPr>
          <w:spacing w:val="-12"/>
          <w:sz w:val="24"/>
        </w:rPr>
        <w:t> </w:t>
      </w:r>
      <w:r>
        <w:rPr>
          <w:spacing w:val="-4"/>
          <w:sz w:val="24"/>
        </w:rPr>
        <w:t>1–8.</w:t>
      </w:r>
    </w:p>
    <w:p>
      <w:pPr>
        <w:pStyle w:val="BodyText"/>
        <w:spacing w:before="6"/>
      </w:pPr>
    </w:p>
    <w:p>
      <w:pPr>
        <w:pStyle w:val="BodyText"/>
        <w:spacing w:line="312" w:lineRule="auto"/>
        <w:ind w:left="844" w:right="389" w:hanging="235"/>
        <w:jc w:val="both"/>
      </w:pPr>
      <w:bookmarkStart w:name="_bookmark246" w:id="410"/>
      <w:bookmarkEnd w:id="410"/>
      <w:r>
        <w:rPr/>
      </w:r>
      <w:r>
        <w:rPr/>
        <w:t>Fleming,</w:t>
      </w:r>
      <w:r>
        <w:rPr>
          <w:spacing w:val="-9"/>
        </w:rPr>
        <w:t> </w:t>
      </w:r>
      <w:r>
        <w:rPr/>
        <w:t>C.</w:t>
      </w:r>
      <w:r>
        <w:rPr>
          <w:spacing w:val="-9"/>
        </w:rPr>
        <w:t> </w:t>
      </w:r>
      <w:r>
        <w:rPr/>
        <w:t>H.,</w:t>
      </w:r>
      <w:r>
        <w:rPr>
          <w:spacing w:val="-9"/>
        </w:rPr>
        <w:t> </w:t>
      </w:r>
      <w:r>
        <w:rPr/>
        <w:t>Fagan,</w:t>
      </w:r>
      <w:r>
        <w:rPr>
          <w:spacing w:val="-9"/>
        </w:rPr>
        <w:t> </w:t>
      </w:r>
      <w:r>
        <w:rPr/>
        <w:t>W.</w:t>
      </w:r>
      <w:r>
        <w:rPr>
          <w:spacing w:val="-9"/>
        </w:rPr>
        <w:t> </w:t>
      </w:r>
      <w:r>
        <w:rPr/>
        <w:t>F.,</w:t>
      </w:r>
      <w:r>
        <w:rPr>
          <w:spacing w:val="-9"/>
        </w:rPr>
        <w:t> </w:t>
      </w:r>
      <w:r>
        <w:rPr/>
        <w:t>Mueller,</w:t>
      </w:r>
      <w:r>
        <w:rPr>
          <w:spacing w:val="-9"/>
        </w:rPr>
        <w:t> </w:t>
      </w:r>
      <w:r>
        <w:rPr/>
        <w:t>T.,</w:t>
      </w:r>
      <w:r>
        <w:rPr>
          <w:spacing w:val="-9"/>
        </w:rPr>
        <w:t> </w:t>
      </w:r>
      <w:r>
        <w:rPr/>
        <w:t>Olson,</w:t>
      </w:r>
      <w:r>
        <w:rPr>
          <w:spacing w:val="-9"/>
        </w:rPr>
        <w:t> </w:t>
      </w:r>
      <w:r>
        <w:rPr/>
        <w:t>K.</w:t>
      </w:r>
      <w:r>
        <w:rPr>
          <w:spacing w:val="-9"/>
        </w:rPr>
        <w:t> </w:t>
      </w:r>
      <w:r>
        <w:rPr/>
        <w:t>A.,</w:t>
      </w:r>
      <w:r>
        <w:rPr>
          <w:spacing w:val="-9"/>
        </w:rPr>
        <w:t> </w:t>
      </w:r>
      <w:r>
        <w:rPr/>
        <w:t>Leimgruber,</w:t>
      </w:r>
      <w:r>
        <w:rPr>
          <w:spacing w:val="-9"/>
        </w:rPr>
        <w:t> </w:t>
      </w:r>
      <w:r>
        <w:rPr/>
        <w:t>P.</w:t>
      </w:r>
      <w:r>
        <w:rPr>
          <w:spacing w:val="-9"/>
        </w:rPr>
        <w:t> </w:t>
      </w:r>
      <w:r>
        <w:rPr/>
        <w:t>and</w:t>
      </w:r>
      <w:r>
        <w:rPr>
          <w:spacing w:val="-9"/>
        </w:rPr>
        <w:t> </w:t>
      </w:r>
      <w:r>
        <w:rPr/>
        <w:t>Calabrese,</w:t>
      </w:r>
      <w:r>
        <w:rPr>
          <w:spacing w:val="-9"/>
        </w:rPr>
        <w:t> </w:t>
      </w:r>
      <w:r>
        <w:rPr/>
        <w:t>J. (2015).</w:t>
      </w:r>
      <w:r>
        <w:rPr>
          <w:spacing w:val="40"/>
        </w:rPr>
        <w:t> </w:t>
      </w:r>
      <w:r>
        <w:rPr/>
        <w:t>Rigorous home estimation with movement data: A new autocorrelated </w:t>
      </w:r>
      <w:r>
        <w:rPr/>
        <w:t>kernel density estimator, </w:t>
      </w:r>
      <w:r>
        <w:rPr>
          <w:i/>
        </w:rPr>
        <w:t>Ecology </w:t>
      </w:r>
      <w:r>
        <w:rPr>
          <w:b/>
        </w:rPr>
        <w:t>96</w:t>
      </w:r>
      <w:r>
        <w:rPr/>
        <w:t>(5): 1182–1188.</w:t>
      </w:r>
    </w:p>
    <w:p>
      <w:pPr>
        <w:pStyle w:val="BodyText"/>
        <w:spacing w:before="199"/>
        <w:ind w:left="610"/>
      </w:pPr>
      <w:bookmarkStart w:name="_bookmark247" w:id="411"/>
      <w:bookmarkEnd w:id="411"/>
      <w:r>
        <w:rPr/>
      </w:r>
      <w:r>
        <w:rPr/>
        <w:t>Gabbett,</w:t>
      </w:r>
      <w:r>
        <w:rPr>
          <w:spacing w:val="-8"/>
        </w:rPr>
        <w:t> </w:t>
      </w:r>
      <w:r>
        <w:rPr/>
        <w:t>T.</w:t>
      </w:r>
      <w:r>
        <w:rPr>
          <w:spacing w:val="-9"/>
        </w:rPr>
        <w:t> </w:t>
      </w:r>
      <w:r>
        <w:rPr/>
        <w:t>(2010).</w:t>
      </w:r>
      <w:r>
        <w:rPr>
          <w:spacing w:val="17"/>
        </w:rPr>
        <w:t> </w:t>
      </w:r>
      <w:r>
        <w:rPr/>
        <w:t>Gps</w:t>
      </w:r>
      <w:r>
        <w:rPr>
          <w:spacing w:val="-9"/>
        </w:rPr>
        <w:t> </w:t>
      </w:r>
      <w:r>
        <w:rPr/>
        <w:t>analysis</w:t>
      </w:r>
      <w:r>
        <w:rPr>
          <w:spacing w:val="-8"/>
        </w:rPr>
        <w:t> </w:t>
      </w:r>
      <w:r>
        <w:rPr/>
        <w:t>of</w:t>
      </w:r>
      <w:r>
        <w:rPr>
          <w:spacing w:val="-9"/>
        </w:rPr>
        <w:t> </w:t>
      </w:r>
      <w:r>
        <w:rPr/>
        <w:t>elite</w:t>
      </w:r>
      <w:r>
        <w:rPr>
          <w:spacing w:val="-9"/>
        </w:rPr>
        <w:t> </w:t>
      </w:r>
      <w:r>
        <w:rPr/>
        <w:t>women’s</w:t>
      </w:r>
      <w:r>
        <w:rPr>
          <w:spacing w:val="-9"/>
        </w:rPr>
        <w:t> </w:t>
      </w:r>
      <w:r>
        <w:rPr/>
        <w:t>field</w:t>
      </w:r>
      <w:r>
        <w:rPr>
          <w:spacing w:val="-8"/>
        </w:rPr>
        <w:t> </w:t>
      </w:r>
      <w:r>
        <w:rPr/>
        <w:t>hockey</w:t>
      </w:r>
      <w:r>
        <w:rPr>
          <w:spacing w:val="-9"/>
        </w:rPr>
        <w:t> </w:t>
      </w:r>
      <w:r>
        <w:rPr/>
        <w:t>training</w:t>
      </w:r>
      <w:r>
        <w:rPr>
          <w:spacing w:val="-9"/>
        </w:rPr>
        <w:t> </w:t>
      </w:r>
      <w:r>
        <w:rPr/>
        <w:t>and</w:t>
      </w:r>
      <w:r>
        <w:rPr>
          <w:spacing w:val="-9"/>
        </w:rPr>
        <w:t> </w:t>
      </w:r>
      <w:r>
        <w:rPr>
          <w:spacing w:val="-2"/>
        </w:rPr>
        <w:t>competition,</w:t>
      </w:r>
    </w:p>
    <w:p>
      <w:pPr>
        <w:spacing w:before="82"/>
        <w:ind w:left="844" w:right="0" w:firstLine="0"/>
        <w:jc w:val="both"/>
        <w:rPr>
          <w:sz w:val="24"/>
        </w:rPr>
      </w:pPr>
      <w:r>
        <w:rPr>
          <w:i/>
          <w:sz w:val="24"/>
        </w:rPr>
        <w:t>Journal</w:t>
      </w:r>
      <w:r>
        <w:rPr>
          <w:i/>
          <w:spacing w:val="-12"/>
          <w:sz w:val="24"/>
        </w:rPr>
        <w:t> </w:t>
      </w:r>
      <w:r>
        <w:rPr>
          <w:i/>
          <w:sz w:val="24"/>
        </w:rPr>
        <w:t>of</w:t>
      </w:r>
      <w:r>
        <w:rPr>
          <w:i/>
          <w:spacing w:val="-12"/>
          <w:sz w:val="24"/>
        </w:rPr>
        <w:t> </w:t>
      </w:r>
      <w:r>
        <w:rPr>
          <w:i/>
          <w:sz w:val="24"/>
        </w:rPr>
        <w:t>Strength</w:t>
      </w:r>
      <w:r>
        <w:rPr>
          <w:i/>
          <w:spacing w:val="-12"/>
          <w:sz w:val="24"/>
        </w:rPr>
        <w:t> </w:t>
      </w:r>
      <w:r>
        <w:rPr>
          <w:i/>
          <w:sz w:val="24"/>
        </w:rPr>
        <w:t>and</w:t>
      </w:r>
      <w:r>
        <w:rPr>
          <w:i/>
          <w:spacing w:val="-12"/>
          <w:sz w:val="24"/>
        </w:rPr>
        <w:t> </w:t>
      </w:r>
      <w:r>
        <w:rPr>
          <w:i/>
          <w:sz w:val="24"/>
        </w:rPr>
        <w:t>Conditioning</w:t>
      </w:r>
      <w:r>
        <w:rPr>
          <w:i/>
          <w:spacing w:val="-12"/>
          <w:sz w:val="24"/>
        </w:rPr>
        <w:t> </w:t>
      </w:r>
      <w:r>
        <w:rPr>
          <w:i/>
          <w:sz w:val="24"/>
        </w:rPr>
        <w:t>Research</w:t>
      </w:r>
      <w:r>
        <w:rPr>
          <w:i/>
          <w:spacing w:val="-12"/>
          <w:sz w:val="24"/>
        </w:rPr>
        <w:t> </w:t>
      </w:r>
      <w:r>
        <w:rPr>
          <w:b/>
          <w:sz w:val="24"/>
        </w:rPr>
        <w:t>24</w:t>
      </w:r>
      <w:r>
        <w:rPr>
          <w:sz w:val="24"/>
        </w:rPr>
        <w:t>(5):</w:t>
      </w:r>
      <w:r>
        <w:rPr>
          <w:spacing w:val="-12"/>
          <w:sz w:val="24"/>
        </w:rPr>
        <w:t> </w:t>
      </w:r>
      <w:r>
        <w:rPr>
          <w:spacing w:val="-2"/>
          <w:sz w:val="24"/>
        </w:rPr>
        <w:t>1321–1324.</w:t>
      </w:r>
    </w:p>
    <w:p>
      <w:pPr>
        <w:pStyle w:val="BodyText"/>
        <w:spacing w:before="6"/>
      </w:pPr>
    </w:p>
    <w:p>
      <w:pPr>
        <w:pStyle w:val="BodyText"/>
        <w:spacing w:line="312" w:lineRule="auto"/>
        <w:ind w:left="844" w:right="389" w:hanging="235"/>
        <w:jc w:val="both"/>
      </w:pPr>
      <w:bookmarkStart w:name="_bookmark248" w:id="412"/>
      <w:bookmarkEnd w:id="412"/>
      <w:r>
        <w:rPr/>
      </w:r>
      <w:r>
        <w:rPr/>
        <w:t>Glassbrook, D. J., Doyle, T. L., Alderson, J. A. and Fuller, J. T. (2019).</w:t>
      </w:r>
      <w:r>
        <w:rPr>
          <w:spacing w:val="72"/>
        </w:rPr>
        <w:t> </w:t>
      </w:r>
      <w:r>
        <w:rPr/>
        <w:t>The demands</w:t>
      </w:r>
      <w:r>
        <w:rPr>
          <w:spacing w:val="40"/>
        </w:rPr>
        <w:t> </w:t>
      </w:r>
      <w:r>
        <w:rPr/>
        <w:t>of professional rugby league match-play:</w:t>
      </w:r>
      <w:r>
        <w:rPr>
          <w:spacing w:val="40"/>
        </w:rPr>
        <w:t> </w:t>
      </w:r>
      <w:r>
        <w:rPr/>
        <w:t>a meta-analysis, </w:t>
      </w:r>
      <w:r>
        <w:rPr>
          <w:i/>
        </w:rPr>
        <w:t>Sports Medicine - </w:t>
      </w:r>
      <w:r>
        <w:rPr>
          <w:i/>
        </w:rPr>
        <w:t>Open</w:t>
      </w:r>
      <w:r>
        <w:rPr>
          <w:i/>
        </w:rPr>
        <w:t> </w:t>
      </w:r>
      <w:r>
        <w:rPr>
          <w:b/>
        </w:rPr>
        <w:t>5</w:t>
      </w:r>
      <w:r>
        <w:rPr/>
        <w:t>(1): 1–20.</w:t>
      </w:r>
    </w:p>
    <w:p>
      <w:pPr>
        <w:spacing w:line="312" w:lineRule="auto" w:before="199"/>
        <w:ind w:left="844" w:right="389" w:hanging="235"/>
        <w:jc w:val="both"/>
        <w:rPr>
          <w:sz w:val="24"/>
        </w:rPr>
      </w:pPr>
      <w:bookmarkStart w:name="_bookmark249" w:id="413"/>
      <w:bookmarkEnd w:id="413"/>
      <w:r>
        <w:rPr/>
      </w:r>
      <w:r>
        <w:rPr>
          <w:sz w:val="24"/>
        </w:rPr>
        <w:t>Hardin, J. and Hilbe, J. (2003).</w:t>
      </w:r>
      <w:r>
        <w:rPr>
          <w:spacing w:val="40"/>
          <w:sz w:val="24"/>
        </w:rPr>
        <w:t> </w:t>
      </w:r>
      <w:r>
        <w:rPr>
          <w:i/>
          <w:sz w:val="24"/>
        </w:rPr>
        <w:t>Generalized Estimating Equations</w:t>
      </w:r>
      <w:r>
        <w:rPr>
          <w:sz w:val="24"/>
        </w:rPr>
        <w:t>, Chapman and </w:t>
      </w:r>
      <w:r>
        <w:rPr>
          <w:sz w:val="24"/>
        </w:rPr>
        <w:t>Hall, London, UK.</w:t>
      </w:r>
    </w:p>
    <w:p>
      <w:pPr>
        <w:spacing w:after="0" w:line="312" w:lineRule="auto"/>
        <w:jc w:val="both"/>
        <w:rPr>
          <w:sz w:val="24"/>
        </w:rPr>
        <w:sectPr>
          <w:pgSz w:w="11910" w:h="16840"/>
          <w:pgMar w:header="1961" w:footer="1428" w:top="2280" w:bottom="1620" w:left="1680" w:right="720"/>
        </w:sectPr>
      </w:pPr>
    </w:p>
    <w:p>
      <w:pPr>
        <w:pStyle w:val="BodyText"/>
        <w:rPr>
          <w:sz w:val="20"/>
        </w:rPr>
      </w:pPr>
    </w:p>
    <w:p>
      <w:pPr>
        <w:pStyle w:val="BodyText"/>
        <w:spacing w:before="3"/>
        <w:rPr>
          <w:sz w:val="21"/>
        </w:rPr>
      </w:pPr>
    </w:p>
    <w:p>
      <w:pPr>
        <w:spacing w:line="312" w:lineRule="auto" w:before="97"/>
        <w:ind w:left="844" w:right="389" w:hanging="235"/>
        <w:jc w:val="both"/>
        <w:rPr>
          <w:sz w:val="24"/>
        </w:rPr>
      </w:pPr>
      <w:bookmarkStart w:name="_bookmark250" w:id="414"/>
      <w:bookmarkEnd w:id="414"/>
      <w:r>
        <w:rPr/>
      </w:r>
      <w:r>
        <w:rPr>
          <w:sz w:val="24"/>
        </w:rPr>
        <w:t>Harrop, K. and Nevill, A. (2014).</w:t>
      </w:r>
      <w:r>
        <w:rPr>
          <w:spacing w:val="40"/>
          <w:sz w:val="24"/>
        </w:rPr>
        <w:t> </w:t>
      </w:r>
      <w:r>
        <w:rPr>
          <w:sz w:val="24"/>
        </w:rPr>
        <w:t>Performance indicators that predict success in an en- glish</w:t>
      </w:r>
      <w:r>
        <w:rPr>
          <w:spacing w:val="-11"/>
          <w:sz w:val="24"/>
        </w:rPr>
        <w:t> </w:t>
      </w:r>
      <w:r>
        <w:rPr>
          <w:sz w:val="24"/>
        </w:rPr>
        <w:t>professional</w:t>
      </w:r>
      <w:r>
        <w:rPr>
          <w:spacing w:val="-11"/>
          <w:sz w:val="24"/>
        </w:rPr>
        <w:t> </w:t>
      </w:r>
      <w:r>
        <w:rPr>
          <w:sz w:val="24"/>
        </w:rPr>
        <w:t>league</w:t>
      </w:r>
      <w:r>
        <w:rPr>
          <w:spacing w:val="-11"/>
          <w:sz w:val="24"/>
        </w:rPr>
        <w:t> </w:t>
      </w:r>
      <w:r>
        <w:rPr>
          <w:sz w:val="24"/>
        </w:rPr>
        <w:t>one</w:t>
      </w:r>
      <w:r>
        <w:rPr>
          <w:spacing w:val="-11"/>
          <w:sz w:val="24"/>
        </w:rPr>
        <w:t> </w:t>
      </w:r>
      <w:r>
        <w:rPr>
          <w:sz w:val="24"/>
        </w:rPr>
        <w:t>soccer</w:t>
      </w:r>
      <w:r>
        <w:rPr>
          <w:spacing w:val="-11"/>
          <w:sz w:val="24"/>
        </w:rPr>
        <w:t> </w:t>
      </w:r>
      <w:r>
        <w:rPr>
          <w:sz w:val="24"/>
        </w:rPr>
        <w:t>team,</w:t>
      </w:r>
      <w:r>
        <w:rPr>
          <w:spacing w:val="-11"/>
          <w:sz w:val="24"/>
        </w:rPr>
        <w:t> </w:t>
      </w:r>
      <w:r>
        <w:rPr>
          <w:i/>
          <w:sz w:val="24"/>
        </w:rPr>
        <w:t>International</w:t>
      </w:r>
      <w:r>
        <w:rPr>
          <w:i/>
          <w:spacing w:val="-11"/>
          <w:sz w:val="24"/>
        </w:rPr>
        <w:t> </w:t>
      </w:r>
      <w:r>
        <w:rPr>
          <w:i/>
          <w:sz w:val="24"/>
        </w:rPr>
        <w:t>Journal</w:t>
      </w:r>
      <w:r>
        <w:rPr>
          <w:i/>
          <w:spacing w:val="-11"/>
          <w:sz w:val="24"/>
        </w:rPr>
        <w:t> </w:t>
      </w:r>
      <w:r>
        <w:rPr>
          <w:i/>
          <w:sz w:val="24"/>
        </w:rPr>
        <w:t>of</w:t>
      </w:r>
      <w:r>
        <w:rPr>
          <w:i/>
          <w:spacing w:val="-11"/>
          <w:sz w:val="24"/>
        </w:rPr>
        <w:t> </w:t>
      </w:r>
      <w:r>
        <w:rPr>
          <w:i/>
          <w:sz w:val="24"/>
        </w:rPr>
        <w:t>Performance</w:t>
      </w:r>
      <w:r>
        <w:rPr>
          <w:i/>
          <w:spacing w:val="-11"/>
          <w:sz w:val="24"/>
        </w:rPr>
        <w:t> </w:t>
      </w:r>
      <w:r>
        <w:rPr>
          <w:i/>
          <w:sz w:val="24"/>
        </w:rPr>
        <w:t>Anal-</w:t>
      </w:r>
      <w:r>
        <w:rPr>
          <w:i/>
          <w:sz w:val="24"/>
        </w:rPr>
        <w:t> ysis in Sport </w:t>
      </w:r>
      <w:r>
        <w:rPr>
          <w:b/>
          <w:sz w:val="24"/>
        </w:rPr>
        <w:t>14</w:t>
      </w:r>
      <w:r>
        <w:rPr>
          <w:sz w:val="24"/>
        </w:rPr>
        <w:t>(3): 907–920.</w:t>
      </w:r>
    </w:p>
    <w:p>
      <w:pPr>
        <w:spacing w:before="187"/>
        <w:ind w:left="610" w:right="0" w:firstLine="0"/>
        <w:jc w:val="left"/>
        <w:rPr>
          <w:i/>
          <w:sz w:val="24"/>
        </w:rPr>
      </w:pPr>
      <w:bookmarkStart w:name="_bookmark251" w:id="415"/>
      <w:bookmarkEnd w:id="415"/>
      <w:r>
        <w:rPr/>
      </w:r>
      <w:r>
        <w:rPr>
          <w:sz w:val="24"/>
        </w:rPr>
        <w:t>Hastie,</w:t>
      </w:r>
      <w:r>
        <w:rPr>
          <w:spacing w:val="25"/>
          <w:sz w:val="24"/>
        </w:rPr>
        <w:t> </w:t>
      </w:r>
      <w:r>
        <w:rPr>
          <w:sz w:val="24"/>
        </w:rPr>
        <w:t>T.</w:t>
      </w:r>
      <w:r>
        <w:rPr>
          <w:spacing w:val="20"/>
          <w:sz w:val="24"/>
        </w:rPr>
        <w:t> </w:t>
      </w:r>
      <w:r>
        <w:rPr>
          <w:sz w:val="24"/>
        </w:rPr>
        <w:t>and</w:t>
      </w:r>
      <w:r>
        <w:rPr>
          <w:spacing w:val="20"/>
          <w:sz w:val="24"/>
        </w:rPr>
        <w:t> </w:t>
      </w:r>
      <w:r>
        <w:rPr>
          <w:sz w:val="24"/>
        </w:rPr>
        <w:t>Tibshirani,</w:t>
      </w:r>
      <w:r>
        <w:rPr>
          <w:spacing w:val="26"/>
          <w:sz w:val="24"/>
        </w:rPr>
        <w:t> </w:t>
      </w:r>
      <w:r>
        <w:rPr>
          <w:sz w:val="24"/>
        </w:rPr>
        <w:t>R.</w:t>
      </w:r>
      <w:r>
        <w:rPr>
          <w:spacing w:val="19"/>
          <w:sz w:val="24"/>
        </w:rPr>
        <w:t> </w:t>
      </w:r>
      <w:r>
        <w:rPr>
          <w:sz w:val="24"/>
        </w:rPr>
        <w:t>(1986).</w:t>
      </w:r>
      <w:r>
        <w:rPr>
          <w:spacing w:val="72"/>
          <w:w w:val="150"/>
          <w:sz w:val="24"/>
        </w:rPr>
        <w:t> </w:t>
      </w:r>
      <w:r>
        <w:rPr>
          <w:sz w:val="24"/>
        </w:rPr>
        <w:t>Generalised</w:t>
      </w:r>
      <w:r>
        <w:rPr>
          <w:spacing w:val="20"/>
          <w:sz w:val="24"/>
        </w:rPr>
        <w:t> </w:t>
      </w:r>
      <w:r>
        <w:rPr>
          <w:sz w:val="24"/>
        </w:rPr>
        <w:t>additive</w:t>
      </w:r>
      <w:r>
        <w:rPr>
          <w:spacing w:val="20"/>
          <w:sz w:val="24"/>
        </w:rPr>
        <w:t> </w:t>
      </w:r>
      <w:r>
        <w:rPr>
          <w:sz w:val="24"/>
        </w:rPr>
        <w:t>models,</w:t>
      </w:r>
      <w:r>
        <w:rPr>
          <w:spacing w:val="27"/>
          <w:sz w:val="24"/>
        </w:rPr>
        <w:t> </w:t>
      </w:r>
      <w:r>
        <w:rPr>
          <w:i/>
          <w:sz w:val="24"/>
        </w:rPr>
        <w:t>Statistical</w:t>
      </w:r>
      <w:r>
        <w:rPr>
          <w:i/>
          <w:spacing w:val="19"/>
          <w:sz w:val="24"/>
        </w:rPr>
        <w:t> </w:t>
      </w:r>
      <w:r>
        <w:rPr>
          <w:i/>
          <w:spacing w:val="-2"/>
          <w:sz w:val="24"/>
        </w:rPr>
        <w:t>Science</w:t>
      </w:r>
    </w:p>
    <w:p>
      <w:pPr>
        <w:pStyle w:val="BodyText"/>
        <w:spacing w:before="83"/>
        <w:ind w:left="844"/>
      </w:pPr>
      <w:r>
        <w:rPr>
          <w:b/>
        </w:rPr>
        <w:t>1</w:t>
      </w:r>
      <w:r>
        <w:rPr/>
        <w:t>(3):</w:t>
      </w:r>
      <w:r>
        <w:rPr>
          <w:spacing w:val="-7"/>
        </w:rPr>
        <w:t> </w:t>
      </w:r>
      <w:r>
        <w:rPr>
          <w:spacing w:val="-2"/>
        </w:rPr>
        <w:t>297–318.</w:t>
      </w:r>
    </w:p>
    <w:p>
      <w:pPr>
        <w:pStyle w:val="BodyText"/>
        <w:spacing w:before="6"/>
        <w:rPr>
          <w:sz w:val="23"/>
        </w:rPr>
      </w:pPr>
    </w:p>
    <w:p>
      <w:pPr>
        <w:pStyle w:val="BodyText"/>
        <w:spacing w:line="312" w:lineRule="auto"/>
        <w:ind w:left="844" w:right="389" w:hanging="235"/>
        <w:jc w:val="both"/>
      </w:pPr>
      <w:bookmarkStart w:name="_bookmark252" w:id="416"/>
      <w:bookmarkEnd w:id="416"/>
      <w:r>
        <w:rPr/>
      </w:r>
      <w:r>
        <w:rPr/>
        <w:t>Hedeker, D. and Gibbons, R. D. (1994).</w:t>
      </w:r>
      <w:r>
        <w:rPr>
          <w:spacing w:val="40"/>
        </w:rPr>
        <w:t> </w:t>
      </w:r>
      <w:r>
        <w:rPr/>
        <w:t>A random-effects ordinal regression model for multilevel analysis, </w:t>
      </w:r>
      <w:r>
        <w:rPr>
          <w:i/>
        </w:rPr>
        <w:t>Biometrics </w:t>
      </w:r>
      <w:r>
        <w:rPr>
          <w:b/>
        </w:rPr>
        <w:t>50</w:t>
      </w:r>
      <w:r>
        <w:rPr/>
        <w:t>(4): 933–944.</w:t>
      </w:r>
    </w:p>
    <w:p>
      <w:pPr>
        <w:pStyle w:val="BodyText"/>
        <w:spacing w:line="312" w:lineRule="auto" w:before="187"/>
        <w:ind w:left="844" w:right="389" w:hanging="235"/>
        <w:jc w:val="both"/>
      </w:pPr>
      <w:bookmarkStart w:name="_bookmark253" w:id="417"/>
      <w:bookmarkEnd w:id="417"/>
      <w:r>
        <w:rPr/>
      </w:r>
      <w:r>
        <w:rPr/>
        <w:t>Herold, M., Kempe, M., Bauer, P. and Meyer, T. (2021).</w:t>
      </w:r>
      <w:r>
        <w:rPr>
          <w:spacing w:val="40"/>
        </w:rPr>
        <w:t> </w:t>
      </w:r>
      <w:r>
        <w:rPr/>
        <w:t>Attacking key performance indicators</w:t>
      </w:r>
      <w:r>
        <w:rPr>
          <w:spacing w:val="-2"/>
        </w:rPr>
        <w:t> </w:t>
      </w:r>
      <w:r>
        <w:rPr/>
        <w:t>in</w:t>
      </w:r>
      <w:r>
        <w:rPr>
          <w:spacing w:val="-2"/>
        </w:rPr>
        <w:t> </w:t>
      </w:r>
      <w:r>
        <w:rPr/>
        <w:t>soccer: Current</w:t>
      </w:r>
      <w:r>
        <w:rPr>
          <w:spacing w:val="-2"/>
        </w:rPr>
        <w:t> </w:t>
      </w:r>
      <w:r>
        <w:rPr/>
        <w:t>practice</w:t>
      </w:r>
      <w:r>
        <w:rPr>
          <w:spacing w:val="-2"/>
        </w:rPr>
        <w:t> </w:t>
      </w:r>
      <w:r>
        <w:rPr/>
        <w:t>and</w:t>
      </w:r>
      <w:r>
        <w:rPr>
          <w:spacing w:val="-2"/>
        </w:rPr>
        <w:t> </w:t>
      </w:r>
      <w:r>
        <w:rPr/>
        <w:t>perceptions</w:t>
      </w:r>
      <w:r>
        <w:rPr>
          <w:spacing w:val="-2"/>
        </w:rPr>
        <w:t> </w:t>
      </w:r>
      <w:r>
        <w:rPr/>
        <w:t>from</w:t>
      </w:r>
      <w:r>
        <w:rPr>
          <w:spacing w:val="-2"/>
        </w:rPr>
        <w:t> </w:t>
      </w:r>
      <w:r>
        <w:rPr/>
        <w:t>the</w:t>
      </w:r>
      <w:r>
        <w:rPr>
          <w:spacing w:val="-2"/>
        </w:rPr>
        <w:t> </w:t>
      </w:r>
      <w:r>
        <w:rPr/>
        <w:t>elite</w:t>
      </w:r>
      <w:r>
        <w:rPr>
          <w:spacing w:val="-2"/>
        </w:rPr>
        <w:t> </w:t>
      </w:r>
      <w:r>
        <w:rPr/>
        <w:t>to</w:t>
      </w:r>
      <w:r>
        <w:rPr>
          <w:spacing w:val="-2"/>
        </w:rPr>
        <w:t> </w:t>
      </w:r>
      <w:r>
        <w:rPr/>
        <w:t>youth</w:t>
      </w:r>
      <w:r>
        <w:rPr>
          <w:spacing w:val="-2"/>
        </w:rPr>
        <w:t> </w:t>
      </w:r>
      <w:r>
        <w:rPr/>
        <w:t>academy level, </w:t>
      </w:r>
      <w:r>
        <w:rPr>
          <w:i/>
        </w:rPr>
        <w:t>Journal of Sports Science and Medicine </w:t>
      </w:r>
      <w:r>
        <w:rPr>
          <w:b/>
        </w:rPr>
        <w:t>20</w:t>
      </w:r>
      <w:r>
        <w:rPr/>
        <w:t>(1): 158–169.</w:t>
      </w:r>
    </w:p>
    <w:p>
      <w:pPr>
        <w:pStyle w:val="BodyText"/>
        <w:spacing w:line="312" w:lineRule="auto" w:before="187"/>
        <w:ind w:left="844" w:right="389" w:hanging="235"/>
        <w:jc w:val="both"/>
      </w:pPr>
      <w:bookmarkStart w:name="_bookmark254" w:id="418"/>
      <w:bookmarkEnd w:id="418"/>
      <w:r>
        <w:rPr/>
      </w:r>
      <w:r>
        <w:rPr/>
        <w:t>Holbrook, M., Hobbs, J.</w:t>
      </w:r>
      <w:r>
        <w:rPr>
          <w:spacing w:val="-2"/>
        </w:rPr>
        <w:t> </w:t>
      </w:r>
      <w:r>
        <w:rPr/>
        <w:t>and</w:t>
      </w:r>
      <w:r>
        <w:rPr>
          <w:spacing w:val="-2"/>
        </w:rPr>
        <w:t> </w:t>
      </w:r>
      <w:r>
        <w:rPr/>
        <w:t>Lucey, P.</w:t>
      </w:r>
      <w:r>
        <w:rPr>
          <w:spacing w:val="-2"/>
        </w:rPr>
        <w:t> </w:t>
      </w:r>
      <w:r>
        <w:rPr/>
        <w:t>(2019).</w:t>
      </w:r>
      <w:r>
        <w:rPr>
          <w:spacing w:val="37"/>
        </w:rPr>
        <w:t> </w:t>
      </w:r>
      <w:r>
        <w:rPr/>
        <w:t>Rugby-bot: Utilizing</w:t>
      </w:r>
      <w:r>
        <w:rPr>
          <w:spacing w:val="-2"/>
        </w:rPr>
        <w:t> </w:t>
      </w:r>
      <w:r>
        <w:rPr/>
        <w:t>multi-task</w:t>
      </w:r>
      <w:r>
        <w:rPr>
          <w:spacing w:val="-2"/>
        </w:rPr>
        <w:t> </w:t>
      </w:r>
      <w:r>
        <w:rPr/>
        <w:t>learning amp; fine-grained features for rugby league analysis.</w:t>
      </w:r>
    </w:p>
    <w:p>
      <w:pPr>
        <w:spacing w:line="312" w:lineRule="auto" w:before="188"/>
        <w:ind w:left="844" w:right="389" w:hanging="235"/>
        <w:jc w:val="both"/>
        <w:rPr>
          <w:sz w:val="24"/>
        </w:rPr>
      </w:pPr>
      <w:bookmarkStart w:name="_bookmark255" w:id="419"/>
      <w:bookmarkEnd w:id="419"/>
      <w:r>
        <w:rPr/>
      </w:r>
      <w:r>
        <w:rPr>
          <w:sz w:val="24"/>
        </w:rPr>
        <w:t>Hothorn, T., Hornik, K. and Zeileis, A. (2006).</w:t>
      </w:r>
      <w:r>
        <w:rPr>
          <w:spacing w:val="40"/>
          <w:sz w:val="24"/>
        </w:rPr>
        <w:t> </w:t>
      </w:r>
      <w:r>
        <w:rPr>
          <w:sz w:val="24"/>
        </w:rPr>
        <w:t>Unbiased recursive partitioning: A conditional inference framework, </w:t>
      </w:r>
      <w:r>
        <w:rPr>
          <w:i/>
          <w:sz w:val="24"/>
        </w:rPr>
        <w:t>Journal of Computational and Graphical Statistics</w:t>
      </w:r>
      <w:r>
        <w:rPr>
          <w:i/>
          <w:sz w:val="24"/>
        </w:rPr>
        <w:t> </w:t>
      </w:r>
      <w:r>
        <w:rPr>
          <w:b/>
          <w:sz w:val="24"/>
        </w:rPr>
        <w:t>15</w:t>
      </w:r>
      <w:r>
        <w:rPr>
          <w:sz w:val="24"/>
        </w:rPr>
        <w:t>(3): 651–674.</w:t>
      </w:r>
    </w:p>
    <w:p>
      <w:pPr>
        <w:spacing w:line="312" w:lineRule="auto" w:before="187"/>
        <w:ind w:left="844" w:right="389" w:hanging="235"/>
        <w:jc w:val="both"/>
        <w:rPr>
          <w:sz w:val="24"/>
        </w:rPr>
      </w:pPr>
      <w:bookmarkStart w:name="_bookmark256" w:id="420"/>
      <w:bookmarkEnd w:id="420"/>
      <w:r>
        <w:rPr/>
      </w:r>
      <w:r>
        <w:rPr>
          <w:sz w:val="24"/>
        </w:rPr>
        <w:t>Howard,</w:t>
      </w:r>
      <w:r>
        <w:rPr>
          <w:spacing w:val="-15"/>
          <w:sz w:val="24"/>
        </w:rPr>
        <w:t> </w:t>
      </w:r>
      <w:r>
        <w:rPr>
          <w:sz w:val="24"/>
        </w:rPr>
        <w:t>R.</w:t>
      </w:r>
      <w:r>
        <w:rPr>
          <w:spacing w:val="-15"/>
          <w:sz w:val="24"/>
        </w:rPr>
        <w:t> </w:t>
      </w:r>
      <w:r>
        <w:rPr>
          <w:sz w:val="24"/>
        </w:rPr>
        <w:t>A.</w:t>
      </w:r>
      <w:r>
        <w:rPr>
          <w:spacing w:val="-15"/>
          <w:sz w:val="24"/>
        </w:rPr>
        <w:t> </w:t>
      </w:r>
      <w:r>
        <w:rPr>
          <w:sz w:val="24"/>
        </w:rPr>
        <w:t>(1971).</w:t>
      </w:r>
      <w:r>
        <w:rPr>
          <w:spacing w:val="-15"/>
          <w:sz w:val="24"/>
        </w:rPr>
        <w:t> </w:t>
      </w:r>
      <w:r>
        <w:rPr>
          <w:i/>
          <w:sz w:val="24"/>
        </w:rPr>
        <w:t>Dynamic</w:t>
      </w:r>
      <w:r>
        <w:rPr>
          <w:i/>
          <w:spacing w:val="-15"/>
          <w:sz w:val="24"/>
        </w:rPr>
        <w:t> </w:t>
      </w:r>
      <w:r>
        <w:rPr>
          <w:i/>
          <w:sz w:val="24"/>
        </w:rPr>
        <w:t>Probabilistic</w:t>
      </w:r>
      <w:r>
        <w:rPr>
          <w:i/>
          <w:spacing w:val="-15"/>
          <w:sz w:val="24"/>
        </w:rPr>
        <w:t> </w:t>
      </w:r>
      <w:r>
        <w:rPr>
          <w:i/>
          <w:sz w:val="24"/>
        </w:rPr>
        <w:t>Systems,</w:t>
      </w:r>
      <w:r>
        <w:rPr>
          <w:i/>
          <w:spacing w:val="-15"/>
          <w:sz w:val="24"/>
        </w:rPr>
        <w:t> </w:t>
      </w:r>
      <w:r>
        <w:rPr>
          <w:i/>
          <w:sz w:val="24"/>
        </w:rPr>
        <w:t>Vol</w:t>
      </w:r>
      <w:r>
        <w:rPr>
          <w:i/>
          <w:spacing w:val="-15"/>
          <w:sz w:val="24"/>
        </w:rPr>
        <w:t> </w:t>
      </w:r>
      <w:r>
        <w:rPr>
          <w:i/>
          <w:sz w:val="24"/>
        </w:rPr>
        <w:t>II:</w:t>
      </w:r>
      <w:r>
        <w:rPr>
          <w:i/>
          <w:spacing w:val="-15"/>
          <w:sz w:val="24"/>
        </w:rPr>
        <w:t> </w:t>
      </w:r>
      <w:r>
        <w:rPr>
          <w:i/>
          <w:sz w:val="24"/>
        </w:rPr>
        <w:t>Semi-Markov</w:t>
      </w:r>
      <w:r>
        <w:rPr>
          <w:i/>
          <w:spacing w:val="-15"/>
          <w:sz w:val="24"/>
        </w:rPr>
        <w:t> </w:t>
      </w:r>
      <w:r>
        <w:rPr>
          <w:i/>
          <w:sz w:val="24"/>
        </w:rPr>
        <w:t>and</w:t>
      </w:r>
      <w:r>
        <w:rPr>
          <w:i/>
          <w:spacing w:val="-15"/>
          <w:sz w:val="24"/>
        </w:rPr>
        <w:t> </w:t>
      </w:r>
      <w:r>
        <w:rPr>
          <w:i/>
          <w:sz w:val="24"/>
        </w:rPr>
        <w:t>Decision</w:t>
      </w:r>
      <w:r>
        <w:rPr>
          <w:i/>
          <w:sz w:val="24"/>
        </w:rPr>
        <w:t> Processes</w:t>
      </w:r>
      <w:r>
        <w:rPr>
          <w:sz w:val="24"/>
        </w:rPr>
        <w:t>, Wiley, New York, NY.</w:t>
      </w:r>
    </w:p>
    <w:p>
      <w:pPr>
        <w:spacing w:before="187"/>
        <w:ind w:left="610" w:right="0" w:firstLine="0"/>
        <w:jc w:val="left"/>
        <w:rPr>
          <w:sz w:val="24"/>
        </w:rPr>
      </w:pPr>
      <w:bookmarkStart w:name="_bookmark257" w:id="421"/>
      <w:bookmarkEnd w:id="421"/>
      <w:r>
        <w:rPr/>
      </w:r>
      <w:r>
        <w:rPr>
          <w:sz w:val="24"/>
        </w:rPr>
        <w:t>Hughes,</w:t>
      </w:r>
      <w:r>
        <w:rPr>
          <w:spacing w:val="-13"/>
          <w:sz w:val="24"/>
        </w:rPr>
        <w:t> </w:t>
      </w:r>
      <w:r>
        <w:rPr>
          <w:sz w:val="24"/>
        </w:rPr>
        <w:t>C.</w:t>
      </w:r>
      <w:r>
        <w:rPr>
          <w:spacing w:val="-12"/>
          <w:sz w:val="24"/>
        </w:rPr>
        <w:t> </w:t>
      </w:r>
      <w:r>
        <w:rPr>
          <w:sz w:val="24"/>
        </w:rPr>
        <w:t>(1990).</w:t>
      </w:r>
      <w:r>
        <w:rPr>
          <w:spacing w:val="10"/>
          <w:sz w:val="24"/>
        </w:rPr>
        <w:t> </w:t>
      </w:r>
      <w:r>
        <w:rPr>
          <w:i/>
          <w:sz w:val="24"/>
        </w:rPr>
        <w:t>The</w:t>
      </w:r>
      <w:r>
        <w:rPr>
          <w:i/>
          <w:spacing w:val="-12"/>
          <w:sz w:val="24"/>
        </w:rPr>
        <w:t> </w:t>
      </w:r>
      <w:r>
        <w:rPr>
          <w:i/>
          <w:sz w:val="24"/>
        </w:rPr>
        <w:t>Winning</w:t>
      </w:r>
      <w:r>
        <w:rPr>
          <w:i/>
          <w:spacing w:val="-12"/>
          <w:sz w:val="24"/>
        </w:rPr>
        <w:t> </w:t>
      </w:r>
      <w:r>
        <w:rPr>
          <w:i/>
          <w:sz w:val="24"/>
        </w:rPr>
        <w:t>Formula</w:t>
      </w:r>
      <w:r>
        <w:rPr>
          <w:sz w:val="24"/>
        </w:rPr>
        <w:t>,</w:t>
      </w:r>
      <w:r>
        <w:rPr>
          <w:spacing w:val="-13"/>
          <w:sz w:val="24"/>
        </w:rPr>
        <w:t> </w:t>
      </w:r>
      <w:r>
        <w:rPr>
          <w:sz w:val="24"/>
        </w:rPr>
        <w:t>Collins,</w:t>
      </w:r>
      <w:r>
        <w:rPr>
          <w:spacing w:val="-12"/>
          <w:sz w:val="24"/>
        </w:rPr>
        <w:t> </w:t>
      </w:r>
      <w:r>
        <w:rPr>
          <w:sz w:val="24"/>
        </w:rPr>
        <w:t>London,</w:t>
      </w:r>
      <w:r>
        <w:rPr>
          <w:spacing w:val="-12"/>
          <w:sz w:val="24"/>
        </w:rPr>
        <w:t> </w:t>
      </w:r>
      <w:r>
        <w:rPr>
          <w:spacing w:val="-5"/>
          <w:sz w:val="24"/>
        </w:rPr>
        <w:t>UK.</w:t>
      </w:r>
    </w:p>
    <w:p>
      <w:pPr>
        <w:pStyle w:val="BodyText"/>
        <w:spacing w:before="6"/>
        <w:rPr>
          <w:sz w:val="23"/>
        </w:rPr>
      </w:pPr>
    </w:p>
    <w:p>
      <w:pPr>
        <w:spacing w:line="312" w:lineRule="auto" w:before="0"/>
        <w:ind w:left="844" w:right="389" w:hanging="235"/>
        <w:jc w:val="both"/>
        <w:rPr>
          <w:sz w:val="24"/>
        </w:rPr>
      </w:pPr>
      <w:bookmarkStart w:name="_bookmark258" w:id="422"/>
      <w:bookmarkEnd w:id="422"/>
      <w:r>
        <w:rPr/>
      </w:r>
      <w:r>
        <w:rPr>
          <w:sz w:val="24"/>
        </w:rPr>
        <w:t>Hughes,</w:t>
      </w:r>
      <w:r>
        <w:rPr>
          <w:spacing w:val="-15"/>
          <w:sz w:val="24"/>
        </w:rPr>
        <w:t> </w:t>
      </w:r>
      <w:r>
        <w:rPr>
          <w:sz w:val="24"/>
        </w:rPr>
        <w:t>M.,</w:t>
      </w:r>
      <w:r>
        <w:rPr>
          <w:spacing w:val="-15"/>
          <w:sz w:val="24"/>
        </w:rPr>
        <w:t> </w:t>
      </w:r>
      <w:r>
        <w:rPr>
          <w:sz w:val="24"/>
        </w:rPr>
        <w:t>Franks,</w:t>
      </w:r>
      <w:r>
        <w:rPr>
          <w:spacing w:val="-15"/>
          <w:sz w:val="24"/>
        </w:rPr>
        <w:t> </w:t>
      </w:r>
      <w:r>
        <w:rPr>
          <w:sz w:val="24"/>
        </w:rPr>
        <w:t>I.</w:t>
      </w:r>
      <w:r>
        <w:rPr>
          <w:spacing w:val="-15"/>
          <w:sz w:val="24"/>
        </w:rPr>
        <w:t> </w:t>
      </w:r>
      <w:r>
        <w:rPr>
          <w:sz w:val="24"/>
        </w:rPr>
        <w:t>and</w:t>
      </w:r>
      <w:r>
        <w:rPr>
          <w:spacing w:val="-15"/>
          <w:sz w:val="24"/>
        </w:rPr>
        <w:t> </w:t>
      </w:r>
      <w:r>
        <w:rPr>
          <w:sz w:val="24"/>
        </w:rPr>
        <w:t>Dancs,</w:t>
      </w:r>
      <w:r>
        <w:rPr>
          <w:spacing w:val="-15"/>
          <w:sz w:val="24"/>
        </w:rPr>
        <w:t> </w:t>
      </w:r>
      <w:r>
        <w:rPr>
          <w:sz w:val="24"/>
        </w:rPr>
        <w:t>H.</w:t>
      </w:r>
      <w:r>
        <w:rPr>
          <w:spacing w:val="-15"/>
          <w:sz w:val="24"/>
        </w:rPr>
        <w:t> </w:t>
      </w:r>
      <w:r>
        <w:rPr>
          <w:sz w:val="24"/>
        </w:rPr>
        <w:t>(2019).</w:t>
      </w:r>
      <w:r>
        <w:rPr>
          <w:spacing w:val="-15"/>
          <w:sz w:val="24"/>
        </w:rPr>
        <w:t> </w:t>
      </w:r>
      <w:r>
        <w:rPr>
          <w:i/>
          <w:sz w:val="24"/>
        </w:rPr>
        <w:t>Essentials</w:t>
      </w:r>
      <w:r>
        <w:rPr>
          <w:i/>
          <w:spacing w:val="-15"/>
          <w:sz w:val="24"/>
        </w:rPr>
        <w:t> </w:t>
      </w:r>
      <w:r>
        <w:rPr>
          <w:i/>
          <w:sz w:val="24"/>
        </w:rPr>
        <w:t>of</w:t>
      </w:r>
      <w:r>
        <w:rPr>
          <w:i/>
          <w:spacing w:val="-15"/>
          <w:sz w:val="24"/>
        </w:rPr>
        <w:t> </w:t>
      </w:r>
      <w:r>
        <w:rPr>
          <w:i/>
          <w:sz w:val="24"/>
        </w:rPr>
        <w:t>Performance</w:t>
      </w:r>
      <w:r>
        <w:rPr>
          <w:i/>
          <w:spacing w:val="-15"/>
          <w:sz w:val="24"/>
        </w:rPr>
        <w:t> </w:t>
      </w:r>
      <w:r>
        <w:rPr>
          <w:i/>
          <w:sz w:val="24"/>
        </w:rPr>
        <w:t>Analysis</w:t>
      </w:r>
      <w:r>
        <w:rPr>
          <w:i/>
          <w:spacing w:val="-15"/>
          <w:sz w:val="24"/>
        </w:rPr>
        <w:t> </w:t>
      </w:r>
      <w:r>
        <w:rPr>
          <w:i/>
          <w:sz w:val="24"/>
        </w:rPr>
        <w:t>in</w:t>
      </w:r>
      <w:r>
        <w:rPr>
          <w:i/>
          <w:spacing w:val="-15"/>
          <w:sz w:val="24"/>
        </w:rPr>
        <w:t> </w:t>
      </w:r>
      <w:r>
        <w:rPr>
          <w:i/>
          <w:sz w:val="24"/>
        </w:rPr>
        <w:t>Sport</w:t>
      </w:r>
      <w:r>
        <w:rPr>
          <w:sz w:val="24"/>
        </w:rPr>
        <w:t>, third edn, Routledge, New York, NY.</w:t>
      </w:r>
    </w:p>
    <w:p>
      <w:pPr>
        <w:spacing w:line="312" w:lineRule="auto" w:before="187"/>
        <w:ind w:left="844" w:right="389" w:hanging="235"/>
        <w:jc w:val="both"/>
        <w:rPr>
          <w:sz w:val="24"/>
        </w:rPr>
      </w:pPr>
      <w:bookmarkStart w:name="_bookmark259" w:id="423"/>
      <w:bookmarkEnd w:id="423"/>
      <w:r>
        <w:rPr/>
      </w:r>
      <w:r>
        <w:rPr>
          <w:sz w:val="24"/>
        </w:rPr>
        <w:t>Irvine, S. and Kennedy, R. (2017).</w:t>
      </w:r>
      <w:r>
        <w:rPr>
          <w:spacing w:val="40"/>
          <w:sz w:val="24"/>
        </w:rPr>
        <w:t> </w:t>
      </w:r>
      <w:r>
        <w:rPr>
          <w:sz w:val="24"/>
        </w:rPr>
        <w:t>Analysis of performance indicators that most </w:t>
      </w:r>
      <w:r>
        <w:rPr>
          <w:sz w:val="24"/>
        </w:rPr>
        <w:t>sig- nificantly affect international twenty20 cricket, </w:t>
      </w:r>
      <w:r>
        <w:rPr>
          <w:i/>
          <w:sz w:val="24"/>
        </w:rPr>
        <w:t>International Journal of Performance</w:t>
      </w:r>
      <w:r>
        <w:rPr>
          <w:i/>
          <w:sz w:val="24"/>
        </w:rPr>
        <w:t> Analysis in Sport </w:t>
      </w:r>
      <w:r>
        <w:rPr>
          <w:b/>
          <w:sz w:val="24"/>
        </w:rPr>
        <w:t>17</w:t>
      </w:r>
      <w:r>
        <w:rPr>
          <w:sz w:val="24"/>
        </w:rPr>
        <w:t>(3): 350–359.</w:t>
      </w:r>
    </w:p>
    <w:p>
      <w:pPr>
        <w:spacing w:line="475" w:lineRule="auto" w:before="187"/>
        <w:ind w:left="610" w:right="897" w:firstLine="0"/>
        <w:jc w:val="both"/>
        <w:rPr>
          <w:sz w:val="24"/>
        </w:rPr>
      </w:pPr>
      <w:bookmarkStart w:name="_bookmark260" w:id="424"/>
      <w:bookmarkEnd w:id="424"/>
      <w:r>
        <w:rPr/>
      </w:r>
      <w:r>
        <w:rPr>
          <w:sz w:val="24"/>
        </w:rPr>
        <w:t>Jobson,</w:t>
      </w:r>
      <w:r>
        <w:rPr>
          <w:spacing w:val="-12"/>
          <w:sz w:val="24"/>
        </w:rPr>
        <w:t> </w:t>
      </w:r>
      <w:r>
        <w:rPr>
          <w:sz w:val="24"/>
        </w:rPr>
        <w:t>J.</w:t>
      </w:r>
      <w:r>
        <w:rPr>
          <w:spacing w:val="-12"/>
          <w:sz w:val="24"/>
        </w:rPr>
        <w:t> </w:t>
      </w:r>
      <w:r>
        <w:rPr>
          <w:sz w:val="24"/>
        </w:rPr>
        <w:t>D.</w:t>
      </w:r>
      <w:r>
        <w:rPr>
          <w:spacing w:val="-12"/>
          <w:sz w:val="24"/>
        </w:rPr>
        <w:t> </w:t>
      </w:r>
      <w:r>
        <w:rPr>
          <w:sz w:val="24"/>
        </w:rPr>
        <w:t>(1991).</w:t>
      </w:r>
      <w:r>
        <w:rPr>
          <w:spacing w:val="10"/>
          <w:sz w:val="24"/>
        </w:rPr>
        <w:t> </w:t>
      </w:r>
      <w:r>
        <w:rPr>
          <w:i/>
          <w:sz w:val="24"/>
        </w:rPr>
        <w:t>Applied</w:t>
      </w:r>
      <w:r>
        <w:rPr>
          <w:i/>
          <w:spacing w:val="-12"/>
          <w:sz w:val="24"/>
        </w:rPr>
        <w:t> </w:t>
      </w:r>
      <w:r>
        <w:rPr>
          <w:i/>
          <w:sz w:val="24"/>
        </w:rPr>
        <w:t>Multivariate</w:t>
      </w:r>
      <w:r>
        <w:rPr>
          <w:i/>
          <w:spacing w:val="-12"/>
          <w:sz w:val="24"/>
        </w:rPr>
        <w:t> </w:t>
      </w:r>
      <w:r>
        <w:rPr>
          <w:i/>
          <w:sz w:val="24"/>
        </w:rPr>
        <w:t>Data</w:t>
      </w:r>
      <w:r>
        <w:rPr>
          <w:i/>
          <w:spacing w:val="-12"/>
          <w:sz w:val="24"/>
        </w:rPr>
        <w:t> </w:t>
      </w:r>
      <w:r>
        <w:rPr>
          <w:i/>
          <w:sz w:val="24"/>
        </w:rPr>
        <w:t>Analysis</w:t>
      </w:r>
      <w:r>
        <w:rPr>
          <w:sz w:val="24"/>
        </w:rPr>
        <w:t>,</w:t>
      </w:r>
      <w:r>
        <w:rPr>
          <w:spacing w:val="-12"/>
          <w:sz w:val="24"/>
        </w:rPr>
        <w:t> </w:t>
      </w:r>
      <w:r>
        <w:rPr>
          <w:sz w:val="24"/>
        </w:rPr>
        <w:t>Springer,</w:t>
      </w:r>
      <w:r>
        <w:rPr>
          <w:spacing w:val="-12"/>
          <w:sz w:val="24"/>
        </w:rPr>
        <w:t> </w:t>
      </w:r>
      <w:r>
        <w:rPr>
          <w:sz w:val="24"/>
        </w:rPr>
        <w:t>New</w:t>
      </w:r>
      <w:r>
        <w:rPr>
          <w:spacing w:val="-12"/>
          <w:sz w:val="24"/>
        </w:rPr>
        <w:t> </w:t>
      </w:r>
      <w:r>
        <w:rPr>
          <w:sz w:val="24"/>
        </w:rPr>
        <w:t>York,</w:t>
      </w:r>
      <w:r>
        <w:rPr>
          <w:spacing w:val="-12"/>
          <w:sz w:val="24"/>
        </w:rPr>
        <w:t> </w:t>
      </w:r>
      <w:r>
        <w:rPr>
          <w:sz w:val="24"/>
        </w:rPr>
        <w:t>NY. </w:t>
      </w:r>
      <w:bookmarkStart w:name="_bookmark261" w:id="425"/>
      <w:bookmarkEnd w:id="425"/>
      <w:r>
        <w:rPr>
          <w:sz w:val="24"/>
        </w:rPr>
        <w:t>Jolli</w:t>
      </w:r>
      <w:r>
        <w:rPr>
          <w:sz w:val="24"/>
        </w:rPr>
        <w:t>ffe, I. T. (2002).</w:t>
      </w:r>
      <w:r>
        <w:rPr>
          <w:spacing w:val="30"/>
          <w:sz w:val="24"/>
        </w:rPr>
        <w:t> </w:t>
      </w:r>
      <w:r>
        <w:rPr>
          <w:i/>
          <w:sz w:val="24"/>
        </w:rPr>
        <w:t>Principal Component Analysis</w:t>
      </w:r>
      <w:r>
        <w:rPr>
          <w:sz w:val="24"/>
        </w:rPr>
        <w:t>, Springer, New York, NY.</w:t>
      </w:r>
    </w:p>
    <w:p>
      <w:pPr>
        <w:pStyle w:val="BodyText"/>
        <w:spacing w:line="312" w:lineRule="auto"/>
        <w:ind w:left="844" w:right="389" w:hanging="235"/>
        <w:jc w:val="both"/>
      </w:pPr>
      <w:bookmarkStart w:name="_bookmark262" w:id="426"/>
      <w:bookmarkEnd w:id="426"/>
      <w:r>
        <w:rPr/>
      </w:r>
      <w:r>
        <w:rPr/>
        <w:t>Kass, G. V. (1980).</w:t>
      </w:r>
      <w:r>
        <w:rPr>
          <w:spacing w:val="40"/>
        </w:rPr>
        <w:t> </w:t>
      </w:r>
      <w:r>
        <w:rPr/>
        <w:t>An exploratory technique for investigating large quantities of cate- gorical data, </w:t>
      </w:r>
      <w:r>
        <w:rPr>
          <w:i/>
        </w:rPr>
        <w:t>Applied Statistics </w:t>
      </w:r>
      <w:r>
        <w:rPr>
          <w:b/>
        </w:rPr>
        <w:t>29</w:t>
      </w:r>
      <w:r>
        <w:rPr/>
        <w:t>(2): 119–127.</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844" w:right="389" w:hanging="235"/>
        <w:jc w:val="both"/>
      </w:pPr>
      <w:bookmarkStart w:name="_bookmark263" w:id="427"/>
      <w:bookmarkEnd w:id="427"/>
      <w:r>
        <w:rPr/>
      </w:r>
      <w:r>
        <w:rPr/>
        <w:t>Kempton, T., Kennedy, N. and Coutts, A. (2016).</w:t>
      </w:r>
      <w:r>
        <w:rPr>
          <w:spacing w:val="40"/>
        </w:rPr>
        <w:t> </w:t>
      </w:r>
      <w:r>
        <w:rPr/>
        <w:t>The expected value of possession </w:t>
      </w:r>
      <w:r>
        <w:rPr/>
        <w:t>in professional rugby league match-play, </w:t>
      </w:r>
      <w:r>
        <w:rPr>
          <w:i/>
        </w:rPr>
        <w:t>Journal of Sports Science </w:t>
      </w:r>
      <w:r>
        <w:rPr>
          <w:b/>
        </w:rPr>
        <w:t>34</w:t>
      </w:r>
      <w:r>
        <w:rPr/>
        <w:t>: 645–650.</w:t>
      </w:r>
    </w:p>
    <w:p>
      <w:pPr>
        <w:pStyle w:val="BodyText"/>
        <w:spacing w:line="312" w:lineRule="auto" w:before="171"/>
        <w:ind w:left="844" w:right="389" w:hanging="235"/>
        <w:jc w:val="both"/>
      </w:pPr>
      <w:bookmarkStart w:name="_bookmark264" w:id="428"/>
      <w:bookmarkEnd w:id="428"/>
      <w:r>
        <w:rPr/>
      </w:r>
      <w:r>
        <w:rPr/>
        <w:t>King, T. L., Bentley, R. J., Thornton, L. E. and Kavanagh, A. M. (2016).</w:t>
      </w:r>
      <w:r>
        <w:rPr>
          <w:spacing w:val="40"/>
        </w:rPr>
        <w:t> </w:t>
      </w:r>
      <w:r>
        <w:rPr/>
        <w:t>Using kernel density estimation to understand the influence of neighbourhood destinations on bmi, </w:t>
      </w:r>
      <w:r>
        <w:rPr>
          <w:i/>
        </w:rPr>
        <w:t>BMJ Open </w:t>
      </w:r>
      <w:r>
        <w:rPr>
          <w:b/>
        </w:rPr>
        <w:t>6</w:t>
      </w:r>
      <w:r>
        <w:rPr/>
        <w:t>(2).</w:t>
      </w:r>
    </w:p>
    <w:p>
      <w:pPr>
        <w:spacing w:line="312" w:lineRule="auto" w:before="170"/>
        <w:ind w:left="844" w:right="389" w:hanging="235"/>
        <w:jc w:val="both"/>
        <w:rPr>
          <w:sz w:val="24"/>
        </w:rPr>
      </w:pPr>
      <w:bookmarkStart w:name="_bookmark265" w:id="429"/>
      <w:bookmarkEnd w:id="429"/>
      <w:r>
        <w:rPr/>
      </w:r>
      <w:r>
        <w:rPr>
          <w:sz w:val="24"/>
        </w:rPr>
        <w:t>Kullback,</w:t>
      </w:r>
      <w:r>
        <w:rPr>
          <w:spacing w:val="-13"/>
          <w:sz w:val="24"/>
        </w:rPr>
        <w:t> </w:t>
      </w:r>
      <w:r>
        <w:rPr>
          <w:sz w:val="24"/>
        </w:rPr>
        <w:t>S.</w:t>
      </w:r>
      <w:r>
        <w:rPr>
          <w:spacing w:val="-14"/>
          <w:sz w:val="24"/>
        </w:rPr>
        <w:t> </w:t>
      </w:r>
      <w:r>
        <w:rPr>
          <w:sz w:val="24"/>
        </w:rPr>
        <w:t>and</w:t>
      </w:r>
      <w:r>
        <w:rPr>
          <w:spacing w:val="-14"/>
          <w:sz w:val="24"/>
        </w:rPr>
        <w:t> </w:t>
      </w:r>
      <w:r>
        <w:rPr>
          <w:sz w:val="24"/>
        </w:rPr>
        <w:t>Leibler,</w:t>
      </w:r>
      <w:r>
        <w:rPr>
          <w:spacing w:val="-13"/>
          <w:sz w:val="24"/>
        </w:rPr>
        <w:t> </w:t>
      </w:r>
      <w:r>
        <w:rPr>
          <w:sz w:val="24"/>
        </w:rPr>
        <w:t>R.</w:t>
      </w:r>
      <w:r>
        <w:rPr>
          <w:spacing w:val="-14"/>
          <w:sz w:val="24"/>
        </w:rPr>
        <w:t> </w:t>
      </w:r>
      <w:r>
        <w:rPr>
          <w:sz w:val="24"/>
        </w:rPr>
        <w:t>(1951). On</w:t>
      </w:r>
      <w:r>
        <w:rPr>
          <w:spacing w:val="-14"/>
          <w:sz w:val="24"/>
        </w:rPr>
        <w:t> </w:t>
      </w:r>
      <w:r>
        <w:rPr>
          <w:sz w:val="24"/>
        </w:rPr>
        <w:t>information</w:t>
      </w:r>
      <w:r>
        <w:rPr>
          <w:spacing w:val="-14"/>
          <w:sz w:val="24"/>
        </w:rPr>
        <w:t> </w:t>
      </w:r>
      <w:r>
        <w:rPr>
          <w:sz w:val="24"/>
        </w:rPr>
        <w:t>and</w:t>
      </w:r>
      <w:r>
        <w:rPr>
          <w:spacing w:val="-14"/>
          <w:sz w:val="24"/>
        </w:rPr>
        <w:t> </w:t>
      </w:r>
      <w:r>
        <w:rPr>
          <w:sz w:val="24"/>
        </w:rPr>
        <w:t>sufficiency,</w:t>
      </w:r>
      <w:r>
        <w:rPr>
          <w:spacing w:val="-13"/>
          <w:sz w:val="24"/>
        </w:rPr>
        <w:t> </w:t>
      </w:r>
      <w:r>
        <w:rPr>
          <w:i/>
          <w:sz w:val="24"/>
        </w:rPr>
        <w:t>The</w:t>
      </w:r>
      <w:r>
        <w:rPr>
          <w:i/>
          <w:spacing w:val="-14"/>
          <w:sz w:val="24"/>
        </w:rPr>
        <w:t> </w:t>
      </w:r>
      <w:r>
        <w:rPr>
          <w:i/>
          <w:sz w:val="24"/>
        </w:rPr>
        <w:t>Annals</w:t>
      </w:r>
      <w:r>
        <w:rPr>
          <w:i/>
          <w:spacing w:val="-14"/>
          <w:sz w:val="24"/>
        </w:rPr>
        <w:t> </w:t>
      </w:r>
      <w:r>
        <w:rPr>
          <w:i/>
          <w:sz w:val="24"/>
        </w:rPr>
        <w:t>of</w:t>
      </w:r>
      <w:r>
        <w:rPr>
          <w:i/>
          <w:spacing w:val="-14"/>
          <w:sz w:val="24"/>
        </w:rPr>
        <w:t> </w:t>
      </w:r>
      <w:r>
        <w:rPr>
          <w:i/>
          <w:sz w:val="24"/>
        </w:rPr>
        <w:t>Math-</w:t>
      </w:r>
      <w:r>
        <w:rPr>
          <w:i/>
          <w:sz w:val="24"/>
        </w:rPr>
        <w:t> ematical Statistics </w:t>
      </w:r>
      <w:r>
        <w:rPr>
          <w:b/>
          <w:sz w:val="24"/>
        </w:rPr>
        <w:t>22</w:t>
      </w:r>
      <w:r>
        <w:rPr>
          <w:sz w:val="24"/>
        </w:rPr>
        <w:t>(1): 79–86.</w:t>
      </w:r>
    </w:p>
    <w:p>
      <w:pPr>
        <w:pStyle w:val="BodyText"/>
        <w:spacing w:line="312" w:lineRule="auto" w:before="170"/>
        <w:ind w:left="844" w:right="389" w:hanging="235"/>
        <w:jc w:val="both"/>
      </w:pPr>
      <w:bookmarkStart w:name="_bookmark266" w:id="430"/>
      <w:bookmarkEnd w:id="430"/>
      <w:r>
        <w:rPr/>
      </w:r>
      <w:r>
        <w:rPr/>
        <w:t>Langlois, T. J., Fitzpatrick, B. R., Fairclough, D. V., Wakefield, C. B., Hesp, S. A., McLean, D. L., Harvey, E. S. and Meeuwig, J. J. (2012).</w:t>
      </w:r>
      <w:r>
        <w:rPr>
          <w:spacing w:val="40"/>
        </w:rPr>
        <w:t> </w:t>
      </w:r>
      <w:r>
        <w:rPr/>
        <w:t>Similarities between line fishing and baited stereo-video estimations of length-frequency: Novel application of kernel density estimates, </w:t>
      </w:r>
      <w:r>
        <w:rPr>
          <w:i/>
        </w:rPr>
        <w:t>PLos One </w:t>
      </w:r>
      <w:r>
        <w:rPr>
          <w:b/>
        </w:rPr>
        <w:t>7</w:t>
      </w:r>
      <w:r>
        <w:rPr/>
        <w:t>(11): 1–9.</w:t>
      </w:r>
    </w:p>
    <w:p>
      <w:pPr>
        <w:spacing w:line="312" w:lineRule="auto" w:before="170"/>
        <w:ind w:left="844" w:right="389" w:hanging="235"/>
        <w:jc w:val="both"/>
        <w:rPr>
          <w:sz w:val="24"/>
        </w:rPr>
      </w:pPr>
      <w:bookmarkStart w:name="_bookmark267" w:id="431"/>
      <w:bookmarkEnd w:id="431"/>
      <w:r>
        <w:rPr/>
      </w:r>
      <w:r>
        <w:rPr>
          <w:sz w:val="24"/>
        </w:rPr>
        <w:t>Lewis, M. (2003).</w:t>
      </w:r>
      <w:r>
        <w:rPr>
          <w:spacing w:val="40"/>
          <w:sz w:val="24"/>
        </w:rPr>
        <w:t> </w:t>
      </w:r>
      <w:r>
        <w:rPr>
          <w:i/>
          <w:sz w:val="24"/>
        </w:rPr>
        <w:t>Moneyball: The art of winning an unfair game</w:t>
      </w:r>
      <w:r>
        <w:rPr>
          <w:sz w:val="24"/>
        </w:rPr>
        <w:t>, W. W. Norton </w:t>
      </w:r>
      <w:r>
        <w:rPr>
          <w:sz w:val="24"/>
        </w:rPr>
        <w:t>and Company, New York, NY.</w:t>
      </w:r>
    </w:p>
    <w:p>
      <w:pPr>
        <w:spacing w:line="312" w:lineRule="auto" w:before="170"/>
        <w:ind w:left="844" w:right="389" w:hanging="235"/>
        <w:jc w:val="both"/>
        <w:rPr>
          <w:sz w:val="24"/>
        </w:rPr>
      </w:pPr>
      <w:bookmarkStart w:name="_bookmark268" w:id="432"/>
      <w:bookmarkEnd w:id="432"/>
      <w:r>
        <w:rPr/>
      </w:r>
      <w:r>
        <w:rPr>
          <w:sz w:val="24"/>
        </w:rPr>
        <w:t>Lichman, M. and Smyth, P. (2014).</w:t>
      </w:r>
      <w:r>
        <w:rPr>
          <w:spacing w:val="40"/>
          <w:sz w:val="24"/>
        </w:rPr>
        <w:t> </w:t>
      </w:r>
      <w:r>
        <w:rPr>
          <w:sz w:val="24"/>
        </w:rPr>
        <w:t>Modeling human location data with mixtures </w:t>
      </w:r>
      <w:r>
        <w:rPr>
          <w:sz w:val="24"/>
        </w:rPr>
        <w:t>of kernel densities, </w:t>
      </w:r>
      <w:r>
        <w:rPr>
          <w:i/>
          <w:sz w:val="24"/>
        </w:rPr>
        <w:t>Proceedings of the 20th ACM SIGKDD International Conference on</w:t>
      </w:r>
      <w:r>
        <w:rPr>
          <w:i/>
          <w:sz w:val="24"/>
        </w:rPr>
        <w:t> Knowledge</w:t>
      </w:r>
      <w:r>
        <w:rPr>
          <w:i/>
          <w:spacing w:val="-1"/>
          <w:sz w:val="24"/>
        </w:rPr>
        <w:t> </w:t>
      </w:r>
      <w:r>
        <w:rPr>
          <w:i/>
          <w:sz w:val="24"/>
        </w:rPr>
        <w:t>Discovery</w:t>
      </w:r>
      <w:r>
        <w:rPr>
          <w:i/>
          <w:spacing w:val="-1"/>
          <w:sz w:val="24"/>
        </w:rPr>
        <w:t> </w:t>
      </w:r>
      <w:r>
        <w:rPr>
          <w:i/>
          <w:sz w:val="24"/>
        </w:rPr>
        <w:t>and</w:t>
      </w:r>
      <w:r>
        <w:rPr>
          <w:i/>
          <w:spacing w:val="-1"/>
          <w:sz w:val="24"/>
        </w:rPr>
        <w:t> </w:t>
      </w:r>
      <w:r>
        <w:rPr>
          <w:i/>
          <w:sz w:val="24"/>
        </w:rPr>
        <w:t>Data</w:t>
      </w:r>
      <w:r>
        <w:rPr>
          <w:i/>
          <w:spacing w:val="-1"/>
          <w:sz w:val="24"/>
        </w:rPr>
        <w:t> </w:t>
      </w:r>
      <w:r>
        <w:rPr>
          <w:i/>
          <w:sz w:val="24"/>
        </w:rPr>
        <w:t>Mining</w:t>
      </w:r>
      <w:r>
        <w:rPr>
          <w:sz w:val="24"/>
        </w:rPr>
        <w:t>, Association</w:t>
      </w:r>
      <w:r>
        <w:rPr>
          <w:spacing w:val="-1"/>
          <w:sz w:val="24"/>
        </w:rPr>
        <w:t> </w:t>
      </w:r>
      <w:r>
        <w:rPr>
          <w:sz w:val="24"/>
        </w:rPr>
        <w:t>for</w:t>
      </w:r>
      <w:r>
        <w:rPr>
          <w:spacing w:val="-1"/>
          <w:sz w:val="24"/>
        </w:rPr>
        <w:t> </w:t>
      </w:r>
      <w:r>
        <w:rPr>
          <w:sz w:val="24"/>
        </w:rPr>
        <w:t>Computing</w:t>
      </w:r>
      <w:r>
        <w:rPr>
          <w:spacing w:val="-1"/>
          <w:sz w:val="24"/>
        </w:rPr>
        <w:t> </w:t>
      </w:r>
      <w:r>
        <w:rPr>
          <w:sz w:val="24"/>
        </w:rPr>
        <w:t>Machinery, New York, NY, USA, p. 35–44.</w:t>
      </w:r>
    </w:p>
    <w:p>
      <w:pPr>
        <w:pStyle w:val="BodyText"/>
        <w:spacing w:line="312" w:lineRule="auto" w:before="170"/>
        <w:ind w:left="844" w:right="389" w:hanging="235"/>
        <w:jc w:val="both"/>
      </w:pPr>
      <w:bookmarkStart w:name="_bookmark269" w:id="433"/>
      <w:bookmarkEnd w:id="433"/>
      <w:r>
        <w:rPr/>
      </w:r>
      <w:r>
        <w:rPr/>
        <w:t>Liu, G., Luo, Y., Schulte, O. and Kharrat, T. (2020).</w:t>
      </w:r>
      <w:r>
        <w:rPr>
          <w:spacing w:val="80"/>
        </w:rPr>
        <w:t> </w:t>
      </w:r>
      <w:r>
        <w:rPr/>
        <w:t>Deep soccer analytics:</w:t>
      </w:r>
      <w:r>
        <w:rPr>
          <w:spacing w:val="40"/>
        </w:rPr>
        <w:t> </w:t>
      </w:r>
      <w:r>
        <w:rPr/>
        <w:t>Learning an action-value function for evaluating soccer players, </w:t>
      </w:r>
      <w:r>
        <w:rPr>
          <w:i/>
        </w:rPr>
        <w:t>Data Mining and </w:t>
      </w:r>
      <w:r>
        <w:rPr>
          <w:i/>
        </w:rPr>
        <w:t>Knowledge</w:t>
      </w:r>
      <w:r>
        <w:rPr>
          <w:i/>
        </w:rPr>
        <w:t> Discovery </w:t>
      </w:r>
      <w:r>
        <w:rPr>
          <w:b/>
        </w:rPr>
        <w:t>34</w:t>
      </w:r>
      <w:r>
        <w:rPr/>
        <w:t>: 1531–1559.</w:t>
      </w:r>
    </w:p>
    <w:p>
      <w:pPr>
        <w:spacing w:line="312" w:lineRule="auto" w:before="170"/>
        <w:ind w:left="844" w:right="389" w:hanging="235"/>
        <w:jc w:val="both"/>
        <w:rPr>
          <w:sz w:val="24"/>
        </w:rPr>
      </w:pPr>
      <w:bookmarkStart w:name="_bookmark270" w:id="434"/>
      <w:bookmarkEnd w:id="434"/>
      <w:r>
        <w:rPr/>
      </w:r>
      <w:r>
        <w:rPr>
          <w:sz w:val="24"/>
        </w:rPr>
        <w:t>Liu, G. and Schulte, O. (2018).</w:t>
      </w:r>
      <w:r>
        <w:rPr>
          <w:spacing w:val="40"/>
          <w:sz w:val="24"/>
        </w:rPr>
        <w:t> </w:t>
      </w:r>
      <w:r>
        <w:rPr>
          <w:sz w:val="24"/>
        </w:rPr>
        <w:t>Deep reinforcement learning in ice hockey for context- aware player evaluation, </w:t>
      </w:r>
      <w:r>
        <w:rPr>
          <w:i/>
          <w:sz w:val="24"/>
        </w:rPr>
        <w:t>Proceedings of the Twenty-Seventh International Joint </w:t>
      </w:r>
      <w:r>
        <w:rPr>
          <w:i/>
          <w:sz w:val="24"/>
        </w:rPr>
        <w:t>Con-</w:t>
      </w:r>
      <w:r>
        <w:rPr>
          <w:i/>
          <w:sz w:val="24"/>
        </w:rPr>
        <w:t> ference on Artificial Intelligence</w:t>
      </w:r>
      <w:r>
        <w:rPr>
          <w:sz w:val="24"/>
        </w:rPr>
        <w:t>, IJCAI-18, pp. 3442–3448.</w:t>
      </w:r>
    </w:p>
    <w:p>
      <w:pPr>
        <w:spacing w:line="275" w:lineRule="exact" w:before="0"/>
        <w:ind w:left="844" w:right="0" w:firstLine="0"/>
        <w:jc w:val="both"/>
        <w:rPr>
          <w:i/>
          <w:sz w:val="24"/>
        </w:rPr>
      </w:pPr>
      <w:r>
        <w:rPr>
          <w:b/>
          <w:sz w:val="24"/>
        </w:rPr>
        <w:t>URL:</w:t>
      </w:r>
      <w:r>
        <w:rPr>
          <w:b/>
          <w:spacing w:val="-7"/>
          <w:sz w:val="24"/>
        </w:rPr>
        <w:t> </w:t>
      </w:r>
      <w:r>
        <w:rPr>
          <w:i/>
          <w:spacing w:val="-2"/>
          <w:sz w:val="24"/>
        </w:rPr>
        <w:t>https://doi.org/10.24963/ijcai.2018/478</w:t>
      </w:r>
    </w:p>
    <w:p>
      <w:pPr>
        <w:spacing w:line="312" w:lineRule="auto" w:before="253"/>
        <w:ind w:left="844" w:right="389" w:hanging="235"/>
        <w:jc w:val="both"/>
        <w:rPr>
          <w:sz w:val="24"/>
        </w:rPr>
      </w:pPr>
      <w:bookmarkStart w:name="_bookmark271" w:id="435"/>
      <w:bookmarkEnd w:id="435"/>
      <w:r>
        <w:rPr/>
      </w:r>
      <w:r>
        <w:rPr>
          <w:sz w:val="24"/>
        </w:rPr>
        <w:t>Mallepalle,</w:t>
      </w:r>
      <w:r>
        <w:rPr>
          <w:spacing w:val="-5"/>
          <w:sz w:val="24"/>
        </w:rPr>
        <w:t> </w:t>
      </w:r>
      <w:r>
        <w:rPr>
          <w:sz w:val="24"/>
        </w:rPr>
        <w:t>S.,</w:t>
      </w:r>
      <w:r>
        <w:rPr>
          <w:spacing w:val="-5"/>
          <w:sz w:val="24"/>
        </w:rPr>
        <w:t> </w:t>
      </w:r>
      <w:r>
        <w:rPr>
          <w:sz w:val="24"/>
        </w:rPr>
        <w:t>Yurko,</w:t>
      </w:r>
      <w:r>
        <w:rPr>
          <w:spacing w:val="-5"/>
          <w:sz w:val="24"/>
        </w:rPr>
        <w:t> </w:t>
      </w:r>
      <w:r>
        <w:rPr>
          <w:sz w:val="24"/>
        </w:rPr>
        <w:t>R.,</w:t>
      </w:r>
      <w:r>
        <w:rPr>
          <w:spacing w:val="-5"/>
          <w:sz w:val="24"/>
        </w:rPr>
        <w:t> </w:t>
      </w:r>
      <w:r>
        <w:rPr>
          <w:sz w:val="24"/>
        </w:rPr>
        <w:t>Pelechrinis,</w:t>
      </w:r>
      <w:r>
        <w:rPr>
          <w:spacing w:val="-5"/>
          <w:sz w:val="24"/>
        </w:rPr>
        <w:t> </w:t>
      </w:r>
      <w:r>
        <w:rPr>
          <w:sz w:val="24"/>
        </w:rPr>
        <w:t>K.</w:t>
      </w:r>
      <w:r>
        <w:rPr>
          <w:spacing w:val="-6"/>
          <w:sz w:val="24"/>
        </w:rPr>
        <w:t> </w:t>
      </w:r>
      <w:r>
        <w:rPr>
          <w:sz w:val="24"/>
        </w:rPr>
        <w:t>and</w:t>
      </w:r>
      <w:r>
        <w:rPr>
          <w:spacing w:val="-6"/>
          <w:sz w:val="24"/>
        </w:rPr>
        <w:t> </w:t>
      </w:r>
      <w:r>
        <w:rPr>
          <w:sz w:val="24"/>
        </w:rPr>
        <w:t>Ventura,</w:t>
      </w:r>
      <w:r>
        <w:rPr>
          <w:spacing w:val="-5"/>
          <w:sz w:val="24"/>
        </w:rPr>
        <w:t> </w:t>
      </w:r>
      <w:r>
        <w:rPr>
          <w:sz w:val="24"/>
        </w:rPr>
        <w:t>S.</w:t>
      </w:r>
      <w:r>
        <w:rPr>
          <w:spacing w:val="-6"/>
          <w:sz w:val="24"/>
        </w:rPr>
        <w:t> </w:t>
      </w:r>
      <w:r>
        <w:rPr>
          <w:sz w:val="24"/>
        </w:rPr>
        <w:t>(2020).</w:t>
      </w:r>
      <w:r>
        <w:rPr>
          <w:spacing w:val="26"/>
          <w:sz w:val="24"/>
        </w:rPr>
        <w:t> </w:t>
      </w:r>
      <w:r>
        <w:rPr>
          <w:sz w:val="24"/>
        </w:rPr>
        <w:t>Extracting</w:t>
      </w:r>
      <w:r>
        <w:rPr>
          <w:spacing w:val="-6"/>
          <w:sz w:val="24"/>
        </w:rPr>
        <w:t> </w:t>
      </w:r>
      <w:r>
        <w:rPr>
          <w:sz w:val="24"/>
        </w:rPr>
        <w:t>nfl</w:t>
      </w:r>
      <w:r>
        <w:rPr>
          <w:spacing w:val="-6"/>
          <w:sz w:val="24"/>
        </w:rPr>
        <w:t> </w:t>
      </w:r>
      <w:r>
        <w:rPr>
          <w:sz w:val="24"/>
        </w:rPr>
        <w:t>tracking data from images to evaluate quarterbacks and pass defenses, </w:t>
      </w:r>
      <w:r>
        <w:rPr>
          <w:i/>
          <w:sz w:val="24"/>
        </w:rPr>
        <w:t>Journal of Quantitative</w:t>
      </w:r>
      <w:r>
        <w:rPr>
          <w:i/>
          <w:sz w:val="24"/>
        </w:rPr>
        <w:t> Analysis in Sports </w:t>
      </w:r>
      <w:r>
        <w:rPr>
          <w:b/>
          <w:sz w:val="24"/>
        </w:rPr>
        <w:t>16</w:t>
      </w:r>
      <w:r>
        <w:rPr>
          <w:sz w:val="24"/>
        </w:rPr>
        <w:t>(2): 95–120.</w:t>
      </w:r>
    </w:p>
    <w:p>
      <w:pPr>
        <w:spacing w:line="312" w:lineRule="auto" w:before="170"/>
        <w:ind w:left="844" w:right="389" w:hanging="235"/>
        <w:jc w:val="both"/>
        <w:rPr>
          <w:sz w:val="24"/>
        </w:rPr>
      </w:pPr>
      <w:bookmarkStart w:name="_bookmark272" w:id="436"/>
      <w:bookmarkEnd w:id="436"/>
      <w:r>
        <w:rPr/>
      </w:r>
      <w:r>
        <w:rPr>
          <w:sz w:val="24"/>
        </w:rPr>
        <w:t>Marron,</w:t>
      </w:r>
      <w:r>
        <w:rPr>
          <w:spacing w:val="-5"/>
          <w:sz w:val="24"/>
        </w:rPr>
        <w:t> </w:t>
      </w:r>
      <w:r>
        <w:rPr>
          <w:sz w:val="24"/>
        </w:rPr>
        <w:t>J.</w:t>
      </w:r>
      <w:r>
        <w:rPr>
          <w:spacing w:val="-5"/>
          <w:sz w:val="24"/>
        </w:rPr>
        <w:t> </w:t>
      </w:r>
      <w:r>
        <w:rPr>
          <w:sz w:val="24"/>
        </w:rPr>
        <w:t>(1989).</w:t>
      </w:r>
      <w:r>
        <w:rPr>
          <w:spacing w:val="21"/>
          <w:sz w:val="24"/>
        </w:rPr>
        <w:t> </w:t>
      </w:r>
      <w:r>
        <w:rPr>
          <w:sz w:val="24"/>
        </w:rPr>
        <w:t>Comments</w:t>
      </w:r>
      <w:r>
        <w:rPr>
          <w:spacing w:val="-5"/>
          <w:sz w:val="24"/>
        </w:rPr>
        <w:t> </w:t>
      </w:r>
      <w:r>
        <w:rPr>
          <w:sz w:val="24"/>
        </w:rPr>
        <w:t>on</w:t>
      </w:r>
      <w:r>
        <w:rPr>
          <w:spacing w:val="-5"/>
          <w:sz w:val="24"/>
        </w:rPr>
        <w:t> </w:t>
      </w:r>
      <w:r>
        <w:rPr>
          <w:sz w:val="24"/>
        </w:rPr>
        <w:t>a</w:t>
      </w:r>
      <w:r>
        <w:rPr>
          <w:spacing w:val="-5"/>
          <w:sz w:val="24"/>
        </w:rPr>
        <w:t> </w:t>
      </w:r>
      <w:r>
        <w:rPr>
          <w:sz w:val="24"/>
        </w:rPr>
        <w:t>data</w:t>
      </w:r>
      <w:r>
        <w:rPr>
          <w:spacing w:val="-5"/>
          <w:sz w:val="24"/>
        </w:rPr>
        <w:t> </w:t>
      </w:r>
      <w:r>
        <w:rPr>
          <w:sz w:val="24"/>
        </w:rPr>
        <w:t>based</w:t>
      </w:r>
      <w:r>
        <w:rPr>
          <w:spacing w:val="-5"/>
          <w:sz w:val="24"/>
        </w:rPr>
        <w:t> </w:t>
      </w:r>
      <w:r>
        <w:rPr>
          <w:sz w:val="24"/>
        </w:rPr>
        <w:t>bandwidth</w:t>
      </w:r>
      <w:r>
        <w:rPr>
          <w:spacing w:val="-5"/>
          <w:sz w:val="24"/>
        </w:rPr>
        <w:t> </w:t>
      </w:r>
      <w:r>
        <w:rPr>
          <w:sz w:val="24"/>
        </w:rPr>
        <w:t>selector,</w:t>
      </w:r>
      <w:r>
        <w:rPr>
          <w:spacing w:val="-5"/>
          <w:sz w:val="24"/>
        </w:rPr>
        <w:t> </w:t>
      </w:r>
      <w:r>
        <w:rPr>
          <w:i/>
          <w:sz w:val="24"/>
        </w:rPr>
        <w:t>Computational</w:t>
      </w:r>
      <w:r>
        <w:rPr>
          <w:i/>
          <w:spacing w:val="-5"/>
          <w:sz w:val="24"/>
        </w:rPr>
        <w:t> </w:t>
      </w:r>
      <w:r>
        <w:rPr>
          <w:i/>
          <w:sz w:val="24"/>
        </w:rPr>
        <w:t>Statis-</w:t>
      </w:r>
      <w:r>
        <w:rPr>
          <w:i/>
          <w:sz w:val="24"/>
        </w:rPr>
        <w:t> tics and Data Analysis </w:t>
      </w:r>
      <w:r>
        <w:rPr>
          <w:b/>
          <w:sz w:val="24"/>
        </w:rPr>
        <w:t>8</w:t>
      </w:r>
      <w:r>
        <w:rPr>
          <w:sz w:val="24"/>
        </w:rPr>
        <w:t>(2): 155–170.</w:t>
      </w:r>
    </w:p>
    <w:p>
      <w:pPr>
        <w:spacing w:after="0" w:line="312" w:lineRule="auto"/>
        <w:jc w:val="both"/>
        <w:rPr>
          <w:sz w:val="24"/>
        </w:rPr>
        <w:sectPr>
          <w:pgSz w:w="11910" w:h="16840"/>
          <w:pgMar w:header="1961" w:footer="1428" w:top="2280" w:bottom="1620" w:left="1680" w:right="720"/>
        </w:sectPr>
      </w:pPr>
    </w:p>
    <w:p>
      <w:pPr>
        <w:pStyle w:val="BodyText"/>
        <w:rPr>
          <w:sz w:val="20"/>
        </w:rPr>
      </w:pPr>
    </w:p>
    <w:p>
      <w:pPr>
        <w:pStyle w:val="BodyText"/>
        <w:spacing w:before="3"/>
        <w:rPr>
          <w:sz w:val="21"/>
        </w:rPr>
      </w:pPr>
    </w:p>
    <w:p>
      <w:pPr>
        <w:spacing w:line="312" w:lineRule="auto" w:before="97"/>
        <w:ind w:left="844" w:right="389" w:hanging="235"/>
        <w:jc w:val="both"/>
        <w:rPr>
          <w:sz w:val="24"/>
        </w:rPr>
      </w:pPr>
      <w:bookmarkStart w:name="_bookmark273" w:id="437"/>
      <w:bookmarkEnd w:id="437"/>
      <w:r>
        <w:rPr/>
      </w:r>
      <w:r>
        <w:rPr>
          <w:sz w:val="24"/>
        </w:rPr>
        <w:t>McArdle,</w:t>
      </w:r>
      <w:r>
        <w:rPr>
          <w:spacing w:val="-7"/>
          <w:sz w:val="24"/>
        </w:rPr>
        <w:t> </w:t>
      </w:r>
      <w:r>
        <w:rPr>
          <w:sz w:val="24"/>
        </w:rPr>
        <w:t>W.</w:t>
      </w:r>
      <w:r>
        <w:rPr>
          <w:spacing w:val="-8"/>
          <w:sz w:val="24"/>
        </w:rPr>
        <w:t> </w:t>
      </w:r>
      <w:r>
        <w:rPr>
          <w:sz w:val="24"/>
        </w:rPr>
        <w:t>D.,</w:t>
      </w:r>
      <w:r>
        <w:rPr>
          <w:spacing w:val="-7"/>
          <w:sz w:val="24"/>
        </w:rPr>
        <w:t> </w:t>
      </w:r>
      <w:r>
        <w:rPr>
          <w:sz w:val="24"/>
        </w:rPr>
        <w:t>Katch,</w:t>
      </w:r>
      <w:r>
        <w:rPr>
          <w:spacing w:val="-7"/>
          <w:sz w:val="24"/>
        </w:rPr>
        <w:t> </w:t>
      </w:r>
      <w:r>
        <w:rPr>
          <w:sz w:val="24"/>
        </w:rPr>
        <w:t>F.</w:t>
      </w:r>
      <w:r>
        <w:rPr>
          <w:spacing w:val="-8"/>
          <w:sz w:val="24"/>
        </w:rPr>
        <w:t> </w:t>
      </w:r>
      <w:r>
        <w:rPr>
          <w:sz w:val="24"/>
        </w:rPr>
        <w:t>I.</w:t>
      </w:r>
      <w:r>
        <w:rPr>
          <w:spacing w:val="-8"/>
          <w:sz w:val="24"/>
        </w:rPr>
        <w:t> </w:t>
      </w:r>
      <w:r>
        <w:rPr>
          <w:sz w:val="24"/>
        </w:rPr>
        <w:t>and</w:t>
      </w:r>
      <w:r>
        <w:rPr>
          <w:spacing w:val="-8"/>
          <w:sz w:val="24"/>
        </w:rPr>
        <w:t> </w:t>
      </w:r>
      <w:r>
        <w:rPr>
          <w:sz w:val="24"/>
        </w:rPr>
        <w:t>Katch,</w:t>
      </w:r>
      <w:r>
        <w:rPr>
          <w:spacing w:val="-7"/>
          <w:sz w:val="24"/>
        </w:rPr>
        <w:t> </w:t>
      </w:r>
      <w:r>
        <w:rPr>
          <w:sz w:val="24"/>
        </w:rPr>
        <w:t>V.</w:t>
      </w:r>
      <w:r>
        <w:rPr>
          <w:spacing w:val="-8"/>
          <w:sz w:val="24"/>
        </w:rPr>
        <w:t> </w:t>
      </w:r>
      <w:r>
        <w:rPr>
          <w:sz w:val="24"/>
        </w:rPr>
        <w:t>L.</w:t>
      </w:r>
      <w:r>
        <w:rPr>
          <w:spacing w:val="-8"/>
          <w:sz w:val="24"/>
        </w:rPr>
        <w:t> </w:t>
      </w:r>
      <w:r>
        <w:rPr>
          <w:sz w:val="24"/>
        </w:rPr>
        <w:t>(2015).</w:t>
      </w:r>
      <w:r>
        <w:rPr>
          <w:spacing w:val="19"/>
          <w:sz w:val="24"/>
        </w:rPr>
        <w:t> </w:t>
      </w:r>
      <w:r>
        <w:rPr>
          <w:i/>
          <w:sz w:val="24"/>
        </w:rPr>
        <w:t>Essentials</w:t>
      </w:r>
      <w:r>
        <w:rPr>
          <w:i/>
          <w:spacing w:val="-8"/>
          <w:sz w:val="24"/>
        </w:rPr>
        <w:t> </w:t>
      </w:r>
      <w:r>
        <w:rPr>
          <w:i/>
          <w:sz w:val="24"/>
        </w:rPr>
        <w:t>of</w:t>
      </w:r>
      <w:r>
        <w:rPr>
          <w:i/>
          <w:spacing w:val="-8"/>
          <w:sz w:val="24"/>
        </w:rPr>
        <w:t> </w:t>
      </w:r>
      <w:r>
        <w:rPr>
          <w:i/>
          <w:sz w:val="24"/>
        </w:rPr>
        <w:t>Exercise</w:t>
      </w:r>
      <w:r>
        <w:rPr>
          <w:i/>
          <w:spacing w:val="-8"/>
          <w:sz w:val="24"/>
        </w:rPr>
        <w:t> </w:t>
      </w:r>
      <w:r>
        <w:rPr>
          <w:i/>
          <w:sz w:val="24"/>
        </w:rPr>
        <w:t>Physiology</w:t>
      </w:r>
      <w:r>
        <w:rPr>
          <w:sz w:val="24"/>
        </w:rPr>
        <w:t>, fifth edn, Lippincott Williams and Wilkins, Baltimore, MD.</w:t>
      </w:r>
    </w:p>
    <w:p>
      <w:pPr>
        <w:spacing w:line="312" w:lineRule="auto" w:before="199"/>
        <w:ind w:left="844" w:right="389" w:hanging="235"/>
        <w:jc w:val="both"/>
        <w:rPr>
          <w:sz w:val="24"/>
        </w:rPr>
      </w:pPr>
      <w:bookmarkStart w:name="_bookmark274" w:id="438"/>
      <w:bookmarkEnd w:id="438"/>
      <w:r>
        <w:rPr/>
      </w:r>
      <w:r>
        <w:rPr>
          <w:sz w:val="24"/>
        </w:rPr>
        <w:t>Menard, S. (2009).</w:t>
      </w:r>
      <w:r>
        <w:rPr>
          <w:spacing w:val="40"/>
          <w:sz w:val="24"/>
        </w:rPr>
        <w:t> </w:t>
      </w:r>
      <w:r>
        <w:rPr>
          <w:i/>
          <w:sz w:val="24"/>
        </w:rPr>
        <w:t>Logistic Regression: From introductory to advanced concepts </w:t>
      </w:r>
      <w:r>
        <w:rPr>
          <w:i/>
          <w:sz w:val="24"/>
        </w:rPr>
        <w:t>and</w:t>
      </w:r>
      <w:r>
        <w:rPr>
          <w:i/>
          <w:sz w:val="24"/>
        </w:rPr>
        <w:t> applications</w:t>
      </w:r>
      <w:r>
        <w:rPr>
          <w:sz w:val="24"/>
        </w:rPr>
        <w:t>, Sage Publications Inc, Thousand Oaks, CA.</w:t>
      </w:r>
    </w:p>
    <w:p>
      <w:pPr>
        <w:spacing w:line="312" w:lineRule="auto" w:before="199"/>
        <w:ind w:left="844" w:right="389" w:hanging="235"/>
        <w:jc w:val="both"/>
        <w:rPr>
          <w:sz w:val="24"/>
        </w:rPr>
      </w:pPr>
      <w:bookmarkStart w:name="_bookmark275" w:id="439"/>
      <w:bookmarkEnd w:id="439"/>
      <w:r>
        <w:rPr/>
      </w:r>
      <w:r>
        <w:rPr>
          <w:sz w:val="24"/>
        </w:rPr>
        <w:t>Merhej,</w:t>
      </w:r>
      <w:r>
        <w:rPr>
          <w:spacing w:val="-11"/>
          <w:sz w:val="24"/>
        </w:rPr>
        <w:t> </w:t>
      </w:r>
      <w:r>
        <w:rPr>
          <w:sz w:val="24"/>
        </w:rPr>
        <w:t>C.,</w:t>
      </w:r>
      <w:r>
        <w:rPr>
          <w:spacing w:val="-11"/>
          <w:sz w:val="24"/>
        </w:rPr>
        <w:t> </w:t>
      </w:r>
      <w:r>
        <w:rPr>
          <w:sz w:val="24"/>
        </w:rPr>
        <w:t>Beal,</w:t>
      </w:r>
      <w:r>
        <w:rPr>
          <w:spacing w:val="-11"/>
          <w:sz w:val="24"/>
        </w:rPr>
        <w:t> </w:t>
      </w:r>
      <w:r>
        <w:rPr>
          <w:sz w:val="24"/>
        </w:rPr>
        <w:t>R.,</w:t>
      </w:r>
      <w:r>
        <w:rPr>
          <w:spacing w:val="-11"/>
          <w:sz w:val="24"/>
        </w:rPr>
        <w:t> </w:t>
      </w:r>
      <w:r>
        <w:rPr>
          <w:sz w:val="24"/>
        </w:rPr>
        <w:t>Matthews,</w:t>
      </w:r>
      <w:r>
        <w:rPr>
          <w:spacing w:val="-11"/>
          <w:sz w:val="24"/>
        </w:rPr>
        <w:t> </w:t>
      </w:r>
      <w:r>
        <w:rPr>
          <w:sz w:val="24"/>
        </w:rPr>
        <w:t>T.</w:t>
      </w:r>
      <w:r>
        <w:rPr>
          <w:spacing w:val="-12"/>
          <w:sz w:val="24"/>
        </w:rPr>
        <w:t> </w:t>
      </w:r>
      <w:r>
        <w:rPr>
          <w:sz w:val="24"/>
        </w:rPr>
        <w:t>and</w:t>
      </w:r>
      <w:r>
        <w:rPr>
          <w:spacing w:val="-12"/>
          <w:sz w:val="24"/>
        </w:rPr>
        <w:t> </w:t>
      </w:r>
      <w:r>
        <w:rPr>
          <w:sz w:val="24"/>
        </w:rPr>
        <w:t>Ramchurn,</w:t>
      </w:r>
      <w:r>
        <w:rPr>
          <w:spacing w:val="-11"/>
          <w:sz w:val="24"/>
        </w:rPr>
        <w:t> </w:t>
      </w:r>
      <w:r>
        <w:rPr>
          <w:sz w:val="24"/>
        </w:rPr>
        <w:t>S.</w:t>
      </w:r>
      <w:r>
        <w:rPr>
          <w:spacing w:val="-12"/>
          <w:sz w:val="24"/>
        </w:rPr>
        <w:t> </w:t>
      </w:r>
      <w:r>
        <w:rPr>
          <w:sz w:val="24"/>
        </w:rPr>
        <w:t>(2021). What</w:t>
      </w:r>
      <w:r>
        <w:rPr>
          <w:spacing w:val="-12"/>
          <w:sz w:val="24"/>
        </w:rPr>
        <w:t> </w:t>
      </w:r>
      <w:r>
        <w:rPr>
          <w:sz w:val="24"/>
        </w:rPr>
        <w:t>happened</w:t>
      </w:r>
      <w:r>
        <w:rPr>
          <w:spacing w:val="-12"/>
          <w:sz w:val="24"/>
        </w:rPr>
        <w:t> </w:t>
      </w:r>
      <w:r>
        <w:rPr>
          <w:sz w:val="24"/>
        </w:rPr>
        <w:t>next? using deep learning to value defensive actions in football event-data, </w:t>
      </w:r>
      <w:r>
        <w:rPr>
          <w:i/>
          <w:sz w:val="24"/>
        </w:rPr>
        <w:t>27th ACM </w:t>
      </w:r>
      <w:r>
        <w:rPr>
          <w:i/>
          <w:sz w:val="24"/>
        </w:rPr>
        <w:t>SIGKDD</w:t>
      </w:r>
      <w:r>
        <w:rPr>
          <w:i/>
          <w:sz w:val="24"/>
        </w:rPr>
        <w:t> Conference on Knowledge Discovery and Data Mining (KDD ’21)</w:t>
      </w:r>
      <w:r>
        <w:rPr>
          <w:sz w:val="24"/>
        </w:rPr>
        <w:t>.</w:t>
      </w:r>
    </w:p>
    <w:p>
      <w:pPr>
        <w:pStyle w:val="BodyText"/>
        <w:spacing w:line="312" w:lineRule="auto" w:before="198"/>
        <w:ind w:left="844" w:right="389" w:hanging="235"/>
        <w:jc w:val="both"/>
      </w:pPr>
      <w:bookmarkStart w:name="_bookmark276" w:id="440"/>
      <w:bookmarkEnd w:id="440"/>
      <w:r>
        <w:rPr/>
      </w:r>
      <w:r>
        <w:rPr/>
        <w:t>Murphy,</w:t>
      </w:r>
      <w:r>
        <w:rPr>
          <w:spacing w:val="-9"/>
        </w:rPr>
        <w:t> </w:t>
      </w:r>
      <w:r>
        <w:rPr/>
        <w:t>K.</w:t>
      </w:r>
      <w:r>
        <w:rPr>
          <w:spacing w:val="-9"/>
        </w:rPr>
        <w:t> </w:t>
      </w:r>
      <w:r>
        <w:rPr/>
        <w:t>and</w:t>
      </w:r>
      <w:r>
        <w:rPr>
          <w:spacing w:val="-9"/>
        </w:rPr>
        <w:t> </w:t>
      </w:r>
      <w:r>
        <w:rPr/>
        <w:t>Myors,</w:t>
      </w:r>
      <w:r>
        <w:rPr>
          <w:spacing w:val="-9"/>
        </w:rPr>
        <w:t> </w:t>
      </w:r>
      <w:r>
        <w:rPr/>
        <w:t>B.</w:t>
      </w:r>
      <w:r>
        <w:rPr>
          <w:spacing w:val="-9"/>
        </w:rPr>
        <w:t> </w:t>
      </w:r>
      <w:r>
        <w:rPr/>
        <w:t>(1999).</w:t>
      </w:r>
      <w:r>
        <w:rPr>
          <w:spacing w:val="13"/>
        </w:rPr>
        <w:t> </w:t>
      </w:r>
      <w:r>
        <w:rPr/>
        <w:t>Testing</w:t>
      </w:r>
      <w:r>
        <w:rPr>
          <w:spacing w:val="-9"/>
        </w:rPr>
        <w:t> </w:t>
      </w:r>
      <w:r>
        <w:rPr/>
        <w:t>the</w:t>
      </w:r>
      <w:r>
        <w:rPr>
          <w:spacing w:val="-9"/>
        </w:rPr>
        <w:t> </w:t>
      </w:r>
      <w:r>
        <w:rPr/>
        <w:t>hypothesis</w:t>
      </w:r>
      <w:r>
        <w:rPr>
          <w:spacing w:val="-9"/>
        </w:rPr>
        <w:t> </w:t>
      </w:r>
      <w:r>
        <w:rPr/>
        <w:t>that</w:t>
      </w:r>
      <w:r>
        <w:rPr>
          <w:spacing w:val="-9"/>
        </w:rPr>
        <w:t> </w:t>
      </w:r>
      <w:r>
        <w:rPr/>
        <w:t>treatments</w:t>
      </w:r>
      <w:r>
        <w:rPr>
          <w:spacing w:val="-9"/>
        </w:rPr>
        <w:t> </w:t>
      </w:r>
      <w:r>
        <w:rPr/>
        <w:t>have</w:t>
      </w:r>
      <w:r>
        <w:rPr>
          <w:spacing w:val="-9"/>
        </w:rPr>
        <w:t> </w:t>
      </w:r>
      <w:r>
        <w:rPr/>
        <w:t>negligible effects: Minimum</w:t>
      </w:r>
      <w:r>
        <w:rPr>
          <w:spacing w:val="-5"/>
        </w:rPr>
        <w:t> </w:t>
      </w:r>
      <w:r>
        <w:rPr/>
        <w:t>effect</w:t>
      </w:r>
      <w:r>
        <w:rPr>
          <w:spacing w:val="-5"/>
        </w:rPr>
        <w:t> </w:t>
      </w:r>
      <w:r>
        <w:rPr/>
        <w:t>tests</w:t>
      </w:r>
      <w:r>
        <w:rPr>
          <w:spacing w:val="-5"/>
        </w:rPr>
        <w:t> </w:t>
      </w:r>
      <w:r>
        <w:rPr/>
        <w:t>in</w:t>
      </w:r>
      <w:r>
        <w:rPr>
          <w:spacing w:val="-5"/>
        </w:rPr>
        <w:t> </w:t>
      </w:r>
      <w:r>
        <w:rPr/>
        <w:t>the</w:t>
      </w:r>
      <w:r>
        <w:rPr>
          <w:spacing w:val="-5"/>
        </w:rPr>
        <w:t> </w:t>
      </w:r>
      <w:r>
        <w:rPr/>
        <w:t>general</w:t>
      </w:r>
      <w:r>
        <w:rPr>
          <w:spacing w:val="-5"/>
        </w:rPr>
        <w:t> </w:t>
      </w:r>
      <w:r>
        <w:rPr/>
        <w:t>linear</w:t>
      </w:r>
      <w:r>
        <w:rPr>
          <w:spacing w:val="-5"/>
        </w:rPr>
        <w:t> </w:t>
      </w:r>
      <w:r>
        <w:rPr/>
        <w:t>model,</w:t>
      </w:r>
      <w:r>
        <w:rPr>
          <w:spacing w:val="-4"/>
        </w:rPr>
        <w:t> </w:t>
      </w:r>
      <w:r>
        <w:rPr>
          <w:i/>
        </w:rPr>
        <w:t>Journal</w:t>
      </w:r>
      <w:r>
        <w:rPr>
          <w:i/>
          <w:spacing w:val="-5"/>
        </w:rPr>
        <w:t> </w:t>
      </w:r>
      <w:r>
        <w:rPr>
          <w:i/>
        </w:rPr>
        <w:t>of</w:t>
      </w:r>
      <w:r>
        <w:rPr>
          <w:i/>
          <w:spacing w:val="-5"/>
        </w:rPr>
        <w:t> </w:t>
      </w:r>
      <w:r>
        <w:rPr>
          <w:i/>
        </w:rPr>
        <w:t>Applied</w:t>
      </w:r>
      <w:r>
        <w:rPr>
          <w:i/>
          <w:spacing w:val="-5"/>
        </w:rPr>
        <w:t> </w:t>
      </w:r>
      <w:r>
        <w:rPr>
          <w:i/>
        </w:rPr>
        <w:t>Psychol-</w:t>
      </w:r>
      <w:r>
        <w:rPr>
          <w:i/>
        </w:rPr>
        <w:t> ogy </w:t>
      </w:r>
      <w:r>
        <w:rPr>
          <w:b/>
        </w:rPr>
        <w:t>84</w:t>
      </w:r>
      <w:r>
        <w:rPr/>
        <w:t>: 234–238.</w:t>
      </w:r>
    </w:p>
    <w:p>
      <w:pPr>
        <w:pStyle w:val="BodyText"/>
        <w:spacing w:line="290" w:lineRule="auto" w:before="199"/>
        <w:ind w:left="844" w:right="389" w:hanging="235"/>
        <w:jc w:val="both"/>
      </w:pPr>
      <w:bookmarkStart w:name="_bookmark277" w:id="441"/>
      <w:bookmarkEnd w:id="441"/>
      <w:r>
        <w:rPr/>
      </w:r>
      <w:r>
        <w:rPr/>
        <w:t>Opta (n.d.).</w:t>
      </w:r>
      <w:r>
        <w:rPr>
          <w:spacing w:val="40"/>
        </w:rPr>
        <w:t> </w:t>
      </w:r>
      <w:r>
        <w:rPr/>
        <w:t>Super league player stats, </w:t>
      </w:r>
      <w:hyperlink r:id="rId157">
        <w:r>
          <w:rPr>
            <w:rFonts w:ascii="Courier New"/>
            <w:color w:val="0000FF"/>
          </w:rPr>
          <w:t>https://www.superleague.co.uk/</w:t>
        </w:r>
      </w:hyperlink>
      <w:r>
        <w:rPr>
          <w:rFonts w:ascii="Courier New"/>
          <w:color w:val="0000FF"/>
        </w:rPr>
        <w:t> </w:t>
      </w:r>
      <w:hyperlink r:id="rId157">
        <w:r>
          <w:rPr>
            <w:rFonts w:ascii="Courier New"/>
            <w:color w:val="0000FF"/>
          </w:rPr>
          <w:t>stats/player-stats</w:t>
        </w:r>
      </w:hyperlink>
      <w:r>
        <w:rPr/>
        <w:t>. Accessed: 2022-10-29.</w:t>
      </w:r>
    </w:p>
    <w:p>
      <w:pPr>
        <w:spacing w:line="312" w:lineRule="auto" w:before="208"/>
        <w:ind w:left="844" w:right="389" w:hanging="235"/>
        <w:jc w:val="both"/>
        <w:rPr>
          <w:sz w:val="24"/>
        </w:rPr>
      </w:pPr>
      <w:bookmarkStart w:name="_bookmark278" w:id="442"/>
      <w:bookmarkEnd w:id="442"/>
      <w:r>
        <w:rPr/>
      </w:r>
      <w:r>
        <w:rPr>
          <w:spacing w:val="-2"/>
          <w:sz w:val="24"/>
        </w:rPr>
        <w:t>Panaretos,</w:t>
      </w:r>
      <w:r>
        <w:rPr>
          <w:spacing w:val="-9"/>
          <w:sz w:val="24"/>
        </w:rPr>
        <w:t> </w:t>
      </w:r>
      <w:r>
        <w:rPr>
          <w:spacing w:val="-2"/>
          <w:sz w:val="24"/>
        </w:rPr>
        <w:t>V.</w:t>
      </w:r>
      <w:r>
        <w:rPr>
          <w:spacing w:val="-12"/>
          <w:sz w:val="24"/>
        </w:rPr>
        <w:t> </w:t>
      </w:r>
      <w:r>
        <w:rPr>
          <w:spacing w:val="-2"/>
          <w:sz w:val="24"/>
        </w:rPr>
        <w:t>M.</w:t>
      </w:r>
      <w:r>
        <w:rPr>
          <w:spacing w:val="-12"/>
          <w:sz w:val="24"/>
        </w:rPr>
        <w:t> </w:t>
      </w:r>
      <w:r>
        <w:rPr>
          <w:spacing w:val="-2"/>
          <w:sz w:val="24"/>
        </w:rPr>
        <w:t>and</w:t>
      </w:r>
      <w:r>
        <w:rPr>
          <w:spacing w:val="-12"/>
          <w:sz w:val="24"/>
        </w:rPr>
        <w:t> </w:t>
      </w:r>
      <w:r>
        <w:rPr>
          <w:spacing w:val="-2"/>
          <w:sz w:val="24"/>
        </w:rPr>
        <w:t>Zemel,</w:t>
      </w:r>
      <w:r>
        <w:rPr>
          <w:spacing w:val="-9"/>
          <w:sz w:val="24"/>
        </w:rPr>
        <w:t> </w:t>
      </w:r>
      <w:r>
        <w:rPr>
          <w:spacing w:val="-2"/>
          <w:sz w:val="24"/>
        </w:rPr>
        <w:t>Y.</w:t>
      </w:r>
      <w:r>
        <w:rPr>
          <w:spacing w:val="-12"/>
          <w:sz w:val="24"/>
        </w:rPr>
        <w:t> </w:t>
      </w:r>
      <w:r>
        <w:rPr>
          <w:spacing w:val="-2"/>
          <w:sz w:val="24"/>
        </w:rPr>
        <w:t>(2019). Statistical</w:t>
      </w:r>
      <w:r>
        <w:rPr>
          <w:spacing w:val="-12"/>
          <w:sz w:val="24"/>
        </w:rPr>
        <w:t> </w:t>
      </w:r>
      <w:r>
        <w:rPr>
          <w:spacing w:val="-2"/>
          <w:sz w:val="24"/>
        </w:rPr>
        <w:t>aspects</w:t>
      </w:r>
      <w:r>
        <w:rPr>
          <w:spacing w:val="-12"/>
          <w:sz w:val="24"/>
        </w:rPr>
        <w:t> </w:t>
      </w:r>
      <w:r>
        <w:rPr>
          <w:spacing w:val="-2"/>
          <w:sz w:val="24"/>
        </w:rPr>
        <w:t>of</w:t>
      </w:r>
      <w:r>
        <w:rPr>
          <w:spacing w:val="-12"/>
          <w:sz w:val="24"/>
        </w:rPr>
        <w:t> </w:t>
      </w:r>
      <w:r>
        <w:rPr>
          <w:spacing w:val="-2"/>
          <w:sz w:val="24"/>
        </w:rPr>
        <w:t>wasserstein</w:t>
      </w:r>
      <w:r>
        <w:rPr>
          <w:spacing w:val="-12"/>
          <w:sz w:val="24"/>
        </w:rPr>
        <w:t> </w:t>
      </w:r>
      <w:r>
        <w:rPr>
          <w:spacing w:val="-2"/>
          <w:sz w:val="24"/>
        </w:rPr>
        <w:t>distances,</w:t>
      </w:r>
      <w:r>
        <w:rPr>
          <w:spacing w:val="-9"/>
          <w:sz w:val="24"/>
        </w:rPr>
        <w:t> </w:t>
      </w:r>
      <w:r>
        <w:rPr>
          <w:i/>
          <w:spacing w:val="-2"/>
          <w:sz w:val="24"/>
        </w:rPr>
        <w:t>Annual</w:t>
      </w:r>
      <w:r>
        <w:rPr>
          <w:i/>
          <w:spacing w:val="-2"/>
          <w:sz w:val="24"/>
        </w:rPr>
        <w:t> </w:t>
      </w:r>
      <w:r>
        <w:rPr>
          <w:i/>
          <w:sz w:val="24"/>
        </w:rPr>
        <w:t>Review of Statistics and Its Application </w:t>
      </w:r>
      <w:r>
        <w:rPr>
          <w:b/>
          <w:sz w:val="24"/>
        </w:rPr>
        <w:t>6</w:t>
      </w:r>
      <w:r>
        <w:rPr>
          <w:sz w:val="24"/>
        </w:rPr>
        <w:t>(1): 405–431.</w:t>
      </w:r>
    </w:p>
    <w:p>
      <w:pPr>
        <w:pStyle w:val="BodyText"/>
        <w:spacing w:line="312" w:lineRule="auto" w:before="199"/>
        <w:ind w:left="844" w:right="389" w:hanging="235"/>
        <w:jc w:val="both"/>
      </w:pPr>
      <w:bookmarkStart w:name="_bookmark279" w:id="443"/>
      <w:bookmarkEnd w:id="443"/>
      <w:r>
        <w:rPr/>
      </w:r>
      <w:r>
        <w:rPr/>
        <w:t>Pappalardo,</w:t>
      </w:r>
      <w:r>
        <w:rPr>
          <w:spacing w:val="-11"/>
        </w:rPr>
        <w:t> </w:t>
      </w:r>
      <w:r>
        <w:rPr/>
        <w:t>L.,</w:t>
      </w:r>
      <w:r>
        <w:rPr>
          <w:spacing w:val="-11"/>
        </w:rPr>
        <w:t> </w:t>
      </w:r>
      <w:r>
        <w:rPr/>
        <w:t>Cintia,</w:t>
      </w:r>
      <w:r>
        <w:rPr>
          <w:spacing w:val="-11"/>
        </w:rPr>
        <w:t> </w:t>
      </w:r>
      <w:r>
        <w:rPr/>
        <w:t>P.,</w:t>
      </w:r>
      <w:r>
        <w:rPr>
          <w:spacing w:val="-11"/>
        </w:rPr>
        <w:t> </w:t>
      </w:r>
      <w:r>
        <w:rPr/>
        <w:t>Rossi,</w:t>
      </w:r>
      <w:r>
        <w:rPr>
          <w:spacing w:val="-11"/>
        </w:rPr>
        <w:t> </w:t>
      </w:r>
      <w:r>
        <w:rPr/>
        <w:t>A.,</w:t>
      </w:r>
      <w:r>
        <w:rPr>
          <w:spacing w:val="-11"/>
        </w:rPr>
        <w:t> </w:t>
      </w:r>
      <w:r>
        <w:rPr/>
        <w:t>Massucco,</w:t>
      </w:r>
      <w:r>
        <w:rPr>
          <w:spacing w:val="-11"/>
        </w:rPr>
        <w:t> </w:t>
      </w:r>
      <w:r>
        <w:rPr/>
        <w:t>E.,</w:t>
      </w:r>
      <w:r>
        <w:rPr>
          <w:spacing w:val="-11"/>
        </w:rPr>
        <w:t> </w:t>
      </w:r>
      <w:r>
        <w:rPr/>
        <w:t>Ferragina,</w:t>
      </w:r>
      <w:r>
        <w:rPr>
          <w:spacing w:val="-11"/>
        </w:rPr>
        <w:t> </w:t>
      </w:r>
      <w:r>
        <w:rPr/>
        <w:t>P.,</w:t>
      </w:r>
      <w:r>
        <w:rPr>
          <w:spacing w:val="-11"/>
        </w:rPr>
        <w:t> </w:t>
      </w:r>
      <w:r>
        <w:rPr/>
        <w:t>Pedreschi,</w:t>
      </w:r>
      <w:r>
        <w:rPr>
          <w:spacing w:val="-11"/>
        </w:rPr>
        <w:t> </w:t>
      </w:r>
      <w:r>
        <w:rPr/>
        <w:t>D.</w:t>
      </w:r>
      <w:r>
        <w:rPr>
          <w:spacing w:val="-12"/>
        </w:rPr>
        <w:t> </w:t>
      </w:r>
      <w:r>
        <w:rPr/>
        <w:t>and</w:t>
      </w:r>
      <w:r>
        <w:rPr>
          <w:spacing w:val="-11"/>
        </w:rPr>
        <w:t> </w:t>
      </w:r>
      <w:r>
        <w:rPr/>
        <w:t>Gian- notti, F. (2019).</w:t>
      </w:r>
      <w:r>
        <w:rPr>
          <w:spacing w:val="40"/>
        </w:rPr>
        <w:t> </w:t>
      </w:r>
      <w:r>
        <w:rPr/>
        <w:t>A public data set of spatio-temporal match events in soccer </w:t>
      </w:r>
      <w:r>
        <w:rPr/>
        <w:t>competi- tions, </w:t>
      </w:r>
      <w:r>
        <w:rPr>
          <w:i/>
        </w:rPr>
        <w:t>Scientific Data </w:t>
      </w:r>
      <w:r>
        <w:rPr>
          <w:b/>
        </w:rPr>
        <w:t>6</w:t>
      </w:r>
      <w:r>
        <w:rPr/>
        <w:t>(236).</w:t>
      </w:r>
    </w:p>
    <w:p>
      <w:pPr>
        <w:spacing w:line="312" w:lineRule="auto" w:before="199"/>
        <w:ind w:left="844" w:right="389" w:hanging="235"/>
        <w:jc w:val="both"/>
        <w:rPr>
          <w:sz w:val="24"/>
        </w:rPr>
      </w:pPr>
      <w:bookmarkStart w:name="_bookmark280" w:id="444"/>
      <w:bookmarkEnd w:id="444"/>
      <w:r>
        <w:rPr/>
      </w:r>
      <w:r>
        <w:rPr>
          <w:sz w:val="24"/>
        </w:rPr>
        <w:t>Park,</w:t>
      </w:r>
      <w:r>
        <w:rPr>
          <w:spacing w:val="-4"/>
          <w:sz w:val="24"/>
        </w:rPr>
        <w:t> </w:t>
      </w:r>
      <w:r>
        <w:rPr>
          <w:sz w:val="24"/>
        </w:rPr>
        <w:t>B.</w:t>
      </w:r>
      <w:r>
        <w:rPr>
          <w:spacing w:val="-5"/>
          <w:sz w:val="24"/>
        </w:rPr>
        <w:t> </w:t>
      </w:r>
      <w:r>
        <w:rPr>
          <w:sz w:val="24"/>
        </w:rPr>
        <w:t>and</w:t>
      </w:r>
      <w:r>
        <w:rPr>
          <w:spacing w:val="-5"/>
          <w:sz w:val="24"/>
        </w:rPr>
        <w:t> </w:t>
      </w:r>
      <w:r>
        <w:rPr>
          <w:sz w:val="24"/>
        </w:rPr>
        <w:t>Marron,</w:t>
      </w:r>
      <w:r>
        <w:rPr>
          <w:spacing w:val="-4"/>
          <w:sz w:val="24"/>
        </w:rPr>
        <w:t> </w:t>
      </w:r>
      <w:r>
        <w:rPr>
          <w:sz w:val="24"/>
        </w:rPr>
        <w:t>J.</w:t>
      </w:r>
      <w:r>
        <w:rPr>
          <w:spacing w:val="-5"/>
          <w:sz w:val="24"/>
        </w:rPr>
        <w:t> </w:t>
      </w:r>
      <w:r>
        <w:rPr>
          <w:sz w:val="24"/>
        </w:rPr>
        <w:t>(1990).</w:t>
      </w:r>
      <w:r>
        <w:rPr>
          <w:spacing w:val="25"/>
          <w:sz w:val="24"/>
        </w:rPr>
        <w:t> </w:t>
      </w:r>
      <w:r>
        <w:rPr>
          <w:sz w:val="24"/>
        </w:rPr>
        <w:t>Comparison</w:t>
      </w:r>
      <w:r>
        <w:rPr>
          <w:spacing w:val="-5"/>
          <w:sz w:val="24"/>
        </w:rPr>
        <w:t> </w:t>
      </w:r>
      <w:r>
        <w:rPr>
          <w:sz w:val="24"/>
        </w:rPr>
        <w:t>of</w:t>
      </w:r>
      <w:r>
        <w:rPr>
          <w:spacing w:val="-5"/>
          <w:sz w:val="24"/>
        </w:rPr>
        <w:t> </w:t>
      </w:r>
      <w:r>
        <w:rPr>
          <w:sz w:val="24"/>
        </w:rPr>
        <w:t>data-driven</w:t>
      </w:r>
      <w:r>
        <w:rPr>
          <w:spacing w:val="-5"/>
          <w:sz w:val="24"/>
        </w:rPr>
        <w:t> </w:t>
      </w:r>
      <w:r>
        <w:rPr>
          <w:sz w:val="24"/>
        </w:rPr>
        <w:t>bandwidth</w:t>
      </w:r>
      <w:r>
        <w:rPr>
          <w:spacing w:val="-5"/>
          <w:sz w:val="24"/>
        </w:rPr>
        <w:t> </w:t>
      </w:r>
      <w:r>
        <w:rPr>
          <w:sz w:val="24"/>
        </w:rPr>
        <w:t>selectors,</w:t>
      </w:r>
      <w:r>
        <w:rPr>
          <w:spacing w:val="-4"/>
          <w:sz w:val="24"/>
        </w:rPr>
        <w:t> </w:t>
      </w:r>
      <w:r>
        <w:rPr>
          <w:i/>
          <w:sz w:val="24"/>
        </w:rPr>
        <w:t>Journal</w:t>
      </w:r>
      <w:r>
        <w:rPr>
          <w:i/>
          <w:sz w:val="24"/>
        </w:rPr>
        <w:t> of the American Statistical Association </w:t>
      </w:r>
      <w:r>
        <w:rPr>
          <w:b/>
          <w:sz w:val="24"/>
        </w:rPr>
        <w:t>85</w:t>
      </w:r>
      <w:r>
        <w:rPr>
          <w:sz w:val="24"/>
        </w:rPr>
        <w:t>: 66–72.</w:t>
      </w:r>
    </w:p>
    <w:p>
      <w:pPr>
        <w:spacing w:line="312" w:lineRule="auto" w:before="198"/>
        <w:ind w:left="844" w:right="389" w:hanging="235"/>
        <w:jc w:val="both"/>
        <w:rPr>
          <w:sz w:val="24"/>
        </w:rPr>
      </w:pPr>
      <w:bookmarkStart w:name="_bookmark281" w:id="445"/>
      <w:bookmarkEnd w:id="445"/>
      <w:r>
        <w:rPr/>
      </w:r>
      <w:r>
        <w:rPr>
          <w:sz w:val="24"/>
        </w:rPr>
        <w:t>Parmar, N., James, N., Hearne, G. and Jones, B. (2018).</w:t>
      </w:r>
      <w:r>
        <w:rPr>
          <w:spacing w:val="40"/>
          <w:sz w:val="24"/>
        </w:rPr>
        <w:t> </w:t>
      </w:r>
      <w:r>
        <w:rPr>
          <w:sz w:val="24"/>
        </w:rPr>
        <w:t>Using principal component analysis</w:t>
      </w:r>
      <w:r>
        <w:rPr>
          <w:spacing w:val="-7"/>
          <w:sz w:val="24"/>
        </w:rPr>
        <w:t> </w:t>
      </w:r>
      <w:r>
        <w:rPr>
          <w:sz w:val="24"/>
        </w:rPr>
        <w:t>to</w:t>
      </w:r>
      <w:r>
        <w:rPr>
          <w:spacing w:val="-7"/>
          <w:sz w:val="24"/>
        </w:rPr>
        <w:t> </w:t>
      </w:r>
      <w:r>
        <w:rPr>
          <w:sz w:val="24"/>
        </w:rPr>
        <w:t>develop</w:t>
      </w:r>
      <w:r>
        <w:rPr>
          <w:spacing w:val="-7"/>
          <w:sz w:val="24"/>
        </w:rPr>
        <w:t> </w:t>
      </w:r>
      <w:r>
        <w:rPr>
          <w:sz w:val="24"/>
        </w:rPr>
        <w:t>performance</w:t>
      </w:r>
      <w:r>
        <w:rPr>
          <w:spacing w:val="-7"/>
          <w:sz w:val="24"/>
        </w:rPr>
        <w:t> </w:t>
      </w:r>
      <w:r>
        <w:rPr>
          <w:sz w:val="24"/>
        </w:rPr>
        <w:t>indicators</w:t>
      </w:r>
      <w:r>
        <w:rPr>
          <w:spacing w:val="-7"/>
          <w:sz w:val="24"/>
        </w:rPr>
        <w:t> </w:t>
      </w:r>
      <w:r>
        <w:rPr>
          <w:sz w:val="24"/>
        </w:rPr>
        <w:t>in</w:t>
      </w:r>
      <w:r>
        <w:rPr>
          <w:spacing w:val="-7"/>
          <w:sz w:val="24"/>
        </w:rPr>
        <w:t> </w:t>
      </w:r>
      <w:r>
        <w:rPr>
          <w:sz w:val="24"/>
        </w:rPr>
        <w:t>professional</w:t>
      </w:r>
      <w:r>
        <w:rPr>
          <w:spacing w:val="-7"/>
          <w:sz w:val="24"/>
        </w:rPr>
        <w:t> </w:t>
      </w:r>
      <w:r>
        <w:rPr>
          <w:sz w:val="24"/>
        </w:rPr>
        <w:t>rugby</w:t>
      </w:r>
      <w:r>
        <w:rPr>
          <w:spacing w:val="-7"/>
          <w:sz w:val="24"/>
        </w:rPr>
        <w:t> </w:t>
      </w:r>
      <w:r>
        <w:rPr>
          <w:sz w:val="24"/>
        </w:rPr>
        <w:t>league,</w:t>
      </w:r>
      <w:r>
        <w:rPr>
          <w:spacing w:val="-6"/>
          <w:sz w:val="24"/>
        </w:rPr>
        <w:t> </w:t>
      </w:r>
      <w:r>
        <w:rPr>
          <w:i/>
          <w:sz w:val="24"/>
        </w:rPr>
        <w:t>International</w:t>
      </w:r>
      <w:r>
        <w:rPr>
          <w:i/>
          <w:sz w:val="24"/>
        </w:rPr>
        <w:t> Journal of Performance Analysis in Sport </w:t>
      </w:r>
      <w:r>
        <w:rPr>
          <w:b/>
          <w:sz w:val="24"/>
        </w:rPr>
        <w:t>18</w:t>
      </w:r>
      <w:r>
        <w:rPr>
          <w:sz w:val="24"/>
        </w:rPr>
        <w:t>: 938–949.</w:t>
      </w:r>
    </w:p>
    <w:p>
      <w:pPr>
        <w:pStyle w:val="BodyText"/>
        <w:spacing w:line="312" w:lineRule="auto" w:before="199"/>
        <w:ind w:left="844" w:right="389" w:hanging="235"/>
        <w:jc w:val="both"/>
      </w:pPr>
      <w:bookmarkStart w:name="_bookmark282" w:id="446"/>
      <w:bookmarkEnd w:id="446"/>
      <w:r>
        <w:rPr/>
      </w:r>
      <w:r>
        <w:rPr/>
        <w:t>Pedregosa,</w:t>
      </w:r>
      <w:r>
        <w:rPr>
          <w:spacing w:val="-6"/>
        </w:rPr>
        <w:t> </w:t>
      </w:r>
      <w:r>
        <w:rPr/>
        <w:t>F.,</w:t>
      </w:r>
      <w:r>
        <w:rPr>
          <w:spacing w:val="-6"/>
        </w:rPr>
        <w:t> </w:t>
      </w:r>
      <w:r>
        <w:rPr/>
        <w:t>Varoquaux,</w:t>
      </w:r>
      <w:r>
        <w:rPr>
          <w:spacing w:val="-6"/>
        </w:rPr>
        <w:t> </w:t>
      </w:r>
      <w:r>
        <w:rPr/>
        <w:t>G.,</w:t>
      </w:r>
      <w:r>
        <w:rPr>
          <w:spacing w:val="-6"/>
        </w:rPr>
        <w:t> </w:t>
      </w:r>
      <w:r>
        <w:rPr/>
        <w:t>Gramfort,</w:t>
      </w:r>
      <w:r>
        <w:rPr>
          <w:spacing w:val="-6"/>
        </w:rPr>
        <w:t> </w:t>
      </w:r>
      <w:r>
        <w:rPr/>
        <w:t>A.,</w:t>
      </w:r>
      <w:r>
        <w:rPr>
          <w:spacing w:val="-6"/>
        </w:rPr>
        <w:t> </w:t>
      </w:r>
      <w:r>
        <w:rPr/>
        <w:t>Michel,</w:t>
      </w:r>
      <w:r>
        <w:rPr>
          <w:spacing w:val="-6"/>
        </w:rPr>
        <w:t> </w:t>
      </w:r>
      <w:r>
        <w:rPr/>
        <w:t>V.,</w:t>
      </w:r>
      <w:r>
        <w:rPr>
          <w:spacing w:val="-6"/>
        </w:rPr>
        <w:t> </w:t>
      </w:r>
      <w:r>
        <w:rPr/>
        <w:t>Thirion,</w:t>
      </w:r>
      <w:r>
        <w:rPr>
          <w:spacing w:val="-6"/>
        </w:rPr>
        <w:t> </w:t>
      </w:r>
      <w:r>
        <w:rPr/>
        <w:t>B.,</w:t>
      </w:r>
      <w:r>
        <w:rPr>
          <w:spacing w:val="-6"/>
        </w:rPr>
        <w:t> </w:t>
      </w:r>
      <w:r>
        <w:rPr/>
        <w:t>Grisel,</w:t>
      </w:r>
      <w:r>
        <w:rPr>
          <w:spacing w:val="-6"/>
        </w:rPr>
        <w:t> </w:t>
      </w:r>
      <w:r>
        <w:rPr/>
        <w:t>O.,</w:t>
      </w:r>
      <w:r>
        <w:rPr>
          <w:spacing w:val="-6"/>
        </w:rPr>
        <w:t> </w:t>
      </w:r>
      <w:r>
        <w:rPr/>
        <w:t>Blondel, M., Prettenhofer, P., Weiss, R., Dubourg, V., Vanderplas, J., Passos, A., Cournapeau, D.,</w:t>
      </w:r>
      <w:r>
        <w:rPr>
          <w:spacing w:val="-4"/>
        </w:rPr>
        <w:t> </w:t>
      </w:r>
      <w:r>
        <w:rPr/>
        <w:t>Brucher,</w:t>
      </w:r>
      <w:r>
        <w:rPr>
          <w:spacing w:val="-4"/>
        </w:rPr>
        <w:t> </w:t>
      </w:r>
      <w:r>
        <w:rPr/>
        <w:t>M.,</w:t>
      </w:r>
      <w:r>
        <w:rPr>
          <w:spacing w:val="-4"/>
        </w:rPr>
        <w:t> </w:t>
      </w:r>
      <w:r>
        <w:rPr/>
        <w:t>Perrot,</w:t>
      </w:r>
      <w:r>
        <w:rPr>
          <w:spacing w:val="-4"/>
        </w:rPr>
        <w:t> </w:t>
      </w:r>
      <w:r>
        <w:rPr/>
        <w:t>M.</w:t>
      </w:r>
      <w:r>
        <w:rPr>
          <w:spacing w:val="-4"/>
        </w:rPr>
        <w:t> </w:t>
      </w:r>
      <w:r>
        <w:rPr/>
        <w:t>and</w:t>
      </w:r>
      <w:r>
        <w:rPr>
          <w:spacing w:val="-5"/>
        </w:rPr>
        <w:t> </w:t>
      </w:r>
      <w:r>
        <w:rPr/>
        <w:t>Duchesnay,</w:t>
      </w:r>
      <w:r>
        <w:rPr>
          <w:spacing w:val="-4"/>
        </w:rPr>
        <w:t> </w:t>
      </w:r>
      <w:r>
        <w:rPr/>
        <w:t>E.</w:t>
      </w:r>
      <w:r>
        <w:rPr>
          <w:spacing w:val="-4"/>
        </w:rPr>
        <w:t> </w:t>
      </w:r>
      <w:r>
        <w:rPr/>
        <w:t>(2011).</w:t>
      </w:r>
      <w:r>
        <w:rPr>
          <w:spacing w:val="26"/>
        </w:rPr>
        <w:t> </w:t>
      </w:r>
      <w:r>
        <w:rPr/>
        <w:t>Scikit-learn: Machine</w:t>
      </w:r>
      <w:r>
        <w:rPr>
          <w:spacing w:val="-4"/>
        </w:rPr>
        <w:t> </w:t>
      </w:r>
      <w:r>
        <w:rPr/>
        <w:t>learning in Python, </w:t>
      </w:r>
      <w:r>
        <w:rPr>
          <w:i/>
        </w:rPr>
        <w:t>Journal of Machine Learning Research </w:t>
      </w:r>
      <w:r>
        <w:rPr>
          <w:b/>
        </w:rPr>
        <w:t>12</w:t>
      </w:r>
      <w:r>
        <w:rPr/>
        <w:t>: 2825–2830.</w:t>
      </w:r>
    </w:p>
    <w:p>
      <w:pPr>
        <w:spacing w:after="0" w:line="312" w:lineRule="auto"/>
        <w:jc w:val="both"/>
        <w:sectPr>
          <w:pgSz w:w="11910" w:h="16840"/>
          <w:pgMar w:header="1961" w:footer="1428" w:top="2280" w:bottom="1620" w:left="1680" w:right="720"/>
        </w:sectPr>
      </w:pPr>
    </w:p>
    <w:p>
      <w:pPr>
        <w:pStyle w:val="BodyText"/>
        <w:rPr>
          <w:sz w:val="20"/>
        </w:rPr>
      </w:pPr>
    </w:p>
    <w:p>
      <w:pPr>
        <w:pStyle w:val="BodyText"/>
        <w:spacing w:before="3"/>
        <w:rPr>
          <w:sz w:val="21"/>
        </w:rPr>
      </w:pPr>
    </w:p>
    <w:p>
      <w:pPr>
        <w:spacing w:line="312" w:lineRule="auto" w:before="97"/>
        <w:ind w:left="844" w:right="389" w:hanging="235"/>
        <w:jc w:val="both"/>
        <w:rPr>
          <w:sz w:val="24"/>
        </w:rPr>
      </w:pPr>
      <w:bookmarkStart w:name="_bookmark283" w:id="447"/>
      <w:bookmarkEnd w:id="447"/>
      <w:r>
        <w:rPr/>
      </w:r>
      <w:r>
        <w:rPr>
          <w:sz w:val="24"/>
        </w:rPr>
        <w:t>Puente, C., Del Cose, J., Salinero, J. J. and Abian-Vicen, J. (2015).</w:t>
      </w:r>
      <w:r>
        <w:rPr>
          <w:spacing w:val="40"/>
          <w:sz w:val="24"/>
        </w:rPr>
        <w:t> </w:t>
      </w:r>
      <w:r>
        <w:rPr>
          <w:sz w:val="24"/>
        </w:rPr>
        <w:t>Basketball </w:t>
      </w:r>
      <w:r>
        <w:rPr>
          <w:sz w:val="24"/>
        </w:rPr>
        <w:t>per- formance indicators during the acb regular season from 2003 to 2013, </w:t>
      </w:r>
      <w:r>
        <w:rPr>
          <w:i/>
          <w:sz w:val="24"/>
        </w:rPr>
        <w:t>International</w:t>
      </w:r>
      <w:r>
        <w:rPr>
          <w:i/>
          <w:sz w:val="24"/>
        </w:rPr>
        <w:t> Journal of Performance Analysis in Sport </w:t>
      </w:r>
      <w:r>
        <w:rPr>
          <w:b/>
          <w:sz w:val="24"/>
        </w:rPr>
        <w:t>15</w:t>
      </w:r>
      <w:r>
        <w:rPr>
          <w:sz w:val="24"/>
        </w:rPr>
        <w:t>(3): 935–948.</w:t>
      </w:r>
    </w:p>
    <w:p>
      <w:pPr>
        <w:pStyle w:val="BodyText"/>
        <w:spacing w:line="312" w:lineRule="auto" w:before="189"/>
        <w:ind w:left="844" w:right="389" w:hanging="235"/>
        <w:jc w:val="both"/>
      </w:pPr>
      <w:bookmarkStart w:name="_bookmark284" w:id="448"/>
      <w:bookmarkEnd w:id="448"/>
      <w:r>
        <w:rPr/>
      </w:r>
      <w:r>
        <w:rPr/>
        <w:t>Robertson, S., Gupta, R. and McIntosh, S. (2016).</w:t>
      </w:r>
      <w:r>
        <w:rPr>
          <w:spacing w:val="40"/>
        </w:rPr>
        <w:t> </w:t>
      </w:r>
      <w:r>
        <w:rPr/>
        <w:t>A method to assess the influence of individual player performance distribution on match outcome in team sports, </w:t>
      </w:r>
      <w:r>
        <w:rPr>
          <w:i/>
        </w:rPr>
        <w:t>Journal</w:t>
      </w:r>
      <w:r>
        <w:rPr>
          <w:i/>
        </w:rPr>
        <w:t> of Sports Sciences </w:t>
      </w:r>
      <w:r>
        <w:rPr>
          <w:b/>
        </w:rPr>
        <w:t>34</w:t>
      </w:r>
      <w:r>
        <w:rPr/>
        <w:t>(19): 1893–1900.</w:t>
      </w:r>
    </w:p>
    <w:p>
      <w:pPr>
        <w:spacing w:line="312" w:lineRule="auto" w:before="189"/>
        <w:ind w:left="844" w:right="389" w:hanging="235"/>
        <w:jc w:val="both"/>
        <w:rPr>
          <w:sz w:val="24"/>
        </w:rPr>
      </w:pPr>
      <w:bookmarkStart w:name="_bookmark285" w:id="449"/>
      <w:bookmarkEnd w:id="449"/>
      <w:r>
        <w:rPr/>
      </w:r>
      <w:r>
        <w:rPr>
          <w:sz w:val="24"/>
        </w:rPr>
        <w:t>Rodgers, J. L. and Nicewander, W. A. (1988).</w:t>
      </w:r>
      <w:r>
        <w:rPr>
          <w:spacing w:val="40"/>
          <w:sz w:val="24"/>
        </w:rPr>
        <w:t> </w:t>
      </w:r>
      <w:r>
        <w:rPr>
          <w:sz w:val="24"/>
        </w:rPr>
        <w:t>Thirteen ways to look at the correlation coefficient, </w:t>
      </w:r>
      <w:r>
        <w:rPr>
          <w:i/>
          <w:sz w:val="24"/>
        </w:rPr>
        <w:t>The American Statistician </w:t>
      </w:r>
      <w:r>
        <w:rPr>
          <w:b/>
          <w:sz w:val="24"/>
        </w:rPr>
        <w:t>42</w:t>
      </w:r>
      <w:r>
        <w:rPr>
          <w:sz w:val="24"/>
        </w:rPr>
        <w:t>(1): 59–66.</w:t>
      </w:r>
    </w:p>
    <w:p>
      <w:pPr>
        <w:pStyle w:val="BodyText"/>
        <w:spacing w:before="189"/>
        <w:ind w:left="610"/>
      </w:pPr>
      <w:bookmarkStart w:name="_bookmark286" w:id="450"/>
      <w:bookmarkEnd w:id="450"/>
      <w:r>
        <w:rPr/>
      </w:r>
      <w:r>
        <w:rPr/>
        <w:t>Rosenblatt,</w:t>
      </w:r>
      <w:r>
        <w:rPr>
          <w:spacing w:val="-3"/>
        </w:rPr>
        <w:t> </w:t>
      </w:r>
      <w:r>
        <w:rPr/>
        <w:t>M.</w:t>
      </w:r>
      <w:r>
        <w:rPr>
          <w:spacing w:val="-3"/>
        </w:rPr>
        <w:t> </w:t>
      </w:r>
      <w:r>
        <w:rPr/>
        <w:t>(1956).</w:t>
      </w:r>
      <w:r>
        <w:rPr>
          <w:spacing w:val="29"/>
        </w:rPr>
        <w:t> </w:t>
      </w:r>
      <w:r>
        <w:rPr/>
        <w:t>Remarks</w:t>
      </w:r>
      <w:r>
        <w:rPr>
          <w:spacing w:val="-3"/>
        </w:rPr>
        <w:t> </w:t>
      </w:r>
      <w:r>
        <w:rPr/>
        <w:t>on</w:t>
      </w:r>
      <w:r>
        <w:rPr>
          <w:spacing w:val="-3"/>
        </w:rPr>
        <w:t> </w:t>
      </w:r>
      <w:r>
        <w:rPr/>
        <w:t>some</w:t>
      </w:r>
      <w:r>
        <w:rPr>
          <w:spacing w:val="-3"/>
        </w:rPr>
        <w:t> </w:t>
      </w:r>
      <w:r>
        <w:rPr/>
        <w:t>nonparametric</w:t>
      </w:r>
      <w:r>
        <w:rPr>
          <w:spacing w:val="-3"/>
        </w:rPr>
        <w:t> </w:t>
      </w:r>
      <w:r>
        <w:rPr/>
        <w:t>estimates</w:t>
      </w:r>
      <w:r>
        <w:rPr>
          <w:spacing w:val="-3"/>
        </w:rPr>
        <w:t> </w:t>
      </w:r>
      <w:r>
        <w:rPr/>
        <w:t>of</w:t>
      </w:r>
      <w:r>
        <w:rPr>
          <w:spacing w:val="-3"/>
        </w:rPr>
        <w:t> </w:t>
      </w:r>
      <w:r>
        <w:rPr/>
        <w:t>a</w:t>
      </w:r>
      <w:r>
        <w:rPr>
          <w:spacing w:val="-3"/>
        </w:rPr>
        <w:t> </w:t>
      </w:r>
      <w:r>
        <w:rPr/>
        <w:t>density</w:t>
      </w:r>
      <w:r>
        <w:rPr>
          <w:spacing w:val="-3"/>
        </w:rPr>
        <w:t> </w:t>
      </w:r>
      <w:r>
        <w:rPr>
          <w:spacing w:val="-2"/>
        </w:rPr>
        <w:t>function,</w:t>
      </w:r>
    </w:p>
    <w:p>
      <w:pPr>
        <w:spacing w:before="83"/>
        <w:ind w:left="844" w:right="0" w:firstLine="0"/>
        <w:jc w:val="left"/>
        <w:rPr>
          <w:sz w:val="24"/>
        </w:rPr>
      </w:pPr>
      <w:r>
        <w:rPr>
          <w:i/>
          <w:sz w:val="24"/>
        </w:rPr>
        <w:t>Annals</w:t>
      </w:r>
      <w:r>
        <w:rPr>
          <w:i/>
          <w:spacing w:val="-8"/>
          <w:sz w:val="24"/>
        </w:rPr>
        <w:t> </w:t>
      </w:r>
      <w:r>
        <w:rPr>
          <w:i/>
          <w:sz w:val="24"/>
        </w:rPr>
        <w:t>of</w:t>
      </w:r>
      <w:r>
        <w:rPr>
          <w:i/>
          <w:spacing w:val="-8"/>
          <w:sz w:val="24"/>
        </w:rPr>
        <w:t> </w:t>
      </w:r>
      <w:r>
        <w:rPr>
          <w:i/>
          <w:sz w:val="24"/>
        </w:rPr>
        <w:t>Mathematical</w:t>
      </w:r>
      <w:r>
        <w:rPr>
          <w:i/>
          <w:spacing w:val="-8"/>
          <w:sz w:val="24"/>
        </w:rPr>
        <w:t> </w:t>
      </w:r>
      <w:r>
        <w:rPr>
          <w:i/>
          <w:sz w:val="24"/>
        </w:rPr>
        <w:t>Statistics</w:t>
      </w:r>
      <w:r>
        <w:rPr>
          <w:i/>
          <w:spacing w:val="-7"/>
          <w:sz w:val="24"/>
        </w:rPr>
        <w:t> </w:t>
      </w:r>
      <w:r>
        <w:rPr>
          <w:b/>
          <w:sz w:val="24"/>
        </w:rPr>
        <w:t>27</w:t>
      </w:r>
      <w:r>
        <w:rPr>
          <w:sz w:val="24"/>
        </w:rPr>
        <w:t>:</w:t>
      </w:r>
      <w:r>
        <w:rPr>
          <w:spacing w:val="-8"/>
          <w:sz w:val="24"/>
        </w:rPr>
        <w:t> </w:t>
      </w:r>
      <w:r>
        <w:rPr>
          <w:spacing w:val="-2"/>
          <w:sz w:val="24"/>
        </w:rPr>
        <w:t>832–837.</w:t>
      </w:r>
    </w:p>
    <w:p>
      <w:pPr>
        <w:pStyle w:val="BodyText"/>
        <w:spacing w:before="7"/>
        <w:rPr>
          <w:sz w:val="23"/>
        </w:rPr>
      </w:pPr>
    </w:p>
    <w:p>
      <w:pPr>
        <w:spacing w:line="312" w:lineRule="auto" w:before="0"/>
        <w:ind w:left="844" w:right="389" w:hanging="235"/>
        <w:jc w:val="both"/>
        <w:rPr>
          <w:sz w:val="24"/>
        </w:rPr>
      </w:pPr>
      <w:bookmarkStart w:name="_bookmark287" w:id="451"/>
      <w:bookmarkEnd w:id="451"/>
      <w:r>
        <w:rPr/>
      </w:r>
      <w:r>
        <w:rPr>
          <w:sz w:val="24"/>
        </w:rPr>
        <w:t>Routley,</w:t>
      </w:r>
      <w:r>
        <w:rPr>
          <w:spacing w:val="20"/>
          <w:sz w:val="24"/>
        </w:rPr>
        <w:t> </w:t>
      </w:r>
      <w:r>
        <w:rPr>
          <w:sz w:val="24"/>
        </w:rPr>
        <w:t>K. and Schulte,</w:t>
      </w:r>
      <w:r>
        <w:rPr>
          <w:spacing w:val="20"/>
          <w:sz w:val="24"/>
        </w:rPr>
        <w:t> </w:t>
      </w:r>
      <w:r>
        <w:rPr>
          <w:sz w:val="24"/>
        </w:rPr>
        <w:t>O. (2015).</w:t>
      </w:r>
      <w:r>
        <w:rPr>
          <w:spacing w:val="80"/>
          <w:sz w:val="24"/>
        </w:rPr>
        <w:t> </w:t>
      </w:r>
      <w:r>
        <w:rPr>
          <w:sz w:val="24"/>
        </w:rPr>
        <w:t>A markov game model for valuing player actions in</w:t>
      </w:r>
      <w:r>
        <w:rPr>
          <w:spacing w:val="-1"/>
          <w:sz w:val="24"/>
        </w:rPr>
        <w:t> </w:t>
      </w:r>
      <w:r>
        <w:rPr>
          <w:sz w:val="24"/>
        </w:rPr>
        <w:t>ice</w:t>
      </w:r>
      <w:r>
        <w:rPr>
          <w:spacing w:val="-1"/>
          <w:sz w:val="24"/>
        </w:rPr>
        <w:t> </w:t>
      </w:r>
      <w:r>
        <w:rPr>
          <w:sz w:val="24"/>
        </w:rPr>
        <w:t>hockey, </w:t>
      </w:r>
      <w:r>
        <w:rPr>
          <w:i/>
          <w:sz w:val="24"/>
        </w:rPr>
        <w:t>Proceedings</w:t>
      </w:r>
      <w:r>
        <w:rPr>
          <w:i/>
          <w:spacing w:val="-1"/>
          <w:sz w:val="24"/>
        </w:rPr>
        <w:t> </w:t>
      </w:r>
      <w:r>
        <w:rPr>
          <w:i/>
          <w:sz w:val="24"/>
        </w:rPr>
        <w:t>of</w:t>
      </w:r>
      <w:r>
        <w:rPr>
          <w:i/>
          <w:spacing w:val="-1"/>
          <w:sz w:val="24"/>
        </w:rPr>
        <w:t> </w:t>
      </w:r>
      <w:r>
        <w:rPr>
          <w:i/>
          <w:sz w:val="24"/>
        </w:rPr>
        <w:t>the</w:t>
      </w:r>
      <w:r>
        <w:rPr>
          <w:i/>
          <w:spacing w:val="-1"/>
          <w:sz w:val="24"/>
        </w:rPr>
        <w:t> </w:t>
      </w:r>
      <w:r>
        <w:rPr>
          <w:i/>
          <w:sz w:val="24"/>
        </w:rPr>
        <w:t>Thirty-First</w:t>
      </w:r>
      <w:r>
        <w:rPr>
          <w:i/>
          <w:spacing w:val="-1"/>
          <w:sz w:val="24"/>
        </w:rPr>
        <w:t> </w:t>
      </w:r>
      <w:r>
        <w:rPr>
          <w:i/>
          <w:sz w:val="24"/>
        </w:rPr>
        <w:t>Conference</w:t>
      </w:r>
      <w:r>
        <w:rPr>
          <w:i/>
          <w:spacing w:val="-1"/>
          <w:sz w:val="24"/>
        </w:rPr>
        <w:t> </w:t>
      </w:r>
      <w:r>
        <w:rPr>
          <w:i/>
          <w:sz w:val="24"/>
        </w:rPr>
        <w:t>on</w:t>
      </w:r>
      <w:r>
        <w:rPr>
          <w:i/>
          <w:spacing w:val="-1"/>
          <w:sz w:val="24"/>
        </w:rPr>
        <w:t> </w:t>
      </w:r>
      <w:r>
        <w:rPr>
          <w:i/>
          <w:sz w:val="24"/>
        </w:rPr>
        <w:t>Uncertainty</w:t>
      </w:r>
      <w:r>
        <w:rPr>
          <w:i/>
          <w:spacing w:val="-1"/>
          <w:sz w:val="24"/>
        </w:rPr>
        <w:t> </w:t>
      </w:r>
      <w:r>
        <w:rPr>
          <w:i/>
          <w:sz w:val="24"/>
        </w:rPr>
        <w:t>in</w:t>
      </w:r>
      <w:r>
        <w:rPr>
          <w:i/>
          <w:spacing w:val="-1"/>
          <w:sz w:val="24"/>
        </w:rPr>
        <w:t> </w:t>
      </w:r>
      <w:r>
        <w:rPr>
          <w:i/>
          <w:sz w:val="24"/>
        </w:rPr>
        <w:t>Artificial</w:t>
      </w:r>
      <w:r>
        <w:rPr>
          <w:i/>
          <w:sz w:val="24"/>
        </w:rPr>
        <w:t> Intelligence</w:t>
      </w:r>
      <w:r>
        <w:rPr>
          <w:sz w:val="24"/>
        </w:rPr>
        <w:t>, UAI’15, AUAI Press, Arlington, Virginia, USA, pp. 782–791.</w:t>
      </w:r>
    </w:p>
    <w:p>
      <w:pPr>
        <w:pStyle w:val="BodyText"/>
        <w:spacing w:line="312" w:lineRule="auto" w:before="189"/>
        <w:ind w:left="844" w:right="389" w:hanging="235"/>
        <w:jc w:val="both"/>
      </w:pPr>
      <w:bookmarkStart w:name="_bookmark288" w:id="452"/>
      <w:bookmarkEnd w:id="452"/>
      <w:r>
        <w:rPr/>
      </w:r>
      <w:r>
        <w:rPr/>
        <w:t>Salvatier, J., Wiecki, T. V. and Fonnesbeck, C. (2016).</w:t>
      </w:r>
      <w:r>
        <w:rPr>
          <w:spacing w:val="40"/>
        </w:rPr>
        <w:t> </w:t>
      </w:r>
      <w:r>
        <w:rPr/>
        <w:t>Probabilistic programming in python using PyMC3, </w:t>
      </w:r>
      <w:r>
        <w:rPr>
          <w:i/>
        </w:rPr>
        <w:t>PeerJ Computer Science </w:t>
      </w:r>
      <w:r>
        <w:rPr>
          <w:b/>
        </w:rPr>
        <w:t>2</w:t>
      </w:r>
      <w:r>
        <w:rPr/>
        <w:t>: e55.</w:t>
      </w:r>
    </w:p>
    <w:p>
      <w:pPr>
        <w:spacing w:line="276" w:lineRule="exact" w:before="0"/>
        <w:ind w:left="844" w:right="0" w:firstLine="0"/>
        <w:jc w:val="left"/>
        <w:rPr>
          <w:i/>
          <w:sz w:val="24"/>
        </w:rPr>
      </w:pPr>
      <w:r>
        <w:rPr>
          <w:b/>
          <w:spacing w:val="-2"/>
          <w:sz w:val="24"/>
        </w:rPr>
        <w:t>URL:</w:t>
      </w:r>
      <w:r>
        <w:rPr>
          <w:b/>
          <w:spacing w:val="23"/>
          <w:sz w:val="24"/>
        </w:rPr>
        <w:t> </w:t>
      </w:r>
      <w:r>
        <w:rPr>
          <w:i/>
          <w:spacing w:val="-2"/>
          <w:sz w:val="24"/>
        </w:rPr>
        <w:t>https://doi.org/10.7717/peerj-cs.55</w:t>
      </w:r>
    </w:p>
    <w:p>
      <w:pPr>
        <w:pStyle w:val="BodyText"/>
        <w:spacing w:before="7"/>
        <w:rPr>
          <w:i/>
          <w:sz w:val="23"/>
        </w:rPr>
      </w:pPr>
    </w:p>
    <w:p>
      <w:pPr>
        <w:pStyle w:val="BodyText"/>
        <w:spacing w:line="312" w:lineRule="auto" w:before="1"/>
        <w:ind w:left="844" w:right="389" w:hanging="235"/>
        <w:jc w:val="both"/>
      </w:pPr>
      <w:bookmarkStart w:name="_bookmark289" w:id="453"/>
      <w:bookmarkEnd w:id="453"/>
      <w:r>
        <w:rPr/>
      </w:r>
      <w:r>
        <w:rPr/>
        <w:t>Sarmento, H., Marcelino, R., Anguera, M., Campanico, J., Matos, N. and Leitao, </w:t>
      </w:r>
      <w:r>
        <w:rPr/>
        <w:t>J. (2014).</w:t>
      </w:r>
      <w:r>
        <w:rPr>
          <w:spacing w:val="40"/>
        </w:rPr>
        <w:t> </w:t>
      </w:r>
      <w:r>
        <w:rPr/>
        <w:t>Match analysis in football: A systematic review, </w:t>
      </w:r>
      <w:r>
        <w:rPr>
          <w:i/>
        </w:rPr>
        <w:t>Journal of Sports Science</w:t>
      </w:r>
      <w:r>
        <w:rPr>
          <w:i/>
        </w:rPr>
        <w:t> </w:t>
      </w:r>
      <w:r>
        <w:rPr>
          <w:b/>
        </w:rPr>
        <w:t>32</w:t>
      </w:r>
      <w:r>
        <w:rPr/>
        <w:t>(20): 1831–1843.</w:t>
      </w:r>
    </w:p>
    <w:p>
      <w:pPr>
        <w:spacing w:line="312" w:lineRule="auto" w:before="188"/>
        <w:ind w:left="844" w:right="389" w:hanging="235"/>
        <w:jc w:val="both"/>
        <w:rPr>
          <w:sz w:val="24"/>
        </w:rPr>
      </w:pPr>
      <w:bookmarkStart w:name="_bookmark290" w:id="454"/>
      <w:bookmarkEnd w:id="454"/>
      <w:r>
        <w:rPr/>
      </w:r>
      <w:r>
        <w:rPr>
          <w:sz w:val="24"/>
        </w:rPr>
        <w:t>Scott, D. (2015).</w:t>
      </w:r>
      <w:r>
        <w:rPr>
          <w:spacing w:val="40"/>
          <w:sz w:val="24"/>
        </w:rPr>
        <w:t> </w:t>
      </w:r>
      <w:r>
        <w:rPr>
          <w:i/>
          <w:sz w:val="24"/>
        </w:rPr>
        <w:t>Multivariate Density Estimation: Theory, Practice, and Visualization</w:t>
      </w:r>
      <w:r>
        <w:rPr>
          <w:sz w:val="24"/>
        </w:rPr>
        <w:t>, </w:t>
      </w:r>
      <w:r>
        <w:rPr>
          <w:spacing w:val="-2"/>
          <w:sz w:val="24"/>
        </w:rPr>
        <w:t>Wiley.</w:t>
      </w:r>
    </w:p>
    <w:p>
      <w:pPr>
        <w:spacing w:line="312" w:lineRule="auto" w:before="189"/>
        <w:ind w:left="844" w:right="389" w:hanging="235"/>
        <w:jc w:val="both"/>
        <w:rPr>
          <w:sz w:val="24"/>
        </w:rPr>
      </w:pPr>
      <w:bookmarkStart w:name="_bookmark291" w:id="455"/>
      <w:bookmarkEnd w:id="455"/>
      <w:r>
        <w:rPr/>
      </w:r>
      <w:r>
        <w:rPr>
          <w:sz w:val="24"/>
        </w:rPr>
        <w:t>Shapley, L. S. (1953).</w:t>
      </w:r>
      <w:r>
        <w:rPr>
          <w:spacing w:val="40"/>
          <w:sz w:val="24"/>
        </w:rPr>
        <w:t> </w:t>
      </w:r>
      <w:r>
        <w:rPr>
          <w:sz w:val="24"/>
        </w:rPr>
        <w:t>Stochastic games, </w:t>
      </w:r>
      <w:r>
        <w:rPr>
          <w:i/>
          <w:sz w:val="24"/>
        </w:rPr>
        <w:t>Proceedings of the National Academy of Sci-</w:t>
      </w:r>
      <w:r>
        <w:rPr>
          <w:i/>
          <w:sz w:val="24"/>
        </w:rPr>
        <w:t> ences of the United States of America </w:t>
      </w:r>
      <w:r>
        <w:rPr>
          <w:b/>
          <w:sz w:val="24"/>
        </w:rPr>
        <w:t>39</w:t>
      </w:r>
      <w:r>
        <w:rPr>
          <w:sz w:val="24"/>
        </w:rPr>
        <w:t>(10): 1095–1100.</w:t>
      </w:r>
    </w:p>
    <w:p>
      <w:pPr>
        <w:spacing w:line="312" w:lineRule="auto" w:before="189"/>
        <w:ind w:left="844" w:right="389" w:hanging="235"/>
        <w:jc w:val="both"/>
        <w:rPr>
          <w:sz w:val="24"/>
        </w:rPr>
      </w:pPr>
      <w:bookmarkStart w:name="_bookmark292" w:id="456"/>
      <w:bookmarkEnd w:id="456"/>
      <w:r>
        <w:rPr/>
      </w:r>
      <w:r>
        <w:rPr>
          <w:sz w:val="24"/>
        </w:rPr>
        <w:t>Sheather,</w:t>
      </w:r>
      <w:r>
        <w:rPr>
          <w:spacing w:val="-15"/>
          <w:sz w:val="24"/>
        </w:rPr>
        <w:t> </w:t>
      </w:r>
      <w:r>
        <w:rPr>
          <w:sz w:val="24"/>
        </w:rPr>
        <w:t>S.</w:t>
      </w:r>
      <w:r>
        <w:rPr>
          <w:spacing w:val="-15"/>
          <w:sz w:val="24"/>
        </w:rPr>
        <w:t> </w:t>
      </w:r>
      <w:r>
        <w:rPr>
          <w:sz w:val="24"/>
        </w:rPr>
        <w:t>J.</w:t>
      </w:r>
      <w:r>
        <w:rPr>
          <w:spacing w:val="-15"/>
          <w:sz w:val="24"/>
        </w:rPr>
        <w:t> </w:t>
      </w:r>
      <w:r>
        <w:rPr>
          <w:sz w:val="24"/>
        </w:rPr>
        <w:t>and</w:t>
      </w:r>
      <w:r>
        <w:rPr>
          <w:spacing w:val="-15"/>
          <w:sz w:val="24"/>
        </w:rPr>
        <w:t> </w:t>
      </w:r>
      <w:r>
        <w:rPr>
          <w:sz w:val="24"/>
        </w:rPr>
        <w:t>Jones,</w:t>
      </w:r>
      <w:r>
        <w:rPr>
          <w:spacing w:val="-15"/>
          <w:sz w:val="24"/>
        </w:rPr>
        <w:t> </w:t>
      </w:r>
      <w:r>
        <w:rPr>
          <w:sz w:val="24"/>
        </w:rPr>
        <w:t>M.</w:t>
      </w:r>
      <w:r>
        <w:rPr>
          <w:spacing w:val="-15"/>
          <w:sz w:val="24"/>
        </w:rPr>
        <w:t> </w:t>
      </w:r>
      <w:r>
        <w:rPr>
          <w:sz w:val="24"/>
        </w:rPr>
        <w:t>C.</w:t>
      </w:r>
      <w:r>
        <w:rPr>
          <w:spacing w:val="-15"/>
          <w:sz w:val="24"/>
        </w:rPr>
        <w:t> </w:t>
      </w:r>
      <w:r>
        <w:rPr>
          <w:sz w:val="24"/>
        </w:rPr>
        <w:t>(1991).</w:t>
      </w:r>
      <w:r>
        <w:rPr>
          <w:spacing w:val="-13"/>
          <w:sz w:val="24"/>
        </w:rPr>
        <w:t> </w:t>
      </w:r>
      <w:r>
        <w:rPr>
          <w:sz w:val="24"/>
        </w:rPr>
        <w:t>A</w:t>
      </w:r>
      <w:r>
        <w:rPr>
          <w:spacing w:val="-15"/>
          <w:sz w:val="24"/>
        </w:rPr>
        <w:t> </w:t>
      </w:r>
      <w:r>
        <w:rPr>
          <w:sz w:val="24"/>
        </w:rPr>
        <w:t>reliable</w:t>
      </w:r>
      <w:r>
        <w:rPr>
          <w:spacing w:val="-15"/>
          <w:sz w:val="24"/>
        </w:rPr>
        <w:t> </w:t>
      </w:r>
      <w:r>
        <w:rPr>
          <w:sz w:val="24"/>
        </w:rPr>
        <w:t>data-based</w:t>
      </w:r>
      <w:r>
        <w:rPr>
          <w:spacing w:val="-15"/>
          <w:sz w:val="24"/>
        </w:rPr>
        <w:t> </w:t>
      </w:r>
      <w:r>
        <w:rPr>
          <w:sz w:val="24"/>
        </w:rPr>
        <w:t>bandwidth</w:t>
      </w:r>
      <w:r>
        <w:rPr>
          <w:spacing w:val="-15"/>
          <w:sz w:val="24"/>
        </w:rPr>
        <w:t> </w:t>
      </w:r>
      <w:r>
        <w:rPr>
          <w:sz w:val="24"/>
        </w:rPr>
        <w:t>selection</w:t>
      </w:r>
      <w:r>
        <w:rPr>
          <w:spacing w:val="-15"/>
          <w:sz w:val="24"/>
        </w:rPr>
        <w:t> </w:t>
      </w:r>
      <w:r>
        <w:rPr>
          <w:sz w:val="24"/>
        </w:rPr>
        <w:t>method </w:t>
      </w:r>
      <w:r>
        <w:rPr>
          <w:spacing w:val="-2"/>
          <w:sz w:val="24"/>
        </w:rPr>
        <w:t>for</w:t>
      </w:r>
      <w:r>
        <w:rPr>
          <w:spacing w:val="-8"/>
          <w:sz w:val="24"/>
        </w:rPr>
        <w:t> </w:t>
      </w:r>
      <w:r>
        <w:rPr>
          <w:spacing w:val="-2"/>
          <w:sz w:val="24"/>
        </w:rPr>
        <w:t>kernel</w:t>
      </w:r>
      <w:r>
        <w:rPr>
          <w:spacing w:val="-8"/>
          <w:sz w:val="24"/>
        </w:rPr>
        <w:t> </w:t>
      </w:r>
      <w:r>
        <w:rPr>
          <w:spacing w:val="-2"/>
          <w:sz w:val="24"/>
        </w:rPr>
        <w:t>density</w:t>
      </w:r>
      <w:r>
        <w:rPr>
          <w:spacing w:val="-8"/>
          <w:sz w:val="24"/>
        </w:rPr>
        <w:t> </w:t>
      </w:r>
      <w:r>
        <w:rPr>
          <w:spacing w:val="-2"/>
          <w:sz w:val="24"/>
        </w:rPr>
        <w:t>estimation,</w:t>
      </w:r>
      <w:r>
        <w:rPr>
          <w:spacing w:val="-4"/>
          <w:sz w:val="24"/>
        </w:rPr>
        <w:t> </w:t>
      </w:r>
      <w:r>
        <w:rPr>
          <w:i/>
          <w:spacing w:val="-2"/>
          <w:sz w:val="24"/>
        </w:rPr>
        <w:t>Journal</w:t>
      </w:r>
      <w:r>
        <w:rPr>
          <w:i/>
          <w:spacing w:val="-8"/>
          <w:sz w:val="24"/>
        </w:rPr>
        <w:t> </w:t>
      </w:r>
      <w:r>
        <w:rPr>
          <w:i/>
          <w:spacing w:val="-2"/>
          <w:sz w:val="24"/>
        </w:rPr>
        <w:t>of</w:t>
      </w:r>
      <w:r>
        <w:rPr>
          <w:i/>
          <w:spacing w:val="-8"/>
          <w:sz w:val="24"/>
        </w:rPr>
        <w:t> </w:t>
      </w:r>
      <w:r>
        <w:rPr>
          <w:i/>
          <w:spacing w:val="-2"/>
          <w:sz w:val="24"/>
        </w:rPr>
        <w:t>the</w:t>
      </w:r>
      <w:r>
        <w:rPr>
          <w:i/>
          <w:spacing w:val="-8"/>
          <w:sz w:val="24"/>
        </w:rPr>
        <w:t> </w:t>
      </w:r>
      <w:r>
        <w:rPr>
          <w:i/>
          <w:spacing w:val="-2"/>
          <w:sz w:val="24"/>
        </w:rPr>
        <w:t>Royal</w:t>
      </w:r>
      <w:r>
        <w:rPr>
          <w:i/>
          <w:spacing w:val="-8"/>
          <w:sz w:val="24"/>
        </w:rPr>
        <w:t> </w:t>
      </w:r>
      <w:r>
        <w:rPr>
          <w:i/>
          <w:spacing w:val="-2"/>
          <w:sz w:val="24"/>
        </w:rPr>
        <w:t>Statistical</w:t>
      </w:r>
      <w:r>
        <w:rPr>
          <w:i/>
          <w:spacing w:val="-8"/>
          <w:sz w:val="24"/>
        </w:rPr>
        <w:t> </w:t>
      </w:r>
      <w:r>
        <w:rPr>
          <w:i/>
          <w:spacing w:val="-2"/>
          <w:sz w:val="24"/>
        </w:rPr>
        <w:t>Society.</w:t>
      </w:r>
      <w:r>
        <w:rPr>
          <w:i/>
          <w:spacing w:val="-8"/>
          <w:sz w:val="24"/>
        </w:rPr>
        <w:t> </w:t>
      </w:r>
      <w:r>
        <w:rPr>
          <w:i/>
          <w:spacing w:val="-2"/>
          <w:sz w:val="24"/>
        </w:rPr>
        <w:t>Series</w:t>
      </w:r>
      <w:r>
        <w:rPr>
          <w:i/>
          <w:spacing w:val="-8"/>
          <w:sz w:val="24"/>
        </w:rPr>
        <w:t> </w:t>
      </w:r>
      <w:r>
        <w:rPr>
          <w:i/>
          <w:spacing w:val="-2"/>
          <w:sz w:val="24"/>
        </w:rPr>
        <w:t>B</w:t>
      </w:r>
      <w:r>
        <w:rPr>
          <w:i/>
          <w:spacing w:val="-8"/>
          <w:sz w:val="24"/>
        </w:rPr>
        <w:t> </w:t>
      </w:r>
      <w:r>
        <w:rPr>
          <w:i/>
          <w:spacing w:val="-2"/>
          <w:sz w:val="24"/>
        </w:rPr>
        <w:t>(Method-</w:t>
      </w:r>
      <w:r>
        <w:rPr>
          <w:i/>
          <w:spacing w:val="-2"/>
          <w:sz w:val="24"/>
        </w:rPr>
        <w:t> </w:t>
      </w:r>
      <w:r>
        <w:rPr>
          <w:i/>
          <w:sz w:val="24"/>
        </w:rPr>
        <w:t>ological) </w:t>
      </w:r>
      <w:r>
        <w:rPr>
          <w:b/>
          <w:sz w:val="24"/>
        </w:rPr>
        <w:t>53</w:t>
      </w:r>
      <w:r>
        <w:rPr>
          <w:sz w:val="24"/>
        </w:rPr>
        <w:t>(3): 683–690.</w:t>
      </w:r>
    </w:p>
    <w:p>
      <w:pPr>
        <w:spacing w:line="312" w:lineRule="auto" w:before="189"/>
        <w:ind w:left="844" w:right="389" w:hanging="235"/>
        <w:jc w:val="both"/>
        <w:rPr>
          <w:sz w:val="24"/>
        </w:rPr>
      </w:pPr>
      <w:bookmarkStart w:name="_bookmark293" w:id="457"/>
      <w:bookmarkEnd w:id="457"/>
      <w:r>
        <w:rPr/>
      </w:r>
      <w:r>
        <w:rPr>
          <w:sz w:val="24"/>
        </w:rPr>
        <w:t>Silverman,</w:t>
      </w:r>
      <w:r>
        <w:rPr>
          <w:spacing w:val="-7"/>
          <w:sz w:val="24"/>
        </w:rPr>
        <w:t> </w:t>
      </w:r>
      <w:r>
        <w:rPr>
          <w:sz w:val="24"/>
        </w:rPr>
        <w:t>B.</w:t>
      </w:r>
      <w:r>
        <w:rPr>
          <w:spacing w:val="-7"/>
          <w:sz w:val="24"/>
        </w:rPr>
        <w:t> </w:t>
      </w:r>
      <w:r>
        <w:rPr>
          <w:sz w:val="24"/>
        </w:rPr>
        <w:t>(1986).</w:t>
      </w:r>
      <w:r>
        <w:rPr>
          <w:spacing w:val="15"/>
          <w:sz w:val="24"/>
        </w:rPr>
        <w:t> </w:t>
      </w:r>
      <w:r>
        <w:rPr>
          <w:i/>
          <w:sz w:val="24"/>
        </w:rPr>
        <w:t>Density</w:t>
      </w:r>
      <w:r>
        <w:rPr>
          <w:i/>
          <w:spacing w:val="-7"/>
          <w:sz w:val="24"/>
        </w:rPr>
        <w:t> </w:t>
      </w:r>
      <w:r>
        <w:rPr>
          <w:i/>
          <w:sz w:val="24"/>
        </w:rPr>
        <w:t>Estimation</w:t>
      </w:r>
      <w:r>
        <w:rPr>
          <w:i/>
          <w:spacing w:val="-7"/>
          <w:sz w:val="24"/>
        </w:rPr>
        <w:t> </w:t>
      </w:r>
      <w:r>
        <w:rPr>
          <w:i/>
          <w:sz w:val="24"/>
        </w:rPr>
        <w:t>for</w:t>
      </w:r>
      <w:r>
        <w:rPr>
          <w:i/>
          <w:spacing w:val="-7"/>
          <w:sz w:val="24"/>
        </w:rPr>
        <w:t> </w:t>
      </w:r>
      <w:r>
        <w:rPr>
          <w:i/>
          <w:sz w:val="24"/>
        </w:rPr>
        <w:t>Statistics</w:t>
      </w:r>
      <w:r>
        <w:rPr>
          <w:i/>
          <w:spacing w:val="-7"/>
          <w:sz w:val="24"/>
        </w:rPr>
        <w:t> </w:t>
      </w:r>
      <w:r>
        <w:rPr>
          <w:i/>
          <w:sz w:val="24"/>
        </w:rPr>
        <w:t>and</w:t>
      </w:r>
      <w:r>
        <w:rPr>
          <w:i/>
          <w:spacing w:val="-7"/>
          <w:sz w:val="24"/>
        </w:rPr>
        <w:t> </w:t>
      </w:r>
      <w:r>
        <w:rPr>
          <w:i/>
          <w:sz w:val="24"/>
        </w:rPr>
        <w:t>Data</w:t>
      </w:r>
      <w:r>
        <w:rPr>
          <w:i/>
          <w:spacing w:val="-8"/>
          <w:sz w:val="24"/>
        </w:rPr>
        <w:t> </w:t>
      </w:r>
      <w:r>
        <w:rPr>
          <w:i/>
          <w:sz w:val="24"/>
        </w:rPr>
        <w:t>Analysis</w:t>
      </w:r>
      <w:r>
        <w:rPr>
          <w:sz w:val="24"/>
        </w:rPr>
        <w:t>,</w:t>
      </w:r>
      <w:r>
        <w:rPr>
          <w:spacing w:val="-7"/>
          <w:sz w:val="24"/>
        </w:rPr>
        <w:t> </w:t>
      </w:r>
      <w:r>
        <w:rPr>
          <w:sz w:val="24"/>
        </w:rPr>
        <w:t>Chapman</w:t>
      </w:r>
      <w:r>
        <w:rPr>
          <w:spacing w:val="-7"/>
          <w:sz w:val="24"/>
        </w:rPr>
        <w:t> </w:t>
      </w:r>
      <w:r>
        <w:rPr>
          <w:sz w:val="24"/>
        </w:rPr>
        <w:t>and Hall, London.</w:t>
      </w:r>
    </w:p>
    <w:p>
      <w:pPr>
        <w:spacing w:after="0" w:line="312" w:lineRule="auto"/>
        <w:jc w:val="both"/>
        <w:rPr>
          <w:sz w:val="24"/>
        </w:rPr>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290" w:lineRule="auto" w:before="97"/>
        <w:ind w:left="844" w:right="389" w:hanging="235"/>
        <w:jc w:val="both"/>
      </w:pPr>
      <w:bookmarkStart w:name="_bookmark294" w:id="458"/>
      <w:bookmarkEnd w:id="458"/>
      <w:r>
        <w:rPr/>
      </w:r>
      <w:r>
        <w:rPr/>
        <w:t>Singh, K. (n.d.).</w:t>
      </w:r>
      <w:r>
        <w:rPr>
          <w:spacing w:val="40"/>
        </w:rPr>
        <w:t> </w:t>
      </w:r>
      <w:r>
        <w:rPr/>
        <w:t>Introducing expected threat (xt), </w:t>
      </w:r>
      <w:hyperlink r:id="rId158">
        <w:r>
          <w:rPr>
            <w:rFonts w:ascii="Courier New"/>
            <w:color w:val="0000FF"/>
          </w:rPr>
          <w:t>https://karun.in/blog/</w:t>
        </w:r>
      </w:hyperlink>
      <w:r>
        <w:rPr>
          <w:rFonts w:ascii="Courier New"/>
          <w:color w:val="0000FF"/>
        </w:rPr>
        <w:t> </w:t>
      </w:r>
      <w:hyperlink r:id="rId158">
        <w:r>
          <w:rPr>
            <w:rFonts w:ascii="Courier New"/>
            <w:color w:val="0000FF"/>
          </w:rPr>
          <w:t>expected-threat.html</w:t>
        </w:r>
      </w:hyperlink>
      <w:r>
        <w:rPr/>
        <w:t>. Accessed: 2022-08-18.</w:t>
      </w:r>
    </w:p>
    <w:p>
      <w:pPr>
        <w:spacing w:line="312" w:lineRule="auto" w:before="199"/>
        <w:ind w:left="844" w:right="389" w:hanging="235"/>
        <w:jc w:val="both"/>
        <w:rPr>
          <w:sz w:val="24"/>
        </w:rPr>
      </w:pPr>
      <w:bookmarkStart w:name="_bookmark295" w:id="459"/>
      <w:bookmarkEnd w:id="459"/>
      <w:r>
        <w:rPr/>
      </w:r>
      <w:r>
        <w:rPr>
          <w:sz w:val="24"/>
        </w:rPr>
        <w:t>Sirotic,</w:t>
      </w:r>
      <w:r>
        <w:rPr>
          <w:spacing w:val="-1"/>
          <w:sz w:val="24"/>
        </w:rPr>
        <w:t> </w:t>
      </w:r>
      <w:r>
        <w:rPr>
          <w:sz w:val="24"/>
        </w:rPr>
        <w:t>A.,</w:t>
      </w:r>
      <w:r>
        <w:rPr>
          <w:spacing w:val="-1"/>
          <w:sz w:val="24"/>
        </w:rPr>
        <w:t> </w:t>
      </w:r>
      <w:r>
        <w:rPr>
          <w:sz w:val="24"/>
        </w:rPr>
        <w:t>Knowles,</w:t>
      </w:r>
      <w:r>
        <w:rPr>
          <w:spacing w:val="-1"/>
          <w:sz w:val="24"/>
        </w:rPr>
        <w:t> </w:t>
      </w:r>
      <w:r>
        <w:rPr>
          <w:sz w:val="24"/>
        </w:rPr>
        <w:t>H.,</w:t>
      </w:r>
      <w:r>
        <w:rPr>
          <w:spacing w:val="-1"/>
          <w:sz w:val="24"/>
        </w:rPr>
        <w:t> </w:t>
      </w:r>
      <w:r>
        <w:rPr>
          <w:sz w:val="24"/>
        </w:rPr>
        <w:t>Catterick,</w:t>
      </w:r>
      <w:r>
        <w:rPr>
          <w:spacing w:val="-1"/>
          <w:sz w:val="24"/>
        </w:rPr>
        <w:t> </w:t>
      </w:r>
      <w:r>
        <w:rPr>
          <w:sz w:val="24"/>
        </w:rPr>
        <w:t>C.</w:t>
      </w:r>
      <w:r>
        <w:rPr>
          <w:spacing w:val="-1"/>
          <w:sz w:val="24"/>
        </w:rPr>
        <w:t> </w:t>
      </w:r>
      <w:r>
        <w:rPr>
          <w:sz w:val="24"/>
        </w:rPr>
        <w:t>and</w:t>
      </w:r>
      <w:r>
        <w:rPr>
          <w:spacing w:val="-1"/>
          <w:sz w:val="24"/>
        </w:rPr>
        <w:t> </w:t>
      </w:r>
      <w:r>
        <w:rPr>
          <w:sz w:val="24"/>
        </w:rPr>
        <w:t>Coutts,</w:t>
      </w:r>
      <w:r>
        <w:rPr>
          <w:spacing w:val="-1"/>
          <w:sz w:val="24"/>
        </w:rPr>
        <w:t> </w:t>
      </w:r>
      <w:r>
        <w:rPr>
          <w:sz w:val="24"/>
        </w:rPr>
        <w:t>A.</w:t>
      </w:r>
      <w:r>
        <w:rPr>
          <w:spacing w:val="-1"/>
          <w:sz w:val="24"/>
        </w:rPr>
        <w:t> </w:t>
      </w:r>
      <w:r>
        <w:rPr>
          <w:sz w:val="24"/>
        </w:rPr>
        <w:t>(2011).</w:t>
      </w:r>
      <w:r>
        <w:rPr>
          <w:spacing w:val="31"/>
          <w:sz w:val="24"/>
        </w:rPr>
        <w:t> </w:t>
      </w:r>
      <w:r>
        <w:rPr>
          <w:sz w:val="24"/>
        </w:rPr>
        <w:t>Positional</w:t>
      </w:r>
      <w:r>
        <w:rPr>
          <w:spacing w:val="-1"/>
          <w:sz w:val="24"/>
        </w:rPr>
        <w:t> </w:t>
      </w:r>
      <w:r>
        <w:rPr>
          <w:sz w:val="24"/>
        </w:rPr>
        <w:t>match</w:t>
      </w:r>
      <w:r>
        <w:rPr>
          <w:spacing w:val="-1"/>
          <w:sz w:val="24"/>
        </w:rPr>
        <w:t> </w:t>
      </w:r>
      <w:r>
        <w:rPr>
          <w:sz w:val="24"/>
        </w:rPr>
        <w:t>demands of professional rugby league competition, </w:t>
      </w:r>
      <w:r>
        <w:rPr>
          <w:i/>
          <w:sz w:val="24"/>
        </w:rPr>
        <w:t>Journal of Strength and Conditioning Re-</w:t>
      </w:r>
      <w:r>
        <w:rPr>
          <w:i/>
          <w:sz w:val="24"/>
        </w:rPr>
        <w:t> search </w:t>
      </w:r>
      <w:r>
        <w:rPr>
          <w:b/>
          <w:sz w:val="24"/>
        </w:rPr>
        <w:t>25</w:t>
      </w:r>
      <w:r>
        <w:rPr>
          <w:sz w:val="24"/>
        </w:rPr>
        <w:t>: 3076–3087.</w:t>
      </w:r>
    </w:p>
    <w:p>
      <w:pPr>
        <w:pStyle w:val="BodyText"/>
        <w:spacing w:line="312" w:lineRule="auto" w:before="188"/>
        <w:ind w:left="844" w:right="389" w:hanging="235"/>
        <w:jc w:val="both"/>
      </w:pPr>
      <w:bookmarkStart w:name="_bookmark296" w:id="460"/>
      <w:bookmarkEnd w:id="460"/>
      <w:r>
        <w:rPr/>
      </w:r>
      <w:r>
        <w:rPr/>
        <w:t>Song, L., Zhou, L., Xu, P., Zhao, W., Li, S. and Li, Z. (2022).</w:t>
      </w:r>
      <w:r>
        <w:rPr>
          <w:spacing w:val="40"/>
        </w:rPr>
        <w:t> </w:t>
      </w:r>
      <w:r>
        <w:rPr/>
        <w:t>Research on the error of global positioning system based on time series analysis, </w:t>
      </w:r>
      <w:r>
        <w:rPr>
          <w:i/>
        </w:rPr>
        <w:t>Sensors </w:t>
      </w:r>
      <w:r>
        <w:rPr>
          <w:b/>
        </w:rPr>
        <w:t>22</w:t>
      </w:r>
      <w:r>
        <w:rPr/>
        <w:t>(3614).</w:t>
      </w:r>
    </w:p>
    <w:p>
      <w:pPr>
        <w:spacing w:line="312" w:lineRule="auto" w:before="190"/>
        <w:ind w:left="844" w:right="389" w:hanging="235"/>
        <w:jc w:val="both"/>
        <w:rPr>
          <w:sz w:val="24"/>
        </w:rPr>
      </w:pPr>
      <w:bookmarkStart w:name="_bookmark297" w:id="461"/>
      <w:bookmarkEnd w:id="461"/>
      <w:r>
        <w:rPr/>
      </w:r>
      <w:r>
        <w:rPr>
          <w:sz w:val="24"/>
        </w:rPr>
        <w:t>Spearman,</w:t>
      </w:r>
      <w:r>
        <w:rPr>
          <w:spacing w:val="-2"/>
          <w:sz w:val="24"/>
        </w:rPr>
        <w:t> </w:t>
      </w:r>
      <w:r>
        <w:rPr>
          <w:sz w:val="24"/>
        </w:rPr>
        <w:t>W.</w:t>
      </w:r>
      <w:r>
        <w:rPr>
          <w:spacing w:val="-3"/>
          <w:sz w:val="24"/>
        </w:rPr>
        <w:t> </w:t>
      </w:r>
      <w:r>
        <w:rPr>
          <w:sz w:val="24"/>
        </w:rPr>
        <w:t>(2018).</w:t>
      </w:r>
      <w:r>
        <w:rPr>
          <w:spacing w:val="29"/>
          <w:sz w:val="24"/>
        </w:rPr>
        <w:t> </w:t>
      </w:r>
      <w:r>
        <w:rPr>
          <w:sz w:val="24"/>
        </w:rPr>
        <w:t>Beyond</w:t>
      </w:r>
      <w:r>
        <w:rPr>
          <w:spacing w:val="-4"/>
          <w:sz w:val="24"/>
        </w:rPr>
        <w:t> </w:t>
      </w:r>
      <w:r>
        <w:rPr>
          <w:sz w:val="24"/>
        </w:rPr>
        <w:t>expected</w:t>
      </w:r>
      <w:r>
        <w:rPr>
          <w:spacing w:val="-3"/>
          <w:sz w:val="24"/>
        </w:rPr>
        <w:t> </w:t>
      </w:r>
      <w:r>
        <w:rPr>
          <w:sz w:val="24"/>
        </w:rPr>
        <w:t>goals,</w:t>
      </w:r>
      <w:r>
        <w:rPr>
          <w:spacing w:val="-2"/>
          <w:sz w:val="24"/>
        </w:rPr>
        <w:t> </w:t>
      </w:r>
      <w:r>
        <w:rPr>
          <w:i/>
          <w:sz w:val="24"/>
        </w:rPr>
        <w:t>12th</w:t>
      </w:r>
      <w:r>
        <w:rPr>
          <w:i/>
          <w:spacing w:val="-3"/>
          <w:sz w:val="24"/>
        </w:rPr>
        <w:t> </w:t>
      </w:r>
      <w:r>
        <w:rPr>
          <w:i/>
          <w:sz w:val="24"/>
        </w:rPr>
        <w:t>MIT</w:t>
      </w:r>
      <w:r>
        <w:rPr>
          <w:i/>
          <w:spacing w:val="-4"/>
          <w:sz w:val="24"/>
        </w:rPr>
        <w:t> </w:t>
      </w:r>
      <w:r>
        <w:rPr>
          <w:i/>
          <w:sz w:val="24"/>
        </w:rPr>
        <w:t>Sloan</w:t>
      </w:r>
      <w:r>
        <w:rPr>
          <w:i/>
          <w:spacing w:val="-3"/>
          <w:sz w:val="24"/>
        </w:rPr>
        <w:t> </w:t>
      </w:r>
      <w:r>
        <w:rPr>
          <w:i/>
          <w:sz w:val="24"/>
        </w:rPr>
        <w:t>Sports</w:t>
      </w:r>
      <w:r>
        <w:rPr>
          <w:i/>
          <w:spacing w:val="-4"/>
          <w:sz w:val="24"/>
        </w:rPr>
        <w:t> </w:t>
      </w:r>
      <w:r>
        <w:rPr>
          <w:i/>
          <w:sz w:val="24"/>
        </w:rPr>
        <w:t>Analytics</w:t>
      </w:r>
      <w:r>
        <w:rPr>
          <w:i/>
          <w:spacing w:val="-3"/>
          <w:sz w:val="24"/>
        </w:rPr>
        <w:t> </w:t>
      </w:r>
      <w:r>
        <w:rPr>
          <w:i/>
          <w:sz w:val="24"/>
        </w:rPr>
        <w:t>Confer-</w:t>
      </w:r>
      <w:r>
        <w:rPr>
          <w:i/>
          <w:sz w:val="24"/>
        </w:rPr>
        <w:t> </w:t>
      </w:r>
      <w:r>
        <w:rPr>
          <w:i/>
          <w:spacing w:val="-2"/>
          <w:sz w:val="24"/>
        </w:rPr>
        <w:t>ence</w:t>
      </w:r>
      <w:r>
        <w:rPr>
          <w:spacing w:val="-2"/>
          <w:sz w:val="24"/>
        </w:rPr>
        <w:t>.</w:t>
      </w:r>
    </w:p>
    <w:p>
      <w:pPr>
        <w:spacing w:line="312" w:lineRule="auto" w:before="189"/>
        <w:ind w:left="844" w:right="389" w:hanging="235"/>
        <w:jc w:val="both"/>
        <w:rPr>
          <w:sz w:val="24"/>
        </w:rPr>
      </w:pPr>
      <w:bookmarkStart w:name="_bookmark298" w:id="462"/>
      <w:bookmarkEnd w:id="462"/>
      <w:r>
        <w:rPr/>
      </w:r>
      <w:r>
        <w:rPr>
          <w:sz w:val="24"/>
        </w:rPr>
        <w:t>Spearman,</w:t>
      </w:r>
      <w:r>
        <w:rPr>
          <w:spacing w:val="-13"/>
          <w:sz w:val="24"/>
        </w:rPr>
        <w:t> </w:t>
      </w:r>
      <w:r>
        <w:rPr>
          <w:sz w:val="24"/>
        </w:rPr>
        <w:t>W.,</w:t>
      </w:r>
      <w:r>
        <w:rPr>
          <w:spacing w:val="-13"/>
          <w:sz w:val="24"/>
        </w:rPr>
        <w:t> </w:t>
      </w:r>
      <w:r>
        <w:rPr>
          <w:sz w:val="24"/>
        </w:rPr>
        <w:t>Basye,</w:t>
      </w:r>
      <w:r>
        <w:rPr>
          <w:spacing w:val="-13"/>
          <w:sz w:val="24"/>
        </w:rPr>
        <w:t> </w:t>
      </w:r>
      <w:r>
        <w:rPr>
          <w:sz w:val="24"/>
        </w:rPr>
        <w:t>A.,</w:t>
      </w:r>
      <w:r>
        <w:rPr>
          <w:spacing w:val="-13"/>
          <w:sz w:val="24"/>
        </w:rPr>
        <w:t> </w:t>
      </w:r>
      <w:r>
        <w:rPr>
          <w:sz w:val="24"/>
        </w:rPr>
        <w:t>Dick,</w:t>
      </w:r>
      <w:r>
        <w:rPr>
          <w:spacing w:val="-13"/>
          <w:sz w:val="24"/>
        </w:rPr>
        <w:t> </w:t>
      </w:r>
      <w:r>
        <w:rPr>
          <w:sz w:val="24"/>
        </w:rPr>
        <w:t>G.,</w:t>
      </w:r>
      <w:r>
        <w:rPr>
          <w:spacing w:val="-13"/>
          <w:sz w:val="24"/>
        </w:rPr>
        <w:t> </w:t>
      </w:r>
      <w:r>
        <w:rPr>
          <w:sz w:val="24"/>
        </w:rPr>
        <w:t>Hotovy,</w:t>
      </w:r>
      <w:r>
        <w:rPr>
          <w:spacing w:val="-13"/>
          <w:sz w:val="24"/>
        </w:rPr>
        <w:t> </w:t>
      </w:r>
      <w:r>
        <w:rPr>
          <w:sz w:val="24"/>
        </w:rPr>
        <w:t>R.</w:t>
      </w:r>
      <w:r>
        <w:rPr>
          <w:spacing w:val="-14"/>
          <w:sz w:val="24"/>
        </w:rPr>
        <w:t> </w:t>
      </w:r>
      <w:r>
        <w:rPr>
          <w:sz w:val="24"/>
        </w:rPr>
        <w:t>and</w:t>
      </w:r>
      <w:r>
        <w:rPr>
          <w:spacing w:val="-14"/>
          <w:sz w:val="24"/>
        </w:rPr>
        <w:t> </w:t>
      </w:r>
      <w:r>
        <w:rPr>
          <w:sz w:val="24"/>
        </w:rPr>
        <w:t>Pop,</w:t>
      </w:r>
      <w:r>
        <w:rPr>
          <w:spacing w:val="-13"/>
          <w:sz w:val="24"/>
        </w:rPr>
        <w:t> </w:t>
      </w:r>
      <w:r>
        <w:rPr>
          <w:sz w:val="24"/>
        </w:rPr>
        <w:t>P.</w:t>
      </w:r>
      <w:r>
        <w:rPr>
          <w:spacing w:val="-14"/>
          <w:sz w:val="24"/>
        </w:rPr>
        <w:t> </w:t>
      </w:r>
      <w:r>
        <w:rPr>
          <w:sz w:val="24"/>
        </w:rPr>
        <w:t>(2017).</w:t>
      </w:r>
      <w:r>
        <w:rPr>
          <w:spacing w:val="5"/>
          <w:sz w:val="24"/>
        </w:rPr>
        <w:t> </w:t>
      </w:r>
      <w:r>
        <w:rPr>
          <w:sz w:val="24"/>
        </w:rPr>
        <w:t>Physics-based</w:t>
      </w:r>
      <w:r>
        <w:rPr>
          <w:spacing w:val="-14"/>
          <w:sz w:val="24"/>
        </w:rPr>
        <w:t> </w:t>
      </w:r>
      <w:r>
        <w:rPr>
          <w:sz w:val="24"/>
        </w:rPr>
        <w:t>model- ing of pass probabilities in soccer, </w:t>
      </w:r>
      <w:r>
        <w:rPr>
          <w:i/>
          <w:sz w:val="24"/>
        </w:rPr>
        <w:t>11th MIT Sloan Sports Analytics Conference</w:t>
      </w:r>
      <w:r>
        <w:rPr>
          <w:sz w:val="24"/>
        </w:rPr>
        <w:t>.</w:t>
      </w:r>
    </w:p>
    <w:p>
      <w:pPr>
        <w:pStyle w:val="BodyText"/>
        <w:spacing w:before="189"/>
        <w:ind w:left="610"/>
        <w:jc w:val="both"/>
      </w:pPr>
      <w:bookmarkStart w:name="_bookmark299" w:id="463"/>
      <w:bookmarkEnd w:id="463"/>
      <w:r>
        <w:rPr/>
      </w:r>
      <w:r>
        <w:rPr/>
        <w:t>StatsBomb</w:t>
      </w:r>
      <w:r>
        <w:rPr>
          <w:spacing w:val="-8"/>
        </w:rPr>
        <w:t> </w:t>
      </w:r>
      <w:r>
        <w:rPr/>
        <w:t>(2022).</w:t>
      </w:r>
      <w:r>
        <w:rPr>
          <w:spacing w:val="17"/>
        </w:rPr>
        <w:t> </w:t>
      </w:r>
      <w:r>
        <w:rPr/>
        <w:t>Statsbomb</w:t>
      </w:r>
      <w:r>
        <w:rPr>
          <w:spacing w:val="-7"/>
        </w:rPr>
        <w:t> </w:t>
      </w:r>
      <w:r>
        <w:rPr/>
        <w:t>360</w:t>
      </w:r>
      <w:r>
        <w:rPr>
          <w:spacing w:val="-8"/>
        </w:rPr>
        <w:t> </w:t>
      </w:r>
      <w:r>
        <w:rPr/>
        <w:t>and</w:t>
      </w:r>
      <w:r>
        <w:rPr>
          <w:spacing w:val="-7"/>
        </w:rPr>
        <w:t> </w:t>
      </w:r>
      <w:r>
        <w:rPr>
          <w:spacing w:val="-2"/>
        </w:rPr>
        <w:t>evolve.</w:t>
      </w:r>
    </w:p>
    <w:p>
      <w:pPr>
        <w:spacing w:before="82"/>
        <w:ind w:left="844" w:right="0" w:firstLine="0"/>
        <w:jc w:val="left"/>
        <w:rPr>
          <w:i/>
          <w:sz w:val="24"/>
        </w:rPr>
      </w:pPr>
      <w:r>
        <w:rPr>
          <w:b/>
          <w:spacing w:val="-2"/>
          <w:sz w:val="24"/>
        </w:rPr>
        <w:t>URL:</w:t>
      </w:r>
      <w:r>
        <w:rPr>
          <w:b/>
          <w:spacing w:val="30"/>
          <w:sz w:val="24"/>
        </w:rPr>
        <w:t> </w:t>
      </w:r>
      <w:r>
        <w:rPr>
          <w:i/>
          <w:spacing w:val="-2"/>
          <w:sz w:val="24"/>
        </w:rPr>
        <w:t>https://statsbomb.com/news/statsbomb-360-and-evolve/</w:t>
      </w:r>
    </w:p>
    <w:p>
      <w:pPr>
        <w:pStyle w:val="BodyText"/>
        <w:spacing w:before="8"/>
        <w:rPr>
          <w:i/>
          <w:sz w:val="23"/>
        </w:rPr>
      </w:pPr>
    </w:p>
    <w:p>
      <w:pPr>
        <w:pStyle w:val="BodyText"/>
        <w:spacing w:line="312" w:lineRule="auto"/>
        <w:ind w:left="844" w:right="389" w:hanging="235"/>
        <w:jc w:val="both"/>
      </w:pPr>
      <w:bookmarkStart w:name="_bookmark300" w:id="464"/>
      <w:bookmarkEnd w:id="464"/>
      <w:r>
        <w:rPr/>
      </w:r>
      <w:r>
        <w:rPr/>
        <w:t>Stone,</w:t>
      </w:r>
      <w:r>
        <w:rPr>
          <w:spacing w:val="-8"/>
        </w:rPr>
        <w:t> </w:t>
      </w:r>
      <w:r>
        <w:rPr/>
        <w:t>C.</w:t>
      </w:r>
      <w:r>
        <w:rPr>
          <w:spacing w:val="-8"/>
        </w:rPr>
        <w:t> </w:t>
      </w:r>
      <w:r>
        <w:rPr/>
        <w:t>J.</w:t>
      </w:r>
      <w:r>
        <w:rPr>
          <w:spacing w:val="-8"/>
        </w:rPr>
        <w:t> </w:t>
      </w:r>
      <w:r>
        <w:rPr/>
        <w:t>(1984).</w:t>
      </w:r>
      <w:r>
        <w:rPr>
          <w:spacing w:val="14"/>
        </w:rPr>
        <w:t> </w:t>
      </w:r>
      <w:r>
        <w:rPr/>
        <w:t>An</w:t>
      </w:r>
      <w:r>
        <w:rPr>
          <w:spacing w:val="-8"/>
        </w:rPr>
        <w:t> </w:t>
      </w:r>
      <w:r>
        <w:rPr/>
        <w:t>Asymptotically</w:t>
      </w:r>
      <w:r>
        <w:rPr>
          <w:spacing w:val="-8"/>
        </w:rPr>
        <w:t> </w:t>
      </w:r>
      <w:r>
        <w:rPr/>
        <w:t>Optimal</w:t>
      </w:r>
      <w:r>
        <w:rPr>
          <w:spacing w:val="-8"/>
        </w:rPr>
        <w:t> </w:t>
      </w:r>
      <w:r>
        <w:rPr/>
        <w:t>Window</w:t>
      </w:r>
      <w:r>
        <w:rPr>
          <w:spacing w:val="-8"/>
        </w:rPr>
        <w:t> </w:t>
      </w:r>
      <w:r>
        <w:rPr/>
        <w:t>Selection</w:t>
      </w:r>
      <w:r>
        <w:rPr>
          <w:spacing w:val="-8"/>
        </w:rPr>
        <w:t> </w:t>
      </w:r>
      <w:r>
        <w:rPr/>
        <w:t>Rule</w:t>
      </w:r>
      <w:r>
        <w:rPr>
          <w:spacing w:val="-8"/>
        </w:rPr>
        <w:t> </w:t>
      </w:r>
      <w:r>
        <w:rPr/>
        <w:t>for</w:t>
      </w:r>
      <w:r>
        <w:rPr>
          <w:spacing w:val="-8"/>
        </w:rPr>
        <w:t> </w:t>
      </w:r>
      <w:r>
        <w:rPr/>
        <w:t>Kernel</w:t>
      </w:r>
      <w:r>
        <w:rPr>
          <w:spacing w:val="-8"/>
        </w:rPr>
        <w:t> </w:t>
      </w:r>
      <w:r>
        <w:rPr/>
        <w:t>Den- sity Estimates, </w:t>
      </w:r>
      <w:r>
        <w:rPr>
          <w:i/>
        </w:rPr>
        <w:t>The Annals of Statistics </w:t>
      </w:r>
      <w:r>
        <w:rPr>
          <w:b/>
        </w:rPr>
        <w:t>12</w:t>
      </w:r>
      <w:r>
        <w:rPr/>
        <w:t>(4): 1285–1297.</w:t>
      </w:r>
    </w:p>
    <w:p>
      <w:pPr>
        <w:spacing w:line="312" w:lineRule="auto" w:before="189"/>
        <w:ind w:left="844" w:right="389" w:hanging="235"/>
        <w:jc w:val="both"/>
        <w:rPr>
          <w:sz w:val="24"/>
        </w:rPr>
      </w:pPr>
      <w:bookmarkStart w:name="_bookmark301" w:id="465"/>
      <w:bookmarkEnd w:id="465"/>
      <w:r>
        <w:rPr/>
      </w:r>
      <w:r>
        <w:rPr>
          <w:sz w:val="24"/>
        </w:rPr>
        <w:t>Sutton, R. and Barto, A. (2018).</w:t>
      </w:r>
      <w:r>
        <w:rPr>
          <w:spacing w:val="39"/>
          <w:sz w:val="24"/>
        </w:rPr>
        <w:t> </w:t>
      </w:r>
      <w:r>
        <w:rPr>
          <w:i/>
          <w:sz w:val="24"/>
        </w:rPr>
        <w:t>Reinforcement Learning: An Introduction</w:t>
      </w:r>
      <w:r>
        <w:rPr>
          <w:sz w:val="24"/>
        </w:rPr>
        <w:t>, second edn, The MIT Press.</w:t>
      </w:r>
    </w:p>
    <w:p>
      <w:pPr>
        <w:spacing w:line="276" w:lineRule="exact" w:before="0"/>
        <w:ind w:left="844" w:right="0" w:firstLine="0"/>
        <w:jc w:val="left"/>
        <w:rPr>
          <w:i/>
          <w:sz w:val="24"/>
        </w:rPr>
      </w:pPr>
      <w:r>
        <w:rPr>
          <w:b/>
          <w:spacing w:val="-2"/>
          <w:sz w:val="24"/>
        </w:rPr>
        <w:t>URL:</w:t>
      </w:r>
      <w:r>
        <w:rPr>
          <w:b/>
          <w:spacing w:val="42"/>
          <w:sz w:val="24"/>
        </w:rPr>
        <w:t> </w:t>
      </w:r>
      <w:hyperlink r:id="rId159">
        <w:r>
          <w:rPr>
            <w:i/>
            <w:spacing w:val="-2"/>
            <w:sz w:val="24"/>
          </w:rPr>
          <w:t>http://incompleteideas.net/book/the-book-2nd.html</w:t>
        </w:r>
      </w:hyperlink>
    </w:p>
    <w:p>
      <w:pPr>
        <w:pStyle w:val="BodyText"/>
        <w:spacing w:before="7"/>
        <w:rPr>
          <w:i/>
          <w:sz w:val="23"/>
        </w:rPr>
      </w:pPr>
    </w:p>
    <w:p>
      <w:pPr>
        <w:pStyle w:val="BodyText"/>
        <w:ind w:left="610"/>
        <w:jc w:val="both"/>
      </w:pPr>
      <w:bookmarkStart w:name="_bookmark302" w:id="466"/>
      <w:bookmarkEnd w:id="466"/>
      <w:r>
        <w:rPr/>
      </w:r>
      <w:r>
        <w:rPr/>
        <w:t>Tierney,</w:t>
      </w:r>
      <w:r>
        <w:rPr>
          <w:spacing w:val="-9"/>
        </w:rPr>
        <w:t> </w:t>
      </w:r>
      <w:r>
        <w:rPr/>
        <w:t>G.,</w:t>
      </w:r>
      <w:r>
        <w:rPr>
          <w:spacing w:val="-8"/>
        </w:rPr>
        <w:t> </w:t>
      </w:r>
      <w:r>
        <w:rPr/>
        <w:t>Weaving,</w:t>
      </w:r>
      <w:r>
        <w:rPr>
          <w:spacing w:val="-8"/>
        </w:rPr>
        <w:t> </w:t>
      </w:r>
      <w:r>
        <w:rPr/>
        <w:t>D.,</w:t>
      </w:r>
      <w:r>
        <w:rPr>
          <w:spacing w:val="-8"/>
        </w:rPr>
        <w:t> </w:t>
      </w:r>
      <w:r>
        <w:rPr/>
        <w:t>Tooby,</w:t>
      </w:r>
      <w:r>
        <w:rPr>
          <w:spacing w:val="-8"/>
        </w:rPr>
        <w:t> </w:t>
      </w:r>
      <w:r>
        <w:rPr/>
        <w:t>J.,</w:t>
      </w:r>
      <w:r>
        <w:rPr>
          <w:spacing w:val="-8"/>
        </w:rPr>
        <w:t> </w:t>
      </w:r>
      <w:r>
        <w:rPr/>
        <w:t>Al-Dawoud,</w:t>
      </w:r>
      <w:r>
        <w:rPr>
          <w:spacing w:val="-8"/>
        </w:rPr>
        <w:t> </w:t>
      </w:r>
      <w:r>
        <w:rPr/>
        <w:t>M.,</w:t>
      </w:r>
      <w:r>
        <w:rPr>
          <w:spacing w:val="-8"/>
        </w:rPr>
        <w:t> </w:t>
      </w:r>
      <w:r>
        <w:rPr/>
        <w:t>Hendricks,</w:t>
      </w:r>
      <w:r>
        <w:rPr>
          <w:spacing w:val="-8"/>
        </w:rPr>
        <w:t> </w:t>
      </w:r>
      <w:r>
        <w:rPr/>
        <w:t>S.,</w:t>
      </w:r>
      <w:r>
        <w:rPr>
          <w:spacing w:val="-8"/>
        </w:rPr>
        <w:t> </w:t>
      </w:r>
      <w:r>
        <w:rPr/>
        <w:t>Phillips,</w:t>
      </w:r>
      <w:r>
        <w:rPr>
          <w:spacing w:val="-8"/>
        </w:rPr>
        <w:t> </w:t>
      </w:r>
      <w:r>
        <w:rPr/>
        <w:t>G.,</w:t>
      </w:r>
      <w:r>
        <w:rPr>
          <w:spacing w:val="-8"/>
        </w:rPr>
        <w:t> </w:t>
      </w:r>
      <w:r>
        <w:rPr>
          <w:spacing w:val="-2"/>
        </w:rPr>
        <w:t>Stokes,</w:t>
      </w:r>
    </w:p>
    <w:p>
      <w:pPr>
        <w:pStyle w:val="BodyText"/>
        <w:spacing w:line="312" w:lineRule="auto" w:before="83"/>
        <w:ind w:left="844" w:right="389"/>
        <w:jc w:val="both"/>
      </w:pPr>
      <w:r>
        <w:rPr/>
        <w:t>K. A., Till, K. and Jones, B. (2021).</w:t>
      </w:r>
      <w:r>
        <w:rPr>
          <w:spacing w:val="40"/>
        </w:rPr>
        <w:t> </w:t>
      </w:r>
      <w:r>
        <w:rPr/>
        <w:t>Quantifying head acceleration exposure via </w:t>
      </w:r>
      <w:r>
        <w:rPr/>
        <w:t>in-</w:t>
      </w:r>
      <w:r>
        <w:rPr/>
        <w:t> strumented</w:t>
      </w:r>
      <w:r>
        <w:rPr>
          <w:spacing w:val="-4"/>
        </w:rPr>
        <w:t> </w:t>
      </w:r>
      <w:r>
        <w:rPr/>
        <w:t>mouthguards</w:t>
      </w:r>
      <w:r>
        <w:rPr>
          <w:spacing w:val="-4"/>
        </w:rPr>
        <w:t> </w:t>
      </w:r>
      <w:r>
        <w:rPr/>
        <w:t>(img): a</w:t>
      </w:r>
      <w:r>
        <w:rPr>
          <w:spacing w:val="-4"/>
        </w:rPr>
        <w:t> </w:t>
      </w:r>
      <w:r>
        <w:rPr/>
        <w:t>validity</w:t>
      </w:r>
      <w:r>
        <w:rPr>
          <w:spacing w:val="-4"/>
        </w:rPr>
        <w:t> </w:t>
      </w:r>
      <w:r>
        <w:rPr/>
        <w:t>and</w:t>
      </w:r>
      <w:r>
        <w:rPr>
          <w:spacing w:val="-4"/>
        </w:rPr>
        <w:t> </w:t>
      </w:r>
      <w:r>
        <w:rPr/>
        <w:t>feasibility</w:t>
      </w:r>
      <w:r>
        <w:rPr>
          <w:spacing w:val="-4"/>
        </w:rPr>
        <w:t> </w:t>
      </w:r>
      <w:r>
        <w:rPr/>
        <w:t>study</w:t>
      </w:r>
      <w:r>
        <w:rPr>
          <w:spacing w:val="-4"/>
        </w:rPr>
        <w:t> </w:t>
      </w:r>
      <w:r>
        <w:rPr/>
        <w:t>protocol</w:t>
      </w:r>
      <w:r>
        <w:rPr>
          <w:spacing w:val="-4"/>
        </w:rPr>
        <w:t> </w:t>
      </w:r>
      <w:r>
        <w:rPr/>
        <w:t>to</w:t>
      </w:r>
      <w:r>
        <w:rPr>
          <w:spacing w:val="-4"/>
        </w:rPr>
        <w:t> </w:t>
      </w:r>
      <w:r>
        <w:rPr/>
        <w:t>inform</w:t>
      </w:r>
      <w:r>
        <w:rPr>
          <w:spacing w:val="-4"/>
        </w:rPr>
        <w:t> </w:t>
      </w:r>
      <w:r>
        <w:rPr/>
        <w:t>img</w:t>
      </w:r>
      <w:r>
        <w:rPr/>
        <w:t> suitability for the tackle project, </w:t>
      </w:r>
      <w:r>
        <w:rPr>
          <w:i/>
        </w:rPr>
        <w:t>BMJ Open Sport &amp; Exercise Medicine </w:t>
      </w:r>
      <w:r>
        <w:rPr>
          <w:b/>
        </w:rPr>
        <w:t>7</w:t>
      </w:r>
      <w:r>
        <w:rPr/>
        <w:t>(3).</w:t>
      </w:r>
    </w:p>
    <w:p>
      <w:pPr>
        <w:pStyle w:val="BodyText"/>
        <w:spacing w:line="312" w:lineRule="auto" w:before="189"/>
        <w:ind w:left="844" w:right="389" w:hanging="235"/>
        <w:jc w:val="both"/>
      </w:pPr>
      <w:bookmarkStart w:name="_bookmark303" w:id="467"/>
      <w:bookmarkEnd w:id="467"/>
      <w:r>
        <w:rPr/>
      </w:r>
      <w:r>
        <w:rPr/>
        <w:t>Tooby, J., Weaving, D., Al-Dawoud, M.</w:t>
      </w:r>
      <w:r>
        <w:rPr>
          <w:spacing w:val="-2"/>
        </w:rPr>
        <w:t> </w:t>
      </w:r>
      <w:r>
        <w:rPr/>
        <w:t>and</w:t>
      </w:r>
      <w:r>
        <w:rPr>
          <w:spacing w:val="-2"/>
        </w:rPr>
        <w:t> </w:t>
      </w:r>
      <w:r>
        <w:rPr/>
        <w:t>Tierney, G.</w:t>
      </w:r>
      <w:r>
        <w:rPr>
          <w:spacing w:val="-2"/>
        </w:rPr>
        <w:t> </w:t>
      </w:r>
      <w:r>
        <w:rPr/>
        <w:t>(2022).</w:t>
      </w:r>
      <w:r>
        <w:rPr>
          <w:spacing w:val="40"/>
        </w:rPr>
        <w:t> </w:t>
      </w:r>
      <w:r>
        <w:rPr/>
        <w:t>Quantification</w:t>
      </w:r>
      <w:r>
        <w:rPr>
          <w:spacing w:val="-2"/>
        </w:rPr>
        <w:t> </w:t>
      </w:r>
      <w:r>
        <w:rPr/>
        <w:t>of</w:t>
      </w:r>
      <w:r>
        <w:rPr>
          <w:spacing w:val="-2"/>
        </w:rPr>
        <w:t> </w:t>
      </w:r>
      <w:r>
        <w:rPr/>
        <w:t>head acceleration events in rugby league:</w:t>
      </w:r>
      <w:r>
        <w:rPr>
          <w:spacing w:val="38"/>
        </w:rPr>
        <w:t> </w:t>
      </w:r>
      <w:r>
        <w:rPr/>
        <w:t>an instrumented mouthguard and video </w:t>
      </w:r>
      <w:r>
        <w:rPr/>
        <w:t>analysis pilot study, </w:t>
      </w:r>
      <w:r>
        <w:rPr>
          <w:i/>
        </w:rPr>
        <w:t>Sensors </w:t>
      </w:r>
      <w:r>
        <w:rPr>
          <w:b/>
        </w:rPr>
        <w:t>22</w:t>
      </w:r>
      <w:r>
        <w:rPr/>
        <w:t>(2): 584.</w:t>
      </w:r>
    </w:p>
    <w:p>
      <w:pPr>
        <w:pStyle w:val="BodyText"/>
        <w:spacing w:before="189"/>
        <w:ind w:left="610"/>
        <w:jc w:val="both"/>
      </w:pPr>
      <w:bookmarkStart w:name="_bookmark304" w:id="468"/>
      <w:bookmarkEnd w:id="468"/>
      <w:r>
        <w:rPr/>
      </w:r>
      <w:r>
        <w:rPr/>
        <w:t>van</w:t>
      </w:r>
      <w:r>
        <w:rPr>
          <w:spacing w:val="-1"/>
        </w:rPr>
        <w:t> </w:t>
      </w:r>
      <w:r>
        <w:rPr/>
        <w:t>de</w:t>
      </w:r>
      <w:r>
        <w:rPr>
          <w:spacing w:val="-1"/>
        </w:rPr>
        <w:t> </w:t>
      </w:r>
      <w:r>
        <w:rPr/>
        <w:t>Schoot, R., Depaoli,</w:t>
      </w:r>
      <w:r>
        <w:rPr>
          <w:spacing w:val="1"/>
        </w:rPr>
        <w:t> </w:t>
      </w:r>
      <w:r>
        <w:rPr/>
        <w:t>S., Gelman, A., King, R., Kramer, B.,</w:t>
      </w:r>
      <w:r>
        <w:rPr>
          <w:spacing w:val="1"/>
        </w:rPr>
        <w:t> </w:t>
      </w:r>
      <w:r>
        <w:rPr/>
        <w:t>Martens, K., </w:t>
      </w:r>
      <w:r>
        <w:rPr>
          <w:spacing w:val="-2"/>
        </w:rPr>
        <w:t>Tadesse,</w:t>
      </w:r>
    </w:p>
    <w:p>
      <w:pPr>
        <w:spacing w:line="312" w:lineRule="auto" w:before="82"/>
        <w:ind w:left="844" w:right="389" w:firstLine="0"/>
        <w:jc w:val="both"/>
        <w:rPr>
          <w:sz w:val="24"/>
        </w:rPr>
      </w:pPr>
      <w:r>
        <w:rPr>
          <w:sz w:val="24"/>
        </w:rPr>
        <w:t>M.</w:t>
      </w:r>
      <w:r>
        <w:rPr>
          <w:spacing w:val="-2"/>
          <w:sz w:val="24"/>
        </w:rPr>
        <w:t> </w:t>
      </w:r>
      <w:r>
        <w:rPr>
          <w:sz w:val="24"/>
        </w:rPr>
        <w:t>G., Vannucci, M., Willemsen, J.</w:t>
      </w:r>
      <w:r>
        <w:rPr>
          <w:spacing w:val="-2"/>
          <w:sz w:val="24"/>
        </w:rPr>
        <w:t> </w:t>
      </w:r>
      <w:r>
        <w:rPr>
          <w:sz w:val="24"/>
        </w:rPr>
        <w:t>and</w:t>
      </w:r>
      <w:r>
        <w:rPr>
          <w:spacing w:val="-1"/>
          <w:sz w:val="24"/>
        </w:rPr>
        <w:t> </w:t>
      </w:r>
      <w:r>
        <w:rPr>
          <w:sz w:val="24"/>
        </w:rPr>
        <w:t>Yau, C.</w:t>
      </w:r>
      <w:r>
        <w:rPr>
          <w:spacing w:val="-2"/>
          <w:sz w:val="24"/>
        </w:rPr>
        <w:t> </w:t>
      </w:r>
      <w:r>
        <w:rPr>
          <w:sz w:val="24"/>
        </w:rPr>
        <w:t>(2021).</w:t>
      </w:r>
      <w:r>
        <w:rPr>
          <w:spacing w:val="38"/>
          <w:sz w:val="24"/>
        </w:rPr>
        <w:t> </w:t>
      </w:r>
      <w:r>
        <w:rPr>
          <w:sz w:val="24"/>
        </w:rPr>
        <w:t>Bayesian</w:t>
      </w:r>
      <w:r>
        <w:rPr>
          <w:spacing w:val="-2"/>
          <w:sz w:val="24"/>
        </w:rPr>
        <w:t> </w:t>
      </w:r>
      <w:r>
        <w:rPr>
          <w:sz w:val="24"/>
        </w:rPr>
        <w:t>statistics</w:t>
      </w:r>
      <w:r>
        <w:rPr>
          <w:spacing w:val="-2"/>
          <w:sz w:val="24"/>
        </w:rPr>
        <w:t> </w:t>
      </w:r>
      <w:r>
        <w:rPr>
          <w:sz w:val="24"/>
        </w:rPr>
        <w:t>and</w:t>
      </w:r>
      <w:r>
        <w:rPr>
          <w:spacing w:val="-1"/>
          <w:sz w:val="24"/>
        </w:rPr>
        <w:t> </w:t>
      </w:r>
      <w:r>
        <w:rPr>
          <w:sz w:val="24"/>
        </w:rPr>
        <w:t>mod-</w:t>
      </w:r>
      <w:r>
        <w:rPr>
          <w:sz w:val="24"/>
        </w:rPr>
        <w:t> elling, </w:t>
      </w:r>
      <w:r>
        <w:rPr>
          <w:i/>
          <w:sz w:val="24"/>
        </w:rPr>
        <w:t>Nature Reviews Methods Primers </w:t>
      </w:r>
      <w:r>
        <w:rPr>
          <w:b/>
          <w:sz w:val="24"/>
        </w:rPr>
        <w:t>1</w:t>
      </w:r>
      <w:r>
        <w:rPr>
          <w:sz w:val="24"/>
        </w:rPr>
        <w:t>(3).</w:t>
      </w:r>
    </w:p>
    <w:p>
      <w:pPr>
        <w:spacing w:after="0" w:line="312" w:lineRule="auto"/>
        <w:jc w:val="both"/>
        <w:rPr>
          <w:sz w:val="24"/>
        </w:rPr>
        <w:sectPr>
          <w:pgSz w:w="11910" w:h="16840"/>
          <w:pgMar w:header="1961" w:footer="1428" w:top="2280" w:bottom="1620" w:left="1680" w:right="720"/>
        </w:sectPr>
      </w:pPr>
    </w:p>
    <w:p>
      <w:pPr>
        <w:pStyle w:val="BodyText"/>
        <w:rPr>
          <w:sz w:val="20"/>
        </w:rPr>
      </w:pPr>
    </w:p>
    <w:p>
      <w:pPr>
        <w:pStyle w:val="BodyText"/>
        <w:spacing w:before="3"/>
        <w:rPr>
          <w:sz w:val="21"/>
        </w:rPr>
      </w:pPr>
    </w:p>
    <w:p>
      <w:pPr>
        <w:pStyle w:val="BodyText"/>
        <w:spacing w:line="312" w:lineRule="auto" w:before="97"/>
        <w:ind w:left="844" w:right="389" w:hanging="235"/>
      </w:pPr>
      <w:bookmarkStart w:name="_bookmark305" w:id="469"/>
      <w:bookmarkEnd w:id="469"/>
      <w:r>
        <w:rPr/>
      </w:r>
      <w:r>
        <w:rPr/>
        <w:t>Vats,</w:t>
      </w:r>
      <w:r>
        <w:rPr>
          <w:spacing w:val="19"/>
        </w:rPr>
        <w:t> </w:t>
      </w:r>
      <w:r>
        <w:rPr/>
        <w:t>K.,</w:t>
      </w:r>
      <w:r>
        <w:rPr>
          <w:spacing w:val="19"/>
        </w:rPr>
        <w:t> </w:t>
      </w:r>
      <w:r>
        <w:rPr/>
        <w:t>Fani,</w:t>
      </w:r>
      <w:r>
        <w:rPr>
          <w:spacing w:val="19"/>
        </w:rPr>
        <w:t> </w:t>
      </w:r>
      <w:r>
        <w:rPr/>
        <w:t>M.,</w:t>
      </w:r>
      <w:r>
        <w:rPr>
          <w:spacing w:val="19"/>
        </w:rPr>
        <w:t> </w:t>
      </w:r>
      <w:r>
        <w:rPr/>
        <w:t>Walters,</w:t>
      </w:r>
      <w:r>
        <w:rPr>
          <w:spacing w:val="19"/>
        </w:rPr>
        <w:t> </w:t>
      </w:r>
      <w:r>
        <w:rPr/>
        <w:t>P.,</w:t>
      </w:r>
      <w:r>
        <w:rPr>
          <w:spacing w:val="19"/>
        </w:rPr>
        <w:t> </w:t>
      </w:r>
      <w:r>
        <w:rPr/>
        <w:t>Clausi,</w:t>
      </w:r>
      <w:r>
        <w:rPr>
          <w:spacing w:val="19"/>
        </w:rPr>
        <w:t> </w:t>
      </w:r>
      <w:r>
        <w:rPr/>
        <w:t>D. A. and Zelek,</w:t>
      </w:r>
      <w:r>
        <w:rPr>
          <w:spacing w:val="19"/>
        </w:rPr>
        <w:t> </w:t>
      </w:r>
      <w:r>
        <w:rPr/>
        <w:t>J. (2020).</w:t>
      </w:r>
      <w:r>
        <w:rPr>
          <w:spacing w:val="80"/>
        </w:rPr>
        <w:t> </w:t>
      </w:r>
      <w:r>
        <w:rPr/>
        <w:t>Event detection in coarsely annotated sports videos via parallel multi-receptive field 1d convolutions.</w:t>
      </w:r>
    </w:p>
    <w:p>
      <w:pPr>
        <w:spacing w:line="312" w:lineRule="auto" w:before="199"/>
        <w:ind w:left="844" w:right="389" w:hanging="235"/>
        <w:jc w:val="left"/>
        <w:rPr>
          <w:sz w:val="24"/>
        </w:rPr>
      </w:pPr>
      <w:bookmarkStart w:name="_bookmark306" w:id="470"/>
      <w:bookmarkEnd w:id="470"/>
      <w:r>
        <w:rPr/>
      </w:r>
      <w:r>
        <w:rPr>
          <w:sz w:val="24"/>
        </w:rPr>
        <w:t>Villani,</w:t>
      </w:r>
      <w:r>
        <w:rPr>
          <w:spacing w:val="-7"/>
          <w:sz w:val="24"/>
        </w:rPr>
        <w:t> </w:t>
      </w:r>
      <w:r>
        <w:rPr>
          <w:sz w:val="24"/>
        </w:rPr>
        <w:t>C.</w:t>
      </w:r>
      <w:r>
        <w:rPr>
          <w:spacing w:val="-8"/>
          <w:sz w:val="24"/>
        </w:rPr>
        <w:t> </w:t>
      </w:r>
      <w:r>
        <w:rPr>
          <w:sz w:val="24"/>
        </w:rPr>
        <w:t>(2003).</w:t>
      </w:r>
      <w:r>
        <w:rPr>
          <w:spacing w:val="19"/>
          <w:sz w:val="24"/>
        </w:rPr>
        <w:t> </w:t>
      </w:r>
      <w:r>
        <w:rPr>
          <w:i/>
          <w:sz w:val="24"/>
        </w:rPr>
        <w:t>Topics</w:t>
      </w:r>
      <w:r>
        <w:rPr>
          <w:i/>
          <w:spacing w:val="-8"/>
          <w:sz w:val="24"/>
        </w:rPr>
        <w:t> </w:t>
      </w:r>
      <w:r>
        <w:rPr>
          <w:i/>
          <w:sz w:val="24"/>
        </w:rPr>
        <w:t>in</w:t>
      </w:r>
      <w:r>
        <w:rPr>
          <w:i/>
          <w:spacing w:val="-8"/>
          <w:sz w:val="24"/>
        </w:rPr>
        <w:t> </w:t>
      </w:r>
      <w:r>
        <w:rPr>
          <w:i/>
          <w:sz w:val="24"/>
        </w:rPr>
        <w:t>Optimal</w:t>
      </w:r>
      <w:r>
        <w:rPr>
          <w:i/>
          <w:spacing w:val="-8"/>
          <w:sz w:val="24"/>
        </w:rPr>
        <w:t> </w:t>
      </w:r>
      <w:r>
        <w:rPr>
          <w:i/>
          <w:sz w:val="24"/>
        </w:rPr>
        <w:t>Transportation</w:t>
      </w:r>
      <w:r>
        <w:rPr>
          <w:sz w:val="24"/>
        </w:rPr>
        <w:t>,</w:t>
      </w:r>
      <w:r>
        <w:rPr>
          <w:spacing w:val="-7"/>
          <w:sz w:val="24"/>
        </w:rPr>
        <w:t> </w:t>
      </w:r>
      <w:r>
        <w:rPr>
          <w:sz w:val="24"/>
        </w:rPr>
        <w:t>The</w:t>
      </w:r>
      <w:r>
        <w:rPr>
          <w:spacing w:val="-8"/>
          <w:sz w:val="24"/>
        </w:rPr>
        <w:t> </w:t>
      </w:r>
      <w:r>
        <w:rPr>
          <w:sz w:val="24"/>
        </w:rPr>
        <w:t>American</w:t>
      </w:r>
      <w:r>
        <w:rPr>
          <w:spacing w:val="-8"/>
          <w:sz w:val="24"/>
        </w:rPr>
        <w:t> </w:t>
      </w:r>
      <w:r>
        <w:rPr>
          <w:sz w:val="24"/>
        </w:rPr>
        <w:t>Mathematical</w:t>
      </w:r>
      <w:r>
        <w:rPr>
          <w:spacing w:val="-8"/>
          <w:sz w:val="24"/>
        </w:rPr>
        <w:t> </w:t>
      </w:r>
      <w:r>
        <w:rPr>
          <w:sz w:val="24"/>
        </w:rPr>
        <w:t>Soci- ety, Providence, Rhode Island.</w:t>
      </w:r>
    </w:p>
    <w:p>
      <w:pPr>
        <w:pStyle w:val="BodyText"/>
        <w:spacing w:line="312" w:lineRule="auto" w:before="199"/>
        <w:ind w:left="844" w:right="389" w:hanging="235"/>
      </w:pPr>
      <w:bookmarkStart w:name="_bookmark307" w:id="471"/>
      <w:bookmarkEnd w:id="471"/>
      <w:r>
        <w:rPr/>
      </w:r>
      <w:r>
        <w:rPr/>
        <w:t>Wand, M. P. and Jones, M. C. (1995).</w:t>
      </w:r>
      <w:r>
        <w:rPr>
          <w:spacing w:val="40"/>
        </w:rPr>
        <w:t> </w:t>
      </w:r>
      <w:r>
        <w:rPr>
          <w:i/>
        </w:rPr>
        <w:t>Kernel Smoothing</w:t>
      </w:r>
      <w:r>
        <w:rPr/>
        <w:t>, Chapman and Hall, </w:t>
      </w:r>
      <w:r>
        <w:rPr/>
        <w:t>London, </w:t>
      </w:r>
      <w:r>
        <w:rPr>
          <w:spacing w:val="-4"/>
        </w:rPr>
        <w:t>UK.</w:t>
      </w:r>
    </w:p>
    <w:p>
      <w:pPr>
        <w:pStyle w:val="BodyText"/>
        <w:spacing w:line="312" w:lineRule="auto" w:before="199"/>
        <w:ind w:left="844" w:right="389" w:hanging="235"/>
        <w:jc w:val="both"/>
      </w:pPr>
      <w:bookmarkStart w:name="_bookmark308" w:id="472"/>
      <w:bookmarkEnd w:id="472"/>
      <w:r>
        <w:rPr/>
      </w:r>
      <w:r>
        <w:rPr/>
        <w:t>Wedding, C., Woods, C., Sinclair, W., Gomez, M. and Leicht, A. (2020).</w:t>
      </w:r>
      <w:r>
        <w:rPr>
          <w:spacing w:val="40"/>
        </w:rPr>
        <w:t> </w:t>
      </w:r>
      <w:r>
        <w:rPr/>
        <w:t>Examining</w:t>
      </w:r>
      <w:r>
        <w:rPr>
          <w:spacing w:val="40"/>
        </w:rPr>
        <w:t> </w:t>
      </w:r>
      <w:r>
        <w:rPr/>
        <w:t>the evolution and classification of player position using performance indicators in the national</w:t>
      </w:r>
      <w:r>
        <w:rPr>
          <w:spacing w:val="-6"/>
        </w:rPr>
        <w:t> </w:t>
      </w:r>
      <w:r>
        <w:rPr/>
        <w:t>rugby</w:t>
      </w:r>
      <w:r>
        <w:rPr>
          <w:spacing w:val="-5"/>
        </w:rPr>
        <w:t> </w:t>
      </w:r>
      <w:r>
        <w:rPr/>
        <w:t>league</w:t>
      </w:r>
      <w:r>
        <w:rPr>
          <w:spacing w:val="-6"/>
        </w:rPr>
        <w:t> </w:t>
      </w:r>
      <w:r>
        <w:rPr/>
        <w:t>during</w:t>
      </w:r>
      <w:r>
        <w:rPr>
          <w:spacing w:val="-5"/>
        </w:rPr>
        <w:t> </w:t>
      </w:r>
      <w:r>
        <w:rPr/>
        <w:t>the</w:t>
      </w:r>
      <w:r>
        <w:rPr>
          <w:spacing w:val="-6"/>
        </w:rPr>
        <w:t> </w:t>
      </w:r>
      <w:r>
        <w:rPr/>
        <w:t>2015-2019</w:t>
      </w:r>
      <w:r>
        <w:rPr>
          <w:spacing w:val="-5"/>
        </w:rPr>
        <w:t> </w:t>
      </w:r>
      <w:r>
        <w:rPr/>
        <w:t>seasons,</w:t>
      </w:r>
      <w:r>
        <w:rPr>
          <w:spacing w:val="-5"/>
        </w:rPr>
        <w:t> </w:t>
      </w:r>
      <w:r>
        <w:rPr>
          <w:i/>
        </w:rPr>
        <w:t>Journal</w:t>
      </w:r>
      <w:r>
        <w:rPr>
          <w:i/>
          <w:spacing w:val="-6"/>
        </w:rPr>
        <w:t> </w:t>
      </w:r>
      <w:r>
        <w:rPr>
          <w:i/>
        </w:rPr>
        <w:t>of</w:t>
      </w:r>
      <w:r>
        <w:rPr>
          <w:i/>
          <w:spacing w:val="-5"/>
        </w:rPr>
        <w:t> </w:t>
      </w:r>
      <w:r>
        <w:rPr>
          <w:i/>
        </w:rPr>
        <w:t>Science</w:t>
      </w:r>
      <w:r>
        <w:rPr>
          <w:i/>
          <w:spacing w:val="-6"/>
        </w:rPr>
        <w:t> </w:t>
      </w:r>
      <w:r>
        <w:rPr>
          <w:i/>
        </w:rPr>
        <w:t>and</w:t>
      </w:r>
      <w:r>
        <w:rPr>
          <w:i/>
          <w:spacing w:val="-5"/>
        </w:rPr>
        <w:t> </w:t>
      </w:r>
      <w:r>
        <w:rPr>
          <w:i/>
        </w:rPr>
        <w:t>Medicine</w:t>
      </w:r>
      <w:r>
        <w:rPr>
          <w:i/>
        </w:rPr>
        <w:t> in Sport </w:t>
      </w:r>
      <w:r>
        <w:rPr>
          <w:b/>
        </w:rPr>
        <w:t>23</w:t>
      </w:r>
      <w:r>
        <w:rPr/>
        <w:t>: 891–896.</w:t>
      </w:r>
    </w:p>
    <w:p>
      <w:pPr>
        <w:spacing w:line="312" w:lineRule="auto" w:before="198"/>
        <w:ind w:left="844" w:right="389" w:hanging="235"/>
        <w:jc w:val="both"/>
        <w:rPr>
          <w:sz w:val="24"/>
        </w:rPr>
      </w:pPr>
      <w:bookmarkStart w:name="_bookmark309" w:id="473"/>
      <w:bookmarkEnd w:id="473"/>
      <w:r>
        <w:rPr/>
      </w:r>
      <w:r>
        <w:rPr>
          <w:sz w:val="24"/>
        </w:rPr>
        <w:t>Whitaker, G., Silva, R., Edwards, D. and Kosmidis, I. (2021).</w:t>
      </w:r>
      <w:r>
        <w:rPr>
          <w:spacing w:val="40"/>
          <w:sz w:val="24"/>
        </w:rPr>
        <w:t> </w:t>
      </w:r>
      <w:r>
        <w:rPr>
          <w:sz w:val="24"/>
        </w:rPr>
        <w:t>A bayesian approach </w:t>
      </w:r>
      <w:r>
        <w:rPr>
          <w:sz w:val="24"/>
        </w:rPr>
        <w:t>for determining player abilities in football, </w:t>
      </w:r>
      <w:r>
        <w:rPr>
          <w:i/>
          <w:sz w:val="24"/>
        </w:rPr>
        <w:t>Journal of the Royal Statistical Society Series</w:t>
      </w:r>
      <w:r>
        <w:rPr>
          <w:i/>
          <w:sz w:val="24"/>
        </w:rPr>
        <w:t> C: Applied Statistics </w:t>
      </w:r>
      <w:r>
        <w:rPr>
          <w:b/>
          <w:sz w:val="24"/>
        </w:rPr>
        <w:t>70</w:t>
      </w:r>
      <w:r>
        <w:rPr>
          <w:sz w:val="24"/>
        </w:rPr>
        <w:t>(1): 174–201.</w:t>
      </w:r>
    </w:p>
    <w:p>
      <w:pPr>
        <w:spacing w:line="312" w:lineRule="auto" w:before="199"/>
        <w:ind w:left="844" w:right="389" w:hanging="235"/>
        <w:jc w:val="both"/>
        <w:rPr>
          <w:sz w:val="24"/>
        </w:rPr>
      </w:pPr>
      <w:bookmarkStart w:name="_bookmark310" w:id="474"/>
      <w:bookmarkEnd w:id="474"/>
      <w:r>
        <w:rPr/>
      </w:r>
      <w:r>
        <w:rPr>
          <w:sz w:val="24"/>
        </w:rPr>
        <w:t>White, C. C. and White, D. J. (1989).</w:t>
      </w:r>
      <w:r>
        <w:rPr>
          <w:spacing w:val="40"/>
          <w:sz w:val="24"/>
        </w:rPr>
        <w:t> </w:t>
      </w:r>
      <w:r>
        <w:rPr>
          <w:sz w:val="24"/>
        </w:rPr>
        <w:t>Markov decision processes, </w:t>
      </w:r>
      <w:r>
        <w:rPr>
          <w:i/>
          <w:sz w:val="24"/>
        </w:rPr>
        <w:t>European Journal of</w:t>
      </w:r>
      <w:r>
        <w:rPr>
          <w:i/>
          <w:sz w:val="24"/>
        </w:rPr>
        <w:t> Operational Research </w:t>
      </w:r>
      <w:r>
        <w:rPr>
          <w:b/>
          <w:sz w:val="24"/>
        </w:rPr>
        <w:t>39</w:t>
      </w:r>
      <w:r>
        <w:rPr>
          <w:sz w:val="24"/>
        </w:rPr>
        <w:t>(1): 1–16.</w:t>
      </w:r>
    </w:p>
    <w:p>
      <w:pPr>
        <w:spacing w:line="276" w:lineRule="exact" w:before="0"/>
        <w:ind w:left="844" w:right="0" w:firstLine="0"/>
        <w:jc w:val="left"/>
        <w:rPr>
          <w:i/>
          <w:sz w:val="24"/>
        </w:rPr>
      </w:pPr>
      <w:r>
        <w:rPr>
          <w:b/>
          <w:sz w:val="24"/>
        </w:rPr>
        <w:t>URL:</w:t>
      </w:r>
      <w:r>
        <w:rPr>
          <w:b/>
          <w:spacing w:val="-7"/>
          <w:sz w:val="24"/>
        </w:rPr>
        <w:t> </w:t>
      </w:r>
      <w:hyperlink r:id="rId160">
        <w:r>
          <w:rPr>
            <w:i/>
            <w:spacing w:val="-2"/>
            <w:sz w:val="24"/>
          </w:rPr>
          <w:t>https://www.sciencedirect.com/science/article/pii/0377221789903482</w:t>
        </w:r>
      </w:hyperlink>
    </w:p>
    <w:p>
      <w:pPr>
        <w:pStyle w:val="BodyText"/>
        <w:spacing w:before="5"/>
        <w:rPr>
          <w:i/>
        </w:rPr>
      </w:pPr>
    </w:p>
    <w:p>
      <w:pPr>
        <w:pStyle w:val="BodyText"/>
        <w:spacing w:line="312" w:lineRule="auto"/>
        <w:ind w:left="844" w:right="389" w:hanging="235"/>
        <w:jc w:val="both"/>
      </w:pPr>
      <w:bookmarkStart w:name="_bookmark311" w:id="475"/>
      <w:bookmarkEnd w:id="475"/>
      <w:r>
        <w:rPr/>
      </w:r>
      <w:r>
        <w:rPr/>
        <w:t>Whitehead, S., Till, K., Weaving, D. and Jones, B. (2018).</w:t>
      </w:r>
      <w:r>
        <w:rPr>
          <w:spacing w:val="40"/>
        </w:rPr>
        <w:t> </w:t>
      </w:r>
      <w:r>
        <w:rPr/>
        <w:t>The use of microtechnology to</w:t>
      </w:r>
      <w:r>
        <w:rPr>
          <w:spacing w:val="-8"/>
        </w:rPr>
        <w:t> </w:t>
      </w:r>
      <w:r>
        <w:rPr/>
        <w:t>quantify</w:t>
      </w:r>
      <w:r>
        <w:rPr>
          <w:spacing w:val="-8"/>
        </w:rPr>
        <w:t> </w:t>
      </w:r>
      <w:r>
        <w:rPr/>
        <w:t>the</w:t>
      </w:r>
      <w:r>
        <w:rPr>
          <w:spacing w:val="-8"/>
        </w:rPr>
        <w:t> </w:t>
      </w:r>
      <w:r>
        <w:rPr/>
        <w:t>peak</w:t>
      </w:r>
      <w:r>
        <w:rPr>
          <w:spacing w:val="-8"/>
        </w:rPr>
        <w:t> </w:t>
      </w:r>
      <w:r>
        <w:rPr/>
        <w:t>match</w:t>
      </w:r>
      <w:r>
        <w:rPr>
          <w:spacing w:val="-8"/>
        </w:rPr>
        <w:t> </w:t>
      </w:r>
      <w:r>
        <w:rPr/>
        <w:t>demands</w:t>
      </w:r>
      <w:r>
        <w:rPr>
          <w:spacing w:val="-8"/>
        </w:rPr>
        <w:t> </w:t>
      </w:r>
      <w:r>
        <w:rPr/>
        <w:t>of</w:t>
      </w:r>
      <w:r>
        <w:rPr>
          <w:spacing w:val="-8"/>
        </w:rPr>
        <w:t> </w:t>
      </w:r>
      <w:r>
        <w:rPr/>
        <w:t>the</w:t>
      </w:r>
      <w:r>
        <w:rPr>
          <w:spacing w:val="-8"/>
        </w:rPr>
        <w:t> </w:t>
      </w:r>
      <w:r>
        <w:rPr/>
        <w:t>football</w:t>
      </w:r>
      <w:r>
        <w:rPr>
          <w:spacing w:val="-8"/>
        </w:rPr>
        <w:t> </w:t>
      </w:r>
      <w:r>
        <w:rPr/>
        <w:t>codes: A</w:t>
      </w:r>
      <w:r>
        <w:rPr>
          <w:spacing w:val="-8"/>
        </w:rPr>
        <w:t> </w:t>
      </w:r>
      <w:r>
        <w:rPr/>
        <w:t>systematic</w:t>
      </w:r>
      <w:r>
        <w:rPr>
          <w:spacing w:val="-8"/>
        </w:rPr>
        <w:t> </w:t>
      </w:r>
      <w:r>
        <w:rPr/>
        <w:t>review,</w:t>
      </w:r>
      <w:r>
        <w:rPr>
          <w:spacing w:val="-8"/>
        </w:rPr>
        <w:t> </w:t>
      </w:r>
      <w:r>
        <w:rPr>
          <w:i/>
        </w:rPr>
        <w:t>Sports</w:t>
      </w:r>
      <w:r>
        <w:rPr>
          <w:i/>
        </w:rPr>
        <w:t> Medicine </w:t>
      </w:r>
      <w:r>
        <w:rPr>
          <w:b/>
        </w:rPr>
        <w:t>48</w:t>
      </w:r>
      <w:r>
        <w:rPr/>
        <w:t>: 2549–2575.</w:t>
      </w:r>
    </w:p>
    <w:p>
      <w:pPr>
        <w:spacing w:line="312" w:lineRule="auto" w:before="199"/>
        <w:ind w:left="844" w:right="389" w:hanging="235"/>
        <w:jc w:val="both"/>
        <w:rPr>
          <w:sz w:val="24"/>
        </w:rPr>
      </w:pPr>
      <w:bookmarkStart w:name="_bookmark312" w:id="476"/>
      <w:bookmarkEnd w:id="476"/>
      <w:r>
        <w:rPr/>
      </w:r>
      <w:r>
        <w:rPr>
          <w:sz w:val="24"/>
        </w:rPr>
        <w:t>Woods,</w:t>
      </w:r>
      <w:r>
        <w:rPr>
          <w:spacing w:val="-7"/>
          <w:sz w:val="24"/>
        </w:rPr>
        <w:t> </w:t>
      </w:r>
      <w:r>
        <w:rPr>
          <w:sz w:val="24"/>
        </w:rPr>
        <w:t>C.,</w:t>
      </w:r>
      <w:r>
        <w:rPr>
          <w:spacing w:val="-8"/>
          <w:sz w:val="24"/>
        </w:rPr>
        <w:t> </w:t>
      </w:r>
      <w:r>
        <w:rPr>
          <w:sz w:val="24"/>
        </w:rPr>
        <w:t>Sinclair,</w:t>
      </w:r>
      <w:r>
        <w:rPr>
          <w:spacing w:val="-7"/>
          <w:sz w:val="24"/>
        </w:rPr>
        <w:t> </w:t>
      </w:r>
      <w:r>
        <w:rPr>
          <w:sz w:val="24"/>
        </w:rPr>
        <w:t>W.</w:t>
      </w:r>
      <w:r>
        <w:rPr>
          <w:spacing w:val="-8"/>
          <w:sz w:val="24"/>
        </w:rPr>
        <w:t> </w:t>
      </w:r>
      <w:r>
        <w:rPr>
          <w:sz w:val="24"/>
        </w:rPr>
        <w:t>and</w:t>
      </w:r>
      <w:r>
        <w:rPr>
          <w:spacing w:val="-8"/>
          <w:sz w:val="24"/>
        </w:rPr>
        <w:t> </w:t>
      </w:r>
      <w:r>
        <w:rPr>
          <w:sz w:val="24"/>
        </w:rPr>
        <w:t>Robertson,</w:t>
      </w:r>
      <w:r>
        <w:rPr>
          <w:spacing w:val="-8"/>
          <w:sz w:val="24"/>
        </w:rPr>
        <w:t> </w:t>
      </w:r>
      <w:r>
        <w:rPr>
          <w:sz w:val="24"/>
        </w:rPr>
        <w:t>S.</w:t>
      </w:r>
      <w:r>
        <w:rPr>
          <w:spacing w:val="-8"/>
          <w:sz w:val="24"/>
        </w:rPr>
        <w:t> </w:t>
      </w:r>
      <w:r>
        <w:rPr>
          <w:sz w:val="24"/>
        </w:rPr>
        <w:t>(2017).</w:t>
      </w:r>
      <w:r>
        <w:rPr>
          <w:spacing w:val="18"/>
          <w:sz w:val="24"/>
        </w:rPr>
        <w:t> </w:t>
      </w:r>
      <w:r>
        <w:rPr>
          <w:sz w:val="24"/>
        </w:rPr>
        <w:t>Explaining</w:t>
      </w:r>
      <w:r>
        <w:rPr>
          <w:spacing w:val="-8"/>
          <w:sz w:val="24"/>
        </w:rPr>
        <w:t> </w:t>
      </w:r>
      <w:r>
        <w:rPr>
          <w:sz w:val="24"/>
        </w:rPr>
        <w:t>match</w:t>
      </w:r>
      <w:r>
        <w:rPr>
          <w:spacing w:val="-8"/>
          <w:sz w:val="24"/>
        </w:rPr>
        <w:t> </w:t>
      </w:r>
      <w:r>
        <w:rPr>
          <w:sz w:val="24"/>
        </w:rPr>
        <w:t>outcome</w:t>
      </w:r>
      <w:r>
        <w:rPr>
          <w:spacing w:val="-8"/>
          <w:sz w:val="24"/>
        </w:rPr>
        <w:t> </w:t>
      </w:r>
      <w:r>
        <w:rPr>
          <w:sz w:val="24"/>
        </w:rPr>
        <w:t>and</w:t>
      </w:r>
      <w:r>
        <w:rPr>
          <w:spacing w:val="-8"/>
          <w:sz w:val="24"/>
        </w:rPr>
        <w:t> </w:t>
      </w:r>
      <w:r>
        <w:rPr>
          <w:sz w:val="24"/>
        </w:rPr>
        <w:t>ladder position in the national rugby league using team performance indicators, </w:t>
      </w:r>
      <w:r>
        <w:rPr>
          <w:i/>
          <w:sz w:val="24"/>
        </w:rPr>
        <w:t>Journal of</w:t>
      </w:r>
      <w:r>
        <w:rPr>
          <w:i/>
          <w:sz w:val="24"/>
        </w:rPr>
        <w:t> Science and Medicine in Sport </w:t>
      </w:r>
      <w:r>
        <w:rPr>
          <w:b/>
          <w:sz w:val="24"/>
        </w:rPr>
        <w:t>20</w:t>
      </w:r>
      <w:r>
        <w:rPr>
          <w:sz w:val="24"/>
        </w:rPr>
        <w:t>: 1107–1111.</w:t>
      </w:r>
    </w:p>
    <w:p>
      <w:pPr>
        <w:spacing w:line="312" w:lineRule="auto" w:before="199"/>
        <w:ind w:left="844" w:right="389" w:hanging="235"/>
        <w:jc w:val="both"/>
        <w:rPr>
          <w:sz w:val="24"/>
        </w:rPr>
      </w:pPr>
      <w:bookmarkStart w:name="_bookmark313" w:id="477"/>
      <w:bookmarkEnd w:id="477"/>
      <w:r>
        <w:rPr/>
      </w:r>
      <w:r>
        <w:rPr>
          <w:spacing w:val="-2"/>
          <w:sz w:val="24"/>
        </w:rPr>
        <w:t>Woods,</w:t>
      </w:r>
      <w:r>
        <w:rPr>
          <w:spacing w:val="-6"/>
          <w:sz w:val="24"/>
        </w:rPr>
        <w:t> </w:t>
      </w:r>
      <w:r>
        <w:rPr>
          <w:spacing w:val="-2"/>
          <w:sz w:val="24"/>
        </w:rPr>
        <w:t>C.</w:t>
      </w:r>
      <w:r>
        <w:rPr>
          <w:spacing w:val="-8"/>
          <w:sz w:val="24"/>
        </w:rPr>
        <w:t> </w:t>
      </w:r>
      <w:r>
        <w:rPr>
          <w:spacing w:val="-2"/>
          <w:sz w:val="24"/>
        </w:rPr>
        <w:t>T.</w:t>
      </w:r>
      <w:r>
        <w:rPr>
          <w:spacing w:val="-8"/>
          <w:sz w:val="24"/>
        </w:rPr>
        <w:t> </w:t>
      </w:r>
      <w:r>
        <w:rPr>
          <w:spacing w:val="-2"/>
          <w:sz w:val="24"/>
        </w:rPr>
        <w:t>(2016).</w:t>
      </w:r>
      <w:r>
        <w:rPr>
          <w:sz w:val="24"/>
        </w:rPr>
        <w:t> </w:t>
      </w:r>
      <w:r>
        <w:rPr>
          <w:spacing w:val="-2"/>
          <w:sz w:val="24"/>
        </w:rPr>
        <w:t>The</w:t>
      </w:r>
      <w:r>
        <w:rPr>
          <w:spacing w:val="-8"/>
          <w:sz w:val="24"/>
        </w:rPr>
        <w:t> </w:t>
      </w:r>
      <w:r>
        <w:rPr>
          <w:spacing w:val="-2"/>
          <w:sz w:val="24"/>
        </w:rPr>
        <w:t>use</w:t>
      </w:r>
      <w:r>
        <w:rPr>
          <w:spacing w:val="-8"/>
          <w:sz w:val="24"/>
        </w:rPr>
        <w:t> </w:t>
      </w:r>
      <w:r>
        <w:rPr>
          <w:spacing w:val="-2"/>
          <w:sz w:val="24"/>
        </w:rPr>
        <w:t>of</w:t>
      </w:r>
      <w:r>
        <w:rPr>
          <w:spacing w:val="-8"/>
          <w:sz w:val="24"/>
        </w:rPr>
        <w:t> </w:t>
      </w:r>
      <w:r>
        <w:rPr>
          <w:spacing w:val="-2"/>
          <w:sz w:val="24"/>
        </w:rPr>
        <w:t>team</w:t>
      </w:r>
      <w:r>
        <w:rPr>
          <w:spacing w:val="-8"/>
          <w:sz w:val="24"/>
        </w:rPr>
        <w:t> </w:t>
      </w:r>
      <w:r>
        <w:rPr>
          <w:spacing w:val="-2"/>
          <w:sz w:val="24"/>
        </w:rPr>
        <w:t>performance</w:t>
      </w:r>
      <w:r>
        <w:rPr>
          <w:spacing w:val="-8"/>
          <w:sz w:val="24"/>
        </w:rPr>
        <w:t> </w:t>
      </w:r>
      <w:r>
        <w:rPr>
          <w:spacing w:val="-2"/>
          <w:sz w:val="24"/>
        </w:rPr>
        <w:t>indicator</w:t>
      </w:r>
      <w:r>
        <w:rPr>
          <w:spacing w:val="-8"/>
          <w:sz w:val="24"/>
        </w:rPr>
        <w:t> </w:t>
      </w:r>
      <w:r>
        <w:rPr>
          <w:spacing w:val="-2"/>
          <w:sz w:val="24"/>
        </w:rPr>
        <w:t>characteristics</w:t>
      </w:r>
      <w:r>
        <w:rPr>
          <w:spacing w:val="-8"/>
          <w:sz w:val="24"/>
        </w:rPr>
        <w:t> </w:t>
      </w:r>
      <w:r>
        <w:rPr>
          <w:spacing w:val="-2"/>
          <w:sz w:val="24"/>
        </w:rPr>
        <w:t>to</w:t>
      </w:r>
      <w:r>
        <w:rPr>
          <w:spacing w:val="-8"/>
          <w:sz w:val="24"/>
        </w:rPr>
        <w:t> </w:t>
      </w:r>
      <w:r>
        <w:rPr>
          <w:spacing w:val="-2"/>
          <w:sz w:val="24"/>
        </w:rPr>
        <w:t>explain</w:t>
      </w:r>
      <w:r>
        <w:rPr>
          <w:spacing w:val="-8"/>
          <w:sz w:val="24"/>
        </w:rPr>
        <w:t> </w:t>
      </w:r>
      <w:r>
        <w:rPr>
          <w:spacing w:val="-2"/>
          <w:sz w:val="24"/>
        </w:rPr>
        <w:t>lad- </w:t>
      </w:r>
      <w:r>
        <w:rPr>
          <w:sz w:val="24"/>
        </w:rPr>
        <w:t>der</w:t>
      </w:r>
      <w:r>
        <w:rPr>
          <w:spacing w:val="-1"/>
          <w:sz w:val="24"/>
        </w:rPr>
        <w:t> </w:t>
      </w:r>
      <w:r>
        <w:rPr>
          <w:sz w:val="24"/>
        </w:rPr>
        <w:t>position</w:t>
      </w:r>
      <w:r>
        <w:rPr>
          <w:spacing w:val="-2"/>
          <w:sz w:val="24"/>
        </w:rPr>
        <w:t> </w:t>
      </w:r>
      <w:r>
        <w:rPr>
          <w:sz w:val="24"/>
        </w:rPr>
        <w:t>at</w:t>
      </w:r>
      <w:r>
        <w:rPr>
          <w:spacing w:val="-1"/>
          <w:sz w:val="24"/>
        </w:rPr>
        <w:t> </w:t>
      </w:r>
      <w:r>
        <w:rPr>
          <w:sz w:val="24"/>
        </w:rPr>
        <w:t>the</w:t>
      </w:r>
      <w:r>
        <w:rPr>
          <w:spacing w:val="-2"/>
          <w:sz w:val="24"/>
        </w:rPr>
        <w:t> </w:t>
      </w:r>
      <w:r>
        <w:rPr>
          <w:sz w:val="24"/>
        </w:rPr>
        <w:t>conclusion</w:t>
      </w:r>
      <w:r>
        <w:rPr>
          <w:spacing w:val="-1"/>
          <w:sz w:val="24"/>
        </w:rPr>
        <w:t> </w:t>
      </w:r>
      <w:r>
        <w:rPr>
          <w:sz w:val="24"/>
        </w:rPr>
        <w:t>of</w:t>
      </w:r>
      <w:r>
        <w:rPr>
          <w:spacing w:val="-1"/>
          <w:sz w:val="24"/>
        </w:rPr>
        <w:t> </w:t>
      </w:r>
      <w:r>
        <w:rPr>
          <w:sz w:val="24"/>
        </w:rPr>
        <w:t>the</w:t>
      </w:r>
      <w:r>
        <w:rPr>
          <w:spacing w:val="-2"/>
          <w:sz w:val="24"/>
        </w:rPr>
        <w:t> </w:t>
      </w:r>
      <w:r>
        <w:rPr>
          <w:sz w:val="24"/>
        </w:rPr>
        <w:t>australian</w:t>
      </w:r>
      <w:r>
        <w:rPr>
          <w:spacing w:val="-1"/>
          <w:sz w:val="24"/>
        </w:rPr>
        <w:t> </w:t>
      </w:r>
      <w:r>
        <w:rPr>
          <w:sz w:val="24"/>
        </w:rPr>
        <w:t>football</w:t>
      </w:r>
      <w:r>
        <w:rPr>
          <w:spacing w:val="-2"/>
          <w:sz w:val="24"/>
        </w:rPr>
        <w:t> </w:t>
      </w:r>
      <w:r>
        <w:rPr>
          <w:sz w:val="24"/>
        </w:rPr>
        <w:t>league</w:t>
      </w:r>
      <w:r>
        <w:rPr>
          <w:spacing w:val="-1"/>
          <w:sz w:val="24"/>
        </w:rPr>
        <w:t> </w:t>
      </w:r>
      <w:r>
        <w:rPr>
          <w:sz w:val="24"/>
        </w:rPr>
        <w:t>home</w:t>
      </w:r>
      <w:r>
        <w:rPr>
          <w:spacing w:val="-1"/>
          <w:sz w:val="24"/>
        </w:rPr>
        <w:t> </w:t>
      </w:r>
      <w:r>
        <w:rPr>
          <w:sz w:val="24"/>
        </w:rPr>
        <w:t>and</w:t>
      </w:r>
      <w:r>
        <w:rPr>
          <w:spacing w:val="-2"/>
          <w:sz w:val="24"/>
        </w:rPr>
        <w:t> </w:t>
      </w:r>
      <w:r>
        <w:rPr>
          <w:sz w:val="24"/>
        </w:rPr>
        <w:t>away</w:t>
      </w:r>
      <w:r>
        <w:rPr>
          <w:spacing w:val="-1"/>
          <w:sz w:val="24"/>
        </w:rPr>
        <w:t> </w:t>
      </w:r>
      <w:r>
        <w:rPr>
          <w:sz w:val="24"/>
        </w:rPr>
        <w:t>season, </w:t>
      </w:r>
      <w:r>
        <w:rPr>
          <w:i/>
          <w:sz w:val="24"/>
        </w:rPr>
        <w:t>International Journal of Performance Analysis in Sport </w:t>
      </w:r>
      <w:r>
        <w:rPr>
          <w:b/>
          <w:sz w:val="24"/>
        </w:rPr>
        <w:t>16</w:t>
      </w:r>
      <w:r>
        <w:rPr>
          <w:sz w:val="24"/>
        </w:rPr>
        <w:t>(3): 837–847.</w:t>
      </w:r>
    </w:p>
    <w:p>
      <w:pPr>
        <w:pStyle w:val="BodyText"/>
        <w:spacing w:line="312" w:lineRule="auto" w:before="198"/>
        <w:ind w:left="844" w:right="389" w:hanging="235"/>
        <w:jc w:val="both"/>
      </w:pPr>
      <w:bookmarkStart w:name="_bookmark314" w:id="478"/>
      <w:bookmarkEnd w:id="478"/>
      <w:r>
        <w:rPr/>
      </w:r>
      <w:r>
        <w:rPr/>
        <w:t>Zambom,</w:t>
      </w:r>
      <w:r>
        <w:rPr>
          <w:spacing w:val="-12"/>
        </w:rPr>
        <w:t> </w:t>
      </w:r>
      <w:r>
        <w:rPr/>
        <w:t>A.</w:t>
      </w:r>
      <w:r>
        <w:rPr>
          <w:spacing w:val="-13"/>
        </w:rPr>
        <w:t> </w:t>
      </w:r>
      <w:r>
        <w:rPr/>
        <w:t>and</w:t>
      </w:r>
      <w:r>
        <w:rPr>
          <w:spacing w:val="-13"/>
        </w:rPr>
        <w:t> </w:t>
      </w:r>
      <w:r>
        <w:rPr/>
        <w:t>Dias,</w:t>
      </w:r>
      <w:r>
        <w:rPr>
          <w:spacing w:val="-12"/>
        </w:rPr>
        <w:t> </w:t>
      </w:r>
      <w:r>
        <w:rPr/>
        <w:t>R.</w:t>
      </w:r>
      <w:r>
        <w:rPr>
          <w:spacing w:val="-13"/>
        </w:rPr>
        <w:t> </w:t>
      </w:r>
      <w:r>
        <w:rPr/>
        <w:t>(2012). A</w:t>
      </w:r>
      <w:r>
        <w:rPr>
          <w:spacing w:val="-13"/>
        </w:rPr>
        <w:t> </w:t>
      </w:r>
      <w:r>
        <w:rPr/>
        <w:t>review</w:t>
      </w:r>
      <w:r>
        <w:rPr>
          <w:spacing w:val="-13"/>
        </w:rPr>
        <w:t> </w:t>
      </w:r>
      <w:r>
        <w:rPr/>
        <w:t>of</w:t>
      </w:r>
      <w:r>
        <w:rPr>
          <w:spacing w:val="-13"/>
        </w:rPr>
        <w:t> </w:t>
      </w:r>
      <w:r>
        <w:rPr/>
        <w:t>kernel</w:t>
      </w:r>
      <w:r>
        <w:rPr>
          <w:spacing w:val="-13"/>
        </w:rPr>
        <w:t> </w:t>
      </w:r>
      <w:r>
        <w:rPr/>
        <w:t>density</w:t>
      </w:r>
      <w:r>
        <w:rPr>
          <w:spacing w:val="-13"/>
        </w:rPr>
        <w:t> </w:t>
      </w:r>
      <w:r>
        <w:rPr/>
        <w:t>estimation</w:t>
      </w:r>
      <w:r>
        <w:rPr>
          <w:spacing w:val="-13"/>
        </w:rPr>
        <w:t> </w:t>
      </w:r>
      <w:r>
        <w:rPr/>
        <w:t>with</w:t>
      </w:r>
      <w:r>
        <w:rPr>
          <w:spacing w:val="-13"/>
        </w:rPr>
        <w:t> </w:t>
      </w:r>
      <w:r>
        <w:rPr/>
        <w:t>applications to econometrics.</w:t>
      </w:r>
    </w:p>
    <w:sectPr>
      <w:pgSz w:w="11910" w:h="16840"/>
      <w:pgMar w:header="1961" w:footer="1428" w:top="2280" w:bottom="1620" w:left="1680" w:right="7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ambria">
    <w:altName w:val="Cambria"/>
    <w:charset w:val="0"/>
    <w:family w:val="roman"/>
    <w:pitch w:val="variable"/>
  </w:font>
  <w:font w:name="Lucida Sans Unicode">
    <w:altName w:val="Lucida Sans Unicode"/>
    <w:charset w:val="0"/>
    <w:family w:val="swiss"/>
    <w:pitch w:val="variable"/>
  </w:font>
  <w:font w:name="Garamond">
    <w:altName w:val="Garamond"/>
    <w:charset w:val="0"/>
    <w:family w:val="roman"/>
    <w:pitch w:val="variable"/>
  </w:font>
  <w:font w:name="Georgia">
    <w:altName w:val="Georgia"/>
    <w:charset w:val="0"/>
    <w:family w:val="roman"/>
    <w:pitch w:val="variable"/>
  </w:font>
  <w:font w:name="Arial">
    <w:altName w:val="Arial"/>
    <w:charset w:val="0"/>
    <w:family w:val="swiss"/>
    <w:pitch w:val="variable"/>
  </w:font>
  <w:font w:name="Bookman Old Style">
    <w:altName w:val="Bookman Old Style"/>
    <w:charset w:val="0"/>
    <w:family w:val="roman"/>
    <w:pitch w:val="variable"/>
  </w:font>
  <w:font w:name="Eras Medium ITC">
    <w:altName w:val="Eras Medium ITC"/>
    <w:charset w:val="0"/>
    <w:family w:val="swiss"/>
    <w:pitch w:val="variable"/>
  </w:font>
  <w:font w:name="Courier New">
    <w:altName w:val="Courier New"/>
    <w:charset w:val="0"/>
    <w:family w:val="modern"/>
    <w:pitch w:val="fixed"/>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316.144012pt;margin-top:759.475403pt;width:22.95pt;height:16.45pt;mso-position-horizontal-relative:page;mso-position-vertical-relative:page;z-index:-21816320" type="#_x0000_t202" id="docshape1" filled="false" stroked="false">
          <v:textbox inset="0,0,0,0">
            <w:txbxContent>
              <w:p>
                <w:pPr>
                  <w:pStyle w:val="BodyText"/>
                  <w:spacing w:before="17"/>
                  <w:ind w:left="60"/>
                </w:pPr>
                <w:r>
                  <w:rPr>
                    <w:spacing w:val="-4"/>
                  </w:rPr>
                  <w:fldChar w:fldCharType="begin"/>
                </w:r>
                <w:r>
                  <w:rPr>
                    <w:spacing w:val="-4"/>
                  </w:rPr>
                  <w:instrText> PAGE  \* roman </w:instrText>
                </w:r>
                <w:r>
                  <w:rPr>
                    <w:spacing w:val="-4"/>
                  </w:rPr>
                  <w:fldChar w:fldCharType="separate"/>
                </w:r>
                <w:r>
                  <w:rPr>
                    <w:spacing w:val="-4"/>
                  </w:rPr>
                  <w:t>viii</w:t>
                </w:r>
                <w:r>
                  <w:rPr>
                    <w:spacing w:val="-4"/>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9.467987pt;margin-top:759.475403pt;width:16.3500pt;height:16.45pt;mso-position-horizontal-relative:page;mso-position-vertical-relative:page;z-index:-21814784" type="#_x0000_t202" id="docshape4" filled="false" stroked="false">
          <v:textbox inset="0,0,0,0">
            <w:txbxContent>
              <w:p>
                <w:pPr>
                  <w:pStyle w:val="BodyText"/>
                  <w:spacing w:before="17"/>
                  <w:ind w:left="60"/>
                </w:pPr>
                <w:r>
                  <w:rPr>
                    <w:spacing w:val="-5"/>
                  </w:rPr>
                  <w:fldChar w:fldCharType="begin"/>
                </w:r>
                <w:r>
                  <w:rPr>
                    <w:spacing w:val="-5"/>
                  </w:rPr>
                  <w:instrText> PAGE  \* roman </w:instrText>
                </w:r>
                <w:r>
                  <w:rPr>
                    <w:spacing w:val="-5"/>
                  </w:rPr>
                  <w:fldChar w:fldCharType="separate"/>
                </w:r>
                <w:r>
                  <w:rPr>
                    <w:spacing w:val="-5"/>
                  </w:rPr>
                  <w:t>ix</w:t>
                </w:r>
                <w:r>
                  <w:rPr>
                    <w:spacing w:val="-5"/>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7.806pt;margin-top:759.475403pt;width:19.650pt;height:16.45pt;mso-position-horizontal-relative:page;mso-position-vertical-relative:page;z-index:-21814272" type="#_x0000_t202" id="docshape5" filled="false" stroked="false">
          <v:textbox inset="0,0,0,0">
            <w:txbxContent>
              <w:p>
                <w:pPr>
                  <w:pStyle w:val="BodyText"/>
                  <w:spacing w:before="17"/>
                  <w:ind w:left="60"/>
                </w:pPr>
                <w:r>
                  <w:rPr>
                    <w:spacing w:val="-5"/>
                  </w:rPr>
                  <w:fldChar w:fldCharType="begin"/>
                </w:r>
                <w:r>
                  <w:rPr>
                    <w:spacing w:val="-5"/>
                  </w:rPr>
                  <w:instrText> PAGE  \* roman </w:instrText>
                </w:r>
                <w:r>
                  <w:rPr>
                    <w:spacing w:val="-5"/>
                  </w:rPr>
                  <w:fldChar w:fldCharType="separate"/>
                </w:r>
                <w:r>
                  <w:rPr>
                    <w:spacing w:val="-5"/>
                  </w:rPr>
                  <w:t>xii</w:t>
                </w:r>
                <w:r>
                  <w:rPr>
                    <w:spacing w:val="-5"/>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3.154999pt;margin-top:759.475403pt;width:28.95pt;height:16.45pt;mso-position-horizontal-relative:page;mso-position-vertical-relative:page;z-index:-21812736" type="#_x0000_t202" id="docshape7" filled="false" stroked="false">
          <v:textbox inset="0,0,0,0">
            <w:txbxContent>
              <w:p>
                <w:pPr>
                  <w:pStyle w:val="BodyText"/>
                  <w:spacing w:before="17"/>
                  <w:ind w:left="60"/>
                </w:pPr>
                <w:r>
                  <w:rPr>
                    <w:spacing w:val="-2"/>
                  </w:rPr>
                  <w:fldChar w:fldCharType="begin"/>
                </w:r>
                <w:r>
                  <w:rPr>
                    <w:spacing w:val="-2"/>
                  </w:rPr>
                  <w:instrText> PAGE  \* roman </w:instrText>
                </w:r>
                <w:r>
                  <w:rPr>
                    <w:spacing w:val="-2"/>
                  </w:rPr>
                  <w:fldChar w:fldCharType="separate"/>
                </w:r>
                <w:r>
                  <w:rPr>
                    <w:spacing w:val="-2"/>
                  </w:rPr>
                  <w:t>xviii</w:t>
                </w:r>
                <w:r>
                  <w:rPr>
                    <w:spacing w:val="-2"/>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6.479004pt;margin-top:759.475403pt;width:22.3pt;height:16.45pt;mso-position-horizontal-relative:page;mso-position-vertical-relative:page;z-index:-21812224" type="#_x0000_t202" id="docshape8" filled="false" stroked="false">
          <v:textbox inset="0,0,0,0">
            <w:txbxContent>
              <w:p>
                <w:pPr>
                  <w:pStyle w:val="BodyText"/>
                  <w:spacing w:before="17"/>
                  <w:ind w:left="60"/>
                </w:pPr>
                <w:r>
                  <w:rPr>
                    <w:spacing w:val="-5"/>
                  </w:rPr>
                  <w:fldChar w:fldCharType="begin"/>
                </w:r>
                <w:r>
                  <w:rPr>
                    <w:spacing w:val="-5"/>
                  </w:rPr>
                  <w:instrText> PAGE  \* roman </w:instrText>
                </w:r>
                <w:r>
                  <w:rPr>
                    <w:spacing w:val="-5"/>
                  </w:rPr>
                  <w:fldChar w:fldCharType="separate"/>
                </w:r>
                <w:r>
                  <w:rPr>
                    <w:spacing w:val="-5"/>
                  </w:rPr>
                  <w:t>xxi</w:t>
                </w:r>
                <w:r>
                  <w:rPr>
                    <w:spacing w:val="-5"/>
                  </w:rPr>
                  <w:fldChar w:fldCharType="end"/>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3.154999pt;margin-top:759.475403pt;width:28.95pt;height:16.45pt;mso-position-horizontal-relative:page;mso-position-vertical-relative:page;z-index:-21810688" type="#_x0000_t202" id="docshape10" filled="false" stroked="false">
          <v:textbox inset="0,0,0,0">
            <w:txbxContent>
              <w:p>
                <w:pPr>
                  <w:pStyle w:val="BodyText"/>
                  <w:spacing w:before="17"/>
                  <w:ind w:left="60"/>
                </w:pPr>
                <w:r>
                  <w:rPr>
                    <w:spacing w:val="-2"/>
                  </w:rPr>
                  <w:fldChar w:fldCharType="begin"/>
                </w:r>
                <w:r>
                  <w:rPr>
                    <w:spacing w:val="-2"/>
                  </w:rPr>
                  <w:instrText> PAGE  \* roman </w:instrText>
                </w:r>
                <w:r>
                  <w:rPr>
                    <w:spacing w:val="-2"/>
                  </w:rPr>
                  <w:fldChar w:fldCharType="separate"/>
                </w:r>
                <w:r>
                  <w:rPr>
                    <w:spacing w:val="-2"/>
                  </w:rPr>
                  <w:t>xxiii</w:t>
                </w:r>
                <w:r>
                  <w:rPr>
                    <w:spacing w:val="-2"/>
                  </w:rPr>
                  <w:fldChar w:fldCharType="end"/>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21.128998pt;margin-top:759.475403pt;width:13pt;height:16.45pt;mso-position-horizontal-relative:page;mso-position-vertical-relative:page;z-index:-21810176" type="#_x0000_t202" id="docshape11" filled="false" stroked="false">
          <v:textbox inset="0,0,0,0">
            <w:txbxContent>
              <w:p>
                <w:pPr>
                  <w:pStyle w:val="BodyText"/>
                  <w:spacing w:before="17"/>
                  <w:ind w:left="60"/>
                </w:pPr>
                <w:r>
                  <w:rPr>
                    <w:w w:val="99"/>
                  </w:rPr>
                  <w:fldChar w:fldCharType="begin"/>
                </w:r>
                <w:r>
                  <w:rPr>
                    <w:w w:val="99"/>
                  </w:rPr>
                  <w:instrText> PAGE </w:instrText>
                </w:r>
                <w:r>
                  <w:rPr>
                    <w:w w:val="99"/>
                  </w:rPr>
                  <w:fldChar w:fldCharType="separate"/>
                </w:r>
                <w:r>
                  <w:rPr>
                    <w:w w:val="99"/>
                  </w:rPr>
                  <w:t>1</w:t>
                </w:r>
                <w:r>
                  <w:rPr>
                    <w:w w:val="99"/>
                  </w:rPr>
                  <w:fldChar w:fldCharType="end"/>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21.128998pt;margin-top:759.475403pt;width:13pt;height:16.45pt;mso-position-horizontal-relative:page;mso-position-vertical-relative:page;z-index:-21808640" type="#_x0000_t202" id="docshape15" filled="false" stroked="false">
          <v:textbox inset="0,0,0,0">
            <w:txbxContent>
              <w:p>
                <w:pPr>
                  <w:pStyle w:val="BodyText"/>
                  <w:spacing w:before="17"/>
                  <w:ind w:left="60"/>
                </w:pPr>
                <w:r>
                  <w:rPr>
                    <w:w w:val="99"/>
                  </w:rPr>
                  <w:fldChar w:fldCharType="begin"/>
                </w:r>
                <w:r>
                  <w:rPr>
                    <w:w w:val="99"/>
                  </w:rPr>
                  <w:instrText> PAGE </w:instrText>
                </w:r>
                <w:r>
                  <w:rPr>
                    <w:w w:val="99"/>
                  </w:rPr>
                  <w:fldChar w:fldCharType="separate"/>
                </w:r>
                <w:r>
                  <w:rPr>
                    <w:w w:val="99"/>
                  </w:rPr>
                  <w:t>2</w:t>
                </w:r>
                <w:r>
                  <w:rPr>
                    <w:w w:val="99"/>
                  </w:rPr>
                  <w:fldChar w:fldCharType="end"/>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21.128998pt;margin-top:759.475403pt;width:13pt;height:16.45pt;mso-position-horizontal-relative:page;mso-position-vertical-relative:page;z-index:-21807104" type="#_x0000_t202" id="docshape17" filled="false" stroked="false">
          <v:textbox inset="0,0,0,0">
            <w:txbxContent>
              <w:p>
                <w:pPr>
                  <w:pStyle w:val="BodyText"/>
                  <w:spacing w:before="17"/>
                  <w:ind w:left="60"/>
                </w:pPr>
                <w:r>
                  <w:rPr>
                    <w:w w:val="99"/>
                  </w:rPr>
                  <w:fldChar w:fldCharType="begin"/>
                </w:r>
                <w:r>
                  <w:rPr>
                    <w:w w:val="99"/>
                  </w:rPr>
                  <w:instrText> PAGE </w:instrText>
                </w:r>
                <w:r>
                  <w:rPr>
                    <w:w w:val="99"/>
                  </w:rPr>
                  <w:fldChar w:fldCharType="separate"/>
                </w:r>
                <w:r>
                  <w:rPr>
                    <w:w w:val="99"/>
                  </w:rPr>
                  <w:t>3</w:t>
                </w:r>
                <w:r>
                  <w:rPr>
                    <w:w w:val="99"/>
                  </w:rPr>
                  <w:fldChar w:fldCharType="end"/>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21.128998pt;margin-top:759.475403pt;width:13pt;height:16.45pt;mso-position-horizontal-relative:page;mso-position-vertical-relative:page;z-index:-21805568" type="#_x0000_t202" id="docshape19" filled="false" stroked="false">
          <v:textbox inset="0,0,0,0">
            <w:txbxContent>
              <w:p>
                <w:pPr>
                  <w:pStyle w:val="BodyText"/>
                  <w:spacing w:before="17"/>
                  <w:ind w:left="60"/>
                </w:pPr>
                <w:r>
                  <w:rPr>
                    <w:w w:val="99"/>
                  </w:rPr>
                  <w:fldChar w:fldCharType="begin"/>
                </w:r>
                <w:r>
                  <w:rPr>
                    <w:w w:val="99"/>
                  </w:rPr>
                  <w:instrText> PAGE </w:instrText>
                </w:r>
                <w:r>
                  <w:rPr>
                    <w:w w:val="99"/>
                  </w:rPr>
                  <w:fldChar w:fldCharType="separate"/>
                </w:r>
                <w:r>
                  <w:rPr>
                    <w:w w:val="99"/>
                  </w:rPr>
                  <w:t>5</w:t>
                </w:r>
                <w:r>
                  <w:rPr>
                    <w:w w:val="99"/>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21.128998pt;margin-top:759.475403pt;width:13pt;height:16.45pt;mso-position-horizontal-relative:page;mso-position-vertical-relative:page;z-index:-21804032" type="#_x0000_t202" id="docshape21" filled="false" stroked="false">
          <v:textbox inset="0,0,0,0">
            <w:txbxContent>
              <w:p>
                <w:pPr>
                  <w:pStyle w:val="BodyText"/>
                  <w:spacing w:before="17"/>
                  <w:ind w:left="60"/>
                </w:pPr>
                <w:r>
                  <w:rPr>
                    <w:w w:val="99"/>
                  </w:rPr>
                  <w:fldChar w:fldCharType="begin"/>
                </w:r>
                <w:r>
                  <w:rPr>
                    <w:w w:val="99"/>
                  </w:rPr>
                  <w:instrText> PAGE </w:instrText>
                </w:r>
                <w:r>
                  <w:rPr>
                    <w:w w:val="99"/>
                  </w:rPr>
                  <w:fldChar w:fldCharType="separate"/>
                </w:r>
                <w:r>
                  <w:rPr>
                    <w:w w:val="99"/>
                  </w:rPr>
                  <w:t>6</w:t>
                </w:r>
                <w:r>
                  <w:rPr>
                    <w:w w:val="99"/>
                  </w:rPr>
                  <w:fldChar w:fldCharType="end"/>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802496" type="#_x0000_t202" id="docshape2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10</w:t>
                </w:r>
                <w:r>
                  <w:rPr>
                    <w:spacing w:val="-5"/>
                  </w:rPr>
                  <w:fldChar w:fldCharType="end"/>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801984" type="#_x0000_t202" id="docshape2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11</w:t>
                </w:r>
                <w:r>
                  <w:rPr>
                    <w:spacing w:val="-5"/>
                  </w:rPr>
                  <w:fldChar w:fldCharType="end"/>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800960" type="#_x0000_t202" id="docshape28"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12</w:t>
                </w:r>
                <w:r>
                  <w:rPr>
                    <w:spacing w:val="-5"/>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99936" type="#_x0000_t202" id="docshape3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13</w:t>
                </w:r>
                <w:r>
                  <w:rPr>
                    <w:spacing w:val="-5"/>
                  </w:rPr>
                  <w:fldChar w:fldCharType="end"/>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98400" type="#_x0000_t202" id="docshape3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35</w:t>
                </w:r>
                <w:r>
                  <w:rPr>
                    <w:spacing w:val="-5"/>
                  </w:rPr>
                  <w:fldChar w:fldCharType="end"/>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96864" type="#_x0000_t202" id="docshape4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45</w:t>
                </w:r>
                <w:r>
                  <w:rPr>
                    <w:spacing w:val="-5"/>
                  </w:rPr>
                  <w:fldChar w:fldCharType="end"/>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95840" type="#_x0000_t202" id="docshape45"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52</w:t>
                </w:r>
                <w:r>
                  <w:rPr>
                    <w:spacing w:val="-5"/>
                  </w:rPr>
                  <w:fldChar w:fldCharType="end"/>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95328" type="#_x0000_t202" id="docshape46"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55</w:t>
                </w:r>
                <w:r>
                  <w:rPr>
                    <w:spacing w:val="-5"/>
                  </w:rPr>
                  <w:fldChar w:fldCharType="end"/>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93792" type="#_x0000_t202" id="docshape5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56</w:t>
                </w:r>
                <w:r>
                  <w:rPr>
                    <w:spacing w:val="-5"/>
                  </w:rPr>
                  <w:fldChar w:fldCharType="end"/>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92256" type="#_x0000_t202" id="docshape7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71</w:t>
                </w:r>
                <w:r>
                  <w:rPr>
                    <w:spacing w:val="-5"/>
                  </w:rPr>
                  <w:fldChar w:fldCharType="end"/>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90720" from="164.725998pt,677.423035pt" to="489.509998pt,677.423035pt" stroked="true" strokeweight=".398pt" strokecolor="#000000">
          <v:stroke dashstyle="solid"/>
          <w10:wrap type="none"/>
        </v:line>
      </w:pict>
    </w:r>
    <w:r>
      <w:rPr/>
      <w:pict>
        <v:shape style="position:absolute;margin-left:318.140991pt;margin-top:759.475403pt;width:19pt;height:16.45pt;mso-position-horizontal-relative:page;mso-position-vertical-relative:page;z-index:-21790208" type="#_x0000_t202" id="docshape8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75</w:t>
                </w:r>
                <w:r>
                  <w:rPr>
                    <w:spacing w:val="-5"/>
                  </w:rPr>
                  <w:fldChar w:fldCharType="end"/>
                </w:r>
              </w:p>
            </w:txbxContent>
          </v:textbox>
          <w10:wrap type="non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88672" type="#_x0000_t202" id="docshape8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78</w:t>
                </w:r>
                <w:r>
                  <w:rPr>
                    <w:spacing w:val="-5"/>
                  </w:rPr>
                  <w:fldChar w:fldCharType="end"/>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87136" type="#_x0000_t202" id="docshape9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81</w:t>
                </w:r>
                <w:r>
                  <w:rPr>
                    <w:spacing w:val="-5"/>
                  </w:rPr>
                  <w:fldChar w:fldCharType="end"/>
                </w:r>
              </w:p>
            </w:txbxContent>
          </v:textbox>
          <w10:wrap type="non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85600" type="#_x0000_t202" id="docshape9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85</w:t>
                </w:r>
                <w:r>
                  <w:rPr>
                    <w:spacing w:val="-5"/>
                  </w:rPr>
                  <w:fldChar w:fldCharType="end"/>
                </w:r>
              </w:p>
            </w:txbxContent>
          </v:textbox>
          <w10:wrap type="none"/>
        </v:shape>
      </w:pic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85088" type="#_x0000_t202" id="docshape9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87</w:t>
                </w:r>
                <w:r>
                  <w:rPr>
                    <w:spacing w:val="-5"/>
                  </w:rPr>
                  <w:fldChar w:fldCharType="end"/>
                </w:r>
              </w:p>
            </w:txbxContent>
          </v:textbox>
          <w10:wrap type="none"/>
        </v:shape>
      </w:pic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140991pt;margin-top:759.475403pt;width:19pt;height:16.45pt;mso-position-horizontal-relative:page;mso-position-vertical-relative:page;z-index:-21783552" type="#_x0000_t202" id="docshape97"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88</w:t>
                </w:r>
                <w:r>
                  <w:rPr>
                    <w:spacing w:val="-5"/>
                  </w:rPr>
                  <w:fldChar w:fldCharType="end"/>
                </w:r>
              </w:p>
            </w:txbxContent>
          </v:textbox>
          <w10:wrap type="none"/>
        </v:shape>
      </w:pic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82016" type="#_x0000_t202" id="docshape12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100</w:t>
                </w:r>
                <w:r>
                  <w:rPr>
                    <w:spacing w:val="-5"/>
                  </w:rPr>
                  <w:fldChar w:fldCharType="end"/>
                </w:r>
              </w:p>
            </w:txbxContent>
          </v:textbox>
          <w10:wrap type="non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80480" type="#_x0000_t202" id="docshape12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105</w:t>
                </w:r>
                <w:r>
                  <w:rPr>
                    <w:spacing w:val="-5"/>
                  </w:rPr>
                  <w:fldChar w:fldCharType="end"/>
                </w:r>
              </w:p>
            </w:txbxContent>
          </v:textbox>
          <w10:wrap type="non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79968" type="#_x0000_t202" id="docshape125"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109</w:t>
                </w:r>
                <w:r>
                  <w:rPr>
                    <w:spacing w:val="-5"/>
                  </w:rPr>
                  <w:fldChar w:fldCharType="end"/>
                </w:r>
              </w:p>
            </w:txbxContent>
          </v:textbox>
          <w10:wrap type="none"/>
        </v:shape>
      </w:pic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78432" type="#_x0000_t202" id="docshape12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110</w:t>
                </w:r>
                <w:r>
                  <w:rPr>
                    <w:spacing w:val="-5"/>
                  </w:rPr>
                  <w:fldChar w:fldCharType="end"/>
                </w:r>
              </w:p>
            </w:txbxContent>
          </v:textbox>
          <w10:wrap type="non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76896" type="#_x0000_t202" id="docshape15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125</w:t>
                </w:r>
                <w:r>
                  <w:rPr>
                    <w:spacing w:val="-5"/>
                  </w:rPr>
                  <w:fldChar w:fldCharType="end"/>
                </w:r>
              </w:p>
            </w:txbxContent>
          </v:textbox>
          <w10:wrap type="none"/>
        </v:shape>
      </w:pict>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75360" type="#_x0000_t202" id="docshape166"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143</w:t>
                </w:r>
                <w:r>
                  <w:rPr>
                    <w:spacing w:val="-5"/>
                  </w:rPr>
                  <w:fldChar w:fldCharType="end"/>
                </w:r>
              </w:p>
            </w:txbxContent>
          </v:textbox>
          <w10:wrap type="none"/>
        </v:shape>
      </w:pict>
    </w: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74848" type="#_x0000_t202" id="docshape167"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145</w:t>
                </w:r>
                <w:r>
                  <w:rPr>
                    <w:spacing w:val="-5"/>
                  </w:rPr>
                  <w:fldChar w:fldCharType="end"/>
                </w:r>
              </w:p>
            </w:txbxContent>
          </v:textbox>
          <w10:wrap type="none"/>
        </v:shape>
      </w:pict>
    </w: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73312" type="#_x0000_t202" id="docshape17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146</w:t>
                </w:r>
                <w:r>
                  <w:rPr>
                    <w:spacing w:val="-5"/>
                  </w:rPr>
                  <w:fldChar w:fldCharType="end"/>
                </w:r>
              </w:p>
            </w:txbxContent>
          </v:textbox>
          <w10:wrap type="none"/>
        </v:shape>
      </w:pict>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71776" type="#_x0000_t202" id="docshape20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160</w:t>
                </w:r>
                <w:r>
                  <w:rPr>
                    <w:spacing w:val="-5"/>
                  </w:rPr>
                  <w:fldChar w:fldCharType="end"/>
                </w:r>
              </w:p>
            </w:txbxContent>
          </v:textbox>
          <w10:wrap type="none"/>
        </v:shape>
      </w:pict>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70240" type="#_x0000_t202" id="docshape218"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174</w:t>
                </w:r>
                <w:r>
                  <w:rPr>
                    <w:spacing w:val="-5"/>
                  </w:rPr>
                  <w:fldChar w:fldCharType="end"/>
                </w:r>
              </w:p>
            </w:txbxContent>
          </v:textbox>
          <w10:wrap type="none"/>
        </v:shape>
      </w:pict>
    </w: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69728" type="#_x0000_t202" id="docshape21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176</w:t>
                </w:r>
                <w:r>
                  <w:rPr>
                    <w:spacing w:val="-5"/>
                  </w:rPr>
                  <w:fldChar w:fldCharType="end"/>
                </w:r>
              </w:p>
            </w:txbxContent>
          </v:textbox>
          <w10:wrap type="none"/>
        </v:shape>
      </w:pict>
    </w: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68704" type="#_x0000_t202" id="docshape22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177</w:t>
                </w:r>
                <w:r>
                  <w:rPr>
                    <w:spacing w:val="-5"/>
                  </w:rPr>
                  <w:fldChar w:fldCharType="end"/>
                </w:r>
              </w:p>
            </w:txbxContent>
          </v:textbox>
          <w10:wrap type="none"/>
        </v:shape>
      </w:pict>
    </w: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67680" type="#_x0000_t202" id="docshape226"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178</w:t>
                </w:r>
                <w:r>
                  <w:rPr>
                    <w:spacing w:val="-5"/>
                  </w:rPr>
                  <w:fldChar w:fldCharType="end"/>
                </w:r>
              </w:p>
            </w:txbxContent>
          </v:textbox>
          <w10:wrap type="none"/>
        </v:shape>
      </w:pict>
    </w: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66144" type="#_x0000_t202" id="docshape228"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184</w:t>
                </w:r>
                <w:r>
                  <w:rPr>
                    <w:spacing w:val="-5"/>
                  </w:rPr>
                  <w:fldChar w:fldCharType="end"/>
                </w:r>
              </w:p>
            </w:txbxContent>
          </v:textbox>
          <w10:wrap type="none"/>
        </v:shape>
      </w:pict>
    </w: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64608" type="#_x0000_t202" id="docshape23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186</w:t>
                </w:r>
                <w:r>
                  <w:rPr>
                    <w:spacing w:val="-5"/>
                  </w:rPr>
                  <w:fldChar w:fldCharType="end"/>
                </w:r>
              </w:p>
            </w:txbxContent>
          </v:textbox>
          <w10:wrap type="none"/>
        </v:shape>
      </w:pict>
    </w: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64096" type="#_x0000_t202" id="docshape23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189</w:t>
                </w:r>
                <w:r>
                  <w:rPr>
                    <w:spacing w:val="-5"/>
                  </w:rPr>
                  <w:fldChar w:fldCharType="end"/>
                </w:r>
              </w:p>
            </w:txbxContent>
          </v:textbox>
          <w10:wrap type="none"/>
        </v:shape>
      </w:pict>
    </w: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5.152008pt;margin-top:759.475403pt;width:24.95pt;height:16.45pt;mso-position-horizontal-relative:page;mso-position-vertical-relative:page;z-index:-21762560" type="#_x0000_t202" id="docshape23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190</w:t>
                </w:r>
                <w:r>
                  <w:rPr>
                    <w:spacing w:val="-5"/>
                  </w:rPr>
                  <w:fldChar w:fldCharType="end"/>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815808" from="114.519997pt,114.133011pt" to="539.716997pt,114.133011pt" stroked="true" strokeweight=".498pt" strokecolor="#000000">
          <v:stroke dashstyle="solid"/>
          <w10:wrap type="none"/>
        </v:line>
      </w:pict>
    </w:r>
    <w:r>
      <w:rPr/>
      <w:pict>
        <v:shape style="position:absolute;margin-left:472.951996pt;margin-top:97.073021pt;width:67.8pt;height:17.6pt;mso-position-horizontal-relative:page;mso-position-vertical-relative:page;z-index:-21815296" type="#_x0000_t202" id="docshape3" filled="false" stroked="false">
          <v:textbox inset="0,0,0,0">
            <w:txbxContent>
              <w:p>
                <w:pPr>
                  <w:spacing w:before="25"/>
                  <w:ind w:left="20" w:right="0" w:firstLine="0"/>
                  <w:jc w:val="left"/>
                  <w:rPr>
                    <w:b/>
                    <w:sz w:val="24"/>
                  </w:rPr>
                </w:pPr>
                <w:r>
                  <w:rPr>
                    <w:b/>
                    <w:spacing w:val="-2"/>
                    <w:sz w:val="24"/>
                  </w:rPr>
                  <w:t>CONTENTS</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813760" from="114.519997pt,114.133011pt" to="539.716997pt,114.133011pt" stroked="true" strokeweight=".498pt" strokecolor="#000000">
          <v:stroke dashstyle="solid"/>
          <w10:wrap type="none"/>
        </v:line>
      </w:pict>
    </w:r>
    <w:r>
      <w:rPr/>
      <w:pict>
        <v:shape style="position:absolute;margin-left:435.747986pt;margin-top:97.073021pt;width:105pt;height:17.6pt;mso-position-horizontal-relative:page;mso-position-vertical-relative:page;z-index:-21813248" type="#_x0000_t202" id="docshape6" filled="false" stroked="false">
          <v:textbox inset="0,0,0,0">
            <w:txbxContent>
              <w:p>
                <w:pPr>
                  <w:spacing w:before="25"/>
                  <w:ind w:left="20" w:right="0" w:firstLine="0"/>
                  <w:jc w:val="left"/>
                  <w:rPr>
                    <w:b/>
                    <w:sz w:val="24"/>
                  </w:rPr>
                </w:pPr>
                <w:r>
                  <w:rPr>
                    <w:b/>
                    <w:sz w:val="24"/>
                  </w:rPr>
                  <w:t>LIST</w:t>
                </w:r>
                <w:r>
                  <w:rPr>
                    <w:b/>
                    <w:spacing w:val="-6"/>
                    <w:sz w:val="24"/>
                  </w:rPr>
                  <w:t> </w:t>
                </w:r>
                <w:r>
                  <w:rPr>
                    <w:b/>
                    <w:sz w:val="24"/>
                  </w:rPr>
                  <w:t>OF</w:t>
                </w:r>
                <w:r>
                  <w:rPr>
                    <w:b/>
                    <w:spacing w:val="-5"/>
                    <w:sz w:val="24"/>
                  </w:rPr>
                  <w:t> </w:t>
                </w:r>
                <w:r>
                  <w:rPr>
                    <w:b/>
                    <w:spacing w:val="-2"/>
                    <w:sz w:val="24"/>
                  </w:rPr>
                  <w:t>FIGURES</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811712" from="114.519997pt,114.133011pt" to="539.716997pt,114.133011pt" stroked="true" strokeweight=".498pt" strokecolor="#000000">
          <v:stroke dashstyle="solid"/>
          <w10:wrap type="none"/>
        </v:line>
      </w:pict>
    </w:r>
    <w:r>
      <w:rPr/>
      <w:pict>
        <v:shape style="position:absolute;margin-left:442.789001pt;margin-top:97.073021pt;width:97.95pt;height:17.6pt;mso-position-horizontal-relative:page;mso-position-vertical-relative:page;z-index:-21811200" type="#_x0000_t202" id="docshape9" filled="false" stroked="false">
          <v:textbox inset="0,0,0,0">
            <w:txbxContent>
              <w:p>
                <w:pPr>
                  <w:spacing w:before="25"/>
                  <w:ind w:left="20" w:right="0" w:firstLine="0"/>
                  <w:jc w:val="left"/>
                  <w:rPr>
                    <w:b/>
                    <w:sz w:val="24"/>
                  </w:rPr>
                </w:pPr>
                <w:r>
                  <w:rPr>
                    <w:b/>
                    <w:sz w:val="24"/>
                  </w:rPr>
                  <w:t>LIST</w:t>
                </w:r>
                <w:r>
                  <w:rPr>
                    <w:b/>
                    <w:spacing w:val="-6"/>
                    <w:sz w:val="24"/>
                  </w:rPr>
                  <w:t> </w:t>
                </w:r>
                <w:r>
                  <w:rPr>
                    <w:b/>
                    <w:sz w:val="24"/>
                  </w:rPr>
                  <w:t>OF</w:t>
                </w:r>
                <w:r>
                  <w:rPr>
                    <w:b/>
                    <w:spacing w:val="-5"/>
                    <w:sz w:val="24"/>
                  </w:rPr>
                  <w:t> </w:t>
                </w:r>
                <w:r>
                  <w:rPr>
                    <w:b/>
                    <w:spacing w:val="-2"/>
                    <w:sz w:val="24"/>
                  </w:rPr>
                  <w:t>TABLES</w:t>
                </w:r>
              </w:p>
            </w:txbxContent>
          </v:textbox>
          <w10:wrap type="non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809664" from="114.519997pt,114.133011pt" to="539.716997pt,114.133011pt" stroked="true" strokeweight=".498pt" strokecolor="#000000">
          <v:stroke dashstyle="solid"/>
          <w10:wrap type="none"/>
        </v:line>
      </w:pict>
    </w:r>
    <w:r>
      <w:rPr/>
      <w:pict>
        <v:shape style="position:absolute;margin-left:457.888pt;margin-top:97.073021pt;width:82.85pt;height:17.6pt;mso-position-horizontal-relative:page;mso-position-vertical-relative:page;z-index:-21809152" type="#_x0000_t202" id="docshape14" filled="false" stroked="false">
          <v:textbox inset="0,0,0,0">
            <w:txbxContent>
              <w:p>
                <w:pPr>
                  <w:spacing w:before="25"/>
                  <w:ind w:left="20" w:right="0" w:firstLine="0"/>
                  <w:jc w:val="left"/>
                  <w:rPr>
                    <w:b/>
                    <w:sz w:val="24"/>
                  </w:rPr>
                </w:pPr>
                <w:r>
                  <w:rPr>
                    <w:b/>
                    <w:sz w:val="24"/>
                  </w:rPr>
                  <w:t>1.1</w:t>
                </w:r>
                <w:r>
                  <w:rPr>
                    <w:b/>
                    <w:spacing w:val="-4"/>
                    <w:sz w:val="24"/>
                  </w:rPr>
                  <w:t> </w:t>
                </w:r>
                <w:r>
                  <w:rPr>
                    <w:b/>
                    <w:spacing w:val="-2"/>
                    <w:sz w:val="24"/>
                  </w:rPr>
                  <w:t>Background</w:t>
                </w:r>
              </w:p>
            </w:txbxContent>
          </v:textbox>
          <w10:wrap type="non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808128" from="114.519997pt,114.133011pt" to="539.716997pt,114.133011pt" stroked="true" strokeweight=".498pt" strokecolor="#000000">
          <v:stroke dashstyle="solid"/>
          <w10:wrap type="none"/>
        </v:line>
      </w:pict>
    </w:r>
    <w:r>
      <w:rPr/>
      <w:pict>
        <v:shape style="position:absolute;margin-left:464.571014pt;margin-top:97.073021pt;width:76.150pt;height:17.6pt;mso-position-horizontal-relative:page;mso-position-vertical-relative:page;z-index:-21807616" type="#_x0000_t202" id="docshape16" filled="false" stroked="false">
          <v:textbox inset="0,0,0,0">
            <w:txbxContent>
              <w:p>
                <w:pPr>
                  <w:spacing w:before="25"/>
                  <w:ind w:left="20" w:right="0" w:firstLine="0"/>
                  <w:jc w:val="left"/>
                  <w:rPr>
                    <w:b/>
                    <w:sz w:val="24"/>
                  </w:rPr>
                </w:pPr>
                <w:r>
                  <w:rPr>
                    <w:b/>
                    <w:sz w:val="24"/>
                  </w:rPr>
                  <w:t>1.2</w:t>
                </w:r>
                <w:r>
                  <w:rPr>
                    <w:b/>
                    <w:spacing w:val="-4"/>
                    <w:sz w:val="24"/>
                  </w:rPr>
                  <w:t> </w:t>
                </w:r>
                <w:r>
                  <w:rPr>
                    <w:b/>
                    <w:spacing w:val="-2"/>
                    <w:sz w:val="24"/>
                  </w:rPr>
                  <w:t>Motivation</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806592" from="114.519997pt,114.133011pt" to="539.716997pt,114.133011pt" stroked="true" strokeweight=".498pt" strokecolor="#000000">
          <v:stroke dashstyle="solid"/>
          <w10:wrap type="none"/>
        </v:line>
      </w:pict>
    </w:r>
    <w:r>
      <w:rPr/>
      <w:pict>
        <v:shape style="position:absolute;margin-left:412.757996pt;margin-top:97.073021pt;width:128pt;height:17.6pt;mso-position-horizontal-relative:page;mso-position-vertical-relative:page;z-index:-21806080" type="#_x0000_t202" id="docshape18" filled="false" stroked="false">
          <v:textbox inset="0,0,0,0">
            <w:txbxContent>
              <w:p>
                <w:pPr>
                  <w:spacing w:before="25"/>
                  <w:ind w:left="20" w:right="0" w:firstLine="0"/>
                  <w:jc w:val="left"/>
                  <w:rPr>
                    <w:b/>
                    <w:sz w:val="24"/>
                  </w:rPr>
                </w:pPr>
                <w:r>
                  <w:rPr>
                    <w:b/>
                    <w:sz w:val="24"/>
                  </w:rPr>
                  <w:t>1.3</w:t>
                </w:r>
                <w:r>
                  <w:rPr>
                    <w:b/>
                    <w:spacing w:val="-6"/>
                    <w:sz w:val="24"/>
                  </w:rPr>
                  <w:t> </w:t>
                </w:r>
                <w:r>
                  <w:rPr>
                    <w:b/>
                    <w:sz w:val="24"/>
                  </w:rPr>
                  <w:t>Goals</w:t>
                </w:r>
                <w:r>
                  <w:rPr>
                    <w:b/>
                    <w:spacing w:val="-5"/>
                    <w:sz w:val="24"/>
                  </w:rPr>
                  <w:t> </w:t>
                </w:r>
                <w:r>
                  <w:rPr>
                    <w:b/>
                    <w:sz w:val="24"/>
                  </w:rPr>
                  <w:t>and</w:t>
                </w:r>
                <w:r>
                  <w:rPr>
                    <w:b/>
                    <w:spacing w:val="-5"/>
                    <w:sz w:val="24"/>
                  </w:rPr>
                  <w:t> </w:t>
                </w:r>
                <w:r>
                  <w:rPr>
                    <w:b/>
                    <w:spacing w:val="-2"/>
                    <w:sz w:val="24"/>
                  </w:rPr>
                  <w:t>Objectives</w:t>
                </w:r>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805056" from="114.519997pt,114.133011pt" to="539.716997pt,114.133011pt" stroked="true" strokeweight=".498pt" strokecolor="#000000">
          <v:stroke dashstyle="solid"/>
          <w10:wrap type="none"/>
        </v:line>
      </w:pict>
    </w:r>
    <w:r>
      <w:rPr/>
      <w:pict>
        <v:shape style="position:absolute;margin-left:455.354004pt;margin-top:97.073021pt;width:85.4pt;height:17.6pt;mso-position-horizontal-relative:page;mso-position-vertical-relative:page;z-index:-21804544" type="#_x0000_t202" id="docshape20" filled="false" stroked="false">
          <v:textbox inset="0,0,0,0">
            <w:txbxContent>
              <w:p>
                <w:pPr>
                  <w:spacing w:before="25"/>
                  <w:ind w:left="20" w:right="0" w:firstLine="0"/>
                  <w:jc w:val="left"/>
                  <w:rPr>
                    <w:b/>
                    <w:sz w:val="24"/>
                  </w:rPr>
                </w:pPr>
                <w:r>
                  <w:rPr>
                    <w:b/>
                    <w:sz w:val="24"/>
                  </w:rPr>
                  <w:t>1.4</w:t>
                </w:r>
                <w:r>
                  <w:rPr>
                    <w:b/>
                    <w:spacing w:val="-6"/>
                    <w:sz w:val="24"/>
                  </w:rPr>
                  <w:t> </w:t>
                </w:r>
                <w:r>
                  <w:rPr>
                    <w:b/>
                    <w:sz w:val="24"/>
                  </w:rPr>
                  <w:t>Thesis</w:t>
                </w:r>
                <w:r>
                  <w:rPr>
                    <w:b/>
                    <w:spacing w:val="-6"/>
                    <w:sz w:val="24"/>
                  </w:rPr>
                  <w:t> </w:t>
                </w:r>
                <w:r>
                  <w:rPr>
                    <w:b/>
                    <w:spacing w:val="-2"/>
                    <w:sz w:val="24"/>
                  </w:rPr>
                  <w:t>Scope</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803520" from="114.519997pt,114.133011pt" to="539.716997pt,114.133011pt" stroked="true" strokeweight=".498pt" strokecolor="#000000">
          <v:stroke dashstyle="solid"/>
          <w10:wrap type="none"/>
        </v:line>
      </w:pict>
    </w:r>
    <w:r>
      <w:rPr/>
      <w:pict>
        <v:shape style="position:absolute;margin-left:436.321991pt;margin-top:97.073021pt;width:104.4pt;height:17.6pt;mso-position-horizontal-relative:page;mso-position-vertical-relative:page;z-index:-21803008" type="#_x0000_t202" id="docshape22" filled="false" stroked="false">
          <v:textbox inset="0,0,0,0">
            <w:txbxContent>
              <w:p>
                <w:pPr>
                  <w:spacing w:before="25"/>
                  <w:ind w:left="20" w:right="0" w:firstLine="0"/>
                  <w:jc w:val="left"/>
                  <w:rPr>
                    <w:b/>
                    <w:sz w:val="24"/>
                  </w:rPr>
                </w:pPr>
                <w:r>
                  <w:rPr>
                    <w:b/>
                    <w:sz w:val="24"/>
                  </w:rPr>
                  <w:t>1.5</w:t>
                </w:r>
                <w:r>
                  <w:rPr>
                    <w:b/>
                    <w:spacing w:val="-6"/>
                    <w:sz w:val="24"/>
                  </w:rPr>
                  <w:t> </w:t>
                </w:r>
                <w:r>
                  <w:rPr>
                    <w:b/>
                    <w:sz w:val="24"/>
                  </w:rPr>
                  <w:t>Thesis</w:t>
                </w:r>
                <w:r>
                  <w:rPr>
                    <w:b/>
                    <w:spacing w:val="-6"/>
                    <w:sz w:val="24"/>
                  </w:rPr>
                  <w:t> </w:t>
                </w:r>
                <w:r>
                  <w:rPr>
                    <w:b/>
                    <w:spacing w:val="-2"/>
                    <w:sz w:val="24"/>
                  </w:rPr>
                  <w:t>Structure</w:t>
                </w:r>
              </w:p>
            </w:txbxContent>
          </v:textbox>
          <w10:wrap type="non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415.950012pt;margin-top:97.073021pt;width:124.8pt;height:17.6pt;mso-position-horizontal-relative:page;mso-position-vertical-relative:page;z-index:-21801472" type="#_x0000_t202" id="docshape27" filled="false" stroked="false">
          <v:textbox inset="0,0,0,0">
            <w:txbxContent>
              <w:p>
                <w:pPr>
                  <w:spacing w:before="25"/>
                  <w:ind w:left="20" w:right="0" w:firstLine="0"/>
                  <w:jc w:val="left"/>
                  <w:rPr>
                    <w:b/>
                    <w:sz w:val="24"/>
                  </w:rPr>
                </w:pPr>
                <w:r>
                  <w:rPr>
                    <w:b/>
                    <w:sz w:val="24"/>
                  </w:rPr>
                  <w:t>2.1</w:t>
                </w:r>
                <w:r>
                  <w:rPr>
                    <w:b/>
                    <w:spacing w:val="-11"/>
                    <w:sz w:val="24"/>
                  </w:rPr>
                  <w:t> </w:t>
                </w:r>
                <w:r>
                  <w:rPr>
                    <w:b/>
                    <w:sz w:val="24"/>
                  </w:rPr>
                  <w:t>Data</w:t>
                </w:r>
                <w:r>
                  <w:rPr>
                    <w:b/>
                    <w:spacing w:val="-10"/>
                    <w:sz w:val="24"/>
                  </w:rPr>
                  <w:t> </w:t>
                </w:r>
                <w:r>
                  <w:rPr>
                    <w:b/>
                    <w:sz w:val="24"/>
                  </w:rPr>
                  <w:t>in</w:t>
                </w:r>
                <w:r>
                  <w:rPr>
                    <w:b/>
                    <w:spacing w:val="-11"/>
                    <w:sz w:val="24"/>
                  </w:rPr>
                  <w:t> </w:t>
                </w:r>
                <w:r>
                  <w:rPr>
                    <w:b/>
                    <w:sz w:val="24"/>
                  </w:rPr>
                  <w:t>Team</w:t>
                </w:r>
                <w:r>
                  <w:rPr>
                    <w:b/>
                    <w:spacing w:val="-10"/>
                    <w:sz w:val="24"/>
                  </w:rPr>
                  <w:t> </w:t>
                </w:r>
                <w:r>
                  <w:rPr>
                    <w:b/>
                    <w:spacing w:val="-2"/>
                    <w:sz w:val="24"/>
                  </w:rPr>
                  <w:t>Sports</w:t>
                </w:r>
              </w:p>
            </w:txbxContent>
          </v:textbox>
          <w10:wrap type="non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13.519997pt;margin-top:97.073021pt;width:427.2pt;height:17.6pt;mso-position-horizontal-relative:page;mso-position-vertical-relative:page;z-index:-21800448" type="#_x0000_t202" id="docshape30" filled="false" stroked="false">
          <v:textbox inset="0,0,0,0">
            <w:txbxContent>
              <w:p>
                <w:pPr>
                  <w:tabs>
                    <w:tab w:pos="3245" w:val="left" w:leader="none"/>
                  </w:tabs>
                  <w:spacing w:before="25"/>
                  <w:ind w:left="20" w:right="0" w:firstLine="0"/>
                  <w:jc w:val="left"/>
                  <w:rPr>
                    <w:b/>
                    <w:sz w:val="24"/>
                  </w:rPr>
                </w:pPr>
                <w:r>
                  <w:rPr>
                    <w:sz w:val="24"/>
                    <w:u w:val="single"/>
                  </w:rPr>
                  <w:tab/>
                </w:r>
                <w:r>
                  <w:rPr>
                    <w:b/>
                    <w:sz w:val="24"/>
                    <w:u w:val="single"/>
                  </w:rPr>
                  <w:t>2.2</w:t>
                </w:r>
                <w:r>
                  <w:rPr>
                    <w:b/>
                    <w:spacing w:val="-13"/>
                    <w:sz w:val="24"/>
                    <w:u w:val="single"/>
                  </w:rPr>
                  <w:t> </w:t>
                </w:r>
                <w:r>
                  <w:rPr>
                    <w:b/>
                    <w:sz w:val="24"/>
                    <w:u w:val="single"/>
                  </w:rPr>
                  <w:t>Team</w:t>
                </w:r>
                <w:r>
                  <w:rPr>
                    <w:b/>
                    <w:spacing w:val="-12"/>
                    <w:sz w:val="24"/>
                    <w:u w:val="single"/>
                  </w:rPr>
                  <w:t> </w:t>
                </w:r>
                <w:r>
                  <w:rPr>
                    <w:b/>
                    <w:sz w:val="24"/>
                    <w:u w:val="single"/>
                  </w:rPr>
                  <w:t>and</w:t>
                </w:r>
                <w:r>
                  <w:rPr>
                    <w:b/>
                    <w:spacing w:val="-13"/>
                    <w:sz w:val="24"/>
                    <w:u w:val="single"/>
                  </w:rPr>
                  <w:t> </w:t>
                </w:r>
                <w:r>
                  <w:rPr>
                    <w:b/>
                    <w:sz w:val="24"/>
                    <w:u w:val="single"/>
                  </w:rPr>
                  <w:t>Player</w:t>
                </w:r>
                <w:r>
                  <w:rPr>
                    <w:b/>
                    <w:spacing w:val="-12"/>
                    <w:sz w:val="24"/>
                    <w:u w:val="single"/>
                  </w:rPr>
                  <w:t> </w:t>
                </w:r>
                <w:r>
                  <w:rPr>
                    <w:b/>
                    <w:sz w:val="24"/>
                    <w:u w:val="single"/>
                  </w:rPr>
                  <w:t>Performance</w:t>
                </w:r>
                <w:r>
                  <w:rPr>
                    <w:b/>
                    <w:spacing w:val="-12"/>
                    <w:sz w:val="24"/>
                    <w:u w:val="single"/>
                  </w:rPr>
                  <w:t> </w:t>
                </w:r>
                <w:r>
                  <w:rPr>
                    <w:b/>
                    <w:sz w:val="24"/>
                    <w:u w:val="single"/>
                  </w:rPr>
                  <w:t>Analysis</w:t>
                </w:r>
                <w:r>
                  <w:rPr>
                    <w:b/>
                    <w:spacing w:val="-13"/>
                    <w:sz w:val="24"/>
                    <w:u w:val="single"/>
                  </w:rPr>
                  <w:t> </w:t>
                </w:r>
                <w:r>
                  <w:rPr>
                    <w:b/>
                    <w:sz w:val="24"/>
                    <w:u w:val="single"/>
                  </w:rPr>
                  <w:t>in</w:t>
                </w:r>
                <w:r>
                  <w:rPr>
                    <w:b/>
                    <w:spacing w:val="-12"/>
                    <w:sz w:val="24"/>
                    <w:u w:val="single"/>
                  </w:rPr>
                  <w:t> </w:t>
                </w:r>
                <w:r>
                  <w:rPr>
                    <w:b/>
                    <w:spacing w:val="-2"/>
                    <w:sz w:val="24"/>
                    <w:u w:val="single"/>
                  </w:rPr>
                  <w:t>Sport</w:t>
                </w:r>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99424" from="114.519997pt,114.133011pt" to="539.716997pt,114.133011pt" stroked="true" strokeweight=".498pt" strokecolor="#000000">
          <v:stroke dashstyle="solid"/>
          <w10:wrap type="none"/>
        </v:line>
      </w:pict>
    </w:r>
    <w:r>
      <w:rPr/>
      <w:pict>
        <v:shape style="position:absolute;margin-left:446.721985pt;margin-top:97.073021pt;width:94pt;height:17.6pt;mso-position-horizontal-relative:page;mso-position-vertical-relative:page;z-index:-21798912" type="#_x0000_t202" id="docshape32" filled="false" stroked="false">
          <v:textbox inset="0,0,0,0">
            <w:txbxContent>
              <w:p>
                <w:pPr>
                  <w:spacing w:before="25"/>
                  <w:ind w:left="20" w:right="0" w:firstLine="0"/>
                  <w:jc w:val="left"/>
                  <w:rPr>
                    <w:b/>
                    <w:sz w:val="24"/>
                  </w:rPr>
                </w:pPr>
                <w:r>
                  <w:rPr>
                    <w:b/>
                    <w:sz w:val="24"/>
                  </w:rPr>
                  <w:t>2.3</w:t>
                </w:r>
                <w:r>
                  <w:rPr>
                    <w:b/>
                    <w:spacing w:val="-6"/>
                    <w:sz w:val="24"/>
                  </w:rPr>
                  <w:t> </w:t>
                </w:r>
                <w:r>
                  <w:rPr>
                    <w:b/>
                    <w:sz w:val="24"/>
                  </w:rPr>
                  <w:t>Rugby</w:t>
                </w:r>
                <w:r>
                  <w:rPr>
                    <w:b/>
                    <w:spacing w:val="-6"/>
                    <w:sz w:val="24"/>
                  </w:rPr>
                  <w:t> </w:t>
                </w:r>
                <w:r>
                  <w:rPr>
                    <w:b/>
                    <w:spacing w:val="-2"/>
                    <w:sz w:val="24"/>
                  </w:rPr>
                  <w:t>League</w:t>
                </w:r>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97888" from="114.519997pt,114.133011pt" to="539.716997pt,114.133011pt" stroked="true" strokeweight=".498pt" strokecolor="#000000">
          <v:stroke dashstyle="solid"/>
          <w10:wrap type="none"/>
        </v:line>
      </w:pict>
    </w:r>
    <w:r>
      <w:rPr/>
      <w:pict>
        <v:shape style="position:absolute;margin-left:470.30899pt;margin-top:97.073021pt;width:70.45pt;height:17.6pt;mso-position-horizontal-relative:page;mso-position-vertical-relative:page;z-index:-21797376" type="#_x0000_t202" id="docshape39" filled="false" stroked="false">
          <v:textbox inset="0,0,0,0">
            <w:txbxContent>
              <w:p>
                <w:pPr>
                  <w:spacing w:before="25"/>
                  <w:ind w:left="20" w:right="0" w:firstLine="0"/>
                  <w:jc w:val="left"/>
                  <w:rPr>
                    <w:b/>
                    <w:sz w:val="24"/>
                  </w:rPr>
                </w:pPr>
                <w:r>
                  <w:rPr>
                    <w:b/>
                    <w:sz w:val="24"/>
                  </w:rPr>
                  <w:t>2.4</w:t>
                </w:r>
                <w:r>
                  <w:rPr>
                    <w:b/>
                    <w:spacing w:val="-4"/>
                    <w:sz w:val="24"/>
                  </w:rPr>
                  <w:t> </w:t>
                </w:r>
                <w:r>
                  <w:rPr>
                    <w:b/>
                    <w:spacing w:val="-2"/>
                    <w:sz w:val="24"/>
                  </w:rPr>
                  <w:t>Summary</w:t>
                </w:r>
              </w:p>
            </w:txbxContent>
          </v:textbox>
          <w10:wrap type="non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13.519997pt;margin-top:97.073021pt;width:427.2pt;height:17.6pt;mso-position-horizontal-relative:page;mso-position-vertical-relative:page;z-index:-21796352" type="#_x0000_t202" id="docshape44" filled="false" stroked="false">
          <v:textbox inset="0,0,0,0">
            <w:txbxContent>
              <w:p>
                <w:pPr>
                  <w:tabs>
                    <w:tab w:pos="5546" w:val="left" w:leader="none"/>
                  </w:tabs>
                  <w:spacing w:before="25"/>
                  <w:ind w:left="20" w:right="0" w:firstLine="0"/>
                  <w:jc w:val="left"/>
                  <w:rPr>
                    <w:b/>
                    <w:sz w:val="24"/>
                  </w:rPr>
                </w:pPr>
                <w:r>
                  <w:rPr>
                    <w:sz w:val="24"/>
                    <w:u w:val="single"/>
                  </w:rPr>
                  <w:tab/>
                </w:r>
                <w:r>
                  <w:rPr>
                    <w:b/>
                    <w:sz w:val="24"/>
                    <w:u w:val="single"/>
                  </w:rPr>
                  <w:t>2.5</w:t>
                </w:r>
                <w:r>
                  <w:rPr>
                    <w:b/>
                    <w:spacing w:val="-11"/>
                    <w:sz w:val="24"/>
                    <w:u w:val="single"/>
                  </w:rPr>
                  <w:t> </w:t>
                </w:r>
                <w:r>
                  <w:rPr>
                    <w:b/>
                    <w:sz w:val="24"/>
                    <w:u w:val="single"/>
                  </w:rPr>
                  <w:t>Methodological</w:t>
                </w:r>
                <w:r>
                  <w:rPr>
                    <w:b/>
                    <w:spacing w:val="-10"/>
                    <w:sz w:val="24"/>
                    <w:u w:val="single"/>
                  </w:rPr>
                  <w:t> </w:t>
                </w:r>
                <w:r>
                  <w:rPr>
                    <w:b/>
                    <w:spacing w:val="-2"/>
                    <w:sz w:val="24"/>
                    <w:u w:val="single"/>
                  </w:rPr>
                  <w:t>Overview</w:t>
                </w:r>
              </w:p>
            </w:txbxContent>
          </v:textbox>
          <w10:wrap type="non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94816" from="114.519997pt,114.133011pt" to="539.716997pt,114.133011pt" stroked="true" strokeweight=".498pt" strokecolor="#000000">
          <v:stroke dashstyle="solid"/>
          <w10:wrap type="none"/>
        </v:line>
      </w:pict>
    </w:r>
    <w:r>
      <w:rPr/>
      <w:pict>
        <v:shape style="position:absolute;margin-left:453.70401pt;margin-top:97.073021pt;width:87.05pt;height:17.6pt;mso-position-horizontal-relative:page;mso-position-vertical-relative:page;z-index:-21794304" type="#_x0000_t202" id="docshape49" filled="false" stroked="false">
          <v:textbox inset="0,0,0,0">
            <w:txbxContent>
              <w:p>
                <w:pPr>
                  <w:spacing w:before="25"/>
                  <w:ind w:left="20" w:right="0" w:firstLine="0"/>
                  <w:jc w:val="left"/>
                  <w:rPr>
                    <w:b/>
                    <w:sz w:val="24"/>
                  </w:rPr>
                </w:pPr>
                <w:r>
                  <w:rPr>
                    <w:b/>
                    <w:sz w:val="24"/>
                  </w:rPr>
                  <w:t>3.2</w:t>
                </w:r>
                <w:r>
                  <w:rPr>
                    <w:b/>
                    <w:spacing w:val="-4"/>
                    <w:sz w:val="24"/>
                  </w:rPr>
                  <w:t> </w:t>
                </w:r>
                <w:r>
                  <w:rPr>
                    <w:b/>
                    <w:spacing w:val="-2"/>
                    <w:sz w:val="24"/>
                  </w:rPr>
                  <w:t>Methodology</w:t>
                </w:r>
              </w:p>
            </w:txbxContent>
          </v:textbox>
          <w10:wrap type="none"/>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93280" from="114.519997pt,114.133011pt" to="539.716997pt,114.133011pt" stroked="true" strokeweight=".498pt" strokecolor="#000000">
          <v:stroke dashstyle="solid"/>
          <w10:wrap type="none"/>
        </v:line>
      </w:pict>
    </w:r>
    <w:r>
      <w:rPr/>
      <w:pict>
        <v:shape style="position:absolute;margin-left:483.59201pt;margin-top:97.073021pt;width:57.15pt;height:17.6pt;mso-position-horizontal-relative:page;mso-position-vertical-relative:page;z-index:-21792768" type="#_x0000_t202" id="docshape73" filled="false" stroked="false">
          <v:textbox inset="0,0,0,0">
            <w:txbxContent>
              <w:p>
                <w:pPr>
                  <w:spacing w:before="25"/>
                  <w:ind w:left="20" w:right="0" w:firstLine="0"/>
                  <w:jc w:val="left"/>
                  <w:rPr>
                    <w:b/>
                    <w:sz w:val="24"/>
                  </w:rPr>
                </w:pPr>
                <w:r>
                  <w:rPr>
                    <w:b/>
                    <w:sz w:val="24"/>
                  </w:rPr>
                  <w:t>3.3</w:t>
                </w:r>
                <w:r>
                  <w:rPr>
                    <w:b/>
                    <w:spacing w:val="-4"/>
                    <w:sz w:val="24"/>
                  </w:rPr>
                  <w:t> </w:t>
                </w:r>
                <w:r>
                  <w:rPr>
                    <w:b/>
                    <w:spacing w:val="-2"/>
                    <w:sz w:val="24"/>
                  </w:rPr>
                  <w:t>Results</w:t>
                </w:r>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91744" from="114.519997pt,114.133011pt" to="539.716997pt,114.133011pt" stroked="true" strokeweight=".498pt" strokecolor="#000000">
          <v:stroke dashstyle="solid"/>
          <w10:wrap type="none"/>
        </v:line>
      </w:pict>
    </w:r>
    <w:r>
      <w:rPr/>
      <w:pict>
        <v:shape style="position:absolute;margin-left:483.59201pt;margin-top:97.073021pt;width:57.15pt;height:17.6pt;mso-position-horizontal-relative:page;mso-position-vertical-relative:page;z-index:-21791232" type="#_x0000_t202" id="docshape81" filled="false" stroked="false">
          <v:textbox inset="0,0,0,0">
            <w:txbxContent>
              <w:p>
                <w:pPr>
                  <w:spacing w:before="25"/>
                  <w:ind w:left="20" w:right="0" w:firstLine="0"/>
                  <w:jc w:val="left"/>
                  <w:rPr>
                    <w:b/>
                    <w:sz w:val="24"/>
                  </w:rPr>
                </w:pPr>
                <w:r>
                  <w:rPr>
                    <w:b/>
                    <w:sz w:val="24"/>
                  </w:rPr>
                  <w:t>3.3</w:t>
                </w:r>
                <w:r>
                  <w:rPr>
                    <w:b/>
                    <w:spacing w:val="-4"/>
                    <w:sz w:val="24"/>
                  </w:rPr>
                  <w:t> </w:t>
                </w:r>
                <w:r>
                  <w:rPr>
                    <w:b/>
                    <w:spacing w:val="-2"/>
                    <w:sz w:val="24"/>
                  </w:rPr>
                  <w:t>Results</w:t>
                </w:r>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89696" from="114.519997pt,114.133011pt" to="539.716997pt,114.133011pt" stroked="true" strokeweight=".498pt" strokecolor="#000000">
          <v:stroke dashstyle="solid"/>
          <w10:wrap type="none"/>
        </v:line>
      </w:pict>
    </w:r>
    <w:r>
      <w:rPr/>
      <w:pict>
        <v:shape style="position:absolute;margin-left:483.59201pt;margin-top:97.073021pt;width:57.15pt;height:17.6pt;mso-position-horizontal-relative:page;mso-position-vertical-relative:page;z-index:-21789184" type="#_x0000_t202" id="docshape83" filled="false" stroked="false">
          <v:textbox inset="0,0,0,0">
            <w:txbxContent>
              <w:p>
                <w:pPr>
                  <w:spacing w:before="25"/>
                  <w:ind w:left="20" w:right="0" w:firstLine="0"/>
                  <w:jc w:val="left"/>
                  <w:rPr>
                    <w:b/>
                    <w:sz w:val="24"/>
                  </w:rPr>
                </w:pPr>
                <w:r>
                  <w:rPr>
                    <w:b/>
                    <w:sz w:val="24"/>
                  </w:rPr>
                  <w:t>3.3</w:t>
                </w:r>
                <w:r>
                  <w:rPr>
                    <w:b/>
                    <w:spacing w:val="-4"/>
                    <w:sz w:val="24"/>
                  </w:rPr>
                  <w:t> </w:t>
                </w:r>
                <w:r>
                  <w:rPr>
                    <w:b/>
                    <w:spacing w:val="-2"/>
                    <w:sz w:val="24"/>
                  </w:rPr>
                  <w:t>Results</w:t>
                </w:r>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88160" from="114.519997pt,114.133011pt" to="539.716997pt,114.133011pt" stroked="true" strokeweight=".498pt" strokecolor="#000000">
          <v:stroke dashstyle="solid"/>
          <w10:wrap type="none"/>
        </v:line>
      </w:pict>
    </w:r>
    <w:r>
      <w:rPr/>
      <w:pict>
        <v:shape style="position:absolute;margin-left:483.59201pt;margin-top:97.073021pt;width:57.15pt;height:17.6pt;mso-position-horizontal-relative:page;mso-position-vertical-relative:page;z-index:-21787648" type="#_x0000_t202" id="docshape89" filled="false" stroked="false">
          <v:textbox inset="0,0,0,0">
            <w:txbxContent>
              <w:p>
                <w:pPr>
                  <w:spacing w:before="25"/>
                  <w:ind w:left="20" w:right="0" w:firstLine="0"/>
                  <w:jc w:val="left"/>
                  <w:rPr>
                    <w:b/>
                    <w:sz w:val="24"/>
                  </w:rPr>
                </w:pPr>
                <w:r>
                  <w:rPr>
                    <w:b/>
                    <w:sz w:val="24"/>
                  </w:rPr>
                  <w:t>3.3</w:t>
                </w:r>
                <w:r>
                  <w:rPr>
                    <w:b/>
                    <w:spacing w:val="-4"/>
                    <w:sz w:val="24"/>
                  </w:rPr>
                  <w:t> </w:t>
                </w:r>
                <w:r>
                  <w:rPr>
                    <w:b/>
                    <w:spacing w:val="-2"/>
                    <w:sz w:val="24"/>
                  </w:rPr>
                  <w:t>Results</w:t>
                </w:r>
              </w:p>
            </w:txbxContent>
          </v:textbox>
          <w10:wrap type="none"/>
        </v:shape>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86624" from="114.519997pt,114.133011pt" to="539.716997pt,114.133011pt" stroked="true" strokeweight=".498pt" strokecolor="#000000">
          <v:stroke dashstyle="solid"/>
          <w10:wrap type="none"/>
        </v:line>
      </w:pict>
    </w:r>
    <w:r>
      <w:rPr/>
      <w:pict>
        <v:shape style="position:absolute;margin-left:470.30899pt;margin-top:97.073021pt;width:70.45pt;height:17.6pt;mso-position-horizontal-relative:page;mso-position-vertical-relative:page;z-index:-21786112" type="#_x0000_t202" id="docshape91" filled="false" stroked="false">
          <v:textbox inset="0,0,0,0">
            <w:txbxContent>
              <w:p>
                <w:pPr>
                  <w:spacing w:before="25"/>
                  <w:ind w:left="20" w:right="0" w:firstLine="0"/>
                  <w:jc w:val="left"/>
                  <w:rPr>
                    <w:b/>
                    <w:sz w:val="24"/>
                  </w:rPr>
                </w:pPr>
                <w:r>
                  <w:rPr>
                    <w:b/>
                    <w:sz w:val="24"/>
                  </w:rPr>
                  <w:t>3.4</w:t>
                </w:r>
                <w:r>
                  <w:rPr>
                    <w:b/>
                    <w:spacing w:val="-4"/>
                    <w:sz w:val="24"/>
                  </w:rPr>
                  <w:t> </w:t>
                </w:r>
                <w:r>
                  <w:rPr>
                    <w:b/>
                    <w:spacing w:val="-2"/>
                    <w:sz w:val="24"/>
                  </w:rPr>
                  <w:t>Summary</w:t>
                </w:r>
              </w:p>
            </w:txbxContent>
          </v:textbox>
          <w10:wrap type="non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84576" from="114.519997pt,114.133011pt" to="539.716997pt,114.133011pt" stroked="true" strokeweight=".498pt" strokecolor="#000000">
          <v:stroke dashstyle="solid"/>
          <w10:wrap type="none"/>
        </v:line>
      </w:pict>
    </w:r>
    <w:r>
      <w:rPr/>
      <w:pict>
        <v:shape style="position:absolute;margin-left:453.70401pt;margin-top:97.073021pt;width:87.05pt;height:17.6pt;mso-position-horizontal-relative:page;mso-position-vertical-relative:page;z-index:-21784064" type="#_x0000_t202" id="docshape96" filled="false" stroked="false">
          <v:textbox inset="0,0,0,0">
            <w:txbxContent>
              <w:p>
                <w:pPr>
                  <w:spacing w:before="25"/>
                  <w:ind w:left="20" w:right="0" w:firstLine="0"/>
                  <w:jc w:val="left"/>
                  <w:rPr>
                    <w:b/>
                    <w:sz w:val="24"/>
                  </w:rPr>
                </w:pPr>
                <w:r>
                  <w:rPr>
                    <w:b/>
                    <w:sz w:val="24"/>
                  </w:rPr>
                  <w:t>4.2</w:t>
                </w:r>
                <w:r>
                  <w:rPr>
                    <w:b/>
                    <w:spacing w:val="-4"/>
                    <w:sz w:val="24"/>
                  </w:rPr>
                  <w:t> </w:t>
                </w:r>
                <w:r>
                  <w:rPr>
                    <w:b/>
                    <w:spacing w:val="-2"/>
                    <w:sz w:val="24"/>
                  </w:rPr>
                  <w:t>Methodology</w:t>
                </w:r>
              </w:p>
            </w:txbxContent>
          </v:textbox>
          <w10:wrap type="none"/>
        </v:shape>
      </w:pic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83040" from="114.519997pt,114.133011pt" to="539.716997pt,114.133011pt" stroked="true" strokeweight=".498pt" strokecolor="#000000">
          <v:stroke dashstyle="solid"/>
          <w10:wrap type="none"/>
        </v:line>
      </w:pict>
    </w:r>
    <w:r>
      <w:rPr/>
      <w:pict>
        <v:shape style="position:absolute;margin-left:483.59201pt;margin-top:97.073021pt;width:57.15pt;height:17.6pt;mso-position-horizontal-relative:page;mso-position-vertical-relative:page;z-index:-21782528" type="#_x0000_t202" id="docshape120" filled="false" stroked="false">
          <v:textbox inset="0,0,0,0">
            <w:txbxContent>
              <w:p>
                <w:pPr>
                  <w:spacing w:before="25"/>
                  <w:ind w:left="20" w:right="0" w:firstLine="0"/>
                  <w:jc w:val="left"/>
                  <w:rPr>
                    <w:b/>
                    <w:sz w:val="24"/>
                  </w:rPr>
                </w:pPr>
                <w:r>
                  <w:rPr>
                    <w:b/>
                    <w:sz w:val="24"/>
                  </w:rPr>
                  <w:t>4.3</w:t>
                </w:r>
                <w:r>
                  <w:rPr>
                    <w:b/>
                    <w:spacing w:val="-4"/>
                    <w:sz w:val="24"/>
                  </w:rPr>
                  <w:t> </w:t>
                </w:r>
                <w:r>
                  <w:rPr>
                    <w:b/>
                    <w:spacing w:val="-2"/>
                    <w:sz w:val="24"/>
                  </w:rPr>
                  <w:t>Results</w:t>
                </w:r>
              </w:p>
            </w:txbxContent>
          </v:textbox>
          <w10:wrap type="non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81504" from="114.519997pt,114.133011pt" to="539.716997pt,114.133011pt" stroked="true" strokeweight=".498pt" strokecolor="#000000">
          <v:stroke dashstyle="solid"/>
          <w10:wrap type="none"/>
        </v:line>
      </w:pict>
    </w:r>
    <w:r>
      <w:rPr/>
      <w:pict>
        <v:shape style="position:absolute;margin-left:470.30899pt;margin-top:97.073021pt;width:70.45pt;height:17.6pt;mso-position-horizontal-relative:page;mso-position-vertical-relative:page;z-index:-21780992" type="#_x0000_t202" id="docshape123" filled="false" stroked="false">
          <v:textbox inset="0,0,0,0">
            <w:txbxContent>
              <w:p>
                <w:pPr>
                  <w:spacing w:before="25"/>
                  <w:ind w:left="20" w:right="0" w:firstLine="0"/>
                  <w:jc w:val="left"/>
                  <w:rPr>
                    <w:b/>
                    <w:sz w:val="24"/>
                  </w:rPr>
                </w:pPr>
                <w:r>
                  <w:rPr>
                    <w:b/>
                    <w:sz w:val="24"/>
                  </w:rPr>
                  <w:t>4.4</w:t>
                </w:r>
                <w:r>
                  <w:rPr>
                    <w:b/>
                    <w:spacing w:val="-4"/>
                    <w:sz w:val="24"/>
                  </w:rPr>
                  <w:t> </w:t>
                </w:r>
                <w:r>
                  <w:rPr>
                    <w:b/>
                    <w:spacing w:val="-2"/>
                    <w:sz w:val="24"/>
                  </w:rPr>
                  <w:t>Summary</w:t>
                </w:r>
              </w:p>
            </w:txbxContent>
          </v:textbox>
          <w10:wrap type="non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79456" from="114.519997pt,114.133011pt" to="539.716997pt,114.133011pt" stroked="true" strokeweight=".498pt" strokecolor="#000000">
          <v:stroke dashstyle="solid"/>
          <w10:wrap type="none"/>
        </v:line>
      </w:pict>
    </w:r>
    <w:r>
      <w:rPr/>
      <w:pict>
        <v:shape style="position:absolute;margin-left:453.70401pt;margin-top:97.073021pt;width:87.05pt;height:17.6pt;mso-position-horizontal-relative:page;mso-position-vertical-relative:page;z-index:-21778944" type="#_x0000_t202" id="docshape128" filled="false" stroked="false">
          <v:textbox inset="0,0,0,0">
            <w:txbxContent>
              <w:p>
                <w:pPr>
                  <w:spacing w:before="25"/>
                  <w:ind w:left="20" w:right="0" w:firstLine="0"/>
                  <w:jc w:val="left"/>
                  <w:rPr>
                    <w:b/>
                    <w:sz w:val="24"/>
                  </w:rPr>
                </w:pPr>
                <w:r>
                  <w:rPr>
                    <w:b/>
                    <w:sz w:val="24"/>
                  </w:rPr>
                  <w:t>5.2</w:t>
                </w:r>
                <w:r>
                  <w:rPr>
                    <w:b/>
                    <w:spacing w:val="-4"/>
                    <w:sz w:val="24"/>
                  </w:rPr>
                  <w:t> </w:t>
                </w:r>
                <w:r>
                  <w:rPr>
                    <w:b/>
                    <w:spacing w:val="-2"/>
                    <w:sz w:val="24"/>
                  </w:rPr>
                  <w:t>Methodology</w:t>
                </w:r>
              </w:p>
            </w:txbxContent>
          </v:textbox>
          <w10:wrap type="none"/>
        </v:shape>
      </w:pict>
    </w: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77920" from="114.519997pt,114.133011pt" to="539.716997pt,114.133011pt" stroked="true" strokeweight=".498pt" strokecolor="#000000">
          <v:stroke dashstyle="solid"/>
          <w10:wrap type="none"/>
        </v:line>
      </w:pict>
    </w:r>
    <w:r>
      <w:rPr/>
      <w:pict>
        <v:shape style="position:absolute;margin-left:483.59201pt;margin-top:97.073021pt;width:57.15pt;height:17.6pt;mso-position-horizontal-relative:page;mso-position-vertical-relative:page;z-index:-21777408" type="#_x0000_t202" id="docshape158" filled="false" stroked="false">
          <v:textbox inset="0,0,0,0">
            <w:txbxContent>
              <w:p>
                <w:pPr>
                  <w:spacing w:before="25"/>
                  <w:ind w:left="20" w:right="0" w:firstLine="0"/>
                  <w:jc w:val="left"/>
                  <w:rPr>
                    <w:b/>
                    <w:sz w:val="24"/>
                  </w:rPr>
                </w:pPr>
                <w:r>
                  <w:rPr>
                    <w:b/>
                    <w:sz w:val="24"/>
                  </w:rPr>
                  <w:t>5.3</w:t>
                </w:r>
                <w:r>
                  <w:rPr>
                    <w:b/>
                    <w:spacing w:val="-4"/>
                    <w:sz w:val="24"/>
                  </w:rPr>
                  <w:t> </w:t>
                </w:r>
                <w:r>
                  <w:rPr>
                    <w:b/>
                    <w:spacing w:val="-2"/>
                    <w:sz w:val="24"/>
                  </w:rPr>
                  <w:t>Results</w:t>
                </w:r>
              </w:p>
            </w:txbxContent>
          </v:textbox>
          <w10:wrap type="none"/>
        </v:shape>
      </w:pict>
    </w: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76384" from="114.519997pt,114.133011pt" to="539.716997pt,114.133011pt" stroked="true" strokeweight=".498pt" strokecolor="#000000">
          <v:stroke dashstyle="solid"/>
          <w10:wrap type="none"/>
        </v:line>
      </w:pict>
    </w:r>
    <w:r>
      <w:rPr/>
      <w:pict>
        <v:shape style="position:absolute;margin-left:470.30899pt;margin-top:97.073021pt;width:70.45pt;height:17.6pt;mso-position-horizontal-relative:page;mso-position-vertical-relative:page;z-index:-21775872" type="#_x0000_t202" id="docshape165" filled="false" stroked="false">
          <v:textbox inset="0,0,0,0">
            <w:txbxContent>
              <w:p>
                <w:pPr>
                  <w:spacing w:before="25"/>
                  <w:ind w:left="20" w:right="0" w:firstLine="0"/>
                  <w:jc w:val="left"/>
                  <w:rPr>
                    <w:b/>
                    <w:sz w:val="24"/>
                  </w:rPr>
                </w:pPr>
                <w:r>
                  <w:rPr>
                    <w:b/>
                    <w:sz w:val="24"/>
                  </w:rPr>
                  <w:t>5.4</w:t>
                </w:r>
                <w:r>
                  <w:rPr>
                    <w:b/>
                    <w:spacing w:val="-4"/>
                    <w:sz w:val="24"/>
                  </w:rPr>
                  <w:t> </w:t>
                </w:r>
                <w:r>
                  <w:rPr>
                    <w:b/>
                    <w:spacing w:val="-2"/>
                    <w:sz w:val="24"/>
                  </w:rPr>
                  <w:t>Summary</w:t>
                </w:r>
              </w:p>
            </w:txbxContent>
          </v:textbox>
          <w10:wrap type="none"/>
        </v:shape>
      </w:pict>
    </w: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74336" from="114.519997pt,114.133011pt" to="539.716997pt,114.133011pt" stroked="true" strokeweight=".498pt" strokecolor="#000000">
          <v:stroke dashstyle="solid"/>
          <w10:wrap type="none"/>
        </v:line>
      </w:pict>
    </w:r>
    <w:r>
      <w:rPr/>
      <w:pict>
        <v:shape style="position:absolute;margin-left:453.70401pt;margin-top:97.073021pt;width:87.05pt;height:17.6pt;mso-position-horizontal-relative:page;mso-position-vertical-relative:page;z-index:-21773824" type="#_x0000_t202" id="docshape170" filled="false" stroked="false">
          <v:textbox inset="0,0,0,0">
            <w:txbxContent>
              <w:p>
                <w:pPr>
                  <w:spacing w:before="25"/>
                  <w:ind w:left="20" w:right="0" w:firstLine="0"/>
                  <w:jc w:val="left"/>
                  <w:rPr>
                    <w:b/>
                    <w:sz w:val="24"/>
                  </w:rPr>
                </w:pPr>
                <w:r>
                  <w:rPr>
                    <w:b/>
                    <w:sz w:val="24"/>
                  </w:rPr>
                  <w:t>6.2</w:t>
                </w:r>
                <w:r>
                  <w:rPr>
                    <w:b/>
                    <w:spacing w:val="-4"/>
                    <w:sz w:val="24"/>
                  </w:rPr>
                  <w:t> </w:t>
                </w:r>
                <w:r>
                  <w:rPr>
                    <w:b/>
                    <w:spacing w:val="-2"/>
                    <w:sz w:val="24"/>
                  </w:rPr>
                  <w:t>Methodology</w:t>
                </w:r>
              </w:p>
            </w:txbxContent>
          </v:textbox>
          <w10:wrap type="none"/>
        </v:shape>
      </w:pict>
    </w: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72800" from="114.519997pt,114.133011pt" to="539.716997pt,114.133011pt" stroked="true" strokeweight=".498pt" strokecolor="#000000">
          <v:stroke dashstyle="solid"/>
          <w10:wrap type="none"/>
        </v:line>
      </w:pict>
    </w:r>
    <w:r>
      <w:rPr/>
      <w:pict>
        <v:shape style="position:absolute;margin-left:483.59201pt;margin-top:97.073021pt;width:57.15pt;height:17.6pt;mso-position-horizontal-relative:page;mso-position-vertical-relative:page;z-index:-21772288" type="#_x0000_t202" id="docshape202" filled="false" stroked="false">
          <v:textbox inset="0,0,0,0">
            <w:txbxContent>
              <w:p>
                <w:pPr>
                  <w:spacing w:before="25"/>
                  <w:ind w:left="20" w:right="0" w:firstLine="0"/>
                  <w:jc w:val="left"/>
                  <w:rPr>
                    <w:b/>
                    <w:sz w:val="24"/>
                  </w:rPr>
                </w:pPr>
                <w:r>
                  <w:rPr>
                    <w:b/>
                    <w:sz w:val="24"/>
                  </w:rPr>
                  <w:t>6.3</w:t>
                </w:r>
                <w:r>
                  <w:rPr>
                    <w:b/>
                    <w:spacing w:val="-4"/>
                    <w:sz w:val="24"/>
                  </w:rPr>
                  <w:t> </w:t>
                </w:r>
                <w:r>
                  <w:rPr>
                    <w:b/>
                    <w:spacing w:val="-2"/>
                    <w:sz w:val="24"/>
                  </w:rPr>
                  <w:t>Results</w:t>
                </w:r>
              </w:p>
            </w:txbxContent>
          </v:textbox>
          <w10:wrap type="none"/>
        </v:shape>
      </w:pict>
    </w: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71264" from="114.519997pt,114.133011pt" to="539.716997pt,114.133011pt" stroked="true" strokeweight=".498pt" strokecolor="#000000">
          <v:stroke dashstyle="solid"/>
          <w10:wrap type="none"/>
        </v:line>
      </w:pict>
    </w:r>
    <w:r>
      <w:rPr/>
      <w:pict>
        <v:shape style="position:absolute;margin-left:470.30899pt;margin-top:97.073021pt;width:70.45pt;height:17.6pt;mso-position-horizontal-relative:page;mso-position-vertical-relative:page;z-index:-21770752" type="#_x0000_t202" id="docshape217" filled="false" stroked="false">
          <v:textbox inset="0,0,0,0">
            <w:txbxContent>
              <w:p>
                <w:pPr>
                  <w:spacing w:before="25"/>
                  <w:ind w:left="20" w:right="0" w:firstLine="0"/>
                  <w:jc w:val="left"/>
                  <w:rPr>
                    <w:b/>
                    <w:sz w:val="24"/>
                  </w:rPr>
                </w:pPr>
                <w:r>
                  <w:rPr>
                    <w:b/>
                    <w:sz w:val="24"/>
                  </w:rPr>
                  <w:t>6.4</w:t>
                </w:r>
                <w:r>
                  <w:rPr>
                    <w:b/>
                    <w:spacing w:val="-4"/>
                    <w:sz w:val="24"/>
                  </w:rPr>
                  <w:t> </w:t>
                </w:r>
                <w:r>
                  <w:rPr>
                    <w:b/>
                    <w:spacing w:val="-2"/>
                    <w:sz w:val="24"/>
                  </w:rPr>
                  <w:t>Summary</w:t>
                </w:r>
              </w:p>
            </w:txbxContent>
          </v:textbox>
          <w10:wrap type="none"/>
        </v:shape>
      </w:pict>
    </w: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446.721985pt;margin-top:97.073021pt;width:94pt;height:17.6pt;mso-position-horizontal-relative:page;mso-position-vertical-relative:page;z-index:-21769216" type="#_x0000_t202" id="docshape222" filled="false" stroked="false">
          <v:textbox inset="0,0,0,0">
            <w:txbxContent>
              <w:p>
                <w:pPr>
                  <w:spacing w:before="25"/>
                  <w:ind w:left="20" w:right="0" w:firstLine="0"/>
                  <w:jc w:val="left"/>
                  <w:rPr>
                    <w:b/>
                    <w:sz w:val="24"/>
                  </w:rPr>
                </w:pPr>
                <w:r>
                  <w:rPr>
                    <w:b/>
                    <w:sz w:val="24"/>
                  </w:rPr>
                  <w:t>7.1</w:t>
                </w:r>
                <w:r>
                  <w:rPr>
                    <w:b/>
                    <w:spacing w:val="-6"/>
                    <w:sz w:val="24"/>
                  </w:rPr>
                  <w:t> </w:t>
                </w:r>
                <w:r>
                  <w:rPr>
                    <w:b/>
                    <w:sz w:val="24"/>
                  </w:rPr>
                  <w:t>Rugby</w:t>
                </w:r>
                <w:r>
                  <w:rPr>
                    <w:b/>
                    <w:spacing w:val="-6"/>
                    <w:sz w:val="24"/>
                  </w:rPr>
                  <w:t> </w:t>
                </w:r>
                <w:r>
                  <w:rPr>
                    <w:b/>
                    <w:spacing w:val="-2"/>
                    <w:sz w:val="24"/>
                  </w:rPr>
                  <w:t>League</w:t>
                </w:r>
              </w:p>
            </w:txbxContent>
          </v:textbox>
          <w10:wrap type="none"/>
        </v:shape>
      </w:pict>
    </w: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13.519997pt;margin-top:97.073021pt;width:427.2pt;height:17.6pt;mso-position-horizontal-relative:page;mso-position-vertical-relative:page;z-index:-21768192" type="#_x0000_t202" id="docshape225" filled="false" stroked="false">
          <v:textbox inset="0,0,0,0">
            <w:txbxContent>
              <w:p>
                <w:pPr>
                  <w:tabs>
                    <w:tab w:pos="5736" w:val="left" w:leader="none"/>
                  </w:tabs>
                  <w:spacing w:before="25"/>
                  <w:ind w:left="20" w:right="0" w:firstLine="0"/>
                  <w:jc w:val="left"/>
                  <w:rPr>
                    <w:b/>
                    <w:sz w:val="24"/>
                  </w:rPr>
                </w:pPr>
                <w:r>
                  <w:rPr>
                    <w:sz w:val="24"/>
                    <w:u w:val="single"/>
                  </w:rPr>
                  <w:tab/>
                </w:r>
                <w:r>
                  <w:rPr>
                    <w:b/>
                    <w:sz w:val="24"/>
                    <w:u w:val="single"/>
                  </w:rPr>
                  <w:t>7.2</w:t>
                </w:r>
                <w:r>
                  <w:rPr>
                    <w:b/>
                    <w:spacing w:val="-10"/>
                    <w:sz w:val="24"/>
                    <w:u w:val="single"/>
                  </w:rPr>
                  <w:t> </w:t>
                </w:r>
                <w:r>
                  <w:rPr>
                    <w:b/>
                    <w:sz w:val="24"/>
                    <w:u w:val="single"/>
                  </w:rPr>
                  <w:t>Research</w:t>
                </w:r>
                <w:r>
                  <w:rPr>
                    <w:b/>
                    <w:spacing w:val="-10"/>
                    <w:sz w:val="24"/>
                    <w:u w:val="single"/>
                  </w:rPr>
                  <w:t> </w:t>
                </w:r>
                <w:r>
                  <w:rPr>
                    <w:b/>
                    <w:spacing w:val="-2"/>
                    <w:sz w:val="24"/>
                    <w:u w:val="single"/>
                  </w:rPr>
                  <w:t>Contributions</w:t>
                </w:r>
              </w:p>
            </w:txbxContent>
          </v:textbox>
          <w10:wrap type="none"/>
        </v:shape>
      </w:pict>
    </w: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67168" from="114.519997pt,114.133011pt" to="539.716997pt,114.133011pt" stroked="true" strokeweight=".498pt" strokecolor="#000000">
          <v:stroke dashstyle="solid"/>
          <w10:wrap type="none"/>
        </v:line>
      </w:pict>
    </w:r>
    <w:r>
      <w:rPr/>
      <w:pict>
        <v:shape style="position:absolute;margin-left:461.665985pt;margin-top:97.073021pt;width:79.1pt;height:17.6pt;mso-position-horizontal-relative:page;mso-position-vertical-relative:page;z-index:-21766656" type="#_x0000_t202" id="docshape227" filled="false" stroked="false">
          <v:textbox inset="0,0,0,0">
            <w:txbxContent>
              <w:p>
                <w:pPr>
                  <w:spacing w:before="25"/>
                  <w:ind w:left="20" w:right="0" w:firstLine="0"/>
                  <w:jc w:val="left"/>
                  <w:rPr>
                    <w:b/>
                    <w:sz w:val="24"/>
                  </w:rPr>
                </w:pPr>
                <w:r>
                  <w:rPr>
                    <w:b/>
                    <w:sz w:val="24"/>
                  </w:rPr>
                  <w:t>7.3</w:t>
                </w:r>
                <w:r>
                  <w:rPr>
                    <w:b/>
                    <w:spacing w:val="-4"/>
                    <w:sz w:val="24"/>
                  </w:rPr>
                  <w:t> </w:t>
                </w:r>
                <w:r>
                  <w:rPr>
                    <w:b/>
                    <w:spacing w:val="-2"/>
                    <w:sz w:val="24"/>
                  </w:rPr>
                  <w:t>Limitations</w:t>
                </w:r>
              </w:p>
            </w:txbxContent>
          </v:textbox>
          <w10:wrap type="none"/>
        </v:shape>
      </w:pict>
    </w:r>
  </w:p>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65632" from="114.519997pt,114.133011pt" to="539.716997pt,114.133011pt" stroked="true" strokeweight=".498pt" strokecolor="#000000">
          <v:stroke dashstyle="solid"/>
          <w10:wrap type="none"/>
        </v:line>
      </w:pict>
    </w:r>
    <w:r>
      <w:rPr/>
      <w:pict>
        <v:shape style="position:absolute;margin-left:453.822998pt;margin-top:97.073021pt;width:86.9pt;height:17.6pt;mso-position-horizontal-relative:page;mso-position-vertical-relative:page;z-index:-21765120" type="#_x0000_t202" id="docshape229" filled="false" stroked="false">
          <v:textbox inset="0,0,0,0">
            <w:txbxContent>
              <w:p>
                <w:pPr>
                  <w:spacing w:before="25"/>
                  <w:ind w:left="20" w:right="0" w:firstLine="0"/>
                  <w:jc w:val="left"/>
                  <w:rPr>
                    <w:b/>
                    <w:sz w:val="24"/>
                  </w:rPr>
                </w:pPr>
                <w:r>
                  <w:rPr>
                    <w:b/>
                    <w:sz w:val="24"/>
                  </w:rPr>
                  <w:t>7.4</w:t>
                </w:r>
                <w:r>
                  <w:rPr>
                    <w:b/>
                    <w:spacing w:val="-9"/>
                    <w:sz w:val="24"/>
                  </w:rPr>
                  <w:t> </w:t>
                </w:r>
                <w:r>
                  <w:rPr>
                    <w:b/>
                    <w:sz w:val="24"/>
                  </w:rPr>
                  <w:t>Future</w:t>
                </w:r>
                <w:r>
                  <w:rPr>
                    <w:b/>
                    <w:spacing w:val="-9"/>
                    <w:sz w:val="24"/>
                  </w:rPr>
                  <w:t> </w:t>
                </w:r>
                <w:r>
                  <w:rPr>
                    <w:b/>
                    <w:spacing w:val="-4"/>
                    <w:sz w:val="24"/>
                  </w:rPr>
                  <w:t>Work</w:t>
                </w:r>
              </w:p>
            </w:txbxContent>
          </v:textbox>
          <w10:wrap type="none"/>
        </v:shape>
      </w:pict>
    </w: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1763584" from="114.519997pt,114.133011pt" to="539.716997pt,114.133011pt" stroked="true" strokeweight=".498pt" strokecolor="#000000">
          <v:stroke dashstyle="solid"/>
          <w10:wrap type="none"/>
        </v:line>
      </w:pict>
    </w:r>
    <w:r>
      <w:rPr/>
      <w:pict>
        <v:shape style="position:absolute;margin-left:458.342987pt;margin-top:97.073021pt;width:82.4pt;height:17.6pt;mso-position-horizontal-relative:page;mso-position-vertical-relative:page;z-index:-21763072" type="#_x0000_t202" id="docshape232" filled="false" stroked="false">
          <v:textbox inset="0,0,0,0">
            <w:txbxContent>
              <w:p>
                <w:pPr>
                  <w:spacing w:before="25"/>
                  <w:ind w:left="20" w:right="0" w:firstLine="0"/>
                  <w:jc w:val="left"/>
                  <w:rPr>
                    <w:b/>
                    <w:sz w:val="24"/>
                  </w:rPr>
                </w:pPr>
                <w:r>
                  <w:rPr>
                    <w:b/>
                    <w:spacing w:val="-2"/>
                    <w:sz w:val="24"/>
                  </w:rPr>
                  <w:t>REFERENCES</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5">
    <w:multiLevelType w:val="hybridMultilevel"/>
    <w:lvl w:ilvl="0">
      <w:start w:val="7"/>
      <w:numFmt w:val="decimal"/>
      <w:lvlText w:val="%1"/>
      <w:lvlJc w:val="left"/>
      <w:pPr>
        <w:ind w:left="1385" w:hanging="775"/>
        <w:jc w:val="left"/>
      </w:pPr>
      <w:rPr>
        <w:rFonts w:hint="default"/>
        <w:lang w:val="en-US" w:eastAsia="en-US" w:bidi="ar-SA"/>
      </w:rPr>
    </w:lvl>
    <w:lvl w:ilvl="1">
      <w:start w:val="1"/>
      <w:numFmt w:val="decimal"/>
      <w:lvlText w:val="%1.%2"/>
      <w:lvlJc w:val="left"/>
      <w:pPr>
        <w:ind w:left="1385" w:hanging="775"/>
        <w:jc w:val="left"/>
      </w:pPr>
      <w:rPr>
        <w:rFonts w:hint="default" w:ascii="Times New Roman" w:hAnsi="Times New Roman" w:eastAsia="Times New Roman" w:cs="Times New Roman"/>
        <w:b/>
        <w:bCs/>
        <w:i w:val="0"/>
        <w:iCs w:val="0"/>
        <w:w w:val="101"/>
        <w:sz w:val="34"/>
        <w:szCs w:val="34"/>
        <w:lang w:val="en-US" w:eastAsia="en-US" w:bidi="ar-SA"/>
      </w:rPr>
    </w:lvl>
    <w:lvl w:ilvl="2">
      <w:start w:val="1"/>
      <w:numFmt w:val="decimal"/>
      <w:lvlText w:val="%1.%2.%3"/>
      <w:lvlJc w:val="left"/>
      <w:pPr>
        <w:ind w:left="1471" w:hanging="861"/>
        <w:jc w:val="left"/>
      </w:pPr>
      <w:rPr>
        <w:rFonts w:hint="default" w:ascii="Times New Roman" w:hAnsi="Times New Roman" w:eastAsia="Times New Roman" w:cs="Times New Roman"/>
        <w:b/>
        <w:bCs/>
        <w:i w:val="0"/>
        <w:iCs w:val="0"/>
        <w:w w:val="102"/>
        <w:sz w:val="28"/>
        <w:szCs w:val="28"/>
        <w:lang w:val="en-US" w:eastAsia="en-US" w:bidi="ar-SA"/>
      </w:rPr>
    </w:lvl>
    <w:lvl w:ilvl="3">
      <w:start w:val="0"/>
      <w:numFmt w:val="bullet"/>
      <w:lvlText w:val="•"/>
      <w:lvlJc w:val="left"/>
      <w:pPr>
        <w:ind w:left="3263" w:hanging="861"/>
      </w:pPr>
      <w:rPr>
        <w:rFonts w:hint="default"/>
        <w:lang w:val="en-US" w:eastAsia="en-US" w:bidi="ar-SA"/>
      </w:rPr>
    </w:lvl>
    <w:lvl w:ilvl="4">
      <w:start w:val="0"/>
      <w:numFmt w:val="bullet"/>
      <w:lvlText w:val="•"/>
      <w:lvlJc w:val="left"/>
      <w:pPr>
        <w:ind w:left="4155" w:hanging="861"/>
      </w:pPr>
      <w:rPr>
        <w:rFonts w:hint="default"/>
        <w:lang w:val="en-US" w:eastAsia="en-US" w:bidi="ar-SA"/>
      </w:rPr>
    </w:lvl>
    <w:lvl w:ilvl="5">
      <w:start w:val="0"/>
      <w:numFmt w:val="bullet"/>
      <w:lvlText w:val="•"/>
      <w:lvlJc w:val="left"/>
      <w:pPr>
        <w:ind w:left="5046" w:hanging="861"/>
      </w:pPr>
      <w:rPr>
        <w:rFonts w:hint="default"/>
        <w:lang w:val="en-US" w:eastAsia="en-US" w:bidi="ar-SA"/>
      </w:rPr>
    </w:lvl>
    <w:lvl w:ilvl="6">
      <w:start w:val="0"/>
      <w:numFmt w:val="bullet"/>
      <w:lvlText w:val="•"/>
      <w:lvlJc w:val="left"/>
      <w:pPr>
        <w:ind w:left="5938" w:hanging="861"/>
      </w:pPr>
      <w:rPr>
        <w:rFonts w:hint="default"/>
        <w:lang w:val="en-US" w:eastAsia="en-US" w:bidi="ar-SA"/>
      </w:rPr>
    </w:lvl>
    <w:lvl w:ilvl="7">
      <w:start w:val="0"/>
      <w:numFmt w:val="bullet"/>
      <w:lvlText w:val="•"/>
      <w:lvlJc w:val="left"/>
      <w:pPr>
        <w:ind w:left="6830" w:hanging="861"/>
      </w:pPr>
      <w:rPr>
        <w:rFonts w:hint="default"/>
        <w:lang w:val="en-US" w:eastAsia="en-US" w:bidi="ar-SA"/>
      </w:rPr>
    </w:lvl>
    <w:lvl w:ilvl="8">
      <w:start w:val="0"/>
      <w:numFmt w:val="bullet"/>
      <w:lvlText w:val="•"/>
      <w:lvlJc w:val="left"/>
      <w:pPr>
        <w:ind w:left="7722" w:hanging="861"/>
      </w:pPr>
      <w:rPr>
        <w:rFonts w:hint="default"/>
        <w:lang w:val="en-US" w:eastAsia="en-US" w:bidi="ar-SA"/>
      </w:rPr>
    </w:lvl>
  </w:abstractNum>
  <w:abstractNum w:abstractNumId="24">
    <w:multiLevelType w:val="hybridMultilevel"/>
    <w:lvl w:ilvl="0">
      <w:start w:val="0"/>
      <w:numFmt w:val="bullet"/>
      <w:lvlText w:val="•"/>
      <w:lvlJc w:val="left"/>
      <w:pPr>
        <w:ind w:left="1195" w:hanging="85"/>
      </w:pPr>
      <w:rPr>
        <w:rFonts w:hint="default" w:ascii="Times New Roman" w:hAnsi="Times New Roman" w:eastAsia="Times New Roman" w:cs="Times New Roman"/>
        <w:b w:val="0"/>
        <w:bCs w:val="0"/>
        <w:i w:val="0"/>
        <w:iCs w:val="0"/>
        <w:w w:val="99"/>
        <w:sz w:val="22"/>
        <w:szCs w:val="22"/>
        <w:lang w:val="en-US" w:eastAsia="en-US" w:bidi="ar-SA"/>
      </w:rPr>
    </w:lvl>
    <w:lvl w:ilvl="1">
      <w:start w:val="0"/>
      <w:numFmt w:val="bullet"/>
      <w:lvlText w:val="•"/>
      <w:lvlJc w:val="left"/>
      <w:pPr>
        <w:ind w:left="2030" w:hanging="85"/>
      </w:pPr>
      <w:rPr>
        <w:rFonts w:hint="default"/>
        <w:lang w:val="en-US" w:eastAsia="en-US" w:bidi="ar-SA"/>
      </w:rPr>
    </w:lvl>
    <w:lvl w:ilvl="2">
      <w:start w:val="0"/>
      <w:numFmt w:val="bullet"/>
      <w:lvlText w:val="•"/>
      <w:lvlJc w:val="left"/>
      <w:pPr>
        <w:ind w:left="2861" w:hanging="85"/>
      </w:pPr>
      <w:rPr>
        <w:rFonts w:hint="default"/>
        <w:lang w:val="en-US" w:eastAsia="en-US" w:bidi="ar-SA"/>
      </w:rPr>
    </w:lvl>
    <w:lvl w:ilvl="3">
      <w:start w:val="0"/>
      <w:numFmt w:val="bullet"/>
      <w:lvlText w:val="•"/>
      <w:lvlJc w:val="left"/>
      <w:pPr>
        <w:ind w:left="3691" w:hanging="85"/>
      </w:pPr>
      <w:rPr>
        <w:rFonts w:hint="default"/>
        <w:lang w:val="en-US" w:eastAsia="en-US" w:bidi="ar-SA"/>
      </w:rPr>
    </w:lvl>
    <w:lvl w:ilvl="4">
      <w:start w:val="0"/>
      <w:numFmt w:val="bullet"/>
      <w:lvlText w:val="•"/>
      <w:lvlJc w:val="left"/>
      <w:pPr>
        <w:ind w:left="4522" w:hanging="85"/>
      </w:pPr>
      <w:rPr>
        <w:rFonts w:hint="default"/>
        <w:lang w:val="en-US" w:eastAsia="en-US" w:bidi="ar-SA"/>
      </w:rPr>
    </w:lvl>
    <w:lvl w:ilvl="5">
      <w:start w:val="0"/>
      <w:numFmt w:val="bullet"/>
      <w:lvlText w:val="•"/>
      <w:lvlJc w:val="left"/>
      <w:pPr>
        <w:ind w:left="5352" w:hanging="85"/>
      </w:pPr>
      <w:rPr>
        <w:rFonts w:hint="default"/>
        <w:lang w:val="en-US" w:eastAsia="en-US" w:bidi="ar-SA"/>
      </w:rPr>
    </w:lvl>
    <w:lvl w:ilvl="6">
      <w:start w:val="0"/>
      <w:numFmt w:val="bullet"/>
      <w:lvlText w:val="•"/>
      <w:lvlJc w:val="left"/>
      <w:pPr>
        <w:ind w:left="6183" w:hanging="85"/>
      </w:pPr>
      <w:rPr>
        <w:rFonts w:hint="default"/>
        <w:lang w:val="en-US" w:eastAsia="en-US" w:bidi="ar-SA"/>
      </w:rPr>
    </w:lvl>
    <w:lvl w:ilvl="7">
      <w:start w:val="0"/>
      <w:numFmt w:val="bullet"/>
      <w:lvlText w:val="•"/>
      <w:lvlJc w:val="left"/>
      <w:pPr>
        <w:ind w:left="7013" w:hanging="85"/>
      </w:pPr>
      <w:rPr>
        <w:rFonts w:hint="default"/>
        <w:lang w:val="en-US" w:eastAsia="en-US" w:bidi="ar-SA"/>
      </w:rPr>
    </w:lvl>
    <w:lvl w:ilvl="8">
      <w:start w:val="0"/>
      <w:numFmt w:val="bullet"/>
      <w:lvlText w:val="•"/>
      <w:lvlJc w:val="left"/>
      <w:pPr>
        <w:ind w:left="7844" w:hanging="85"/>
      </w:pPr>
      <w:rPr>
        <w:rFonts w:hint="default"/>
        <w:lang w:val="en-US" w:eastAsia="en-US" w:bidi="ar-SA"/>
      </w:rPr>
    </w:lvl>
  </w:abstractNum>
  <w:abstractNum w:abstractNumId="23">
    <w:multiLevelType w:val="hybridMultilevel"/>
    <w:lvl w:ilvl="0">
      <w:start w:val="6"/>
      <w:numFmt w:val="decimal"/>
      <w:lvlText w:val="%1"/>
      <w:lvlJc w:val="left"/>
      <w:pPr>
        <w:ind w:left="1385" w:hanging="775"/>
        <w:jc w:val="left"/>
      </w:pPr>
      <w:rPr>
        <w:rFonts w:hint="default"/>
        <w:lang w:val="en-US" w:eastAsia="en-US" w:bidi="ar-SA"/>
      </w:rPr>
    </w:lvl>
    <w:lvl w:ilvl="1">
      <w:start w:val="1"/>
      <w:numFmt w:val="decimal"/>
      <w:lvlText w:val="%1.%2"/>
      <w:lvlJc w:val="left"/>
      <w:pPr>
        <w:ind w:left="1385" w:hanging="775"/>
        <w:jc w:val="left"/>
      </w:pPr>
      <w:rPr>
        <w:rFonts w:hint="default" w:ascii="Times New Roman" w:hAnsi="Times New Roman" w:eastAsia="Times New Roman" w:cs="Times New Roman"/>
        <w:b/>
        <w:bCs/>
        <w:i w:val="0"/>
        <w:iCs w:val="0"/>
        <w:w w:val="101"/>
        <w:sz w:val="34"/>
        <w:szCs w:val="34"/>
        <w:lang w:val="en-US" w:eastAsia="en-US" w:bidi="ar-SA"/>
      </w:rPr>
    </w:lvl>
    <w:lvl w:ilvl="2">
      <w:start w:val="1"/>
      <w:numFmt w:val="decimal"/>
      <w:lvlText w:val="%1.%2.%3"/>
      <w:lvlJc w:val="left"/>
      <w:pPr>
        <w:ind w:left="1471" w:hanging="861"/>
        <w:jc w:val="left"/>
      </w:pPr>
      <w:rPr>
        <w:rFonts w:hint="default" w:ascii="Times New Roman" w:hAnsi="Times New Roman" w:eastAsia="Times New Roman" w:cs="Times New Roman"/>
        <w:b/>
        <w:bCs/>
        <w:i w:val="0"/>
        <w:iCs w:val="0"/>
        <w:w w:val="102"/>
        <w:sz w:val="28"/>
        <w:szCs w:val="28"/>
        <w:lang w:val="en-US" w:eastAsia="en-US" w:bidi="ar-SA"/>
      </w:rPr>
    </w:lvl>
    <w:lvl w:ilvl="3">
      <w:start w:val="1"/>
      <w:numFmt w:val="decimal"/>
      <w:lvlText w:val="%1.%2.%3.%4"/>
      <w:lvlJc w:val="left"/>
      <w:pPr>
        <w:ind w:left="1507" w:hanging="897"/>
        <w:jc w:val="left"/>
      </w:pPr>
      <w:rPr>
        <w:rFonts w:hint="default" w:ascii="Times New Roman" w:hAnsi="Times New Roman" w:eastAsia="Times New Roman" w:cs="Times New Roman"/>
        <w:b/>
        <w:bCs/>
        <w:i w:val="0"/>
        <w:iCs w:val="0"/>
        <w:w w:val="99"/>
        <w:sz w:val="24"/>
        <w:szCs w:val="24"/>
        <w:lang w:val="en-US" w:eastAsia="en-US" w:bidi="ar-SA"/>
      </w:rPr>
    </w:lvl>
    <w:lvl w:ilvl="4">
      <w:start w:val="0"/>
      <w:numFmt w:val="bullet"/>
      <w:lvlText w:val="•"/>
      <w:lvlJc w:val="left"/>
      <w:pPr>
        <w:ind w:left="3501" w:hanging="897"/>
      </w:pPr>
      <w:rPr>
        <w:rFonts w:hint="default"/>
        <w:lang w:val="en-US" w:eastAsia="en-US" w:bidi="ar-SA"/>
      </w:rPr>
    </w:lvl>
    <w:lvl w:ilvl="5">
      <w:start w:val="0"/>
      <w:numFmt w:val="bullet"/>
      <w:lvlText w:val="•"/>
      <w:lvlJc w:val="left"/>
      <w:pPr>
        <w:ind w:left="4502" w:hanging="897"/>
      </w:pPr>
      <w:rPr>
        <w:rFonts w:hint="default"/>
        <w:lang w:val="en-US" w:eastAsia="en-US" w:bidi="ar-SA"/>
      </w:rPr>
    </w:lvl>
    <w:lvl w:ilvl="6">
      <w:start w:val="0"/>
      <w:numFmt w:val="bullet"/>
      <w:lvlText w:val="•"/>
      <w:lvlJc w:val="left"/>
      <w:pPr>
        <w:ind w:left="5502" w:hanging="897"/>
      </w:pPr>
      <w:rPr>
        <w:rFonts w:hint="default"/>
        <w:lang w:val="en-US" w:eastAsia="en-US" w:bidi="ar-SA"/>
      </w:rPr>
    </w:lvl>
    <w:lvl w:ilvl="7">
      <w:start w:val="0"/>
      <w:numFmt w:val="bullet"/>
      <w:lvlText w:val="•"/>
      <w:lvlJc w:val="left"/>
      <w:pPr>
        <w:ind w:left="6503" w:hanging="897"/>
      </w:pPr>
      <w:rPr>
        <w:rFonts w:hint="default"/>
        <w:lang w:val="en-US" w:eastAsia="en-US" w:bidi="ar-SA"/>
      </w:rPr>
    </w:lvl>
    <w:lvl w:ilvl="8">
      <w:start w:val="0"/>
      <w:numFmt w:val="bullet"/>
      <w:lvlText w:val="•"/>
      <w:lvlJc w:val="left"/>
      <w:pPr>
        <w:ind w:left="7504" w:hanging="897"/>
      </w:pPr>
      <w:rPr>
        <w:rFonts w:hint="default"/>
        <w:lang w:val="en-US" w:eastAsia="en-US" w:bidi="ar-SA"/>
      </w:rPr>
    </w:lvl>
  </w:abstractNum>
  <w:abstractNum w:abstractNumId="22">
    <w:multiLevelType w:val="hybridMultilevel"/>
    <w:lvl w:ilvl="0">
      <w:start w:val="5"/>
      <w:numFmt w:val="decimal"/>
      <w:lvlText w:val="%1"/>
      <w:lvlJc w:val="left"/>
      <w:pPr>
        <w:ind w:left="1385" w:hanging="775"/>
        <w:jc w:val="left"/>
      </w:pPr>
      <w:rPr>
        <w:rFonts w:hint="default"/>
        <w:lang w:val="en-US" w:eastAsia="en-US" w:bidi="ar-SA"/>
      </w:rPr>
    </w:lvl>
    <w:lvl w:ilvl="1">
      <w:start w:val="1"/>
      <w:numFmt w:val="decimal"/>
      <w:lvlText w:val="%1.%2"/>
      <w:lvlJc w:val="left"/>
      <w:pPr>
        <w:ind w:left="1385" w:hanging="775"/>
        <w:jc w:val="left"/>
      </w:pPr>
      <w:rPr>
        <w:rFonts w:hint="default" w:ascii="Times New Roman" w:hAnsi="Times New Roman" w:eastAsia="Times New Roman" w:cs="Times New Roman"/>
        <w:b/>
        <w:bCs/>
        <w:i w:val="0"/>
        <w:iCs w:val="0"/>
        <w:w w:val="101"/>
        <w:sz w:val="34"/>
        <w:szCs w:val="34"/>
        <w:lang w:val="en-US" w:eastAsia="en-US" w:bidi="ar-SA"/>
      </w:rPr>
    </w:lvl>
    <w:lvl w:ilvl="2">
      <w:start w:val="1"/>
      <w:numFmt w:val="decimal"/>
      <w:lvlText w:val="%1.%2.%3"/>
      <w:lvlJc w:val="left"/>
      <w:pPr>
        <w:ind w:left="1471" w:hanging="861"/>
        <w:jc w:val="left"/>
      </w:pPr>
      <w:rPr>
        <w:rFonts w:hint="default" w:ascii="Times New Roman" w:hAnsi="Times New Roman" w:eastAsia="Times New Roman" w:cs="Times New Roman"/>
        <w:b/>
        <w:bCs/>
        <w:i w:val="0"/>
        <w:iCs w:val="0"/>
        <w:w w:val="102"/>
        <w:sz w:val="28"/>
        <w:szCs w:val="28"/>
        <w:lang w:val="en-US" w:eastAsia="en-US" w:bidi="ar-SA"/>
      </w:rPr>
    </w:lvl>
    <w:lvl w:ilvl="3">
      <w:start w:val="1"/>
      <w:numFmt w:val="decimal"/>
      <w:lvlText w:val="%1.%2.%3.%4"/>
      <w:lvlJc w:val="left"/>
      <w:pPr>
        <w:ind w:left="1507" w:hanging="897"/>
        <w:jc w:val="left"/>
      </w:pPr>
      <w:rPr>
        <w:rFonts w:hint="default" w:ascii="Times New Roman" w:hAnsi="Times New Roman" w:eastAsia="Times New Roman" w:cs="Times New Roman"/>
        <w:b/>
        <w:bCs/>
        <w:i w:val="0"/>
        <w:iCs w:val="0"/>
        <w:w w:val="99"/>
        <w:sz w:val="24"/>
        <w:szCs w:val="24"/>
        <w:lang w:val="en-US" w:eastAsia="en-US" w:bidi="ar-SA"/>
      </w:rPr>
    </w:lvl>
    <w:lvl w:ilvl="4">
      <w:start w:val="0"/>
      <w:numFmt w:val="bullet"/>
      <w:lvlText w:val="•"/>
      <w:lvlJc w:val="left"/>
      <w:pPr>
        <w:ind w:left="3501" w:hanging="897"/>
      </w:pPr>
      <w:rPr>
        <w:rFonts w:hint="default"/>
        <w:lang w:val="en-US" w:eastAsia="en-US" w:bidi="ar-SA"/>
      </w:rPr>
    </w:lvl>
    <w:lvl w:ilvl="5">
      <w:start w:val="0"/>
      <w:numFmt w:val="bullet"/>
      <w:lvlText w:val="•"/>
      <w:lvlJc w:val="left"/>
      <w:pPr>
        <w:ind w:left="4502" w:hanging="897"/>
      </w:pPr>
      <w:rPr>
        <w:rFonts w:hint="default"/>
        <w:lang w:val="en-US" w:eastAsia="en-US" w:bidi="ar-SA"/>
      </w:rPr>
    </w:lvl>
    <w:lvl w:ilvl="6">
      <w:start w:val="0"/>
      <w:numFmt w:val="bullet"/>
      <w:lvlText w:val="•"/>
      <w:lvlJc w:val="left"/>
      <w:pPr>
        <w:ind w:left="5502" w:hanging="897"/>
      </w:pPr>
      <w:rPr>
        <w:rFonts w:hint="default"/>
        <w:lang w:val="en-US" w:eastAsia="en-US" w:bidi="ar-SA"/>
      </w:rPr>
    </w:lvl>
    <w:lvl w:ilvl="7">
      <w:start w:val="0"/>
      <w:numFmt w:val="bullet"/>
      <w:lvlText w:val="•"/>
      <w:lvlJc w:val="left"/>
      <w:pPr>
        <w:ind w:left="6503" w:hanging="897"/>
      </w:pPr>
      <w:rPr>
        <w:rFonts w:hint="default"/>
        <w:lang w:val="en-US" w:eastAsia="en-US" w:bidi="ar-SA"/>
      </w:rPr>
    </w:lvl>
    <w:lvl w:ilvl="8">
      <w:start w:val="0"/>
      <w:numFmt w:val="bullet"/>
      <w:lvlText w:val="•"/>
      <w:lvlJc w:val="left"/>
      <w:pPr>
        <w:ind w:left="7504" w:hanging="897"/>
      </w:pPr>
      <w:rPr>
        <w:rFonts w:hint="default"/>
        <w:lang w:val="en-US" w:eastAsia="en-US" w:bidi="ar-SA"/>
      </w:rPr>
    </w:lvl>
  </w:abstractNum>
  <w:abstractNum w:abstractNumId="21">
    <w:multiLevelType w:val="hybridMultilevel"/>
    <w:lvl w:ilvl="0">
      <w:start w:val="0"/>
      <w:numFmt w:val="bullet"/>
      <w:lvlText w:val="•"/>
      <w:lvlJc w:val="left"/>
      <w:pPr>
        <w:ind w:left="1195" w:hanging="201"/>
      </w:pPr>
      <w:rPr>
        <w:rFonts w:hint="default" w:ascii="Times New Roman" w:hAnsi="Times New Roman" w:eastAsia="Times New Roman" w:cs="Times New Roman"/>
        <w:b w:val="0"/>
        <w:bCs w:val="0"/>
        <w:i w:val="0"/>
        <w:iCs w:val="0"/>
        <w:w w:val="99"/>
        <w:sz w:val="24"/>
        <w:szCs w:val="24"/>
        <w:lang w:val="en-US" w:eastAsia="en-US" w:bidi="ar-SA"/>
      </w:rPr>
    </w:lvl>
    <w:lvl w:ilvl="1">
      <w:start w:val="0"/>
      <w:numFmt w:val="bullet"/>
      <w:lvlText w:val="•"/>
      <w:lvlJc w:val="left"/>
      <w:pPr>
        <w:ind w:left="2030" w:hanging="201"/>
      </w:pPr>
      <w:rPr>
        <w:rFonts w:hint="default"/>
        <w:lang w:val="en-US" w:eastAsia="en-US" w:bidi="ar-SA"/>
      </w:rPr>
    </w:lvl>
    <w:lvl w:ilvl="2">
      <w:start w:val="0"/>
      <w:numFmt w:val="bullet"/>
      <w:lvlText w:val="•"/>
      <w:lvlJc w:val="left"/>
      <w:pPr>
        <w:ind w:left="2861" w:hanging="201"/>
      </w:pPr>
      <w:rPr>
        <w:rFonts w:hint="default"/>
        <w:lang w:val="en-US" w:eastAsia="en-US" w:bidi="ar-SA"/>
      </w:rPr>
    </w:lvl>
    <w:lvl w:ilvl="3">
      <w:start w:val="0"/>
      <w:numFmt w:val="bullet"/>
      <w:lvlText w:val="•"/>
      <w:lvlJc w:val="left"/>
      <w:pPr>
        <w:ind w:left="3691" w:hanging="201"/>
      </w:pPr>
      <w:rPr>
        <w:rFonts w:hint="default"/>
        <w:lang w:val="en-US" w:eastAsia="en-US" w:bidi="ar-SA"/>
      </w:rPr>
    </w:lvl>
    <w:lvl w:ilvl="4">
      <w:start w:val="0"/>
      <w:numFmt w:val="bullet"/>
      <w:lvlText w:val="•"/>
      <w:lvlJc w:val="left"/>
      <w:pPr>
        <w:ind w:left="4522" w:hanging="201"/>
      </w:pPr>
      <w:rPr>
        <w:rFonts w:hint="default"/>
        <w:lang w:val="en-US" w:eastAsia="en-US" w:bidi="ar-SA"/>
      </w:rPr>
    </w:lvl>
    <w:lvl w:ilvl="5">
      <w:start w:val="0"/>
      <w:numFmt w:val="bullet"/>
      <w:lvlText w:val="•"/>
      <w:lvlJc w:val="left"/>
      <w:pPr>
        <w:ind w:left="5352" w:hanging="201"/>
      </w:pPr>
      <w:rPr>
        <w:rFonts w:hint="default"/>
        <w:lang w:val="en-US" w:eastAsia="en-US" w:bidi="ar-SA"/>
      </w:rPr>
    </w:lvl>
    <w:lvl w:ilvl="6">
      <w:start w:val="0"/>
      <w:numFmt w:val="bullet"/>
      <w:lvlText w:val="•"/>
      <w:lvlJc w:val="left"/>
      <w:pPr>
        <w:ind w:left="6183" w:hanging="201"/>
      </w:pPr>
      <w:rPr>
        <w:rFonts w:hint="default"/>
        <w:lang w:val="en-US" w:eastAsia="en-US" w:bidi="ar-SA"/>
      </w:rPr>
    </w:lvl>
    <w:lvl w:ilvl="7">
      <w:start w:val="0"/>
      <w:numFmt w:val="bullet"/>
      <w:lvlText w:val="•"/>
      <w:lvlJc w:val="left"/>
      <w:pPr>
        <w:ind w:left="7013" w:hanging="201"/>
      </w:pPr>
      <w:rPr>
        <w:rFonts w:hint="default"/>
        <w:lang w:val="en-US" w:eastAsia="en-US" w:bidi="ar-SA"/>
      </w:rPr>
    </w:lvl>
    <w:lvl w:ilvl="8">
      <w:start w:val="0"/>
      <w:numFmt w:val="bullet"/>
      <w:lvlText w:val="•"/>
      <w:lvlJc w:val="left"/>
      <w:pPr>
        <w:ind w:left="7844" w:hanging="201"/>
      </w:pPr>
      <w:rPr>
        <w:rFonts w:hint="default"/>
        <w:lang w:val="en-US" w:eastAsia="en-US" w:bidi="ar-SA"/>
      </w:rPr>
    </w:lvl>
  </w:abstractNum>
  <w:abstractNum w:abstractNumId="20">
    <w:multiLevelType w:val="hybridMultilevel"/>
    <w:lvl w:ilvl="0">
      <w:start w:val="4"/>
      <w:numFmt w:val="decimal"/>
      <w:lvlText w:val="%1"/>
      <w:lvlJc w:val="left"/>
      <w:pPr>
        <w:ind w:left="1385" w:hanging="775"/>
        <w:jc w:val="left"/>
      </w:pPr>
      <w:rPr>
        <w:rFonts w:hint="default"/>
        <w:lang w:val="en-US" w:eastAsia="en-US" w:bidi="ar-SA"/>
      </w:rPr>
    </w:lvl>
    <w:lvl w:ilvl="1">
      <w:start w:val="1"/>
      <w:numFmt w:val="decimal"/>
      <w:lvlText w:val="%1.%2"/>
      <w:lvlJc w:val="left"/>
      <w:pPr>
        <w:ind w:left="1385" w:hanging="775"/>
        <w:jc w:val="left"/>
      </w:pPr>
      <w:rPr>
        <w:rFonts w:hint="default" w:ascii="Times New Roman" w:hAnsi="Times New Roman" w:eastAsia="Times New Roman" w:cs="Times New Roman"/>
        <w:b/>
        <w:bCs/>
        <w:i w:val="0"/>
        <w:iCs w:val="0"/>
        <w:w w:val="101"/>
        <w:sz w:val="34"/>
        <w:szCs w:val="34"/>
        <w:lang w:val="en-US" w:eastAsia="en-US" w:bidi="ar-SA"/>
      </w:rPr>
    </w:lvl>
    <w:lvl w:ilvl="2">
      <w:start w:val="1"/>
      <w:numFmt w:val="decimal"/>
      <w:lvlText w:val="%1.%2.%3"/>
      <w:lvlJc w:val="left"/>
      <w:pPr>
        <w:ind w:left="1471" w:hanging="861"/>
        <w:jc w:val="left"/>
      </w:pPr>
      <w:rPr>
        <w:rFonts w:hint="default" w:ascii="Times New Roman" w:hAnsi="Times New Roman" w:eastAsia="Times New Roman" w:cs="Times New Roman"/>
        <w:b/>
        <w:bCs/>
        <w:i w:val="0"/>
        <w:iCs w:val="0"/>
        <w:w w:val="102"/>
        <w:sz w:val="28"/>
        <w:szCs w:val="28"/>
        <w:lang w:val="en-US" w:eastAsia="en-US" w:bidi="ar-SA"/>
      </w:rPr>
    </w:lvl>
    <w:lvl w:ilvl="3">
      <w:start w:val="1"/>
      <w:numFmt w:val="decimal"/>
      <w:lvlText w:val="%1.%2.%3.%4"/>
      <w:lvlJc w:val="left"/>
      <w:pPr>
        <w:ind w:left="1507" w:hanging="897"/>
        <w:jc w:val="left"/>
      </w:pPr>
      <w:rPr>
        <w:rFonts w:hint="default" w:ascii="Times New Roman" w:hAnsi="Times New Roman" w:eastAsia="Times New Roman" w:cs="Times New Roman"/>
        <w:b/>
        <w:bCs/>
        <w:i w:val="0"/>
        <w:iCs w:val="0"/>
        <w:w w:val="99"/>
        <w:sz w:val="24"/>
        <w:szCs w:val="24"/>
        <w:lang w:val="en-US" w:eastAsia="en-US" w:bidi="ar-SA"/>
      </w:rPr>
    </w:lvl>
    <w:lvl w:ilvl="4">
      <w:start w:val="0"/>
      <w:numFmt w:val="bullet"/>
      <w:lvlText w:val="•"/>
      <w:lvlJc w:val="left"/>
      <w:pPr>
        <w:ind w:left="3501" w:hanging="897"/>
      </w:pPr>
      <w:rPr>
        <w:rFonts w:hint="default"/>
        <w:lang w:val="en-US" w:eastAsia="en-US" w:bidi="ar-SA"/>
      </w:rPr>
    </w:lvl>
    <w:lvl w:ilvl="5">
      <w:start w:val="0"/>
      <w:numFmt w:val="bullet"/>
      <w:lvlText w:val="•"/>
      <w:lvlJc w:val="left"/>
      <w:pPr>
        <w:ind w:left="4502" w:hanging="897"/>
      </w:pPr>
      <w:rPr>
        <w:rFonts w:hint="default"/>
        <w:lang w:val="en-US" w:eastAsia="en-US" w:bidi="ar-SA"/>
      </w:rPr>
    </w:lvl>
    <w:lvl w:ilvl="6">
      <w:start w:val="0"/>
      <w:numFmt w:val="bullet"/>
      <w:lvlText w:val="•"/>
      <w:lvlJc w:val="left"/>
      <w:pPr>
        <w:ind w:left="5502" w:hanging="897"/>
      </w:pPr>
      <w:rPr>
        <w:rFonts w:hint="default"/>
        <w:lang w:val="en-US" w:eastAsia="en-US" w:bidi="ar-SA"/>
      </w:rPr>
    </w:lvl>
    <w:lvl w:ilvl="7">
      <w:start w:val="0"/>
      <w:numFmt w:val="bullet"/>
      <w:lvlText w:val="•"/>
      <w:lvlJc w:val="left"/>
      <w:pPr>
        <w:ind w:left="6503" w:hanging="897"/>
      </w:pPr>
      <w:rPr>
        <w:rFonts w:hint="default"/>
        <w:lang w:val="en-US" w:eastAsia="en-US" w:bidi="ar-SA"/>
      </w:rPr>
    </w:lvl>
    <w:lvl w:ilvl="8">
      <w:start w:val="0"/>
      <w:numFmt w:val="bullet"/>
      <w:lvlText w:val="•"/>
      <w:lvlJc w:val="left"/>
      <w:pPr>
        <w:ind w:left="7504" w:hanging="897"/>
      </w:pPr>
      <w:rPr>
        <w:rFonts w:hint="default"/>
        <w:lang w:val="en-US" w:eastAsia="en-US" w:bidi="ar-SA"/>
      </w:rPr>
    </w:lvl>
  </w:abstractNum>
  <w:abstractNum w:abstractNumId="19">
    <w:multiLevelType w:val="hybridMultilevel"/>
    <w:lvl w:ilvl="0">
      <w:start w:val="3"/>
      <w:numFmt w:val="decimal"/>
      <w:lvlText w:val="%1"/>
      <w:lvlJc w:val="left"/>
      <w:pPr>
        <w:ind w:left="378" w:hanging="359"/>
        <w:jc w:val="left"/>
      </w:pPr>
      <w:rPr>
        <w:rFonts w:hint="default"/>
        <w:lang w:val="en-US" w:eastAsia="en-US" w:bidi="ar-SA"/>
      </w:rPr>
    </w:lvl>
    <w:lvl w:ilvl="1">
      <w:start w:val="3"/>
      <w:numFmt w:val="decimal"/>
      <w:lvlText w:val="%1.%2"/>
      <w:lvlJc w:val="left"/>
      <w:pPr>
        <w:ind w:left="378" w:hanging="359"/>
        <w:jc w:val="left"/>
      </w:pPr>
      <w:rPr>
        <w:rFonts w:hint="default" w:ascii="Times New Roman" w:hAnsi="Times New Roman" w:eastAsia="Times New Roman" w:cs="Times New Roman"/>
        <w:b/>
        <w:bCs/>
        <w:i w:val="0"/>
        <w:iCs w:val="0"/>
        <w:w w:val="99"/>
        <w:sz w:val="24"/>
        <w:szCs w:val="24"/>
        <w:lang w:val="en-US" w:eastAsia="en-US" w:bidi="ar-SA"/>
      </w:rPr>
    </w:lvl>
    <w:lvl w:ilvl="2">
      <w:start w:val="0"/>
      <w:numFmt w:val="bullet"/>
      <w:lvlText w:val="•"/>
      <w:lvlJc w:val="left"/>
      <w:pPr>
        <w:ind w:left="532" w:hanging="359"/>
      </w:pPr>
      <w:rPr>
        <w:rFonts w:hint="default"/>
        <w:lang w:val="en-US" w:eastAsia="en-US" w:bidi="ar-SA"/>
      </w:rPr>
    </w:lvl>
    <w:lvl w:ilvl="3">
      <w:start w:val="0"/>
      <w:numFmt w:val="bullet"/>
      <w:lvlText w:val="•"/>
      <w:lvlJc w:val="left"/>
      <w:pPr>
        <w:ind w:left="608" w:hanging="359"/>
      </w:pPr>
      <w:rPr>
        <w:rFonts w:hint="default"/>
        <w:lang w:val="en-US" w:eastAsia="en-US" w:bidi="ar-SA"/>
      </w:rPr>
    </w:lvl>
    <w:lvl w:ilvl="4">
      <w:start w:val="0"/>
      <w:numFmt w:val="bullet"/>
      <w:lvlText w:val="•"/>
      <w:lvlJc w:val="left"/>
      <w:pPr>
        <w:ind w:left="685" w:hanging="359"/>
      </w:pPr>
      <w:rPr>
        <w:rFonts w:hint="default"/>
        <w:lang w:val="en-US" w:eastAsia="en-US" w:bidi="ar-SA"/>
      </w:rPr>
    </w:lvl>
    <w:lvl w:ilvl="5">
      <w:start w:val="0"/>
      <w:numFmt w:val="bullet"/>
      <w:lvlText w:val="•"/>
      <w:lvlJc w:val="left"/>
      <w:pPr>
        <w:ind w:left="761" w:hanging="359"/>
      </w:pPr>
      <w:rPr>
        <w:rFonts w:hint="default"/>
        <w:lang w:val="en-US" w:eastAsia="en-US" w:bidi="ar-SA"/>
      </w:rPr>
    </w:lvl>
    <w:lvl w:ilvl="6">
      <w:start w:val="0"/>
      <w:numFmt w:val="bullet"/>
      <w:lvlText w:val="•"/>
      <w:lvlJc w:val="left"/>
      <w:pPr>
        <w:ind w:left="837" w:hanging="359"/>
      </w:pPr>
      <w:rPr>
        <w:rFonts w:hint="default"/>
        <w:lang w:val="en-US" w:eastAsia="en-US" w:bidi="ar-SA"/>
      </w:rPr>
    </w:lvl>
    <w:lvl w:ilvl="7">
      <w:start w:val="0"/>
      <w:numFmt w:val="bullet"/>
      <w:lvlText w:val="•"/>
      <w:lvlJc w:val="left"/>
      <w:pPr>
        <w:ind w:left="913" w:hanging="359"/>
      </w:pPr>
      <w:rPr>
        <w:rFonts w:hint="default"/>
        <w:lang w:val="en-US" w:eastAsia="en-US" w:bidi="ar-SA"/>
      </w:rPr>
    </w:lvl>
    <w:lvl w:ilvl="8">
      <w:start w:val="0"/>
      <w:numFmt w:val="bullet"/>
      <w:lvlText w:val="•"/>
      <w:lvlJc w:val="left"/>
      <w:pPr>
        <w:ind w:left="990" w:hanging="359"/>
      </w:pPr>
      <w:rPr>
        <w:rFonts w:hint="default"/>
        <w:lang w:val="en-US" w:eastAsia="en-US" w:bidi="ar-SA"/>
      </w:rPr>
    </w:lvl>
  </w:abstractNum>
  <w:abstractNum w:abstractNumId="18">
    <w:multiLevelType w:val="hybridMultilevel"/>
    <w:lvl w:ilvl="0">
      <w:start w:val="0"/>
      <w:numFmt w:val="bullet"/>
      <w:lvlText w:val="•"/>
      <w:lvlJc w:val="left"/>
      <w:pPr>
        <w:ind w:left="1195" w:hanging="201"/>
      </w:pPr>
      <w:rPr>
        <w:rFonts w:hint="default" w:ascii="Times New Roman" w:hAnsi="Times New Roman" w:eastAsia="Times New Roman" w:cs="Times New Roman"/>
        <w:b w:val="0"/>
        <w:bCs w:val="0"/>
        <w:i w:val="0"/>
        <w:iCs w:val="0"/>
        <w:w w:val="99"/>
        <w:sz w:val="24"/>
        <w:szCs w:val="24"/>
        <w:lang w:val="en-US" w:eastAsia="en-US" w:bidi="ar-SA"/>
      </w:rPr>
    </w:lvl>
    <w:lvl w:ilvl="1">
      <w:start w:val="0"/>
      <w:numFmt w:val="bullet"/>
      <w:lvlText w:val="•"/>
      <w:lvlJc w:val="left"/>
      <w:pPr>
        <w:ind w:left="2030" w:hanging="201"/>
      </w:pPr>
      <w:rPr>
        <w:rFonts w:hint="default"/>
        <w:lang w:val="en-US" w:eastAsia="en-US" w:bidi="ar-SA"/>
      </w:rPr>
    </w:lvl>
    <w:lvl w:ilvl="2">
      <w:start w:val="0"/>
      <w:numFmt w:val="bullet"/>
      <w:lvlText w:val="•"/>
      <w:lvlJc w:val="left"/>
      <w:pPr>
        <w:ind w:left="2861" w:hanging="201"/>
      </w:pPr>
      <w:rPr>
        <w:rFonts w:hint="default"/>
        <w:lang w:val="en-US" w:eastAsia="en-US" w:bidi="ar-SA"/>
      </w:rPr>
    </w:lvl>
    <w:lvl w:ilvl="3">
      <w:start w:val="0"/>
      <w:numFmt w:val="bullet"/>
      <w:lvlText w:val="•"/>
      <w:lvlJc w:val="left"/>
      <w:pPr>
        <w:ind w:left="3691" w:hanging="201"/>
      </w:pPr>
      <w:rPr>
        <w:rFonts w:hint="default"/>
        <w:lang w:val="en-US" w:eastAsia="en-US" w:bidi="ar-SA"/>
      </w:rPr>
    </w:lvl>
    <w:lvl w:ilvl="4">
      <w:start w:val="0"/>
      <w:numFmt w:val="bullet"/>
      <w:lvlText w:val="•"/>
      <w:lvlJc w:val="left"/>
      <w:pPr>
        <w:ind w:left="4522" w:hanging="201"/>
      </w:pPr>
      <w:rPr>
        <w:rFonts w:hint="default"/>
        <w:lang w:val="en-US" w:eastAsia="en-US" w:bidi="ar-SA"/>
      </w:rPr>
    </w:lvl>
    <w:lvl w:ilvl="5">
      <w:start w:val="0"/>
      <w:numFmt w:val="bullet"/>
      <w:lvlText w:val="•"/>
      <w:lvlJc w:val="left"/>
      <w:pPr>
        <w:ind w:left="5352" w:hanging="201"/>
      </w:pPr>
      <w:rPr>
        <w:rFonts w:hint="default"/>
        <w:lang w:val="en-US" w:eastAsia="en-US" w:bidi="ar-SA"/>
      </w:rPr>
    </w:lvl>
    <w:lvl w:ilvl="6">
      <w:start w:val="0"/>
      <w:numFmt w:val="bullet"/>
      <w:lvlText w:val="•"/>
      <w:lvlJc w:val="left"/>
      <w:pPr>
        <w:ind w:left="6183" w:hanging="201"/>
      </w:pPr>
      <w:rPr>
        <w:rFonts w:hint="default"/>
        <w:lang w:val="en-US" w:eastAsia="en-US" w:bidi="ar-SA"/>
      </w:rPr>
    </w:lvl>
    <w:lvl w:ilvl="7">
      <w:start w:val="0"/>
      <w:numFmt w:val="bullet"/>
      <w:lvlText w:val="•"/>
      <w:lvlJc w:val="left"/>
      <w:pPr>
        <w:ind w:left="7013" w:hanging="201"/>
      </w:pPr>
      <w:rPr>
        <w:rFonts w:hint="default"/>
        <w:lang w:val="en-US" w:eastAsia="en-US" w:bidi="ar-SA"/>
      </w:rPr>
    </w:lvl>
    <w:lvl w:ilvl="8">
      <w:start w:val="0"/>
      <w:numFmt w:val="bullet"/>
      <w:lvlText w:val="•"/>
      <w:lvlJc w:val="left"/>
      <w:pPr>
        <w:ind w:left="7844" w:hanging="201"/>
      </w:pPr>
      <w:rPr>
        <w:rFonts w:hint="default"/>
        <w:lang w:val="en-US" w:eastAsia="en-US" w:bidi="ar-SA"/>
      </w:rPr>
    </w:lvl>
  </w:abstractNum>
  <w:abstractNum w:abstractNumId="17">
    <w:multiLevelType w:val="hybridMultilevel"/>
    <w:lvl w:ilvl="0">
      <w:start w:val="3"/>
      <w:numFmt w:val="decimal"/>
      <w:lvlText w:val="%1"/>
      <w:lvlJc w:val="left"/>
      <w:pPr>
        <w:ind w:left="1385" w:hanging="775"/>
        <w:jc w:val="left"/>
      </w:pPr>
      <w:rPr>
        <w:rFonts w:hint="default"/>
        <w:lang w:val="en-US" w:eastAsia="en-US" w:bidi="ar-SA"/>
      </w:rPr>
    </w:lvl>
    <w:lvl w:ilvl="1">
      <w:start w:val="1"/>
      <w:numFmt w:val="decimal"/>
      <w:lvlText w:val="%1.%2"/>
      <w:lvlJc w:val="left"/>
      <w:pPr>
        <w:ind w:left="1385" w:hanging="775"/>
        <w:jc w:val="left"/>
      </w:pPr>
      <w:rPr>
        <w:rFonts w:hint="default" w:ascii="Times New Roman" w:hAnsi="Times New Roman" w:eastAsia="Times New Roman" w:cs="Times New Roman"/>
        <w:b/>
        <w:bCs/>
        <w:i w:val="0"/>
        <w:iCs w:val="0"/>
        <w:w w:val="101"/>
        <w:sz w:val="34"/>
        <w:szCs w:val="34"/>
        <w:lang w:val="en-US" w:eastAsia="en-US" w:bidi="ar-SA"/>
      </w:rPr>
    </w:lvl>
    <w:lvl w:ilvl="2">
      <w:start w:val="1"/>
      <w:numFmt w:val="decimal"/>
      <w:lvlText w:val="%1.%2.%3"/>
      <w:lvlJc w:val="left"/>
      <w:pPr>
        <w:ind w:left="1471" w:hanging="861"/>
        <w:jc w:val="left"/>
      </w:pPr>
      <w:rPr>
        <w:rFonts w:hint="default" w:ascii="Times New Roman" w:hAnsi="Times New Roman" w:eastAsia="Times New Roman" w:cs="Times New Roman"/>
        <w:b/>
        <w:bCs/>
        <w:i w:val="0"/>
        <w:iCs w:val="0"/>
        <w:w w:val="102"/>
        <w:sz w:val="28"/>
        <w:szCs w:val="28"/>
        <w:lang w:val="en-US" w:eastAsia="en-US" w:bidi="ar-SA"/>
      </w:rPr>
    </w:lvl>
    <w:lvl w:ilvl="3">
      <w:start w:val="1"/>
      <w:numFmt w:val="decimal"/>
      <w:lvlText w:val="%1.%2.%3.%4"/>
      <w:lvlJc w:val="left"/>
      <w:pPr>
        <w:ind w:left="1507" w:hanging="897"/>
        <w:jc w:val="left"/>
      </w:pPr>
      <w:rPr>
        <w:rFonts w:hint="default" w:ascii="Times New Roman" w:hAnsi="Times New Roman" w:eastAsia="Times New Roman" w:cs="Times New Roman"/>
        <w:b/>
        <w:bCs/>
        <w:i w:val="0"/>
        <w:iCs w:val="0"/>
        <w:w w:val="99"/>
        <w:sz w:val="24"/>
        <w:szCs w:val="24"/>
        <w:lang w:val="en-US" w:eastAsia="en-US" w:bidi="ar-SA"/>
      </w:rPr>
    </w:lvl>
    <w:lvl w:ilvl="4">
      <w:start w:val="0"/>
      <w:numFmt w:val="bullet"/>
      <w:lvlText w:val="•"/>
      <w:lvlJc w:val="left"/>
      <w:pPr>
        <w:ind w:left="3501" w:hanging="897"/>
      </w:pPr>
      <w:rPr>
        <w:rFonts w:hint="default"/>
        <w:lang w:val="en-US" w:eastAsia="en-US" w:bidi="ar-SA"/>
      </w:rPr>
    </w:lvl>
    <w:lvl w:ilvl="5">
      <w:start w:val="0"/>
      <w:numFmt w:val="bullet"/>
      <w:lvlText w:val="•"/>
      <w:lvlJc w:val="left"/>
      <w:pPr>
        <w:ind w:left="4502" w:hanging="897"/>
      </w:pPr>
      <w:rPr>
        <w:rFonts w:hint="default"/>
        <w:lang w:val="en-US" w:eastAsia="en-US" w:bidi="ar-SA"/>
      </w:rPr>
    </w:lvl>
    <w:lvl w:ilvl="6">
      <w:start w:val="0"/>
      <w:numFmt w:val="bullet"/>
      <w:lvlText w:val="•"/>
      <w:lvlJc w:val="left"/>
      <w:pPr>
        <w:ind w:left="5502" w:hanging="897"/>
      </w:pPr>
      <w:rPr>
        <w:rFonts w:hint="default"/>
        <w:lang w:val="en-US" w:eastAsia="en-US" w:bidi="ar-SA"/>
      </w:rPr>
    </w:lvl>
    <w:lvl w:ilvl="7">
      <w:start w:val="0"/>
      <w:numFmt w:val="bullet"/>
      <w:lvlText w:val="•"/>
      <w:lvlJc w:val="left"/>
      <w:pPr>
        <w:ind w:left="6503" w:hanging="897"/>
      </w:pPr>
      <w:rPr>
        <w:rFonts w:hint="default"/>
        <w:lang w:val="en-US" w:eastAsia="en-US" w:bidi="ar-SA"/>
      </w:rPr>
    </w:lvl>
    <w:lvl w:ilvl="8">
      <w:start w:val="0"/>
      <w:numFmt w:val="bullet"/>
      <w:lvlText w:val="•"/>
      <w:lvlJc w:val="left"/>
      <w:pPr>
        <w:ind w:left="7504" w:hanging="897"/>
      </w:pPr>
      <w:rPr>
        <w:rFonts w:hint="default"/>
        <w:lang w:val="en-US" w:eastAsia="en-US" w:bidi="ar-SA"/>
      </w:rPr>
    </w:lvl>
  </w:abstractNum>
  <w:abstractNum w:abstractNumId="16">
    <w:multiLevelType w:val="hybridMultilevel"/>
    <w:lvl w:ilvl="0">
      <w:start w:val="2"/>
      <w:numFmt w:val="decimal"/>
      <w:lvlText w:val="%1"/>
      <w:lvlJc w:val="left"/>
      <w:pPr>
        <w:ind w:left="1385" w:hanging="775"/>
        <w:jc w:val="left"/>
      </w:pPr>
      <w:rPr>
        <w:rFonts w:hint="default"/>
        <w:lang w:val="en-US" w:eastAsia="en-US" w:bidi="ar-SA"/>
      </w:rPr>
    </w:lvl>
    <w:lvl w:ilvl="1">
      <w:start w:val="1"/>
      <w:numFmt w:val="decimal"/>
      <w:lvlText w:val="%1.%2"/>
      <w:lvlJc w:val="left"/>
      <w:pPr>
        <w:ind w:left="1385" w:hanging="775"/>
        <w:jc w:val="left"/>
      </w:pPr>
      <w:rPr>
        <w:rFonts w:hint="default" w:ascii="Times New Roman" w:hAnsi="Times New Roman" w:eastAsia="Times New Roman" w:cs="Times New Roman"/>
        <w:b/>
        <w:bCs/>
        <w:i w:val="0"/>
        <w:iCs w:val="0"/>
        <w:w w:val="101"/>
        <w:sz w:val="34"/>
        <w:szCs w:val="34"/>
        <w:lang w:val="en-US" w:eastAsia="en-US" w:bidi="ar-SA"/>
      </w:rPr>
    </w:lvl>
    <w:lvl w:ilvl="2">
      <w:start w:val="1"/>
      <w:numFmt w:val="decimal"/>
      <w:lvlText w:val="%1.%2.%3"/>
      <w:lvlJc w:val="left"/>
      <w:pPr>
        <w:ind w:left="1471" w:hanging="861"/>
        <w:jc w:val="left"/>
      </w:pPr>
      <w:rPr>
        <w:rFonts w:hint="default" w:ascii="Times New Roman" w:hAnsi="Times New Roman" w:eastAsia="Times New Roman" w:cs="Times New Roman"/>
        <w:b/>
        <w:bCs/>
        <w:i w:val="0"/>
        <w:iCs w:val="0"/>
        <w:w w:val="102"/>
        <w:sz w:val="28"/>
        <w:szCs w:val="28"/>
        <w:lang w:val="en-US" w:eastAsia="en-US" w:bidi="ar-SA"/>
      </w:rPr>
    </w:lvl>
    <w:lvl w:ilvl="3">
      <w:start w:val="1"/>
      <w:numFmt w:val="decimal"/>
      <w:lvlText w:val="%1.%2.%3.%4"/>
      <w:lvlJc w:val="left"/>
      <w:pPr>
        <w:ind w:left="1507" w:hanging="897"/>
        <w:jc w:val="left"/>
      </w:pPr>
      <w:rPr>
        <w:rFonts w:hint="default" w:ascii="Times New Roman" w:hAnsi="Times New Roman" w:eastAsia="Times New Roman" w:cs="Times New Roman"/>
        <w:b/>
        <w:bCs/>
        <w:i w:val="0"/>
        <w:iCs w:val="0"/>
        <w:w w:val="99"/>
        <w:sz w:val="24"/>
        <w:szCs w:val="24"/>
        <w:lang w:val="en-US" w:eastAsia="en-US" w:bidi="ar-SA"/>
      </w:rPr>
    </w:lvl>
    <w:lvl w:ilvl="4">
      <w:start w:val="0"/>
      <w:numFmt w:val="bullet"/>
      <w:lvlText w:val="•"/>
      <w:lvlJc w:val="left"/>
      <w:pPr>
        <w:ind w:left="3501" w:hanging="897"/>
      </w:pPr>
      <w:rPr>
        <w:rFonts w:hint="default"/>
        <w:lang w:val="en-US" w:eastAsia="en-US" w:bidi="ar-SA"/>
      </w:rPr>
    </w:lvl>
    <w:lvl w:ilvl="5">
      <w:start w:val="0"/>
      <w:numFmt w:val="bullet"/>
      <w:lvlText w:val="•"/>
      <w:lvlJc w:val="left"/>
      <w:pPr>
        <w:ind w:left="4502" w:hanging="897"/>
      </w:pPr>
      <w:rPr>
        <w:rFonts w:hint="default"/>
        <w:lang w:val="en-US" w:eastAsia="en-US" w:bidi="ar-SA"/>
      </w:rPr>
    </w:lvl>
    <w:lvl w:ilvl="6">
      <w:start w:val="0"/>
      <w:numFmt w:val="bullet"/>
      <w:lvlText w:val="•"/>
      <w:lvlJc w:val="left"/>
      <w:pPr>
        <w:ind w:left="5502" w:hanging="897"/>
      </w:pPr>
      <w:rPr>
        <w:rFonts w:hint="default"/>
        <w:lang w:val="en-US" w:eastAsia="en-US" w:bidi="ar-SA"/>
      </w:rPr>
    </w:lvl>
    <w:lvl w:ilvl="7">
      <w:start w:val="0"/>
      <w:numFmt w:val="bullet"/>
      <w:lvlText w:val="•"/>
      <w:lvlJc w:val="left"/>
      <w:pPr>
        <w:ind w:left="6503" w:hanging="897"/>
      </w:pPr>
      <w:rPr>
        <w:rFonts w:hint="default"/>
        <w:lang w:val="en-US" w:eastAsia="en-US" w:bidi="ar-SA"/>
      </w:rPr>
    </w:lvl>
    <w:lvl w:ilvl="8">
      <w:start w:val="0"/>
      <w:numFmt w:val="bullet"/>
      <w:lvlText w:val="•"/>
      <w:lvlJc w:val="left"/>
      <w:pPr>
        <w:ind w:left="7504" w:hanging="897"/>
      </w:pPr>
      <w:rPr>
        <w:rFonts w:hint="default"/>
        <w:lang w:val="en-US" w:eastAsia="en-US" w:bidi="ar-SA"/>
      </w:rPr>
    </w:lvl>
  </w:abstractNum>
  <w:abstractNum w:abstractNumId="15">
    <w:multiLevelType w:val="hybridMultilevel"/>
    <w:lvl w:ilvl="0">
      <w:start w:val="1"/>
      <w:numFmt w:val="decimal"/>
      <w:lvlText w:val="%1"/>
      <w:lvlJc w:val="left"/>
      <w:pPr>
        <w:ind w:left="1385" w:hanging="775"/>
        <w:jc w:val="left"/>
      </w:pPr>
      <w:rPr>
        <w:rFonts w:hint="default"/>
        <w:lang w:val="en-US" w:eastAsia="en-US" w:bidi="ar-SA"/>
      </w:rPr>
    </w:lvl>
    <w:lvl w:ilvl="1">
      <w:start w:val="1"/>
      <w:numFmt w:val="decimal"/>
      <w:lvlText w:val="%1.%2"/>
      <w:lvlJc w:val="left"/>
      <w:pPr>
        <w:ind w:left="1385" w:hanging="775"/>
        <w:jc w:val="left"/>
      </w:pPr>
      <w:rPr>
        <w:rFonts w:hint="default" w:ascii="Times New Roman" w:hAnsi="Times New Roman" w:eastAsia="Times New Roman" w:cs="Times New Roman"/>
        <w:b/>
        <w:bCs/>
        <w:i w:val="0"/>
        <w:iCs w:val="0"/>
        <w:w w:val="101"/>
        <w:sz w:val="34"/>
        <w:szCs w:val="34"/>
        <w:lang w:val="en-US" w:eastAsia="en-US" w:bidi="ar-SA"/>
      </w:rPr>
    </w:lvl>
    <w:lvl w:ilvl="2">
      <w:start w:val="0"/>
      <w:numFmt w:val="bullet"/>
      <w:lvlText w:val="•"/>
      <w:lvlJc w:val="left"/>
      <w:pPr>
        <w:ind w:left="1195" w:hanging="85"/>
      </w:pPr>
      <w:rPr>
        <w:rFonts w:hint="default" w:ascii="Times New Roman" w:hAnsi="Times New Roman" w:eastAsia="Times New Roman" w:cs="Times New Roman"/>
        <w:b w:val="0"/>
        <w:bCs w:val="0"/>
        <w:i w:val="0"/>
        <w:iCs w:val="0"/>
        <w:w w:val="99"/>
        <w:sz w:val="22"/>
        <w:szCs w:val="22"/>
        <w:lang w:val="en-US" w:eastAsia="en-US" w:bidi="ar-SA"/>
      </w:rPr>
    </w:lvl>
    <w:lvl w:ilvl="3">
      <w:start w:val="0"/>
      <w:numFmt w:val="bullet"/>
      <w:lvlText w:val="•"/>
      <w:lvlJc w:val="left"/>
      <w:pPr>
        <w:ind w:left="3185" w:hanging="85"/>
      </w:pPr>
      <w:rPr>
        <w:rFonts w:hint="default"/>
        <w:lang w:val="en-US" w:eastAsia="en-US" w:bidi="ar-SA"/>
      </w:rPr>
    </w:lvl>
    <w:lvl w:ilvl="4">
      <w:start w:val="0"/>
      <w:numFmt w:val="bullet"/>
      <w:lvlText w:val="•"/>
      <w:lvlJc w:val="left"/>
      <w:pPr>
        <w:ind w:left="4088" w:hanging="85"/>
      </w:pPr>
      <w:rPr>
        <w:rFonts w:hint="default"/>
        <w:lang w:val="en-US" w:eastAsia="en-US" w:bidi="ar-SA"/>
      </w:rPr>
    </w:lvl>
    <w:lvl w:ilvl="5">
      <w:start w:val="0"/>
      <w:numFmt w:val="bullet"/>
      <w:lvlText w:val="•"/>
      <w:lvlJc w:val="left"/>
      <w:pPr>
        <w:ind w:left="4991" w:hanging="85"/>
      </w:pPr>
      <w:rPr>
        <w:rFonts w:hint="default"/>
        <w:lang w:val="en-US" w:eastAsia="en-US" w:bidi="ar-SA"/>
      </w:rPr>
    </w:lvl>
    <w:lvl w:ilvl="6">
      <w:start w:val="0"/>
      <w:numFmt w:val="bullet"/>
      <w:lvlText w:val="•"/>
      <w:lvlJc w:val="left"/>
      <w:pPr>
        <w:ind w:left="5894" w:hanging="85"/>
      </w:pPr>
      <w:rPr>
        <w:rFonts w:hint="default"/>
        <w:lang w:val="en-US" w:eastAsia="en-US" w:bidi="ar-SA"/>
      </w:rPr>
    </w:lvl>
    <w:lvl w:ilvl="7">
      <w:start w:val="0"/>
      <w:numFmt w:val="bullet"/>
      <w:lvlText w:val="•"/>
      <w:lvlJc w:val="left"/>
      <w:pPr>
        <w:ind w:left="6797" w:hanging="85"/>
      </w:pPr>
      <w:rPr>
        <w:rFonts w:hint="default"/>
        <w:lang w:val="en-US" w:eastAsia="en-US" w:bidi="ar-SA"/>
      </w:rPr>
    </w:lvl>
    <w:lvl w:ilvl="8">
      <w:start w:val="0"/>
      <w:numFmt w:val="bullet"/>
      <w:lvlText w:val="•"/>
      <w:lvlJc w:val="left"/>
      <w:pPr>
        <w:ind w:left="7699" w:hanging="85"/>
      </w:pPr>
      <w:rPr>
        <w:rFonts w:hint="default"/>
        <w:lang w:val="en-US" w:eastAsia="en-US" w:bidi="ar-SA"/>
      </w:rPr>
    </w:lvl>
  </w:abstractNum>
  <w:abstractNum w:abstractNumId="14">
    <w:multiLevelType w:val="hybridMultilevel"/>
    <w:lvl w:ilvl="0">
      <w:start w:val="1"/>
      <w:numFmt w:val="decimal"/>
      <w:lvlText w:val="%1"/>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1">
      <w:start w:val="0"/>
      <w:numFmt w:val="bullet"/>
      <w:lvlText w:val="•"/>
      <w:lvlJc w:val="left"/>
      <w:pPr>
        <w:ind w:left="2318" w:hanging="550"/>
      </w:pPr>
      <w:rPr>
        <w:rFonts w:hint="default"/>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13">
    <w:multiLevelType w:val="hybridMultilevel"/>
    <w:lvl w:ilvl="0">
      <w:start w:val="6"/>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12">
    <w:multiLevelType w:val="hybridMultilevel"/>
    <w:lvl w:ilvl="0">
      <w:start w:val="5"/>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11">
    <w:multiLevelType w:val="hybridMultilevel"/>
    <w:lvl w:ilvl="0">
      <w:start w:val="4"/>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10">
    <w:multiLevelType w:val="hybridMultilevel"/>
    <w:lvl w:ilvl="0">
      <w:start w:val="3"/>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9">
    <w:multiLevelType w:val="hybridMultilevel"/>
    <w:lvl w:ilvl="0">
      <w:start w:val="2"/>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8">
    <w:multiLevelType w:val="hybridMultilevel"/>
    <w:lvl w:ilvl="0">
      <w:start w:val="1"/>
      <w:numFmt w:val="upperLetter"/>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7">
    <w:multiLevelType w:val="hybridMultilevel"/>
    <w:lvl w:ilvl="0">
      <w:start w:val="6"/>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6">
    <w:multiLevelType w:val="hybridMultilevel"/>
    <w:lvl w:ilvl="0">
      <w:start w:val="5"/>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5">
    <w:multiLevelType w:val="hybridMultilevel"/>
    <w:lvl w:ilvl="0">
      <w:start w:val="4"/>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4">
    <w:multiLevelType w:val="hybridMultilevel"/>
    <w:lvl w:ilvl="0">
      <w:start w:val="3"/>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3">
    <w:multiLevelType w:val="hybridMultilevel"/>
    <w:lvl w:ilvl="0">
      <w:start w:val="2"/>
      <w:numFmt w:val="decimal"/>
      <w:lvlText w:val="%1"/>
      <w:lvlJc w:val="left"/>
      <w:pPr>
        <w:ind w:left="1518" w:hanging="300"/>
        <w:jc w:val="left"/>
      </w:pPr>
      <w:rPr>
        <w:rFonts w:hint="default"/>
        <w:lang w:val="en-US" w:eastAsia="en-US" w:bidi="ar-SA"/>
      </w:rPr>
    </w:lvl>
    <w:lvl w:ilvl="1">
      <w:start w:val="1"/>
      <w:numFmt w:val="decimal"/>
      <w:lvlText w:val="%1.%2"/>
      <w:lvlJc w:val="left"/>
      <w:pPr>
        <w:ind w:left="1518" w:hanging="300"/>
        <w:jc w:val="left"/>
      </w:pPr>
      <w:rPr>
        <w:rFonts w:hint="default" w:ascii="Times New Roman" w:hAnsi="Times New Roman" w:eastAsia="Times New Roman" w:cs="Times New Roman"/>
        <w:b w:val="0"/>
        <w:bCs w:val="0"/>
        <w:i w:val="0"/>
        <w:iCs w:val="0"/>
        <w:w w:val="99"/>
        <w:sz w:val="22"/>
        <w:szCs w:val="22"/>
        <w:lang w:val="en-US" w:eastAsia="en-US" w:bidi="ar-SA"/>
      </w:rPr>
    </w:lvl>
    <w:lvl w:ilvl="2">
      <w:start w:val="0"/>
      <w:numFmt w:val="bullet"/>
      <w:lvlText w:val="•"/>
      <w:lvlJc w:val="left"/>
      <w:pPr>
        <w:ind w:left="3117" w:hanging="300"/>
      </w:pPr>
      <w:rPr>
        <w:rFonts w:hint="default"/>
        <w:lang w:val="en-US" w:eastAsia="en-US" w:bidi="ar-SA"/>
      </w:rPr>
    </w:lvl>
    <w:lvl w:ilvl="3">
      <w:start w:val="0"/>
      <w:numFmt w:val="bullet"/>
      <w:lvlText w:val="•"/>
      <w:lvlJc w:val="left"/>
      <w:pPr>
        <w:ind w:left="3915" w:hanging="300"/>
      </w:pPr>
      <w:rPr>
        <w:rFonts w:hint="default"/>
        <w:lang w:val="en-US" w:eastAsia="en-US" w:bidi="ar-SA"/>
      </w:rPr>
    </w:lvl>
    <w:lvl w:ilvl="4">
      <w:start w:val="0"/>
      <w:numFmt w:val="bullet"/>
      <w:lvlText w:val="•"/>
      <w:lvlJc w:val="left"/>
      <w:pPr>
        <w:ind w:left="4714" w:hanging="300"/>
      </w:pPr>
      <w:rPr>
        <w:rFonts w:hint="default"/>
        <w:lang w:val="en-US" w:eastAsia="en-US" w:bidi="ar-SA"/>
      </w:rPr>
    </w:lvl>
    <w:lvl w:ilvl="5">
      <w:start w:val="0"/>
      <w:numFmt w:val="bullet"/>
      <w:lvlText w:val="•"/>
      <w:lvlJc w:val="left"/>
      <w:pPr>
        <w:ind w:left="5512" w:hanging="300"/>
      </w:pPr>
      <w:rPr>
        <w:rFonts w:hint="default"/>
        <w:lang w:val="en-US" w:eastAsia="en-US" w:bidi="ar-SA"/>
      </w:rPr>
    </w:lvl>
    <w:lvl w:ilvl="6">
      <w:start w:val="0"/>
      <w:numFmt w:val="bullet"/>
      <w:lvlText w:val="•"/>
      <w:lvlJc w:val="left"/>
      <w:pPr>
        <w:ind w:left="6311" w:hanging="300"/>
      </w:pPr>
      <w:rPr>
        <w:rFonts w:hint="default"/>
        <w:lang w:val="en-US" w:eastAsia="en-US" w:bidi="ar-SA"/>
      </w:rPr>
    </w:lvl>
    <w:lvl w:ilvl="7">
      <w:start w:val="0"/>
      <w:numFmt w:val="bullet"/>
      <w:lvlText w:val="•"/>
      <w:lvlJc w:val="left"/>
      <w:pPr>
        <w:ind w:left="7109" w:hanging="300"/>
      </w:pPr>
      <w:rPr>
        <w:rFonts w:hint="default"/>
        <w:lang w:val="en-US" w:eastAsia="en-US" w:bidi="ar-SA"/>
      </w:rPr>
    </w:lvl>
    <w:lvl w:ilvl="8">
      <w:start w:val="0"/>
      <w:numFmt w:val="bullet"/>
      <w:lvlText w:val="•"/>
      <w:lvlJc w:val="left"/>
      <w:pPr>
        <w:ind w:left="7908" w:hanging="300"/>
      </w:pPr>
      <w:rPr>
        <w:rFonts w:hint="default"/>
        <w:lang w:val="en-US" w:eastAsia="en-US" w:bidi="ar-SA"/>
      </w:rPr>
    </w:lvl>
  </w:abstractNum>
  <w:abstractNum w:abstractNumId="2">
    <w:multiLevelType w:val="hybridMultilevel"/>
    <w:lvl w:ilvl="0">
      <w:start w:val="1"/>
      <w:numFmt w:val="decimal"/>
      <w:lvlText w:val="%1"/>
      <w:lvlJc w:val="left"/>
      <w:pPr>
        <w:ind w:left="1518" w:hanging="550"/>
        <w:jc w:val="left"/>
      </w:pPr>
      <w:rPr>
        <w:rFonts w:hint="default"/>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0"/>
      <w:numFmt w:val="bullet"/>
      <w:lvlText w:val="•"/>
      <w:lvlJc w:val="left"/>
      <w:pPr>
        <w:ind w:left="3117" w:hanging="550"/>
      </w:pPr>
      <w:rPr>
        <w:rFonts w:hint="default"/>
        <w:lang w:val="en-US" w:eastAsia="en-US" w:bidi="ar-SA"/>
      </w:rPr>
    </w:lvl>
    <w:lvl w:ilvl="3">
      <w:start w:val="0"/>
      <w:numFmt w:val="bullet"/>
      <w:lvlText w:val="•"/>
      <w:lvlJc w:val="left"/>
      <w:pPr>
        <w:ind w:left="3915" w:hanging="550"/>
      </w:pPr>
      <w:rPr>
        <w:rFonts w:hint="default"/>
        <w:lang w:val="en-US" w:eastAsia="en-US" w:bidi="ar-SA"/>
      </w:rPr>
    </w:lvl>
    <w:lvl w:ilvl="4">
      <w:start w:val="0"/>
      <w:numFmt w:val="bullet"/>
      <w:lvlText w:val="•"/>
      <w:lvlJc w:val="left"/>
      <w:pPr>
        <w:ind w:left="4714" w:hanging="550"/>
      </w:pPr>
      <w:rPr>
        <w:rFonts w:hint="default"/>
        <w:lang w:val="en-US" w:eastAsia="en-US" w:bidi="ar-SA"/>
      </w:rPr>
    </w:lvl>
    <w:lvl w:ilvl="5">
      <w:start w:val="0"/>
      <w:numFmt w:val="bullet"/>
      <w:lvlText w:val="•"/>
      <w:lvlJc w:val="left"/>
      <w:pPr>
        <w:ind w:left="5512" w:hanging="550"/>
      </w:pPr>
      <w:rPr>
        <w:rFonts w:hint="default"/>
        <w:lang w:val="en-US" w:eastAsia="en-US" w:bidi="ar-SA"/>
      </w:rPr>
    </w:lvl>
    <w:lvl w:ilvl="6">
      <w:start w:val="0"/>
      <w:numFmt w:val="bullet"/>
      <w:lvlText w:val="•"/>
      <w:lvlJc w:val="left"/>
      <w:pPr>
        <w:ind w:left="6311" w:hanging="550"/>
      </w:pPr>
      <w:rPr>
        <w:rFonts w:hint="default"/>
        <w:lang w:val="en-US" w:eastAsia="en-US" w:bidi="ar-SA"/>
      </w:rPr>
    </w:lvl>
    <w:lvl w:ilvl="7">
      <w:start w:val="0"/>
      <w:numFmt w:val="bullet"/>
      <w:lvlText w:val="•"/>
      <w:lvlJc w:val="left"/>
      <w:pPr>
        <w:ind w:left="7109" w:hanging="550"/>
      </w:pPr>
      <w:rPr>
        <w:rFonts w:hint="default"/>
        <w:lang w:val="en-US" w:eastAsia="en-US" w:bidi="ar-SA"/>
      </w:rPr>
    </w:lvl>
    <w:lvl w:ilvl="8">
      <w:start w:val="0"/>
      <w:numFmt w:val="bullet"/>
      <w:lvlText w:val="•"/>
      <w:lvlJc w:val="left"/>
      <w:pPr>
        <w:ind w:left="7908" w:hanging="550"/>
      </w:pPr>
      <w:rPr>
        <w:rFonts w:hint="default"/>
        <w:lang w:val="en-US" w:eastAsia="en-US" w:bidi="ar-SA"/>
      </w:rPr>
    </w:lvl>
  </w:abstractNum>
  <w:abstractNum w:abstractNumId="1">
    <w:multiLevelType w:val="hybridMultilevel"/>
    <w:lvl w:ilvl="0">
      <w:start w:val="1"/>
      <w:numFmt w:val="decimal"/>
      <w:lvlText w:val="%1"/>
      <w:lvlJc w:val="left"/>
      <w:pPr>
        <w:ind w:left="969" w:hanging="359"/>
        <w:jc w:val="left"/>
      </w:pPr>
      <w:rPr>
        <w:rFonts w:hint="default" w:ascii="Times New Roman" w:hAnsi="Times New Roman" w:eastAsia="Times New Roman" w:cs="Times New Roman"/>
        <w:b/>
        <w:bCs/>
        <w:i w:val="0"/>
        <w:iCs w:val="0"/>
        <w:w w:val="99"/>
        <w:sz w:val="24"/>
        <w:szCs w:val="24"/>
        <w:lang w:val="en-US" w:eastAsia="en-US" w:bidi="ar-SA"/>
      </w:rPr>
    </w:lvl>
    <w:lvl w:ilvl="1">
      <w:start w:val="1"/>
      <w:numFmt w:val="decimal"/>
      <w:lvlText w:val="%1.%2"/>
      <w:lvlJc w:val="left"/>
      <w:pPr>
        <w:ind w:left="1518" w:hanging="550"/>
        <w:jc w:val="left"/>
      </w:pPr>
      <w:rPr>
        <w:rFonts w:hint="default" w:ascii="Times New Roman" w:hAnsi="Times New Roman" w:eastAsia="Times New Roman" w:cs="Times New Roman"/>
        <w:b w:val="0"/>
        <w:bCs w:val="0"/>
        <w:i w:val="0"/>
        <w:iCs w:val="0"/>
        <w:w w:val="99"/>
        <w:sz w:val="24"/>
        <w:szCs w:val="24"/>
        <w:lang w:val="en-US" w:eastAsia="en-US" w:bidi="ar-SA"/>
      </w:rPr>
    </w:lvl>
    <w:lvl w:ilvl="2">
      <w:start w:val="1"/>
      <w:numFmt w:val="decimal"/>
      <w:lvlText w:val="%1.%2.%3"/>
      <w:lvlJc w:val="left"/>
      <w:pPr>
        <w:ind w:left="2284" w:hanging="766"/>
        <w:jc w:val="left"/>
      </w:pPr>
      <w:rPr>
        <w:rFonts w:hint="default" w:ascii="Times New Roman" w:hAnsi="Times New Roman" w:eastAsia="Times New Roman" w:cs="Times New Roman"/>
        <w:b w:val="0"/>
        <w:bCs w:val="0"/>
        <w:i w:val="0"/>
        <w:iCs w:val="0"/>
        <w:w w:val="99"/>
        <w:sz w:val="24"/>
        <w:szCs w:val="24"/>
        <w:lang w:val="en-US" w:eastAsia="en-US" w:bidi="ar-SA"/>
      </w:rPr>
    </w:lvl>
    <w:lvl w:ilvl="3">
      <w:start w:val="1"/>
      <w:numFmt w:val="decimal"/>
      <w:lvlText w:val="%1.%2.%3.%4"/>
      <w:lvlJc w:val="left"/>
      <w:pPr>
        <w:ind w:left="3264" w:hanging="981"/>
        <w:jc w:val="left"/>
      </w:pPr>
      <w:rPr>
        <w:rFonts w:hint="default" w:ascii="Times New Roman" w:hAnsi="Times New Roman" w:eastAsia="Times New Roman" w:cs="Times New Roman"/>
        <w:b w:val="0"/>
        <w:bCs w:val="0"/>
        <w:i w:val="0"/>
        <w:iCs w:val="0"/>
        <w:w w:val="99"/>
        <w:sz w:val="24"/>
        <w:szCs w:val="24"/>
        <w:lang w:val="en-US" w:eastAsia="en-US" w:bidi="ar-SA"/>
      </w:rPr>
    </w:lvl>
    <w:lvl w:ilvl="4">
      <w:start w:val="0"/>
      <w:numFmt w:val="bullet"/>
      <w:lvlText w:val="•"/>
      <w:lvlJc w:val="left"/>
      <w:pPr>
        <w:ind w:left="4152" w:hanging="981"/>
      </w:pPr>
      <w:rPr>
        <w:rFonts w:hint="default"/>
        <w:lang w:val="en-US" w:eastAsia="en-US" w:bidi="ar-SA"/>
      </w:rPr>
    </w:lvl>
    <w:lvl w:ilvl="5">
      <w:start w:val="0"/>
      <w:numFmt w:val="bullet"/>
      <w:lvlText w:val="•"/>
      <w:lvlJc w:val="left"/>
      <w:pPr>
        <w:ind w:left="5044" w:hanging="981"/>
      </w:pPr>
      <w:rPr>
        <w:rFonts w:hint="default"/>
        <w:lang w:val="en-US" w:eastAsia="en-US" w:bidi="ar-SA"/>
      </w:rPr>
    </w:lvl>
    <w:lvl w:ilvl="6">
      <w:start w:val="0"/>
      <w:numFmt w:val="bullet"/>
      <w:lvlText w:val="•"/>
      <w:lvlJc w:val="left"/>
      <w:pPr>
        <w:ind w:left="5936" w:hanging="981"/>
      </w:pPr>
      <w:rPr>
        <w:rFonts w:hint="default"/>
        <w:lang w:val="en-US" w:eastAsia="en-US" w:bidi="ar-SA"/>
      </w:rPr>
    </w:lvl>
    <w:lvl w:ilvl="7">
      <w:start w:val="0"/>
      <w:numFmt w:val="bullet"/>
      <w:lvlText w:val="•"/>
      <w:lvlJc w:val="left"/>
      <w:pPr>
        <w:ind w:left="6828" w:hanging="981"/>
      </w:pPr>
      <w:rPr>
        <w:rFonts w:hint="default"/>
        <w:lang w:val="en-US" w:eastAsia="en-US" w:bidi="ar-SA"/>
      </w:rPr>
    </w:lvl>
    <w:lvl w:ilvl="8">
      <w:start w:val="0"/>
      <w:numFmt w:val="bullet"/>
      <w:lvlText w:val="•"/>
      <w:lvlJc w:val="left"/>
      <w:pPr>
        <w:ind w:left="7721" w:hanging="981"/>
      </w:pPr>
      <w:rPr>
        <w:rFonts w:hint="default"/>
        <w:lang w:val="en-US" w:eastAsia="en-US" w:bidi="ar-SA"/>
      </w:rPr>
    </w:lvl>
  </w:abstractNum>
  <w:abstractNum w:abstractNumId="0">
    <w:multiLevelType w:val="hybridMultilevel"/>
    <w:lvl w:ilvl="0">
      <w:start w:val="0"/>
      <w:numFmt w:val="bullet"/>
      <w:lvlText w:val="•"/>
      <w:lvlJc w:val="left"/>
      <w:pPr>
        <w:ind w:left="1195" w:hanging="85"/>
      </w:pPr>
      <w:rPr>
        <w:rFonts w:hint="default" w:ascii="Times New Roman" w:hAnsi="Times New Roman" w:eastAsia="Times New Roman" w:cs="Times New Roman"/>
        <w:b w:val="0"/>
        <w:bCs w:val="0"/>
        <w:i w:val="0"/>
        <w:iCs w:val="0"/>
        <w:w w:val="99"/>
        <w:sz w:val="22"/>
        <w:szCs w:val="22"/>
        <w:lang w:val="en-US" w:eastAsia="en-US" w:bidi="ar-SA"/>
      </w:rPr>
    </w:lvl>
    <w:lvl w:ilvl="1">
      <w:start w:val="0"/>
      <w:numFmt w:val="bullet"/>
      <w:lvlText w:val="•"/>
      <w:lvlJc w:val="left"/>
      <w:pPr>
        <w:ind w:left="2030" w:hanging="85"/>
      </w:pPr>
      <w:rPr>
        <w:rFonts w:hint="default"/>
        <w:lang w:val="en-US" w:eastAsia="en-US" w:bidi="ar-SA"/>
      </w:rPr>
    </w:lvl>
    <w:lvl w:ilvl="2">
      <w:start w:val="0"/>
      <w:numFmt w:val="bullet"/>
      <w:lvlText w:val="•"/>
      <w:lvlJc w:val="left"/>
      <w:pPr>
        <w:ind w:left="2861" w:hanging="85"/>
      </w:pPr>
      <w:rPr>
        <w:rFonts w:hint="default"/>
        <w:lang w:val="en-US" w:eastAsia="en-US" w:bidi="ar-SA"/>
      </w:rPr>
    </w:lvl>
    <w:lvl w:ilvl="3">
      <w:start w:val="0"/>
      <w:numFmt w:val="bullet"/>
      <w:lvlText w:val="•"/>
      <w:lvlJc w:val="left"/>
      <w:pPr>
        <w:ind w:left="3691" w:hanging="85"/>
      </w:pPr>
      <w:rPr>
        <w:rFonts w:hint="default"/>
        <w:lang w:val="en-US" w:eastAsia="en-US" w:bidi="ar-SA"/>
      </w:rPr>
    </w:lvl>
    <w:lvl w:ilvl="4">
      <w:start w:val="0"/>
      <w:numFmt w:val="bullet"/>
      <w:lvlText w:val="•"/>
      <w:lvlJc w:val="left"/>
      <w:pPr>
        <w:ind w:left="4522" w:hanging="85"/>
      </w:pPr>
      <w:rPr>
        <w:rFonts w:hint="default"/>
        <w:lang w:val="en-US" w:eastAsia="en-US" w:bidi="ar-SA"/>
      </w:rPr>
    </w:lvl>
    <w:lvl w:ilvl="5">
      <w:start w:val="0"/>
      <w:numFmt w:val="bullet"/>
      <w:lvlText w:val="•"/>
      <w:lvlJc w:val="left"/>
      <w:pPr>
        <w:ind w:left="5352" w:hanging="85"/>
      </w:pPr>
      <w:rPr>
        <w:rFonts w:hint="default"/>
        <w:lang w:val="en-US" w:eastAsia="en-US" w:bidi="ar-SA"/>
      </w:rPr>
    </w:lvl>
    <w:lvl w:ilvl="6">
      <w:start w:val="0"/>
      <w:numFmt w:val="bullet"/>
      <w:lvlText w:val="•"/>
      <w:lvlJc w:val="left"/>
      <w:pPr>
        <w:ind w:left="6183" w:hanging="85"/>
      </w:pPr>
      <w:rPr>
        <w:rFonts w:hint="default"/>
        <w:lang w:val="en-US" w:eastAsia="en-US" w:bidi="ar-SA"/>
      </w:rPr>
    </w:lvl>
    <w:lvl w:ilvl="7">
      <w:start w:val="0"/>
      <w:numFmt w:val="bullet"/>
      <w:lvlText w:val="•"/>
      <w:lvlJc w:val="left"/>
      <w:pPr>
        <w:ind w:left="7013" w:hanging="85"/>
      </w:pPr>
      <w:rPr>
        <w:rFonts w:hint="default"/>
        <w:lang w:val="en-US" w:eastAsia="en-US" w:bidi="ar-SA"/>
      </w:rPr>
    </w:lvl>
    <w:lvl w:ilvl="8">
      <w:start w:val="0"/>
      <w:numFmt w:val="bullet"/>
      <w:lvlText w:val="•"/>
      <w:lvlJc w:val="left"/>
      <w:pPr>
        <w:ind w:left="7844" w:hanging="85"/>
      </w:pPr>
      <w:rPr>
        <w:rFonts w:hint="default"/>
        <w:lang w:val="en-US" w:eastAsia="en-US" w:bidi="ar-SA"/>
      </w:rPr>
    </w:lvl>
  </w:abstract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en-US" w:eastAsia="en-US" w:bidi="ar-SA"/>
    </w:rPr>
  </w:style>
  <w:style w:styleId="TOC1" w:type="paragraph">
    <w:name w:val="TOC 1"/>
    <w:basedOn w:val="Normal"/>
    <w:uiPriority w:val="1"/>
    <w:qFormat/>
    <w:pPr>
      <w:spacing w:before="322"/>
      <w:ind w:left="969" w:right="759" w:hanging="359"/>
    </w:pPr>
    <w:rPr>
      <w:rFonts w:ascii="Times New Roman" w:hAnsi="Times New Roman" w:eastAsia="Times New Roman" w:cs="Times New Roman"/>
      <w:b/>
      <w:bCs/>
      <w:sz w:val="24"/>
      <w:szCs w:val="24"/>
      <w:lang w:val="en-US" w:eastAsia="en-US" w:bidi="ar-SA"/>
    </w:rPr>
  </w:style>
  <w:style w:styleId="TOC2" w:type="paragraph">
    <w:name w:val="TOC 2"/>
    <w:basedOn w:val="Normal"/>
    <w:uiPriority w:val="1"/>
    <w:qFormat/>
    <w:pPr>
      <w:spacing w:before="82"/>
      <w:ind w:left="1518" w:hanging="550"/>
    </w:pPr>
    <w:rPr>
      <w:rFonts w:ascii="Times New Roman" w:hAnsi="Times New Roman" w:eastAsia="Times New Roman" w:cs="Times New Roman"/>
      <w:sz w:val="24"/>
      <w:szCs w:val="24"/>
      <w:lang w:val="en-US" w:eastAsia="en-US" w:bidi="ar-SA"/>
    </w:rPr>
  </w:style>
  <w:style w:styleId="TOC3" w:type="paragraph">
    <w:name w:val="TOC 3"/>
    <w:basedOn w:val="Normal"/>
    <w:uiPriority w:val="1"/>
    <w:qFormat/>
    <w:pPr>
      <w:spacing w:before="83"/>
      <w:ind w:left="2284" w:hanging="767"/>
    </w:pPr>
    <w:rPr>
      <w:rFonts w:ascii="Times New Roman" w:hAnsi="Times New Roman" w:eastAsia="Times New Roman" w:cs="Times New Roman"/>
      <w:sz w:val="24"/>
      <w:szCs w:val="24"/>
      <w:lang w:val="en-US" w:eastAsia="en-US" w:bidi="ar-SA"/>
    </w:rPr>
  </w:style>
  <w:style w:styleId="TOC4" w:type="paragraph">
    <w:name w:val="TOC 4"/>
    <w:basedOn w:val="Normal"/>
    <w:uiPriority w:val="1"/>
    <w:qFormat/>
    <w:pPr>
      <w:spacing w:before="82"/>
      <w:ind w:left="3264" w:hanging="981"/>
    </w:pPr>
    <w:rPr>
      <w:rFonts w:ascii="Times New Roman" w:hAnsi="Times New Roman" w:eastAsia="Times New Roman" w:cs="Times New Roman"/>
      <w:sz w:val="24"/>
      <w:szCs w:val="24"/>
      <w:lang w:val="en-US" w:eastAsia="en-US" w:bidi="ar-SA"/>
    </w:rPr>
  </w:style>
  <w:style w:styleId="BodyText" w:type="paragraph">
    <w:name w:val="Body Text"/>
    <w:basedOn w:val="Normal"/>
    <w:uiPriority w:val="1"/>
    <w:qFormat/>
    <w:pPr/>
    <w:rPr>
      <w:rFonts w:ascii="Times New Roman" w:hAnsi="Times New Roman" w:eastAsia="Times New Roman" w:cs="Times New Roman"/>
      <w:sz w:val="24"/>
      <w:szCs w:val="24"/>
      <w:lang w:val="en-US" w:eastAsia="en-US" w:bidi="ar-SA"/>
    </w:rPr>
  </w:style>
  <w:style w:styleId="Heading1" w:type="paragraph">
    <w:name w:val="Heading 1"/>
    <w:basedOn w:val="Normal"/>
    <w:uiPriority w:val="1"/>
    <w:qFormat/>
    <w:pPr>
      <w:spacing w:before="256"/>
      <w:ind w:left="610"/>
      <w:outlineLvl w:val="1"/>
    </w:pPr>
    <w:rPr>
      <w:rFonts w:ascii="Times New Roman" w:hAnsi="Times New Roman" w:eastAsia="Times New Roman" w:cs="Times New Roman"/>
      <w:sz w:val="49"/>
      <w:szCs w:val="49"/>
      <w:lang w:val="en-US" w:eastAsia="en-US" w:bidi="ar-SA"/>
    </w:rPr>
  </w:style>
  <w:style w:styleId="Heading2" w:type="paragraph">
    <w:name w:val="Heading 2"/>
    <w:basedOn w:val="Normal"/>
    <w:uiPriority w:val="1"/>
    <w:qFormat/>
    <w:pPr>
      <w:ind w:left="1385" w:hanging="776"/>
      <w:outlineLvl w:val="2"/>
    </w:pPr>
    <w:rPr>
      <w:rFonts w:ascii="Times New Roman" w:hAnsi="Times New Roman" w:eastAsia="Times New Roman" w:cs="Times New Roman"/>
      <w:b/>
      <w:bCs/>
      <w:sz w:val="34"/>
      <w:szCs w:val="34"/>
      <w:lang w:val="en-US" w:eastAsia="en-US" w:bidi="ar-SA"/>
    </w:rPr>
  </w:style>
  <w:style w:styleId="Heading3" w:type="paragraph">
    <w:name w:val="Heading 3"/>
    <w:basedOn w:val="Normal"/>
    <w:uiPriority w:val="1"/>
    <w:qFormat/>
    <w:pPr>
      <w:ind w:left="1471" w:hanging="862"/>
      <w:outlineLvl w:val="3"/>
    </w:pPr>
    <w:rPr>
      <w:rFonts w:ascii="Times New Roman" w:hAnsi="Times New Roman" w:eastAsia="Times New Roman" w:cs="Times New Roman"/>
      <w:b/>
      <w:bCs/>
      <w:sz w:val="28"/>
      <w:szCs w:val="28"/>
      <w:lang w:val="en-US" w:eastAsia="en-US" w:bidi="ar-SA"/>
    </w:rPr>
  </w:style>
  <w:style w:styleId="Heading4" w:type="paragraph">
    <w:name w:val="Heading 4"/>
    <w:basedOn w:val="Normal"/>
    <w:uiPriority w:val="1"/>
    <w:qFormat/>
    <w:pPr>
      <w:spacing w:before="25"/>
      <w:ind w:left="20"/>
      <w:outlineLvl w:val="4"/>
    </w:pPr>
    <w:rPr>
      <w:rFonts w:ascii="Times New Roman" w:hAnsi="Times New Roman" w:eastAsia="Times New Roman" w:cs="Times New Roman"/>
      <w:b/>
      <w:bCs/>
      <w:sz w:val="24"/>
      <w:szCs w:val="24"/>
      <w:lang w:val="en-US" w:eastAsia="en-US" w:bidi="ar-SA"/>
    </w:rPr>
  </w:style>
  <w:style w:styleId="ListParagraph" w:type="paragraph">
    <w:name w:val="List Paragraph"/>
    <w:basedOn w:val="Normal"/>
    <w:uiPriority w:val="1"/>
    <w:qFormat/>
    <w:pPr>
      <w:ind w:left="1518" w:hanging="550"/>
    </w:pPr>
    <w:rPr>
      <w:rFonts w:ascii="Times New Roman" w:hAnsi="Times New Roman" w:eastAsia="Times New Roman" w:cs="Times New Roman"/>
      <w:lang w:val="en-US" w:eastAsia="en-US" w:bidi="ar-SA"/>
    </w:rPr>
  </w:style>
  <w:style w:styleId="TableParagraph" w:type="paragraph">
    <w:name w:val="Table Paragraph"/>
    <w:basedOn w:val="Normal"/>
    <w:uiPriority w:val="1"/>
    <w:qFormat/>
    <w:pPr>
      <w:spacing w:line="269" w:lineRule="exact"/>
      <w:jc w:val="center"/>
    </w:pPr>
    <w:rPr>
      <w:rFonts w:ascii="Times New Roman" w:hAnsi="Times New Roman" w:eastAsia="Times New Roman" w:cs="Times New Roman"/>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header" Target="header1.xml"/><Relationship Id="rId7" Type="http://schemas.openxmlformats.org/officeDocument/2006/relationships/footer" Target="footer2.xml"/><Relationship Id="rId8" Type="http://schemas.openxmlformats.org/officeDocument/2006/relationships/header" Target="header2.xml"/><Relationship Id="rId9" Type="http://schemas.openxmlformats.org/officeDocument/2006/relationships/footer" Target="footer3.xml"/><Relationship Id="rId10" Type="http://schemas.openxmlformats.org/officeDocument/2006/relationships/header" Target="header3.xml"/><Relationship Id="rId11" Type="http://schemas.openxmlformats.org/officeDocument/2006/relationships/footer" Target="footer4.xml"/><Relationship Id="rId12" Type="http://schemas.openxmlformats.org/officeDocument/2006/relationships/header" Target="header4.xml"/><Relationship Id="rId13" Type="http://schemas.openxmlformats.org/officeDocument/2006/relationships/footer" Target="footer5.xml"/><Relationship Id="rId14" Type="http://schemas.openxmlformats.org/officeDocument/2006/relationships/header" Target="header5.xml"/><Relationship Id="rId15" Type="http://schemas.openxmlformats.org/officeDocument/2006/relationships/footer" Target="footer6.xml"/><Relationship Id="rId16" Type="http://schemas.openxmlformats.org/officeDocument/2006/relationships/header" Target="header6.xml"/><Relationship Id="rId17" Type="http://schemas.openxmlformats.org/officeDocument/2006/relationships/footer" Target="footer7.xml"/><Relationship Id="rId18" Type="http://schemas.openxmlformats.org/officeDocument/2006/relationships/header" Target="header7.xml"/><Relationship Id="rId19" Type="http://schemas.openxmlformats.org/officeDocument/2006/relationships/footer" Target="footer8.xml"/><Relationship Id="rId20" Type="http://schemas.openxmlformats.org/officeDocument/2006/relationships/header" Target="header8.xml"/><Relationship Id="rId21" Type="http://schemas.openxmlformats.org/officeDocument/2006/relationships/footer" Target="footer9.xml"/><Relationship Id="rId22" Type="http://schemas.openxmlformats.org/officeDocument/2006/relationships/header" Target="header9.xml"/><Relationship Id="rId23" Type="http://schemas.openxmlformats.org/officeDocument/2006/relationships/footer" Target="footer10.xml"/><Relationship Id="rId24" Type="http://schemas.openxmlformats.org/officeDocument/2006/relationships/header" Target="header10.xml"/><Relationship Id="rId25" Type="http://schemas.openxmlformats.org/officeDocument/2006/relationships/footer" Target="footer11.xml"/><Relationship Id="rId26" Type="http://schemas.openxmlformats.org/officeDocument/2006/relationships/header" Target="header11.xml"/><Relationship Id="rId27" Type="http://schemas.openxmlformats.org/officeDocument/2006/relationships/footer" Target="footer12.xml"/><Relationship Id="rId28" Type="http://schemas.openxmlformats.org/officeDocument/2006/relationships/image" Target="media/image1.jpeg"/><Relationship Id="rId29" Type="http://schemas.openxmlformats.org/officeDocument/2006/relationships/header" Target="header12.xml"/><Relationship Id="rId30" Type="http://schemas.openxmlformats.org/officeDocument/2006/relationships/footer" Target="footer13.xml"/><Relationship Id="rId31" Type="http://schemas.openxmlformats.org/officeDocument/2006/relationships/header" Target="header13.xml"/><Relationship Id="rId32" Type="http://schemas.openxmlformats.org/officeDocument/2006/relationships/footer" Target="footer14.xml"/><Relationship Id="rId33" Type="http://schemas.openxmlformats.org/officeDocument/2006/relationships/header" Target="header14.xml"/><Relationship Id="rId34" Type="http://schemas.openxmlformats.org/officeDocument/2006/relationships/footer" Target="footer15.xml"/><Relationship Id="rId35" Type="http://schemas.openxmlformats.org/officeDocument/2006/relationships/image" Target="media/image2.jpeg"/><Relationship Id="rId36" Type="http://schemas.openxmlformats.org/officeDocument/2006/relationships/image" Target="media/image3.jpeg"/><Relationship Id="rId37" Type="http://schemas.openxmlformats.org/officeDocument/2006/relationships/image" Target="media/image4.jpeg"/><Relationship Id="rId38" Type="http://schemas.openxmlformats.org/officeDocument/2006/relationships/image" Target="media/image5.jpeg"/><Relationship Id="rId39" Type="http://schemas.openxmlformats.org/officeDocument/2006/relationships/image" Target="media/image6.jpeg"/><Relationship Id="rId40" Type="http://schemas.openxmlformats.org/officeDocument/2006/relationships/image" Target="media/image7.jpeg"/><Relationship Id="rId41" Type="http://schemas.openxmlformats.org/officeDocument/2006/relationships/image" Target="media/image8.jpeg"/><Relationship Id="rId42" Type="http://schemas.openxmlformats.org/officeDocument/2006/relationships/image" Target="media/image9.jpeg"/><Relationship Id="rId43" Type="http://schemas.openxmlformats.org/officeDocument/2006/relationships/image" Target="media/image10.jpeg"/><Relationship Id="rId44" Type="http://schemas.openxmlformats.org/officeDocument/2006/relationships/image" Target="media/image11.jpeg"/><Relationship Id="rId45" Type="http://schemas.openxmlformats.org/officeDocument/2006/relationships/image" Target="media/image12.jpeg"/><Relationship Id="rId46" Type="http://schemas.openxmlformats.org/officeDocument/2006/relationships/image" Target="media/image13.jpeg"/><Relationship Id="rId47" Type="http://schemas.openxmlformats.org/officeDocument/2006/relationships/image" Target="media/image14.jpeg"/><Relationship Id="rId48" Type="http://schemas.openxmlformats.org/officeDocument/2006/relationships/image" Target="media/image15.jpeg"/><Relationship Id="rId49" Type="http://schemas.openxmlformats.org/officeDocument/2006/relationships/header" Target="header15.xml"/><Relationship Id="rId50" Type="http://schemas.openxmlformats.org/officeDocument/2006/relationships/footer" Target="footer16.xml"/><Relationship Id="rId51" Type="http://schemas.openxmlformats.org/officeDocument/2006/relationships/image" Target="media/image16.png"/><Relationship Id="rId52" Type="http://schemas.openxmlformats.org/officeDocument/2006/relationships/image" Target="media/image17.jpeg"/><Relationship Id="rId53" Type="http://schemas.openxmlformats.org/officeDocument/2006/relationships/header" Target="header16.xml"/><Relationship Id="rId54" Type="http://schemas.openxmlformats.org/officeDocument/2006/relationships/footer" Target="footer17.xml"/><Relationship Id="rId55" Type="http://schemas.openxmlformats.org/officeDocument/2006/relationships/header" Target="header17.xml"/><Relationship Id="rId56" Type="http://schemas.openxmlformats.org/officeDocument/2006/relationships/footer" Target="footer18.xml"/><Relationship Id="rId57" Type="http://schemas.openxmlformats.org/officeDocument/2006/relationships/header" Target="header18.xml"/><Relationship Id="rId58" Type="http://schemas.openxmlformats.org/officeDocument/2006/relationships/footer" Target="footer19.xml"/><Relationship Id="rId59" Type="http://schemas.openxmlformats.org/officeDocument/2006/relationships/header" Target="header19.xml"/><Relationship Id="rId60" Type="http://schemas.openxmlformats.org/officeDocument/2006/relationships/footer" Target="footer20.xml"/><Relationship Id="rId61" Type="http://schemas.openxmlformats.org/officeDocument/2006/relationships/image" Target="media/image18.png"/><Relationship Id="rId62" Type="http://schemas.openxmlformats.org/officeDocument/2006/relationships/image" Target="media/image19.jpeg"/><Relationship Id="rId63" Type="http://schemas.openxmlformats.org/officeDocument/2006/relationships/image" Target="media/image20.png"/><Relationship Id="rId64" Type="http://schemas.openxmlformats.org/officeDocument/2006/relationships/image" Target="media/image21.png"/><Relationship Id="rId65" Type="http://schemas.openxmlformats.org/officeDocument/2006/relationships/image" Target="media/image22.png"/><Relationship Id="rId66" Type="http://schemas.openxmlformats.org/officeDocument/2006/relationships/header" Target="header20.xml"/><Relationship Id="rId67" Type="http://schemas.openxmlformats.org/officeDocument/2006/relationships/footer" Target="footer21.xml"/><Relationship Id="rId68" Type="http://schemas.openxmlformats.org/officeDocument/2006/relationships/image" Target="media/image23.jpeg"/><Relationship Id="rId69" Type="http://schemas.openxmlformats.org/officeDocument/2006/relationships/header" Target="header21.xml"/><Relationship Id="rId70" Type="http://schemas.openxmlformats.org/officeDocument/2006/relationships/footer" Target="footer22.xml"/><Relationship Id="rId71" Type="http://schemas.openxmlformats.org/officeDocument/2006/relationships/header" Target="header22.xml"/><Relationship Id="rId72" Type="http://schemas.openxmlformats.org/officeDocument/2006/relationships/footer" Target="footer23.xml"/><Relationship Id="rId73" Type="http://schemas.openxmlformats.org/officeDocument/2006/relationships/header" Target="header23.xml"/><Relationship Id="rId74" Type="http://schemas.openxmlformats.org/officeDocument/2006/relationships/footer" Target="footer24.xml"/><Relationship Id="rId75" Type="http://schemas.openxmlformats.org/officeDocument/2006/relationships/header" Target="header24.xml"/><Relationship Id="rId76" Type="http://schemas.openxmlformats.org/officeDocument/2006/relationships/footer" Target="footer25.xml"/><Relationship Id="rId77" Type="http://schemas.openxmlformats.org/officeDocument/2006/relationships/image" Target="media/image24.jpeg"/><Relationship Id="rId78" Type="http://schemas.openxmlformats.org/officeDocument/2006/relationships/image" Target="media/image25.jpeg"/><Relationship Id="rId79" Type="http://schemas.openxmlformats.org/officeDocument/2006/relationships/image" Target="media/image26.jpeg"/><Relationship Id="rId80" Type="http://schemas.openxmlformats.org/officeDocument/2006/relationships/header" Target="header25.xml"/><Relationship Id="rId81" Type="http://schemas.openxmlformats.org/officeDocument/2006/relationships/footer" Target="footer26.xml"/><Relationship Id="rId82" Type="http://schemas.openxmlformats.org/officeDocument/2006/relationships/header" Target="header26.xml"/><Relationship Id="rId83" Type="http://schemas.openxmlformats.org/officeDocument/2006/relationships/footer" Target="footer27.xml"/><Relationship Id="rId84" Type="http://schemas.openxmlformats.org/officeDocument/2006/relationships/header" Target="header27.xml"/><Relationship Id="rId85" Type="http://schemas.openxmlformats.org/officeDocument/2006/relationships/footer" Target="footer28.xml"/><Relationship Id="rId86" Type="http://schemas.openxmlformats.org/officeDocument/2006/relationships/hyperlink" Target="http://www.optaprorugby.com/" TargetMode="External"/><Relationship Id="rId87" Type="http://schemas.openxmlformats.org/officeDocument/2006/relationships/image" Target="media/image27.png"/><Relationship Id="rId88" Type="http://schemas.openxmlformats.org/officeDocument/2006/relationships/image" Target="media/image28.png"/><Relationship Id="rId89" Type="http://schemas.openxmlformats.org/officeDocument/2006/relationships/image" Target="media/image29.jpeg"/><Relationship Id="rId90" Type="http://schemas.openxmlformats.org/officeDocument/2006/relationships/header" Target="header28.xml"/><Relationship Id="rId91" Type="http://schemas.openxmlformats.org/officeDocument/2006/relationships/footer" Target="footer29.xml"/><Relationship Id="rId92" Type="http://schemas.openxmlformats.org/officeDocument/2006/relationships/image" Target="media/image30.png"/><Relationship Id="rId93" Type="http://schemas.openxmlformats.org/officeDocument/2006/relationships/header" Target="header29.xml"/><Relationship Id="rId94" Type="http://schemas.openxmlformats.org/officeDocument/2006/relationships/footer" Target="footer30.xml"/><Relationship Id="rId95" Type="http://schemas.openxmlformats.org/officeDocument/2006/relationships/image" Target="media/image31.jpeg"/><Relationship Id="rId96" Type="http://schemas.openxmlformats.org/officeDocument/2006/relationships/image" Target="media/image32.jpeg"/><Relationship Id="rId97" Type="http://schemas.openxmlformats.org/officeDocument/2006/relationships/header" Target="header30.xml"/><Relationship Id="rId98" Type="http://schemas.openxmlformats.org/officeDocument/2006/relationships/footer" Target="footer31.xml"/><Relationship Id="rId99" Type="http://schemas.openxmlformats.org/officeDocument/2006/relationships/header" Target="header31.xml"/><Relationship Id="rId100" Type="http://schemas.openxmlformats.org/officeDocument/2006/relationships/footer" Target="footer32.xml"/><Relationship Id="rId101" Type="http://schemas.openxmlformats.org/officeDocument/2006/relationships/image" Target="media/image33.png"/><Relationship Id="rId102" Type="http://schemas.openxmlformats.org/officeDocument/2006/relationships/image" Target="media/image34.jpeg"/><Relationship Id="rId103" Type="http://schemas.openxmlformats.org/officeDocument/2006/relationships/image" Target="media/image35.png"/><Relationship Id="rId104" Type="http://schemas.openxmlformats.org/officeDocument/2006/relationships/image" Target="media/image36.jpeg"/><Relationship Id="rId105" Type="http://schemas.openxmlformats.org/officeDocument/2006/relationships/header" Target="header32.xml"/><Relationship Id="rId106" Type="http://schemas.openxmlformats.org/officeDocument/2006/relationships/footer" Target="footer33.xml"/><Relationship Id="rId107" Type="http://schemas.openxmlformats.org/officeDocument/2006/relationships/image" Target="media/image37.jpeg"/><Relationship Id="rId108" Type="http://schemas.openxmlformats.org/officeDocument/2006/relationships/image" Target="media/image38.jpeg"/><Relationship Id="rId109" Type="http://schemas.openxmlformats.org/officeDocument/2006/relationships/image" Target="media/image39.jpeg"/><Relationship Id="rId110" Type="http://schemas.openxmlformats.org/officeDocument/2006/relationships/image" Target="media/image40.jpeg"/><Relationship Id="rId111" Type="http://schemas.openxmlformats.org/officeDocument/2006/relationships/image" Target="media/image41.jpeg"/><Relationship Id="rId112" Type="http://schemas.openxmlformats.org/officeDocument/2006/relationships/image" Target="media/image42.jpeg"/><Relationship Id="rId113" Type="http://schemas.openxmlformats.org/officeDocument/2006/relationships/image" Target="media/image43.jpeg"/><Relationship Id="rId114" Type="http://schemas.openxmlformats.org/officeDocument/2006/relationships/image" Target="media/image44.jpeg"/><Relationship Id="rId115" Type="http://schemas.openxmlformats.org/officeDocument/2006/relationships/image" Target="media/image45.jpeg"/><Relationship Id="rId116" Type="http://schemas.openxmlformats.org/officeDocument/2006/relationships/image" Target="media/image46.jpeg"/><Relationship Id="rId117" Type="http://schemas.openxmlformats.org/officeDocument/2006/relationships/image" Target="media/image47.jpeg"/><Relationship Id="rId118" Type="http://schemas.openxmlformats.org/officeDocument/2006/relationships/image" Target="media/image48.jpeg"/><Relationship Id="rId119" Type="http://schemas.openxmlformats.org/officeDocument/2006/relationships/image" Target="media/image49.jpeg"/><Relationship Id="rId120" Type="http://schemas.openxmlformats.org/officeDocument/2006/relationships/image" Target="media/image50.jpeg"/><Relationship Id="rId121" Type="http://schemas.openxmlformats.org/officeDocument/2006/relationships/header" Target="header33.xml"/><Relationship Id="rId122" Type="http://schemas.openxmlformats.org/officeDocument/2006/relationships/footer" Target="footer34.xml"/><Relationship Id="rId123" Type="http://schemas.openxmlformats.org/officeDocument/2006/relationships/header" Target="header34.xml"/><Relationship Id="rId124" Type="http://schemas.openxmlformats.org/officeDocument/2006/relationships/footer" Target="footer35.xml"/><Relationship Id="rId125" Type="http://schemas.openxmlformats.org/officeDocument/2006/relationships/header" Target="header35.xml"/><Relationship Id="rId126" Type="http://schemas.openxmlformats.org/officeDocument/2006/relationships/footer" Target="footer36.xml"/><Relationship Id="rId127" Type="http://schemas.openxmlformats.org/officeDocument/2006/relationships/image" Target="media/image51.jpeg"/><Relationship Id="rId128" Type="http://schemas.openxmlformats.org/officeDocument/2006/relationships/header" Target="header36.xml"/><Relationship Id="rId129" Type="http://schemas.openxmlformats.org/officeDocument/2006/relationships/footer" Target="footer37.xml"/><Relationship Id="rId130" Type="http://schemas.openxmlformats.org/officeDocument/2006/relationships/image" Target="media/image52.jpeg"/><Relationship Id="rId131" Type="http://schemas.openxmlformats.org/officeDocument/2006/relationships/image" Target="media/image53.jpeg"/><Relationship Id="rId132" Type="http://schemas.openxmlformats.org/officeDocument/2006/relationships/image" Target="media/image54.jpeg"/><Relationship Id="rId133" Type="http://schemas.openxmlformats.org/officeDocument/2006/relationships/image" Target="media/image55.jpeg"/><Relationship Id="rId134" Type="http://schemas.openxmlformats.org/officeDocument/2006/relationships/image" Target="media/image56.jpeg"/><Relationship Id="rId135" Type="http://schemas.openxmlformats.org/officeDocument/2006/relationships/image" Target="media/image57.jpeg"/><Relationship Id="rId136" Type="http://schemas.openxmlformats.org/officeDocument/2006/relationships/image" Target="media/image58.jpeg"/><Relationship Id="rId137" Type="http://schemas.openxmlformats.org/officeDocument/2006/relationships/image" Target="media/image59.jpeg"/><Relationship Id="rId138" Type="http://schemas.openxmlformats.org/officeDocument/2006/relationships/header" Target="header37.xml"/><Relationship Id="rId139" Type="http://schemas.openxmlformats.org/officeDocument/2006/relationships/footer" Target="footer38.xml"/><Relationship Id="rId140" Type="http://schemas.openxmlformats.org/officeDocument/2006/relationships/header" Target="header38.xml"/><Relationship Id="rId141" Type="http://schemas.openxmlformats.org/officeDocument/2006/relationships/footer" Target="footer39.xml"/><Relationship Id="rId142" Type="http://schemas.openxmlformats.org/officeDocument/2006/relationships/header" Target="header39.xml"/><Relationship Id="rId143" Type="http://schemas.openxmlformats.org/officeDocument/2006/relationships/footer" Target="footer40.xml"/><Relationship Id="rId144" Type="http://schemas.openxmlformats.org/officeDocument/2006/relationships/header" Target="header40.xml"/><Relationship Id="rId145" Type="http://schemas.openxmlformats.org/officeDocument/2006/relationships/footer" Target="footer41.xml"/><Relationship Id="rId146" Type="http://schemas.openxmlformats.org/officeDocument/2006/relationships/header" Target="header41.xml"/><Relationship Id="rId147" Type="http://schemas.openxmlformats.org/officeDocument/2006/relationships/footer" Target="footer42.xml"/><Relationship Id="rId148" Type="http://schemas.openxmlformats.org/officeDocument/2006/relationships/header" Target="header42.xml"/><Relationship Id="rId149" Type="http://schemas.openxmlformats.org/officeDocument/2006/relationships/footer" Target="footer43.xml"/><Relationship Id="rId150" Type="http://schemas.openxmlformats.org/officeDocument/2006/relationships/header" Target="header43.xml"/><Relationship Id="rId151" Type="http://schemas.openxmlformats.org/officeDocument/2006/relationships/footer" Target="footer44.xml"/><Relationship Id="rId152" Type="http://schemas.openxmlformats.org/officeDocument/2006/relationships/hyperlink" Target="http://www.sporttechie.com/the-nba-is-wisely-opening-up-its-sportvu-data-to-" TargetMode="External"/><Relationship Id="rId153" Type="http://schemas.openxmlformats.org/officeDocument/2006/relationships/header" Target="header44.xml"/><Relationship Id="rId154" Type="http://schemas.openxmlformats.org/officeDocument/2006/relationships/footer" Target="footer45.xml"/><Relationship Id="rId155" Type="http://schemas.openxmlformats.org/officeDocument/2006/relationships/hyperlink" Target="http://dx.doi.org/10.1080/01621459.2016.1141685" TargetMode="External"/><Relationship Id="rId156" Type="http://schemas.openxmlformats.org/officeDocument/2006/relationships/hyperlink" Target="http://www.wsj.com/articles/the-golden-state-warriors-have-revolutionized-" TargetMode="External"/><Relationship Id="rId157" Type="http://schemas.openxmlformats.org/officeDocument/2006/relationships/hyperlink" Target="https://www.superleague.co.uk/stats/player-stats" TargetMode="External"/><Relationship Id="rId158" Type="http://schemas.openxmlformats.org/officeDocument/2006/relationships/hyperlink" Target="https://karun.in/blog/expected-threat.html" TargetMode="External"/><Relationship Id="rId159" Type="http://schemas.openxmlformats.org/officeDocument/2006/relationships/hyperlink" Target="http://incompleteideas.net/book/the-book-2nd.html" TargetMode="External"/><Relationship Id="rId160" Type="http://schemas.openxmlformats.org/officeDocument/2006/relationships/hyperlink" Target="http://www.sciencedirect.com/science/article/pii/0377221789903482" TargetMode="External"/><Relationship Id="rId16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2023-06-13T10:09:01Z</dcterms:created>
  <dcterms:modified xsi:type="dcterms:W3CDTF">2023-06-13T10:09:01Z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2023-06-13T00:00:00Z</vt:filetime>
  </property>
  <property fmtid="{D5CDD505-2E9C-101B-9397-08002B2CF9AE}" pid="3" name="Producer">
    <vt:lpwstr>iLovePDF</vt:lpwstr>
  </property>
</Properties>
</file>